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9"/>
        <w:rPr>
          <w:rFonts w:ascii="方正小标宋简体" w:hAnsi="宋体" w:eastAsia="方正小标宋简体"/>
          <w:color w:val="auto"/>
          <w:sz w:val="72"/>
          <w:szCs w:val="72"/>
          <w:highlight w:val="none"/>
        </w:rPr>
      </w:pPr>
      <w:bookmarkStart w:id="0" w:name="_Toc15396475"/>
      <w:bookmarkStart w:id="1" w:name="_Toc15378441"/>
      <w:bookmarkStart w:id="2" w:name="_Toc15396597"/>
      <w:bookmarkStart w:id="3" w:name="_Toc15377425"/>
      <w:bookmarkStart w:id="4" w:name="_Toc15377193"/>
      <w:bookmarkStart w:id="5" w:name="_Toc15306267"/>
    </w:p>
    <w:p>
      <w:pPr>
        <w:spacing w:line="600" w:lineRule="exact"/>
        <w:jc w:val="center"/>
        <w:outlineLvl w:val="9"/>
        <w:rPr>
          <w:rFonts w:ascii="方正小标宋简体" w:hAnsi="宋体" w:eastAsia="方正小标宋简体"/>
          <w:color w:val="auto"/>
          <w:sz w:val="72"/>
          <w:szCs w:val="72"/>
          <w:highlight w:val="none"/>
        </w:rPr>
      </w:pPr>
    </w:p>
    <w:p>
      <w:pPr>
        <w:spacing w:line="600" w:lineRule="exact"/>
        <w:jc w:val="center"/>
        <w:outlineLvl w:val="9"/>
        <w:rPr>
          <w:rFonts w:ascii="方正小标宋简体" w:hAnsi="宋体" w:eastAsia="方正小标宋简体"/>
          <w:color w:val="auto"/>
          <w:sz w:val="72"/>
          <w:szCs w:val="72"/>
          <w:highlight w:val="none"/>
        </w:rPr>
      </w:pPr>
    </w:p>
    <w:p>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rPr>
      </w:pPr>
      <w:bookmarkStart w:id="6" w:name="_Toc1363"/>
    </w:p>
    <w:p>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rPr>
      </w:pPr>
      <w:r>
        <w:rPr>
          <w:rFonts w:hint="eastAsia" w:ascii="方正小标宋简体" w:hAnsi="方正小标宋简体" w:eastAsia="方正小标宋简体" w:cs="方正小标宋简体"/>
          <w:color w:val="auto"/>
          <w:sz w:val="72"/>
          <w:szCs w:val="72"/>
          <w:highlight w:val="none"/>
        </w:rPr>
        <w:t>20</w:t>
      </w:r>
      <w:r>
        <w:rPr>
          <w:rFonts w:hint="eastAsia" w:ascii="方正小标宋简体" w:hAnsi="方正小标宋简体" w:eastAsia="方正小标宋简体" w:cs="方正小标宋简体"/>
          <w:color w:val="auto"/>
          <w:sz w:val="72"/>
          <w:szCs w:val="72"/>
          <w:highlight w:val="none"/>
          <w:lang w:val="en-US" w:eastAsia="zh-CN"/>
        </w:rPr>
        <w:t>22</w:t>
      </w:r>
      <w:r>
        <w:rPr>
          <w:rFonts w:hint="eastAsia" w:ascii="方正小标宋简体" w:hAnsi="方正小标宋简体" w:eastAsia="方正小标宋简体" w:cs="方正小标宋简体"/>
          <w:color w:val="auto"/>
          <w:sz w:val="72"/>
          <w:szCs w:val="72"/>
          <w:highlight w:val="none"/>
        </w:rPr>
        <w:t>年度</w:t>
      </w:r>
      <w:bookmarkEnd w:id="0"/>
      <w:bookmarkEnd w:id="1"/>
      <w:bookmarkEnd w:id="2"/>
      <w:bookmarkEnd w:id="3"/>
      <w:bookmarkEnd w:id="4"/>
      <w:bookmarkEnd w:id="6"/>
    </w:p>
    <w:p>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lang w:eastAsia="zh-CN"/>
        </w:rPr>
      </w:pPr>
      <w:bookmarkStart w:id="7" w:name="_Toc21139"/>
      <w:bookmarkStart w:id="8" w:name="_Toc15396476"/>
      <w:bookmarkStart w:id="9" w:name="_Toc15377426"/>
      <w:bookmarkStart w:id="10" w:name="_Toc15377194"/>
      <w:bookmarkStart w:id="11" w:name="_Toc15396598"/>
      <w:bookmarkStart w:id="12" w:name="_Toc15378442"/>
      <w:r>
        <w:rPr>
          <w:rFonts w:hint="eastAsia" w:ascii="方正小标宋简体" w:hAnsi="方正小标宋简体" w:eastAsia="方正小标宋简体" w:cs="方正小标宋简体"/>
          <w:color w:val="auto"/>
          <w:sz w:val="72"/>
          <w:szCs w:val="72"/>
          <w:highlight w:val="none"/>
        </w:rPr>
        <w:t>四川省</w:t>
      </w:r>
      <w:bookmarkEnd w:id="5"/>
      <w:bookmarkStart w:id="13" w:name="_Toc15306268"/>
      <w:r>
        <w:rPr>
          <w:rFonts w:hint="eastAsia" w:ascii="方正小标宋简体" w:hAnsi="方正小标宋简体" w:eastAsia="方正小标宋简体" w:cs="方正小标宋简体"/>
          <w:color w:val="auto"/>
          <w:sz w:val="72"/>
          <w:szCs w:val="72"/>
          <w:highlight w:val="none"/>
          <w:lang w:eastAsia="zh-CN"/>
        </w:rPr>
        <w:t>广元市</w:t>
      </w:r>
      <w:bookmarkEnd w:id="7"/>
    </w:p>
    <w:p>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lang w:eastAsia="zh-CN"/>
        </w:rPr>
      </w:pPr>
      <w:bookmarkStart w:id="14" w:name="_Toc22783"/>
      <w:r>
        <w:rPr>
          <w:rFonts w:hint="eastAsia" w:ascii="方正小标宋简体" w:hAnsi="方正小标宋简体" w:eastAsia="方正小标宋简体" w:cs="方正小标宋简体"/>
          <w:color w:val="auto"/>
          <w:sz w:val="72"/>
          <w:szCs w:val="72"/>
          <w:highlight w:val="none"/>
          <w:lang w:eastAsia="zh-CN"/>
        </w:rPr>
        <w:t>昭化区医疗保障局</w:t>
      </w:r>
      <w:bookmarkEnd w:id="14"/>
    </w:p>
    <w:p>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rPr>
      </w:pPr>
      <w:bookmarkStart w:id="15" w:name="_Toc16422"/>
      <w:r>
        <w:rPr>
          <w:rFonts w:hint="eastAsia" w:ascii="方正小标宋简体" w:hAnsi="方正小标宋简体" w:eastAsia="方正小标宋简体" w:cs="方正小标宋简体"/>
          <w:color w:val="auto"/>
          <w:sz w:val="72"/>
          <w:szCs w:val="72"/>
          <w:highlight w:val="none"/>
        </w:rPr>
        <w:t>部门决算</w:t>
      </w:r>
      <w:bookmarkEnd w:id="8"/>
      <w:bookmarkEnd w:id="9"/>
      <w:bookmarkEnd w:id="10"/>
      <w:bookmarkEnd w:id="11"/>
      <w:bookmarkEnd w:id="12"/>
      <w:bookmarkEnd w:id="13"/>
      <w:bookmarkEnd w:id="15"/>
    </w:p>
    <w:p>
      <w:pPr>
        <w:widowControl/>
        <w:jc w:val="center"/>
        <w:rPr>
          <w:rFonts w:ascii="方正小标宋简体" w:hAnsi="宋体" w:eastAsia="方正小标宋简体"/>
          <w:color w:val="auto"/>
          <w:sz w:val="36"/>
          <w:szCs w:val="36"/>
          <w:highlight w:val="none"/>
        </w:rPr>
        <w:sectPr>
          <w:headerReference r:id="rId3" w:type="default"/>
          <w:footerReference r:id="rId4" w:type="default"/>
          <w:pgSz w:w="11906" w:h="16838"/>
          <w:pgMar w:top="1440" w:right="1800" w:bottom="1440" w:left="1800" w:header="851" w:footer="992" w:gutter="0"/>
          <w:pgNumType w:fmt="decimal" w:start="1"/>
          <w:cols w:space="425" w:num="1"/>
          <w:titlePg/>
          <w:docGrid w:type="lines" w:linePitch="312" w:charSpace="0"/>
        </w:sectPr>
      </w:pPr>
      <w:r>
        <w:rPr>
          <w:rFonts w:ascii="方正小标宋简体" w:hAnsi="宋体" w:eastAsia="方正小标宋简体"/>
          <w:color w:val="auto"/>
          <w:sz w:val="36"/>
          <w:szCs w:val="36"/>
          <w:highlight w:val="none"/>
        </w:rPr>
        <w:br w:type="page"/>
      </w:r>
    </w:p>
    <w:p>
      <w:pPr>
        <w:widowControl/>
        <w:jc w:val="center"/>
        <w:rPr>
          <w:rFonts w:ascii="黑体" w:hAnsi="黑体" w:eastAsia="黑体" w:cstheme="minorBidi"/>
          <w:color w:val="auto"/>
          <w:sz w:val="28"/>
          <w:szCs w:val="28"/>
          <w:highlight w:val="none"/>
        </w:rPr>
      </w:pPr>
      <w:r>
        <w:rPr>
          <w:rFonts w:hint="eastAsia" w:ascii="黑体" w:hAnsi="黑体" w:eastAsia="黑体"/>
          <w:color w:val="auto"/>
          <w:sz w:val="48"/>
          <w:szCs w:val="48"/>
          <w:highlight w:val="none"/>
        </w:rPr>
        <w:t>目录</w:t>
      </w:r>
    </w:p>
    <w:p>
      <w:pPr>
        <w:pStyle w:val="11"/>
        <w:rPr>
          <w:color w:val="auto"/>
          <w:highlight w:val="none"/>
        </w:rPr>
      </w:pPr>
      <w:r>
        <w:rPr>
          <w:rFonts w:hint="eastAsia"/>
          <w:color w:val="auto"/>
          <w:highlight w:val="none"/>
        </w:rPr>
        <w:t>公开时间：20</w:t>
      </w:r>
      <w:r>
        <w:rPr>
          <w:rFonts w:hint="eastAsia"/>
          <w:color w:val="auto"/>
          <w:highlight w:val="none"/>
          <w:lang w:val="en-US" w:eastAsia="zh-CN"/>
        </w:rPr>
        <w:t>23</w:t>
      </w:r>
      <w:r>
        <w:rPr>
          <w:rFonts w:hint="eastAsia"/>
          <w:color w:val="auto"/>
          <w:highlight w:val="none"/>
        </w:rPr>
        <w:t>年</w:t>
      </w:r>
      <w:r>
        <w:rPr>
          <w:rFonts w:hint="eastAsia"/>
          <w:color w:val="auto"/>
          <w:highlight w:val="none"/>
          <w:lang w:val="en-US" w:eastAsia="zh-CN"/>
        </w:rPr>
        <w:t>9</w:t>
      </w:r>
      <w:r>
        <w:rPr>
          <w:rFonts w:hint="eastAsia"/>
          <w:color w:val="auto"/>
          <w:highlight w:val="none"/>
        </w:rPr>
        <w:t>月</w:t>
      </w:r>
      <w:r>
        <w:rPr>
          <w:rFonts w:hint="eastAsia"/>
          <w:color w:val="auto"/>
          <w:highlight w:val="none"/>
          <w:lang w:val="en-US" w:eastAsia="zh-CN"/>
        </w:rPr>
        <w:t>26</w:t>
      </w:r>
      <w:r>
        <w:rPr>
          <w:rFonts w:hint="eastAsia"/>
          <w:color w:val="auto"/>
          <w:highlight w:val="none"/>
        </w:rPr>
        <w:t>日</w:t>
      </w:r>
    </w:p>
    <w:p>
      <w:pPr>
        <w:tabs>
          <w:tab w:val="left" w:pos="466"/>
          <w:tab w:val="center" w:pos="4213"/>
        </w:tabs>
        <w:spacing w:before="0" w:beforeLines="0" w:after="0" w:afterLines="0" w:line="240" w:lineRule="auto"/>
        <w:ind w:left="0" w:leftChars="0" w:right="0" w:rightChars="0" w:firstLine="0" w:firstLineChars="0"/>
        <w:jc w:val="center"/>
        <w:rPr>
          <w:rFonts w:hint="eastAsia" w:ascii="宋体" w:hAnsi="宋体" w:cs="Times New Roman"/>
          <w:kern w:val="2"/>
          <w:sz w:val="21"/>
          <w:szCs w:val="24"/>
          <w:lang w:val="en-US" w:eastAsia="zh-CN" w:bidi="ar-SA"/>
        </w:rPr>
      </w:pPr>
      <w:r>
        <w:rPr>
          <w:rFonts w:hint="eastAsia" w:ascii="宋体" w:hAnsi="宋体" w:cs="Times New Roman"/>
          <w:kern w:val="2"/>
          <w:sz w:val="21"/>
          <w:szCs w:val="24"/>
          <w:lang w:val="en-US" w:eastAsia="zh-CN" w:bidi="ar-SA"/>
        </w:rPr>
        <w:tab/>
      </w:r>
    </w:p>
    <w:sdt>
      <w:sdtPr>
        <w:rPr>
          <w:rFonts w:ascii="宋体" w:hAnsi="宋体" w:eastAsia="宋体" w:cs="Times New Roman"/>
          <w:kern w:val="2"/>
          <w:sz w:val="21"/>
          <w:szCs w:val="24"/>
          <w:lang w:val="en-US" w:eastAsia="zh-CN" w:bidi="ar-SA"/>
        </w:rPr>
        <w:id w:val="147480659"/>
        <w15:color w:val="DBDBDB"/>
        <w:docPartObj>
          <w:docPartGallery w:val="Table of Contents"/>
          <w:docPartUnique/>
        </w:docPartObj>
      </w:sdtPr>
      <w:sdtEndPr>
        <w:rPr>
          <w:rFonts w:ascii="宋体" w:hAnsi="宋体" w:eastAsia="宋体" w:cs="Times New Roman"/>
          <w:b/>
          <w:kern w:val="2"/>
          <w:sz w:val="21"/>
          <w:szCs w:val="24"/>
          <w:lang w:val="en-US" w:eastAsia="zh-CN" w:bidi="ar-SA"/>
        </w:rPr>
      </w:sdtEndPr>
      <w:sdtContent>
        <w:p>
          <w:pPr>
            <w:tabs>
              <w:tab w:val="left" w:pos="466"/>
              <w:tab w:val="center" w:pos="4213"/>
            </w:tabs>
            <w:spacing w:before="0" w:beforeLines="0" w:after="0" w:afterLines="0" w:line="240" w:lineRule="auto"/>
            <w:ind w:left="0" w:leftChars="0" w:right="0" w:rightChars="0" w:firstLine="0" w:firstLineChars="0"/>
            <w:jc w:val="left"/>
          </w:pPr>
          <w:r>
            <w:rPr>
              <w:rFonts w:hint="eastAsia" w:ascii="宋体" w:hAnsi="宋体" w:cs="Times New Roman"/>
              <w:kern w:val="2"/>
              <w:sz w:val="21"/>
              <w:szCs w:val="24"/>
              <w:lang w:val="en-US" w:eastAsia="zh-CN" w:bidi="ar-SA"/>
            </w:rPr>
            <w:tab/>
          </w:r>
        </w:p>
        <w:p>
          <w:pPr>
            <w:pStyle w:val="34"/>
            <w:tabs>
              <w:tab w:val="right" w:leader="dot" w:pos="8306"/>
            </w:tabs>
            <w:rPr>
              <w:b/>
            </w:rPr>
          </w:pPr>
          <w:r>
            <w:fldChar w:fldCharType="begin"/>
          </w:r>
          <w:r>
            <w:instrText xml:space="preserve">TOC \o "1-2" \h \u </w:instrText>
          </w:r>
          <w:r>
            <w:fldChar w:fldCharType="separate"/>
          </w:r>
          <w:r>
            <w:rPr>
              <w:b/>
            </w:rPr>
            <w:fldChar w:fldCharType="begin"/>
          </w:r>
          <w:r>
            <w:rPr>
              <w:b/>
            </w:rPr>
            <w:instrText xml:space="preserve"> HYPERLINK \l _Toc20749 </w:instrText>
          </w:r>
          <w:r>
            <w:rPr>
              <w:b/>
            </w:rPr>
            <w:fldChar w:fldCharType="separate"/>
          </w:r>
          <w:r>
            <w:rPr>
              <w:rFonts w:hint="eastAsia" w:ascii="黑体" w:hAnsi="黑体" w:eastAsia="黑体"/>
              <w:b/>
              <w:highlight w:val="none"/>
            </w:rPr>
            <w:t xml:space="preserve">第一部分 </w:t>
          </w:r>
          <w:r>
            <w:rPr>
              <w:rFonts w:hint="eastAsia" w:ascii="黑体" w:hAnsi="黑体" w:eastAsia="黑体"/>
              <w:b/>
              <w:bCs w:val="0"/>
              <w:highlight w:val="none"/>
            </w:rPr>
            <w:t>部门概况</w:t>
          </w:r>
          <w:r>
            <w:rPr>
              <w:b/>
            </w:rPr>
            <w:tab/>
          </w:r>
          <w:r>
            <w:rPr>
              <w:b/>
            </w:rPr>
            <w:fldChar w:fldCharType="begin"/>
          </w:r>
          <w:r>
            <w:rPr>
              <w:b/>
            </w:rPr>
            <w:instrText xml:space="preserve"> PAGEREF _Toc20749 \h </w:instrText>
          </w:r>
          <w:r>
            <w:rPr>
              <w:b/>
            </w:rPr>
            <w:fldChar w:fldCharType="separate"/>
          </w:r>
          <w:r>
            <w:rPr>
              <w:b/>
            </w:rPr>
            <w:t>1</w:t>
          </w:r>
          <w:r>
            <w:rPr>
              <w:b/>
            </w:rPr>
            <w:fldChar w:fldCharType="end"/>
          </w:r>
          <w:r>
            <w:rPr>
              <w:b/>
            </w:rPr>
            <w:fldChar w:fldCharType="end"/>
          </w:r>
        </w:p>
        <w:p>
          <w:pPr>
            <w:pStyle w:val="35"/>
            <w:tabs>
              <w:tab w:val="right" w:leader="dot" w:pos="8306"/>
            </w:tabs>
          </w:pPr>
          <w:r>
            <w:fldChar w:fldCharType="begin"/>
          </w:r>
          <w:r>
            <w:instrText xml:space="preserve"> HYPERLINK \l _Toc723 </w:instrText>
          </w:r>
          <w:r>
            <w:fldChar w:fldCharType="separate"/>
          </w:r>
          <w:r>
            <w:rPr>
              <w:rFonts w:hint="eastAsia" w:ascii="黑体" w:eastAsia="黑体"/>
              <w:highlight w:val="none"/>
            </w:rPr>
            <w:t>一、</w:t>
          </w:r>
          <w:r>
            <w:rPr>
              <w:rFonts w:hint="eastAsia" w:ascii="黑体" w:eastAsia="黑体"/>
              <w:highlight w:val="none"/>
              <w:lang w:eastAsia="zh-CN"/>
            </w:rPr>
            <w:t>部门职责</w:t>
          </w:r>
          <w:r>
            <w:tab/>
          </w:r>
          <w:r>
            <w:fldChar w:fldCharType="begin"/>
          </w:r>
          <w:r>
            <w:instrText xml:space="preserve"> PAGEREF _Toc723 \h </w:instrText>
          </w:r>
          <w:r>
            <w:fldChar w:fldCharType="separate"/>
          </w:r>
          <w:r>
            <w:t>1</w:t>
          </w:r>
          <w:r>
            <w:fldChar w:fldCharType="end"/>
          </w:r>
          <w:r>
            <w:fldChar w:fldCharType="end"/>
          </w:r>
        </w:p>
        <w:p>
          <w:pPr>
            <w:pStyle w:val="35"/>
            <w:tabs>
              <w:tab w:val="right" w:leader="dot" w:pos="8306"/>
            </w:tabs>
          </w:pPr>
          <w:r>
            <w:fldChar w:fldCharType="begin"/>
          </w:r>
          <w:r>
            <w:instrText xml:space="preserve"> HYPERLINK \l _Toc19279 </w:instrText>
          </w:r>
          <w:r>
            <w:fldChar w:fldCharType="separate"/>
          </w:r>
          <w:r>
            <w:rPr>
              <w:rFonts w:hint="eastAsia" w:ascii="黑体" w:eastAsia="黑体"/>
              <w:highlight w:val="none"/>
            </w:rPr>
            <w:t>二、</w:t>
          </w:r>
          <w:r>
            <w:rPr>
              <w:rFonts w:hint="eastAsia" w:ascii="黑体" w:hAnsi="黑体" w:eastAsia="黑体"/>
              <w:highlight w:val="none"/>
            </w:rPr>
            <w:t>机</w:t>
          </w:r>
          <w:r>
            <w:rPr>
              <w:rFonts w:hint="eastAsia" w:ascii="黑体" w:hAnsi="黑体" w:eastAsia="黑体"/>
              <w:bCs w:val="0"/>
              <w:highlight w:val="none"/>
            </w:rPr>
            <w:t>构设置</w:t>
          </w:r>
          <w:r>
            <w:tab/>
          </w:r>
          <w:r>
            <w:fldChar w:fldCharType="begin"/>
          </w:r>
          <w:r>
            <w:instrText xml:space="preserve"> PAGEREF _Toc19279 \h </w:instrText>
          </w:r>
          <w:r>
            <w:fldChar w:fldCharType="separate"/>
          </w:r>
          <w:r>
            <w:t>3</w:t>
          </w:r>
          <w:r>
            <w:fldChar w:fldCharType="end"/>
          </w:r>
          <w:r>
            <w:fldChar w:fldCharType="end"/>
          </w:r>
        </w:p>
        <w:p>
          <w:pPr>
            <w:pStyle w:val="34"/>
            <w:tabs>
              <w:tab w:val="right" w:leader="dot" w:pos="8306"/>
            </w:tabs>
            <w:rPr>
              <w:b/>
            </w:rPr>
          </w:pPr>
          <w:r>
            <w:rPr>
              <w:b/>
            </w:rPr>
            <w:fldChar w:fldCharType="begin"/>
          </w:r>
          <w:r>
            <w:rPr>
              <w:b/>
            </w:rPr>
            <w:instrText xml:space="preserve"> HYPERLINK \l _Toc10210 </w:instrText>
          </w:r>
          <w:r>
            <w:rPr>
              <w:b/>
            </w:rPr>
            <w:fldChar w:fldCharType="separate"/>
          </w:r>
          <w:r>
            <w:rPr>
              <w:rFonts w:hint="eastAsia" w:ascii="黑体" w:hAnsi="黑体" w:eastAsia="黑体"/>
              <w:b/>
              <w:bCs/>
              <w:highlight w:val="none"/>
            </w:rPr>
            <w:t xml:space="preserve">第二部分 </w:t>
          </w:r>
          <w:r>
            <w:rPr>
              <w:rFonts w:hint="eastAsia" w:ascii="黑体" w:hAnsi="黑体" w:eastAsia="黑体"/>
              <w:b/>
              <w:bCs/>
              <w:highlight w:val="none"/>
              <w:lang w:val="en-US" w:eastAsia="zh-CN"/>
            </w:rPr>
            <w:t>2022年度</w:t>
          </w:r>
          <w:r>
            <w:rPr>
              <w:rFonts w:hint="eastAsia" w:ascii="黑体" w:hAnsi="黑体" w:eastAsia="黑体"/>
              <w:b/>
              <w:bCs/>
              <w:highlight w:val="none"/>
            </w:rPr>
            <w:t>部门决算情况说明</w:t>
          </w:r>
          <w:r>
            <w:rPr>
              <w:b/>
            </w:rPr>
            <w:tab/>
          </w:r>
          <w:r>
            <w:rPr>
              <w:b/>
            </w:rPr>
            <w:fldChar w:fldCharType="begin"/>
          </w:r>
          <w:r>
            <w:rPr>
              <w:b/>
            </w:rPr>
            <w:instrText xml:space="preserve"> PAGEREF _Toc10210 \h </w:instrText>
          </w:r>
          <w:r>
            <w:rPr>
              <w:b/>
            </w:rPr>
            <w:fldChar w:fldCharType="separate"/>
          </w:r>
          <w:r>
            <w:rPr>
              <w:b/>
            </w:rPr>
            <w:t>4</w:t>
          </w:r>
          <w:r>
            <w:rPr>
              <w:b/>
            </w:rPr>
            <w:fldChar w:fldCharType="end"/>
          </w:r>
          <w:r>
            <w:rPr>
              <w:b/>
            </w:rPr>
            <w:fldChar w:fldCharType="end"/>
          </w:r>
        </w:p>
        <w:p>
          <w:pPr>
            <w:pStyle w:val="35"/>
            <w:tabs>
              <w:tab w:val="right" w:leader="dot" w:pos="8306"/>
            </w:tabs>
          </w:pPr>
          <w:r>
            <w:fldChar w:fldCharType="begin"/>
          </w:r>
          <w:r>
            <w:instrText xml:space="preserve"> HYPERLINK \l _Toc16832 </w:instrText>
          </w:r>
          <w:r>
            <w:fldChar w:fldCharType="separate"/>
          </w:r>
          <w:r>
            <w:rPr>
              <w:rFonts w:hint="default" w:ascii="黑体" w:hAnsi="黑体" w:eastAsia="黑体"/>
            </w:rPr>
            <w:t xml:space="preserve">一、 </w:t>
          </w:r>
          <w:r>
            <w:rPr>
              <w:rFonts w:hint="eastAsia" w:ascii="黑体" w:hAnsi="黑体" w:eastAsia="黑体"/>
              <w:szCs w:val="32"/>
              <w:highlight w:val="none"/>
            </w:rPr>
            <w:t>收</w:t>
          </w:r>
          <w:r>
            <w:rPr>
              <w:rFonts w:hint="eastAsia" w:ascii="黑体" w:hAnsi="黑体" w:eastAsia="黑体"/>
              <w:highlight w:val="none"/>
            </w:rPr>
            <w:t>入支出决算总体情况说明</w:t>
          </w:r>
          <w:r>
            <w:tab/>
          </w:r>
          <w:r>
            <w:fldChar w:fldCharType="begin"/>
          </w:r>
          <w:r>
            <w:instrText xml:space="preserve"> PAGEREF _Toc16832 \h </w:instrText>
          </w:r>
          <w:r>
            <w:fldChar w:fldCharType="separate"/>
          </w:r>
          <w:r>
            <w:t>4</w:t>
          </w:r>
          <w:r>
            <w:fldChar w:fldCharType="end"/>
          </w:r>
          <w:r>
            <w:fldChar w:fldCharType="end"/>
          </w:r>
        </w:p>
        <w:p>
          <w:pPr>
            <w:pStyle w:val="35"/>
            <w:tabs>
              <w:tab w:val="right" w:leader="dot" w:pos="8306"/>
            </w:tabs>
          </w:pPr>
          <w:r>
            <w:fldChar w:fldCharType="begin"/>
          </w:r>
          <w:r>
            <w:instrText xml:space="preserve"> HYPERLINK \l _Toc12372 </w:instrText>
          </w:r>
          <w:r>
            <w:fldChar w:fldCharType="separate"/>
          </w:r>
          <w:r>
            <w:rPr>
              <w:rFonts w:hint="default" w:ascii="黑体" w:hAnsi="黑体" w:eastAsia="黑体"/>
            </w:rPr>
            <w:t xml:space="preserve">二、 </w:t>
          </w:r>
          <w:r>
            <w:rPr>
              <w:rFonts w:hint="eastAsia" w:ascii="黑体" w:hAnsi="黑体" w:eastAsia="黑体"/>
              <w:szCs w:val="32"/>
              <w:highlight w:val="none"/>
            </w:rPr>
            <w:t>收</w:t>
          </w:r>
          <w:r>
            <w:rPr>
              <w:rFonts w:hint="eastAsia" w:ascii="黑体" w:hAnsi="黑体" w:eastAsia="黑体"/>
              <w:highlight w:val="none"/>
            </w:rPr>
            <w:t>入决算情况说明</w:t>
          </w:r>
          <w:r>
            <w:tab/>
          </w:r>
          <w:r>
            <w:fldChar w:fldCharType="begin"/>
          </w:r>
          <w:r>
            <w:instrText xml:space="preserve"> PAGEREF _Toc12372 \h </w:instrText>
          </w:r>
          <w:r>
            <w:fldChar w:fldCharType="separate"/>
          </w:r>
          <w:r>
            <w:t>4</w:t>
          </w:r>
          <w:r>
            <w:fldChar w:fldCharType="end"/>
          </w:r>
          <w:r>
            <w:fldChar w:fldCharType="end"/>
          </w:r>
        </w:p>
        <w:p>
          <w:pPr>
            <w:pStyle w:val="35"/>
            <w:tabs>
              <w:tab w:val="right" w:leader="dot" w:pos="8306"/>
            </w:tabs>
          </w:pPr>
          <w:r>
            <w:fldChar w:fldCharType="begin"/>
          </w:r>
          <w:r>
            <w:instrText xml:space="preserve"> HYPERLINK \l _Toc5370 </w:instrText>
          </w:r>
          <w:r>
            <w:fldChar w:fldCharType="separate"/>
          </w:r>
          <w:r>
            <w:rPr>
              <w:rFonts w:hint="default" w:ascii="黑体" w:hAnsi="黑体" w:eastAsia="黑体"/>
            </w:rPr>
            <w:t xml:space="preserve">三、 </w:t>
          </w:r>
          <w:r>
            <w:rPr>
              <w:rFonts w:hint="eastAsia" w:ascii="黑体" w:hAnsi="黑体" w:eastAsia="黑体"/>
              <w:szCs w:val="32"/>
              <w:highlight w:val="none"/>
            </w:rPr>
            <w:t>支</w:t>
          </w:r>
          <w:r>
            <w:rPr>
              <w:rFonts w:hint="eastAsia" w:ascii="黑体" w:hAnsi="黑体" w:eastAsia="黑体"/>
              <w:highlight w:val="none"/>
            </w:rPr>
            <w:t>出决算情况说明</w:t>
          </w:r>
          <w:r>
            <w:tab/>
          </w:r>
          <w:r>
            <w:fldChar w:fldCharType="begin"/>
          </w:r>
          <w:r>
            <w:instrText xml:space="preserve"> PAGEREF _Toc5370 \h </w:instrText>
          </w:r>
          <w:r>
            <w:fldChar w:fldCharType="separate"/>
          </w:r>
          <w:r>
            <w:t>5</w:t>
          </w:r>
          <w:r>
            <w:fldChar w:fldCharType="end"/>
          </w:r>
          <w:r>
            <w:fldChar w:fldCharType="end"/>
          </w:r>
        </w:p>
        <w:p>
          <w:pPr>
            <w:pStyle w:val="35"/>
            <w:tabs>
              <w:tab w:val="right" w:leader="dot" w:pos="8306"/>
            </w:tabs>
          </w:pPr>
          <w:r>
            <w:fldChar w:fldCharType="begin"/>
          </w:r>
          <w:r>
            <w:instrText xml:space="preserve"> HYPERLINK \l _Toc14148 </w:instrText>
          </w:r>
          <w:r>
            <w:fldChar w:fldCharType="separate"/>
          </w:r>
          <w:r>
            <w:rPr>
              <w:rFonts w:hint="eastAsia" w:ascii="黑体" w:hAnsi="黑体" w:eastAsia="黑体"/>
              <w:szCs w:val="32"/>
              <w:highlight w:val="none"/>
            </w:rPr>
            <w:t>四、财</w:t>
          </w:r>
          <w:r>
            <w:rPr>
              <w:rFonts w:hint="eastAsia" w:ascii="黑体" w:hAnsi="黑体" w:eastAsia="黑体"/>
              <w:highlight w:val="none"/>
            </w:rPr>
            <w:t>政拨款收入支出决算总体情况说明</w:t>
          </w:r>
          <w:r>
            <w:tab/>
          </w:r>
          <w:r>
            <w:fldChar w:fldCharType="begin"/>
          </w:r>
          <w:r>
            <w:instrText xml:space="preserve"> PAGEREF _Toc14148 \h </w:instrText>
          </w:r>
          <w:r>
            <w:fldChar w:fldCharType="separate"/>
          </w:r>
          <w:r>
            <w:t>5</w:t>
          </w:r>
          <w:r>
            <w:fldChar w:fldCharType="end"/>
          </w:r>
          <w:r>
            <w:fldChar w:fldCharType="end"/>
          </w:r>
        </w:p>
        <w:p>
          <w:pPr>
            <w:pStyle w:val="35"/>
            <w:tabs>
              <w:tab w:val="right" w:leader="dot" w:pos="8306"/>
            </w:tabs>
          </w:pPr>
          <w:r>
            <w:fldChar w:fldCharType="begin"/>
          </w:r>
          <w:r>
            <w:instrText xml:space="preserve"> HYPERLINK \l _Toc26541 </w:instrText>
          </w:r>
          <w:r>
            <w:fldChar w:fldCharType="separate"/>
          </w:r>
          <w:r>
            <w:rPr>
              <w:rFonts w:hint="eastAsia" w:ascii="黑体" w:hAnsi="黑体" w:eastAsia="黑体"/>
              <w:szCs w:val="32"/>
              <w:highlight w:val="none"/>
            </w:rPr>
            <w:t>五、一</w:t>
          </w:r>
          <w:r>
            <w:rPr>
              <w:rFonts w:hint="eastAsia" w:ascii="黑体" w:hAnsi="黑体" w:eastAsia="黑体"/>
              <w:highlight w:val="none"/>
            </w:rPr>
            <w:t>般公共预算财政拨款支出决算情况说明</w:t>
          </w:r>
          <w:r>
            <w:tab/>
          </w:r>
          <w:r>
            <w:fldChar w:fldCharType="begin"/>
          </w:r>
          <w:r>
            <w:instrText xml:space="preserve"> PAGEREF _Toc26541 \h </w:instrText>
          </w:r>
          <w:r>
            <w:fldChar w:fldCharType="separate"/>
          </w:r>
          <w:r>
            <w:t>6</w:t>
          </w:r>
          <w:r>
            <w:fldChar w:fldCharType="end"/>
          </w:r>
          <w:r>
            <w:fldChar w:fldCharType="end"/>
          </w:r>
        </w:p>
        <w:p>
          <w:pPr>
            <w:pStyle w:val="35"/>
            <w:tabs>
              <w:tab w:val="right" w:leader="dot" w:pos="8306"/>
            </w:tabs>
          </w:pPr>
          <w:r>
            <w:fldChar w:fldCharType="begin"/>
          </w:r>
          <w:r>
            <w:instrText xml:space="preserve"> HYPERLINK \l _Toc6928 </w:instrText>
          </w:r>
          <w:r>
            <w:fldChar w:fldCharType="separate"/>
          </w:r>
          <w:r>
            <w:rPr>
              <w:rFonts w:hint="eastAsia" w:ascii="黑体" w:eastAsia="黑体"/>
              <w:szCs w:val="32"/>
              <w:highlight w:val="none"/>
            </w:rPr>
            <w:t>六、</w:t>
          </w:r>
          <w:r>
            <w:rPr>
              <w:rFonts w:hint="eastAsia" w:ascii="黑体" w:hAnsi="黑体" w:eastAsia="黑体"/>
              <w:szCs w:val="32"/>
              <w:highlight w:val="none"/>
            </w:rPr>
            <w:t>一</w:t>
          </w:r>
          <w:r>
            <w:rPr>
              <w:rFonts w:hint="eastAsia" w:ascii="黑体" w:hAnsi="黑体" w:eastAsia="黑体"/>
              <w:highlight w:val="none"/>
            </w:rPr>
            <w:t>般公共预算财政拨款基本支出决算情况说明</w:t>
          </w:r>
          <w:r>
            <w:tab/>
          </w:r>
          <w:r>
            <w:fldChar w:fldCharType="begin"/>
          </w:r>
          <w:r>
            <w:instrText xml:space="preserve"> PAGEREF _Toc6928 \h </w:instrText>
          </w:r>
          <w:r>
            <w:fldChar w:fldCharType="separate"/>
          </w:r>
          <w:r>
            <w:t>8</w:t>
          </w:r>
          <w:r>
            <w:fldChar w:fldCharType="end"/>
          </w:r>
          <w:r>
            <w:fldChar w:fldCharType="end"/>
          </w:r>
        </w:p>
        <w:p>
          <w:pPr>
            <w:pStyle w:val="35"/>
            <w:tabs>
              <w:tab w:val="right" w:leader="dot" w:pos="8306"/>
            </w:tabs>
          </w:pPr>
          <w:r>
            <w:fldChar w:fldCharType="begin"/>
          </w:r>
          <w:r>
            <w:instrText xml:space="preserve"> HYPERLINK \l _Toc11290 </w:instrText>
          </w:r>
          <w:r>
            <w:fldChar w:fldCharType="separate"/>
          </w:r>
          <w:r>
            <w:rPr>
              <w:rFonts w:hint="eastAsia" w:ascii="黑体" w:eastAsia="黑体"/>
              <w:szCs w:val="32"/>
              <w:highlight w:val="none"/>
            </w:rPr>
            <w:t>七、</w:t>
          </w:r>
          <w:r>
            <w:rPr>
              <w:rFonts w:hint="eastAsia" w:ascii="黑体" w:hAnsi="黑体" w:eastAsia="黑体"/>
              <w:highlight w:val="none"/>
            </w:rPr>
            <w:t>财政拨款“三公”经费支出决算情况说明</w:t>
          </w:r>
          <w:r>
            <w:tab/>
          </w:r>
          <w:r>
            <w:fldChar w:fldCharType="begin"/>
          </w:r>
          <w:r>
            <w:instrText xml:space="preserve"> PAGEREF _Toc11290 \h </w:instrText>
          </w:r>
          <w:r>
            <w:fldChar w:fldCharType="separate"/>
          </w:r>
          <w:r>
            <w:t>8</w:t>
          </w:r>
          <w:r>
            <w:fldChar w:fldCharType="end"/>
          </w:r>
          <w:r>
            <w:fldChar w:fldCharType="end"/>
          </w:r>
        </w:p>
        <w:p>
          <w:pPr>
            <w:pStyle w:val="35"/>
            <w:tabs>
              <w:tab w:val="right" w:leader="dot" w:pos="8306"/>
            </w:tabs>
          </w:pPr>
          <w:r>
            <w:fldChar w:fldCharType="begin"/>
          </w:r>
          <w:r>
            <w:instrText xml:space="preserve"> HYPERLINK \l _Toc26442 </w:instrText>
          </w:r>
          <w:r>
            <w:fldChar w:fldCharType="separate"/>
          </w:r>
          <w:r>
            <w:rPr>
              <w:rFonts w:hint="eastAsia" w:ascii="黑体" w:eastAsia="黑体"/>
              <w:szCs w:val="32"/>
              <w:highlight w:val="none"/>
            </w:rPr>
            <w:t>八、</w:t>
          </w:r>
          <w:r>
            <w:rPr>
              <w:rFonts w:hint="eastAsia" w:ascii="黑体" w:hAnsi="黑体" w:eastAsia="黑体"/>
              <w:highlight w:val="none"/>
            </w:rPr>
            <w:t>政府性基金预算支出决算情况说明</w:t>
          </w:r>
          <w:r>
            <w:tab/>
          </w:r>
          <w:r>
            <w:fldChar w:fldCharType="begin"/>
          </w:r>
          <w:r>
            <w:instrText xml:space="preserve"> PAGEREF _Toc26442 \h </w:instrText>
          </w:r>
          <w:r>
            <w:fldChar w:fldCharType="separate"/>
          </w:r>
          <w:r>
            <w:t>10</w:t>
          </w:r>
          <w:r>
            <w:fldChar w:fldCharType="end"/>
          </w:r>
          <w:r>
            <w:fldChar w:fldCharType="end"/>
          </w:r>
        </w:p>
        <w:p>
          <w:pPr>
            <w:pStyle w:val="35"/>
            <w:tabs>
              <w:tab w:val="right" w:leader="dot" w:pos="8306"/>
            </w:tabs>
          </w:pPr>
          <w:r>
            <w:fldChar w:fldCharType="begin"/>
          </w:r>
          <w:r>
            <w:instrText xml:space="preserve"> HYPERLINK \l _Toc839 </w:instrText>
          </w:r>
          <w:r>
            <w:fldChar w:fldCharType="separate"/>
          </w:r>
          <w:r>
            <w:rPr>
              <w:rFonts w:hint="eastAsia" w:ascii="黑体" w:hAnsi="黑体" w:eastAsia="黑体"/>
            </w:rPr>
            <w:t xml:space="preserve">九、 </w:t>
          </w:r>
          <w:r>
            <w:rPr>
              <w:rFonts w:hint="eastAsia" w:ascii="黑体" w:hAnsi="黑体" w:eastAsia="黑体"/>
              <w:highlight w:val="none"/>
            </w:rPr>
            <w:t>国有资本经营预算支出决算情况说明</w:t>
          </w:r>
          <w:r>
            <w:tab/>
          </w:r>
          <w:r>
            <w:fldChar w:fldCharType="begin"/>
          </w:r>
          <w:r>
            <w:instrText xml:space="preserve"> PAGEREF _Toc839 \h </w:instrText>
          </w:r>
          <w:r>
            <w:fldChar w:fldCharType="separate"/>
          </w:r>
          <w:r>
            <w:t>10</w:t>
          </w:r>
          <w:r>
            <w:fldChar w:fldCharType="end"/>
          </w:r>
          <w:r>
            <w:fldChar w:fldCharType="end"/>
          </w:r>
        </w:p>
        <w:p>
          <w:pPr>
            <w:pStyle w:val="35"/>
            <w:tabs>
              <w:tab w:val="right" w:leader="dot" w:pos="8306"/>
            </w:tabs>
          </w:pPr>
          <w:r>
            <w:fldChar w:fldCharType="begin"/>
          </w:r>
          <w:r>
            <w:instrText xml:space="preserve"> HYPERLINK \l _Toc15702 </w:instrText>
          </w:r>
          <w:r>
            <w:fldChar w:fldCharType="separate"/>
          </w:r>
          <w:r>
            <w:rPr>
              <w:rFonts w:hint="eastAsia" w:ascii="黑体" w:hAnsi="黑体" w:eastAsia="黑体"/>
            </w:rPr>
            <w:t xml:space="preserve">十、 </w:t>
          </w:r>
          <w:r>
            <w:rPr>
              <w:rFonts w:hint="eastAsia" w:ascii="黑体" w:hAnsi="黑体" w:eastAsia="黑体"/>
              <w:highlight w:val="none"/>
            </w:rPr>
            <w:t>其他重要事项的情况说明</w:t>
          </w:r>
          <w:r>
            <w:tab/>
          </w:r>
          <w:r>
            <w:fldChar w:fldCharType="begin"/>
          </w:r>
          <w:r>
            <w:instrText xml:space="preserve"> PAGEREF _Toc15702 \h </w:instrText>
          </w:r>
          <w:r>
            <w:fldChar w:fldCharType="separate"/>
          </w:r>
          <w:r>
            <w:t>10</w:t>
          </w:r>
          <w:r>
            <w:fldChar w:fldCharType="end"/>
          </w:r>
          <w:r>
            <w:fldChar w:fldCharType="end"/>
          </w:r>
        </w:p>
        <w:p>
          <w:pPr>
            <w:pStyle w:val="35"/>
            <w:tabs>
              <w:tab w:val="right" w:leader="dot" w:pos="8306"/>
            </w:tabs>
            <w:rPr>
              <w:rFonts w:hint="eastAsia" w:ascii="黑体" w:hAnsi="黑体" w:eastAsia="黑体"/>
              <w:highlight w:val="none"/>
              <w:lang w:eastAsia="zh-CN"/>
            </w:rPr>
          </w:pPr>
          <w:r>
            <w:rPr>
              <w:rFonts w:hint="eastAsia" w:ascii="黑体" w:hAnsi="黑体" w:eastAsia="黑体"/>
              <w:highlight w:val="none"/>
              <w:lang w:eastAsia="zh-CN"/>
            </w:rPr>
            <w:t>（一）机关运行经费支出情况</w:t>
          </w:r>
          <w:r>
            <w:tab/>
          </w:r>
          <w:r>
            <w:rPr>
              <w:rFonts w:hint="eastAsia" w:ascii="黑体" w:hAnsi="黑体" w:eastAsia="黑体"/>
              <w:highlight w:val="none"/>
            </w:rPr>
            <w:fldChar w:fldCharType="begin"/>
          </w:r>
          <w:r>
            <w:rPr>
              <w:rFonts w:hint="eastAsia" w:ascii="黑体" w:hAnsi="黑体" w:eastAsia="黑体"/>
              <w:highlight w:val="none"/>
            </w:rPr>
            <w:instrText xml:space="preserve"> PAGEREF _Toc15702 \h </w:instrText>
          </w:r>
          <w:r>
            <w:rPr>
              <w:rFonts w:hint="eastAsia" w:ascii="黑体" w:hAnsi="黑体" w:eastAsia="黑体"/>
              <w:highlight w:val="none"/>
            </w:rPr>
            <w:fldChar w:fldCharType="separate"/>
          </w:r>
          <w:r>
            <w:rPr>
              <w:rFonts w:hint="eastAsia" w:ascii="黑体" w:hAnsi="黑体" w:eastAsia="黑体"/>
              <w:highlight w:val="none"/>
            </w:rPr>
            <w:t>10</w:t>
          </w:r>
          <w:r>
            <w:rPr>
              <w:rFonts w:hint="eastAsia" w:ascii="黑体" w:hAnsi="黑体" w:eastAsia="黑体"/>
              <w:highlight w:val="none"/>
            </w:rPr>
            <w:fldChar w:fldCharType="end"/>
          </w:r>
        </w:p>
        <w:p>
          <w:pPr>
            <w:pStyle w:val="35"/>
            <w:tabs>
              <w:tab w:val="right" w:leader="dot" w:pos="8306"/>
            </w:tabs>
            <w:rPr>
              <w:rFonts w:hint="eastAsia" w:ascii="黑体" w:hAnsi="黑体" w:eastAsia="黑体"/>
              <w:highlight w:val="none"/>
              <w:lang w:eastAsia="zh-CN"/>
            </w:rPr>
          </w:pPr>
          <w:r>
            <w:rPr>
              <w:rFonts w:hint="eastAsia" w:ascii="黑体" w:hAnsi="黑体" w:eastAsia="黑体"/>
              <w:highlight w:val="none"/>
              <w:lang w:eastAsia="zh-CN"/>
            </w:rPr>
            <w:t>（二）政府采购支出情况</w:t>
          </w:r>
          <w:r>
            <w:tab/>
          </w:r>
          <w:r>
            <w:rPr>
              <w:rFonts w:hint="eastAsia" w:ascii="黑体" w:hAnsi="黑体" w:eastAsia="黑体"/>
              <w:highlight w:val="none"/>
            </w:rPr>
            <w:fldChar w:fldCharType="begin"/>
          </w:r>
          <w:r>
            <w:rPr>
              <w:rFonts w:hint="eastAsia" w:ascii="黑体" w:hAnsi="黑体" w:eastAsia="黑体"/>
              <w:highlight w:val="none"/>
            </w:rPr>
            <w:instrText xml:space="preserve"> PAGEREF _Toc15702 \h </w:instrText>
          </w:r>
          <w:r>
            <w:rPr>
              <w:rFonts w:hint="eastAsia" w:ascii="黑体" w:hAnsi="黑体" w:eastAsia="黑体"/>
              <w:highlight w:val="none"/>
            </w:rPr>
            <w:fldChar w:fldCharType="separate"/>
          </w:r>
          <w:r>
            <w:rPr>
              <w:rFonts w:hint="eastAsia" w:ascii="黑体" w:hAnsi="黑体" w:eastAsia="黑体"/>
              <w:highlight w:val="none"/>
            </w:rPr>
            <w:t>10</w:t>
          </w:r>
          <w:r>
            <w:rPr>
              <w:rFonts w:hint="eastAsia" w:ascii="黑体" w:hAnsi="黑体" w:eastAsia="黑体"/>
              <w:highlight w:val="none"/>
            </w:rPr>
            <w:fldChar w:fldCharType="end"/>
          </w:r>
        </w:p>
        <w:p>
          <w:pPr>
            <w:pStyle w:val="35"/>
            <w:tabs>
              <w:tab w:val="right" w:leader="dot" w:pos="8306"/>
            </w:tabs>
            <w:rPr>
              <w:rFonts w:hint="eastAsia" w:ascii="黑体" w:hAnsi="黑体" w:eastAsia="黑体"/>
              <w:highlight w:val="none"/>
              <w:lang w:eastAsia="zh-CN"/>
            </w:rPr>
          </w:pPr>
          <w:r>
            <w:rPr>
              <w:rFonts w:hint="eastAsia" w:ascii="黑体" w:hAnsi="黑体" w:eastAsia="黑体"/>
              <w:highlight w:val="none"/>
              <w:lang w:eastAsia="zh-CN"/>
            </w:rPr>
            <w:t>（三）国有资产占有使用情况</w:t>
          </w:r>
          <w:r>
            <w:tab/>
          </w:r>
          <w:r>
            <w:rPr>
              <w:rFonts w:hint="eastAsia" w:ascii="黑体" w:hAnsi="黑体" w:eastAsia="黑体"/>
              <w:highlight w:val="none"/>
            </w:rPr>
            <w:fldChar w:fldCharType="begin"/>
          </w:r>
          <w:r>
            <w:rPr>
              <w:rFonts w:hint="eastAsia" w:ascii="黑体" w:hAnsi="黑体" w:eastAsia="黑体"/>
              <w:highlight w:val="none"/>
            </w:rPr>
            <w:instrText xml:space="preserve"> PAGEREF _Toc15702 \h </w:instrText>
          </w:r>
          <w:r>
            <w:rPr>
              <w:rFonts w:hint="eastAsia" w:ascii="黑体" w:hAnsi="黑体" w:eastAsia="黑体"/>
              <w:highlight w:val="none"/>
            </w:rPr>
            <w:fldChar w:fldCharType="separate"/>
          </w:r>
          <w:r>
            <w:rPr>
              <w:rFonts w:hint="eastAsia" w:ascii="黑体" w:hAnsi="黑体" w:eastAsia="黑体"/>
              <w:highlight w:val="none"/>
            </w:rPr>
            <w:t>10</w:t>
          </w:r>
          <w:r>
            <w:rPr>
              <w:rFonts w:hint="eastAsia" w:ascii="黑体" w:hAnsi="黑体" w:eastAsia="黑体"/>
              <w:highlight w:val="none"/>
            </w:rPr>
            <w:fldChar w:fldCharType="end"/>
          </w:r>
        </w:p>
        <w:p>
          <w:pPr>
            <w:pStyle w:val="35"/>
            <w:tabs>
              <w:tab w:val="right" w:leader="dot" w:pos="8306"/>
            </w:tabs>
            <w:rPr>
              <w:rFonts w:hint="default" w:eastAsiaTheme="minorEastAsia"/>
              <w:lang w:val="en-US" w:eastAsia="zh-CN"/>
            </w:rPr>
          </w:pPr>
          <w:r>
            <w:rPr>
              <w:rFonts w:hint="eastAsia" w:ascii="黑体" w:hAnsi="黑体" w:eastAsia="黑体"/>
              <w:highlight w:val="none"/>
              <w:lang w:eastAsia="zh-CN"/>
            </w:rPr>
            <w:t>（四）预算绩效管理情况</w:t>
          </w:r>
          <w:r>
            <w:tab/>
          </w:r>
          <w:r>
            <w:rPr>
              <w:rFonts w:hint="eastAsia"/>
              <w:lang w:val="en-US" w:eastAsia="zh-CN"/>
            </w:rPr>
            <w:t>11</w:t>
          </w:r>
        </w:p>
        <w:p>
          <w:pPr>
            <w:pStyle w:val="34"/>
            <w:tabs>
              <w:tab w:val="right" w:leader="dot" w:pos="8306"/>
            </w:tabs>
            <w:rPr>
              <w:b/>
            </w:rPr>
          </w:pPr>
          <w:r>
            <w:rPr>
              <w:b/>
            </w:rPr>
            <w:fldChar w:fldCharType="begin"/>
          </w:r>
          <w:r>
            <w:rPr>
              <w:b/>
            </w:rPr>
            <w:instrText xml:space="preserve"> HYPERLINK \l _Toc16645 </w:instrText>
          </w:r>
          <w:r>
            <w:rPr>
              <w:b/>
            </w:rPr>
            <w:fldChar w:fldCharType="separate"/>
          </w:r>
          <w:r>
            <w:rPr>
              <w:rFonts w:hint="eastAsia" w:ascii="黑体" w:hAnsi="黑体" w:eastAsia="黑体"/>
              <w:b/>
            </w:rPr>
            <w:t xml:space="preserve">第三部分 </w:t>
          </w:r>
          <w:r>
            <w:rPr>
              <w:rFonts w:hint="eastAsia" w:ascii="黑体" w:hAnsi="黑体" w:eastAsia="黑体"/>
              <w:b/>
              <w:szCs w:val="44"/>
              <w:highlight w:val="none"/>
            </w:rPr>
            <w:t>名</w:t>
          </w:r>
          <w:r>
            <w:rPr>
              <w:rFonts w:hint="eastAsia" w:ascii="黑体" w:hAnsi="黑体" w:eastAsia="黑体"/>
              <w:b/>
              <w:highlight w:val="none"/>
            </w:rPr>
            <w:t>词解释</w:t>
          </w:r>
          <w:r>
            <w:rPr>
              <w:b/>
            </w:rPr>
            <w:tab/>
          </w:r>
          <w:r>
            <w:rPr>
              <w:b/>
            </w:rPr>
            <w:fldChar w:fldCharType="begin"/>
          </w:r>
          <w:r>
            <w:rPr>
              <w:b/>
            </w:rPr>
            <w:instrText xml:space="preserve"> PAGEREF _Toc16645 \h </w:instrText>
          </w:r>
          <w:r>
            <w:rPr>
              <w:b/>
            </w:rPr>
            <w:fldChar w:fldCharType="separate"/>
          </w:r>
          <w:r>
            <w:rPr>
              <w:b/>
            </w:rPr>
            <w:t>12</w:t>
          </w:r>
          <w:r>
            <w:rPr>
              <w:b/>
            </w:rPr>
            <w:fldChar w:fldCharType="end"/>
          </w:r>
          <w:r>
            <w:rPr>
              <w:b/>
            </w:rPr>
            <w:fldChar w:fldCharType="end"/>
          </w:r>
        </w:p>
        <w:p>
          <w:pPr>
            <w:pStyle w:val="34"/>
            <w:tabs>
              <w:tab w:val="right" w:leader="dot" w:pos="8306"/>
            </w:tabs>
            <w:rPr>
              <w:b/>
            </w:rPr>
          </w:pPr>
          <w:r>
            <w:rPr>
              <w:b/>
            </w:rPr>
            <w:fldChar w:fldCharType="begin"/>
          </w:r>
          <w:r>
            <w:rPr>
              <w:b/>
            </w:rPr>
            <w:instrText xml:space="preserve"> HYPERLINK \l _Toc18745 </w:instrText>
          </w:r>
          <w:r>
            <w:rPr>
              <w:b/>
            </w:rPr>
            <w:fldChar w:fldCharType="separate"/>
          </w:r>
          <w:r>
            <w:rPr>
              <w:rFonts w:hint="eastAsia" w:ascii="黑体" w:hAnsi="黑体" w:eastAsia="黑体"/>
              <w:b/>
              <w:szCs w:val="44"/>
              <w:highlight w:val="none"/>
            </w:rPr>
            <w:t>第</w:t>
          </w:r>
          <w:r>
            <w:rPr>
              <w:rFonts w:hint="eastAsia" w:ascii="黑体" w:hAnsi="黑体" w:eastAsia="黑体"/>
              <w:b/>
              <w:highlight w:val="none"/>
            </w:rPr>
            <w:t>四部分 附件</w:t>
          </w:r>
          <w:r>
            <w:rPr>
              <w:b/>
            </w:rPr>
            <w:tab/>
          </w:r>
          <w:r>
            <w:rPr>
              <w:b/>
            </w:rPr>
            <w:fldChar w:fldCharType="begin"/>
          </w:r>
          <w:r>
            <w:rPr>
              <w:b/>
            </w:rPr>
            <w:instrText xml:space="preserve"> PAGEREF _Toc18745 \h </w:instrText>
          </w:r>
          <w:r>
            <w:rPr>
              <w:b/>
            </w:rPr>
            <w:fldChar w:fldCharType="separate"/>
          </w:r>
          <w:r>
            <w:rPr>
              <w:b/>
            </w:rPr>
            <w:t>15</w:t>
          </w:r>
          <w:r>
            <w:rPr>
              <w:b/>
            </w:rPr>
            <w:fldChar w:fldCharType="end"/>
          </w:r>
          <w:r>
            <w:rPr>
              <w:b/>
            </w:rPr>
            <w:fldChar w:fldCharType="end"/>
          </w:r>
        </w:p>
        <w:p>
          <w:pPr>
            <w:pStyle w:val="35"/>
            <w:tabs>
              <w:tab w:val="right" w:leader="dot" w:pos="8306"/>
            </w:tabs>
            <w:rPr>
              <w:rFonts w:hint="default" w:ascii="黑体" w:hAnsi="黑体" w:eastAsia="黑体"/>
              <w:highlight w:val="none"/>
              <w:lang w:val="en-US" w:eastAsia="zh-CN"/>
            </w:rPr>
          </w:pPr>
          <w:r>
            <w:rPr>
              <w:rFonts w:hint="eastAsia" w:ascii="黑体" w:hAnsi="黑体" w:eastAsia="黑体"/>
              <w:highlight w:val="none"/>
              <w:lang w:eastAsia="zh-CN"/>
            </w:rPr>
            <w:t>（一）20</w:t>
          </w:r>
          <w:r>
            <w:rPr>
              <w:rFonts w:hint="eastAsia" w:ascii="黑体" w:hAnsi="黑体" w:eastAsia="黑体"/>
              <w:highlight w:val="none"/>
              <w:lang w:val="en-US" w:eastAsia="zh-CN"/>
            </w:rPr>
            <w:t>23</w:t>
          </w:r>
          <w:r>
            <w:rPr>
              <w:rFonts w:hint="eastAsia" w:ascii="黑体" w:hAnsi="黑体" w:eastAsia="黑体"/>
              <w:highlight w:val="none"/>
              <w:lang w:eastAsia="zh-CN"/>
            </w:rPr>
            <w:t>年广元市昭化区医疗保障局部门整体绩效自评报告</w:t>
          </w:r>
          <w:r>
            <w:tab/>
          </w:r>
          <w:r>
            <w:rPr>
              <w:rFonts w:hint="eastAsia" w:ascii="黑体" w:hAnsi="黑体" w:eastAsia="黑体"/>
              <w:highlight w:val="none"/>
              <w:lang w:val="en-US" w:eastAsia="zh-CN"/>
            </w:rPr>
            <w:t>15</w:t>
          </w:r>
        </w:p>
        <w:p>
          <w:pPr>
            <w:pStyle w:val="35"/>
            <w:tabs>
              <w:tab w:val="right" w:leader="dot" w:pos="8306"/>
            </w:tabs>
            <w:rPr>
              <w:rFonts w:hint="default" w:ascii="黑体" w:hAnsi="黑体" w:eastAsia="黑体" w:cstheme="minorBidi"/>
              <w:kern w:val="0"/>
              <w:sz w:val="20"/>
              <w:szCs w:val="20"/>
              <w:highlight w:val="none"/>
              <w:lang w:val="en-US" w:eastAsia="zh-CN"/>
            </w:rPr>
          </w:pPr>
          <w:r>
            <w:rPr>
              <w:rFonts w:hint="eastAsia" w:ascii="黑体" w:hAnsi="黑体" w:eastAsia="黑体"/>
              <w:highlight w:val="none"/>
              <w:lang w:eastAsia="zh-CN"/>
            </w:rPr>
            <w:t>（二）</w:t>
          </w:r>
          <w:r>
            <w:rPr>
              <w:rFonts w:hint="eastAsia" w:ascii="黑体" w:hAnsi="黑体" w:eastAsia="黑体" w:cstheme="minorBidi"/>
              <w:kern w:val="0"/>
              <w:sz w:val="20"/>
              <w:szCs w:val="20"/>
              <w:highlight w:val="none"/>
              <w:lang w:val="en-US" w:eastAsia="zh-CN"/>
            </w:rPr>
            <w:t>2023年</w:t>
          </w:r>
          <w:r>
            <w:rPr>
              <w:rFonts w:hint="default" w:ascii="黑体" w:hAnsi="黑体" w:eastAsia="黑体" w:cstheme="minorBidi"/>
              <w:kern w:val="0"/>
              <w:sz w:val="20"/>
              <w:szCs w:val="20"/>
              <w:highlight w:val="none"/>
              <w:lang w:eastAsia="zh-CN"/>
            </w:rPr>
            <w:t>二老一残医疗费</w:t>
          </w:r>
          <w:r>
            <w:rPr>
              <w:rFonts w:hint="eastAsia" w:ascii="黑体" w:hAnsi="黑体" w:eastAsia="黑体" w:cstheme="minorBidi"/>
              <w:kern w:val="0"/>
              <w:sz w:val="20"/>
              <w:szCs w:val="20"/>
              <w:highlight w:val="none"/>
              <w:lang w:val="en-US" w:eastAsia="zh-CN"/>
            </w:rPr>
            <w:t>专项资金预算项目绩效自评报告</w:t>
          </w:r>
          <w:r>
            <w:tab/>
          </w:r>
          <w:r>
            <w:rPr>
              <w:rFonts w:hint="eastAsia" w:ascii="黑体" w:hAnsi="黑体" w:eastAsia="黑体" w:cstheme="minorBidi"/>
              <w:kern w:val="0"/>
              <w:sz w:val="20"/>
              <w:szCs w:val="20"/>
              <w:highlight w:val="none"/>
              <w:lang w:val="en-US" w:eastAsia="zh-CN"/>
            </w:rPr>
            <w:t>25</w:t>
          </w:r>
        </w:p>
        <w:p>
          <w:pPr>
            <w:pStyle w:val="35"/>
            <w:tabs>
              <w:tab w:val="right" w:leader="dot" w:pos="8306"/>
            </w:tabs>
            <w:rPr>
              <w:rFonts w:hint="default" w:ascii="黑体" w:hAnsi="黑体" w:eastAsia="黑体" w:cstheme="minorBidi"/>
              <w:kern w:val="0"/>
              <w:sz w:val="20"/>
              <w:szCs w:val="20"/>
              <w:highlight w:val="none"/>
              <w:lang w:val="en-US" w:eastAsia="zh-CN"/>
            </w:rPr>
          </w:pPr>
          <w:r>
            <w:rPr>
              <w:rFonts w:hint="eastAsia" w:ascii="黑体" w:hAnsi="黑体" w:eastAsia="黑体" w:cstheme="minorBidi"/>
              <w:kern w:val="0"/>
              <w:sz w:val="20"/>
              <w:szCs w:val="20"/>
              <w:highlight w:val="none"/>
              <w:lang w:val="en-US" w:eastAsia="zh-CN"/>
            </w:rPr>
            <w:t>（三）2023年医疗服务与保障能力提升专项资金预算项目绩效自评报告</w:t>
          </w:r>
          <w:r>
            <w:tab/>
          </w:r>
          <w:r>
            <w:rPr>
              <w:rFonts w:hint="eastAsia" w:ascii="黑体" w:hAnsi="黑体" w:eastAsia="黑体" w:cstheme="minorBidi"/>
              <w:kern w:val="0"/>
              <w:sz w:val="20"/>
              <w:szCs w:val="20"/>
              <w:highlight w:val="none"/>
              <w:lang w:val="en-US" w:eastAsia="zh-CN"/>
            </w:rPr>
            <w:t>30</w:t>
          </w:r>
        </w:p>
        <w:p>
          <w:pPr>
            <w:pStyle w:val="34"/>
            <w:tabs>
              <w:tab w:val="right" w:leader="dot" w:pos="8306"/>
            </w:tabs>
            <w:rPr>
              <w:b/>
            </w:rPr>
          </w:pPr>
          <w:r>
            <w:rPr>
              <w:b/>
            </w:rPr>
            <w:fldChar w:fldCharType="begin"/>
          </w:r>
          <w:r>
            <w:rPr>
              <w:b/>
            </w:rPr>
            <w:instrText xml:space="preserve"> HYPERLINK \l _Toc28093 </w:instrText>
          </w:r>
          <w:r>
            <w:rPr>
              <w:b/>
            </w:rPr>
            <w:fldChar w:fldCharType="separate"/>
          </w:r>
          <w:r>
            <w:rPr>
              <w:rFonts w:hint="eastAsia" w:ascii="黑体" w:hAnsi="黑体" w:eastAsia="黑体"/>
              <w:b/>
              <w:szCs w:val="44"/>
              <w:highlight w:val="none"/>
            </w:rPr>
            <w:t>第</w:t>
          </w:r>
          <w:r>
            <w:rPr>
              <w:rFonts w:hint="eastAsia" w:ascii="黑体" w:hAnsi="黑体" w:eastAsia="黑体"/>
              <w:b/>
              <w:highlight w:val="none"/>
            </w:rPr>
            <w:t>五部分 附表</w:t>
          </w:r>
          <w:r>
            <w:rPr>
              <w:b/>
            </w:rPr>
            <w:tab/>
          </w:r>
          <w:r>
            <w:rPr>
              <w:b/>
            </w:rPr>
            <w:fldChar w:fldCharType="begin"/>
          </w:r>
          <w:r>
            <w:rPr>
              <w:b/>
            </w:rPr>
            <w:instrText xml:space="preserve"> PAGEREF _Toc28093 \h </w:instrText>
          </w:r>
          <w:r>
            <w:rPr>
              <w:b/>
            </w:rPr>
            <w:fldChar w:fldCharType="separate"/>
          </w:r>
          <w:r>
            <w:rPr>
              <w:b/>
            </w:rPr>
            <w:t>3</w:t>
          </w:r>
          <w:r>
            <w:rPr>
              <w:rFonts w:hint="eastAsia"/>
              <w:b/>
              <w:lang w:val="en-US" w:eastAsia="zh-CN"/>
            </w:rPr>
            <w:t>5</w:t>
          </w:r>
          <w:r>
            <w:rPr>
              <w:b/>
            </w:rPr>
            <w:fldChar w:fldCharType="end"/>
          </w:r>
          <w:r>
            <w:rPr>
              <w:b/>
            </w:rPr>
            <w:fldChar w:fldCharType="end"/>
          </w:r>
        </w:p>
        <w:p>
          <w:pPr>
            <w:pStyle w:val="35"/>
            <w:tabs>
              <w:tab w:val="right" w:leader="dot" w:pos="8306"/>
            </w:tabs>
            <w:rPr>
              <w:rFonts w:hint="eastAsia" w:ascii="黑体" w:hAnsi="黑体" w:eastAsia="黑体"/>
              <w:highlight w:val="none"/>
              <w:lang w:eastAsia="zh-CN"/>
            </w:rPr>
          </w:pPr>
          <w:r>
            <w:rPr>
              <w:rFonts w:hint="eastAsia" w:ascii="黑体" w:hAnsi="黑体" w:eastAsia="黑体"/>
              <w:highlight w:val="none"/>
              <w:lang w:eastAsia="zh-CN"/>
            </w:rPr>
            <w:fldChar w:fldCharType="begin"/>
          </w:r>
          <w:r>
            <w:rPr>
              <w:rFonts w:hint="eastAsia" w:ascii="黑体" w:hAnsi="黑体" w:eastAsia="黑体"/>
              <w:highlight w:val="none"/>
              <w:lang w:eastAsia="zh-CN"/>
            </w:rPr>
            <w:instrText xml:space="preserve"> HYPERLINK \l _Toc11505 </w:instrText>
          </w:r>
          <w:r>
            <w:rPr>
              <w:rFonts w:hint="eastAsia" w:ascii="黑体" w:hAnsi="黑体" w:eastAsia="黑体"/>
              <w:highlight w:val="none"/>
              <w:lang w:eastAsia="zh-CN"/>
            </w:rPr>
            <w:fldChar w:fldCharType="separate"/>
          </w:r>
          <w:r>
            <w:rPr>
              <w:rFonts w:hint="eastAsia" w:ascii="黑体" w:hAnsi="黑体" w:eastAsia="黑体"/>
              <w:highlight w:val="none"/>
              <w:lang w:eastAsia="zh-CN"/>
            </w:rPr>
            <w:t>一、收入支出决算总表</w:t>
          </w:r>
          <w:r>
            <w:rPr>
              <w:rFonts w:hint="eastAsia" w:ascii="黑体" w:hAnsi="黑体" w:eastAsia="黑体"/>
              <w:highlight w:val="none"/>
              <w:lang w:eastAsia="zh-CN"/>
            </w:rPr>
            <w:tab/>
          </w:r>
          <w:r>
            <w:rPr>
              <w:rFonts w:hint="eastAsia" w:ascii="黑体" w:hAnsi="黑体" w:eastAsia="黑体"/>
              <w:highlight w:val="none"/>
              <w:lang w:eastAsia="zh-CN"/>
            </w:rPr>
            <w:fldChar w:fldCharType="begin"/>
          </w:r>
          <w:r>
            <w:rPr>
              <w:rFonts w:hint="eastAsia" w:ascii="黑体" w:hAnsi="黑体" w:eastAsia="黑体"/>
              <w:highlight w:val="none"/>
              <w:lang w:eastAsia="zh-CN"/>
            </w:rPr>
            <w:instrText xml:space="preserve"> PAGEREF _Toc11505 \h </w:instrText>
          </w:r>
          <w:r>
            <w:rPr>
              <w:rFonts w:hint="eastAsia" w:ascii="黑体" w:hAnsi="黑体" w:eastAsia="黑体"/>
              <w:highlight w:val="none"/>
              <w:lang w:eastAsia="zh-CN"/>
            </w:rPr>
            <w:fldChar w:fldCharType="separate"/>
          </w:r>
          <w:r>
            <w:rPr>
              <w:rFonts w:hint="eastAsia" w:ascii="黑体" w:hAnsi="黑体" w:eastAsia="黑体"/>
              <w:highlight w:val="none"/>
              <w:lang w:eastAsia="zh-CN"/>
            </w:rPr>
            <w:t>3</w:t>
          </w:r>
          <w:r>
            <w:rPr>
              <w:rFonts w:hint="eastAsia" w:ascii="黑体" w:hAnsi="黑体" w:eastAsia="黑体"/>
              <w:highlight w:val="none"/>
              <w:lang w:val="en-US" w:eastAsia="zh-CN"/>
            </w:rPr>
            <w:t>5</w:t>
          </w:r>
          <w:r>
            <w:rPr>
              <w:rFonts w:hint="eastAsia" w:ascii="黑体" w:hAnsi="黑体" w:eastAsia="黑体"/>
              <w:highlight w:val="none"/>
              <w:lang w:eastAsia="zh-CN"/>
            </w:rPr>
            <w:fldChar w:fldCharType="end"/>
          </w:r>
          <w:r>
            <w:rPr>
              <w:rFonts w:hint="eastAsia" w:ascii="黑体" w:hAnsi="黑体" w:eastAsia="黑体"/>
              <w:highlight w:val="none"/>
              <w:lang w:eastAsia="zh-CN"/>
            </w:rPr>
            <w:fldChar w:fldCharType="end"/>
          </w:r>
        </w:p>
        <w:p>
          <w:pPr>
            <w:pStyle w:val="35"/>
            <w:tabs>
              <w:tab w:val="right" w:leader="dot" w:pos="8306"/>
            </w:tabs>
            <w:rPr>
              <w:rFonts w:hint="eastAsia" w:ascii="黑体" w:hAnsi="黑体" w:eastAsia="黑体"/>
              <w:highlight w:val="none"/>
              <w:lang w:eastAsia="zh-CN"/>
            </w:rPr>
          </w:pPr>
          <w:r>
            <w:rPr>
              <w:rFonts w:hint="eastAsia" w:ascii="黑体" w:hAnsi="黑体" w:eastAsia="黑体"/>
              <w:highlight w:val="none"/>
              <w:lang w:eastAsia="zh-CN"/>
            </w:rPr>
            <w:fldChar w:fldCharType="begin"/>
          </w:r>
          <w:r>
            <w:rPr>
              <w:rFonts w:hint="eastAsia" w:ascii="黑体" w:hAnsi="黑体" w:eastAsia="黑体"/>
              <w:highlight w:val="none"/>
              <w:lang w:eastAsia="zh-CN"/>
            </w:rPr>
            <w:instrText xml:space="preserve"> HYPERLINK \l _Toc9805 </w:instrText>
          </w:r>
          <w:r>
            <w:rPr>
              <w:rFonts w:hint="eastAsia" w:ascii="黑体" w:hAnsi="黑体" w:eastAsia="黑体"/>
              <w:highlight w:val="none"/>
              <w:lang w:eastAsia="zh-CN"/>
            </w:rPr>
            <w:fldChar w:fldCharType="separate"/>
          </w:r>
          <w:r>
            <w:rPr>
              <w:rFonts w:hint="eastAsia" w:ascii="黑体" w:hAnsi="黑体" w:eastAsia="黑体"/>
              <w:highlight w:val="none"/>
              <w:lang w:eastAsia="zh-CN"/>
            </w:rPr>
            <w:t>二、收入决算表</w:t>
          </w:r>
          <w:r>
            <w:rPr>
              <w:rFonts w:hint="eastAsia" w:ascii="黑体" w:hAnsi="黑体" w:eastAsia="黑体"/>
              <w:highlight w:val="none"/>
              <w:lang w:eastAsia="zh-CN"/>
            </w:rPr>
            <w:tab/>
          </w:r>
          <w:r>
            <w:rPr>
              <w:rFonts w:hint="eastAsia" w:ascii="黑体" w:hAnsi="黑体" w:eastAsia="黑体"/>
              <w:highlight w:val="none"/>
              <w:lang w:val="en-US" w:eastAsia="zh-CN"/>
            </w:rPr>
            <w:t>35</w:t>
          </w:r>
          <w:r>
            <w:rPr>
              <w:rFonts w:hint="eastAsia" w:ascii="黑体" w:hAnsi="黑体" w:eastAsia="黑体"/>
              <w:highlight w:val="none"/>
              <w:lang w:eastAsia="zh-CN"/>
            </w:rPr>
            <w:fldChar w:fldCharType="end"/>
          </w:r>
        </w:p>
        <w:p>
          <w:pPr>
            <w:pStyle w:val="35"/>
            <w:tabs>
              <w:tab w:val="right" w:leader="dot" w:pos="8306"/>
            </w:tabs>
            <w:rPr>
              <w:rFonts w:hint="eastAsia" w:ascii="黑体" w:hAnsi="黑体" w:eastAsia="黑体"/>
              <w:highlight w:val="none"/>
              <w:lang w:eastAsia="zh-CN"/>
            </w:rPr>
          </w:pPr>
          <w:r>
            <w:rPr>
              <w:rFonts w:hint="eastAsia" w:ascii="黑体" w:hAnsi="黑体" w:eastAsia="黑体"/>
              <w:highlight w:val="none"/>
              <w:lang w:eastAsia="zh-CN"/>
            </w:rPr>
            <w:fldChar w:fldCharType="begin"/>
          </w:r>
          <w:r>
            <w:rPr>
              <w:rFonts w:hint="eastAsia" w:ascii="黑体" w:hAnsi="黑体" w:eastAsia="黑体"/>
              <w:highlight w:val="none"/>
              <w:lang w:eastAsia="zh-CN"/>
            </w:rPr>
            <w:instrText xml:space="preserve"> HYPERLINK \l _Toc32063 </w:instrText>
          </w:r>
          <w:r>
            <w:rPr>
              <w:rFonts w:hint="eastAsia" w:ascii="黑体" w:hAnsi="黑体" w:eastAsia="黑体"/>
              <w:highlight w:val="none"/>
              <w:lang w:eastAsia="zh-CN"/>
            </w:rPr>
            <w:fldChar w:fldCharType="separate"/>
          </w:r>
          <w:r>
            <w:rPr>
              <w:rFonts w:hint="eastAsia" w:ascii="黑体" w:hAnsi="黑体" w:eastAsia="黑体"/>
              <w:highlight w:val="none"/>
              <w:lang w:eastAsia="zh-CN"/>
            </w:rPr>
            <w:t>三、支出决算表</w:t>
          </w:r>
          <w:r>
            <w:rPr>
              <w:rFonts w:hint="eastAsia" w:ascii="黑体" w:hAnsi="黑体" w:eastAsia="黑体"/>
              <w:highlight w:val="none"/>
              <w:lang w:eastAsia="zh-CN"/>
            </w:rPr>
            <w:tab/>
          </w:r>
          <w:r>
            <w:rPr>
              <w:rFonts w:hint="eastAsia" w:ascii="黑体" w:hAnsi="黑体" w:eastAsia="黑体"/>
              <w:highlight w:val="none"/>
              <w:lang w:eastAsia="zh-CN"/>
            </w:rPr>
            <w:fldChar w:fldCharType="begin"/>
          </w:r>
          <w:r>
            <w:rPr>
              <w:rFonts w:hint="eastAsia" w:ascii="黑体" w:hAnsi="黑体" w:eastAsia="黑体"/>
              <w:highlight w:val="none"/>
              <w:lang w:eastAsia="zh-CN"/>
            </w:rPr>
            <w:instrText xml:space="preserve"> PAGEREF _Toc32063 \h </w:instrText>
          </w:r>
          <w:r>
            <w:rPr>
              <w:rFonts w:hint="eastAsia" w:ascii="黑体" w:hAnsi="黑体" w:eastAsia="黑体"/>
              <w:highlight w:val="none"/>
              <w:lang w:eastAsia="zh-CN"/>
            </w:rPr>
            <w:fldChar w:fldCharType="separate"/>
          </w:r>
          <w:r>
            <w:rPr>
              <w:rFonts w:hint="eastAsia" w:ascii="黑体" w:hAnsi="黑体" w:eastAsia="黑体"/>
              <w:highlight w:val="none"/>
              <w:lang w:eastAsia="zh-CN"/>
            </w:rPr>
            <w:t>3</w:t>
          </w:r>
          <w:r>
            <w:rPr>
              <w:rFonts w:hint="eastAsia" w:ascii="黑体" w:hAnsi="黑体" w:eastAsia="黑体"/>
              <w:highlight w:val="none"/>
              <w:lang w:val="en-US" w:eastAsia="zh-CN"/>
            </w:rPr>
            <w:t>5</w:t>
          </w:r>
          <w:r>
            <w:rPr>
              <w:rFonts w:hint="eastAsia" w:ascii="黑体" w:hAnsi="黑体" w:eastAsia="黑体"/>
              <w:highlight w:val="none"/>
              <w:lang w:eastAsia="zh-CN"/>
            </w:rPr>
            <w:fldChar w:fldCharType="end"/>
          </w:r>
          <w:r>
            <w:rPr>
              <w:rFonts w:hint="eastAsia" w:ascii="黑体" w:hAnsi="黑体" w:eastAsia="黑体"/>
              <w:highlight w:val="none"/>
              <w:lang w:eastAsia="zh-CN"/>
            </w:rPr>
            <w:fldChar w:fldCharType="end"/>
          </w:r>
        </w:p>
        <w:p>
          <w:pPr>
            <w:pStyle w:val="35"/>
            <w:tabs>
              <w:tab w:val="right" w:leader="dot" w:pos="8306"/>
            </w:tabs>
            <w:rPr>
              <w:rFonts w:hint="eastAsia" w:ascii="黑体" w:hAnsi="黑体" w:eastAsia="黑体"/>
              <w:highlight w:val="none"/>
              <w:lang w:eastAsia="zh-CN"/>
            </w:rPr>
          </w:pPr>
          <w:r>
            <w:rPr>
              <w:rFonts w:hint="eastAsia" w:ascii="黑体" w:hAnsi="黑体" w:eastAsia="黑体"/>
              <w:highlight w:val="none"/>
              <w:lang w:eastAsia="zh-CN"/>
            </w:rPr>
            <w:fldChar w:fldCharType="begin"/>
          </w:r>
          <w:r>
            <w:rPr>
              <w:rFonts w:hint="eastAsia" w:ascii="黑体" w:hAnsi="黑体" w:eastAsia="黑体"/>
              <w:highlight w:val="none"/>
              <w:lang w:eastAsia="zh-CN"/>
            </w:rPr>
            <w:instrText xml:space="preserve"> HYPERLINK \l _Toc14220 </w:instrText>
          </w:r>
          <w:r>
            <w:rPr>
              <w:rFonts w:hint="eastAsia" w:ascii="黑体" w:hAnsi="黑体" w:eastAsia="黑体"/>
              <w:highlight w:val="none"/>
              <w:lang w:eastAsia="zh-CN"/>
            </w:rPr>
            <w:fldChar w:fldCharType="separate"/>
          </w:r>
          <w:r>
            <w:rPr>
              <w:rFonts w:hint="eastAsia" w:ascii="黑体" w:hAnsi="黑体" w:eastAsia="黑体"/>
              <w:highlight w:val="none"/>
              <w:lang w:eastAsia="zh-CN"/>
            </w:rPr>
            <w:t>四、财政拨款收入支出决算总表</w:t>
          </w:r>
          <w:r>
            <w:rPr>
              <w:rFonts w:hint="eastAsia" w:ascii="黑体" w:hAnsi="黑体" w:eastAsia="黑体"/>
              <w:highlight w:val="none"/>
              <w:lang w:eastAsia="zh-CN"/>
            </w:rPr>
            <w:tab/>
          </w:r>
          <w:r>
            <w:rPr>
              <w:rFonts w:hint="eastAsia" w:ascii="黑体" w:hAnsi="黑体" w:eastAsia="黑体"/>
              <w:highlight w:val="none"/>
              <w:lang w:eastAsia="zh-CN"/>
            </w:rPr>
            <w:fldChar w:fldCharType="begin"/>
          </w:r>
          <w:r>
            <w:rPr>
              <w:rFonts w:hint="eastAsia" w:ascii="黑体" w:hAnsi="黑体" w:eastAsia="黑体"/>
              <w:highlight w:val="none"/>
              <w:lang w:eastAsia="zh-CN"/>
            </w:rPr>
            <w:instrText xml:space="preserve"> PAGEREF _Toc14220 \h </w:instrText>
          </w:r>
          <w:r>
            <w:rPr>
              <w:rFonts w:hint="eastAsia" w:ascii="黑体" w:hAnsi="黑体" w:eastAsia="黑体"/>
              <w:highlight w:val="none"/>
              <w:lang w:eastAsia="zh-CN"/>
            </w:rPr>
            <w:fldChar w:fldCharType="separate"/>
          </w:r>
          <w:r>
            <w:rPr>
              <w:rFonts w:hint="eastAsia" w:ascii="黑体" w:hAnsi="黑体" w:eastAsia="黑体"/>
              <w:highlight w:val="none"/>
              <w:lang w:eastAsia="zh-CN"/>
            </w:rPr>
            <w:t>3</w:t>
          </w:r>
          <w:r>
            <w:rPr>
              <w:rFonts w:hint="eastAsia" w:ascii="黑体" w:hAnsi="黑体" w:eastAsia="黑体"/>
              <w:highlight w:val="none"/>
              <w:lang w:val="en-US" w:eastAsia="zh-CN"/>
            </w:rPr>
            <w:t>5</w:t>
          </w:r>
          <w:r>
            <w:rPr>
              <w:rFonts w:hint="eastAsia" w:ascii="黑体" w:hAnsi="黑体" w:eastAsia="黑体"/>
              <w:highlight w:val="none"/>
              <w:lang w:eastAsia="zh-CN"/>
            </w:rPr>
            <w:fldChar w:fldCharType="end"/>
          </w:r>
          <w:r>
            <w:rPr>
              <w:rFonts w:hint="eastAsia" w:ascii="黑体" w:hAnsi="黑体" w:eastAsia="黑体"/>
              <w:highlight w:val="none"/>
              <w:lang w:eastAsia="zh-CN"/>
            </w:rPr>
            <w:fldChar w:fldCharType="end"/>
          </w:r>
        </w:p>
        <w:p>
          <w:pPr>
            <w:pStyle w:val="35"/>
            <w:tabs>
              <w:tab w:val="right" w:leader="dot" w:pos="8306"/>
            </w:tabs>
            <w:rPr>
              <w:rFonts w:hint="eastAsia" w:ascii="黑体" w:hAnsi="黑体" w:eastAsia="黑体"/>
              <w:highlight w:val="none"/>
              <w:lang w:eastAsia="zh-CN"/>
            </w:rPr>
          </w:pPr>
          <w:r>
            <w:rPr>
              <w:rFonts w:hint="eastAsia" w:ascii="黑体" w:hAnsi="黑体" w:eastAsia="黑体"/>
              <w:highlight w:val="none"/>
              <w:lang w:eastAsia="zh-CN"/>
            </w:rPr>
            <w:fldChar w:fldCharType="begin"/>
          </w:r>
          <w:r>
            <w:rPr>
              <w:rFonts w:hint="eastAsia" w:ascii="黑体" w:hAnsi="黑体" w:eastAsia="黑体"/>
              <w:highlight w:val="none"/>
              <w:lang w:eastAsia="zh-CN"/>
            </w:rPr>
            <w:instrText xml:space="preserve"> HYPERLINK \l _Toc29354 </w:instrText>
          </w:r>
          <w:r>
            <w:rPr>
              <w:rFonts w:hint="eastAsia" w:ascii="黑体" w:hAnsi="黑体" w:eastAsia="黑体"/>
              <w:highlight w:val="none"/>
              <w:lang w:eastAsia="zh-CN"/>
            </w:rPr>
            <w:fldChar w:fldCharType="separate"/>
          </w:r>
          <w:r>
            <w:rPr>
              <w:rFonts w:hint="eastAsia" w:ascii="黑体" w:hAnsi="黑体" w:eastAsia="黑体"/>
              <w:highlight w:val="none"/>
              <w:lang w:eastAsia="zh-CN"/>
            </w:rPr>
            <w:t>五、财政拨款支出决算明细表</w:t>
          </w:r>
          <w:r>
            <w:rPr>
              <w:rFonts w:hint="eastAsia" w:ascii="黑体" w:hAnsi="黑体" w:eastAsia="黑体"/>
              <w:highlight w:val="none"/>
              <w:lang w:eastAsia="zh-CN"/>
            </w:rPr>
            <w:tab/>
          </w:r>
          <w:r>
            <w:rPr>
              <w:rFonts w:hint="eastAsia" w:ascii="黑体" w:hAnsi="黑体" w:eastAsia="黑体"/>
              <w:highlight w:val="none"/>
              <w:lang w:eastAsia="zh-CN"/>
            </w:rPr>
            <w:fldChar w:fldCharType="begin"/>
          </w:r>
          <w:r>
            <w:rPr>
              <w:rFonts w:hint="eastAsia" w:ascii="黑体" w:hAnsi="黑体" w:eastAsia="黑体"/>
              <w:highlight w:val="none"/>
              <w:lang w:eastAsia="zh-CN"/>
            </w:rPr>
            <w:instrText xml:space="preserve"> PAGEREF _Toc29354 \h </w:instrText>
          </w:r>
          <w:r>
            <w:rPr>
              <w:rFonts w:hint="eastAsia" w:ascii="黑体" w:hAnsi="黑体" w:eastAsia="黑体"/>
              <w:highlight w:val="none"/>
              <w:lang w:eastAsia="zh-CN"/>
            </w:rPr>
            <w:fldChar w:fldCharType="separate"/>
          </w:r>
          <w:r>
            <w:rPr>
              <w:rFonts w:hint="eastAsia" w:ascii="黑体" w:hAnsi="黑体" w:eastAsia="黑体"/>
              <w:highlight w:val="none"/>
              <w:lang w:eastAsia="zh-CN"/>
            </w:rPr>
            <w:t>3</w:t>
          </w:r>
          <w:r>
            <w:rPr>
              <w:rFonts w:hint="eastAsia" w:ascii="黑体" w:hAnsi="黑体" w:eastAsia="黑体"/>
              <w:highlight w:val="none"/>
              <w:lang w:val="en-US" w:eastAsia="zh-CN"/>
            </w:rPr>
            <w:t>5</w:t>
          </w:r>
          <w:r>
            <w:rPr>
              <w:rFonts w:hint="eastAsia" w:ascii="黑体" w:hAnsi="黑体" w:eastAsia="黑体"/>
              <w:highlight w:val="none"/>
              <w:lang w:eastAsia="zh-CN"/>
            </w:rPr>
            <w:fldChar w:fldCharType="end"/>
          </w:r>
          <w:r>
            <w:rPr>
              <w:rFonts w:hint="eastAsia" w:ascii="黑体" w:hAnsi="黑体" w:eastAsia="黑体"/>
              <w:highlight w:val="none"/>
              <w:lang w:eastAsia="zh-CN"/>
            </w:rPr>
            <w:fldChar w:fldCharType="end"/>
          </w:r>
        </w:p>
        <w:p>
          <w:pPr>
            <w:pStyle w:val="35"/>
            <w:tabs>
              <w:tab w:val="right" w:leader="dot" w:pos="8306"/>
            </w:tabs>
            <w:rPr>
              <w:rFonts w:hint="eastAsia" w:ascii="黑体" w:hAnsi="黑体" w:eastAsia="黑体"/>
              <w:highlight w:val="none"/>
              <w:lang w:eastAsia="zh-CN"/>
            </w:rPr>
          </w:pPr>
          <w:r>
            <w:rPr>
              <w:rFonts w:hint="eastAsia" w:ascii="黑体" w:hAnsi="黑体" w:eastAsia="黑体"/>
              <w:highlight w:val="none"/>
              <w:lang w:eastAsia="zh-CN"/>
            </w:rPr>
            <w:fldChar w:fldCharType="begin"/>
          </w:r>
          <w:r>
            <w:rPr>
              <w:rFonts w:hint="eastAsia" w:ascii="黑体" w:hAnsi="黑体" w:eastAsia="黑体"/>
              <w:highlight w:val="none"/>
              <w:lang w:eastAsia="zh-CN"/>
            </w:rPr>
            <w:instrText xml:space="preserve"> HYPERLINK \l _Toc19692 </w:instrText>
          </w:r>
          <w:r>
            <w:rPr>
              <w:rFonts w:hint="eastAsia" w:ascii="黑体" w:hAnsi="黑体" w:eastAsia="黑体"/>
              <w:highlight w:val="none"/>
              <w:lang w:eastAsia="zh-CN"/>
            </w:rPr>
            <w:fldChar w:fldCharType="separate"/>
          </w:r>
          <w:r>
            <w:rPr>
              <w:rFonts w:hint="eastAsia" w:ascii="黑体" w:hAnsi="黑体" w:eastAsia="黑体"/>
              <w:highlight w:val="none"/>
              <w:lang w:eastAsia="zh-CN"/>
            </w:rPr>
            <w:t>六、一般公共预算财政拨款支出决算表</w:t>
          </w:r>
          <w:r>
            <w:rPr>
              <w:rFonts w:hint="eastAsia" w:ascii="黑体" w:hAnsi="黑体" w:eastAsia="黑体"/>
              <w:highlight w:val="none"/>
              <w:lang w:eastAsia="zh-CN"/>
            </w:rPr>
            <w:tab/>
          </w:r>
          <w:r>
            <w:rPr>
              <w:rFonts w:hint="eastAsia" w:ascii="黑体" w:hAnsi="黑体" w:eastAsia="黑体"/>
              <w:highlight w:val="none"/>
              <w:lang w:eastAsia="zh-CN"/>
            </w:rPr>
            <w:fldChar w:fldCharType="begin"/>
          </w:r>
          <w:r>
            <w:rPr>
              <w:rFonts w:hint="eastAsia" w:ascii="黑体" w:hAnsi="黑体" w:eastAsia="黑体"/>
              <w:highlight w:val="none"/>
              <w:lang w:eastAsia="zh-CN"/>
            </w:rPr>
            <w:instrText xml:space="preserve"> PAGEREF _Toc19692 \h </w:instrText>
          </w:r>
          <w:r>
            <w:rPr>
              <w:rFonts w:hint="eastAsia" w:ascii="黑体" w:hAnsi="黑体" w:eastAsia="黑体"/>
              <w:highlight w:val="none"/>
              <w:lang w:eastAsia="zh-CN"/>
            </w:rPr>
            <w:fldChar w:fldCharType="separate"/>
          </w:r>
          <w:r>
            <w:rPr>
              <w:rFonts w:hint="eastAsia" w:ascii="黑体" w:hAnsi="黑体" w:eastAsia="黑体"/>
              <w:highlight w:val="none"/>
              <w:lang w:eastAsia="zh-CN"/>
            </w:rPr>
            <w:t>3</w:t>
          </w:r>
          <w:r>
            <w:rPr>
              <w:rFonts w:hint="eastAsia" w:ascii="黑体" w:hAnsi="黑体" w:eastAsia="黑体"/>
              <w:highlight w:val="none"/>
              <w:lang w:val="en-US" w:eastAsia="zh-CN"/>
            </w:rPr>
            <w:t>5</w:t>
          </w:r>
          <w:r>
            <w:rPr>
              <w:rFonts w:hint="eastAsia" w:ascii="黑体" w:hAnsi="黑体" w:eastAsia="黑体"/>
              <w:highlight w:val="none"/>
              <w:lang w:eastAsia="zh-CN"/>
            </w:rPr>
            <w:fldChar w:fldCharType="end"/>
          </w:r>
          <w:r>
            <w:rPr>
              <w:rFonts w:hint="eastAsia" w:ascii="黑体" w:hAnsi="黑体" w:eastAsia="黑体"/>
              <w:highlight w:val="none"/>
              <w:lang w:eastAsia="zh-CN"/>
            </w:rPr>
            <w:fldChar w:fldCharType="end"/>
          </w:r>
        </w:p>
        <w:p>
          <w:pPr>
            <w:pStyle w:val="35"/>
            <w:tabs>
              <w:tab w:val="right" w:leader="dot" w:pos="8306"/>
            </w:tabs>
            <w:rPr>
              <w:rFonts w:hint="eastAsia" w:ascii="黑体" w:hAnsi="黑体" w:eastAsia="黑体"/>
              <w:highlight w:val="none"/>
              <w:lang w:eastAsia="zh-CN"/>
            </w:rPr>
          </w:pPr>
          <w:r>
            <w:rPr>
              <w:rFonts w:hint="eastAsia" w:ascii="黑体" w:hAnsi="黑体" w:eastAsia="黑体"/>
              <w:highlight w:val="none"/>
              <w:lang w:eastAsia="zh-CN"/>
            </w:rPr>
            <w:fldChar w:fldCharType="begin"/>
          </w:r>
          <w:r>
            <w:rPr>
              <w:rFonts w:hint="eastAsia" w:ascii="黑体" w:hAnsi="黑体" w:eastAsia="黑体"/>
              <w:highlight w:val="none"/>
              <w:lang w:eastAsia="zh-CN"/>
            </w:rPr>
            <w:instrText xml:space="preserve"> HYPERLINK \l _Toc32321 </w:instrText>
          </w:r>
          <w:r>
            <w:rPr>
              <w:rFonts w:hint="eastAsia" w:ascii="黑体" w:hAnsi="黑体" w:eastAsia="黑体"/>
              <w:highlight w:val="none"/>
              <w:lang w:eastAsia="zh-CN"/>
            </w:rPr>
            <w:fldChar w:fldCharType="separate"/>
          </w:r>
          <w:r>
            <w:rPr>
              <w:rFonts w:hint="eastAsia" w:ascii="黑体" w:hAnsi="黑体" w:eastAsia="黑体"/>
              <w:highlight w:val="none"/>
              <w:lang w:eastAsia="zh-CN"/>
            </w:rPr>
            <w:t>七、一般公共预算财政拨款支出决算明细表</w:t>
          </w:r>
          <w:r>
            <w:rPr>
              <w:rFonts w:hint="eastAsia" w:ascii="黑体" w:hAnsi="黑体" w:eastAsia="黑体"/>
              <w:highlight w:val="none"/>
              <w:lang w:eastAsia="zh-CN"/>
            </w:rPr>
            <w:tab/>
          </w:r>
          <w:r>
            <w:rPr>
              <w:rFonts w:hint="eastAsia" w:ascii="黑体" w:hAnsi="黑体" w:eastAsia="黑体"/>
              <w:highlight w:val="none"/>
              <w:lang w:eastAsia="zh-CN"/>
            </w:rPr>
            <w:fldChar w:fldCharType="begin"/>
          </w:r>
          <w:r>
            <w:rPr>
              <w:rFonts w:hint="eastAsia" w:ascii="黑体" w:hAnsi="黑体" w:eastAsia="黑体"/>
              <w:highlight w:val="none"/>
              <w:lang w:eastAsia="zh-CN"/>
            </w:rPr>
            <w:instrText xml:space="preserve"> PAGEREF _Toc32321 \h </w:instrText>
          </w:r>
          <w:r>
            <w:rPr>
              <w:rFonts w:hint="eastAsia" w:ascii="黑体" w:hAnsi="黑体" w:eastAsia="黑体"/>
              <w:highlight w:val="none"/>
              <w:lang w:eastAsia="zh-CN"/>
            </w:rPr>
            <w:fldChar w:fldCharType="separate"/>
          </w:r>
          <w:r>
            <w:rPr>
              <w:rFonts w:hint="eastAsia" w:ascii="黑体" w:hAnsi="黑体" w:eastAsia="黑体"/>
              <w:highlight w:val="none"/>
              <w:lang w:eastAsia="zh-CN"/>
            </w:rPr>
            <w:t>3</w:t>
          </w:r>
          <w:r>
            <w:rPr>
              <w:rFonts w:hint="eastAsia" w:ascii="黑体" w:hAnsi="黑体" w:eastAsia="黑体"/>
              <w:highlight w:val="none"/>
              <w:lang w:val="en-US" w:eastAsia="zh-CN"/>
            </w:rPr>
            <w:t>5</w:t>
          </w:r>
          <w:r>
            <w:rPr>
              <w:rFonts w:hint="eastAsia" w:ascii="黑体" w:hAnsi="黑体" w:eastAsia="黑体"/>
              <w:highlight w:val="none"/>
              <w:lang w:eastAsia="zh-CN"/>
            </w:rPr>
            <w:fldChar w:fldCharType="end"/>
          </w:r>
          <w:r>
            <w:rPr>
              <w:rFonts w:hint="eastAsia" w:ascii="黑体" w:hAnsi="黑体" w:eastAsia="黑体"/>
              <w:highlight w:val="none"/>
              <w:lang w:eastAsia="zh-CN"/>
            </w:rPr>
            <w:fldChar w:fldCharType="end"/>
          </w:r>
        </w:p>
        <w:p>
          <w:pPr>
            <w:pStyle w:val="35"/>
            <w:tabs>
              <w:tab w:val="right" w:leader="dot" w:pos="8306"/>
            </w:tabs>
            <w:rPr>
              <w:rFonts w:hint="eastAsia" w:ascii="黑体" w:hAnsi="黑体" w:eastAsia="黑体"/>
              <w:highlight w:val="none"/>
              <w:lang w:eastAsia="zh-CN"/>
            </w:rPr>
          </w:pPr>
          <w:r>
            <w:rPr>
              <w:rFonts w:hint="eastAsia" w:ascii="黑体" w:hAnsi="黑体" w:eastAsia="黑体"/>
              <w:highlight w:val="none"/>
              <w:lang w:eastAsia="zh-CN"/>
            </w:rPr>
            <w:fldChar w:fldCharType="begin"/>
          </w:r>
          <w:r>
            <w:rPr>
              <w:rFonts w:hint="eastAsia" w:ascii="黑体" w:hAnsi="黑体" w:eastAsia="黑体"/>
              <w:highlight w:val="none"/>
              <w:lang w:eastAsia="zh-CN"/>
            </w:rPr>
            <w:instrText xml:space="preserve"> HYPERLINK \l _Toc16670 </w:instrText>
          </w:r>
          <w:r>
            <w:rPr>
              <w:rFonts w:hint="eastAsia" w:ascii="黑体" w:hAnsi="黑体" w:eastAsia="黑体"/>
              <w:highlight w:val="none"/>
              <w:lang w:eastAsia="zh-CN"/>
            </w:rPr>
            <w:fldChar w:fldCharType="separate"/>
          </w:r>
          <w:r>
            <w:rPr>
              <w:rFonts w:hint="eastAsia" w:ascii="黑体" w:hAnsi="黑体" w:eastAsia="黑体"/>
              <w:highlight w:val="none"/>
              <w:lang w:eastAsia="zh-CN"/>
            </w:rPr>
            <w:t>八、一般公共预算财政拨款基本支出决算表</w:t>
          </w:r>
          <w:r>
            <w:rPr>
              <w:rFonts w:hint="eastAsia" w:ascii="黑体" w:hAnsi="黑体" w:eastAsia="黑体"/>
              <w:highlight w:val="none"/>
              <w:lang w:eastAsia="zh-CN"/>
            </w:rPr>
            <w:tab/>
          </w:r>
          <w:r>
            <w:rPr>
              <w:rFonts w:hint="eastAsia" w:ascii="黑体" w:hAnsi="黑体" w:eastAsia="黑体"/>
              <w:highlight w:val="none"/>
              <w:lang w:eastAsia="zh-CN"/>
            </w:rPr>
            <w:fldChar w:fldCharType="begin"/>
          </w:r>
          <w:r>
            <w:rPr>
              <w:rFonts w:hint="eastAsia" w:ascii="黑体" w:hAnsi="黑体" w:eastAsia="黑体"/>
              <w:highlight w:val="none"/>
              <w:lang w:eastAsia="zh-CN"/>
            </w:rPr>
            <w:instrText xml:space="preserve"> PAGEREF _Toc16670 \h </w:instrText>
          </w:r>
          <w:r>
            <w:rPr>
              <w:rFonts w:hint="eastAsia" w:ascii="黑体" w:hAnsi="黑体" w:eastAsia="黑体"/>
              <w:highlight w:val="none"/>
              <w:lang w:eastAsia="zh-CN"/>
            </w:rPr>
            <w:fldChar w:fldCharType="separate"/>
          </w:r>
          <w:r>
            <w:rPr>
              <w:rFonts w:hint="eastAsia" w:ascii="黑体" w:hAnsi="黑体" w:eastAsia="黑体"/>
              <w:highlight w:val="none"/>
              <w:lang w:eastAsia="zh-CN"/>
            </w:rPr>
            <w:t>3</w:t>
          </w:r>
          <w:r>
            <w:rPr>
              <w:rFonts w:hint="eastAsia" w:ascii="黑体" w:hAnsi="黑体" w:eastAsia="黑体"/>
              <w:highlight w:val="none"/>
              <w:lang w:val="en-US" w:eastAsia="zh-CN"/>
            </w:rPr>
            <w:t>5</w:t>
          </w:r>
          <w:r>
            <w:rPr>
              <w:rFonts w:hint="eastAsia" w:ascii="黑体" w:hAnsi="黑体" w:eastAsia="黑体"/>
              <w:highlight w:val="none"/>
              <w:lang w:eastAsia="zh-CN"/>
            </w:rPr>
            <w:fldChar w:fldCharType="end"/>
          </w:r>
          <w:r>
            <w:rPr>
              <w:rFonts w:hint="eastAsia" w:ascii="黑体" w:hAnsi="黑体" w:eastAsia="黑体"/>
              <w:highlight w:val="none"/>
              <w:lang w:eastAsia="zh-CN"/>
            </w:rPr>
            <w:fldChar w:fldCharType="end"/>
          </w:r>
        </w:p>
        <w:p>
          <w:pPr>
            <w:pStyle w:val="35"/>
            <w:tabs>
              <w:tab w:val="right" w:leader="dot" w:pos="8306"/>
            </w:tabs>
            <w:rPr>
              <w:rFonts w:hint="eastAsia" w:ascii="黑体" w:hAnsi="黑体" w:eastAsia="黑体"/>
              <w:highlight w:val="none"/>
              <w:lang w:eastAsia="zh-CN"/>
            </w:rPr>
          </w:pPr>
          <w:r>
            <w:rPr>
              <w:rFonts w:hint="eastAsia" w:ascii="黑体" w:hAnsi="黑体" w:eastAsia="黑体"/>
              <w:highlight w:val="none"/>
              <w:lang w:eastAsia="zh-CN"/>
            </w:rPr>
            <w:fldChar w:fldCharType="begin"/>
          </w:r>
          <w:r>
            <w:rPr>
              <w:rFonts w:hint="eastAsia" w:ascii="黑体" w:hAnsi="黑体" w:eastAsia="黑体"/>
              <w:highlight w:val="none"/>
              <w:lang w:eastAsia="zh-CN"/>
            </w:rPr>
            <w:instrText xml:space="preserve"> HYPERLINK \l _Toc28260 </w:instrText>
          </w:r>
          <w:r>
            <w:rPr>
              <w:rFonts w:hint="eastAsia" w:ascii="黑体" w:hAnsi="黑体" w:eastAsia="黑体"/>
              <w:highlight w:val="none"/>
              <w:lang w:eastAsia="zh-CN"/>
            </w:rPr>
            <w:fldChar w:fldCharType="separate"/>
          </w:r>
          <w:r>
            <w:rPr>
              <w:rFonts w:hint="eastAsia" w:ascii="黑体" w:hAnsi="黑体" w:eastAsia="黑体"/>
              <w:highlight w:val="none"/>
              <w:lang w:eastAsia="zh-CN"/>
            </w:rPr>
            <w:t>九、一般公共预算财政拨款项目支出决算表</w:t>
          </w:r>
          <w:r>
            <w:rPr>
              <w:rFonts w:hint="eastAsia" w:ascii="黑体" w:hAnsi="黑体" w:eastAsia="黑体"/>
              <w:highlight w:val="none"/>
              <w:lang w:eastAsia="zh-CN"/>
            </w:rPr>
            <w:tab/>
          </w:r>
          <w:r>
            <w:rPr>
              <w:rFonts w:hint="eastAsia" w:ascii="黑体" w:hAnsi="黑体" w:eastAsia="黑体"/>
              <w:highlight w:val="none"/>
              <w:lang w:eastAsia="zh-CN"/>
            </w:rPr>
            <w:fldChar w:fldCharType="begin"/>
          </w:r>
          <w:r>
            <w:rPr>
              <w:rFonts w:hint="eastAsia" w:ascii="黑体" w:hAnsi="黑体" w:eastAsia="黑体"/>
              <w:highlight w:val="none"/>
              <w:lang w:eastAsia="zh-CN"/>
            </w:rPr>
            <w:instrText xml:space="preserve"> PAGEREF _Toc28260 \h </w:instrText>
          </w:r>
          <w:r>
            <w:rPr>
              <w:rFonts w:hint="eastAsia" w:ascii="黑体" w:hAnsi="黑体" w:eastAsia="黑体"/>
              <w:highlight w:val="none"/>
              <w:lang w:eastAsia="zh-CN"/>
            </w:rPr>
            <w:fldChar w:fldCharType="separate"/>
          </w:r>
          <w:r>
            <w:rPr>
              <w:rFonts w:hint="eastAsia" w:ascii="黑体" w:hAnsi="黑体" w:eastAsia="黑体"/>
              <w:highlight w:val="none"/>
              <w:lang w:eastAsia="zh-CN"/>
            </w:rPr>
            <w:t>3</w:t>
          </w:r>
          <w:r>
            <w:rPr>
              <w:rFonts w:hint="eastAsia" w:ascii="黑体" w:hAnsi="黑体" w:eastAsia="黑体"/>
              <w:highlight w:val="none"/>
              <w:lang w:val="en-US" w:eastAsia="zh-CN"/>
            </w:rPr>
            <w:t>5</w:t>
          </w:r>
          <w:r>
            <w:rPr>
              <w:rFonts w:hint="eastAsia" w:ascii="黑体" w:hAnsi="黑体" w:eastAsia="黑体"/>
              <w:highlight w:val="none"/>
              <w:lang w:eastAsia="zh-CN"/>
            </w:rPr>
            <w:fldChar w:fldCharType="end"/>
          </w:r>
          <w:r>
            <w:rPr>
              <w:rFonts w:hint="eastAsia" w:ascii="黑体" w:hAnsi="黑体" w:eastAsia="黑体"/>
              <w:highlight w:val="none"/>
              <w:lang w:eastAsia="zh-CN"/>
            </w:rPr>
            <w:fldChar w:fldCharType="end"/>
          </w:r>
        </w:p>
        <w:p>
          <w:pPr>
            <w:pStyle w:val="35"/>
            <w:tabs>
              <w:tab w:val="right" w:leader="dot" w:pos="8306"/>
            </w:tabs>
            <w:rPr>
              <w:rFonts w:hint="eastAsia" w:ascii="黑体" w:hAnsi="黑体" w:eastAsia="黑体"/>
              <w:highlight w:val="none"/>
              <w:lang w:eastAsia="zh-CN"/>
            </w:rPr>
          </w:pPr>
          <w:r>
            <w:rPr>
              <w:rFonts w:hint="eastAsia" w:ascii="黑体" w:hAnsi="黑体" w:eastAsia="黑体"/>
              <w:highlight w:val="none"/>
              <w:lang w:eastAsia="zh-CN"/>
            </w:rPr>
            <w:fldChar w:fldCharType="begin"/>
          </w:r>
          <w:r>
            <w:rPr>
              <w:rFonts w:hint="eastAsia" w:ascii="黑体" w:hAnsi="黑体" w:eastAsia="黑体"/>
              <w:highlight w:val="none"/>
              <w:lang w:eastAsia="zh-CN"/>
            </w:rPr>
            <w:instrText xml:space="preserve"> HYPERLINK \l _Toc21935 </w:instrText>
          </w:r>
          <w:r>
            <w:rPr>
              <w:rFonts w:hint="eastAsia" w:ascii="黑体" w:hAnsi="黑体" w:eastAsia="黑体"/>
              <w:highlight w:val="none"/>
              <w:lang w:eastAsia="zh-CN"/>
            </w:rPr>
            <w:fldChar w:fldCharType="separate"/>
          </w:r>
          <w:r>
            <w:rPr>
              <w:rFonts w:hint="eastAsia" w:ascii="黑体" w:hAnsi="黑体" w:eastAsia="黑体"/>
              <w:highlight w:val="none"/>
              <w:lang w:eastAsia="zh-CN"/>
            </w:rPr>
            <w:t>十、政府性基金预算财政拨款收入支出决算表</w:t>
          </w:r>
          <w:r>
            <w:rPr>
              <w:rFonts w:hint="eastAsia" w:ascii="黑体" w:hAnsi="黑体" w:eastAsia="黑体"/>
              <w:highlight w:val="none"/>
              <w:lang w:eastAsia="zh-CN"/>
            </w:rPr>
            <w:tab/>
          </w:r>
          <w:r>
            <w:rPr>
              <w:rFonts w:hint="eastAsia" w:ascii="黑体" w:hAnsi="黑体" w:eastAsia="黑体"/>
              <w:highlight w:val="none"/>
              <w:lang w:eastAsia="zh-CN"/>
            </w:rPr>
            <w:fldChar w:fldCharType="begin"/>
          </w:r>
          <w:r>
            <w:rPr>
              <w:rFonts w:hint="eastAsia" w:ascii="黑体" w:hAnsi="黑体" w:eastAsia="黑体"/>
              <w:highlight w:val="none"/>
              <w:lang w:eastAsia="zh-CN"/>
            </w:rPr>
            <w:instrText xml:space="preserve"> PAGEREF _Toc21935 \h </w:instrText>
          </w:r>
          <w:r>
            <w:rPr>
              <w:rFonts w:hint="eastAsia" w:ascii="黑体" w:hAnsi="黑体" w:eastAsia="黑体"/>
              <w:highlight w:val="none"/>
              <w:lang w:eastAsia="zh-CN"/>
            </w:rPr>
            <w:fldChar w:fldCharType="separate"/>
          </w:r>
          <w:r>
            <w:rPr>
              <w:rFonts w:hint="eastAsia" w:ascii="黑体" w:hAnsi="黑体" w:eastAsia="黑体"/>
              <w:highlight w:val="none"/>
              <w:lang w:eastAsia="zh-CN"/>
            </w:rPr>
            <w:t>3</w:t>
          </w:r>
          <w:r>
            <w:rPr>
              <w:rFonts w:hint="eastAsia" w:ascii="黑体" w:hAnsi="黑体" w:eastAsia="黑体"/>
              <w:highlight w:val="none"/>
              <w:lang w:val="en-US" w:eastAsia="zh-CN"/>
            </w:rPr>
            <w:t>5</w:t>
          </w:r>
          <w:r>
            <w:rPr>
              <w:rFonts w:hint="eastAsia" w:ascii="黑体" w:hAnsi="黑体" w:eastAsia="黑体"/>
              <w:highlight w:val="none"/>
              <w:lang w:eastAsia="zh-CN"/>
            </w:rPr>
            <w:fldChar w:fldCharType="end"/>
          </w:r>
          <w:r>
            <w:rPr>
              <w:rFonts w:hint="eastAsia" w:ascii="黑体" w:hAnsi="黑体" w:eastAsia="黑体"/>
              <w:highlight w:val="none"/>
              <w:lang w:eastAsia="zh-CN"/>
            </w:rPr>
            <w:fldChar w:fldCharType="end"/>
          </w:r>
        </w:p>
        <w:p>
          <w:pPr>
            <w:pStyle w:val="35"/>
            <w:tabs>
              <w:tab w:val="right" w:leader="dot" w:pos="8306"/>
            </w:tabs>
            <w:rPr>
              <w:rFonts w:hint="eastAsia" w:ascii="黑体" w:hAnsi="黑体" w:eastAsia="黑体"/>
              <w:highlight w:val="none"/>
              <w:lang w:eastAsia="zh-CN"/>
            </w:rPr>
          </w:pPr>
          <w:r>
            <w:rPr>
              <w:rFonts w:hint="eastAsia" w:ascii="黑体" w:hAnsi="黑体" w:eastAsia="黑体"/>
              <w:highlight w:val="none"/>
              <w:lang w:eastAsia="zh-CN"/>
            </w:rPr>
            <w:fldChar w:fldCharType="begin"/>
          </w:r>
          <w:r>
            <w:rPr>
              <w:rFonts w:hint="eastAsia" w:ascii="黑体" w:hAnsi="黑体" w:eastAsia="黑体"/>
              <w:highlight w:val="none"/>
              <w:lang w:eastAsia="zh-CN"/>
            </w:rPr>
            <w:instrText xml:space="preserve"> HYPERLINK \l _Toc8301 </w:instrText>
          </w:r>
          <w:r>
            <w:rPr>
              <w:rFonts w:hint="eastAsia" w:ascii="黑体" w:hAnsi="黑体" w:eastAsia="黑体"/>
              <w:highlight w:val="none"/>
              <w:lang w:eastAsia="zh-CN"/>
            </w:rPr>
            <w:fldChar w:fldCharType="separate"/>
          </w:r>
          <w:r>
            <w:rPr>
              <w:rFonts w:hint="eastAsia" w:ascii="黑体" w:hAnsi="黑体" w:eastAsia="黑体"/>
              <w:highlight w:val="none"/>
              <w:lang w:eastAsia="zh-CN"/>
            </w:rPr>
            <w:t>十一、国有资本经营预算财政拨款收入支出决算表</w:t>
          </w:r>
          <w:r>
            <w:rPr>
              <w:rFonts w:hint="eastAsia" w:ascii="黑体" w:hAnsi="黑体" w:eastAsia="黑体"/>
              <w:highlight w:val="none"/>
              <w:lang w:eastAsia="zh-CN"/>
            </w:rPr>
            <w:tab/>
          </w:r>
          <w:r>
            <w:rPr>
              <w:rFonts w:hint="eastAsia" w:ascii="黑体" w:hAnsi="黑体" w:eastAsia="黑体"/>
              <w:highlight w:val="none"/>
              <w:lang w:eastAsia="zh-CN"/>
            </w:rPr>
            <w:fldChar w:fldCharType="begin"/>
          </w:r>
          <w:r>
            <w:rPr>
              <w:rFonts w:hint="eastAsia" w:ascii="黑体" w:hAnsi="黑体" w:eastAsia="黑体"/>
              <w:highlight w:val="none"/>
              <w:lang w:eastAsia="zh-CN"/>
            </w:rPr>
            <w:instrText xml:space="preserve"> PAGEREF _Toc8301 \h </w:instrText>
          </w:r>
          <w:r>
            <w:rPr>
              <w:rFonts w:hint="eastAsia" w:ascii="黑体" w:hAnsi="黑体" w:eastAsia="黑体"/>
              <w:highlight w:val="none"/>
              <w:lang w:eastAsia="zh-CN"/>
            </w:rPr>
            <w:fldChar w:fldCharType="separate"/>
          </w:r>
          <w:r>
            <w:rPr>
              <w:rFonts w:hint="eastAsia" w:ascii="黑体" w:hAnsi="黑体" w:eastAsia="黑体"/>
              <w:highlight w:val="none"/>
              <w:lang w:eastAsia="zh-CN"/>
            </w:rPr>
            <w:t>3</w:t>
          </w:r>
          <w:r>
            <w:rPr>
              <w:rFonts w:hint="eastAsia" w:ascii="黑体" w:hAnsi="黑体" w:eastAsia="黑体"/>
              <w:highlight w:val="none"/>
              <w:lang w:val="en-US" w:eastAsia="zh-CN"/>
            </w:rPr>
            <w:t>5</w:t>
          </w:r>
          <w:r>
            <w:rPr>
              <w:rFonts w:hint="eastAsia" w:ascii="黑体" w:hAnsi="黑体" w:eastAsia="黑体"/>
              <w:highlight w:val="none"/>
              <w:lang w:eastAsia="zh-CN"/>
            </w:rPr>
            <w:fldChar w:fldCharType="end"/>
          </w:r>
          <w:r>
            <w:rPr>
              <w:rFonts w:hint="eastAsia" w:ascii="黑体" w:hAnsi="黑体" w:eastAsia="黑体"/>
              <w:highlight w:val="none"/>
              <w:lang w:eastAsia="zh-CN"/>
            </w:rPr>
            <w:fldChar w:fldCharType="end"/>
          </w:r>
        </w:p>
        <w:p>
          <w:pPr>
            <w:pStyle w:val="35"/>
            <w:tabs>
              <w:tab w:val="right" w:leader="dot" w:pos="8306"/>
            </w:tabs>
            <w:rPr>
              <w:rFonts w:hint="eastAsia" w:ascii="黑体" w:hAnsi="黑体" w:eastAsia="黑体"/>
              <w:highlight w:val="none"/>
              <w:lang w:eastAsia="zh-CN"/>
            </w:rPr>
          </w:pPr>
          <w:r>
            <w:rPr>
              <w:rFonts w:hint="eastAsia" w:ascii="黑体" w:hAnsi="黑体" w:eastAsia="黑体"/>
              <w:highlight w:val="none"/>
              <w:lang w:eastAsia="zh-CN"/>
            </w:rPr>
            <w:fldChar w:fldCharType="begin"/>
          </w:r>
          <w:r>
            <w:rPr>
              <w:rFonts w:hint="eastAsia" w:ascii="黑体" w:hAnsi="黑体" w:eastAsia="黑体"/>
              <w:highlight w:val="none"/>
              <w:lang w:eastAsia="zh-CN"/>
            </w:rPr>
            <w:instrText xml:space="preserve"> HYPERLINK \l _Toc5251 </w:instrText>
          </w:r>
          <w:r>
            <w:rPr>
              <w:rFonts w:hint="eastAsia" w:ascii="黑体" w:hAnsi="黑体" w:eastAsia="黑体"/>
              <w:highlight w:val="none"/>
              <w:lang w:eastAsia="zh-CN"/>
            </w:rPr>
            <w:fldChar w:fldCharType="separate"/>
          </w:r>
          <w:r>
            <w:rPr>
              <w:rFonts w:hint="eastAsia" w:ascii="黑体" w:hAnsi="黑体" w:eastAsia="黑体"/>
              <w:highlight w:val="none"/>
              <w:lang w:eastAsia="zh-CN"/>
            </w:rPr>
            <w:t>十二、国有资本经营预算财政拨款支出决算表</w:t>
          </w:r>
          <w:r>
            <w:rPr>
              <w:rFonts w:hint="eastAsia" w:ascii="黑体" w:hAnsi="黑体" w:eastAsia="黑体"/>
              <w:highlight w:val="none"/>
              <w:lang w:eastAsia="zh-CN"/>
            </w:rPr>
            <w:tab/>
          </w:r>
          <w:r>
            <w:rPr>
              <w:rFonts w:hint="eastAsia" w:ascii="黑体" w:hAnsi="黑体" w:eastAsia="黑体"/>
              <w:highlight w:val="none"/>
              <w:lang w:eastAsia="zh-CN"/>
            </w:rPr>
            <w:fldChar w:fldCharType="begin"/>
          </w:r>
          <w:r>
            <w:rPr>
              <w:rFonts w:hint="eastAsia" w:ascii="黑体" w:hAnsi="黑体" w:eastAsia="黑体"/>
              <w:highlight w:val="none"/>
              <w:lang w:eastAsia="zh-CN"/>
            </w:rPr>
            <w:instrText xml:space="preserve"> PAGEREF _Toc5251 \h </w:instrText>
          </w:r>
          <w:r>
            <w:rPr>
              <w:rFonts w:hint="eastAsia" w:ascii="黑体" w:hAnsi="黑体" w:eastAsia="黑体"/>
              <w:highlight w:val="none"/>
              <w:lang w:eastAsia="zh-CN"/>
            </w:rPr>
            <w:fldChar w:fldCharType="separate"/>
          </w:r>
          <w:r>
            <w:rPr>
              <w:rFonts w:hint="eastAsia" w:ascii="黑体" w:hAnsi="黑体" w:eastAsia="黑体"/>
              <w:highlight w:val="none"/>
              <w:lang w:eastAsia="zh-CN"/>
            </w:rPr>
            <w:t>3</w:t>
          </w:r>
          <w:r>
            <w:rPr>
              <w:rFonts w:hint="eastAsia" w:ascii="黑体" w:hAnsi="黑体" w:eastAsia="黑体"/>
              <w:highlight w:val="none"/>
              <w:lang w:val="en-US" w:eastAsia="zh-CN"/>
            </w:rPr>
            <w:t>5</w:t>
          </w:r>
          <w:r>
            <w:rPr>
              <w:rFonts w:hint="eastAsia" w:ascii="黑体" w:hAnsi="黑体" w:eastAsia="黑体"/>
              <w:highlight w:val="none"/>
              <w:lang w:eastAsia="zh-CN"/>
            </w:rPr>
            <w:fldChar w:fldCharType="end"/>
          </w:r>
          <w:r>
            <w:rPr>
              <w:rFonts w:hint="eastAsia" w:ascii="黑体" w:hAnsi="黑体" w:eastAsia="黑体"/>
              <w:highlight w:val="none"/>
              <w:lang w:eastAsia="zh-CN"/>
            </w:rPr>
            <w:fldChar w:fldCharType="end"/>
          </w:r>
          <w:bookmarkStart w:id="109" w:name="_GoBack"/>
          <w:bookmarkEnd w:id="109"/>
        </w:p>
        <w:p>
          <w:pPr>
            <w:pStyle w:val="35"/>
            <w:tabs>
              <w:tab w:val="right" w:leader="dot" w:pos="8306"/>
            </w:tabs>
          </w:pPr>
          <w:r>
            <w:rPr>
              <w:rFonts w:hint="eastAsia" w:ascii="黑体" w:hAnsi="黑体" w:eastAsia="黑体"/>
              <w:highlight w:val="none"/>
              <w:lang w:eastAsia="zh-CN"/>
            </w:rPr>
            <w:fldChar w:fldCharType="begin"/>
          </w:r>
          <w:r>
            <w:rPr>
              <w:rFonts w:hint="eastAsia" w:ascii="黑体" w:hAnsi="黑体" w:eastAsia="黑体"/>
              <w:highlight w:val="none"/>
              <w:lang w:eastAsia="zh-CN"/>
            </w:rPr>
            <w:instrText xml:space="preserve"> HYPERLINK \l _Toc30912 </w:instrText>
          </w:r>
          <w:r>
            <w:rPr>
              <w:rFonts w:hint="eastAsia" w:ascii="黑体" w:hAnsi="黑体" w:eastAsia="黑体"/>
              <w:highlight w:val="none"/>
              <w:lang w:eastAsia="zh-CN"/>
            </w:rPr>
            <w:fldChar w:fldCharType="separate"/>
          </w:r>
          <w:r>
            <w:rPr>
              <w:rFonts w:hint="eastAsia" w:ascii="黑体" w:hAnsi="黑体" w:eastAsia="黑体"/>
              <w:highlight w:val="none"/>
              <w:lang w:eastAsia="zh-CN"/>
            </w:rPr>
            <w:t>十三、财政拨款“三公”经费支出决算表</w:t>
          </w:r>
          <w:r>
            <w:rPr>
              <w:rFonts w:hint="eastAsia" w:ascii="黑体" w:hAnsi="黑体" w:eastAsia="黑体"/>
              <w:highlight w:val="none"/>
              <w:lang w:eastAsia="zh-CN"/>
            </w:rPr>
            <w:tab/>
          </w:r>
          <w:r>
            <w:rPr>
              <w:rFonts w:hint="eastAsia" w:ascii="黑体" w:hAnsi="黑体" w:eastAsia="黑体"/>
              <w:highlight w:val="none"/>
              <w:lang w:eastAsia="zh-CN"/>
            </w:rPr>
            <w:fldChar w:fldCharType="begin"/>
          </w:r>
          <w:r>
            <w:rPr>
              <w:rFonts w:hint="eastAsia" w:ascii="黑体" w:hAnsi="黑体" w:eastAsia="黑体"/>
              <w:highlight w:val="none"/>
              <w:lang w:eastAsia="zh-CN"/>
            </w:rPr>
            <w:instrText xml:space="preserve"> PAGEREF _Toc30912 \h </w:instrText>
          </w:r>
          <w:r>
            <w:rPr>
              <w:rFonts w:hint="eastAsia" w:ascii="黑体" w:hAnsi="黑体" w:eastAsia="黑体"/>
              <w:highlight w:val="none"/>
              <w:lang w:eastAsia="zh-CN"/>
            </w:rPr>
            <w:fldChar w:fldCharType="separate"/>
          </w:r>
          <w:r>
            <w:rPr>
              <w:rFonts w:hint="eastAsia" w:ascii="黑体" w:hAnsi="黑体" w:eastAsia="黑体"/>
              <w:highlight w:val="none"/>
              <w:lang w:eastAsia="zh-CN"/>
            </w:rPr>
            <w:t>3</w:t>
          </w:r>
          <w:r>
            <w:rPr>
              <w:rFonts w:hint="eastAsia" w:ascii="黑体" w:hAnsi="黑体" w:eastAsia="黑体"/>
              <w:highlight w:val="none"/>
              <w:lang w:val="en-US" w:eastAsia="zh-CN"/>
            </w:rPr>
            <w:t>5</w:t>
          </w:r>
          <w:r>
            <w:rPr>
              <w:rFonts w:hint="eastAsia" w:ascii="黑体" w:hAnsi="黑体" w:eastAsia="黑体"/>
              <w:highlight w:val="none"/>
              <w:lang w:eastAsia="zh-CN"/>
            </w:rPr>
            <w:fldChar w:fldCharType="end"/>
          </w:r>
          <w:r>
            <w:rPr>
              <w:rFonts w:hint="eastAsia" w:ascii="黑体" w:hAnsi="黑体" w:eastAsia="黑体"/>
              <w:highlight w:val="none"/>
              <w:lang w:eastAsia="zh-CN"/>
            </w:rPr>
            <w:fldChar w:fldCharType="end"/>
          </w:r>
        </w:p>
        <w:p>
          <w:pPr>
            <w:rPr>
              <w:b/>
            </w:rPr>
            <w:sectPr>
              <w:footerReference r:id="rId6" w:type="first"/>
              <w:footerReference r:id="rId5" w:type="default"/>
              <w:type w:val="continuous"/>
              <w:pgSz w:w="11906" w:h="16838"/>
              <w:pgMar w:top="1440" w:right="1800" w:bottom="1440" w:left="1800" w:header="851" w:footer="992" w:gutter="0"/>
              <w:pgNumType w:fmt="decimal" w:start="1"/>
              <w:cols w:space="425" w:num="1"/>
              <w:titlePg/>
              <w:docGrid w:type="lines" w:linePitch="312" w:charSpace="0"/>
            </w:sectPr>
          </w:pPr>
          <w:r>
            <w:rPr>
              <w:b/>
            </w:rPr>
            <w:fldChar w:fldCharType="end"/>
          </w:r>
        </w:p>
      </w:sdtContent>
    </w:sdt>
    <w:p>
      <w:pPr>
        <w:pStyle w:val="2"/>
        <w:jc w:val="center"/>
        <w:rPr>
          <w:rFonts w:ascii="黑体" w:eastAsia="黑体"/>
          <w:color w:val="auto"/>
          <w:sz w:val="32"/>
          <w:szCs w:val="32"/>
          <w:highlight w:val="none"/>
        </w:rPr>
      </w:pPr>
      <w:bookmarkStart w:id="16" w:name="_Toc15396599"/>
      <w:bookmarkStart w:id="17" w:name="_Toc20749"/>
      <w:bookmarkStart w:id="18" w:name="_Toc15377196"/>
      <w:r>
        <w:rPr>
          <w:rFonts w:hint="eastAsia" w:ascii="黑体" w:hAnsi="黑体" w:eastAsia="黑体"/>
          <w:b w:val="0"/>
          <w:color w:val="auto"/>
          <w:highlight w:val="none"/>
        </w:rPr>
        <w:t xml:space="preserve">第一部分 </w:t>
      </w:r>
      <w:r>
        <w:rPr>
          <w:rStyle w:val="27"/>
          <w:rFonts w:hint="eastAsia" w:ascii="黑体" w:hAnsi="黑体" w:eastAsia="黑体"/>
          <w:b w:val="0"/>
          <w:bCs w:val="0"/>
          <w:color w:val="auto"/>
          <w:highlight w:val="none"/>
        </w:rPr>
        <w:t>部门概况</w:t>
      </w:r>
      <w:bookmarkEnd w:id="16"/>
      <w:bookmarkEnd w:id="17"/>
      <w:bookmarkEnd w:id="18"/>
    </w:p>
    <w:p>
      <w:pPr>
        <w:pStyle w:val="3"/>
        <w:numPr>
          <w:ilvl w:val="0"/>
          <w:numId w:val="0"/>
        </w:numPr>
        <w:ind w:firstLine="640" w:firstLineChars="200"/>
        <w:rPr>
          <w:rFonts w:hint="eastAsia" w:ascii="仿宋_GB2312" w:hAnsi="仿宋_GB2312" w:eastAsia="仿宋_GB2312" w:cs="仿宋_GB2312"/>
          <w:sz w:val="32"/>
          <w:szCs w:val="32"/>
        </w:rPr>
      </w:pPr>
      <w:bookmarkStart w:id="19" w:name="_Toc723"/>
      <w:r>
        <w:rPr>
          <w:rFonts w:hint="eastAsia" w:ascii="黑体" w:hAnsi="黑体" w:eastAsia="黑体"/>
          <w:b w:val="0"/>
          <w:color w:val="auto"/>
          <w:highlight w:val="none"/>
          <w:lang w:eastAsia="zh-CN"/>
        </w:rPr>
        <w:t>一、部门职责</w:t>
      </w:r>
      <w:bookmarkEnd w:id="19"/>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lang w:eastAsia="zh-CN"/>
        </w:rPr>
        <w:t>（一）负责贯彻执行国家、省、市、区有关医疗保险、生育保险、医疗救助、长期护理保险等医疗保障政策制度。</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lang w:eastAsia="zh-CN"/>
        </w:rPr>
        <w:t xml:space="preserve">（二）贯彻执行有关地方性法规和规章；组织起草全区医疗保障规范性文件；负责拟订全区医疗保障事业发展规划，并组织实施和监督检查。 </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lang w:eastAsia="zh-CN"/>
        </w:rPr>
        <w:t>（三）贯彻执行医疗保障基金监督管理制度，建立健全医疗保障基金安全防控机制，监督强化全区医疗保障基金运行管理。</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lang w:eastAsia="zh-CN"/>
        </w:rPr>
        <w:t>（四）拟订医疗保障基金年度收支计划，负责医疗保障基金归集，按政策和标准支付医疗保障待遇,完善动态调整和区域调剂平衡机制。</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lang w:eastAsia="zh-CN"/>
        </w:rPr>
        <w:t>（五）贯彻执行上级药品目录、医用耗材、医疗服务项目、医疗服务设施等医疗保障目录和支付标准政策；贯彻执行上级有关医保目录准入谈判规则。</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lang w:eastAsia="zh-CN"/>
        </w:rPr>
        <w:t>（六）贯彻执行上级药品、医用耗材价格和医疗服务项目、医疗服务设施收费等政策;建立医保支付医药服务价格合理确定和动态调整机制；推动建立市场主导的社会医药服务价格形成机制；建立价格信息监测和信息发布制度。</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lang w:eastAsia="zh-CN"/>
        </w:rPr>
        <w:t>（七）贯彻执行上级药品、医用耗材的招标采购政策；负责全区药品、医用耗材招标采购平台建设。指导大病保险业务经办工作。</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lang w:eastAsia="zh-CN"/>
        </w:rPr>
        <w:t>（八）推进医疗保障基金支付方式改革。拟订全区定点医药机构医保协议和支付管理办法并组织实施；负责全区医保定点医药机构管理和考核工作。</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lang w:eastAsia="zh-CN"/>
        </w:rPr>
        <w:t>（九）建立健全医疗保障信用评价体系和信息披露制度；推进协议服务机构标准化建设，建立协议服务机构准入和退出机制；监督管理纳入医保范围内的医疗服务行为和医疗费用，依法查处医疗保障领域违法违规行为。</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lang w:eastAsia="zh-CN"/>
        </w:rPr>
        <w:t>（十）负责全区医疗保障经办管理、公共服务体系建设；贯彻执行异地就医管理和费用结算政策。负责执行医疗保障关系转移接续制度。监督管理全区医保经办服务工作；开展医疗保障领域对外合作交流。</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lang w:eastAsia="zh-CN"/>
        </w:rPr>
        <w:t>（十一）负责推进实施全区医疗保障信息化建设，组织开展医疗保障大数据管理和应用。</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lang w:eastAsia="zh-CN"/>
        </w:rPr>
        <w:t>（十二）负责职责范围内的安全生产和职业健康、生态环境保护、审批服务便民化等工作。</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lang w:eastAsia="zh-CN"/>
        </w:rPr>
        <w:t>（十三）完成区委、区政府交办的其他任务。</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lang w:eastAsia="zh-CN"/>
        </w:rPr>
        <w:t>（十四）职能转变。完善统一的城乡居民基本医疗保险制度、大病保险制度和医疗救助制度，不断提高医疗保障水平，建立健全覆盖全民、城乡统筹的多层次医疗保障体系，确保医保资金合理使用、安全可控，推进医疗、医保、医药“三医联动”改革，更好保障人民群众就医需求、减轻医药费用负担。</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lang w:eastAsia="zh-CN"/>
        </w:rPr>
        <w:t>（十五）有关职责分工。区卫生健康局、区医保局和区市场监督管理局等部门在医疗、医保、医药等方面加强制度、政策衔接，建立沟通协商机制，协同推进改革，提高医疗资源使用效率和医疗保障水平。</w:t>
      </w:r>
    </w:p>
    <w:p>
      <w:pPr>
        <w:pStyle w:val="3"/>
        <w:ind w:firstLine="640" w:firstLineChars="200"/>
        <w:rPr>
          <w:rStyle w:val="28"/>
          <w:b w:val="0"/>
          <w:bCs w:val="0"/>
          <w:color w:val="auto"/>
          <w:highlight w:val="none"/>
        </w:rPr>
      </w:pPr>
      <w:bookmarkStart w:id="20" w:name="_Toc19279"/>
      <w:bookmarkStart w:id="21" w:name="_Toc15396601"/>
      <w:bookmarkStart w:id="22" w:name="_Toc15377200"/>
      <w:r>
        <w:rPr>
          <w:rFonts w:hint="eastAsia" w:ascii="黑体" w:eastAsia="黑体"/>
          <w:b w:val="0"/>
          <w:color w:val="auto"/>
          <w:highlight w:val="none"/>
        </w:rPr>
        <w:t>二、</w:t>
      </w:r>
      <w:r>
        <w:rPr>
          <w:rFonts w:hint="eastAsia" w:ascii="黑体" w:hAnsi="黑体" w:eastAsia="黑体"/>
          <w:b w:val="0"/>
          <w:color w:val="auto"/>
          <w:highlight w:val="none"/>
        </w:rPr>
        <w:t>机</w:t>
      </w:r>
      <w:r>
        <w:rPr>
          <w:rStyle w:val="28"/>
          <w:rFonts w:hint="eastAsia" w:ascii="黑体" w:hAnsi="黑体" w:eastAsia="黑体"/>
          <w:b w:val="0"/>
          <w:bCs w:val="0"/>
          <w:color w:val="auto"/>
          <w:highlight w:val="none"/>
        </w:rPr>
        <w:t>构设置</w:t>
      </w:r>
      <w:bookmarkEnd w:id="20"/>
      <w:bookmarkEnd w:id="21"/>
      <w:bookmarkEnd w:id="22"/>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default"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广元市昭化区医疗保障局（本级）无部门下属二级预算单位，下设独立编制机构2个，其中行政机构0个，参照公务员法管理的事业机构1个，其他事业机构1个，纳入2022年度单位决算编制范围的独立编制机构包括广元市昭化区医疗保障局（本级），因事务中心和信息中心无单独预算来源，人员经费收支统管，全额保障。</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ascii="仿宋" w:hAnsi="仿宋" w:eastAsia="仿宋"/>
          <w:color w:val="auto"/>
          <w:kern w:val="0"/>
          <w:sz w:val="32"/>
          <w:szCs w:val="32"/>
          <w:highlight w:val="none"/>
        </w:rPr>
      </w:pPr>
      <w:r>
        <w:rPr>
          <w:rFonts w:hint="eastAsia" w:ascii="仿宋_GB2312" w:hAnsi="仿宋_GB2312" w:eastAsia="仿宋_GB2312" w:cs="仿宋_GB2312"/>
          <w:sz w:val="32"/>
          <w:szCs w:val="40"/>
          <w:lang w:val="en-US" w:eastAsia="zh-CN"/>
        </w:rPr>
        <w:t>全局核定编制23名，其中行政编制5名，参公编制11名，事业编制7人。年末实际在编在职17人，其中行政人员3人，参公人员9人，事业人员5人。</w:t>
      </w:r>
      <w:r>
        <w:rPr>
          <w:rFonts w:ascii="仿宋" w:hAnsi="仿宋" w:eastAsia="仿宋"/>
          <w:color w:val="auto"/>
          <w:sz w:val="32"/>
          <w:szCs w:val="32"/>
          <w:highlight w:val="none"/>
        </w:rPr>
        <w:br w:type="page"/>
      </w:r>
    </w:p>
    <w:p>
      <w:pPr>
        <w:pStyle w:val="2"/>
        <w:ind w:right="440" w:firstLine="440" w:firstLineChars="100"/>
        <w:jc w:val="both"/>
        <w:rPr>
          <w:color w:val="auto"/>
          <w:highlight w:val="none"/>
        </w:rPr>
      </w:pPr>
      <w:bookmarkStart w:id="23" w:name="_Toc15377204"/>
      <w:bookmarkStart w:id="24" w:name="_Toc15396602"/>
      <w:bookmarkStart w:id="25" w:name="_Toc10210"/>
      <w:r>
        <w:rPr>
          <w:rFonts w:hint="eastAsia" w:ascii="黑体" w:hAnsi="黑体" w:eastAsia="黑体"/>
          <w:b w:val="0"/>
          <w:bCs/>
          <w:color w:val="auto"/>
          <w:highlight w:val="none"/>
        </w:rPr>
        <w:t xml:space="preserve">第二部分 </w:t>
      </w:r>
      <w:r>
        <w:rPr>
          <w:rFonts w:hint="eastAsia" w:ascii="黑体" w:hAnsi="黑体" w:eastAsia="黑体"/>
          <w:b w:val="0"/>
          <w:bCs/>
          <w:color w:val="auto"/>
          <w:highlight w:val="none"/>
          <w:lang w:val="en-US" w:eastAsia="zh-CN"/>
        </w:rPr>
        <w:t>2022年度</w:t>
      </w:r>
      <w:r>
        <w:rPr>
          <w:rStyle w:val="27"/>
          <w:rFonts w:hint="eastAsia" w:ascii="黑体" w:hAnsi="黑体" w:eastAsia="黑体"/>
          <w:b w:val="0"/>
          <w:bCs/>
          <w:color w:val="auto"/>
          <w:highlight w:val="none"/>
        </w:rPr>
        <w:t>部门决算情况说明</w:t>
      </w:r>
      <w:bookmarkEnd w:id="23"/>
      <w:bookmarkEnd w:id="24"/>
      <w:bookmarkEnd w:id="25"/>
    </w:p>
    <w:p>
      <w:pPr>
        <w:pStyle w:val="26"/>
        <w:numPr>
          <w:ilvl w:val="0"/>
          <w:numId w:val="1"/>
        </w:numPr>
        <w:spacing w:line="600" w:lineRule="exact"/>
        <w:ind w:firstLineChars="0"/>
        <w:outlineLvl w:val="1"/>
        <w:rPr>
          <w:rStyle w:val="28"/>
          <w:rFonts w:ascii="黑体" w:hAnsi="黑体" w:eastAsia="黑体"/>
          <w:b w:val="0"/>
          <w:color w:val="auto"/>
          <w:highlight w:val="none"/>
        </w:rPr>
      </w:pPr>
      <w:bookmarkStart w:id="26" w:name="_Toc15396603"/>
      <w:bookmarkStart w:id="27" w:name="_Toc15377205"/>
      <w:bookmarkStart w:id="28" w:name="_Toc16832"/>
      <w:r>
        <w:rPr>
          <w:rFonts w:hint="eastAsia" w:ascii="黑体" w:hAnsi="黑体" w:eastAsia="黑体"/>
          <w:color w:val="auto"/>
          <w:sz w:val="32"/>
          <w:szCs w:val="32"/>
          <w:highlight w:val="none"/>
        </w:rPr>
        <w:t>收</w:t>
      </w:r>
      <w:r>
        <w:rPr>
          <w:rStyle w:val="28"/>
          <w:rFonts w:hint="eastAsia" w:ascii="黑体" w:hAnsi="黑体" w:eastAsia="黑体"/>
          <w:b w:val="0"/>
          <w:color w:val="auto"/>
          <w:highlight w:val="none"/>
        </w:rPr>
        <w:t>入支出决算总体情况说明</w:t>
      </w:r>
      <w:bookmarkEnd w:id="26"/>
      <w:bookmarkEnd w:id="27"/>
      <w:bookmarkEnd w:id="28"/>
    </w:p>
    <w:p>
      <w:pPr>
        <w:spacing w:line="600" w:lineRule="exact"/>
        <w:ind w:firstLine="640" w:firstLineChars="200"/>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年度收、支总计</w:t>
      </w:r>
      <w:r>
        <w:rPr>
          <w:rFonts w:hint="eastAsia" w:ascii="仿宋" w:hAnsi="仿宋" w:eastAsia="仿宋"/>
          <w:color w:val="auto"/>
          <w:sz w:val="32"/>
          <w:szCs w:val="32"/>
          <w:highlight w:val="none"/>
          <w:lang w:val="en-US" w:eastAsia="zh-CN"/>
        </w:rPr>
        <w:t>473.53</w:t>
      </w:r>
      <w:r>
        <w:rPr>
          <w:rFonts w:hint="eastAsia" w:ascii="仿宋" w:hAnsi="仿宋" w:eastAsia="仿宋"/>
          <w:color w:val="auto"/>
          <w:sz w:val="32"/>
          <w:szCs w:val="32"/>
          <w:highlight w:val="none"/>
        </w:rPr>
        <w:t>万元。与20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年相比，收、支总计各增加</w:t>
      </w:r>
      <w:r>
        <w:rPr>
          <w:rFonts w:hint="eastAsia" w:ascii="仿宋" w:hAnsi="仿宋" w:eastAsia="仿宋"/>
          <w:color w:val="auto"/>
          <w:sz w:val="32"/>
          <w:szCs w:val="32"/>
          <w:highlight w:val="none"/>
          <w:lang w:val="en-US" w:eastAsia="zh-CN"/>
        </w:rPr>
        <w:t>12.87</w:t>
      </w:r>
      <w:r>
        <w:rPr>
          <w:rFonts w:hint="eastAsia" w:ascii="仿宋" w:hAnsi="仿宋" w:eastAsia="仿宋"/>
          <w:color w:val="auto"/>
          <w:sz w:val="32"/>
          <w:szCs w:val="32"/>
          <w:highlight w:val="none"/>
        </w:rPr>
        <w:t>万元，增长</w:t>
      </w:r>
      <w:r>
        <w:rPr>
          <w:rFonts w:hint="eastAsia" w:ascii="仿宋" w:hAnsi="仿宋" w:eastAsia="仿宋"/>
          <w:color w:val="auto"/>
          <w:sz w:val="32"/>
          <w:szCs w:val="32"/>
          <w:highlight w:val="none"/>
          <w:lang w:val="en-US" w:eastAsia="zh-CN"/>
        </w:rPr>
        <w:t>2.79</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。主要变动原因是</w:t>
      </w:r>
      <w:r>
        <w:rPr>
          <w:rFonts w:hint="eastAsia" w:ascii="仿宋" w:hAnsi="仿宋" w:eastAsia="仿宋"/>
          <w:color w:val="auto"/>
          <w:sz w:val="32"/>
          <w:szCs w:val="32"/>
          <w:highlight w:val="none"/>
          <w:lang w:eastAsia="zh-CN"/>
        </w:rPr>
        <w:t>中央财政补助资金（医疗服务与保障能力提升资金）资金增加。</w:t>
      </w:r>
    </w:p>
    <w:p>
      <w:pPr>
        <w:pStyle w:val="5"/>
        <w:rPr>
          <w:rFonts w:ascii="仿宋_GB2312" w:eastAsia="仿宋_GB2312"/>
          <w:color w:val="auto"/>
          <w:sz w:val="32"/>
          <w:szCs w:val="32"/>
          <w:highlight w:val="none"/>
        </w:rPr>
      </w:pPr>
      <w:r>
        <w:drawing>
          <wp:inline distT="0" distB="0" distL="114300" distR="114300">
            <wp:extent cx="4977765" cy="2663825"/>
            <wp:effectExtent l="4445" t="4445" r="8890" b="17780"/>
            <wp:docPr id="21" name="图表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pStyle w:val="26"/>
        <w:numPr>
          <w:ilvl w:val="0"/>
          <w:numId w:val="1"/>
        </w:numPr>
        <w:spacing w:line="600" w:lineRule="exact"/>
        <w:ind w:firstLineChars="0"/>
        <w:outlineLvl w:val="1"/>
        <w:rPr>
          <w:rStyle w:val="28"/>
          <w:rFonts w:ascii="黑体" w:hAnsi="黑体" w:eastAsia="黑体"/>
          <w:b w:val="0"/>
          <w:color w:val="auto"/>
          <w:highlight w:val="none"/>
        </w:rPr>
      </w:pPr>
      <w:bookmarkStart w:id="29" w:name="_Toc15396604"/>
      <w:bookmarkStart w:id="30" w:name="_Toc15377206"/>
      <w:bookmarkStart w:id="31" w:name="_Toc12372"/>
      <w:r>
        <w:rPr>
          <w:rFonts w:hint="eastAsia" w:ascii="黑体" w:hAnsi="黑体" w:eastAsia="黑体"/>
          <w:color w:val="auto"/>
          <w:sz w:val="32"/>
          <w:szCs w:val="32"/>
          <w:highlight w:val="none"/>
        </w:rPr>
        <w:t>收</w:t>
      </w:r>
      <w:r>
        <w:rPr>
          <w:rStyle w:val="28"/>
          <w:rFonts w:hint="eastAsia" w:ascii="黑体" w:hAnsi="黑体" w:eastAsia="黑体"/>
          <w:b w:val="0"/>
          <w:color w:val="auto"/>
          <w:highlight w:val="none"/>
        </w:rPr>
        <w:t>入决算情况说明</w:t>
      </w:r>
      <w:bookmarkEnd w:id="29"/>
      <w:bookmarkEnd w:id="30"/>
      <w:bookmarkEnd w:id="31"/>
    </w:p>
    <w:p>
      <w:pPr>
        <w:spacing w:line="600" w:lineRule="exact"/>
        <w:ind w:firstLine="640" w:firstLineChars="200"/>
        <w:outlineLvl w:val="1"/>
        <w:rPr>
          <w:rFonts w:hint="eastAsia" w:ascii="仿宋" w:hAnsi="仿宋" w:eastAsia="仿宋"/>
          <w:color w:val="auto"/>
          <w:sz w:val="32"/>
          <w:szCs w:val="32"/>
          <w:highlight w:val="red"/>
        </w:rPr>
      </w:pPr>
      <w:bookmarkStart w:id="32" w:name="_Toc3903"/>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年本年收入合计</w:t>
      </w:r>
      <w:r>
        <w:rPr>
          <w:rFonts w:hint="eastAsia" w:ascii="仿宋" w:hAnsi="仿宋" w:eastAsia="仿宋"/>
          <w:color w:val="auto"/>
          <w:sz w:val="32"/>
          <w:szCs w:val="32"/>
          <w:highlight w:val="none"/>
          <w:lang w:val="en-US" w:eastAsia="zh-CN"/>
        </w:rPr>
        <w:t>473.53</w:t>
      </w:r>
      <w:r>
        <w:rPr>
          <w:rFonts w:hint="eastAsia" w:ascii="仿宋" w:hAnsi="仿宋" w:eastAsia="仿宋"/>
          <w:color w:val="auto"/>
          <w:sz w:val="32"/>
          <w:szCs w:val="32"/>
          <w:highlight w:val="none"/>
        </w:rPr>
        <w:t>万元，其中：一般公共预算财政拨款收入</w:t>
      </w:r>
      <w:r>
        <w:rPr>
          <w:rFonts w:hint="eastAsia" w:ascii="仿宋" w:hAnsi="仿宋" w:eastAsia="仿宋"/>
          <w:color w:val="auto"/>
          <w:sz w:val="32"/>
          <w:szCs w:val="32"/>
          <w:highlight w:val="none"/>
          <w:lang w:val="en-US" w:eastAsia="zh-CN"/>
        </w:rPr>
        <w:t>473.53</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100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bookmarkEnd w:id="32"/>
    </w:p>
    <w:p>
      <w:pPr>
        <w:pStyle w:val="5"/>
        <w:rPr>
          <w:rFonts w:hint="eastAsia" w:ascii="仿宋" w:hAnsi="仿宋" w:eastAsia="仿宋"/>
          <w:color w:val="auto"/>
          <w:sz w:val="32"/>
          <w:szCs w:val="32"/>
          <w:highlight w:val="red"/>
        </w:rPr>
      </w:pPr>
      <w:r>
        <w:drawing>
          <wp:anchor distT="0" distB="0" distL="114300" distR="114300" simplePos="0" relativeHeight="251659264" behindDoc="1" locked="0" layoutInCell="1" allowOverlap="1">
            <wp:simplePos x="0" y="0"/>
            <wp:positionH relativeFrom="column">
              <wp:posOffset>183515</wp:posOffset>
            </wp:positionH>
            <wp:positionV relativeFrom="paragraph">
              <wp:posOffset>60960</wp:posOffset>
            </wp:positionV>
            <wp:extent cx="4826000" cy="2439035"/>
            <wp:effectExtent l="4445" t="4445" r="8255" b="71120"/>
            <wp:wrapThrough wrapText="bothSides">
              <wp:wrapPolygon>
                <wp:start x="-20" y="-39"/>
                <wp:lineTo x="-20" y="21555"/>
                <wp:lineTo x="21552" y="21555"/>
                <wp:lineTo x="21552" y="-39"/>
                <wp:lineTo x="-20" y="-39"/>
              </wp:wrapPolygon>
            </wp:wrapThrough>
            <wp:docPr id="22" name="图表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pPr>
        <w:pStyle w:val="5"/>
        <w:rPr>
          <w:rFonts w:hint="eastAsia" w:ascii="仿宋" w:hAnsi="仿宋" w:eastAsia="仿宋"/>
          <w:color w:val="auto"/>
          <w:sz w:val="32"/>
          <w:szCs w:val="32"/>
          <w:highlight w:val="red"/>
        </w:rPr>
      </w:pPr>
    </w:p>
    <w:p>
      <w:pPr>
        <w:pStyle w:val="5"/>
        <w:rPr>
          <w:rFonts w:hint="eastAsia" w:ascii="仿宋" w:hAnsi="仿宋" w:eastAsia="仿宋"/>
          <w:color w:val="auto"/>
          <w:sz w:val="32"/>
          <w:szCs w:val="32"/>
          <w:highlight w:val="red"/>
        </w:rPr>
      </w:pPr>
    </w:p>
    <w:p>
      <w:pPr>
        <w:pStyle w:val="5"/>
        <w:rPr>
          <w:rFonts w:hint="eastAsia" w:ascii="仿宋" w:hAnsi="仿宋" w:eastAsia="仿宋"/>
          <w:color w:val="auto"/>
          <w:sz w:val="32"/>
          <w:szCs w:val="32"/>
          <w:highlight w:val="red"/>
        </w:rPr>
      </w:pPr>
    </w:p>
    <w:p>
      <w:pPr>
        <w:pStyle w:val="5"/>
        <w:rPr>
          <w:rFonts w:hint="eastAsia" w:ascii="仿宋" w:hAnsi="仿宋" w:eastAsia="仿宋"/>
          <w:color w:val="auto"/>
          <w:sz w:val="32"/>
          <w:szCs w:val="32"/>
          <w:highlight w:val="red"/>
        </w:rPr>
      </w:pPr>
    </w:p>
    <w:p>
      <w:pPr>
        <w:spacing w:line="600" w:lineRule="exact"/>
        <w:rPr>
          <w:rFonts w:ascii="仿宋_GB2312" w:eastAsia="仿宋_GB2312"/>
          <w:color w:val="auto"/>
          <w:sz w:val="32"/>
          <w:szCs w:val="32"/>
          <w:highlight w:val="none"/>
        </w:rPr>
      </w:pPr>
    </w:p>
    <w:p>
      <w:pPr>
        <w:pStyle w:val="26"/>
        <w:numPr>
          <w:ilvl w:val="0"/>
          <w:numId w:val="1"/>
        </w:numPr>
        <w:spacing w:line="600" w:lineRule="exact"/>
        <w:ind w:firstLineChars="0"/>
        <w:outlineLvl w:val="1"/>
        <w:rPr>
          <w:rStyle w:val="28"/>
          <w:rFonts w:ascii="黑体" w:hAnsi="黑体" w:eastAsia="黑体"/>
          <w:b w:val="0"/>
          <w:color w:val="auto"/>
          <w:highlight w:val="none"/>
        </w:rPr>
      </w:pPr>
      <w:bookmarkStart w:id="33" w:name="_Toc15377207"/>
      <w:bookmarkStart w:id="34" w:name="_Toc5370"/>
      <w:bookmarkStart w:id="35" w:name="_Toc15396605"/>
      <w:r>
        <w:rPr>
          <w:rFonts w:hint="eastAsia" w:ascii="黑体" w:hAnsi="黑体" w:eastAsia="黑体"/>
          <w:color w:val="auto"/>
          <w:sz w:val="32"/>
          <w:szCs w:val="32"/>
          <w:highlight w:val="none"/>
        </w:rPr>
        <w:t>支</w:t>
      </w:r>
      <w:r>
        <w:rPr>
          <w:rStyle w:val="28"/>
          <w:rFonts w:hint="eastAsia" w:ascii="黑体" w:hAnsi="黑体" w:eastAsia="黑体"/>
          <w:b w:val="0"/>
          <w:color w:val="auto"/>
          <w:highlight w:val="none"/>
        </w:rPr>
        <w:t>出决算情况说明</w:t>
      </w:r>
      <w:bookmarkEnd w:id="33"/>
      <w:bookmarkEnd w:id="34"/>
      <w:bookmarkEnd w:id="35"/>
    </w:p>
    <w:p>
      <w:pPr>
        <w:spacing w:line="600" w:lineRule="exact"/>
        <w:ind w:firstLine="640" w:firstLineChars="200"/>
        <w:outlineLvl w:val="1"/>
        <w:rPr>
          <w:rFonts w:ascii="仿宋" w:hAnsi="仿宋" w:eastAsia="仿宋"/>
          <w:color w:val="auto"/>
          <w:sz w:val="32"/>
          <w:szCs w:val="32"/>
          <w:highlight w:val="none"/>
          <w:shd w:val="pct10" w:color="auto" w:fill="FFFFFF"/>
        </w:rPr>
      </w:pPr>
      <w:bookmarkStart w:id="36" w:name="_Toc29950"/>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年本年支出合计</w:t>
      </w:r>
      <w:r>
        <w:rPr>
          <w:rFonts w:hint="eastAsia" w:ascii="仿宋" w:hAnsi="仿宋" w:eastAsia="仿宋"/>
          <w:color w:val="auto"/>
          <w:sz w:val="32"/>
          <w:szCs w:val="32"/>
          <w:highlight w:val="none"/>
          <w:lang w:val="en-US" w:eastAsia="zh-CN"/>
        </w:rPr>
        <w:t>473.53</w:t>
      </w:r>
      <w:r>
        <w:rPr>
          <w:rFonts w:hint="eastAsia" w:ascii="仿宋" w:hAnsi="仿宋" w:eastAsia="仿宋"/>
          <w:color w:val="auto"/>
          <w:sz w:val="32"/>
          <w:szCs w:val="32"/>
          <w:highlight w:val="none"/>
        </w:rPr>
        <w:t>万元，其中：基本支出</w:t>
      </w:r>
      <w:r>
        <w:rPr>
          <w:rFonts w:hint="eastAsia" w:ascii="仿宋" w:hAnsi="仿宋" w:eastAsia="仿宋"/>
          <w:color w:val="auto"/>
          <w:sz w:val="32"/>
          <w:szCs w:val="32"/>
          <w:highlight w:val="none"/>
          <w:lang w:val="en-US" w:eastAsia="zh-CN"/>
        </w:rPr>
        <w:t>353.22</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74.59</w:t>
      </w:r>
      <w:r>
        <w:rPr>
          <w:rFonts w:ascii="仿宋" w:hAnsi="仿宋" w:eastAsia="仿宋"/>
          <w:color w:val="auto"/>
          <w:sz w:val="32"/>
          <w:szCs w:val="32"/>
          <w:highlight w:val="none"/>
        </w:rPr>
        <w:t>%</w:t>
      </w:r>
      <w:r>
        <w:rPr>
          <w:rFonts w:hint="eastAsia" w:ascii="仿宋" w:hAnsi="仿宋" w:eastAsia="仿宋"/>
          <w:color w:val="auto"/>
          <w:sz w:val="32"/>
          <w:szCs w:val="32"/>
          <w:highlight w:val="none"/>
        </w:rPr>
        <w:t>；项目支出</w:t>
      </w:r>
      <w:r>
        <w:rPr>
          <w:rFonts w:hint="eastAsia" w:ascii="仿宋" w:hAnsi="仿宋" w:eastAsia="仿宋"/>
          <w:color w:val="auto"/>
          <w:sz w:val="32"/>
          <w:szCs w:val="32"/>
          <w:highlight w:val="none"/>
          <w:lang w:val="en-US" w:eastAsia="zh-CN"/>
        </w:rPr>
        <w:t>120.31</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25.41</w:t>
      </w:r>
      <w:r>
        <w:rPr>
          <w:rFonts w:ascii="仿宋" w:hAnsi="仿宋" w:eastAsia="仿宋"/>
          <w:color w:val="auto"/>
          <w:sz w:val="32"/>
          <w:szCs w:val="32"/>
          <w:highlight w:val="none"/>
        </w:rPr>
        <w:t>%</w:t>
      </w:r>
      <w:bookmarkEnd w:id="36"/>
    </w:p>
    <w:p>
      <w:pPr>
        <w:spacing w:line="600" w:lineRule="exact"/>
        <w:ind w:firstLine="420" w:firstLineChars="200"/>
        <w:rPr>
          <w:rFonts w:ascii="仿宋_GB2312" w:eastAsia="仿宋_GB2312"/>
          <w:color w:val="auto"/>
          <w:sz w:val="32"/>
          <w:szCs w:val="32"/>
          <w:highlight w:val="none"/>
        </w:rPr>
      </w:pPr>
      <w:r>
        <w:drawing>
          <wp:anchor distT="0" distB="0" distL="114300" distR="114300" simplePos="0" relativeHeight="251660288" behindDoc="1" locked="0" layoutInCell="1" allowOverlap="1">
            <wp:simplePos x="0" y="0"/>
            <wp:positionH relativeFrom="column">
              <wp:posOffset>312420</wp:posOffset>
            </wp:positionH>
            <wp:positionV relativeFrom="paragraph">
              <wp:posOffset>114300</wp:posOffset>
            </wp:positionV>
            <wp:extent cx="4826000" cy="2743200"/>
            <wp:effectExtent l="4445" t="4445" r="8255" b="14605"/>
            <wp:wrapNone/>
            <wp:docPr id="23" name="图表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p>
    <w:p>
      <w:pPr>
        <w:spacing w:line="600" w:lineRule="exact"/>
        <w:outlineLvl w:val="1"/>
        <w:rPr>
          <w:rFonts w:hint="eastAsia" w:ascii="黑体" w:hAnsi="黑体" w:eastAsia="黑体"/>
          <w:color w:val="auto"/>
          <w:sz w:val="32"/>
          <w:szCs w:val="32"/>
          <w:highlight w:val="none"/>
        </w:rPr>
      </w:pPr>
      <w:bookmarkStart w:id="37" w:name="_Toc15377208"/>
      <w:bookmarkStart w:id="38" w:name="_Toc14148"/>
      <w:bookmarkStart w:id="39" w:name="_Toc15396606"/>
    </w:p>
    <w:p>
      <w:pPr>
        <w:spacing w:line="600" w:lineRule="exact"/>
        <w:ind w:firstLine="640" w:firstLineChars="200"/>
        <w:outlineLvl w:val="1"/>
        <w:rPr>
          <w:rFonts w:hint="eastAsia" w:ascii="黑体" w:hAnsi="黑体" w:eastAsia="黑体"/>
          <w:color w:val="auto"/>
          <w:sz w:val="32"/>
          <w:szCs w:val="32"/>
          <w:highlight w:val="none"/>
        </w:rPr>
      </w:pPr>
    </w:p>
    <w:p>
      <w:pPr>
        <w:spacing w:line="600" w:lineRule="exact"/>
        <w:ind w:firstLine="640" w:firstLineChars="200"/>
        <w:outlineLvl w:val="1"/>
        <w:rPr>
          <w:rFonts w:hint="eastAsia" w:ascii="黑体" w:hAnsi="黑体" w:eastAsia="黑体"/>
          <w:color w:val="auto"/>
          <w:sz w:val="32"/>
          <w:szCs w:val="32"/>
          <w:highlight w:val="none"/>
        </w:rPr>
      </w:pPr>
    </w:p>
    <w:p>
      <w:pPr>
        <w:spacing w:line="600" w:lineRule="exact"/>
        <w:ind w:firstLine="640" w:firstLineChars="200"/>
        <w:outlineLvl w:val="1"/>
        <w:rPr>
          <w:rFonts w:hint="eastAsia" w:ascii="黑体" w:hAnsi="黑体" w:eastAsia="黑体"/>
          <w:color w:val="auto"/>
          <w:sz w:val="32"/>
          <w:szCs w:val="32"/>
          <w:highlight w:val="none"/>
        </w:rPr>
      </w:pPr>
    </w:p>
    <w:p>
      <w:pPr>
        <w:spacing w:line="600" w:lineRule="exact"/>
        <w:ind w:firstLine="640" w:firstLineChars="200"/>
        <w:outlineLvl w:val="1"/>
        <w:rPr>
          <w:rFonts w:hint="eastAsia" w:ascii="黑体" w:hAnsi="黑体" w:eastAsia="黑体"/>
          <w:color w:val="auto"/>
          <w:sz w:val="32"/>
          <w:szCs w:val="32"/>
          <w:highlight w:val="none"/>
        </w:rPr>
      </w:pPr>
    </w:p>
    <w:p>
      <w:pPr>
        <w:spacing w:line="600" w:lineRule="exact"/>
        <w:ind w:firstLine="640" w:firstLineChars="200"/>
        <w:outlineLvl w:val="1"/>
        <w:rPr>
          <w:rFonts w:hint="eastAsia" w:ascii="黑体" w:hAnsi="黑体" w:eastAsia="黑体"/>
          <w:color w:val="auto"/>
          <w:sz w:val="32"/>
          <w:szCs w:val="32"/>
          <w:highlight w:val="none"/>
        </w:rPr>
      </w:pPr>
    </w:p>
    <w:p>
      <w:pPr>
        <w:spacing w:line="600" w:lineRule="exact"/>
        <w:ind w:firstLine="640" w:firstLineChars="200"/>
        <w:outlineLvl w:val="1"/>
        <w:rPr>
          <w:rFonts w:hint="eastAsia" w:ascii="黑体" w:hAnsi="黑体" w:eastAsia="黑体"/>
          <w:color w:val="auto"/>
          <w:sz w:val="32"/>
          <w:szCs w:val="32"/>
          <w:highlight w:val="none"/>
        </w:rPr>
      </w:pPr>
    </w:p>
    <w:p>
      <w:pPr>
        <w:spacing w:line="600" w:lineRule="exact"/>
        <w:ind w:firstLine="640" w:firstLineChars="200"/>
        <w:outlineLvl w:val="1"/>
        <w:rPr>
          <w:rStyle w:val="28"/>
          <w:rFonts w:ascii="黑体" w:hAnsi="黑体" w:eastAsia="黑体"/>
          <w:b w:val="0"/>
          <w:color w:val="auto"/>
          <w:highlight w:val="none"/>
        </w:rPr>
      </w:pPr>
      <w:r>
        <w:rPr>
          <w:rFonts w:hint="eastAsia" w:ascii="黑体" w:hAnsi="黑体" w:eastAsia="黑体"/>
          <w:color w:val="auto"/>
          <w:sz w:val="32"/>
          <w:szCs w:val="32"/>
          <w:highlight w:val="none"/>
        </w:rPr>
        <w:t>四、财</w:t>
      </w:r>
      <w:r>
        <w:rPr>
          <w:rStyle w:val="28"/>
          <w:rFonts w:hint="eastAsia" w:ascii="黑体" w:hAnsi="黑体" w:eastAsia="黑体"/>
          <w:b w:val="0"/>
          <w:color w:val="auto"/>
          <w:highlight w:val="none"/>
        </w:rPr>
        <w:t>政拨款收入支出决算总体情况说明</w:t>
      </w:r>
      <w:bookmarkEnd w:id="37"/>
      <w:bookmarkEnd w:id="38"/>
      <w:bookmarkEnd w:id="39"/>
    </w:p>
    <w:p>
      <w:pPr>
        <w:spacing w:line="600" w:lineRule="exact"/>
        <w:ind w:firstLine="640" w:firstLineChars="200"/>
        <w:rPr>
          <w:rFonts w:hint="eastAsia" w:ascii="仿宋" w:hAnsi="仿宋" w:eastAsia="仿宋"/>
          <w:color w:val="auto"/>
          <w:sz w:val="32"/>
          <w:szCs w:val="32"/>
          <w:highlight w:val="none"/>
          <w:lang w:eastAsia="zh-CN"/>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年财政拨款收、支总计</w:t>
      </w:r>
      <w:r>
        <w:rPr>
          <w:rFonts w:hint="eastAsia" w:ascii="仿宋" w:hAnsi="仿宋" w:eastAsia="仿宋"/>
          <w:color w:val="auto"/>
          <w:sz w:val="32"/>
          <w:szCs w:val="32"/>
          <w:highlight w:val="none"/>
          <w:lang w:val="en-US" w:eastAsia="zh-CN"/>
        </w:rPr>
        <w:t>473.53</w:t>
      </w:r>
      <w:r>
        <w:rPr>
          <w:rFonts w:hint="eastAsia" w:ascii="仿宋" w:hAnsi="仿宋" w:eastAsia="仿宋"/>
          <w:color w:val="auto"/>
          <w:sz w:val="32"/>
          <w:szCs w:val="32"/>
          <w:highlight w:val="none"/>
        </w:rPr>
        <w:t>万元。与</w:t>
      </w: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年相比，财政拨款收、支总计各增加</w:t>
      </w:r>
      <w:r>
        <w:rPr>
          <w:rFonts w:hint="eastAsia" w:ascii="仿宋" w:hAnsi="仿宋" w:eastAsia="仿宋"/>
          <w:color w:val="auto"/>
          <w:sz w:val="32"/>
          <w:szCs w:val="32"/>
          <w:highlight w:val="none"/>
          <w:lang w:val="en-US" w:eastAsia="zh-CN"/>
        </w:rPr>
        <w:t>12.87</w:t>
      </w:r>
      <w:r>
        <w:rPr>
          <w:rFonts w:hint="eastAsia" w:ascii="仿宋" w:hAnsi="仿宋" w:eastAsia="仿宋"/>
          <w:color w:val="auto"/>
          <w:sz w:val="32"/>
          <w:szCs w:val="32"/>
          <w:highlight w:val="none"/>
        </w:rPr>
        <w:t>万元，增长</w:t>
      </w:r>
      <w:r>
        <w:rPr>
          <w:rFonts w:hint="eastAsia" w:ascii="仿宋" w:hAnsi="仿宋" w:eastAsia="仿宋"/>
          <w:color w:val="auto"/>
          <w:sz w:val="32"/>
          <w:szCs w:val="32"/>
          <w:highlight w:val="none"/>
          <w:lang w:val="en-US" w:eastAsia="zh-CN"/>
        </w:rPr>
        <w:t>2.79</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。主要变动原因是</w:t>
      </w:r>
      <w:r>
        <w:rPr>
          <w:rFonts w:hint="eastAsia" w:ascii="仿宋" w:hAnsi="仿宋" w:eastAsia="仿宋"/>
          <w:color w:val="auto"/>
          <w:sz w:val="32"/>
          <w:szCs w:val="32"/>
          <w:highlight w:val="none"/>
          <w:lang w:eastAsia="zh-CN"/>
        </w:rPr>
        <w:t>中央财政补助资金（医疗服务与保障能力提升资金）等资金增加。</w:t>
      </w:r>
    </w:p>
    <w:p>
      <w:pPr>
        <w:spacing w:line="600" w:lineRule="exact"/>
        <w:rPr>
          <w:rFonts w:ascii="仿宋" w:hAnsi="仿宋" w:eastAsia="仿宋"/>
          <w:b/>
          <w:color w:val="auto"/>
          <w:sz w:val="32"/>
          <w:szCs w:val="32"/>
          <w:highlight w:val="none"/>
        </w:rPr>
      </w:pPr>
      <w:r>
        <w:drawing>
          <wp:anchor distT="0" distB="0" distL="114300" distR="114300" simplePos="0" relativeHeight="251660288" behindDoc="1" locked="0" layoutInCell="1" allowOverlap="1">
            <wp:simplePos x="0" y="0"/>
            <wp:positionH relativeFrom="column">
              <wp:posOffset>238760</wp:posOffset>
            </wp:positionH>
            <wp:positionV relativeFrom="paragraph">
              <wp:posOffset>89535</wp:posOffset>
            </wp:positionV>
            <wp:extent cx="4826000" cy="2512060"/>
            <wp:effectExtent l="4445" t="4445" r="8255" b="17145"/>
            <wp:wrapNone/>
            <wp:docPr id="24" name="图表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p>
    <w:p>
      <w:pPr>
        <w:spacing w:line="600" w:lineRule="exact"/>
        <w:ind w:firstLine="640" w:firstLineChars="200"/>
        <w:outlineLvl w:val="1"/>
        <w:rPr>
          <w:rFonts w:hint="eastAsia" w:ascii="黑体" w:hAnsi="黑体" w:eastAsia="黑体"/>
          <w:color w:val="auto"/>
          <w:sz w:val="32"/>
          <w:szCs w:val="32"/>
          <w:highlight w:val="none"/>
        </w:rPr>
      </w:pPr>
      <w:bookmarkStart w:id="40" w:name="_Toc15396607"/>
      <w:bookmarkStart w:id="41" w:name="_Toc26541"/>
      <w:bookmarkStart w:id="42" w:name="_Toc15377209"/>
    </w:p>
    <w:p>
      <w:pPr>
        <w:spacing w:line="600" w:lineRule="exact"/>
        <w:ind w:firstLine="640" w:firstLineChars="200"/>
        <w:outlineLvl w:val="1"/>
        <w:rPr>
          <w:rFonts w:hint="eastAsia" w:ascii="黑体" w:hAnsi="黑体" w:eastAsia="黑体"/>
          <w:color w:val="auto"/>
          <w:sz w:val="32"/>
          <w:szCs w:val="32"/>
          <w:highlight w:val="none"/>
        </w:rPr>
      </w:pPr>
    </w:p>
    <w:p>
      <w:pPr>
        <w:spacing w:line="600" w:lineRule="exact"/>
        <w:ind w:firstLine="640" w:firstLineChars="200"/>
        <w:outlineLvl w:val="1"/>
        <w:rPr>
          <w:rFonts w:hint="eastAsia" w:ascii="黑体" w:hAnsi="黑体" w:eastAsia="黑体"/>
          <w:color w:val="auto"/>
          <w:sz w:val="32"/>
          <w:szCs w:val="32"/>
          <w:highlight w:val="none"/>
        </w:rPr>
      </w:pPr>
    </w:p>
    <w:p>
      <w:pPr>
        <w:spacing w:line="600" w:lineRule="exact"/>
        <w:ind w:firstLine="640" w:firstLineChars="200"/>
        <w:outlineLvl w:val="1"/>
        <w:rPr>
          <w:rFonts w:hint="eastAsia" w:ascii="黑体" w:hAnsi="黑体" w:eastAsia="黑体"/>
          <w:color w:val="auto"/>
          <w:sz w:val="32"/>
          <w:szCs w:val="32"/>
          <w:highlight w:val="none"/>
        </w:rPr>
      </w:pPr>
    </w:p>
    <w:p>
      <w:pPr>
        <w:spacing w:line="600" w:lineRule="exact"/>
        <w:ind w:firstLine="640" w:firstLineChars="200"/>
        <w:outlineLvl w:val="1"/>
        <w:rPr>
          <w:rFonts w:hint="eastAsia" w:ascii="黑体" w:hAnsi="黑体" w:eastAsia="黑体"/>
          <w:color w:val="auto"/>
          <w:sz w:val="32"/>
          <w:szCs w:val="32"/>
          <w:highlight w:val="none"/>
        </w:rPr>
      </w:pPr>
    </w:p>
    <w:p>
      <w:pPr>
        <w:spacing w:line="600" w:lineRule="exact"/>
        <w:outlineLvl w:val="1"/>
        <w:rPr>
          <w:rFonts w:hint="eastAsia" w:ascii="黑体" w:hAnsi="黑体" w:eastAsia="黑体"/>
          <w:color w:val="auto"/>
          <w:sz w:val="32"/>
          <w:szCs w:val="32"/>
          <w:highlight w:val="none"/>
        </w:rPr>
      </w:pPr>
    </w:p>
    <w:p>
      <w:pPr>
        <w:spacing w:line="600" w:lineRule="exact"/>
        <w:ind w:firstLine="640" w:firstLineChars="200"/>
        <w:outlineLvl w:val="1"/>
        <w:rPr>
          <w:rStyle w:val="28"/>
          <w:rFonts w:ascii="黑体" w:hAnsi="黑体" w:eastAsia="黑体"/>
          <w:b w:val="0"/>
          <w:color w:val="auto"/>
          <w:highlight w:val="none"/>
        </w:rPr>
      </w:pPr>
      <w:r>
        <w:rPr>
          <w:rFonts w:hint="eastAsia" w:ascii="黑体" w:hAnsi="黑体" w:eastAsia="黑体"/>
          <w:color w:val="auto"/>
          <w:sz w:val="32"/>
          <w:szCs w:val="32"/>
          <w:highlight w:val="none"/>
        </w:rPr>
        <w:t>五、</w:t>
      </w:r>
      <w:r>
        <w:rPr>
          <w:rFonts w:hint="eastAsia" w:ascii="黑体" w:hAnsi="黑体" w:eastAsia="黑体"/>
          <w:b/>
          <w:color w:val="auto"/>
          <w:sz w:val="32"/>
          <w:szCs w:val="32"/>
          <w:highlight w:val="none"/>
        </w:rPr>
        <w:t>一</w:t>
      </w:r>
      <w:r>
        <w:rPr>
          <w:rStyle w:val="28"/>
          <w:rFonts w:hint="eastAsia" w:ascii="黑体" w:hAnsi="黑体" w:eastAsia="黑体"/>
          <w:b w:val="0"/>
          <w:color w:val="auto"/>
          <w:highlight w:val="none"/>
        </w:rPr>
        <w:t>般公共预算财政拨款支出决算情况说明</w:t>
      </w:r>
      <w:bookmarkEnd w:id="40"/>
      <w:bookmarkEnd w:id="41"/>
      <w:bookmarkEnd w:id="42"/>
    </w:p>
    <w:p>
      <w:pPr>
        <w:spacing w:line="600" w:lineRule="exact"/>
        <w:ind w:firstLine="643" w:firstLineChars="200"/>
        <w:outlineLvl w:val="2"/>
        <w:rPr>
          <w:rFonts w:ascii="仿宋" w:hAnsi="仿宋" w:eastAsia="仿宋"/>
          <w:b/>
          <w:color w:val="auto"/>
          <w:sz w:val="32"/>
          <w:szCs w:val="32"/>
          <w:highlight w:val="none"/>
        </w:rPr>
      </w:pPr>
      <w:bookmarkStart w:id="43" w:name="_Toc15377210"/>
      <w:r>
        <w:rPr>
          <w:rFonts w:hint="eastAsia" w:ascii="仿宋" w:hAnsi="仿宋" w:eastAsia="仿宋"/>
          <w:b/>
          <w:color w:val="auto"/>
          <w:sz w:val="32"/>
          <w:szCs w:val="32"/>
          <w:highlight w:val="none"/>
        </w:rPr>
        <w:t>（一）一般公共预算财政拨款支出决算总体情况</w:t>
      </w:r>
      <w:bookmarkEnd w:id="43"/>
    </w:p>
    <w:p>
      <w:pPr>
        <w:spacing w:line="600" w:lineRule="exact"/>
        <w:ind w:firstLine="640" w:firstLineChars="200"/>
        <w:rPr>
          <w:rFonts w:hint="eastAsia" w:ascii="仿宋" w:hAnsi="仿宋" w:eastAsia="仿宋"/>
          <w:color w:val="auto"/>
          <w:sz w:val="32"/>
          <w:szCs w:val="32"/>
          <w:highlight w:val="none"/>
          <w:lang w:eastAsia="zh-CN"/>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年一般公共预算财政拨款支出</w:t>
      </w:r>
      <w:r>
        <w:rPr>
          <w:rFonts w:hint="eastAsia" w:ascii="仿宋" w:hAnsi="仿宋" w:eastAsia="仿宋"/>
          <w:color w:val="auto"/>
          <w:sz w:val="32"/>
          <w:szCs w:val="32"/>
          <w:highlight w:val="none"/>
          <w:lang w:val="en-US" w:eastAsia="zh-CN"/>
        </w:rPr>
        <w:t>473.53</w:t>
      </w:r>
      <w:r>
        <w:rPr>
          <w:rFonts w:hint="eastAsia" w:ascii="仿宋" w:hAnsi="仿宋" w:eastAsia="仿宋"/>
          <w:color w:val="auto"/>
          <w:sz w:val="32"/>
          <w:szCs w:val="32"/>
          <w:highlight w:val="none"/>
        </w:rPr>
        <w:t>万元，占本年支出合计的</w:t>
      </w:r>
      <w:r>
        <w:rPr>
          <w:rFonts w:hint="eastAsia" w:ascii="仿宋" w:hAnsi="仿宋" w:eastAsia="仿宋"/>
          <w:color w:val="auto"/>
          <w:sz w:val="32"/>
          <w:szCs w:val="32"/>
          <w:highlight w:val="none"/>
          <w:lang w:val="en-US" w:eastAsia="zh-CN"/>
        </w:rPr>
        <w:t>100</w:t>
      </w:r>
      <w:r>
        <w:rPr>
          <w:rFonts w:ascii="仿宋" w:hAnsi="仿宋" w:eastAsia="仿宋"/>
          <w:color w:val="auto"/>
          <w:sz w:val="32"/>
          <w:szCs w:val="32"/>
          <w:highlight w:val="none"/>
        </w:rPr>
        <w:t>%</w:t>
      </w:r>
      <w:r>
        <w:rPr>
          <w:rFonts w:hint="eastAsia" w:ascii="仿宋" w:hAnsi="仿宋" w:eastAsia="仿宋"/>
          <w:color w:val="auto"/>
          <w:sz w:val="32"/>
          <w:szCs w:val="32"/>
          <w:highlight w:val="none"/>
        </w:rPr>
        <w:t>。与</w:t>
      </w: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年相比，一般公共预算财政拨款</w:t>
      </w:r>
      <w:r>
        <w:rPr>
          <w:rFonts w:hint="eastAsia" w:ascii="仿宋" w:hAnsi="仿宋" w:eastAsia="仿宋"/>
          <w:color w:val="auto"/>
          <w:sz w:val="32"/>
          <w:szCs w:val="32"/>
          <w:highlight w:val="none"/>
          <w:lang w:eastAsia="zh-CN"/>
        </w:rPr>
        <w:t>支出</w:t>
      </w:r>
      <w:r>
        <w:rPr>
          <w:rFonts w:hint="eastAsia" w:ascii="仿宋" w:hAnsi="仿宋" w:eastAsia="仿宋"/>
          <w:color w:val="auto"/>
          <w:sz w:val="32"/>
          <w:szCs w:val="32"/>
          <w:highlight w:val="none"/>
        </w:rPr>
        <w:t>增加</w:t>
      </w:r>
      <w:r>
        <w:rPr>
          <w:rFonts w:hint="eastAsia" w:ascii="仿宋" w:hAnsi="仿宋" w:eastAsia="仿宋"/>
          <w:color w:val="auto"/>
          <w:sz w:val="32"/>
          <w:szCs w:val="32"/>
          <w:highlight w:val="none"/>
          <w:lang w:val="en-US" w:eastAsia="zh-CN"/>
        </w:rPr>
        <w:t>12.87</w:t>
      </w:r>
      <w:r>
        <w:rPr>
          <w:rFonts w:hint="eastAsia" w:ascii="仿宋" w:hAnsi="仿宋" w:eastAsia="仿宋"/>
          <w:color w:val="auto"/>
          <w:sz w:val="32"/>
          <w:szCs w:val="32"/>
          <w:highlight w:val="none"/>
        </w:rPr>
        <w:t>万元，增长</w:t>
      </w:r>
      <w:r>
        <w:rPr>
          <w:rFonts w:hint="eastAsia" w:ascii="仿宋" w:hAnsi="仿宋" w:eastAsia="仿宋"/>
          <w:color w:val="auto"/>
          <w:sz w:val="32"/>
          <w:szCs w:val="32"/>
          <w:highlight w:val="none"/>
          <w:lang w:val="en-US" w:eastAsia="zh-CN"/>
        </w:rPr>
        <w:t>2.79</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。主要变动原因是</w:t>
      </w:r>
      <w:r>
        <w:rPr>
          <w:rFonts w:hint="eastAsia" w:ascii="仿宋" w:hAnsi="仿宋" w:eastAsia="仿宋"/>
          <w:color w:val="auto"/>
          <w:sz w:val="32"/>
          <w:szCs w:val="32"/>
          <w:highlight w:val="none"/>
          <w:lang w:eastAsia="zh-CN"/>
        </w:rPr>
        <w:t>中央财政补助资金（医疗服务与保障能力提升资金）等资金增加。</w:t>
      </w:r>
    </w:p>
    <w:p>
      <w:pPr>
        <w:spacing w:line="600" w:lineRule="exact"/>
        <w:ind w:firstLine="420" w:firstLineChars="200"/>
        <w:rPr>
          <w:rFonts w:ascii="仿宋" w:hAnsi="仿宋" w:eastAsia="仿宋"/>
          <w:color w:val="auto"/>
          <w:sz w:val="32"/>
          <w:szCs w:val="32"/>
          <w:highlight w:val="none"/>
        </w:rPr>
      </w:pPr>
      <w:r>
        <w:drawing>
          <wp:anchor distT="0" distB="0" distL="114300" distR="114300" simplePos="0" relativeHeight="251660288" behindDoc="1" locked="0" layoutInCell="1" allowOverlap="1">
            <wp:simplePos x="0" y="0"/>
            <wp:positionH relativeFrom="column">
              <wp:posOffset>302260</wp:posOffset>
            </wp:positionH>
            <wp:positionV relativeFrom="paragraph">
              <wp:posOffset>172720</wp:posOffset>
            </wp:positionV>
            <wp:extent cx="4826000" cy="2743200"/>
            <wp:effectExtent l="4445" t="4445" r="8255" b="14605"/>
            <wp:wrapNone/>
            <wp:docPr id="1" name="图表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p>
    <w:p>
      <w:pPr>
        <w:spacing w:line="600" w:lineRule="exact"/>
        <w:ind w:firstLine="420" w:firstLineChars="200"/>
        <w:outlineLvl w:val="2"/>
      </w:pPr>
      <w:bookmarkStart w:id="44" w:name="_Toc15377211"/>
    </w:p>
    <w:p>
      <w:pPr>
        <w:spacing w:line="600" w:lineRule="exact"/>
        <w:outlineLvl w:val="2"/>
      </w:pPr>
    </w:p>
    <w:p>
      <w:pPr>
        <w:spacing w:line="600" w:lineRule="exact"/>
        <w:outlineLvl w:val="2"/>
      </w:pPr>
    </w:p>
    <w:p>
      <w:pPr>
        <w:spacing w:line="600" w:lineRule="exact"/>
        <w:outlineLvl w:val="2"/>
      </w:pPr>
    </w:p>
    <w:p>
      <w:pPr>
        <w:spacing w:line="600" w:lineRule="exact"/>
        <w:outlineLvl w:val="2"/>
      </w:pPr>
    </w:p>
    <w:p>
      <w:pPr>
        <w:spacing w:line="600" w:lineRule="exact"/>
        <w:outlineLvl w:val="2"/>
      </w:pPr>
    </w:p>
    <w:p>
      <w:pPr>
        <w:spacing w:line="600" w:lineRule="exact"/>
        <w:outlineLvl w:val="2"/>
      </w:pPr>
    </w:p>
    <w:p>
      <w:pPr>
        <w:spacing w:line="600" w:lineRule="exact"/>
        <w:ind w:firstLine="321" w:firstLineChars="100"/>
        <w:outlineLvl w:val="2"/>
        <w:rPr>
          <w:rFonts w:ascii="仿宋" w:hAnsi="仿宋" w:eastAsia="仿宋"/>
          <w:b/>
          <w:color w:val="auto"/>
          <w:sz w:val="32"/>
          <w:szCs w:val="32"/>
          <w:highlight w:val="none"/>
        </w:rPr>
      </w:pPr>
      <w:r>
        <w:rPr>
          <w:rFonts w:hint="eastAsia" w:ascii="仿宋" w:hAnsi="仿宋" w:eastAsia="仿宋"/>
          <w:b/>
          <w:color w:val="auto"/>
          <w:sz w:val="32"/>
          <w:szCs w:val="32"/>
          <w:highlight w:val="none"/>
        </w:rPr>
        <w:t>（二）一般公共预算财政拨款支出决算结构情况</w:t>
      </w:r>
      <w:bookmarkEnd w:id="44"/>
    </w:p>
    <w:p>
      <w:pPr>
        <w:spacing w:line="600" w:lineRule="exact"/>
        <w:ind w:firstLine="640"/>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年一般公共预算财政拨款支出</w:t>
      </w:r>
      <w:r>
        <w:rPr>
          <w:rFonts w:hint="eastAsia" w:ascii="仿宋" w:hAnsi="仿宋" w:eastAsia="仿宋"/>
          <w:color w:val="auto"/>
          <w:sz w:val="32"/>
          <w:szCs w:val="32"/>
          <w:highlight w:val="none"/>
          <w:lang w:val="en-US" w:eastAsia="zh-CN"/>
        </w:rPr>
        <w:t>473.53</w:t>
      </w:r>
      <w:r>
        <w:rPr>
          <w:rFonts w:hint="eastAsia" w:ascii="仿宋" w:hAnsi="仿宋" w:eastAsia="仿宋"/>
          <w:color w:val="auto"/>
          <w:sz w:val="32"/>
          <w:szCs w:val="32"/>
          <w:highlight w:val="none"/>
        </w:rPr>
        <w:t>万元，主要用于以下方面</w:t>
      </w:r>
      <w:r>
        <w:rPr>
          <w:rFonts w:ascii="仿宋" w:hAnsi="仿宋" w:eastAsia="仿宋"/>
          <w:color w:val="auto"/>
          <w:sz w:val="32"/>
          <w:szCs w:val="32"/>
          <w:highlight w:val="none"/>
        </w:rPr>
        <w:t>:</w:t>
      </w:r>
      <w:r>
        <w:rPr>
          <w:rFonts w:hint="eastAsia" w:ascii="仿宋" w:hAnsi="仿宋" w:eastAsia="仿宋"/>
          <w:b/>
          <w:color w:val="auto"/>
          <w:sz w:val="32"/>
          <w:szCs w:val="32"/>
          <w:highlight w:val="none"/>
        </w:rPr>
        <w:t>社会保障和就业</w:t>
      </w:r>
      <w:r>
        <w:rPr>
          <w:rFonts w:hint="eastAsia" w:ascii="仿宋" w:hAnsi="仿宋" w:eastAsia="仿宋"/>
          <w:b/>
          <w:bCs/>
          <w:color w:val="auto"/>
          <w:sz w:val="32"/>
          <w:szCs w:val="32"/>
          <w:highlight w:val="none"/>
        </w:rPr>
        <w:t>支出</w:t>
      </w:r>
      <w:r>
        <w:rPr>
          <w:rFonts w:hint="eastAsia" w:ascii="仿宋" w:hAnsi="仿宋" w:eastAsia="仿宋"/>
          <w:color w:val="auto"/>
          <w:sz w:val="32"/>
          <w:szCs w:val="32"/>
          <w:highlight w:val="none"/>
          <w:lang w:val="en-US" w:eastAsia="zh-CN"/>
        </w:rPr>
        <w:t>318.90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67.35</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bCs/>
          <w:color w:val="auto"/>
          <w:sz w:val="32"/>
          <w:szCs w:val="32"/>
          <w:highlight w:val="none"/>
        </w:rPr>
        <w:t>卫生健康支出</w:t>
      </w:r>
      <w:r>
        <w:rPr>
          <w:rFonts w:hint="eastAsia" w:ascii="仿宋" w:hAnsi="仿宋" w:eastAsia="仿宋"/>
          <w:color w:val="auto"/>
          <w:sz w:val="32"/>
          <w:szCs w:val="32"/>
          <w:highlight w:val="none"/>
          <w:lang w:val="en-US" w:eastAsia="zh-CN"/>
        </w:rPr>
        <w:t>135.08</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28.53</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bCs/>
          <w:color w:val="auto"/>
          <w:sz w:val="32"/>
          <w:szCs w:val="32"/>
          <w:highlight w:val="none"/>
        </w:rPr>
        <w:t>住房保障支出</w:t>
      </w:r>
      <w:r>
        <w:rPr>
          <w:rFonts w:hint="eastAsia" w:ascii="仿宋" w:hAnsi="仿宋" w:eastAsia="仿宋"/>
          <w:color w:val="auto"/>
          <w:sz w:val="32"/>
          <w:szCs w:val="32"/>
          <w:highlight w:val="none"/>
          <w:lang w:val="en-US" w:eastAsia="zh-CN"/>
        </w:rPr>
        <w:t>19.55</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4.12</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p>
    <w:p>
      <w:pPr>
        <w:spacing w:line="600" w:lineRule="exact"/>
        <w:ind w:firstLine="643" w:firstLineChars="200"/>
        <w:outlineLvl w:val="2"/>
        <w:rPr>
          <w:rFonts w:hint="eastAsia" w:ascii="仿宋" w:hAnsi="仿宋" w:eastAsia="仿宋"/>
          <w:b/>
          <w:color w:val="auto"/>
          <w:sz w:val="32"/>
          <w:szCs w:val="32"/>
          <w:highlight w:val="none"/>
        </w:rPr>
      </w:pPr>
      <w:bookmarkStart w:id="45" w:name="_Toc15377212"/>
    </w:p>
    <w:p>
      <w:pPr>
        <w:spacing w:line="600" w:lineRule="exact"/>
        <w:ind w:firstLine="643" w:firstLineChars="200"/>
        <w:outlineLvl w:val="2"/>
        <w:rPr>
          <w:rFonts w:hint="eastAsia" w:ascii="仿宋" w:hAnsi="仿宋" w:eastAsia="仿宋"/>
          <w:b/>
          <w:color w:val="auto"/>
          <w:sz w:val="32"/>
          <w:szCs w:val="32"/>
          <w:highlight w:val="none"/>
        </w:rPr>
      </w:pPr>
    </w:p>
    <w:p>
      <w:pPr>
        <w:spacing w:line="600" w:lineRule="exact"/>
        <w:ind w:firstLine="643" w:firstLineChars="200"/>
        <w:outlineLvl w:val="2"/>
        <w:rPr>
          <w:rFonts w:hint="eastAsia" w:ascii="仿宋" w:hAnsi="仿宋" w:eastAsia="仿宋"/>
          <w:b/>
          <w:color w:val="auto"/>
          <w:sz w:val="32"/>
          <w:szCs w:val="32"/>
          <w:highlight w:val="none"/>
        </w:rPr>
      </w:pPr>
    </w:p>
    <w:p>
      <w:pPr>
        <w:spacing w:line="600" w:lineRule="exact"/>
        <w:ind w:firstLine="643" w:firstLineChars="200"/>
        <w:outlineLvl w:val="2"/>
        <w:rPr>
          <w:rFonts w:hint="eastAsia" w:ascii="仿宋" w:hAnsi="仿宋" w:eastAsia="仿宋"/>
          <w:b/>
          <w:color w:val="auto"/>
          <w:sz w:val="32"/>
          <w:szCs w:val="32"/>
          <w:highlight w:val="none"/>
        </w:rPr>
      </w:pPr>
    </w:p>
    <w:p>
      <w:pPr>
        <w:spacing w:line="600" w:lineRule="exact"/>
        <w:ind w:firstLine="420" w:firstLineChars="200"/>
        <w:outlineLvl w:val="2"/>
        <w:rPr>
          <w:rFonts w:hint="eastAsia" w:ascii="仿宋" w:hAnsi="仿宋" w:eastAsia="仿宋"/>
          <w:b/>
          <w:color w:val="auto"/>
          <w:sz w:val="32"/>
          <w:szCs w:val="32"/>
          <w:highlight w:val="none"/>
        </w:rPr>
      </w:pPr>
      <w:r>
        <w:drawing>
          <wp:anchor distT="0" distB="0" distL="114300" distR="114300" simplePos="0" relativeHeight="251660288" behindDoc="1" locked="0" layoutInCell="1" allowOverlap="1">
            <wp:simplePos x="0" y="0"/>
            <wp:positionH relativeFrom="column">
              <wp:posOffset>167640</wp:posOffset>
            </wp:positionH>
            <wp:positionV relativeFrom="paragraph">
              <wp:posOffset>-29210</wp:posOffset>
            </wp:positionV>
            <wp:extent cx="4826000" cy="2743200"/>
            <wp:effectExtent l="4445" t="4445" r="8255" b="14605"/>
            <wp:wrapNone/>
            <wp:docPr id="25" name="图表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anchor>
        </w:drawing>
      </w:r>
    </w:p>
    <w:p>
      <w:pPr>
        <w:spacing w:line="600" w:lineRule="exact"/>
        <w:ind w:firstLine="643" w:firstLineChars="200"/>
        <w:outlineLvl w:val="2"/>
        <w:rPr>
          <w:rFonts w:hint="eastAsia" w:ascii="仿宋" w:hAnsi="仿宋" w:eastAsia="仿宋"/>
          <w:b/>
          <w:color w:val="auto"/>
          <w:sz w:val="32"/>
          <w:szCs w:val="32"/>
          <w:highlight w:val="none"/>
        </w:rPr>
      </w:pPr>
    </w:p>
    <w:p>
      <w:pPr>
        <w:spacing w:line="600" w:lineRule="exact"/>
        <w:ind w:firstLine="643" w:firstLineChars="200"/>
        <w:outlineLvl w:val="2"/>
        <w:rPr>
          <w:rFonts w:hint="eastAsia" w:ascii="仿宋" w:hAnsi="仿宋" w:eastAsia="仿宋"/>
          <w:b/>
          <w:color w:val="auto"/>
          <w:sz w:val="32"/>
          <w:szCs w:val="32"/>
          <w:highlight w:val="none"/>
        </w:rPr>
      </w:pPr>
    </w:p>
    <w:p>
      <w:pPr>
        <w:spacing w:line="600" w:lineRule="exact"/>
        <w:ind w:firstLine="643" w:firstLineChars="200"/>
        <w:outlineLvl w:val="2"/>
        <w:rPr>
          <w:rFonts w:hint="eastAsia" w:ascii="仿宋" w:hAnsi="仿宋" w:eastAsia="仿宋"/>
          <w:b/>
          <w:color w:val="auto"/>
          <w:sz w:val="32"/>
          <w:szCs w:val="32"/>
          <w:highlight w:val="none"/>
        </w:rPr>
      </w:pPr>
    </w:p>
    <w:p>
      <w:pPr>
        <w:spacing w:line="600" w:lineRule="exact"/>
        <w:ind w:firstLine="643" w:firstLineChars="200"/>
        <w:outlineLvl w:val="2"/>
        <w:rPr>
          <w:rFonts w:hint="eastAsia" w:ascii="仿宋" w:hAnsi="仿宋" w:eastAsia="仿宋"/>
          <w:b/>
          <w:color w:val="auto"/>
          <w:sz w:val="32"/>
          <w:szCs w:val="32"/>
          <w:highlight w:val="none"/>
        </w:rPr>
      </w:pPr>
    </w:p>
    <w:p>
      <w:pPr>
        <w:spacing w:line="600" w:lineRule="exact"/>
        <w:ind w:firstLine="643" w:firstLineChars="200"/>
        <w:outlineLvl w:val="2"/>
        <w:rPr>
          <w:rFonts w:hint="eastAsia" w:ascii="仿宋" w:hAnsi="仿宋" w:eastAsia="仿宋"/>
          <w:b/>
          <w:color w:val="auto"/>
          <w:sz w:val="32"/>
          <w:szCs w:val="32"/>
          <w:highlight w:val="none"/>
        </w:rPr>
      </w:pPr>
    </w:p>
    <w:p>
      <w:pPr>
        <w:spacing w:line="600" w:lineRule="exact"/>
        <w:ind w:firstLine="643" w:firstLineChars="200"/>
        <w:outlineLvl w:val="2"/>
        <w:rPr>
          <w:rFonts w:hint="eastAsia" w:ascii="仿宋" w:hAnsi="仿宋" w:eastAsia="仿宋"/>
          <w:b/>
          <w:color w:val="auto"/>
          <w:sz w:val="32"/>
          <w:szCs w:val="32"/>
          <w:highlight w:val="none"/>
        </w:rPr>
      </w:pPr>
    </w:p>
    <w:p>
      <w:pPr>
        <w:spacing w:line="600" w:lineRule="exact"/>
        <w:ind w:firstLine="643" w:firstLineChars="200"/>
        <w:outlineLvl w:val="2"/>
        <w:rPr>
          <w:rFonts w:ascii="仿宋" w:hAnsi="仿宋" w:eastAsia="仿宋"/>
          <w:b/>
          <w:color w:val="auto"/>
          <w:sz w:val="32"/>
          <w:szCs w:val="32"/>
          <w:highlight w:val="none"/>
        </w:rPr>
      </w:pPr>
      <w:r>
        <w:rPr>
          <w:rFonts w:hint="eastAsia" w:ascii="仿宋" w:hAnsi="仿宋" w:eastAsia="仿宋"/>
          <w:b/>
          <w:color w:val="auto"/>
          <w:sz w:val="32"/>
          <w:szCs w:val="32"/>
          <w:highlight w:val="none"/>
        </w:rPr>
        <w:t>（三）一般公共预算财政拨款支出决算具体情况</w:t>
      </w:r>
      <w:bookmarkEnd w:id="45"/>
    </w:p>
    <w:p>
      <w:pPr>
        <w:spacing w:line="600" w:lineRule="exact"/>
        <w:ind w:firstLine="643" w:firstLineChars="200"/>
        <w:outlineLvl w:val="1"/>
        <w:rPr>
          <w:rFonts w:ascii="仿宋" w:hAnsi="仿宋" w:eastAsia="仿宋"/>
          <w:color w:val="auto"/>
          <w:sz w:val="32"/>
          <w:szCs w:val="32"/>
          <w:highlight w:val="none"/>
        </w:rPr>
      </w:pPr>
      <w:bookmarkStart w:id="46" w:name="_Toc15378460"/>
      <w:bookmarkStart w:id="47" w:name="_Toc15377444"/>
      <w:bookmarkStart w:id="48" w:name="_Toc15377213"/>
      <w:bookmarkStart w:id="49" w:name="_Toc22067"/>
      <w:r>
        <w:rPr>
          <w:rFonts w:hint="eastAsia" w:ascii="仿宋" w:hAnsi="仿宋" w:eastAsia="仿宋"/>
          <w:b/>
          <w:color w:val="auto"/>
          <w:sz w:val="32"/>
          <w:szCs w:val="32"/>
          <w:highlight w:val="none"/>
        </w:rPr>
        <w:t>20</w:t>
      </w:r>
      <w:r>
        <w:rPr>
          <w:rFonts w:hint="eastAsia" w:ascii="仿宋" w:hAnsi="仿宋" w:eastAsia="仿宋"/>
          <w:b/>
          <w:color w:val="auto"/>
          <w:sz w:val="32"/>
          <w:szCs w:val="32"/>
          <w:highlight w:val="none"/>
          <w:lang w:val="en-US" w:eastAsia="zh-CN"/>
        </w:rPr>
        <w:t>22</w:t>
      </w:r>
      <w:r>
        <w:rPr>
          <w:rFonts w:hint="eastAsia" w:ascii="仿宋" w:hAnsi="仿宋" w:eastAsia="仿宋"/>
          <w:b/>
          <w:color w:val="auto"/>
          <w:sz w:val="32"/>
          <w:szCs w:val="32"/>
          <w:highlight w:val="none"/>
        </w:rPr>
        <w:t>年</w:t>
      </w:r>
      <w:r>
        <w:rPr>
          <w:rFonts w:hint="eastAsia" w:ascii="仿宋" w:hAnsi="仿宋" w:eastAsia="仿宋"/>
          <w:b/>
          <w:color w:val="auto"/>
          <w:sz w:val="32"/>
          <w:szCs w:val="32"/>
          <w:highlight w:val="none"/>
          <w:lang w:eastAsia="zh-CN"/>
        </w:rPr>
        <w:t>一</w:t>
      </w:r>
      <w:r>
        <w:rPr>
          <w:rFonts w:hint="eastAsia" w:ascii="仿宋" w:hAnsi="仿宋" w:eastAsia="仿宋"/>
          <w:b/>
          <w:color w:val="auto"/>
          <w:sz w:val="32"/>
          <w:szCs w:val="32"/>
          <w:highlight w:val="none"/>
        </w:rPr>
        <w:t>般公共预算支出决算数为</w:t>
      </w:r>
      <w:r>
        <w:rPr>
          <w:rFonts w:hint="eastAsia" w:ascii="仿宋" w:hAnsi="仿宋" w:eastAsia="仿宋"/>
          <w:b/>
          <w:color w:val="auto"/>
          <w:sz w:val="32"/>
          <w:szCs w:val="32"/>
          <w:highlight w:val="none"/>
          <w:lang w:val="en-US" w:eastAsia="zh-CN"/>
        </w:rPr>
        <w:t>473.53万元</w:t>
      </w:r>
      <w:r>
        <w:rPr>
          <w:rFonts w:hint="eastAsia" w:ascii="仿宋" w:hAnsi="仿宋" w:eastAsia="仿宋"/>
          <w:color w:val="auto"/>
          <w:sz w:val="32"/>
          <w:szCs w:val="32"/>
          <w:highlight w:val="none"/>
        </w:rPr>
        <w:t>，</w:t>
      </w:r>
      <w:r>
        <w:rPr>
          <w:rStyle w:val="16"/>
          <w:rFonts w:hint="eastAsia" w:ascii="仿宋" w:hAnsi="仿宋" w:eastAsia="仿宋"/>
          <w:bCs/>
          <w:color w:val="auto"/>
          <w:sz w:val="32"/>
          <w:szCs w:val="32"/>
          <w:highlight w:val="none"/>
        </w:rPr>
        <w:t>完成预算</w:t>
      </w:r>
      <w:r>
        <w:rPr>
          <w:rStyle w:val="16"/>
          <w:rFonts w:hint="eastAsia" w:ascii="仿宋" w:hAnsi="仿宋" w:eastAsia="仿宋"/>
          <w:bCs/>
          <w:color w:val="auto"/>
          <w:sz w:val="32"/>
          <w:szCs w:val="32"/>
          <w:highlight w:val="none"/>
          <w:lang w:val="en-US" w:eastAsia="zh-CN"/>
        </w:rPr>
        <w:t>100</w:t>
      </w:r>
      <w:r>
        <w:rPr>
          <w:rStyle w:val="16"/>
          <w:rFonts w:ascii="仿宋" w:hAnsi="仿宋" w:eastAsia="仿宋"/>
          <w:bCs/>
          <w:color w:val="auto"/>
          <w:sz w:val="32"/>
          <w:szCs w:val="32"/>
          <w:highlight w:val="none"/>
        </w:rPr>
        <w:t>%</w:t>
      </w:r>
      <w:r>
        <w:rPr>
          <w:rStyle w:val="16"/>
          <w:rFonts w:hint="eastAsia" w:ascii="仿宋" w:hAnsi="仿宋" w:eastAsia="仿宋"/>
          <w:bCs/>
          <w:color w:val="auto"/>
          <w:sz w:val="32"/>
          <w:szCs w:val="32"/>
          <w:highlight w:val="none"/>
        </w:rPr>
        <w:t>。其中：</w:t>
      </w:r>
      <w:bookmarkEnd w:id="46"/>
      <w:bookmarkEnd w:id="47"/>
      <w:bookmarkEnd w:id="48"/>
      <w:bookmarkEnd w:id="49"/>
    </w:p>
    <w:p>
      <w:pPr>
        <w:spacing w:line="600" w:lineRule="exact"/>
        <w:ind w:firstLine="640" w:firstLineChars="200"/>
        <w:rPr>
          <w:rStyle w:val="16"/>
          <w:rFonts w:hint="eastAsia" w:ascii="仿宋" w:hAnsi="仿宋" w:eastAsia="仿宋"/>
          <w:b w:val="0"/>
          <w:bCs/>
          <w:color w:val="auto"/>
          <w:sz w:val="32"/>
          <w:szCs w:val="32"/>
          <w:highlight w:val="none"/>
        </w:rPr>
      </w:pPr>
      <w:r>
        <w:rPr>
          <w:rStyle w:val="16"/>
          <w:rFonts w:hint="eastAsia" w:ascii="仿宋" w:hAnsi="仿宋" w:eastAsia="仿宋" w:cstheme="minorBidi"/>
          <w:b w:val="0"/>
          <w:bCs/>
          <w:color w:val="auto"/>
          <w:sz w:val="32"/>
          <w:szCs w:val="32"/>
          <w:highlight w:val="none"/>
          <w:lang w:val="en-US" w:eastAsia="zh-CN"/>
        </w:rPr>
        <w:t>1</w:t>
      </w:r>
      <w:r>
        <w:rPr>
          <w:rStyle w:val="16"/>
          <w:rFonts w:hint="eastAsia" w:ascii="仿宋" w:hAnsi="仿宋" w:eastAsia="仿宋" w:cstheme="minorBidi"/>
          <w:b w:val="0"/>
          <w:bCs/>
          <w:color w:val="auto"/>
          <w:sz w:val="32"/>
          <w:szCs w:val="32"/>
          <w:highlight w:val="none"/>
        </w:rPr>
        <w:t>.</w:t>
      </w:r>
      <w:r>
        <w:rPr>
          <w:rStyle w:val="16"/>
          <w:rFonts w:hint="eastAsia" w:ascii="仿宋" w:hAnsi="仿宋" w:eastAsia="仿宋"/>
          <w:bCs/>
          <w:color w:val="auto"/>
          <w:sz w:val="32"/>
          <w:szCs w:val="32"/>
          <w:highlight w:val="none"/>
        </w:rPr>
        <w:t>社会保障和就业（类）</w:t>
      </w:r>
      <w:r>
        <w:rPr>
          <w:rStyle w:val="16"/>
          <w:rFonts w:hint="eastAsia" w:ascii="仿宋" w:hAnsi="仿宋" w:eastAsia="仿宋"/>
          <w:bCs/>
          <w:color w:val="auto"/>
          <w:sz w:val="32"/>
          <w:szCs w:val="32"/>
          <w:highlight w:val="none"/>
          <w:lang w:eastAsia="zh-CN"/>
        </w:rPr>
        <w:t>人力资源和社会保障管理事务</w:t>
      </w:r>
      <w:r>
        <w:rPr>
          <w:rStyle w:val="16"/>
          <w:rFonts w:hint="eastAsia" w:ascii="仿宋" w:hAnsi="仿宋" w:eastAsia="仿宋"/>
          <w:bCs/>
          <w:color w:val="auto"/>
          <w:sz w:val="32"/>
          <w:szCs w:val="32"/>
          <w:highlight w:val="none"/>
        </w:rPr>
        <w:t>（款）</w:t>
      </w:r>
      <w:r>
        <w:rPr>
          <w:rStyle w:val="16"/>
          <w:rFonts w:hint="eastAsia" w:ascii="仿宋" w:hAnsi="仿宋" w:eastAsia="仿宋"/>
          <w:bCs/>
          <w:color w:val="auto"/>
          <w:sz w:val="32"/>
          <w:szCs w:val="32"/>
          <w:highlight w:val="none"/>
          <w:lang w:eastAsia="zh-CN"/>
        </w:rPr>
        <w:t>社会保险业务管理事务</w:t>
      </w:r>
      <w:r>
        <w:rPr>
          <w:rStyle w:val="16"/>
          <w:rFonts w:hint="eastAsia" w:ascii="仿宋" w:hAnsi="仿宋" w:eastAsia="仿宋"/>
          <w:bCs/>
          <w:color w:val="auto"/>
          <w:sz w:val="32"/>
          <w:szCs w:val="32"/>
          <w:highlight w:val="none"/>
        </w:rPr>
        <w:t>（项）</w:t>
      </w:r>
      <w:r>
        <w:rPr>
          <w:rStyle w:val="16"/>
          <w:rFonts w:ascii="仿宋" w:hAnsi="仿宋" w:eastAsia="仿宋"/>
          <w:bCs/>
          <w:color w:val="auto"/>
          <w:sz w:val="32"/>
          <w:szCs w:val="32"/>
          <w:highlight w:val="none"/>
        </w:rPr>
        <w:t>:</w:t>
      </w:r>
      <w:r>
        <w:rPr>
          <w:rStyle w:val="16"/>
          <w:rFonts w:ascii="仿宋" w:hAnsi="仿宋" w:eastAsia="仿宋"/>
          <w:b w:val="0"/>
          <w:bCs/>
          <w:color w:val="auto"/>
          <w:sz w:val="32"/>
          <w:szCs w:val="32"/>
          <w:highlight w:val="none"/>
        </w:rPr>
        <w:t xml:space="preserve"> </w:t>
      </w:r>
      <w:r>
        <w:rPr>
          <w:rStyle w:val="16"/>
          <w:rFonts w:hint="eastAsia" w:ascii="仿宋" w:hAnsi="仿宋" w:eastAsia="仿宋"/>
          <w:b w:val="0"/>
          <w:bCs/>
          <w:color w:val="auto"/>
          <w:sz w:val="32"/>
          <w:szCs w:val="32"/>
          <w:highlight w:val="none"/>
        </w:rPr>
        <w:t>支出决算为</w:t>
      </w:r>
      <w:r>
        <w:rPr>
          <w:rStyle w:val="16"/>
          <w:rFonts w:hint="eastAsia" w:ascii="仿宋" w:hAnsi="仿宋" w:eastAsia="仿宋"/>
          <w:b w:val="0"/>
          <w:bCs/>
          <w:color w:val="auto"/>
          <w:sz w:val="32"/>
          <w:szCs w:val="32"/>
          <w:highlight w:val="none"/>
          <w:lang w:val="en-US" w:eastAsia="zh-CN"/>
        </w:rPr>
        <w:t>290.83</w:t>
      </w:r>
      <w:r>
        <w:rPr>
          <w:rStyle w:val="16"/>
          <w:rFonts w:hint="eastAsia" w:ascii="仿宋" w:hAnsi="仿宋" w:eastAsia="仿宋"/>
          <w:b w:val="0"/>
          <w:bCs/>
          <w:color w:val="auto"/>
          <w:sz w:val="32"/>
          <w:szCs w:val="32"/>
          <w:highlight w:val="none"/>
        </w:rPr>
        <w:t>万元，完成预算</w:t>
      </w:r>
      <w:r>
        <w:rPr>
          <w:rStyle w:val="16"/>
          <w:rFonts w:hint="eastAsia" w:ascii="仿宋" w:hAnsi="仿宋" w:eastAsia="仿宋"/>
          <w:b w:val="0"/>
          <w:bCs/>
          <w:color w:val="auto"/>
          <w:sz w:val="32"/>
          <w:szCs w:val="32"/>
          <w:highlight w:val="none"/>
          <w:lang w:val="en-US" w:eastAsia="zh-CN"/>
        </w:rPr>
        <w:t>100</w:t>
      </w:r>
      <w:r>
        <w:rPr>
          <w:rStyle w:val="16"/>
          <w:rFonts w:ascii="仿宋" w:hAnsi="仿宋" w:eastAsia="仿宋"/>
          <w:b w:val="0"/>
          <w:bCs/>
          <w:color w:val="auto"/>
          <w:sz w:val="32"/>
          <w:szCs w:val="32"/>
          <w:highlight w:val="none"/>
        </w:rPr>
        <w:t>%</w:t>
      </w:r>
      <w:r>
        <w:rPr>
          <w:rStyle w:val="16"/>
          <w:rFonts w:hint="eastAsia" w:ascii="仿宋" w:hAnsi="仿宋" w:eastAsia="仿宋"/>
          <w:b w:val="0"/>
          <w:bCs/>
          <w:color w:val="auto"/>
          <w:sz w:val="32"/>
          <w:szCs w:val="32"/>
          <w:highlight w:val="none"/>
        </w:rPr>
        <w:t>。</w:t>
      </w:r>
    </w:p>
    <w:p>
      <w:pPr>
        <w:pStyle w:val="5"/>
        <w:ind w:firstLine="640" w:firstLineChars="200"/>
        <w:rPr>
          <w:rStyle w:val="16"/>
          <w:rFonts w:hint="eastAsia" w:ascii="仿宋" w:hAnsi="仿宋" w:eastAsia="仿宋"/>
          <w:b w:val="0"/>
          <w:bCs/>
          <w:color w:val="auto"/>
          <w:sz w:val="32"/>
          <w:szCs w:val="32"/>
          <w:highlight w:val="none"/>
        </w:rPr>
      </w:pPr>
      <w:r>
        <w:rPr>
          <w:rStyle w:val="16"/>
          <w:rFonts w:hint="eastAsia" w:ascii="仿宋" w:hAnsi="仿宋" w:eastAsia="仿宋" w:cstheme="minorBidi"/>
          <w:b w:val="0"/>
          <w:bCs/>
          <w:color w:val="auto"/>
          <w:kern w:val="2"/>
          <w:sz w:val="32"/>
          <w:szCs w:val="32"/>
          <w:highlight w:val="none"/>
          <w:lang w:val="en-US" w:eastAsia="zh-CN" w:bidi="ar-SA"/>
        </w:rPr>
        <w:t>2.</w:t>
      </w:r>
      <w:r>
        <w:rPr>
          <w:rStyle w:val="16"/>
          <w:rFonts w:hint="eastAsia" w:ascii="仿宋" w:hAnsi="仿宋" w:eastAsia="仿宋"/>
          <w:bCs/>
          <w:color w:val="auto"/>
          <w:sz w:val="32"/>
          <w:szCs w:val="32"/>
          <w:highlight w:val="none"/>
        </w:rPr>
        <w:t>社会保障和就业（类）</w:t>
      </w:r>
      <w:r>
        <w:rPr>
          <w:rStyle w:val="16"/>
          <w:rFonts w:hint="eastAsia" w:ascii="仿宋" w:hAnsi="仿宋" w:eastAsia="仿宋"/>
          <w:bCs/>
          <w:color w:val="auto"/>
          <w:sz w:val="32"/>
          <w:szCs w:val="32"/>
          <w:highlight w:val="none"/>
          <w:lang w:eastAsia="zh-CN"/>
        </w:rPr>
        <w:t>行政事业单位养老支出</w:t>
      </w:r>
      <w:r>
        <w:rPr>
          <w:rStyle w:val="16"/>
          <w:rFonts w:hint="eastAsia" w:ascii="仿宋" w:hAnsi="仿宋" w:eastAsia="仿宋"/>
          <w:bCs/>
          <w:color w:val="auto"/>
          <w:sz w:val="32"/>
          <w:szCs w:val="32"/>
          <w:highlight w:val="none"/>
        </w:rPr>
        <w:t>（款）</w:t>
      </w:r>
      <w:r>
        <w:rPr>
          <w:rStyle w:val="16"/>
          <w:rFonts w:hint="eastAsia" w:ascii="仿宋" w:hAnsi="仿宋" w:eastAsia="仿宋"/>
          <w:bCs/>
          <w:color w:val="auto"/>
          <w:sz w:val="32"/>
          <w:szCs w:val="32"/>
          <w:highlight w:val="none"/>
          <w:lang w:eastAsia="zh-CN"/>
        </w:rPr>
        <w:t>行政单位离退休</w:t>
      </w:r>
      <w:r>
        <w:rPr>
          <w:rStyle w:val="16"/>
          <w:rFonts w:hint="eastAsia" w:ascii="仿宋" w:hAnsi="仿宋" w:eastAsia="仿宋"/>
          <w:bCs/>
          <w:color w:val="auto"/>
          <w:sz w:val="32"/>
          <w:szCs w:val="32"/>
          <w:highlight w:val="none"/>
        </w:rPr>
        <w:t>（项）</w:t>
      </w:r>
      <w:r>
        <w:rPr>
          <w:rStyle w:val="16"/>
          <w:rFonts w:ascii="仿宋" w:hAnsi="仿宋" w:eastAsia="仿宋"/>
          <w:bCs/>
          <w:color w:val="auto"/>
          <w:sz w:val="32"/>
          <w:szCs w:val="32"/>
          <w:highlight w:val="none"/>
        </w:rPr>
        <w:t>:</w:t>
      </w:r>
      <w:r>
        <w:rPr>
          <w:rStyle w:val="16"/>
          <w:rFonts w:ascii="仿宋" w:hAnsi="仿宋" w:eastAsia="仿宋"/>
          <w:b w:val="0"/>
          <w:bCs/>
          <w:color w:val="auto"/>
          <w:sz w:val="32"/>
          <w:szCs w:val="32"/>
          <w:highlight w:val="none"/>
        </w:rPr>
        <w:t xml:space="preserve"> </w:t>
      </w:r>
      <w:r>
        <w:rPr>
          <w:rStyle w:val="16"/>
          <w:rFonts w:hint="eastAsia" w:ascii="仿宋" w:hAnsi="仿宋" w:eastAsia="仿宋"/>
          <w:b w:val="0"/>
          <w:bCs/>
          <w:color w:val="auto"/>
          <w:sz w:val="32"/>
          <w:szCs w:val="32"/>
          <w:highlight w:val="none"/>
        </w:rPr>
        <w:t>支出决算为</w:t>
      </w:r>
      <w:r>
        <w:rPr>
          <w:rStyle w:val="16"/>
          <w:rFonts w:hint="eastAsia" w:ascii="仿宋" w:hAnsi="仿宋" w:eastAsia="仿宋"/>
          <w:b w:val="0"/>
          <w:bCs/>
          <w:color w:val="auto"/>
          <w:sz w:val="32"/>
          <w:szCs w:val="32"/>
          <w:highlight w:val="none"/>
          <w:lang w:val="en-US" w:eastAsia="zh-CN"/>
        </w:rPr>
        <w:t>2</w:t>
      </w:r>
      <w:r>
        <w:rPr>
          <w:rStyle w:val="16"/>
          <w:rFonts w:hint="eastAsia" w:ascii="仿宋" w:hAnsi="仿宋" w:eastAsia="仿宋"/>
          <w:b w:val="0"/>
          <w:bCs/>
          <w:color w:val="auto"/>
          <w:sz w:val="32"/>
          <w:szCs w:val="32"/>
          <w:highlight w:val="none"/>
        </w:rPr>
        <w:t>万元，完成预算</w:t>
      </w:r>
      <w:r>
        <w:rPr>
          <w:rStyle w:val="16"/>
          <w:rFonts w:hint="eastAsia" w:ascii="仿宋" w:hAnsi="仿宋" w:eastAsia="仿宋"/>
          <w:b w:val="0"/>
          <w:bCs/>
          <w:color w:val="auto"/>
          <w:sz w:val="32"/>
          <w:szCs w:val="32"/>
          <w:highlight w:val="none"/>
          <w:lang w:val="en-US" w:eastAsia="zh-CN"/>
        </w:rPr>
        <w:t>100</w:t>
      </w:r>
      <w:r>
        <w:rPr>
          <w:rStyle w:val="16"/>
          <w:rFonts w:ascii="仿宋" w:hAnsi="仿宋" w:eastAsia="仿宋"/>
          <w:b w:val="0"/>
          <w:bCs/>
          <w:color w:val="auto"/>
          <w:sz w:val="32"/>
          <w:szCs w:val="32"/>
          <w:highlight w:val="none"/>
        </w:rPr>
        <w:t>%</w:t>
      </w:r>
      <w:r>
        <w:rPr>
          <w:rStyle w:val="16"/>
          <w:rFonts w:hint="eastAsia" w:ascii="仿宋" w:hAnsi="仿宋" w:eastAsia="仿宋"/>
          <w:b w:val="0"/>
          <w:bCs/>
          <w:color w:val="auto"/>
          <w:sz w:val="32"/>
          <w:szCs w:val="32"/>
          <w:highlight w:val="none"/>
        </w:rPr>
        <w:t>。</w:t>
      </w:r>
    </w:p>
    <w:p>
      <w:pPr>
        <w:pStyle w:val="5"/>
        <w:ind w:firstLine="640" w:firstLineChars="200"/>
        <w:rPr>
          <w:rStyle w:val="16"/>
          <w:rFonts w:hint="eastAsia" w:ascii="仿宋" w:hAnsi="仿宋" w:eastAsia="仿宋"/>
          <w:b w:val="0"/>
          <w:bCs/>
          <w:color w:val="auto"/>
          <w:sz w:val="32"/>
          <w:szCs w:val="32"/>
          <w:highlight w:val="none"/>
        </w:rPr>
      </w:pPr>
      <w:r>
        <w:rPr>
          <w:rStyle w:val="16"/>
          <w:rFonts w:hint="eastAsia" w:ascii="仿宋" w:hAnsi="仿宋" w:eastAsia="仿宋" w:cstheme="minorBidi"/>
          <w:b w:val="0"/>
          <w:bCs/>
          <w:color w:val="auto"/>
          <w:kern w:val="2"/>
          <w:sz w:val="32"/>
          <w:szCs w:val="32"/>
          <w:highlight w:val="none"/>
          <w:lang w:val="en-US" w:eastAsia="zh-CN" w:bidi="ar-SA"/>
        </w:rPr>
        <w:t>3.</w:t>
      </w:r>
      <w:r>
        <w:rPr>
          <w:rStyle w:val="16"/>
          <w:rFonts w:hint="eastAsia" w:ascii="仿宋" w:hAnsi="仿宋" w:eastAsia="仿宋"/>
          <w:bCs/>
          <w:color w:val="auto"/>
          <w:sz w:val="32"/>
          <w:szCs w:val="32"/>
          <w:highlight w:val="none"/>
        </w:rPr>
        <w:t>社会保障和就业（类）</w:t>
      </w:r>
      <w:r>
        <w:rPr>
          <w:rStyle w:val="16"/>
          <w:rFonts w:hint="eastAsia" w:ascii="仿宋" w:hAnsi="仿宋" w:eastAsia="仿宋"/>
          <w:bCs/>
          <w:color w:val="auto"/>
          <w:sz w:val="32"/>
          <w:szCs w:val="32"/>
          <w:highlight w:val="none"/>
          <w:lang w:eastAsia="zh-CN"/>
        </w:rPr>
        <w:t>行政事业单位养老支出</w:t>
      </w:r>
      <w:r>
        <w:rPr>
          <w:rStyle w:val="16"/>
          <w:rFonts w:hint="eastAsia" w:ascii="仿宋" w:hAnsi="仿宋" w:eastAsia="仿宋"/>
          <w:bCs/>
          <w:color w:val="auto"/>
          <w:sz w:val="32"/>
          <w:szCs w:val="32"/>
          <w:highlight w:val="none"/>
        </w:rPr>
        <w:t>（款）</w:t>
      </w:r>
      <w:r>
        <w:rPr>
          <w:rStyle w:val="16"/>
          <w:rFonts w:hint="eastAsia" w:ascii="仿宋" w:hAnsi="仿宋" w:eastAsia="仿宋"/>
          <w:bCs/>
          <w:color w:val="auto"/>
          <w:sz w:val="32"/>
          <w:szCs w:val="32"/>
          <w:highlight w:val="none"/>
          <w:lang w:eastAsia="zh-CN"/>
        </w:rPr>
        <w:t>机关事业单位基本养老保险缴费支出</w:t>
      </w:r>
      <w:r>
        <w:rPr>
          <w:rStyle w:val="16"/>
          <w:rFonts w:hint="eastAsia" w:ascii="仿宋" w:hAnsi="仿宋" w:eastAsia="仿宋"/>
          <w:bCs/>
          <w:color w:val="auto"/>
          <w:sz w:val="32"/>
          <w:szCs w:val="32"/>
          <w:highlight w:val="none"/>
        </w:rPr>
        <w:t>（项）</w:t>
      </w:r>
      <w:r>
        <w:rPr>
          <w:rStyle w:val="16"/>
          <w:rFonts w:ascii="仿宋" w:hAnsi="仿宋" w:eastAsia="仿宋"/>
          <w:bCs/>
          <w:color w:val="auto"/>
          <w:sz w:val="32"/>
          <w:szCs w:val="32"/>
          <w:highlight w:val="none"/>
        </w:rPr>
        <w:t>:</w:t>
      </w:r>
      <w:r>
        <w:rPr>
          <w:rStyle w:val="16"/>
          <w:rFonts w:ascii="仿宋" w:hAnsi="仿宋" w:eastAsia="仿宋"/>
          <w:b w:val="0"/>
          <w:bCs/>
          <w:color w:val="auto"/>
          <w:sz w:val="32"/>
          <w:szCs w:val="32"/>
          <w:highlight w:val="none"/>
        </w:rPr>
        <w:t xml:space="preserve"> </w:t>
      </w:r>
      <w:r>
        <w:rPr>
          <w:rStyle w:val="16"/>
          <w:rFonts w:hint="eastAsia" w:ascii="仿宋" w:hAnsi="仿宋" w:eastAsia="仿宋"/>
          <w:b w:val="0"/>
          <w:bCs/>
          <w:color w:val="auto"/>
          <w:sz w:val="32"/>
          <w:szCs w:val="32"/>
          <w:highlight w:val="none"/>
        </w:rPr>
        <w:t>支出决算为</w:t>
      </w:r>
      <w:r>
        <w:rPr>
          <w:rStyle w:val="16"/>
          <w:rFonts w:hint="eastAsia" w:ascii="仿宋" w:hAnsi="仿宋" w:eastAsia="仿宋"/>
          <w:b w:val="0"/>
          <w:bCs/>
          <w:color w:val="auto"/>
          <w:sz w:val="32"/>
          <w:szCs w:val="32"/>
          <w:highlight w:val="none"/>
          <w:lang w:val="en-US" w:eastAsia="zh-CN"/>
        </w:rPr>
        <w:t>26.07</w:t>
      </w:r>
      <w:r>
        <w:rPr>
          <w:rStyle w:val="16"/>
          <w:rFonts w:hint="eastAsia" w:ascii="仿宋" w:hAnsi="仿宋" w:eastAsia="仿宋"/>
          <w:b w:val="0"/>
          <w:bCs/>
          <w:color w:val="auto"/>
          <w:sz w:val="32"/>
          <w:szCs w:val="32"/>
          <w:highlight w:val="none"/>
        </w:rPr>
        <w:t>万元，完成预算</w:t>
      </w:r>
      <w:r>
        <w:rPr>
          <w:rStyle w:val="16"/>
          <w:rFonts w:hint="eastAsia" w:ascii="仿宋" w:hAnsi="仿宋" w:eastAsia="仿宋"/>
          <w:b w:val="0"/>
          <w:bCs/>
          <w:color w:val="auto"/>
          <w:sz w:val="32"/>
          <w:szCs w:val="32"/>
          <w:highlight w:val="none"/>
          <w:lang w:val="en-US" w:eastAsia="zh-CN"/>
        </w:rPr>
        <w:t>100</w:t>
      </w:r>
      <w:r>
        <w:rPr>
          <w:rStyle w:val="16"/>
          <w:rFonts w:ascii="仿宋" w:hAnsi="仿宋" w:eastAsia="仿宋"/>
          <w:b w:val="0"/>
          <w:bCs/>
          <w:color w:val="auto"/>
          <w:sz w:val="32"/>
          <w:szCs w:val="32"/>
          <w:highlight w:val="none"/>
        </w:rPr>
        <w:t>%</w:t>
      </w:r>
      <w:r>
        <w:rPr>
          <w:rStyle w:val="16"/>
          <w:rFonts w:hint="eastAsia" w:ascii="仿宋" w:hAnsi="仿宋" w:eastAsia="仿宋"/>
          <w:b w:val="0"/>
          <w:bCs/>
          <w:color w:val="auto"/>
          <w:sz w:val="32"/>
          <w:szCs w:val="32"/>
          <w:highlight w:val="none"/>
        </w:rPr>
        <w:t>。</w:t>
      </w:r>
    </w:p>
    <w:p>
      <w:pPr>
        <w:pStyle w:val="5"/>
        <w:ind w:firstLine="640" w:firstLineChars="200"/>
        <w:rPr>
          <w:rStyle w:val="16"/>
          <w:rFonts w:hint="eastAsia" w:ascii="仿宋" w:hAnsi="仿宋" w:eastAsia="仿宋"/>
          <w:b w:val="0"/>
          <w:bCs/>
          <w:color w:val="auto"/>
          <w:sz w:val="32"/>
          <w:szCs w:val="32"/>
          <w:highlight w:val="none"/>
        </w:rPr>
      </w:pPr>
      <w:r>
        <w:rPr>
          <w:rStyle w:val="16"/>
          <w:rFonts w:hint="eastAsia" w:ascii="仿宋" w:hAnsi="仿宋" w:eastAsia="仿宋" w:cstheme="minorBidi"/>
          <w:b w:val="0"/>
          <w:bCs/>
          <w:color w:val="auto"/>
          <w:kern w:val="2"/>
          <w:sz w:val="32"/>
          <w:szCs w:val="32"/>
          <w:highlight w:val="none"/>
          <w:lang w:val="en-US" w:eastAsia="zh-CN" w:bidi="ar-SA"/>
        </w:rPr>
        <w:t>4.</w:t>
      </w:r>
      <w:r>
        <w:rPr>
          <w:rStyle w:val="16"/>
          <w:rFonts w:hint="eastAsia" w:ascii="仿宋" w:hAnsi="仿宋" w:eastAsia="仿宋"/>
          <w:bCs/>
          <w:color w:val="auto"/>
          <w:sz w:val="32"/>
          <w:szCs w:val="32"/>
          <w:highlight w:val="none"/>
          <w:lang w:eastAsia="zh-CN"/>
        </w:rPr>
        <w:t>卫生健康</w:t>
      </w:r>
      <w:r>
        <w:rPr>
          <w:rStyle w:val="16"/>
          <w:rFonts w:hint="eastAsia" w:ascii="仿宋" w:hAnsi="仿宋" w:eastAsia="仿宋"/>
          <w:bCs/>
          <w:color w:val="auto"/>
          <w:sz w:val="32"/>
          <w:szCs w:val="32"/>
          <w:highlight w:val="none"/>
        </w:rPr>
        <w:t>（类）</w:t>
      </w:r>
      <w:r>
        <w:rPr>
          <w:rStyle w:val="16"/>
          <w:rFonts w:hint="eastAsia" w:ascii="仿宋" w:hAnsi="仿宋" w:eastAsia="仿宋"/>
          <w:bCs/>
          <w:color w:val="auto"/>
          <w:sz w:val="32"/>
          <w:szCs w:val="32"/>
          <w:highlight w:val="none"/>
          <w:lang w:eastAsia="zh-CN"/>
        </w:rPr>
        <w:t>行政事业单位医疗</w:t>
      </w:r>
      <w:r>
        <w:rPr>
          <w:rStyle w:val="16"/>
          <w:rFonts w:hint="eastAsia" w:ascii="仿宋" w:hAnsi="仿宋" w:eastAsia="仿宋"/>
          <w:bCs/>
          <w:color w:val="auto"/>
          <w:sz w:val="32"/>
          <w:szCs w:val="32"/>
          <w:highlight w:val="none"/>
        </w:rPr>
        <w:t>（款）</w:t>
      </w:r>
      <w:r>
        <w:rPr>
          <w:rStyle w:val="16"/>
          <w:rFonts w:hint="eastAsia" w:ascii="仿宋" w:hAnsi="仿宋" w:eastAsia="仿宋"/>
          <w:bCs/>
          <w:color w:val="auto"/>
          <w:sz w:val="32"/>
          <w:szCs w:val="32"/>
          <w:highlight w:val="none"/>
          <w:lang w:eastAsia="zh-CN"/>
        </w:rPr>
        <w:t>行政单位医疗</w:t>
      </w:r>
      <w:r>
        <w:rPr>
          <w:rStyle w:val="16"/>
          <w:rFonts w:hint="eastAsia" w:ascii="仿宋" w:hAnsi="仿宋" w:eastAsia="仿宋"/>
          <w:bCs/>
          <w:color w:val="auto"/>
          <w:sz w:val="32"/>
          <w:szCs w:val="32"/>
          <w:highlight w:val="none"/>
        </w:rPr>
        <w:t>（项）</w:t>
      </w:r>
      <w:r>
        <w:rPr>
          <w:rStyle w:val="16"/>
          <w:rFonts w:ascii="仿宋" w:hAnsi="仿宋" w:eastAsia="仿宋"/>
          <w:bCs/>
          <w:color w:val="auto"/>
          <w:sz w:val="32"/>
          <w:szCs w:val="32"/>
          <w:highlight w:val="none"/>
        </w:rPr>
        <w:t>:</w:t>
      </w:r>
      <w:r>
        <w:rPr>
          <w:rStyle w:val="16"/>
          <w:rFonts w:ascii="仿宋" w:hAnsi="仿宋" w:eastAsia="仿宋"/>
          <w:b w:val="0"/>
          <w:bCs/>
          <w:color w:val="auto"/>
          <w:sz w:val="32"/>
          <w:szCs w:val="32"/>
          <w:highlight w:val="none"/>
        </w:rPr>
        <w:t xml:space="preserve"> </w:t>
      </w:r>
      <w:r>
        <w:rPr>
          <w:rStyle w:val="16"/>
          <w:rFonts w:hint="eastAsia" w:ascii="仿宋" w:hAnsi="仿宋" w:eastAsia="仿宋"/>
          <w:b w:val="0"/>
          <w:bCs/>
          <w:color w:val="auto"/>
          <w:sz w:val="32"/>
          <w:szCs w:val="32"/>
          <w:highlight w:val="none"/>
        </w:rPr>
        <w:t>支出决算为</w:t>
      </w:r>
      <w:r>
        <w:rPr>
          <w:rStyle w:val="16"/>
          <w:rFonts w:hint="eastAsia" w:ascii="仿宋" w:hAnsi="仿宋" w:eastAsia="仿宋"/>
          <w:b w:val="0"/>
          <w:bCs/>
          <w:color w:val="auto"/>
          <w:sz w:val="32"/>
          <w:szCs w:val="32"/>
          <w:highlight w:val="none"/>
          <w:lang w:val="en-US" w:eastAsia="zh-CN"/>
        </w:rPr>
        <w:t>7.09</w:t>
      </w:r>
      <w:r>
        <w:rPr>
          <w:rStyle w:val="16"/>
          <w:rFonts w:hint="eastAsia" w:ascii="仿宋" w:hAnsi="仿宋" w:eastAsia="仿宋"/>
          <w:b w:val="0"/>
          <w:bCs/>
          <w:color w:val="auto"/>
          <w:sz w:val="32"/>
          <w:szCs w:val="32"/>
          <w:highlight w:val="none"/>
        </w:rPr>
        <w:t>万元，完成预算</w:t>
      </w:r>
      <w:r>
        <w:rPr>
          <w:rStyle w:val="16"/>
          <w:rFonts w:hint="eastAsia" w:ascii="仿宋" w:hAnsi="仿宋" w:eastAsia="仿宋"/>
          <w:b w:val="0"/>
          <w:bCs/>
          <w:color w:val="auto"/>
          <w:sz w:val="32"/>
          <w:szCs w:val="32"/>
          <w:highlight w:val="none"/>
          <w:lang w:val="en-US" w:eastAsia="zh-CN"/>
        </w:rPr>
        <w:t>100</w:t>
      </w:r>
      <w:r>
        <w:rPr>
          <w:rStyle w:val="16"/>
          <w:rFonts w:ascii="仿宋" w:hAnsi="仿宋" w:eastAsia="仿宋"/>
          <w:b w:val="0"/>
          <w:bCs/>
          <w:color w:val="auto"/>
          <w:sz w:val="32"/>
          <w:szCs w:val="32"/>
          <w:highlight w:val="none"/>
        </w:rPr>
        <w:t>%</w:t>
      </w:r>
      <w:r>
        <w:rPr>
          <w:rStyle w:val="16"/>
          <w:rFonts w:hint="eastAsia" w:ascii="仿宋" w:hAnsi="仿宋" w:eastAsia="仿宋"/>
          <w:b w:val="0"/>
          <w:bCs/>
          <w:color w:val="auto"/>
          <w:sz w:val="32"/>
          <w:szCs w:val="32"/>
          <w:highlight w:val="none"/>
        </w:rPr>
        <w:t>。</w:t>
      </w:r>
    </w:p>
    <w:p>
      <w:pPr>
        <w:pStyle w:val="5"/>
        <w:ind w:firstLine="640" w:firstLineChars="200"/>
        <w:rPr>
          <w:rStyle w:val="16"/>
          <w:rFonts w:hint="eastAsia" w:ascii="仿宋" w:hAnsi="仿宋" w:eastAsia="仿宋"/>
          <w:b w:val="0"/>
          <w:bCs/>
          <w:color w:val="auto"/>
          <w:sz w:val="32"/>
          <w:szCs w:val="32"/>
          <w:highlight w:val="none"/>
        </w:rPr>
      </w:pPr>
      <w:r>
        <w:rPr>
          <w:rStyle w:val="16"/>
          <w:rFonts w:hint="eastAsia" w:ascii="仿宋" w:hAnsi="仿宋" w:eastAsia="仿宋" w:cstheme="minorBidi"/>
          <w:b w:val="0"/>
          <w:bCs/>
          <w:color w:val="auto"/>
          <w:kern w:val="2"/>
          <w:sz w:val="32"/>
          <w:szCs w:val="32"/>
          <w:highlight w:val="none"/>
          <w:lang w:val="en-US" w:eastAsia="zh-CN" w:bidi="ar-SA"/>
        </w:rPr>
        <w:t>5.</w:t>
      </w:r>
      <w:r>
        <w:rPr>
          <w:rStyle w:val="16"/>
          <w:rFonts w:hint="eastAsia" w:ascii="仿宋" w:hAnsi="仿宋" w:eastAsia="仿宋"/>
          <w:bCs/>
          <w:color w:val="auto"/>
          <w:sz w:val="32"/>
          <w:szCs w:val="32"/>
          <w:highlight w:val="none"/>
          <w:lang w:eastAsia="zh-CN"/>
        </w:rPr>
        <w:t>卫生健康</w:t>
      </w:r>
      <w:r>
        <w:rPr>
          <w:rStyle w:val="16"/>
          <w:rFonts w:hint="eastAsia" w:ascii="仿宋" w:hAnsi="仿宋" w:eastAsia="仿宋"/>
          <w:bCs/>
          <w:color w:val="auto"/>
          <w:sz w:val="32"/>
          <w:szCs w:val="32"/>
          <w:highlight w:val="none"/>
        </w:rPr>
        <w:t>（类）</w:t>
      </w:r>
      <w:r>
        <w:rPr>
          <w:rStyle w:val="16"/>
          <w:rFonts w:hint="eastAsia" w:ascii="仿宋" w:hAnsi="仿宋" w:eastAsia="仿宋"/>
          <w:bCs/>
          <w:color w:val="auto"/>
          <w:sz w:val="32"/>
          <w:szCs w:val="32"/>
          <w:highlight w:val="none"/>
          <w:lang w:eastAsia="zh-CN"/>
        </w:rPr>
        <w:t>行政事业单位医疗</w:t>
      </w:r>
      <w:r>
        <w:rPr>
          <w:rStyle w:val="16"/>
          <w:rFonts w:hint="eastAsia" w:ascii="仿宋" w:hAnsi="仿宋" w:eastAsia="仿宋"/>
          <w:bCs/>
          <w:color w:val="auto"/>
          <w:sz w:val="32"/>
          <w:szCs w:val="32"/>
          <w:highlight w:val="none"/>
        </w:rPr>
        <w:t>（款）</w:t>
      </w:r>
      <w:r>
        <w:rPr>
          <w:rStyle w:val="16"/>
          <w:rFonts w:hint="eastAsia" w:ascii="仿宋" w:hAnsi="仿宋" w:eastAsia="仿宋"/>
          <w:bCs/>
          <w:color w:val="auto"/>
          <w:sz w:val="32"/>
          <w:szCs w:val="32"/>
          <w:highlight w:val="none"/>
          <w:lang w:eastAsia="zh-CN"/>
        </w:rPr>
        <w:t>事业单位医疗</w:t>
      </w:r>
      <w:r>
        <w:rPr>
          <w:rStyle w:val="16"/>
          <w:rFonts w:hint="eastAsia" w:ascii="仿宋" w:hAnsi="仿宋" w:eastAsia="仿宋"/>
          <w:bCs/>
          <w:color w:val="auto"/>
          <w:sz w:val="32"/>
          <w:szCs w:val="32"/>
          <w:highlight w:val="none"/>
        </w:rPr>
        <w:t>（项）</w:t>
      </w:r>
      <w:r>
        <w:rPr>
          <w:rStyle w:val="16"/>
          <w:rFonts w:ascii="仿宋" w:hAnsi="仿宋" w:eastAsia="仿宋"/>
          <w:bCs/>
          <w:color w:val="auto"/>
          <w:sz w:val="32"/>
          <w:szCs w:val="32"/>
          <w:highlight w:val="none"/>
        </w:rPr>
        <w:t>:</w:t>
      </w:r>
      <w:r>
        <w:rPr>
          <w:rStyle w:val="16"/>
          <w:rFonts w:ascii="仿宋" w:hAnsi="仿宋" w:eastAsia="仿宋"/>
          <w:b w:val="0"/>
          <w:bCs/>
          <w:color w:val="auto"/>
          <w:sz w:val="32"/>
          <w:szCs w:val="32"/>
          <w:highlight w:val="none"/>
        </w:rPr>
        <w:t xml:space="preserve"> </w:t>
      </w:r>
      <w:r>
        <w:rPr>
          <w:rStyle w:val="16"/>
          <w:rFonts w:hint="eastAsia" w:ascii="仿宋" w:hAnsi="仿宋" w:eastAsia="仿宋"/>
          <w:b w:val="0"/>
          <w:bCs/>
          <w:color w:val="auto"/>
          <w:sz w:val="32"/>
          <w:szCs w:val="32"/>
          <w:highlight w:val="none"/>
        </w:rPr>
        <w:t>支出决算为</w:t>
      </w:r>
      <w:r>
        <w:rPr>
          <w:rStyle w:val="16"/>
          <w:rFonts w:hint="eastAsia" w:ascii="仿宋" w:hAnsi="仿宋" w:eastAsia="仿宋"/>
          <w:b w:val="0"/>
          <w:bCs/>
          <w:color w:val="auto"/>
          <w:sz w:val="32"/>
          <w:szCs w:val="32"/>
          <w:highlight w:val="none"/>
          <w:lang w:val="en-US" w:eastAsia="zh-CN"/>
        </w:rPr>
        <w:t>52.68</w:t>
      </w:r>
      <w:r>
        <w:rPr>
          <w:rStyle w:val="16"/>
          <w:rFonts w:hint="eastAsia" w:ascii="仿宋" w:hAnsi="仿宋" w:eastAsia="仿宋"/>
          <w:b w:val="0"/>
          <w:bCs/>
          <w:color w:val="auto"/>
          <w:sz w:val="32"/>
          <w:szCs w:val="32"/>
          <w:highlight w:val="none"/>
        </w:rPr>
        <w:t>万元，完成预算</w:t>
      </w:r>
      <w:r>
        <w:rPr>
          <w:rStyle w:val="16"/>
          <w:rFonts w:hint="eastAsia" w:ascii="仿宋" w:hAnsi="仿宋" w:eastAsia="仿宋"/>
          <w:b w:val="0"/>
          <w:bCs/>
          <w:color w:val="auto"/>
          <w:sz w:val="32"/>
          <w:szCs w:val="32"/>
          <w:highlight w:val="none"/>
          <w:lang w:val="en-US" w:eastAsia="zh-CN"/>
        </w:rPr>
        <w:t>100</w:t>
      </w:r>
      <w:r>
        <w:rPr>
          <w:rStyle w:val="16"/>
          <w:rFonts w:ascii="仿宋" w:hAnsi="仿宋" w:eastAsia="仿宋"/>
          <w:b w:val="0"/>
          <w:bCs/>
          <w:color w:val="auto"/>
          <w:sz w:val="32"/>
          <w:szCs w:val="32"/>
          <w:highlight w:val="none"/>
        </w:rPr>
        <w:t>%</w:t>
      </w:r>
      <w:r>
        <w:rPr>
          <w:rStyle w:val="16"/>
          <w:rFonts w:hint="eastAsia" w:ascii="仿宋" w:hAnsi="仿宋" w:eastAsia="仿宋"/>
          <w:b w:val="0"/>
          <w:bCs/>
          <w:color w:val="auto"/>
          <w:sz w:val="32"/>
          <w:szCs w:val="32"/>
          <w:highlight w:val="none"/>
        </w:rPr>
        <w:t>。</w:t>
      </w:r>
    </w:p>
    <w:p>
      <w:pPr>
        <w:spacing w:line="600" w:lineRule="exact"/>
        <w:ind w:firstLine="640" w:firstLineChars="200"/>
        <w:rPr>
          <w:rStyle w:val="16"/>
          <w:rFonts w:hint="eastAsia" w:ascii="仿宋" w:hAnsi="仿宋" w:eastAsia="仿宋"/>
          <w:b w:val="0"/>
          <w:bCs/>
          <w:color w:val="auto"/>
          <w:sz w:val="32"/>
          <w:szCs w:val="32"/>
          <w:highlight w:val="none"/>
        </w:rPr>
      </w:pPr>
      <w:r>
        <w:rPr>
          <w:rStyle w:val="16"/>
          <w:rFonts w:hint="eastAsia" w:ascii="仿宋" w:hAnsi="仿宋" w:eastAsia="仿宋" w:cstheme="minorBidi"/>
          <w:b w:val="0"/>
          <w:bCs/>
          <w:color w:val="auto"/>
          <w:kern w:val="2"/>
          <w:sz w:val="32"/>
          <w:szCs w:val="32"/>
          <w:highlight w:val="none"/>
          <w:lang w:val="en-US" w:eastAsia="zh-CN" w:bidi="ar-SA"/>
        </w:rPr>
        <w:t>6.</w:t>
      </w:r>
      <w:r>
        <w:rPr>
          <w:rStyle w:val="16"/>
          <w:rFonts w:hint="eastAsia" w:ascii="仿宋" w:hAnsi="仿宋" w:eastAsia="仿宋"/>
          <w:bCs/>
          <w:color w:val="auto"/>
          <w:sz w:val="32"/>
          <w:szCs w:val="32"/>
          <w:highlight w:val="none"/>
          <w:lang w:eastAsia="zh-CN"/>
        </w:rPr>
        <w:t>卫生健康</w:t>
      </w:r>
      <w:r>
        <w:rPr>
          <w:rStyle w:val="16"/>
          <w:rFonts w:hint="eastAsia" w:ascii="仿宋" w:hAnsi="仿宋" w:eastAsia="仿宋"/>
          <w:bCs/>
          <w:color w:val="auto"/>
          <w:sz w:val="32"/>
          <w:szCs w:val="32"/>
          <w:highlight w:val="none"/>
        </w:rPr>
        <w:t>（类）</w:t>
      </w:r>
      <w:r>
        <w:rPr>
          <w:rStyle w:val="16"/>
          <w:rFonts w:hint="eastAsia" w:ascii="仿宋" w:hAnsi="仿宋" w:eastAsia="仿宋"/>
          <w:bCs/>
          <w:color w:val="auto"/>
          <w:sz w:val="32"/>
          <w:szCs w:val="32"/>
          <w:highlight w:val="none"/>
          <w:lang w:eastAsia="zh-CN"/>
        </w:rPr>
        <w:t>医疗保障管理事务</w:t>
      </w:r>
      <w:r>
        <w:rPr>
          <w:rStyle w:val="16"/>
          <w:rFonts w:hint="eastAsia" w:ascii="仿宋" w:hAnsi="仿宋" w:eastAsia="仿宋"/>
          <w:bCs/>
          <w:color w:val="auto"/>
          <w:sz w:val="32"/>
          <w:szCs w:val="32"/>
          <w:highlight w:val="none"/>
        </w:rPr>
        <w:t>（款）</w:t>
      </w:r>
      <w:r>
        <w:rPr>
          <w:rStyle w:val="16"/>
          <w:rFonts w:hint="eastAsia" w:ascii="仿宋" w:hAnsi="仿宋" w:eastAsia="仿宋"/>
          <w:bCs/>
          <w:color w:val="auto"/>
          <w:sz w:val="32"/>
          <w:szCs w:val="32"/>
          <w:highlight w:val="none"/>
          <w:lang w:eastAsia="zh-CN"/>
        </w:rPr>
        <w:t>行政运行</w:t>
      </w:r>
      <w:r>
        <w:rPr>
          <w:rStyle w:val="16"/>
          <w:rFonts w:hint="eastAsia" w:ascii="仿宋" w:hAnsi="仿宋" w:eastAsia="仿宋"/>
          <w:bCs/>
          <w:color w:val="auto"/>
          <w:sz w:val="32"/>
          <w:szCs w:val="32"/>
          <w:highlight w:val="none"/>
        </w:rPr>
        <w:t>（项）</w:t>
      </w:r>
      <w:r>
        <w:rPr>
          <w:rStyle w:val="16"/>
          <w:rFonts w:ascii="仿宋" w:hAnsi="仿宋" w:eastAsia="仿宋"/>
          <w:bCs/>
          <w:color w:val="auto"/>
          <w:sz w:val="32"/>
          <w:szCs w:val="32"/>
          <w:highlight w:val="none"/>
        </w:rPr>
        <w:t>:</w:t>
      </w:r>
      <w:r>
        <w:rPr>
          <w:rStyle w:val="16"/>
          <w:rFonts w:ascii="仿宋" w:hAnsi="仿宋" w:eastAsia="仿宋"/>
          <w:b w:val="0"/>
          <w:bCs/>
          <w:color w:val="auto"/>
          <w:sz w:val="32"/>
          <w:szCs w:val="32"/>
          <w:highlight w:val="none"/>
        </w:rPr>
        <w:t xml:space="preserve"> </w:t>
      </w:r>
      <w:r>
        <w:rPr>
          <w:rStyle w:val="16"/>
          <w:rFonts w:hint="eastAsia" w:ascii="仿宋" w:hAnsi="仿宋" w:eastAsia="仿宋"/>
          <w:b w:val="0"/>
          <w:bCs/>
          <w:color w:val="auto"/>
          <w:sz w:val="32"/>
          <w:szCs w:val="32"/>
          <w:highlight w:val="none"/>
        </w:rPr>
        <w:t>支出决算为</w:t>
      </w:r>
      <w:r>
        <w:rPr>
          <w:rStyle w:val="16"/>
          <w:rFonts w:hint="eastAsia" w:ascii="仿宋" w:hAnsi="仿宋" w:eastAsia="仿宋"/>
          <w:b w:val="0"/>
          <w:bCs/>
          <w:color w:val="auto"/>
          <w:sz w:val="32"/>
          <w:szCs w:val="32"/>
          <w:highlight w:val="none"/>
          <w:lang w:val="en-US" w:eastAsia="zh-CN"/>
        </w:rPr>
        <w:t>5</w:t>
      </w:r>
      <w:r>
        <w:rPr>
          <w:rStyle w:val="16"/>
          <w:rFonts w:hint="eastAsia" w:ascii="仿宋" w:hAnsi="仿宋" w:eastAsia="仿宋"/>
          <w:b w:val="0"/>
          <w:bCs/>
          <w:color w:val="auto"/>
          <w:sz w:val="32"/>
          <w:szCs w:val="32"/>
          <w:highlight w:val="none"/>
        </w:rPr>
        <w:t>万元，完成预算</w:t>
      </w:r>
      <w:r>
        <w:rPr>
          <w:rStyle w:val="16"/>
          <w:rFonts w:hint="eastAsia" w:ascii="仿宋" w:hAnsi="仿宋" w:eastAsia="仿宋"/>
          <w:b w:val="0"/>
          <w:bCs/>
          <w:color w:val="auto"/>
          <w:sz w:val="32"/>
          <w:szCs w:val="32"/>
          <w:highlight w:val="none"/>
          <w:lang w:val="en-US" w:eastAsia="zh-CN"/>
        </w:rPr>
        <w:t>100</w:t>
      </w:r>
      <w:r>
        <w:rPr>
          <w:rStyle w:val="16"/>
          <w:rFonts w:ascii="仿宋" w:hAnsi="仿宋" w:eastAsia="仿宋"/>
          <w:b w:val="0"/>
          <w:bCs/>
          <w:color w:val="auto"/>
          <w:sz w:val="32"/>
          <w:szCs w:val="32"/>
          <w:highlight w:val="none"/>
        </w:rPr>
        <w:t>%</w:t>
      </w:r>
      <w:r>
        <w:rPr>
          <w:rStyle w:val="16"/>
          <w:rFonts w:hint="eastAsia" w:ascii="仿宋" w:hAnsi="仿宋" w:eastAsia="仿宋"/>
          <w:b w:val="0"/>
          <w:bCs/>
          <w:color w:val="auto"/>
          <w:sz w:val="32"/>
          <w:szCs w:val="32"/>
          <w:highlight w:val="none"/>
        </w:rPr>
        <w:t>。</w:t>
      </w:r>
    </w:p>
    <w:p>
      <w:pPr>
        <w:spacing w:line="600" w:lineRule="exact"/>
        <w:ind w:firstLine="640" w:firstLineChars="200"/>
        <w:rPr>
          <w:rStyle w:val="16"/>
          <w:rFonts w:hint="eastAsia" w:ascii="仿宋" w:hAnsi="仿宋" w:eastAsia="仿宋"/>
          <w:b w:val="0"/>
          <w:bCs/>
          <w:color w:val="auto"/>
          <w:sz w:val="32"/>
          <w:szCs w:val="32"/>
          <w:highlight w:val="none"/>
        </w:rPr>
      </w:pPr>
      <w:r>
        <w:rPr>
          <w:rStyle w:val="16"/>
          <w:rFonts w:hint="eastAsia" w:ascii="仿宋" w:hAnsi="仿宋" w:eastAsia="仿宋"/>
          <w:b w:val="0"/>
          <w:bCs/>
          <w:color w:val="auto"/>
          <w:sz w:val="32"/>
          <w:szCs w:val="32"/>
          <w:highlight w:val="none"/>
          <w:lang w:val="en-US" w:eastAsia="zh-CN"/>
        </w:rPr>
        <w:t>7.</w:t>
      </w:r>
      <w:r>
        <w:rPr>
          <w:rStyle w:val="16"/>
          <w:rFonts w:hint="eastAsia" w:ascii="仿宋" w:hAnsi="仿宋" w:eastAsia="仿宋"/>
          <w:bCs/>
          <w:color w:val="auto"/>
          <w:sz w:val="32"/>
          <w:szCs w:val="32"/>
          <w:highlight w:val="none"/>
          <w:lang w:eastAsia="zh-CN"/>
        </w:rPr>
        <w:t>卫生健康</w:t>
      </w:r>
      <w:r>
        <w:rPr>
          <w:rStyle w:val="16"/>
          <w:rFonts w:hint="eastAsia" w:ascii="仿宋" w:hAnsi="仿宋" w:eastAsia="仿宋"/>
          <w:bCs/>
          <w:color w:val="auto"/>
          <w:sz w:val="32"/>
          <w:szCs w:val="32"/>
          <w:highlight w:val="none"/>
        </w:rPr>
        <w:t>（类）</w:t>
      </w:r>
      <w:r>
        <w:rPr>
          <w:rStyle w:val="16"/>
          <w:rFonts w:hint="eastAsia" w:ascii="仿宋" w:hAnsi="仿宋" w:eastAsia="仿宋"/>
          <w:bCs/>
          <w:color w:val="auto"/>
          <w:sz w:val="32"/>
          <w:szCs w:val="32"/>
          <w:highlight w:val="none"/>
          <w:lang w:eastAsia="zh-CN"/>
        </w:rPr>
        <w:t>医疗保障管理事务</w:t>
      </w:r>
      <w:r>
        <w:rPr>
          <w:rStyle w:val="16"/>
          <w:rFonts w:hint="eastAsia" w:ascii="仿宋" w:hAnsi="仿宋" w:eastAsia="仿宋"/>
          <w:bCs/>
          <w:color w:val="auto"/>
          <w:sz w:val="32"/>
          <w:szCs w:val="32"/>
          <w:highlight w:val="none"/>
        </w:rPr>
        <w:t>（款）</w:t>
      </w:r>
      <w:r>
        <w:rPr>
          <w:rStyle w:val="16"/>
          <w:rFonts w:hint="eastAsia" w:ascii="仿宋" w:hAnsi="仿宋" w:eastAsia="仿宋"/>
          <w:bCs/>
          <w:color w:val="auto"/>
          <w:sz w:val="32"/>
          <w:szCs w:val="32"/>
          <w:highlight w:val="none"/>
          <w:lang w:eastAsia="zh-CN"/>
        </w:rPr>
        <w:t>其他医疗保障管理事务支出</w:t>
      </w:r>
      <w:r>
        <w:rPr>
          <w:rStyle w:val="16"/>
          <w:rFonts w:hint="eastAsia" w:ascii="仿宋" w:hAnsi="仿宋" w:eastAsia="仿宋"/>
          <w:bCs/>
          <w:color w:val="auto"/>
          <w:sz w:val="32"/>
          <w:szCs w:val="32"/>
          <w:highlight w:val="none"/>
        </w:rPr>
        <w:t>（项）</w:t>
      </w:r>
      <w:r>
        <w:rPr>
          <w:rStyle w:val="16"/>
          <w:rFonts w:ascii="仿宋" w:hAnsi="仿宋" w:eastAsia="仿宋"/>
          <w:bCs/>
          <w:color w:val="auto"/>
          <w:sz w:val="32"/>
          <w:szCs w:val="32"/>
          <w:highlight w:val="none"/>
        </w:rPr>
        <w:t>:</w:t>
      </w:r>
      <w:r>
        <w:rPr>
          <w:rStyle w:val="16"/>
          <w:rFonts w:ascii="仿宋" w:hAnsi="仿宋" w:eastAsia="仿宋"/>
          <w:b w:val="0"/>
          <w:bCs/>
          <w:color w:val="auto"/>
          <w:sz w:val="32"/>
          <w:szCs w:val="32"/>
          <w:highlight w:val="none"/>
        </w:rPr>
        <w:t xml:space="preserve"> </w:t>
      </w:r>
      <w:r>
        <w:rPr>
          <w:rStyle w:val="16"/>
          <w:rFonts w:hint="eastAsia" w:ascii="仿宋" w:hAnsi="仿宋" w:eastAsia="仿宋"/>
          <w:b w:val="0"/>
          <w:bCs/>
          <w:color w:val="auto"/>
          <w:sz w:val="32"/>
          <w:szCs w:val="32"/>
          <w:highlight w:val="none"/>
        </w:rPr>
        <w:t>支出决算为</w:t>
      </w:r>
      <w:r>
        <w:rPr>
          <w:rStyle w:val="16"/>
          <w:rFonts w:hint="eastAsia" w:ascii="仿宋" w:hAnsi="仿宋" w:eastAsia="仿宋"/>
          <w:b w:val="0"/>
          <w:bCs/>
          <w:color w:val="auto"/>
          <w:sz w:val="32"/>
          <w:szCs w:val="32"/>
          <w:highlight w:val="none"/>
          <w:lang w:val="en-US" w:eastAsia="zh-CN"/>
        </w:rPr>
        <w:t>49.31</w:t>
      </w:r>
      <w:r>
        <w:rPr>
          <w:rStyle w:val="16"/>
          <w:rFonts w:hint="eastAsia" w:ascii="仿宋" w:hAnsi="仿宋" w:eastAsia="仿宋"/>
          <w:b w:val="0"/>
          <w:bCs/>
          <w:color w:val="auto"/>
          <w:sz w:val="32"/>
          <w:szCs w:val="32"/>
          <w:highlight w:val="none"/>
        </w:rPr>
        <w:t>万元，完成预算</w:t>
      </w:r>
      <w:r>
        <w:rPr>
          <w:rStyle w:val="16"/>
          <w:rFonts w:hint="eastAsia" w:ascii="仿宋" w:hAnsi="仿宋" w:eastAsia="仿宋"/>
          <w:b w:val="0"/>
          <w:bCs/>
          <w:color w:val="auto"/>
          <w:sz w:val="32"/>
          <w:szCs w:val="32"/>
          <w:highlight w:val="none"/>
          <w:lang w:val="en-US" w:eastAsia="zh-CN"/>
        </w:rPr>
        <w:t>100</w:t>
      </w:r>
      <w:r>
        <w:rPr>
          <w:rStyle w:val="16"/>
          <w:rFonts w:ascii="仿宋" w:hAnsi="仿宋" w:eastAsia="仿宋"/>
          <w:b w:val="0"/>
          <w:bCs/>
          <w:color w:val="auto"/>
          <w:sz w:val="32"/>
          <w:szCs w:val="32"/>
          <w:highlight w:val="none"/>
        </w:rPr>
        <w:t>%</w:t>
      </w:r>
      <w:r>
        <w:rPr>
          <w:rStyle w:val="16"/>
          <w:rFonts w:hint="eastAsia" w:ascii="仿宋" w:hAnsi="仿宋" w:eastAsia="仿宋"/>
          <w:b w:val="0"/>
          <w:bCs/>
          <w:color w:val="auto"/>
          <w:sz w:val="32"/>
          <w:szCs w:val="32"/>
          <w:highlight w:val="none"/>
        </w:rPr>
        <w:t>。</w:t>
      </w:r>
    </w:p>
    <w:p>
      <w:pPr>
        <w:spacing w:line="600" w:lineRule="exact"/>
        <w:ind w:firstLine="640" w:firstLineChars="200"/>
        <w:rPr>
          <w:rStyle w:val="16"/>
          <w:rFonts w:hint="eastAsia" w:ascii="仿宋" w:hAnsi="仿宋" w:eastAsia="仿宋"/>
          <w:b w:val="0"/>
          <w:bCs/>
          <w:color w:val="auto"/>
          <w:sz w:val="32"/>
          <w:szCs w:val="32"/>
          <w:highlight w:val="none"/>
        </w:rPr>
      </w:pPr>
      <w:r>
        <w:rPr>
          <w:rStyle w:val="16"/>
          <w:rFonts w:hint="eastAsia" w:ascii="仿宋" w:hAnsi="仿宋" w:eastAsia="仿宋"/>
          <w:b w:val="0"/>
          <w:bCs/>
          <w:color w:val="auto"/>
          <w:sz w:val="32"/>
          <w:szCs w:val="32"/>
          <w:highlight w:val="none"/>
          <w:lang w:val="en-US" w:eastAsia="zh-CN"/>
        </w:rPr>
        <w:t>8.</w:t>
      </w:r>
      <w:r>
        <w:rPr>
          <w:rStyle w:val="16"/>
          <w:rFonts w:hint="eastAsia" w:ascii="仿宋" w:hAnsi="仿宋" w:eastAsia="仿宋"/>
          <w:bCs/>
          <w:color w:val="auto"/>
          <w:sz w:val="32"/>
          <w:szCs w:val="32"/>
          <w:highlight w:val="none"/>
          <w:lang w:eastAsia="zh-CN"/>
        </w:rPr>
        <w:t>卫生健康</w:t>
      </w:r>
      <w:r>
        <w:rPr>
          <w:rStyle w:val="16"/>
          <w:rFonts w:hint="eastAsia" w:ascii="仿宋" w:hAnsi="仿宋" w:eastAsia="仿宋"/>
          <w:bCs/>
          <w:color w:val="auto"/>
          <w:sz w:val="32"/>
          <w:szCs w:val="32"/>
          <w:highlight w:val="none"/>
        </w:rPr>
        <w:t>（类）</w:t>
      </w:r>
      <w:r>
        <w:rPr>
          <w:rStyle w:val="16"/>
          <w:rFonts w:hint="eastAsia" w:ascii="仿宋" w:hAnsi="仿宋" w:eastAsia="仿宋"/>
          <w:bCs/>
          <w:color w:val="auto"/>
          <w:sz w:val="32"/>
          <w:szCs w:val="32"/>
          <w:highlight w:val="none"/>
          <w:lang w:eastAsia="zh-CN"/>
        </w:rPr>
        <w:t>其他卫生健康支出</w:t>
      </w:r>
      <w:r>
        <w:rPr>
          <w:rStyle w:val="16"/>
          <w:rFonts w:hint="eastAsia" w:ascii="仿宋" w:hAnsi="仿宋" w:eastAsia="仿宋"/>
          <w:bCs/>
          <w:color w:val="auto"/>
          <w:sz w:val="32"/>
          <w:szCs w:val="32"/>
          <w:highlight w:val="none"/>
        </w:rPr>
        <w:t>（款）</w:t>
      </w:r>
      <w:r>
        <w:rPr>
          <w:rStyle w:val="16"/>
          <w:rFonts w:hint="eastAsia" w:ascii="仿宋" w:hAnsi="仿宋" w:eastAsia="仿宋"/>
          <w:bCs/>
          <w:color w:val="auto"/>
          <w:sz w:val="32"/>
          <w:szCs w:val="32"/>
          <w:highlight w:val="none"/>
          <w:lang w:eastAsia="zh-CN"/>
        </w:rPr>
        <w:t>其他卫生健康支出</w:t>
      </w:r>
      <w:r>
        <w:rPr>
          <w:rStyle w:val="16"/>
          <w:rFonts w:hint="eastAsia" w:ascii="仿宋" w:hAnsi="仿宋" w:eastAsia="仿宋"/>
          <w:bCs/>
          <w:color w:val="auto"/>
          <w:sz w:val="32"/>
          <w:szCs w:val="32"/>
          <w:highlight w:val="none"/>
        </w:rPr>
        <w:t>（项）</w:t>
      </w:r>
      <w:r>
        <w:rPr>
          <w:rStyle w:val="16"/>
          <w:rFonts w:ascii="仿宋" w:hAnsi="仿宋" w:eastAsia="仿宋"/>
          <w:bCs/>
          <w:color w:val="auto"/>
          <w:sz w:val="32"/>
          <w:szCs w:val="32"/>
          <w:highlight w:val="none"/>
        </w:rPr>
        <w:t>:</w:t>
      </w:r>
      <w:r>
        <w:rPr>
          <w:rStyle w:val="16"/>
          <w:rFonts w:ascii="仿宋" w:hAnsi="仿宋" w:eastAsia="仿宋"/>
          <w:b w:val="0"/>
          <w:bCs/>
          <w:color w:val="auto"/>
          <w:sz w:val="32"/>
          <w:szCs w:val="32"/>
          <w:highlight w:val="none"/>
        </w:rPr>
        <w:t xml:space="preserve"> </w:t>
      </w:r>
      <w:r>
        <w:rPr>
          <w:rStyle w:val="16"/>
          <w:rFonts w:hint="eastAsia" w:ascii="仿宋" w:hAnsi="仿宋" w:eastAsia="仿宋"/>
          <w:b w:val="0"/>
          <w:bCs/>
          <w:color w:val="auto"/>
          <w:sz w:val="32"/>
          <w:szCs w:val="32"/>
          <w:highlight w:val="none"/>
        </w:rPr>
        <w:t>支出决算为</w:t>
      </w:r>
      <w:r>
        <w:rPr>
          <w:rStyle w:val="16"/>
          <w:rFonts w:hint="eastAsia" w:ascii="仿宋" w:hAnsi="仿宋" w:eastAsia="仿宋"/>
          <w:b w:val="0"/>
          <w:bCs/>
          <w:color w:val="auto"/>
          <w:sz w:val="32"/>
          <w:szCs w:val="32"/>
          <w:highlight w:val="none"/>
          <w:lang w:val="en-US" w:eastAsia="zh-CN"/>
        </w:rPr>
        <w:t>21</w:t>
      </w:r>
      <w:r>
        <w:rPr>
          <w:rStyle w:val="16"/>
          <w:rFonts w:hint="eastAsia" w:ascii="仿宋" w:hAnsi="仿宋" w:eastAsia="仿宋"/>
          <w:b w:val="0"/>
          <w:bCs/>
          <w:color w:val="auto"/>
          <w:sz w:val="32"/>
          <w:szCs w:val="32"/>
          <w:highlight w:val="none"/>
        </w:rPr>
        <w:t>万元，完成预算</w:t>
      </w:r>
      <w:r>
        <w:rPr>
          <w:rStyle w:val="16"/>
          <w:rFonts w:hint="eastAsia" w:ascii="仿宋" w:hAnsi="仿宋" w:eastAsia="仿宋"/>
          <w:b w:val="0"/>
          <w:bCs/>
          <w:color w:val="auto"/>
          <w:sz w:val="32"/>
          <w:szCs w:val="32"/>
          <w:highlight w:val="none"/>
          <w:lang w:val="en-US" w:eastAsia="zh-CN"/>
        </w:rPr>
        <w:t>100</w:t>
      </w:r>
      <w:r>
        <w:rPr>
          <w:rStyle w:val="16"/>
          <w:rFonts w:ascii="仿宋" w:hAnsi="仿宋" w:eastAsia="仿宋"/>
          <w:b w:val="0"/>
          <w:bCs/>
          <w:color w:val="auto"/>
          <w:sz w:val="32"/>
          <w:szCs w:val="32"/>
          <w:highlight w:val="none"/>
        </w:rPr>
        <w:t>%</w:t>
      </w:r>
      <w:r>
        <w:rPr>
          <w:rStyle w:val="16"/>
          <w:rFonts w:hint="eastAsia" w:ascii="仿宋" w:hAnsi="仿宋" w:eastAsia="仿宋"/>
          <w:b w:val="0"/>
          <w:bCs/>
          <w:color w:val="auto"/>
          <w:sz w:val="32"/>
          <w:szCs w:val="32"/>
          <w:highlight w:val="none"/>
        </w:rPr>
        <w:t>。</w:t>
      </w:r>
    </w:p>
    <w:p>
      <w:pPr>
        <w:spacing w:line="600" w:lineRule="exact"/>
        <w:ind w:firstLine="640" w:firstLineChars="200"/>
        <w:rPr>
          <w:rFonts w:ascii="仿宋" w:hAnsi="仿宋" w:eastAsia="仿宋"/>
          <w:b/>
          <w:color w:val="auto"/>
          <w:sz w:val="32"/>
          <w:szCs w:val="32"/>
          <w:highlight w:val="none"/>
        </w:rPr>
      </w:pPr>
      <w:r>
        <w:rPr>
          <w:rStyle w:val="16"/>
          <w:rFonts w:hint="eastAsia" w:ascii="仿宋" w:hAnsi="仿宋" w:eastAsia="仿宋"/>
          <w:b w:val="0"/>
          <w:bCs/>
          <w:color w:val="auto"/>
          <w:sz w:val="32"/>
          <w:szCs w:val="32"/>
          <w:highlight w:val="none"/>
          <w:lang w:val="en-US" w:eastAsia="zh-CN"/>
        </w:rPr>
        <w:t>9.</w:t>
      </w:r>
      <w:r>
        <w:rPr>
          <w:rStyle w:val="16"/>
          <w:rFonts w:hint="eastAsia" w:ascii="仿宋" w:hAnsi="仿宋" w:eastAsia="仿宋"/>
          <w:bCs/>
          <w:color w:val="auto"/>
          <w:sz w:val="32"/>
          <w:szCs w:val="32"/>
          <w:highlight w:val="none"/>
          <w:lang w:eastAsia="zh-CN"/>
        </w:rPr>
        <w:t>住房公积金</w:t>
      </w:r>
      <w:r>
        <w:rPr>
          <w:rStyle w:val="16"/>
          <w:rFonts w:hint="eastAsia" w:ascii="仿宋" w:hAnsi="仿宋" w:eastAsia="仿宋"/>
          <w:bCs/>
          <w:color w:val="auto"/>
          <w:sz w:val="32"/>
          <w:szCs w:val="32"/>
          <w:highlight w:val="none"/>
        </w:rPr>
        <w:t>（类）</w:t>
      </w:r>
      <w:r>
        <w:rPr>
          <w:rStyle w:val="16"/>
          <w:rFonts w:hint="eastAsia" w:ascii="仿宋" w:hAnsi="仿宋" w:eastAsia="仿宋"/>
          <w:bCs/>
          <w:color w:val="auto"/>
          <w:sz w:val="32"/>
          <w:szCs w:val="32"/>
          <w:highlight w:val="none"/>
          <w:lang w:eastAsia="zh-CN"/>
        </w:rPr>
        <w:t>住房改革支出</w:t>
      </w:r>
      <w:r>
        <w:rPr>
          <w:rStyle w:val="16"/>
          <w:rFonts w:hint="eastAsia" w:ascii="仿宋" w:hAnsi="仿宋" w:eastAsia="仿宋"/>
          <w:bCs/>
          <w:color w:val="auto"/>
          <w:sz w:val="32"/>
          <w:szCs w:val="32"/>
          <w:highlight w:val="none"/>
        </w:rPr>
        <w:t>（款）</w:t>
      </w:r>
      <w:r>
        <w:rPr>
          <w:rStyle w:val="16"/>
          <w:rFonts w:hint="eastAsia" w:ascii="仿宋" w:hAnsi="仿宋" w:eastAsia="仿宋"/>
          <w:bCs/>
          <w:color w:val="auto"/>
          <w:sz w:val="32"/>
          <w:szCs w:val="32"/>
          <w:highlight w:val="none"/>
          <w:lang w:eastAsia="zh-CN"/>
        </w:rPr>
        <w:t>住房公积金</w:t>
      </w:r>
      <w:r>
        <w:rPr>
          <w:rStyle w:val="16"/>
          <w:rFonts w:hint="eastAsia" w:ascii="仿宋" w:hAnsi="仿宋" w:eastAsia="仿宋"/>
          <w:bCs/>
          <w:color w:val="auto"/>
          <w:sz w:val="32"/>
          <w:szCs w:val="32"/>
          <w:highlight w:val="none"/>
        </w:rPr>
        <w:t>（项）</w:t>
      </w:r>
      <w:r>
        <w:rPr>
          <w:rStyle w:val="16"/>
          <w:rFonts w:ascii="仿宋" w:hAnsi="仿宋" w:eastAsia="仿宋"/>
          <w:bCs/>
          <w:color w:val="auto"/>
          <w:sz w:val="32"/>
          <w:szCs w:val="32"/>
          <w:highlight w:val="none"/>
        </w:rPr>
        <w:t>:</w:t>
      </w:r>
      <w:r>
        <w:rPr>
          <w:rStyle w:val="16"/>
          <w:rFonts w:ascii="仿宋" w:hAnsi="仿宋" w:eastAsia="仿宋"/>
          <w:b w:val="0"/>
          <w:bCs/>
          <w:color w:val="auto"/>
          <w:sz w:val="32"/>
          <w:szCs w:val="32"/>
          <w:highlight w:val="none"/>
        </w:rPr>
        <w:t xml:space="preserve"> </w:t>
      </w:r>
      <w:r>
        <w:rPr>
          <w:rStyle w:val="16"/>
          <w:rFonts w:hint="eastAsia" w:ascii="仿宋" w:hAnsi="仿宋" w:eastAsia="仿宋"/>
          <w:b w:val="0"/>
          <w:bCs/>
          <w:color w:val="auto"/>
          <w:sz w:val="32"/>
          <w:szCs w:val="32"/>
          <w:highlight w:val="none"/>
        </w:rPr>
        <w:t>支出决算为</w:t>
      </w:r>
      <w:r>
        <w:rPr>
          <w:rStyle w:val="16"/>
          <w:rFonts w:hint="eastAsia" w:ascii="仿宋" w:hAnsi="仿宋" w:eastAsia="仿宋"/>
          <w:b w:val="0"/>
          <w:bCs/>
          <w:color w:val="auto"/>
          <w:sz w:val="32"/>
          <w:szCs w:val="32"/>
          <w:highlight w:val="none"/>
          <w:lang w:val="en-US" w:eastAsia="zh-CN"/>
        </w:rPr>
        <w:t>19.55</w:t>
      </w:r>
      <w:r>
        <w:rPr>
          <w:rStyle w:val="16"/>
          <w:rFonts w:hint="eastAsia" w:ascii="仿宋" w:hAnsi="仿宋" w:eastAsia="仿宋"/>
          <w:b w:val="0"/>
          <w:bCs/>
          <w:color w:val="auto"/>
          <w:sz w:val="32"/>
          <w:szCs w:val="32"/>
          <w:highlight w:val="none"/>
        </w:rPr>
        <w:t>万元，完成预算</w:t>
      </w:r>
      <w:r>
        <w:rPr>
          <w:rStyle w:val="16"/>
          <w:rFonts w:hint="eastAsia" w:ascii="仿宋" w:hAnsi="仿宋" w:eastAsia="仿宋"/>
          <w:b w:val="0"/>
          <w:bCs/>
          <w:color w:val="auto"/>
          <w:sz w:val="32"/>
          <w:szCs w:val="32"/>
          <w:highlight w:val="none"/>
          <w:lang w:val="en-US" w:eastAsia="zh-CN"/>
        </w:rPr>
        <w:t>100</w:t>
      </w:r>
      <w:r>
        <w:rPr>
          <w:rStyle w:val="16"/>
          <w:rFonts w:ascii="仿宋" w:hAnsi="仿宋" w:eastAsia="仿宋"/>
          <w:b w:val="0"/>
          <w:bCs/>
          <w:color w:val="auto"/>
          <w:sz w:val="32"/>
          <w:szCs w:val="32"/>
          <w:highlight w:val="none"/>
        </w:rPr>
        <w:t>%</w:t>
      </w:r>
      <w:r>
        <w:rPr>
          <w:rStyle w:val="16"/>
          <w:rFonts w:hint="eastAsia" w:ascii="仿宋" w:hAnsi="仿宋" w:eastAsia="仿宋"/>
          <w:b w:val="0"/>
          <w:bCs/>
          <w:color w:val="auto"/>
          <w:sz w:val="32"/>
          <w:szCs w:val="32"/>
          <w:highlight w:val="none"/>
        </w:rPr>
        <w:t>。</w:t>
      </w:r>
    </w:p>
    <w:p>
      <w:pPr>
        <w:tabs>
          <w:tab w:val="right" w:pos="8306"/>
        </w:tabs>
        <w:spacing w:line="600" w:lineRule="exact"/>
        <w:ind w:firstLine="640"/>
        <w:outlineLvl w:val="1"/>
        <w:rPr>
          <w:rStyle w:val="28"/>
          <w:color w:val="auto"/>
          <w:highlight w:val="none"/>
        </w:rPr>
      </w:pPr>
      <w:bookmarkStart w:id="50" w:name="_Toc15396608"/>
      <w:bookmarkStart w:id="51" w:name="_Toc15377214"/>
      <w:bookmarkStart w:id="52" w:name="_Toc6928"/>
      <w:r>
        <w:rPr>
          <w:rFonts w:hint="eastAsia" w:ascii="黑体" w:eastAsia="黑体"/>
          <w:color w:val="auto"/>
          <w:sz w:val="32"/>
          <w:szCs w:val="32"/>
          <w:highlight w:val="none"/>
        </w:rPr>
        <w:t>六</w:t>
      </w:r>
      <w:r>
        <w:rPr>
          <w:rFonts w:hint="eastAsia" w:ascii="黑体" w:eastAsia="黑体"/>
          <w:b/>
          <w:color w:val="auto"/>
          <w:sz w:val="32"/>
          <w:szCs w:val="32"/>
          <w:highlight w:val="none"/>
        </w:rPr>
        <w:t>、</w:t>
      </w:r>
      <w:r>
        <w:rPr>
          <w:rFonts w:hint="eastAsia" w:ascii="黑体" w:hAnsi="黑体" w:eastAsia="黑体"/>
          <w:b/>
          <w:color w:val="auto"/>
          <w:sz w:val="32"/>
          <w:szCs w:val="32"/>
          <w:highlight w:val="none"/>
        </w:rPr>
        <w:t>一</w:t>
      </w:r>
      <w:r>
        <w:rPr>
          <w:rStyle w:val="28"/>
          <w:rFonts w:hint="eastAsia" w:ascii="黑体" w:hAnsi="黑体" w:eastAsia="黑体"/>
          <w:b w:val="0"/>
          <w:color w:val="auto"/>
          <w:highlight w:val="none"/>
        </w:rPr>
        <w:t>般公共预算财政拨款基本支出决算情况说明</w:t>
      </w:r>
      <w:bookmarkEnd w:id="50"/>
      <w:bookmarkEnd w:id="51"/>
      <w:bookmarkEnd w:id="52"/>
      <w:r>
        <w:rPr>
          <w:rStyle w:val="28"/>
          <w:rFonts w:ascii="黑体" w:hAnsi="黑体" w:eastAsia="黑体"/>
          <w:b w:val="0"/>
          <w:color w:val="auto"/>
          <w:highlight w:val="none"/>
        </w:rPr>
        <w:tab/>
      </w:r>
    </w:p>
    <w:p>
      <w:pPr>
        <w:spacing w:line="600" w:lineRule="exact"/>
        <w:ind w:firstLine="645"/>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年一般公共预算财政拨款基本支出</w:t>
      </w:r>
      <w:r>
        <w:rPr>
          <w:rFonts w:hint="eastAsia" w:ascii="仿宋" w:hAnsi="仿宋" w:eastAsia="仿宋"/>
          <w:color w:val="auto"/>
          <w:sz w:val="32"/>
          <w:szCs w:val="32"/>
          <w:highlight w:val="none"/>
          <w:lang w:val="en-US" w:eastAsia="zh-CN"/>
        </w:rPr>
        <w:t>353.22</w:t>
      </w:r>
      <w:r>
        <w:rPr>
          <w:rFonts w:hint="eastAsia" w:ascii="仿宋" w:hAnsi="仿宋" w:eastAsia="仿宋"/>
          <w:color w:val="auto"/>
          <w:sz w:val="32"/>
          <w:szCs w:val="32"/>
          <w:highlight w:val="none"/>
        </w:rPr>
        <w:t>万元，其中：</w:t>
      </w:r>
    </w:p>
    <w:p>
      <w:pPr>
        <w:spacing w:line="600" w:lineRule="exact"/>
        <w:ind w:firstLine="645"/>
        <w:rPr>
          <w:rFonts w:ascii="仿宋" w:hAnsi="仿宋" w:eastAsia="仿宋"/>
          <w:b/>
          <w:color w:val="auto"/>
          <w:sz w:val="32"/>
          <w:szCs w:val="32"/>
          <w:highlight w:val="none"/>
        </w:rPr>
      </w:pPr>
      <w:r>
        <w:rPr>
          <w:rFonts w:hint="eastAsia" w:ascii="仿宋" w:hAnsi="仿宋" w:eastAsia="仿宋"/>
          <w:color w:val="auto"/>
          <w:sz w:val="32"/>
          <w:szCs w:val="32"/>
          <w:highlight w:val="none"/>
        </w:rPr>
        <w:t>人员经费</w:t>
      </w:r>
      <w:r>
        <w:rPr>
          <w:rFonts w:hint="eastAsia" w:ascii="仿宋" w:hAnsi="仿宋" w:eastAsia="仿宋"/>
          <w:color w:val="auto"/>
          <w:sz w:val="32"/>
          <w:szCs w:val="32"/>
          <w:highlight w:val="none"/>
          <w:lang w:val="en-US" w:eastAsia="zh-CN"/>
        </w:rPr>
        <w:t>235.10</w:t>
      </w:r>
      <w:r>
        <w:rPr>
          <w:rFonts w:hint="eastAsia" w:ascii="仿宋" w:hAnsi="仿宋" w:eastAsia="仿宋"/>
          <w:color w:val="auto"/>
          <w:sz w:val="32"/>
          <w:szCs w:val="32"/>
          <w:highlight w:val="none"/>
        </w:rPr>
        <w:t>万元，主要包括：基本工资、津贴补贴、奖金、绩效工资、机关事业单位基本养老保险缴费、职业年金缴费、其他社会保障缴费、住房公积金、</w:t>
      </w:r>
      <w:r>
        <w:rPr>
          <w:rFonts w:hint="eastAsia" w:ascii="仿宋" w:hAnsi="仿宋" w:eastAsia="仿宋"/>
          <w:color w:val="auto"/>
          <w:sz w:val="32"/>
          <w:szCs w:val="32"/>
          <w:highlight w:val="none"/>
          <w:lang w:eastAsia="zh-CN"/>
        </w:rPr>
        <w:t>其他工资福利支出、奖励金、其他</w:t>
      </w:r>
      <w:r>
        <w:rPr>
          <w:rFonts w:hint="eastAsia" w:ascii="仿宋" w:hAnsi="仿宋" w:eastAsia="仿宋"/>
          <w:color w:val="auto"/>
          <w:sz w:val="32"/>
          <w:szCs w:val="32"/>
          <w:highlight w:val="none"/>
        </w:rPr>
        <w:t>对个人和家庭的补助支出等。</w:t>
      </w:r>
      <w:r>
        <w:rPr>
          <w:rFonts w:ascii="仿宋" w:hAnsi="仿宋" w:eastAsia="仿宋"/>
          <w:color w:val="auto"/>
          <w:sz w:val="32"/>
          <w:szCs w:val="32"/>
          <w:highlight w:val="none"/>
        </w:rPr>
        <w:br w:type="textWrapping"/>
      </w:r>
      <w:r>
        <w:rPr>
          <w:rFonts w:hint="eastAsia" w:ascii="仿宋" w:hAnsi="仿宋" w:eastAsia="仿宋"/>
          <w:color w:val="auto"/>
          <w:sz w:val="32"/>
          <w:szCs w:val="32"/>
          <w:highlight w:val="none"/>
        </w:rPr>
        <w:t>　　公用经费</w:t>
      </w:r>
      <w:r>
        <w:rPr>
          <w:rFonts w:hint="eastAsia" w:ascii="仿宋" w:hAnsi="仿宋" w:eastAsia="仿宋"/>
          <w:color w:val="auto"/>
          <w:sz w:val="32"/>
          <w:szCs w:val="32"/>
          <w:highlight w:val="none"/>
          <w:lang w:val="en-US" w:eastAsia="zh-CN"/>
        </w:rPr>
        <w:t>118.12</w:t>
      </w:r>
      <w:r>
        <w:rPr>
          <w:rFonts w:hint="eastAsia" w:ascii="仿宋" w:hAnsi="仿宋" w:eastAsia="仿宋"/>
          <w:color w:val="auto"/>
          <w:sz w:val="32"/>
          <w:szCs w:val="32"/>
          <w:highlight w:val="none"/>
        </w:rPr>
        <w:t>万元，主要包括：办公费、印刷费、水费、电费、邮电费、差旅费、维修（护）费、租赁费、会议费、培训费、公务接待费、劳务费</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rPr>
        <w:t>其他商品和服务支出等。</w:t>
      </w:r>
    </w:p>
    <w:p>
      <w:pPr>
        <w:spacing w:line="600" w:lineRule="exact"/>
        <w:ind w:firstLine="640"/>
        <w:outlineLvl w:val="1"/>
        <w:rPr>
          <w:rStyle w:val="28"/>
          <w:rFonts w:ascii="黑体" w:hAnsi="黑体" w:eastAsia="黑体"/>
          <w:b w:val="0"/>
          <w:color w:val="auto"/>
          <w:highlight w:val="none"/>
        </w:rPr>
      </w:pPr>
      <w:bookmarkStart w:id="53" w:name="_Toc15396609"/>
      <w:bookmarkStart w:id="54" w:name="_Toc15377215"/>
      <w:bookmarkStart w:id="55" w:name="_Toc11290"/>
      <w:r>
        <w:rPr>
          <w:rFonts w:hint="eastAsia" w:ascii="黑体" w:eastAsia="黑体"/>
          <w:color w:val="auto"/>
          <w:sz w:val="32"/>
          <w:szCs w:val="32"/>
          <w:highlight w:val="none"/>
        </w:rPr>
        <w:t>七、</w:t>
      </w:r>
      <w:r>
        <w:rPr>
          <w:rStyle w:val="28"/>
          <w:rFonts w:hint="eastAsia" w:ascii="黑体" w:hAnsi="黑体" w:eastAsia="黑体"/>
          <w:b w:val="0"/>
          <w:color w:val="auto"/>
          <w:highlight w:val="none"/>
        </w:rPr>
        <w:t>财政拨款</w:t>
      </w:r>
      <w:r>
        <w:rPr>
          <w:rStyle w:val="28"/>
          <w:rFonts w:hint="eastAsia" w:ascii="黑体" w:hAnsi="黑体" w:eastAsia="黑体"/>
          <w:color w:val="auto"/>
          <w:highlight w:val="none"/>
        </w:rPr>
        <w:t>“</w:t>
      </w:r>
      <w:r>
        <w:rPr>
          <w:rStyle w:val="28"/>
          <w:rFonts w:hint="eastAsia" w:ascii="黑体" w:hAnsi="黑体" w:eastAsia="黑体"/>
          <w:b w:val="0"/>
          <w:color w:val="auto"/>
          <w:highlight w:val="none"/>
        </w:rPr>
        <w:t>三公”经费支出决算情况说明</w:t>
      </w:r>
      <w:bookmarkEnd w:id="53"/>
      <w:bookmarkEnd w:id="54"/>
      <w:bookmarkEnd w:id="55"/>
    </w:p>
    <w:p>
      <w:pPr>
        <w:spacing w:line="600" w:lineRule="exact"/>
        <w:ind w:firstLine="640"/>
        <w:outlineLvl w:val="2"/>
        <w:rPr>
          <w:rFonts w:ascii="仿宋" w:hAnsi="仿宋" w:eastAsia="仿宋"/>
          <w:b/>
          <w:color w:val="auto"/>
          <w:sz w:val="32"/>
          <w:szCs w:val="32"/>
          <w:highlight w:val="none"/>
        </w:rPr>
      </w:pPr>
      <w:bookmarkStart w:id="56" w:name="_Toc15377216"/>
      <w:r>
        <w:rPr>
          <w:rFonts w:hint="eastAsia" w:ascii="仿宋" w:hAnsi="仿宋" w:eastAsia="仿宋"/>
          <w:b/>
          <w:color w:val="auto"/>
          <w:sz w:val="32"/>
          <w:szCs w:val="32"/>
          <w:highlight w:val="none"/>
        </w:rPr>
        <w:t>（一）“三公”经费财政拨款支出决算总体情况说明</w:t>
      </w:r>
      <w:bookmarkEnd w:id="56"/>
    </w:p>
    <w:p>
      <w:pPr>
        <w:spacing w:line="600" w:lineRule="exact"/>
        <w:ind w:firstLine="640"/>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年“三公”经费财政拨款支出决算为</w:t>
      </w:r>
      <w:r>
        <w:rPr>
          <w:rFonts w:hint="eastAsia" w:ascii="仿宋" w:hAnsi="仿宋" w:eastAsia="仿宋"/>
          <w:color w:val="auto"/>
          <w:sz w:val="32"/>
          <w:szCs w:val="32"/>
          <w:highlight w:val="none"/>
          <w:lang w:val="en-US" w:eastAsia="zh-CN"/>
        </w:rPr>
        <w:t>0.32</w:t>
      </w:r>
      <w:r>
        <w:rPr>
          <w:rFonts w:hint="eastAsia" w:ascii="仿宋" w:hAnsi="仿宋" w:eastAsia="仿宋"/>
          <w:color w:val="auto"/>
          <w:sz w:val="32"/>
          <w:szCs w:val="32"/>
          <w:highlight w:val="none"/>
        </w:rPr>
        <w:t>万元，完成预算</w:t>
      </w:r>
      <w:r>
        <w:rPr>
          <w:rFonts w:hint="eastAsia" w:ascii="仿宋" w:hAnsi="仿宋" w:eastAsia="仿宋"/>
          <w:color w:val="auto"/>
          <w:sz w:val="32"/>
          <w:szCs w:val="32"/>
          <w:highlight w:val="none"/>
          <w:lang w:val="en-US" w:eastAsia="zh-CN"/>
        </w:rPr>
        <w:t>100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eastAsia="zh-CN"/>
        </w:rPr>
        <w:t>较上年</w:t>
      </w:r>
      <w:r>
        <w:rPr>
          <w:rFonts w:hint="eastAsia" w:ascii="仿宋" w:hAnsi="仿宋" w:eastAsia="仿宋"/>
          <w:color w:val="auto"/>
          <w:sz w:val="32"/>
          <w:szCs w:val="32"/>
          <w:highlight w:val="none"/>
          <w:lang w:val="en-US" w:eastAsia="zh-CN"/>
        </w:rPr>
        <w:t>减少0.08万元，下降20%。</w:t>
      </w:r>
    </w:p>
    <w:p>
      <w:pPr>
        <w:spacing w:line="600" w:lineRule="exact"/>
        <w:ind w:firstLine="640"/>
        <w:outlineLvl w:val="2"/>
        <w:rPr>
          <w:rFonts w:ascii="仿宋" w:hAnsi="仿宋" w:eastAsia="仿宋"/>
          <w:b/>
          <w:color w:val="auto"/>
          <w:sz w:val="32"/>
          <w:szCs w:val="32"/>
          <w:highlight w:val="none"/>
        </w:rPr>
      </w:pPr>
      <w:bookmarkStart w:id="57" w:name="_Toc15377217"/>
      <w:r>
        <w:rPr>
          <w:rFonts w:hint="eastAsia" w:ascii="仿宋" w:hAnsi="仿宋" w:eastAsia="仿宋"/>
          <w:b/>
          <w:color w:val="auto"/>
          <w:sz w:val="32"/>
          <w:szCs w:val="32"/>
          <w:highlight w:val="none"/>
        </w:rPr>
        <w:t>（二）“三公”经费财政拨款支出决算具体情况说明</w:t>
      </w:r>
      <w:bookmarkEnd w:id="57"/>
    </w:p>
    <w:p>
      <w:pPr>
        <w:spacing w:line="600" w:lineRule="exact"/>
        <w:ind w:firstLine="640"/>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年“三公”经费财政拨款支出决算中，因公出国（境）费支出决算</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；公务用车购置及运行维护费支出决算</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；公务接待费支出决算</w:t>
      </w:r>
      <w:r>
        <w:rPr>
          <w:rFonts w:hint="eastAsia" w:ascii="仿宋" w:hAnsi="仿宋" w:eastAsia="仿宋"/>
          <w:color w:val="auto"/>
          <w:sz w:val="32"/>
          <w:szCs w:val="32"/>
          <w:highlight w:val="none"/>
          <w:lang w:val="en-US" w:eastAsia="zh-CN"/>
        </w:rPr>
        <w:t>0.32</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100</w:t>
      </w:r>
      <w:r>
        <w:rPr>
          <w:rFonts w:ascii="仿宋" w:hAnsi="仿宋" w:eastAsia="仿宋"/>
          <w:color w:val="auto"/>
          <w:sz w:val="32"/>
          <w:szCs w:val="32"/>
          <w:highlight w:val="none"/>
        </w:rPr>
        <w:t>%</w:t>
      </w:r>
      <w:r>
        <w:rPr>
          <w:rFonts w:hint="eastAsia" w:ascii="仿宋" w:hAnsi="仿宋" w:eastAsia="仿宋"/>
          <w:color w:val="auto"/>
          <w:sz w:val="32"/>
          <w:szCs w:val="32"/>
          <w:highlight w:val="none"/>
        </w:rPr>
        <w:t>。具体情况如下：</w:t>
      </w:r>
    </w:p>
    <w:p>
      <w:pPr>
        <w:spacing w:line="600" w:lineRule="exact"/>
        <w:ind w:firstLine="640"/>
        <w:rPr>
          <w:rFonts w:ascii="仿宋_GB2312" w:eastAsia="仿宋_GB2312"/>
          <w:b/>
          <w:color w:val="auto"/>
          <w:sz w:val="32"/>
          <w:szCs w:val="32"/>
          <w:highlight w:val="none"/>
        </w:rPr>
      </w:pPr>
    </w:p>
    <w:p>
      <w:pPr>
        <w:spacing w:line="600" w:lineRule="exact"/>
        <w:ind w:firstLine="640"/>
        <w:rPr>
          <w:rFonts w:ascii="仿宋_GB2312" w:eastAsia="仿宋_GB2312"/>
          <w:b/>
          <w:color w:val="auto"/>
          <w:sz w:val="32"/>
          <w:szCs w:val="32"/>
          <w:highlight w:val="none"/>
        </w:rPr>
      </w:pPr>
    </w:p>
    <w:p>
      <w:pPr>
        <w:spacing w:line="600" w:lineRule="exact"/>
        <w:ind w:firstLine="640"/>
        <w:rPr>
          <w:rFonts w:ascii="仿宋_GB2312" w:eastAsia="仿宋_GB2312"/>
          <w:b/>
          <w:color w:val="auto"/>
          <w:sz w:val="32"/>
          <w:szCs w:val="32"/>
          <w:highlight w:val="none"/>
        </w:rPr>
      </w:pPr>
    </w:p>
    <w:p>
      <w:pPr>
        <w:spacing w:line="600" w:lineRule="exact"/>
        <w:ind w:firstLine="640"/>
        <w:rPr>
          <w:rFonts w:ascii="仿宋_GB2312" w:eastAsia="仿宋_GB2312"/>
          <w:b/>
          <w:color w:val="auto"/>
          <w:sz w:val="32"/>
          <w:szCs w:val="32"/>
          <w:highlight w:val="none"/>
        </w:rPr>
      </w:pPr>
    </w:p>
    <w:p>
      <w:pPr>
        <w:spacing w:line="600" w:lineRule="exact"/>
        <w:ind w:firstLine="640"/>
        <w:rPr>
          <w:rFonts w:ascii="仿宋_GB2312" w:eastAsia="仿宋_GB2312"/>
          <w:b/>
          <w:color w:val="auto"/>
          <w:sz w:val="32"/>
          <w:szCs w:val="32"/>
          <w:highlight w:val="none"/>
        </w:rPr>
      </w:pPr>
    </w:p>
    <w:p>
      <w:pPr>
        <w:spacing w:line="600" w:lineRule="exact"/>
        <w:ind w:firstLine="640"/>
        <w:rPr>
          <w:rFonts w:ascii="仿宋_GB2312" w:eastAsia="仿宋_GB2312"/>
          <w:b/>
          <w:color w:val="auto"/>
          <w:sz w:val="32"/>
          <w:szCs w:val="32"/>
          <w:highlight w:val="none"/>
        </w:rPr>
      </w:pPr>
    </w:p>
    <w:p>
      <w:pPr>
        <w:spacing w:line="600" w:lineRule="exact"/>
        <w:ind w:firstLine="640"/>
        <w:rPr>
          <w:rFonts w:ascii="仿宋_GB2312" w:eastAsia="仿宋_GB2312"/>
          <w:b/>
          <w:color w:val="auto"/>
          <w:sz w:val="32"/>
          <w:szCs w:val="32"/>
          <w:highlight w:val="none"/>
        </w:rPr>
      </w:pPr>
    </w:p>
    <w:p>
      <w:pPr>
        <w:spacing w:line="600" w:lineRule="exact"/>
        <w:ind w:firstLine="640"/>
        <w:rPr>
          <w:rFonts w:ascii="仿宋_GB2312" w:eastAsia="仿宋_GB2312"/>
          <w:b/>
          <w:color w:val="auto"/>
          <w:sz w:val="32"/>
          <w:szCs w:val="32"/>
          <w:highlight w:val="none"/>
        </w:rPr>
      </w:pPr>
      <w:r>
        <w:drawing>
          <wp:anchor distT="0" distB="0" distL="114300" distR="114300" simplePos="0" relativeHeight="251660288" behindDoc="1" locked="0" layoutInCell="1" allowOverlap="1">
            <wp:simplePos x="0" y="0"/>
            <wp:positionH relativeFrom="column">
              <wp:posOffset>410845</wp:posOffset>
            </wp:positionH>
            <wp:positionV relativeFrom="paragraph">
              <wp:posOffset>-2453005</wp:posOffset>
            </wp:positionV>
            <wp:extent cx="4826000" cy="2743200"/>
            <wp:effectExtent l="4445" t="4445" r="8255" b="14605"/>
            <wp:wrapNone/>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anchor>
        </w:drawing>
      </w:r>
    </w:p>
    <w:p>
      <w:pPr>
        <w:spacing w:line="600" w:lineRule="exact"/>
        <w:ind w:firstLine="640"/>
        <w:rPr>
          <w:rFonts w:ascii="仿宋_GB2312" w:eastAsia="仿宋_GB2312"/>
          <w:color w:val="auto"/>
          <w:sz w:val="32"/>
          <w:szCs w:val="32"/>
          <w:highlight w:val="none"/>
        </w:rPr>
      </w:pPr>
      <w:r>
        <w:rPr>
          <w:rFonts w:ascii="仿宋_GB2312" w:eastAsia="仿宋_GB2312"/>
          <w:b/>
          <w:color w:val="auto"/>
          <w:sz w:val="32"/>
          <w:szCs w:val="32"/>
          <w:highlight w:val="none"/>
        </w:rPr>
        <w:t>1.</w:t>
      </w:r>
      <w:r>
        <w:rPr>
          <w:rFonts w:hint="eastAsia" w:ascii="仿宋_GB2312" w:eastAsia="仿宋_GB2312"/>
          <w:b/>
          <w:color w:val="auto"/>
          <w:sz w:val="32"/>
          <w:szCs w:val="32"/>
          <w:highlight w:val="none"/>
        </w:rPr>
        <w:t>因公出国（境）经费支出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r>
        <w:rPr>
          <w:rFonts w:hint="eastAsia" w:ascii="仿宋_GB2312" w:eastAsia="仿宋_GB2312"/>
          <w:sz w:val="32"/>
          <w:szCs w:val="32"/>
          <w:highlight w:val="none"/>
          <w:lang w:val="en-US" w:eastAsia="zh-CN"/>
        </w:rPr>
        <w:t>年初未安排预算，与上年数持平</w:t>
      </w:r>
      <w:r>
        <w:rPr>
          <w:rFonts w:hint="eastAsia" w:ascii="仿宋_GB2312" w:eastAsia="仿宋_GB2312"/>
          <w:color w:val="auto"/>
          <w:sz w:val="32"/>
          <w:szCs w:val="32"/>
          <w:highlight w:val="none"/>
        </w:rPr>
        <w:t>。</w:t>
      </w:r>
    </w:p>
    <w:p>
      <w:pPr>
        <w:spacing w:line="600" w:lineRule="exact"/>
        <w:ind w:firstLine="640"/>
        <w:rPr>
          <w:rFonts w:ascii="仿宋_GB2312" w:eastAsia="仿宋_GB2312"/>
          <w:b/>
          <w:color w:val="auto"/>
          <w:sz w:val="32"/>
          <w:szCs w:val="32"/>
          <w:highlight w:val="none"/>
        </w:rPr>
      </w:pPr>
      <w:r>
        <w:rPr>
          <w:rFonts w:ascii="仿宋_GB2312" w:eastAsia="仿宋_GB2312"/>
          <w:b/>
          <w:color w:val="auto"/>
          <w:sz w:val="32"/>
          <w:szCs w:val="32"/>
          <w:highlight w:val="none"/>
        </w:rPr>
        <w:t>2.</w:t>
      </w:r>
      <w:r>
        <w:rPr>
          <w:rFonts w:hint="eastAsia" w:ascii="仿宋_GB2312" w:eastAsia="仿宋_GB2312"/>
          <w:b/>
          <w:color w:val="auto"/>
          <w:sz w:val="32"/>
          <w:szCs w:val="32"/>
          <w:highlight w:val="none"/>
        </w:rPr>
        <w:t>公务用车购置及运行维护费支出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r>
        <w:rPr>
          <w:rFonts w:hint="eastAsia" w:ascii="仿宋_GB2312" w:eastAsia="仿宋_GB2312"/>
          <w:sz w:val="32"/>
          <w:szCs w:val="32"/>
          <w:highlight w:val="none"/>
          <w:lang w:val="en-US" w:eastAsia="zh-CN"/>
        </w:rPr>
        <w:t>年初未安排预算，与上年数持平</w:t>
      </w:r>
      <w:r>
        <w:rPr>
          <w:rFonts w:hint="eastAsia" w:ascii="仿宋_GB2312" w:eastAsia="仿宋_GB2312"/>
          <w:color w:val="auto"/>
          <w:sz w:val="32"/>
          <w:szCs w:val="32"/>
          <w:highlight w:val="none"/>
        </w:rPr>
        <w:t>。</w:t>
      </w:r>
    </w:p>
    <w:p>
      <w:pPr>
        <w:spacing w:line="600" w:lineRule="exact"/>
        <w:ind w:firstLine="640"/>
        <w:rPr>
          <w:rFonts w:hint="eastAsia" w:ascii="仿宋_GB2312" w:eastAsia="仿宋_GB2312"/>
          <w:b/>
          <w:color w:val="auto"/>
          <w:sz w:val="32"/>
          <w:szCs w:val="32"/>
          <w:highlight w:val="none"/>
          <w:lang w:eastAsia="zh-CN"/>
        </w:rPr>
      </w:pPr>
      <w:r>
        <w:rPr>
          <w:rFonts w:hint="eastAsia" w:ascii="仿宋_GB2312" w:eastAsia="仿宋_GB2312"/>
          <w:color w:val="auto"/>
          <w:sz w:val="32"/>
          <w:szCs w:val="32"/>
          <w:highlight w:val="none"/>
        </w:rPr>
        <w:t>其中：</w:t>
      </w:r>
      <w:r>
        <w:rPr>
          <w:rFonts w:hint="eastAsia" w:ascii="仿宋_GB2312" w:eastAsia="仿宋_GB2312"/>
          <w:b/>
          <w:color w:val="auto"/>
          <w:sz w:val="32"/>
          <w:szCs w:val="32"/>
          <w:highlight w:val="none"/>
        </w:rPr>
        <w:t>公务用车购置支出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r>
        <w:rPr>
          <w:rFonts w:hint="eastAsia" w:ascii="仿宋_GB2312" w:eastAsia="仿宋_GB2312"/>
          <w:color w:val="auto"/>
          <w:sz w:val="32"/>
          <w:szCs w:val="32"/>
          <w:highlight w:val="none"/>
          <w:lang w:eastAsia="zh-CN"/>
        </w:rPr>
        <w:t>，</w:t>
      </w:r>
      <w:r>
        <w:rPr>
          <w:rFonts w:hint="eastAsia" w:ascii="仿宋_GB2312" w:eastAsia="仿宋_GB2312"/>
          <w:sz w:val="32"/>
          <w:szCs w:val="32"/>
          <w:highlight w:val="none"/>
          <w:lang w:val="en-US" w:eastAsia="zh-CN"/>
        </w:rPr>
        <w:t>年初未安排预算，与上年数持平</w:t>
      </w:r>
      <w:r>
        <w:rPr>
          <w:rFonts w:hint="eastAsia" w:ascii="仿宋_GB2312" w:eastAsia="仿宋_GB2312"/>
          <w:color w:val="auto"/>
          <w:sz w:val="32"/>
          <w:szCs w:val="32"/>
          <w:highlight w:val="none"/>
        </w:rPr>
        <w:t>。</w:t>
      </w:r>
    </w:p>
    <w:p>
      <w:pPr>
        <w:spacing w:line="600" w:lineRule="exact"/>
        <w:ind w:firstLine="640"/>
        <w:rPr>
          <w:rFonts w:hint="eastAsia" w:ascii="仿宋_GB2312" w:eastAsia="仿宋_GB2312"/>
          <w:b/>
          <w:color w:val="auto"/>
          <w:sz w:val="32"/>
          <w:szCs w:val="32"/>
          <w:highlight w:val="none"/>
          <w:lang w:eastAsia="zh-CN"/>
        </w:rPr>
      </w:pPr>
      <w:r>
        <w:rPr>
          <w:rFonts w:hint="eastAsia" w:ascii="仿宋_GB2312" w:eastAsia="仿宋_GB2312"/>
          <w:b/>
          <w:color w:val="auto"/>
          <w:sz w:val="32"/>
          <w:szCs w:val="32"/>
          <w:highlight w:val="none"/>
        </w:rPr>
        <w:t>公务用车运行维护费支出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r>
        <w:rPr>
          <w:rFonts w:hint="eastAsia" w:ascii="仿宋_GB2312" w:eastAsia="仿宋_GB2312"/>
          <w:color w:val="auto"/>
          <w:sz w:val="32"/>
          <w:szCs w:val="32"/>
          <w:highlight w:val="none"/>
          <w:lang w:eastAsia="zh-CN"/>
        </w:rPr>
        <w:t>，</w:t>
      </w:r>
      <w:r>
        <w:rPr>
          <w:rFonts w:hint="eastAsia" w:ascii="仿宋_GB2312" w:eastAsia="仿宋_GB2312"/>
          <w:sz w:val="32"/>
          <w:szCs w:val="32"/>
          <w:highlight w:val="none"/>
          <w:lang w:val="en-US" w:eastAsia="zh-CN"/>
        </w:rPr>
        <w:t>年初未安排预算，与上年数持平</w:t>
      </w:r>
      <w:r>
        <w:rPr>
          <w:rFonts w:hint="eastAsia" w:ascii="仿宋_GB2312" w:eastAsia="仿宋_GB2312"/>
          <w:color w:val="auto"/>
          <w:sz w:val="32"/>
          <w:szCs w:val="32"/>
          <w:highlight w:val="none"/>
        </w:rPr>
        <w:t>。</w:t>
      </w:r>
    </w:p>
    <w:p>
      <w:pPr>
        <w:spacing w:line="600" w:lineRule="exact"/>
        <w:ind w:firstLine="640"/>
        <w:rPr>
          <w:rFonts w:ascii="仿宋_GB2312" w:eastAsia="仿宋_GB2312"/>
          <w:color w:val="auto"/>
          <w:sz w:val="32"/>
          <w:szCs w:val="32"/>
          <w:highlight w:val="none"/>
        </w:rPr>
      </w:pPr>
      <w:r>
        <w:rPr>
          <w:rFonts w:ascii="仿宋_GB2312" w:eastAsia="仿宋_GB2312"/>
          <w:b/>
          <w:color w:val="auto"/>
          <w:sz w:val="32"/>
          <w:szCs w:val="32"/>
          <w:highlight w:val="none"/>
        </w:rPr>
        <w:t>3.</w:t>
      </w:r>
      <w:r>
        <w:rPr>
          <w:rFonts w:hint="eastAsia" w:ascii="仿宋_GB2312" w:eastAsia="仿宋_GB2312"/>
          <w:b/>
          <w:color w:val="auto"/>
          <w:sz w:val="32"/>
          <w:szCs w:val="32"/>
          <w:highlight w:val="none"/>
        </w:rPr>
        <w:t>公务接待费支出</w:t>
      </w:r>
      <w:r>
        <w:rPr>
          <w:rFonts w:hint="eastAsia" w:ascii="仿宋_GB2312" w:eastAsia="仿宋_GB2312"/>
          <w:color w:val="auto"/>
          <w:sz w:val="32"/>
          <w:szCs w:val="32"/>
          <w:highlight w:val="none"/>
          <w:lang w:val="en-US" w:eastAsia="zh-CN"/>
        </w:rPr>
        <w:t>0.32</w:t>
      </w:r>
      <w:r>
        <w:rPr>
          <w:rFonts w:hint="eastAsia" w:ascii="仿宋_GB2312" w:eastAsia="仿宋_GB2312"/>
          <w:color w:val="auto"/>
          <w:sz w:val="32"/>
          <w:szCs w:val="32"/>
          <w:highlight w:val="none"/>
        </w:rPr>
        <w:t>万元，</w:t>
      </w:r>
      <w:r>
        <w:rPr>
          <w:rStyle w:val="16"/>
          <w:rFonts w:hint="eastAsia" w:ascii="仿宋" w:hAnsi="仿宋" w:eastAsia="仿宋"/>
          <w:b w:val="0"/>
          <w:bCs/>
          <w:color w:val="auto"/>
          <w:sz w:val="32"/>
          <w:szCs w:val="32"/>
          <w:highlight w:val="none"/>
        </w:rPr>
        <w:t>完成预算</w:t>
      </w:r>
      <w:r>
        <w:rPr>
          <w:rStyle w:val="16"/>
          <w:rFonts w:hint="eastAsia" w:ascii="仿宋" w:hAnsi="仿宋" w:eastAsia="仿宋"/>
          <w:b w:val="0"/>
          <w:bCs/>
          <w:color w:val="auto"/>
          <w:sz w:val="32"/>
          <w:szCs w:val="32"/>
          <w:highlight w:val="none"/>
          <w:lang w:val="en-US" w:eastAsia="zh-CN"/>
        </w:rPr>
        <w:t>100</w:t>
      </w:r>
      <w:r>
        <w:rPr>
          <w:rStyle w:val="16"/>
          <w:rFonts w:ascii="仿宋" w:hAnsi="仿宋" w:eastAsia="仿宋"/>
          <w:b w:val="0"/>
          <w:bCs/>
          <w:color w:val="auto"/>
          <w:sz w:val="32"/>
          <w:szCs w:val="32"/>
          <w:highlight w:val="none"/>
        </w:rPr>
        <w:t>%</w:t>
      </w:r>
      <w:r>
        <w:rPr>
          <w:rStyle w:val="16"/>
          <w:rFonts w:hint="eastAsia" w:ascii="仿宋" w:hAnsi="仿宋" w:eastAsia="仿宋"/>
          <w:b w:val="0"/>
          <w:bCs/>
          <w:color w:val="auto"/>
          <w:sz w:val="32"/>
          <w:szCs w:val="32"/>
          <w:highlight w:val="none"/>
        </w:rPr>
        <w:t>。</w:t>
      </w:r>
      <w:r>
        <w:rPr>
          <w:rFonts w:hint="eastAsia" w:ascii="仿宋_GB2312" w:eastAsia="仿宋_GB2312"/>
          <w:color w:val="auto"/>
          <w:sz w:val="32"/>
          <w:szCs w:val="32"/>
          <w:highlight w:val="none"/>
        </w:rPr>
        <w:t>公务接待费支出决算比</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年减少</w:t>
      </w:r>
      <w:r>
        <w:rPr>
          <w:rFonts w:hint="eastAsia" w:ascii="仿宋_GB2312" w:eastAsia="仿宋_GB2312"/>
          <w:color w:val="auto"/>
          <w:sz w:val="32"/>
          <w:szCs w:val="32"/>
          <w:highlight w:val="none"/>
          <w:lang w:val="en-US" w:eastAsia="zh-CN"/>
        </w:rPr>
        <w:t>0.08</w:t>
      </w:r>
      <w:r>
        <w:rPr>
          <w:rFonts w:hint="eastAsia" w:ascii="仿宋_GB2312" w:eastAsia="仿宋_GB2312"/>
          <w:color w:val="auto"/>
          <w:sz w:val="32"/>
          <w:szCs w:val="32"/>
          <w:highlight w:val="none"/>
        </w:rPr>
        <w:t>万元，下降</w:t>
      </w:r>
      <w:r>
        <w:rPr>
          <w:rFonts w:hint="eastAsia" w:ascii="仿宋_GB2312" w:eastAsia="仿宋_GB2312"/>
          <w:color w:val="auto"/>
          <w:sz w:val="32"/>
          <w:szCs w:val="32"/>
          <w:highlight w:val="none"/>
          <w:lang w:val="en-US" w:eastAsia="zh-CN"/>
        </w:rPr>
        <w:t>20</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。主要原因是</w:t>
      </w:r>
      <w:r>
        <w:rPr>
          <w:rFonts w:hint="eastAsia" w:ascii="仿宋_GB2312" w:eastAsia="仿宋_GB2312"/>
          <w:color w:val="auto"/>
          <w:sz w:val="32"/>
          <w:szCs w:val="32"/>
          <w:highlight w:val="none"/>
          <w:lang w:eastAsia="zh-CN"/>
        </w:rPr>
        <w:t>严控三公经费支出</w:t>
      </w:r>
      <w:r>
        <w:rPr>
          <w:rFonts w:hint="eastAsia" w:ascii="仿宋_GB2312" w:eastAsia="仿宋_GB2312"/>
          <w:color w:val="auto"/>
          <w:sz w:val="32"/>
          <w:szCs w:val="32"/>
          <w:highlight w:val="none"/>
        </w:rPr>
        <w:t>。其中：</w:t>
      </w:r>
    </w:p>
    <w:p>
      <w:pPr>
        <w:spacing w:line="600" w:lineRule="exact"/>
        <w:ind w:firstLine="640"/>
        <w:rPr>
          <w:rFonts w:hint="eastAsia" w:ascii="仿宋_GB2312" w:eastAsia="仿宋_GB2312"/>
          <w:color w:val="auto"/>
          <w:sz w:val="32"/>
          <w:szCs w:val="32"/>
          <w:highlight w:val="none"/>
          <w:lang w:eastAsia="zh-CN"/>
        </w:rPr>
      </w:pPr>
      <w:r>
        <w:rPr>
          <w:rFonts w:hint="eastAsia" w:ascii="仿宋" w:hAnsi="仿宋" w:eastAsia="仿宋"/>
          <w:b/>
          <w:color w:val="auto"/>
          <w:sz w:val="32"/>
          <w:szCs w:val="32"/>
          <w:highlight w:val="none"/>
        </w:rPr>
        <w:t>国内公务接待支出</w:t>
      </w:r>
      <w:r>
        <w:rPr>
          <w:rFonts w:hint="eastAsia" w:ascii="仿宋" w:hAnsi="仿宋" w:eastAsia="仿宋"/>
          <w:color w:val="auto"/>
          <w:sz w:val="32"/>
          <w:szCs w:val="32"/>
          <w:highlight w:val="none"/>
          <w:lang w:val="en-US" w:eastAsia="zh-CN"/>
        </w:rPr>
        <w:t>0.32</w:t>
      </w:r>
      <w:r>
        <w:rPr>
          <w:rFonts w:hint="eastAsia" w:ascii="仿宋_GB2312" w:eastAsia="仿宋_GB2312"/>
          <w:color w:val="auto"/>
          <w:sz w:val="32"/>
          <w:szCs w:val="32"/>
          <w:highlight w:val="none"/>
        </w:rPr>
        <w:t>万元，主要用于开展业务活动开支的用餐费等。国内公务接待</w:t>
      </w:r>
      <w:r>
        <w:rPr>
          <w:rFonts w:hint="eastAsia" w:ascii="仿宋_GB2312" w:eastAsia="仿宋_GB2312"/>
          <w:color w:val="auto"/>
          <w:sz w:val="32"/>
          <w:szCs w:val="32"/>
          <w:highlight w:val="none"/>
          <w:lang w:val="en-US" w:eastAsia="zh-CN"/>
        </w:rPr>
        <w:t>8</w:t>
      </w:r>
      <w:r>
        <w:rPr>
          <w:rFonts w:hint="eastAsia" w:ascii="仿宋_GB2312" w:eastAsia="仿宋_GB2312"/>
          <w:color w:val="auto"/>
          <w:sz w:val="32"/>
          <w:szCs w:val="32"/>
          <w:highlight w:val="none"/>
        </w:rPr>
        <w:t>批次，</w:t>
      </w:r>
      <w:r>
        <w:rPr>
          <w:rFonts w:hint="eastAsia" w:ascii="仿宋_GB2312" w:eastAsia="仿宋_GB2312"/>
          <w:color w:val="auto"/>
          <w:sz w:val="32"/>
          <w:szCs w:val="32"/>
          <w:highlight w:val="none"/>
          <w:lang w:val="en-US" w:eastAsia="zh-CN"/>
        </w:rPr>
        <w:t>40</w:t>
      </w:r>
      <w:r>
        <w:rPr>
          <w:rFonts w:hint="eastAsia" w:ascii="仿宋_GB2312" w:eastAsia="仿宋_GB2312"/>
          <w:color w:val="auto"/>
          <w:sz w:val="32"/>
          <w:szCs w:val="32"/>
          <w:highlight w:val="none"/>
        </w:rPr>
        <w:t>人次（不包括陪同人员），共计支出</w:t>
      </w:r>
      <w:r>
        <w:rPr>
          <w:rFonts w:hint="eastAsia" w:ascii="仿宋_GB2312" w:eastAsia="仿宋_GB2312"/>
          <w:color w:val="auto"/>
          <w:sz w:val="32"/>
          <w:szCs w:val="32"/>
          <w:highlight w:val="none"/>
          <w:lang w:val="en-US" w:eastAsia="zh-CN"/>
        </w:rPr>
        <w:t>0.32</w:t>
      </w:r>
      <w:r>
        <w:rPr>
          <w:rFonts w:hint="eastAsia" w:ascii="仿宋_GB2312" w:eastAsia="仿宋_GB2312"/>
          <w:color w:val="auto"/>
          <w:sz w:val="32"/>
          <w:szCs w:val="32"/>
          <w:highlight w:val="none"/>
        </w:rPr>
        <w:t>万元</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具体内容包括：</w:t>
      </w:r>
      <w:r>
        <w:rPr>
          <w:rFonts w:hint="eastAsia" w:ascii="仿宋_GB2312" w:eastAsia="仿宋_GB2312"/>
          <w:color w:val="auto"/>
          <w:sz w:val="32"/>
          <w:szCs w:val="32"/>
          <w:highlight w:val="none"/>
          <w:lang w:eastAsia="zh-CN"/>
        </w:rPr>
        <w:t>其他单位调研等</w:t>
      </w:r>
      <w:r>
        <w:rPr>
          <w:rFonts w:hint="eastAsia" w:ascii="仿宋_GB2312" w:eastAsia="仿宋_GB2312"/>
          <w:color w:val="auto"/>
          <w:sz w:val="32"/>
          <w:szCs w:val="32"/>
          <w:highlight w:val="none"/>
        </w:rPr>
        <w:t>接待开支</w:t>
      </w:r>
      <w:r>
        <w:rPr>
          <w:rFonts w:hint="eastAsia" w:ascii="仿宋_GB2312" w:eastAsia="仿宋_GB2312"/>
          <w:color w:val="auto"/>
          <w:sz w:val="32"/>
          <w:szCs w:val="32"/>
          <w:highlight w:val="none"/>
          <w:lang w:eastAsia="zh-CN"/>
        </w:rPr>
        <w:t>。</w:t>
      </w:r>
    </w:p>
    <w:p>
      <w:pPr>
        <w:spacing w:line="600" w:lineRule="exact"/>
        <w:ind w:firstLine="640"/>
        <w:rPr>
          <w:rFonts w:ascii="黑体" w:eastAsia="黑体"/>
          <w:color w:val="auto"/>
          <w:sz w:val="32"/>
          <w:szCs w:val="32"/>
          <w:highlight w:val="none"/>
        </w:rPr>
      </w:pPr>
      <w:r>
        <w:rPr>
          <w:rFonts w:hint="eastAsia" w:ascii="仿宋" w:hAnsi="仿宋" w:eastAsia="仿宋"/>
          <w:b/>
          <w:color w:val="auto"/>
          <w:sz w:val="32"/>
          <w:szCs w:val="32"/>
          <w:highlight w:val="none"/>
        </w:rPr>
        <w:t>外事接待支出</w:t>
      </w:r>
      <w:r>
        <w:rPr>
          <w:rFonts w:hint="eastAsia" w:ascii="仿宋" w:hAnsi="仿宋" w:eastAsia="仿宋"/>
          <w:color w:val="auto"/>
          <w:sz w:val="32"/>
          <w:szCs w:val="32"/>
          <w:highlight w:val="none"/>
          <w:lang w:val="en-US" w:eastAsia="zh-CN"/>
        </w:rPr>
        <w:t>0</w:t>
      </w:r>
      <w:r>
        <w:rPr>
          <w:rFonts w:hint="eastAsia" w:ascii="仿宋_GB2312" w:eastAsia="仿宋_GB2312"/>
          <w:color w:val="auto"/>
          <w:sz w:val="32"/>
          <w:szCs w:val="32"/>
          <w:highlight w:val="none"/>
        </w:rPr>
        <w:t>万元，</w:t>
      </w:r>
      <w:r>
        <w:rPr>
          <w:rFonts w:hint="eastAsia" w:ascii="仿宋_GB2312" w:eastAsia="仿宋_GB2312"/>
          <w:sz w:val="32"/>
          <w:szCs w:val="32"/>
          <w:highlight w:val="none"/>
          <w:lang w:val="en-US" w:eastAsia="zh-CN"/>
        </w:rPr>
        <w:t>年初未安排预算，与上年数持平</w:t>
      </w:r>
      <w:r>
        <w:rPr>
          <w:rFonts w:hint="eastAsia" w:ascii="仿宋_GB2312" w:eastAsia="仿宋_GB2312"/>
          <w:color w:val="auto"/>
          <w:sz w:val="32"/>
          <w:szCs w:val="32"/>
          <w:highlight w:val="none"/>
        </w:rPr>
        <w:t>。</w:t>
      </w:r>
      <w:bookmarkStart w:id="58" w:name="_Toc15396610"/>
      <w:bookmarkStart w:id="59" w:name="_Toc15377218"/>
    </w:p>
    <w:p>
      <w:pPr>
        <w:spacing w:line="600" w:lineRule="exact"/>
        <w:ind w:firstLine="640"/>
        <w:outlineLvl w:val="1"/>
        <w:rPr>
          <w:rStyle w:val="28"/>
          <w:rFonts w:ascii="黑体" w:hAnsi="黑体" w:eastAsia="黑体"/>
          <w:color w:val="auto"/>
          <w:highlight w:val="none"/>
        </w:rPr>
      </w:pPr>
      <w:bookmarkStart w:id="60" w:name="_Toc26442"/>
      <w:r>
        <w:rPr>
          <w:rFonts w:hint="eastAsia" w:ascii="黑体" w:eastAsia="黑体"/>
          <w:color w:val="auto"/>
          <w:sz w:val="32"/>
          <w:szCs w:val="32"/>
          <w:highlight w:val="none"/>
        </w:rPr>
        <w:t>八、</w:t>
      </w:r>
      <w:r>
        <w:rPr>
          <w:rStyle w:val="28"/>
          <w:rFonts w:hint="eastAsia" w:ascii="黑体" w:hAnsi="黑体" w:eastAsia="黑体"/>
          <w:b w:val="0"/>
          <w:color w:val="auto"/>
          <w:highlight w:val="none"/>
        </w:rPr>
        <w:t>政府性基金预算支出决算情况说明</w:t>
      </w:r>
      <w:bookmarkEnd w:id="58"/>
      <w:bookmarkEnd w:id="59"/>
      <w:bookmarkEnd w:id="60"/>
    </w:p>
    <w:p>
      <w:pPr>
        <w:spacing w:line="600" w:lineRule="exact"/>
        <w:ind w:firstLine="640"/>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年政府性基金预算</w:t>
      </w:r>
      <w:r>
        <w:rPr>
          <w:rFonts w:hint="eastAsia" w:ascii="仿宋_GB2312" w:eastAsia="仿宋_GB2312"/>
          <w:color w:val="auto"/>
          <w:sz w:val="32"/>
          <w:szCs w:val="32"/>
          <w:highlight w:val="none"/>
          <w:lang w:eastAsia="zh-CN"/>
        </w:rPr>
        <w:t>财政</w:t>
      </w:r>
      <w:r>
        <w:rPr>
          <w:rFonts w:hint="eastAsia" w:ascii="仿宋_GB2312" w:eastAsia="仿宋_GB2312"/>
          <w:color w:val="auto"/>
          <w:sz w:val="32"/>
          <w:szCs w:val="32"/>
          <w:highlight w:val="none"/>
        </w:rPr>
        <w:t>拨款支出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pPr>
        <w:numPr>
          <w:ilvl w:val="0"/>
          <w:numId w:val="2"/>
        </w:numPr>
        <w:spacing w:line="600" w:lineRule="exact"/>
        <w:ind w:firstLine="640"/>
        <w:outlineLvl w:val="1"/>
        <w:rPr>
          <w:rStyle w:val="28"/>
          <w:rFonts w:ascii="黑体" w:hAnsi="黑体" w:eastAsia="黑体"/>
          <w:b w:val="0"/>
          <w:color w:val="auto"/>
          <w:highlight w:val="none"/>
        </w:rPr>
      </w:pPr>
      <w:bookmarkStart w:id="61" w:name="_Toc15377219"/>
      <w:bookmarkStart w:id="62" w:name="_Toc15396611"/>
      <w:bookmarkStart w:id="63" w:name="_Toc839"/>
      <w:r>
        <w:rPr>
          <w:rStyle w:val="28"/>
          <w:rFonts w:hint="eastAsia" w:ascii="黑体" w:hAnsi="黑体" w:eastAsia="黑体"/>
          <w:b w:val="0"/>
          <w:color w:val="auto"/>
          <w:highlight w:val="none"/>
        </w:rPr>
        <w:t>国有资本经营预算支出决算情况说明</w:t>
      </w:r>
      <w:bookmarkEnd w:id="61"/>
      <w:bookmarkEnd w:id="62"/>
      <w:bookmarkEnd w:id="63"/>
    </w:p>
    <w:p>
      <w:pPr>
        <w:spacing w:line="600" w:lineRule="exact"/>
        <w:ind w:firstLine="640"/>
        <w:rPr>
          <w:rFonts w:ascii="方正小标宋简体" w:hAnsi="方正小标宋简体" w:eastAsia="方正小标宋简体" w:cs="方正小标宋简体"/>
          <w:color w:val="auto"/>
          <w:sz w:val="44"/>
          <w:szCs w:val="44"/>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年国有资本经营预算</w:t>
      </w:r>
      <w:r>
        <w:rPr>
          <w:rFonts w:hint="eastAsia" w:ascii="仿宋_GB2312" w:eastAsia="仿宋_GB2312"/>
          <w:color w:val="auto"/>
          <w:sz w:val="32"/>
          <w:szCs w:val="32"/>
          <w:highlight w:val="none"/>
          <w:lang w:eastAsia="zh-CN"/>
        </w:rPr>
        <w:t>财政</w:t>
      </w:r>
      <w:r>
        <w:rPr>
          <w:rFonts w:hint="eastAsia" w:ascii="仿宋_GB2312" w:eastAsia="仿宋_GB2312"/>
          <w:color w:val="auto"/>
          <w:sz w:val="32"/>
          <w:szCs w:val="32"/>
          <w:highlight w:val="none"/>
        </w:rPr>
        <w:t>拨款支出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pPr>
        <w:numPr>
          <w:ilvl w:val="0"/>
          <w:numId w:val="2"/>
        </w:numPr>
        <w:spacing w:line="600" w:lineRule="exact"/>
        <w:ind w:firstLine="640"/>
        <w:outlineLvl w:val="1"/>
        <w:rPr>
          <w:rStyle w:val="28"/>
          <w:rFonts w:hint="eastAsia" w:ascii="黑体" w:hAnsi="黑体" w:eastAsia="黑体"/>
          <w:b w:val="0"/>
          <w:color w:val="auto"/>
          <w:highlight w:val="none"/>
        </w:rPr>
      </w:pPr>
      <w:bookmarkStart w:id="64" w:name="_Toc15396612"/>
      <w:bookmarkStart w:id="65" w:name="_Toc15377221"/>
      <w:bookmarkStart w:id="66" w:name="_Toc15702"/>
      <w:r>
        <w:rPr>
          <w:rStyle w:val="28"/>
          <w:rFonts w:hint="eastAsia" w:ascii="黑体" w:hAnsi="黑体" w:eastAsia="黑体"/>
          <w:b w:val="0"/>
          <w:color w:val="auto"/>
          <w:highlight w:val="none"/>
        </w:rPr>
        <w:t>其他重要事项的情况说明</w:t>
      </w:r>
      <w:bookmarkEnd w:id="64"/>
      <w:bookmarkEnd w:id="65"/>
      <w:bookmarkEnd w:id="66"/>
    </w:p>
    <w:p>
      <w:pPr>
        <w:spacing w:line="600" w:lineRule="exact"/>
        <w:ind w:firstLine="643" w:firstLineChars="200"/>
        <w:outlineLvl w:val="2"/>
        <w:rPr>
          <w:rFonts w:ascii="仿宋" w:hAnsi="仿宋" w:eastAsia="仿宋"/>
          <w:color w:val="auto"/>
          <w:sz w:val="32"/>
          <w:szCs w:val="32"/>
          <w:highlight w:val="none"/>
        </w:rPr>
      </w:pPr>
      <w:bookmarkStart w:id="67" w:name="_Toc15377222"/>
      <w:r>
        <w:rPr>
          <w:rFonts w:hint="eastAsia" w:ascii="仿宋" w:hAnsi="仿宋" w:eastAsia="仿宋"/>
          <w:b/>
          <w:color w:val="auto"/>
          <w:sz w:val="32"/>
          <w:szCs w:val="32"/>
          <w:highlight w:val="none"/>
        </w:rPr>
        <w:t>（一）机关运行经费支出情况</w:t>
      </w:r>
      <w:bookmarkEnd w:id="67"/>
    </w:p>
    <w:p>
      <w:pPr>
        <w:spacing w:line="600" w:lineRule="exact"/>
        <w:ind w:firstLine="640" w:firstLineChars="200"/>
        <w:rPr>
          <w:rFonts w:hint="eastAsia" w:ascii="仿宋_GB2312" w:eastAsia="仿宋_GB2312"/>
          <w:color w:val="auto"/>
          <w:sz w:val="32"/>
          <w:szCs w:val="32"/>
          <w:highlight w:val="none"/>
          <w:lang w:eastAsia="zh-CN"/>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eastAsia="zh-CN"/>
        </w:rPr>
        <w:t>医保局</w:t>
      </w:r>
      <w:r>
        <w:rPr>
          <w:rFonts w:hint="eastAsia" w:ascii="仿宋_GB2312" w:eastAsia="仿宋_GB2312"/>
          <w:color w:val="auto"/>
          <w:sz w:val="32"/>
          <w:szCs w:val="32"/>
          <w:highlight w:val="none"/>
        </w:rPr>
        <w:t>机关运行经费支出</w:t>
      </w:r>
      <w:r>
        <w:rPr>
          <w:rFonts w:hint="eastAsia" w:ascii="仿宋_GB2312" w:eastAsia="仿宋_GB2312"/>
          <w:color w:val="auto"/>
          <w:sz w:val="32"/>
          <w:szCs w:val="32"/>
          <w:highlight w:val="none"/>
          <w:lang w:val="en-US" w:eastAsia="zh-CN"/>
        </w:rPr>
        <w:t>118.12</w:t>
      </w:r>
      <w:r>
        <w:rPr>
          <w:rFonts w:hint="eastAsia" w:ascii="仿宋_GB2312" w:eastAsia="仿宋_GB2312"/>
          <w:color w:val="auto"/>
          <w:sz w:val="32"/>
          <w:szCs w:val="32"/>
          <w:highlight w:val="none"/>
        </w:rPr>
        <w:t>万元，比</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年减少</w:t>
      </w:r>
      <w:r>
        <w:rPr>
          <w:rFonts w:hint="eastAsia" w:ascii="仿宋_GB2312" w:eastAsia="仿宋_GB2312"/>
          <w:color w:val="auto"/>
          <w:sz w:val="32"/>
          <w:szCs w:val="32"/>
          <w:highlight w:val="none"/>
          <w:lang w:val="en-US" w:eastAsia="zh-CN"/>
        </w:rPr>
        <w:t>7.46</w:t>
      </w:r>
      <w:r>
        <w:rPr>
          <w:rFonts w:hint="eastAsia" w:ascii="仿宋_GB2312" w:eastAsia="仿宋_GB2312"/>
          <w:color w:val="auto"/>
          <w:sz w:val="32"/>
          <w:szCs w:val="32"/>
          <w:highlight w:val="none"/>
        </w:rPr>
        <w:t>万元，下降</w:t>
      </w:r>
      <w:r>
        <w:rPr>
          <w:rFonts w:hint="eastAsia" w:ascii="仿宋_GB2312" w:eastAsia="仿宋_GB2312"/>
          <w:color w:val="auto"/>
          <w:sz w:val="32"/>
          <w:szCs w:val="32"/>
          <w:highlight w:val="none"/>
          <w:lang w:val="en-US" w:eastAsia="zh-CN"/>
        </w:rPr>
        <w:t>5.94</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。主要原因是</w:t>
      </w:r>
      <w:r>
        <w:rPr>
          <w:rFonts w:hint="eastAsia" w:ascii="仿宋_GB2312" w:eastAsia="仿宋_GB2312"/>
          <w:color w:val="auto"/>
          <w:sz w:val="32"/>
          <w:szCs w:val="32"/>
          <w:highlight w:val="none"/>
          <w:lang w:val="en-US" w:eastAsia="zh-CN"/>
        </w:rPr>
        <w:t>2022年人员减少，相关保障经费减少</w:t>
      </w:r>
      <w:r>
        <w:rPr>
          <w:rFonts w:hint="eastAsia" w:ascii="仿宋_GB2312" w:eastAsia="仿宋_GB2312"/>
          <w:color w:val="auto"/>
          <w:sz w:val="32"/>
          <w:szCs w:val="32"/>
          <w:highlight w:val="none"/>
          <w:lang w:eastAsia="zh-CN"/>
        </w:rPr>
        <w:t>。</w:t>
      </w:r>
    </w:p>
    <w:p>
      <w:pPr>
        <w:autoSpaceDE w:val="0"/>
        <w:autoSpaceDN w:val="0"/>
        <w:adjustRightInd w:val="0"/>
        <w:spacing w:line="600" w:lineRule="exact"/>
        <w:ind w:firstLine="643" w:firstLineChars="200"/>
        <w:jc w:val="left"/>
        <w:outlineLvl w:val="2"/>
        <w:rPr>
          <w:rFonts w:ascii="仿宋" w:hAnsi="仿宋" w:eastAsia="仿宋"/>
          <w:b/>
          <w:color w:val="auto"/>
          <w:sz w:val="32"/>
          <w:szCs w:val="32"/>
          <w:highlight w:val="none"/>
        </w:rPr>
      </w:pPr>
      <w:bookmarkStart w:id="68" w:name="_Toc15377223"/>
      <w:r>
        <w:rPr>
          <w:rFonts w:hint="eastAsia" w:ascii="仿宋" w:hAnsi="仿宋" w:eastAsia="仿宋"/>
          <w:b/>
          <w:color w:val="auto"/>
          <w:sz w:val="32"/>
          <w:szCs w:val="32"/>
          <w:highlight w:val="none"/>
        </w:rPr>
        <w:t>（二）政府采购支出情况</w:t>
      </w:r>
      <w:bookmarkEnd w:id="68"/>
    </w:p>
    <w:p>
      <w:pPr>
        <w:spacing w:line="60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eastAsia="zh-CN"/>
        </w:rPr>
        <w:t>区医保局</w:t>
      </w:r>
      <w:r>
        <w:rPr>
          <w:rFonts w:hint="eastAsia" w:ascii="仿宋_GB2312" w:eastAsia="仿宋_GB2312"/>
          <w:color w:val="auto"/>
          <w:sz w:val="32"/>
          <w:szCs w:val="32"/>
          <w:highlight w:val="none"/>
        </w:rPr>
        <w:t>政府采购支出总额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r>
        <w:rPr>
          <w:rFonts w:hint="eastAsia" w:ascii="仿宋_GB2312" w:eastAsia="仿宋_GB2312"/>
          <w:color w:val="auto"/>
          <w:sz w:val="32"/>
          <w:szCs w:val="32"/>
          <w:highlight w:val="none"/>
          <w:lang w:eastAsia="zh-CN"/>
        </w:rPr>
        <w:t>本</w:t>
      </w:r>
      <w:r>
        <w:rPr>
          <w:rFonts w:hint="eastAsia" w:ascii="仿宋_GB2312" w:eastAsia="仿宋_GB2312"/>
          <w:color w:val="auto"/>
          <w:sz w:val="32"/>
          <w:szCs w:val="32"/>
          <w:highlight w:val="none"/>
        </w:rPr>
        <w:t>年未发生政府采购</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其中：政府采购货物支出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万元、政府采购工程支出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万元、政府采购服务支出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pPr>
        <w:autoSpaceDE w:val="0"/>
        <w:autoSpaceDN w:val="0"/>
        <w:adjustRightInd w:val="0"/>
        <w:spacing w:line="600" w:lineRule="exact"/>
        <w:ind w:firstLine="643" w:firstLineChars="200"/>
        <w:jc w:val="left"/>
        <w:outlineLvl w:val="2"/>
        <w:rPr>
          <w:rFonts w:ascii="仿宋" w:hAnsi="仿宋" w:eastAsia="仿宋"/>
          <w:b/>
          <w:color w:val="auto"/>
          <w:sz w:val="32"/>
          <w:szCs w:val="32"/>
          <w:highlight w:val="none"/>
        </w:rPr>
      </w:pPr>
      <w:bookmarkStart w:id="69" w:name="_Toc15377224"/>
      <w:r>
        <w:rPr>
          <w:rFonts w:hint="eastAsia" w:ascii="仿宋" w:hAnsi="仿宋" w:eastAsia="仿宋"/>
          <w:b/>
          <w:color w:val="auto"/>
          <w:sz w:val="32"/>
          <w:szCs w:val="32"/>
          <w:highlight w:val="none"/>
        </w:rPr>
        <w:t>（三）国有资产占有使用情况</w:t>
      </w:r>
      <w:bookmarkEnd w:id="69"/>
    </w:p>
    <w:p>
      <w:pPr>
        <w:autoSpaceDE w:val="0"/>
        <w:autoSpaceDN w:val="0"/>
        <w:adjustRightInd w:val="0"/>
        <w:spacing w:line="600" w:lineRule="exact"/>
        <w:ind w:firstLine="640" w:firstLineChars="200"/>
        <w:jc w:val="left"/>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截至</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w:t>
      </w:r>
      <w:r>
        <w:rPr>
          <w:rFonts w:ascii="仿宋_GB2312" w:eastAsia="仿宋_GB2312"/>
          <w:color w:val="auto"/>
          <w:sz w:val="32"/>
          <w:szCs w:val="32"/>
          <w:highlight w:val="none"/>
        </w:rPr>
        <w:t>12</w:t>
      </w:r>
      <w:r>
        <w:rPr>
          <w:rFonts w:hint="eastAsia" w:ascii="仿宋_GB2312" w:eastAsia="仿宋_GB2312"/>
          <w:color w:val="auto"/>
          <w:sz w:val="32"/>
          <w:szCs w:val="32"/>
          <w:highlight w:val="none"/>
        </w:rPr>
        <w:t>月</w:t>
      </w:r>
      <w:r>
        <w:rPr>
          <w:rFonts w:ascii="仿宋_GB2312" w:eastAsia="仿宋_GB2312"/>
          <w:color w:val="auto"/>
          <w:sz w:val="32"/>
          <w:szCs w:val="32"/>
          <w:highlight w:val="none"/>
        </w:rPr>
        <w:t>31</w:t>
      </w:r>
      <w:r>
        <w:rPr>
          <w:rFonts w:hint="eastAsia" w:ascii="仿宋_GB2312" w:eastAsia="仿宋_GB2312"/>
          <w:color w:val="auto"/>
          <w:sz w:val="32"/>
          <w:szCs w:val="32"/>
          <w:highlight w:val="none"/>
        </w:rPr>
        <w:t>日，</w:t>
      </w:r>
      <w:r>
        <w:rPr>
          <w:rFonts w:hint="eastAsia" w:ascii="仿宋_GB2312" w:eastAsia="仿宋_GB2312"/>
          <w:color w:val="auto"/>
          <w:sz w:val="32"/>
          <w:szCs w:val="32"/>
          <w:highlight w:val="none"/>
          <w:lang w:eastAsia="zh-CN"/>
        </w:rPr>
        <w:t>医保局</w:t>
      </w:r>
      <w:r>
        <w:rPr>
          <w:rFonts w:hint="eastAsia" w:ascii="仿宋_GB2312" w:eastAsia="仿宋_GB2312"/>
          <w:color w:val="auto"/>
          <w:sz w:val="32"/>
          <w:szCs w:val="32"/>
          <w:highlight w:val="none"/>
        </w:rPr>
        <w:t>共有车辆</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辆，其中：主要领导干部用车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辆、机要通信用车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辆、应急保障用车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辆、其他用车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单价</w:t>
      </w:r>
      <w:r>
        <w:rPr>
          <w:rFonts w:ascii="仿宋_GB2312" w:eastAsia="仿宋_GB2312"/>
          <w:color w:val="auto"/>
          <w:sz w:val="32"/>
          <w:szCs w:val="32"/>
          <w:highlight w:val="none"/>
        </w:rPr>
        <w:t>100</w:t>
      </w:r>
      <w:r>
        <w:rPr>
          <w:rFonts w:hint="eastAsia" w:ascii="仿宋_GB2312" w:eastAsia="仿宋_GB2312"/>
          <w:color w:val="auto"/>
          <w:sz w:val="32"/>
          <w:szCs w:val="32"/>
          <w:highlight w:val="none"/>
        </w:rPr>
        <w:t>万元以上专用设备</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台（套）。</w:t>
      </w:r>
    </w:p>
    <w:p>
      <w:pPr>
        <w:autoSpaceDE w:val="0"/>
        <w:autoSpaceDN w:val="0"/>
        <w:adjustRightInd w:val="0"/>
        <w:spacing w:line="600" w:lineRule="exact"/>
        <w:ind w:firstLine="643" w:firstLineChars="200"/>
        <w:jc w:val="left"/>
        <w:outlineLvl w:val="2"/>
        <w:rPr>
          <w:rFonts w:ascii="仿宋" w:hAnsi="仿宋" w:eastAsia="仿宋"/>
          <w:b/>
          <w:color w:val="auto"/>
          <w:sz w:val="32"/>
          <w:szCs w:val="32"/>
          <w:highlight w:val="none"/>
        </w:rPr>
      </w:pPr>
      <w:r>
        <w:rPr>
          <w:rFonts w:hint="eastAsia" w:ascii="仿宋" w:hAnsi="仿宋" w:eastAsia="仿宋"/>
          <w:b/>
          <w:color w:val="auto"/>
          <w:sz w:val="32"/>
          <w:szCs w:val="32"/>
          <w:highlight w:val="none"/>
        </w:rPr>
        <w:t>（四）预算绩效管理情况</w:t>
      </w:r>
    </w:p>
    <w:p>
      <w:pPr>
        <w:widowControl/>
        <w:ind w:firstLine="640" w:firstLineChars="200"/>
        <w:jc w:val="left"/>
        <w:rPr>
          <w:rFonts w:hint="eastAsia" w:ascii="Times New Roman" w:hAnsi="Times New Roman" w:eastAsia="仿宋_GB2312" w:cs="Times New Roman"/>
          <w:color w:val="auto"/>
          <w:sz w:val="32"/>
          <w:szCs w:val="32"/>
          <w:shd w:val="clear" w:color="auto" w:fill="FFFFFF"/>
          <w:lang w:val="en-US" w:eastAsia="zh-CN"/>
        </w:rPr>
      </w:pPr>
      <w:r>
        <w:rPr>
          <w:rFonts w:hint="eastAsia" w:ascii="仿宋_GB2312" w:hAnsi="仿宋_GB2312" w:eastAsia="仿宋_GB2312" w:cs="仿宋_GB2312"/>
          <w:color w:val="auto"/>
          <w:sz w:val="32"/>
          <w:szCs w:val="32"/>
          <w:highlight w:val="none"/>
        </w:rPr>
        <w:t>根据预算绩效管理要求，本部门在202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年度预算编制阶段，</w:t>
      </w:r>
      <w:r>
        <w:rPr>
          <w:rFonts w:hint="eastAsia" w:ascii="仿宋_GB2312" w:hAnsi="仿宋_GB2312" w:eastAsia="仿宋_GB2312" w:cs="仿宋_GB2312"/>
          <w:color w:val="auto"/>
          <w:sz w:val="32"/>
          <w:szCs w:val="32"/>
          <w:highlight w:val="none"/>
          <w:lang w:eastAsia="zh-CN"/>
        </w:rPr>
        <w:t>不涉及预算事前绩效评估；对部门整体和所有项目（政策）支出编制了绩效目标，预算执行中，按照财政要求全面开展了绩效运行监控。</w:t>
      </w:r>
      <w:r>
        <w:rPr>
          <w:rFonts w:hint="eastAsia" w:ascii="仿宋_GB2312" w:hAnsi="仿宋_GB2312" w:eastAsia="仿宋_GB2312" w:cs="仿宋_GB2312"/>
          <w:color w:val="auto"/>
          <w:sz w:val="32"/>
          <w:szCs w:val="32"/>
          <w:highlight w:val="none"/>
        </w:rPr>
        <w:t>组织对2022年度一般公共预算、政府性基金预算、国有资本经营预算、社会保险基金预算以及资本资产、债券资金等全面开展绩效自评，形成</w:t>
      </w:r>
      <w:r>
        <w:rPr>
          <w:rFonts w:hint="eastAsia" w:ascii="仿宋_GB2312" w:hAnsi="仿宋_GB2312" w:eastAsia="仿宋_GB2312" w:cs="仿宋_GB2312"/>
          <w:color w:val="auto"/>
          <w:sz w:val="32"/>
          <w:szCs w:val="32"/>
          <w:highlight w:val="none"/>
          <w:lang w:eastAsia="zh-CN"/>
        </w:rPr>
        <w:t>医保局</w:t>
      </w:r>
      <w:r>
        <w:rPr>
          <w:rFonts w:hint="eastAsia" w:ascii="仿宋_GB2312" w:hAnsi="仿宋_GB2312" w:eastAsia="仿宋_GB2312" w:cs="仿宋_GB2312"/>
          <w:color w:val="auto"/>
          <w:sz w:val="32"/>
          <w:szCs w:val="32"/>
          <w:highlight w:val="none"/>
        </w:rPr>
        <w:t>部门整体（含部门预算项目）绩效自评报告，</w:t>
      </w:r>
      <w:r>
        <w:rPr>
          <w:rFonts w:hint="eastAsia" w:ascii="仿宋_GB2312" w:hAnsi="仿宋_GB2312" w:eastAsia="仿宋_GB2312" w:cs="仿宋_GB2312"/>
          <w:color w:val="auto"/>
          <w:sz w:val="32"/>
          <w:szCs w:val="32"/>
          <w:highlight w:val="none"/>
          <w:lang w:eastAsia="zh-CN"/>
        </w:rPr>
        <w:t>对二老一残医疗费用和医疗服务与保障能力提升资金</w:t>
      </w:r>
      <w:r>
        <w:rPr>
          <w:rFonts w:hint="eastAsia" w:ascii="仿宋_GB2312" w:hAnsi="仿宋_GB2312" w:eastAsia="仿宋_GB2312" w:cs="仿宋_GB2312"/>
          <w:color w:val="auto"/>
          <w:sz w:val="32"/>
          <w:szCs w:val="32"/>
          <w:highlight w:val="none"/>
        </w:rPr>
        <w:t>专项预算项目绩效自评</w:t>
      </w:r>
      <w:r>
        <w:rPr>
          <w:rFonts w:hint="eastAsia" w:ascii="仿宋_GB2312" w:hAnsi="仿宋_GB2312" w:eastAsia="仿宋_GB2312" w:cs="仿宋_GB2312"/>
          <w:color w:val="auto"/>
          <w:sz w:val="32"/>
          <w:szCs w:val="32"/>
          <w:highlight w:val="none"/>
          <w:lang w:eastAsia="zh-CN"/>
        </w:rPr>
        <w:t>，</w:t>
      </w:r>
      <w:r>
        <w:rPr>
          <w:rFonts w:hint="eastAsia" w:ascii="Times New Roman" w:hAnsi="Times New Roman" w:eastAsia="仿宋_GB2312" w:cs="Times New Roman"/>
          <w:color w:val="auto"/>
          <w:sz w:val="32"/>
          <w:szCs w:val="32"/>
          <w:shd w:val="clear" w:color="auto" w:fill="FFFFFF"/>
        </w:rPr>
        <w:t>严格按照项目要求和项目绩效目标规范实施，切实加强目标绩效管理，提高财政资金使用效益，按照项目进度及时拨付。2</w:t>
      </w:r>
      <w:r>
        <w:rPr>
          <w:rFonts w:ascii="Times New Roman" w:hAnsi="Times New Roman" w:eastAsia="仿宋_GB2312" w:cs="Times New Roman"/>
          <w:color w:val="auto"/>
          <w:sz w:val="32"/>
          <w:szCs w:val="32"/>
          <w:shd w:val="clear" w:color="auto" w:fill="FFFFFF"/>
        </w:rPr>
        <w:t>022</w:t>
      </w:r>
      <w:r>
        <w:rPr>
          <w:rFonts w:hint="eastAsia" w:ascii="Times New Roman" w:hAnsi="Times New Roman" w:eastAsia="仿宋_GB2312" w:cs="Times New Roman"/>
          <w:color w:val="auto"/>
          <w:sz w:val="32"/>
          <w:szCs w:val="32"/>
          <w:shd w:val="clear" w:color="auto" w:fill="FFFFFF"/>
        </w:rPr>
        <w:t>年我局按照单位实际情况及财政安排，按时按量完成了收支任务，部门整体绩效目标完成良好</w:t>
      </w:r>
      <w:r>
        <w:rPr>
          <w:rFonts w:hint="eastAsia" w:ascii="Times New Roman" w:hAnsi="Times New Roman" w:eastAsia="仿宋_GB2312" w:cs="Times New Roman"/>
          <w:color w:val="auto"/>
          <w:sz w:val="32"/>
          <w:szCs w:val="32"/>
          <w:shd w:val="clear" w:color="auto" w:fill="FFFFFF"/>
          <w:lang w:val="en-US" w:eastAsia="zh-CN"/>
        </w:rPr>
        <w:t>,自评得分94分。</w:t>
      </w:r>
      <w:r>
        <w:rPr>
          <w:rFonts w:hint="eastAsia" w:eastAsia="仿宋_GB2312" w:cs="Times New Roman"/>
          <w:color w:val="auto"/>
          <w:sz w:val="32"/>
          <w:szCs w:val="32"/>
          <w:shd w:val="clear" w:color="auto" w:fill="FFFFFF"/>
          <w:lang w:eastAsia="zh-CN"/>
        </w:rPr>
        <w:t>二老一残医疗费用</w:t>
      </w:r>
      <w:r>
        <w:rPr>
          <w:rFonts w:hint="eastAsia" w:ascii="Times New Roman" w:hAnsi="Times New Roman" w:eastAsia="仿宋_GB2312" w:cs="Times New Roman"/>
          <w:color w:val="auto"/>
          <w:sz w:val="32"/>
          <w:szCs w:val="32"/>
          <w:shd w:val="clear" w:color="auto" w:fill="FFFFFF"/>
        </w:rPr>
        <w:t>专项预算项目绩效自评得分为</w:t>
      </w:r>
      <w:r>
        <w:rPr>
          <w:rFonts w:hint="eastAsia" w:eastAsia="仿宋_GB2312" w:cs="Times New Roman"/>
          <w:color w:val="auto"/>
          <w:sz w:val="32"/>
          <w:szCs w:val="32"/>
          <w:shd w:val="clear" w:color="auto" w:fill="FFFFFF"/>
          <w:lang w:val="en-US" w:eastAsia="zh-CN"/>
        </w:rPr>
        <w:t>97</w:t>
      </w:r>
      <w:r>
        <w:rPr>
          <w:rFonts w:hint="eastAsia" w:ascii="Times New Roman" w:hAnsi="Times New Roman" w:eastAsia="仿宋_GB2312" w:cs="Times New Roman"/>
          <w:color w:val="auto"/>
          <w:sz w:val="32"/>
          <w:szCs w:val="32"/>
          <w:shd w:val="clear" w:color="auto" w:fill="FFFFFF"/>
        </w:rPr>
        <w:t>分</w:t>
      </w:r>
      <w:r>
        <w:rPr>
          <w:rFonts w:hint="eastAsia" w:eastAsia="仿宋_GB2312" w:cs="Times New Roman"/>
          <w:color w:val="auto"/>
          <w:sz w:val="32"/>
          <w:szCs w:val="32"/>
          <w:shd w:val="clear" w:color="auto" w:fill="FFFFFF"/>
          <w:lang w:eastAsia="zh-CN"/>
        </w:rPr>
        <w:t>，医疗服务与保障能力提升资金</w:t>
      </w:r>
      <w:r>
        <w:rPr>
          <w:rFonts w:hint="eastAsia" w:ascii="Times New Roman" w:hAnsi="Times New Roman" w:eastAsia="仿宋_GB2312" w:cs="Times New Roman"/>
          <w:color w:val="auto"/>
          <w:sz w:val="32"/>
          <w:szCs w:val="32"/>
          <w:shd w:val="clear" w:color="auto" w:fill="FFFFFF"/>
        </w:rPr>
        <w:t>专项预算项目绩效自评得分为</w:t>
      </w:r>
      <w:r>
        <w:rPr>
          <w:rFonts w:hint="eastAsia" w:eastAsia="仿宋_GB2312" w:cs="Times New Roman"/>
          <w:color w:val="auto"/>
          <w:sz w:val="32"/>
          <w:szCs w:val="32"/>
          <w:shd w:val="clear" w:color="auto" w:fill="FFFFFF"/>
          <w:lang w:val="en-US" w:eastAsia="zh-CN"/>
        </w:rPr>
        <w:t>96</w:t>
      </w:r>
      <w:r>
        <w:rPr>
          <w:rFonts w:hint="eastAsia" w:ascii="Times New Roman" w:hAnsi="Times New Roman" w:eastAsia="仿宋_GB2312" w:cs="Times New Roman"/>
          <w:color w:val="auto"/>
          <w:sz w:val="32"/>
          <w:szCs w:val="32"/>
          <w:shd w:val="clear" w:color="auto" w:fill="FFFFFF"/>
        </w:rPr>
        <w:t>分</w:t>
      </w:r>
      <w:r>
        <w:rPr>
          <w:rFonts w:hint="eastAsia" w:eastAsia="仿宋_GB2312" w:cs="Times New Roman"/>
          <w:color w:val="auto"/>
          <w:sz w:val="32"/>
          <w:szCs w:val="32"/>
          <w:shd w:val="clear" w:color="auto" w:fill="FFFFFF"/>
          <w:lang w:eastAsia="zh-CN"/>
        </w:rPr>
        <w:t>。《2022年广元市昭化区医疗保障局部门整体绩效自评报告（表）》和《项目支出绩效自评报告（表）》详见附件。</w:t>
      </w:r>
      <w:r>
        <w:rPr>
          <w:rFonts w:ascii="仿宋_GB2312" w:eastAsia="仿宋_GB2312"/>
          <w:b/>
          <w:color w:val="auto"/>
          <w:sz w:val="32"/>
          <w:szCs w:val="32"/>
          <w:highlight w:val="none"/>
        </w:rPr>
        <w:br w:type="page"/>
      </w:r>
    </w:p>
    <w:p>
      <w:pPr>
        <w:numPr>
          <w:ilvl w:val="0"/>
          <w:numId w:val="3"/>
        </w:numPr>
        <w:spacing w:line="600" w:lineRule="exact"/>
        <w:ind w:firstLine="660" w:firstLineChars="150"/>
        <w:jc w:val="center"/>
        <w:outlineLvl w:val="0"/>
        <w:rPr>
          <w:rStyle w:val="27"/>
          <w:rFonts w:ascii="黑体" w:hAnsi="黑体" w:eastAsia="黑体"/>
          <w:b w:val="0"/>
          <w:color w:val="auto"/>
          <w:highlight w:val="none"/>
        </w:rPr>
      </w:pPr>
      <w:bookmarkStart w:id="70" w:name="_Toc15396613"/>
      <w:bookmarkStart w:id="71" w:name="_Toc15377225"/>
      <w:bookmarkStart w:id="72" w:name="_Toc16645"/>
      <w:r>
        <w:rPr>
          <w:rFonts w:hint="eastAsia" w:ascii="黑体" w:hAnsi="黑体" w:eastAsia="黑体"/>
          <w:color w:val="auto"/>
          <w:sz w:val="44"/>
          <w:szCs w:val="44"/>
          <w:highlight w:val="none"/>
        </w:rPr>
        <w:t>名</w:t>
      </w:r>
      <w:r>
        <w:rPr>
          <w:rStyle w:val="27"/>
          <w:rFonts w:hint="eastAsia" w:ascii="黑体" w:hAnsi="黑体" w:eastAsia="黑体"/>
          <w:b w:val="0"/>
          <w:color w:val="auto"/>
          <w:highlight w:val="none"/>
        </w:rPr>
        <w:t>词解释</w:t>
      </w:r>
      <w:bookmarkEnd w:id="70"/>
      <w:bookmarkEnd w:id="71"/>
      <w:bookmarkEnd w:id="72"/>
    </w:p>
    <w:p>
      <w:pPr>
        <w:spacing w:line="600" w:lineRule="exact"/>
        <w:jc w:val="left"/>
        <w:rPr>
          <w:rFonts w:ascii="宋体"/>
          <w:b/>
          <w:color w:val="auto"/>
          <w:sz w:val="44"/>
          <w:szCs w:val="44"/>
          <w:highlight w:val="none"/>
        </w:rPr>
      </w:pPr>
    </w:p>
    <w:p>
      <w:pPr>
        <w:pStyle w:val="25"/>
        <w:spacing w:line="560" w:lineRule="exact"/>
        <w:ind w:firstLine="640" w:firstLineChars="200"/>
        <w:outlineLvl w:val="1"/>
        <w:rPr>
          <w:rFonts w:ascii="仿宋_GB2312" w:eastAsia="仿宋_GB2312"/>
          <w:color w:val="auto"/>
          <w:sz w:val="32"/>
          <w:szCs w:val="32"/>
          <w:highlight w:val="none"/>
        </w:rPr>
      </w:pPr>
      <w:bookmarkStart w:id="73" w:name="_Toc19600"/>
      <w:r>
        <w:rPr>
          <w:rFonts w:ascii="仿宋_GB2312" w:eastAsia="仿宋_GB2312"/>
          <w:color w:val="auto"/>
          <w:sz w:val="32"/>
          <w:szCs w:val="32"/>
          <w:highlight w:val="none"/>
        </w:rPr>
        <w:t>1.</w:t>
      </w:r>
      <w:r>
        <w:rPr>
          <w:rFonts w:hint="eastAsia" w:ascii="仿宋_GB2312" w:eastAsia="仿宋_GB2312"/>
          <w:color w:val="auto"/>
          <w:sz w:val="32"/>
          <w:szCs w:val="32"/>
          <w:highlight w:val="none"/>
        </w:rPr>
        <w:t>财政拨款收入：指单位从同级财政部门取得的财政预算资金。</w:t>
      </w:r>
      <w:bookmarkEnd w:id="73"/>
    </w:p>
    <w:p>
      <w:pPr>
        <w:pStyle w:val="25"/>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2.</w:t>
      </w:r>
      <w:r>
        <w:rPr>
          <w:rFonts w:hint="eastAsia" w:ascii="仿宋_GB2312" w:eastAsia="仿宋_GB2312"/>
          <w:color w:val="auto"/>
          <w:sz w:val="32"/>
          <w:szCs w:val="32"/>
          <w:highlight w:val="none"/>
        </w:rPr>
        <w:t>事业收入：指事业单位开展专业业务活动及辅助活动取得的收入。</w:t>
      </w:r>
    </w:p>
    <w:p>
      <w:pPr>
        <w:pStyle w:val="25"/>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3.</w:t>
      </w:r>
      <w:r>
        <w:rPr>
          <w:rFonts w:hint="eastAsia" w:ascii="仿宋_GB2312" w:eastAsia="仿宋_GB2312"/>
          <w:color w:val="auto"/>
          <w:sz w:val="32"/>
          <w:szCs w:val="32"/>
          <w:highlight w:val="none"/>
        </w:rPr>
        <w:t>经营收入：指事业单位在专业业务活动及其辅助活动之外开展非独立核算经营活动取得的收入。</w:t>
      </w:r>
    </w:p>
    <w:p>
      <w:pPr>
        <w:pStyle w:val="25"/>
        <w:spacing w:line="560" w:lineRule="exact"/>
        <w:ind w:firstLine="640" w:firstLineChars="200"/>
        <w:outlineLvl w:val="1"/>
        <w:rPr>
          <w:rFonts w:ascii="仿宋_GB2312" w:eastAsia="仿宋_GB2312"/>
          <w:color w:val="auto"/>
          <w:sz w:val="32"/>
          <w:szCs w:val="32"/>
          <w:highlight w:val="none"/>
        </w:rPr>
      </w:pPr>
      <w:bookmarkStart w:id="74" w:name="_Toc8600"/>
      <w:r>
        <w:rPr>
          <w:rFonts w:ascii="仿宋_GB2312" w:eastAsia="仿宋_GB2312"/>
          <w:color w:val="auto"/>
          <w:sz w:val="32"/>
          <w:szCs w:val="32"/>
          <w:highlight w:val="none"/>
        </w:rPr>
        <w:t>4.</w:t>
      </w:r>
      <w:r>
        <w:rPr>
          <w:rFonts w:hint="eastAsia" w:ascii="仿宋_GB2312" w:eastAsia="仿宋_GB2312"/>
          <w:color w:val="auto"/>
          <w:sz w:val="32"/>
          <w:szCs w:val="32"/>
          <w:highlight w:val="none"/>
        </w:rPr>
        <w:t>其他收入：指单位取得的除上述收入以外的各项收入。</w:t>
      </w:r>
      <w:bookmarkEnd w:id="74"/>
    </w:p>
    <w:p>
      <w:pPr>
        <w:pStyle w:val="25"/>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5.</w:t>
      </w:r>
      <w:r>
        <w:rPr>
          <w:rFonts w:hint="eastAsia" w:ascii="仿宋_GB2312" w:eastAsia="仿宋_GB2312"/>
          <w:color w:val="auto"/>
          <w:sz w:val="32"/>
          <w:szCs w:val="32"/>
          <w:highlight w:val="none"/>
          <w:lang w:eastAsia="zh-CN"/>
        </w:rPr>
        <w:t>使用非财政拨款结余</w:t>
      </w:r>
      <w:r>
        <w:rPr>
          <w:rFonts w:hint="eastAsia" w:ascii="仿宋_GB2312" w:eastAsia="仿宋_GB2312"/>
          <w:color w:val="auto"/>
          <w:sz w:val="32"/>
          <w:szCs w:val="32"/>
          <w:highlight w:val="none"/>
        </w:rPr>
        <w:t>：指事业单位</w:t>
      </w:r>
      <w:r>
        <w:rPr>
          <w:rFonts w:hint="eastAsia" w:ascii="仿宋_GB2312" w:eastAsia="仿宋_GB2312"/>
          <w:color w:val="auto"/>
          <w:sz w:val="32"/>
          <w:szCs w:val="32"/>
          <w:highlight w:val="none"/>
          <w:lang w:eastAsia="zh-CN"/>
        </w:rPr>
        <w:t>使用以前年度积累的非财政拨款结余弥补当年收支差额的金额。</w:t>
      </w:r>
      <w:r>
        <w:rPr>
          <w:rFonts w:ascii="仿宋_GB2312" w:eastAsia="仿宋_GB2312"/>
          <w:color w:val="auto"/>
          <w:sz w:val="32"/>
          <w:szCs w:val="32"/>
          <w:highlight w:val="none"/>
        </w:rPr>
        <w:t xml:space="preserve"> </w:t>
      </w:r>
    </w:p>
    <w:p>
      <w:pPr>
        <w:pStyle w:val="25"/>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6.</w:t>
      </w:r>
      <w:r>
        <w:rPr>
          <w:rFonts w:hint="eastAsia" w:ascii="仿宋_GB2312" w:eastAsia="仿宋_GB2312"/>
          <w:color w:val="auto"/>
          <w:sz w:val="32"/>
          <w:szCs w:val="32"/>
          <w:highlight w:val="none"/>
        </w:rPr>
        <w:t>年初结转和结余：指以前年度尚未完成、结转到本年按有关规定继续使用的资金。</w:t>
      </w:r>
      <w:r>
        <w:rPr>
          <w:rFonts w:ascii="仿宋_GB2312" w:eastAsia="仿宋_GB2312"/>
          <w:color w:val="auto"/>
          <w:sz w:val="32"/>
          <w:szCs w:val="32"/>
          <w:highlight w:val="none"/>
        </w:rPr>
        <w:t xml:space="preserve"> </w:t>
      </w:r>
    </w:p>
    <w:p>
      <w:pPr>
        <w:pStyle w:val="25"/>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7.</w:t>
      </w:r>
      <w:r>
        <w:rPr>
          <w:rFonts w:hint="eastAsia" w:ascii="仿宋_GB2312" w:eastAsia="仿宋_GB2312"/>
          <w:color w:val="auto"/>
          <w:sz w:val="32"/>
          <w:szCs w:val="32"/>
          <w:highlight w:val="none"/>
        </w:rPr>
        <w:t>结余分配：指事业单位按照会计制度规定</w:t>
      </w:r>
      <w:r>
        <w:rPr>
          <w:rFonts w:hint="eastAsia" w:ascii="仿宋_GB2312" w:eastAsia="仿宋_GB2312"/>
          <w:color w:val="auto"/>
          <w:sz w:val="32"/>
          <w:szCs w:val="32"/>
          <w:highlight w:val="none"/>
          <w:lang w:eastAsia="zh-CN"/>
        </w:rPr>
        <w:t>缴纳的所得税、提取的专用结余以及转入非财政拨款结余的金额</w:t>
      </w:r>
      <w:r>
        <w:rPr>
          <w:rFonts w:hint="eastAsia" w:ascii="仿宋_GB2312" w:eastAsia="仿宋_GB2312"/>
          <w:color w:val="auto"/>
          <w:sz w:val="32"/>
          <w:szCs w:val="32"/>
          <w:highlight w:val="none"/>
        </w:rPr>
        <w:t>等。</w:t>
      </w:r>
    </w:p>
    <w:p>
      <w:pPr>
        <w:pStyle w:val="25"/>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8</w:t>
      </w:r>
      <w:r>
        <w:rPr>
          <w:rFonts w:hint="eastAsia" w:ascii="仿宋_GB2312" w:eastAsia="仿宋_GB2312"/>
          <w:color w:val="auto"/>
          <w:sz w:val="32"/>
          <w:szCs w:val="32"/>
          <w:highlight w:val="none"/>
          <w:lang w:val="en-US" w:eastAsia="zh-CN"/>
        </w:rPr>
        <w:t>.</w:t>
      </w:r>
      <w:r>
        <w:rPr>
          <w:rFonts w:hint="eastAsia" w:ascii="仿宋_GB2312" w:eastAsia="仿宋_GB2312"/>
          <w:color w:val="auto"/>
          <w:sz w:val="32"/>
          <w:szCs w:val="32"/>
          <w:highlight w:val="none"/>
        </w:rPr>
        <w:t>年末结转和结余：指单位按有关规定结转到下年或以后年度继续使用的资金。</w:t>
      </w:r>
    </w:p>
    <w:p>
      <w:pPr>
        <w:ind w:firstLine="640" w:firstLineChars="200"/>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lang w:val="en-US" w:eastAsia="zh-CN"/>
        </w:rPr>
        <w:t>9</w:t>
      </w:r>
      <w:r>
        <w:rPr>
          <w:rFonts w:hint="eastAsia" w:ascii="仿宋_GB2312" w:eastAsia="仿宋_GB2312"/>
          <w:color w:val="auto"/>
          <w:sz w:val="32"/>
          <w:szCs w:val="32"/>
          <w:highlight w:val="none"/>
        </w:rPr>
        <w:t>.社会保障和就业（类）人力资源和社会保障管理事务（款）社会保险业务管理事务（项）:</w:t>
      </w:r>
      <w:r>
        <w:rPr>
          <w:rFonts w:hint="eastAsia" w:ascii="仿宋_GB2312" w:eastAsia="仿宋_GB2312"/>
          <w:color w:val="auto"/>
          <w:sz w:val="32"/>
          <w:szCs w:val="32"/>
          <w:highlight w:val="none"/>
          <w:lang w:eastAsia="zh-CN"/>
        </w:rPr>
        <w:t>指用于保障医保工作运行开支。</w:t>
      </w:r>
    </w:p>
    <w:p>
      <w:pPr>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10</w:t>
      </w:r>
      <w:r>
        <w:rPr>
          <w:rFonts w:hint="eastAsia" w:ascii="仿宋_GB2312" w:eastAsia="仿宋_GB2312"/>
          <w:color w:val="auto"/>
          <w:sz w:val="32"/>
          <w:szCs w:val="32"/>
          <w:highlight w:val="none"/>
        </w:rPr>
        <w:t xml:space="preserve">.社会保障和就业（类）行政事业单位养老支出（款）行政单位离退休（项）: </w:t>
      </w:r>
      <w:r>
        <w:rPr>
          <w:rFonts w:hint="eastAsia" w:ascii="仿宋_GB2312" w:eastAsia="仿宋_GB2312"/>
          <w:color w:val="auto"/>
          <w:sz w:val="32"/>
          <w:szCs w:val="32"/>
          <w:highlight w:val="none"/>
          <w:lang w:eastAsia="zh-CN"/>
        </w:rPr>
        <w:t>指用于支付退休人员基础绩效奖金</w:t>
      </w:r>
      <w:r>
        <w:rPr>
          <w:rFonts w:hint="eastAsia" w:ascii="仿宋_GB2312" w:eastAsia="仿宋_GB2312"/>
          <w:color w:val="auto"/>
          <w:sz w:val="32"/>
          <w:szCs w:val="32"/>
          <w:highlight w:val="none"/>
        </w:rPr>
        <w:t>。</w:t>
      </w:r>
    </w:p>
    <w:p>
      <w:pPr>
        <w:ind w:firstLine="640" w:firstLineChars="200"/>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lang w:val="en-US" w:eastAsia="zh-CN"/>
        </w:rPr>
        <w:t>11</w:t>
      </w:r>
      <w:r>
        <w:rPr>
          <w:rFonts w:hint="eastAsia" w:ascii="仿宋_GB2312" w:eastAsia="仿宋_GB2312"/>
          <w:color w:val="auto"/>
          <w:sz w:val="32"/>
          <w:szCs w:val="32"/>
          <w:highlight w:val="none"/>
        </w:rPr>
        <w:t xml:space="preserve">.社会保障和就业（类）行政事业单位养老支出（款）机关事业单位基本养老保险缴费支出（项）: </w:t>
      </w:r>
      <w:r>
        <w:rPr>
          <w:rFonts w:hint="eastAsia" w:ascii="仿宋_GB2312" w:eastAsia="仿宋_GB2312"/>
          <w:color w:val="auto"/>
          <w:sz w:val="32"/>
          <w:szCs w:val="32"/>
          <w:highlight w:val="none"/>
          <w:lang w:eastAsia="zh-CN"/>
        </w:rPr>
        <w:t>指用于支付职工养老保险单位缴纳支出。</w:t>
      </w:r>
    </w:p>
    <w:p>
      <w:pPr>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12</w:t>
      </w:r>
      <w:r>
        <w:rPr>
          <w:rFonts w:hint="eastAsia" w:ascii="仿宋_GB2312" w:eastAsia="仿宋_GB2312"/>
          <w:color w:val="auto"/>
          <w:sz w:val="32"/>
          <w:szCs w:val="32"/>
          <w:highlight w:val="none"/>
        </w:rPr>
        <w:t xml:space="preserve">.卫生健康（类）行政事业单位医疗（款）行政单位医疗（项）: </w:t>
      </w:r>
      <w:r>
        <w:rPr>
          <w:rFonts w:hint="eastAsia" w:ascii="仿宋_GB2312" w:eastAsia="仿宋_GB2312"/>
          <w:color w:val="auto"/>
          <w:sz w:val="32"/>
          <w:szCs w:val="32"/>
          <w:highlight w:val="none"/>
          <w:lang w:eastAsia="zh-CN"/>
        </w:rPr>
        <w:t>指</w:t>
      </w:r>
      <w:r>
        <w:rPr>
          <w:rFonts w:hint="eastAsia" w:ascii="仿宋_GB2312" w:eastAsia="仿宋_GB2312"/>
          <w:color w:val="auto"/>
          <w:sz w:val="32"/>
          <w:szCs w:val="32"/>
          <w:highlight w:val="none"/>
          <w:lang w:val="en-US" w:eastAsia="zh-CN"/>
        </w:rPr>
        <w:t>用于支付公务员（含参公人员）医疗保险单位缴纳支出</w:t>
      </w:r>
      <w:r>
        <w:rPr>
          <w:rFonts w:hint="eastAsia" w:ascii="仿宋_GB2312" w:eastAsia="仿宋_GB2312"/>
          <w:color w:val="auto"/>
          <w:sz w:val="32"/>
          <w:szCs w:val="32"/>
          <w:highlight w:val="none"/>
        </w:rPr>
        <w:t>。</w:t>
      </w:r>
    </w:p>
    <w:p>
      <w:pPr>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13</w:t>
      </w:r>
      <w:r>
        <w:rPr>
          <w:rFonts w:hint="eastAsia" w:ascii="仿宋_GB2312" w:eastAsia="仿宋_GB2312"/>
          <w:color w:val="auto"/>
          <w:sz w:val="32"/>
          <w:szCs w:val="32"/>
          <w:highlight w:val="none"/>
        </w:rPr>
        <w:t xml:space="preserve">.卫生健康（类）行政事业单位医疗（款）事业单位医疗（项）: </w:t>
      </w:r>
      <w:r>
        <w:rPr>
          <w:rFonts w:hint="eastAsia" w:ascii="仿宋_GB2312" w:eastAsia="仿宋_GB2312"/>
          <w:color w:val="auto"/>
          <w:sz w:val="32"/>
          <w:szCs w:val="32"/>
          <w:highlight w:val="none"/>
          <w:lang w:eastAsia="zh-CN"/>
        </w:rPr>
        <w:t>指用于保障“二老一残”人员医疗费用和事业人员医疗保险单位缴纳支出</w:t>
      </w:r>
      <w:r>
        <w:rPr>
          <w:rFonts w:hint="eastAsia" w:ascii="仿宋_GB2312" w:eastAsia="仿宋_GB2312"/>
          <w:color w:val="auto"/>
          <w:sz w:val="32"/>
          <w:szCs w:val="32"/>
          <w:highlight w:val="none"/>
        </w:rPr>
        <w:t>。</w:t>
      </w:r>
    </w:p>
    <w:p>
      <w:pPr>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14</w:t>
      </w:r>
      <w:r>
        <w:rPr>
          <w:rFonts w:hint="eastAsia" w:ascii="仿宋_GB2312" w:eastAsia="仿宋_GB2312"/>
          <w:color w:val="auto"/>
          <w:sz w:val="32"/>
          <w:szCs w:val="32"/>
          <w:highlight w:val="none"/>
        </w:rPr>
        <w:t xml:space="preserve">.卫生健康（类）医疗保障管理事务（款）行政运行（项）: </w:t>
      </w:r>
      <w:r>
        <w:rPr>
          <w:rFonts w:hint="eastAsia" w:ascii="仿宋_GB2312" w:eastAsia="仿宋_GB2312"/>
          <w:color w:val="auto"/>
          <w:sz w:val="32"/>
          <w:szCs w:val="32"/>
          <w:highlight w:val="none"/>
          <w:lang w:eastAsia="zh-CN"/>
        </w:rPr>
        <w:t>指用于支付临聘人员工资及保险支出</w:t>
      </w:r>
      <w:r>
        <w:rPr>
          <w:rFonts w:hint="eastAsia" w:ascii="仿宋_GB2312" w:eastAsia="仿宋_GB2312"/>
          <w:color w:val="auto"/>
          <w:sz w:val="32"/>
          <w:szCs w:val="32"/>
          <w:highlight w:val="none"/>
        </w:rPr>
        <w:t>。</w:t>
      </w:r>
    </w:p>
    <w:p>
      <w:pPr>
        <w:ind w:firstLine="640" w:firstLineChars="200"/>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lang w:val="en-US" w:eastAsia="zh-CN"/>
        </w:rPr>
        <w:t>15</w:t>
      </w:r>
      <w:r>
        <w:rPr>
          <w:rFonts w:hint="eastAsia" w:ascii="仿宋_GB2312" w:eastAsia="仿宋_GB2312"/>
          <w:color w:val="auto"/>
          <w:sz w:val="32"/>
          <w:szCs w:val="32"/>
          <w:highlight w:val="none"/>
        </w:rPr>
        <w:t xml:space="preserve">.卫生健康（类）医疗保障管理事务（款）其他医疗保障管理事务支出（项）: </w:t>
      </w:r>
      <w:r>
        <w:rPr>
          <w:rFonts w:hint="eastAsia" w:ascii="仿宋_GB2312" w:eastAsia="仿宋_GB2312"/>
          <w:color w:val="auto"/>
          <w:sz w:val="32"/>
          <w:szCs w:val="32"/>
          <w:highlight w:val="none"/>
          <w:lang w:eastAsia="zh-CN"/>
        </w:rPr>
        <w:t>指用于支付医疗服务与保障能力提升支出和防贫保第三方机构服务费支出。</w:t>
      </w:r>
    </w:p>
    <w:p>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16</w:t>
      </w:r>
      <w:r>
        <w:rPr>
          <w:rFonts w:hint="eastAsia" w:ascii="仿宋_GB2312" w:eastAsia="仿宋_GB2312"/>
          <w:color w:val="auto"/>
          <w:sz w:val="32"/>
          <w:szCs w:val="32"/>
          <w:highlight w:val="none"/>
        </w:rPr>
        <w:t xml:space="preserve">.卫生健康（类）其他卫生健康支出（款）其他卫生健康支出（项）: </w:t>
      </w:r>
      <w:r>
        <w:rPr>
          <w:rFonts w:hint="eastAsia" w:ascii="仿宋_GB2312" w:eastAsia="仿宋_GB2312"/>
          <w:color w:val="auto"/>
          <w:sz w:val="32"/>
          <w:szCs w:val="32"/>
          <w:highlight w:val="none"/>
          <w:lang w:eastAsia="zh-CN"/>
        </w:rPr>
        <w:t>指用于支付医疗服务与保障能力提升支出</w:t>
      </w:r>
      <w:r>
        <w:rPr>
          <w:rFonts w:hint="eastAsia" w:ascii="仿宋_GB2312" w:eastAsia="仿宋_GB2312"/>
          <w:color w:val="auto"/>
          <w:sz w:val="32"/>
          <w:szCs w:val="32"/>
          <w:highlight w:val="none"/>
        </w:rPr>
        <w:t>。</w:t>
      </w:r>
    </w:p>
    <w:p>
      <w:pPr>
        <w:pStyle w:val="25"/>
        <w:pageBreakBefore w:val="0"/>
        <w:kinsoku/>
        <w:wordWrap/>
        <w:overflowPunct/>
        <w:topLinePunct w:val="0"/>
        <w:bidi w:val="0"/>
        <w:spacing w:line="576" w:lineRule="exact"/>
        <w:ind w:firstLine="640" w:firstLineChars="20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17</w:t>
      </w:r>
      <w:r>
        <w:rPr>
          <w:rFonts w:ascii="仿宋_GB2312" w:eastAsia="仿宋_GB2312"/>
          <w:color w:val="auto"/>
          <w:sz w:val="32"/>
          <w:szCs w:val="32"/>
          <w:highlight w:val="none"/>
        </w:rPr>
        <w:t>.</w:t>
      </w:r>
      <w:r>
        <w:rPr>
          <w:rFonts w:hint="eastAsia" w:ascii="仿宋_GB2312" w:hAnsi="Times New Roman" w:eastAsia="仿宋_GB2312" w:cs="Times New Roman"/>
          <w:color w:val="auto"/>
          <w:kern w:val="2"/>
          <w:sz w:val="32"/>
          <w:szCs w:val="32"/>
          <w:highlight w:val="none"/>
          <w:lang w:val="en-US" w:eastAsia="zh-CN" w:bidi="ar-SA"/>
        </w:rPr>
        <w:t>住房保障支出（类）住房改革支出（款）住房公积金（项）：指用于支付职工住房公积金费用支出。</w:t>
      </w:r>
    </w:p>
    <w:p>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18</w:t>
      </w:r>
      <w:r>
        <w:rPr>
          <w:rFonts w:ascii="仿宋_GB2312" w:eastAsia="仿宋_GB2312"/>
          <w:color w:val="auto"/>
          <w:sz w:val="32"/>
          <w:szCs w:val="32"/>
          <w:highlight w:val="none"/>
        </w:rPr>
        <w:t>.</w:t>
      </w:r>
      <w:r>
        <w:rPr>
          <w:rFonts w:hint="eastAsia" w:ascii="仿宋_GB2312" w:eastAsia="仿宋_GB2312"/>
          <w:color w:val="auto"/>
          <w:sz w:val="32"/>
          <w:szCs w:val="32"/>
          <w:highlight w:val="none"/>
        </w:rPr>
        <w:t>基本支出：指为保障机构正常运转、完成日常工作任务而发生的人员支出和公用支出。</w:t>
      </w:r>
    </w:p>
    <w:p>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19</w:t>
      </w:r>
      <w:r>
        <w:rPr>
          <w:rFonts w:ascii="仿宋_GB2312" w:eastAsia="仿宋_GB2312"/>
          <w:color w:val="auto"/>
          <w:sz w:val="32"/>
          <w:szCs w:val="32"/>
          <w:highlight w:val="none"/>
        </w:rPr>
        <w:t>.</w:t>
      </w:r>
      <w:r>
        <w:rPr>
          <w:rFonts w:hint="eastAsia" w:ascii="仿宋_GB2312" w:eastAsia="仿宋_GB2312"/>
          <w:color w:val="auto"/>
          <w:sz w:val="32"/>
          <w:szCs w:val="32"/>
          <w:highlight w:val="none"/>
        </w:rPr>
        <w:t>项目支出：指在基本支出之外为完成特定行政任务和事业发展目标所发生的支出。</w:t>
      </w:r>
      <w:r>
        <w:rPr>
          <w:rFonts w:ascii="仿宋_GB2312" w:eastAsia="仿宋_GB2312"/>
          <w:color w:val="auto"/>
          <w:sz w:val="32"/>
          <w:szCs w:val="32"/>
          <w:highlight w:val="none"/>
        </w:rPr>
        <w:t xml:space="preserve"> </w:t>
      </w:r>
    </w:p>
    <w:p>
      <w:pPr>
        <w:pStyle w:val="25"/>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20</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5"/>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21</w:t>
      </w:r>
      <w:r>
        <w:rPr>
          <w:rFonts w:ascii="仿宋_GB2312" w:eastAsia="仿宋_GB2312"/>
          <w:color w:val="auto"/>
          <w:sz w:val="32"/>
          <w:szCs w:val="32"/>
          <w:highlight w:val="none"/>
        </w:rPr>
        <w:t>.</w:t>
      </w:r>
      <w:r>
        <w:rPr>
          <w:rFonts w:hint="eastAsia" w:ascii="仿宋_GB2312" w:eastAsia="仿宋_GB2312"/>
          <w:color w:val="auto"/>
          <w:sz w:val="32"/>
          <w:szCs w:val="32"/>
          <w:highlight w:val="none"/>
        </w:rPr>
        <w:t>机关运行经费：为保障行政单位（含参照公务员法管理的事业单位）运行用于购买货物和服务的各项资金，包括办公及印刷费、邮电费、差旅费、会议费、日常维修费、办公用房水电费以及其他费用。</w:t>
      </w:r>
    </w:p>
    <w:p>
      <w:pPr>
        <w:pStyle w:val="25"/>
        <w:spacing w:line="560" w:lineRule="exact"/>
        <w:ind w:firstLine="640" w:firstLineChars="200"/>
        <w:rPr>
          <w:rFonts w:ascii="仿宋_GB2312" w:eastAsia="仿宋_GB2312" w:cs="黑体"/>
          <w:color w:val="auto"/>
          <w:sz w:val="32"/>
          <w:szCs w:val="32"/>
          <w:highlight w:val="none"/>
        </w:rPr>
      </w:pPr>
    </w:p>
    <w:p>
      <w:pPr>
        <w:spacing w:line="600" w:lineRule="exact"/>
        <w:jc w:val="center"/>
        <w:outlineLvl w:val="0"/>
        <w:rPr>
          <w:rStyle w:val="27"/>
          <w:rFonts w:hint="eastAsia" w:ascii="黑体" w:hAnsi="黑体" w:eastAsia="黑体"/>
          <w:b w:val="0"/>
          <w:color w:val="auto"/>
          <w:highlight w:val="none"/>
          <w:lang w:eastAsia="zh-CN"/>
        </w:rPr>
      </w:pPr>
      <w:bookmarkStart w:id="75" w:name="_Toc15377226"/>
      <w:r>
        <w:rPr>
          <w:rFonts w:ascii="宋体"/>
          <w:b/>
          <w:color w:val="auto"/>
          <w:sz w:val="44"/>
          <w:szCs w:val="44"/>
          <w:highlight w:val="none"/>
        </w:rPr>
        <w:br w:type="page"/>
      </w:r>
      <w:bookmarkStart w:id="76" w:name="_Toc15396614"/>
      <w:bookmarkStart w:id="77" w:name="_Toc18745"/>
      <w:r>
        <w:rPr>
          <w:rFonts w:hint="eastAsia" w:ascii="黑体" w:hAnsi="黑体" w:eastAsia="黑体"/>
          <w:color w:val="auto"/>
          <w:sz w:val="44"/>
          <w:szCs w:val="44"/>
          <w:highlight w:val="none"/>
        </w:rPr>
        <w:t>第</w:t>
      </w:r>
      <w:r>
        <w:rPr>
          <w:rStyle w:val="27"/>
          <w:rFonts w:hint="eastAsia" w:ascii="黑体" w:hAnsi="黑体" w:eastAsia="黑体"/>
          <w:b w:val="0"/>
          <w:color w:val="auto"/>
          <w:highlight w:val="none"/>
        </w:rPr>
        <w:t>四部分 附件</w:t>
      </w:r>
      <w:bookmarkEnd w:id="76"/>
      <w:bookmarkEnd w:id="77"/>
    </w:p>
    <w:p>
      <w:pPr>
        <w:pStyle w:val="5"/>
        <w:rPr>
          <w:rFonts w:hint="default" w:hAnsi="宋体" w:cs="宋体"/>
          <w:color w:val="auto"/>
          <w:kern w:val="0"/>
          <w:sz w:val="32"/>
          <w:szCs w:val="32"/>
          <w:highlight w:val="none"/>
          <w:shd w:val="clear" w:color="auto" w:fill="FFFFFF"/>
          <w:lang w:val="en-US" w:eastAsia="zh-CN"/>
        </w:rPr>
      </w:pPr>
      <w:r>
        <w:rPr>
          <w:rFonts w:hint="eastAsia" w:hAnsi="宋体" w:cs="宋体"/>
          <w:color w:val="auto"/>
          <w:kern w:val="0"/>
          <w:sz w:val="32"/>
          <w:szCs w:val="32"/>
          <w:highlight w:val="none"/>
          <w:shd w:val="clear" w:color="auto" w:fill="FFFFFF"/>
          <w:lang w:val="zh-CN" w:eastAsia="zh-CN"/>
        </w:rPr>
        <w:t>附件</w:t>
      </w:r>
      <w:r>
        <w:rPr>
          <w:rFonts w:hint="eastAsia" w:hAnsi="宋体" w:cs="宋体"/>
          <w:color w:val="auto"/>
          <w:kern w:val="0"/>
          <w:sz w:val="32"/>
          <w:szCs w:val="32"/>
          <w:highlight w:val="none"/>
          <w:shd w:val="clear" w:color="auto" w:fill="FFFFFF"/>
          <w:lang w:val="en-US" w:eastAsia="zh-CN"/>
        </w:rPr>
        <w:t>1</w:t>
      </w:r>
    </w:p>
    <w:p>
      <w:pPr>
        <w:keepNext w:val="0"/>
        <w:keepLines w:val="0"/>
        <w:pageBreakBefore w:val="0"/>
        <w:widowControl/>
        <w:kinsoku/>
        <w:wordWrap/>
        <w:overflowPunct/>
        <w:topLinePunct w:val="0"/>
        <w:autoSpaceDE/>
        <w:autoSpaceDN/>
        <w:bidi w:val="0"/>
        <w:spacing w:line="560" w:lineRule="exact"/>
        <w:contextualSpacing/>
        <w:jc w:val="center"/>
        <w:textAlignment w:val="auto"/>
        <w:rPr>
          <w:rFonts w:hint="eastAsia" w:ascii="方正小标宋简体" w:hAnsi="方正小标宋简体" w:eastAsia="方正小标宋简体" w:cs="方正小标宋简体"/>
          <w:b w:val="0"/>
          <w:bCs/>
          <w:color w:val="auto"/>
          <w:sz w:val="40"/>
          <w:szCs w:val="40"/>
          <w:highlight w:val="none"/>
          <w:shd w:val="clear" w:color="auto" w:fill="FFFFFF"/>
        </w:rPr>
      </w:pPr>
      <w:r>
        <w:rPr>
          <w:rFonts w:hint="eastAsia" w:ascii="方正小标宋简体" w:hAnsi="方正小标宋简体" w:eastAsia="方正小标宋简体" w:cs="方正小标宋简体"/>
          <w:b w:val="0"/>
          <w:bCs/>
          <w:color w:val="auto"/>
          <w:sz w:val="40"/>
          <w:szCs w:val="40"/>
          <w:highlight w:val="none"/>
          <w:shd w:val="clear" w:color="auto" w:fill="FFFFFF"/>
        </w:rPr>
        <w:t>20</w:t>
      </w:r>
      <w:r>
        <w:rPr>
          <w:rFonts w:hint="eastAsia" w:ascii="方正小标宋简体" w:hAnsi="方正小标宋简体" w:eastAsia="方正小标宋简体" w:cs="方正小标宋简体"/>
          <w:b w:val="0"/>
          <w:bCs/>
          <w:color w:val="auto"/>
          <w:sz w:val="40"/>
          <w:szCs w:val="40"/>
          <w:highlight w:val="none"/>
          <w:shd w:val="clear" w:color="auto" w:fill="FFFFFF"/>
          <w:lang w:val="en-US" w:eastAsia="zh-CN"/>
        </w:rPr>
        <w:t>23</w:t>
      </w:r>
      <w:r>
        <w:rPr>
          <w:rFonts w:hint="eastAsia" w:ascii="方正小标宋简体" w:hAnsi="方正小标宋简体" w:eastAsia="方正小标宋简体" w:cs="方正小标宋简体"/>
          <w:b w:val="0"/>
          <w:bCs/>
          <w:color w:val="auto"/>
          <w:sz w:val="40"/>
          <w:szCs w:val="40"/>
          <w:highlight w:val="none"/>
          <w:shd w:val="clear" w:color="auto" w:fill="FFFFFF"/>
        </w:rPr>
        <w:t>年</w:t>
      </w:r>
      <w:r>
        <w:rPr>
          <w:rFonts w:hint="eastAsia" w:ascii="方正小标宋简体" w:hAnsi="方正小标宋简体" w:eastAsia="方正小标宋简体" w:cs="方正小标宋简体"/>
          <w:b w:val="0"/>
          <w:bCs/>
          <w:color w:val="auto"/>
          <w:sz w:val="40"/>
          <w:szCs w:val="40"/>
          <w:highlight w:val="none"/>
          <w:shd w:val="clear" w:color="auto" w:fill="FFFFFF"/>
          <w:lang w:eastAsia="zh-CN"/>
        </w:rPr>
        <w:t>广元市昭化区医疗保障局</w:t>
      </w:r>
      <w:r>
        <w:rPr>
          <w:rFonts w:hint="eastAsia" w:ascii="方正小标宋简体" w:hAnsi="方正小标宋简体" w:eastAsia="方正小标宋简体" w:cs="方正小标宋简体"/>
          <w:b w:val="0"/>
          <w:bCs/>
          <w:color w:val="auto"/>
          <w:sz w:val="40"/>
          <w:szCs w:val="40"/>
          <w:highlight w:val="none"/>
          <w:shd w:val="clear" w:color="auto" w:fill="FFFFFF"/>
        </w:rPr>
        <w:t>部门整体绩效</w:t>
      </w:r>
      <w:r>
        <w:rPr>
          <w:rFonts w:hint="eastAsia" w:ascii="方正小标宋简体" w:hAnsi="方正小标宋简体" w:eastAsia="方正小标宋简体" w:cs="方正小标宋简体"/>
          <w:b w:val="0"/>
          <w:bCs/>
          <w:color w:val="auto"/>
          <w:sz w:val="40"/>
          <w:szCs w:val="40"/>
          <w:highlight w:val="none"/>
          <w:shd w:val="clear" w:color="auto" w:fill="FFFFFF"/>
          <w:lang w:eastAsia="zh-CN"/>
        </w:rPr>
        <w:t>自评</w:t>
      </w:r>
      <w:r>
        <w:rPr>
          <w:rFonts w:hint="eastAsia" w:ascii="方正小标宋简体" w:hAnsi="方正小标宋简体" w:eastAsia="方正小标宋简体" w:cs="方正小标宋简体"/>
          <w:b w:val="0"/>
          <w:bCs/>
          <w:color w:val="auto"/>
          <w:sz w:val="40"/>
          <w:szCs w:val="40"/>
          <w:highlight w:val="none"/>
          <w:shd w:val="clear" w:color="auto" w:fill="FFFFFF"/>
        </w:rPr>
        <w:t>报告</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contextualSpacing/>
        <w:jc w:val="left"/>
        <w:textAlignment w:val="auto"/>
        <w:outlineLvl w:val="1"/>
        <w:rPr>
          <w:rFonts w:hint="eastAsia" w:ascii="黑体" w:hAnsi="宋体" w:eastAsia="黑体" w:cs="宋体"/>
          <w:color w:val="auto"/>
          <w:kern w:val="0"/>
          <w:sz w:val="32"/>
          <w:szCs w:val="32"/>
          <w:highlight w:val="none"/>
          <w:shd w:val="clear" w:color="auto" w:fill="FFFFFF"/>
          <w:lang w:val="zh-CN"/>
        </w:rPr>
      </w:pPr>
      <w:bookmarkStart w:id="78" w:name="_Toc1109"/>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320" w:firstLineChars="100"/>
        <w:contextualSpacing/>
        <w:jc w:val="left"/>
        <w:textAlignment w:val="auto"/>
        <w:outlineLvl w:val="1"/>
        <w:rPr>
          <w:rFonts w:hint="eastAsia" w:ascii="黑体" w:hAnsi="宋体" w:eastAsia="黑体" w:cs="宋体"/>
          <w:color w:val="auto"/>
          <w:kern w:val="0"/>
          <w:sz w:val="32"/>
          <w:szCs w:val="32"/>
          <w:highlight w:val="none"/>
          <w:shd w:val="clear" w:color="auto" w:fill="FFFFFF"/>
          <w:lang w:val="zh-CN"/>
        </w:rPr>
      </w:pPr>
      <w:r>
        <w:rPr>
          <w:rFonts w:hint="eastAsia" w:ascii="黑体" w:hAnsi="宋体" w:eastAsia="黑体" w:cs="宋体"/>
          <w:color w:val="auto"/>
          <w:kern w:val="0"/>
          <w:sz w:val="32"/>
          <w:szCs w:val="32"/>
          <w:highlight w:val="none"/>
          <w:shd w:val="clear" w:color="auto" w:fill="FFFFFF"/>
          <w:lang w:val="zh-CN"/>
        </w:rPr>
        <w:t>一、部门（单位）基本情况</w:t>
      </w:r>
      <w:bookmarkEnd w:id="78"/>
    </w:p>
    <w:p>
      <w:pPr>
        <w:keepNext w:val="0"/>
        <w:keepLines w:val="0"/>
        <w:pageBreakBefore w:val="0"/>
        <w:widowControl/>
        <w:numPr>
          <w:ilvl w:val="0"/>
          <w:numId w:val="4"/>
        </w:numPr>
        <w:kinsoku/>
        <w:wordWrap/>
        <w:overflowPunct/>
        <w:topLinePunct w:val="0"/>
        <w:autoSpaceDE/>
        <w:autoSpaceDN/>
        <w:bidi w:val="0"/>
        <w:adjustRightInd w:val="0"/>
        <w:snapToGrid w:val="0"/>
        <w:spacing w:line="560" w:lineRule="exact"/>
        <w:ind w:firstLine="643" w:firstLineChars="200"/>
        <w:contextualSpacing/>
        <w:jc w:val="left"/>
        <w:textAlignment w:val="auto"/>
        <w:rPr>
          <w:rFonts w:hint="eastAsia" w:ascii="楷体_GB2312" w:hAnsi="楷体_GB2312" w:eastAsia="楷体_GB2312" w:cs="楷体_GB2312"/>
          <w:b/>
          <w:bCs/>
          <w:color w:val="auto"/>
          <w:kern w:val="0"/>
          <w:sz w:val="32"/>
          <w:szCs w:val="32"/>
          <w:highlight w:val="none"/>
          <w:shd w:val="clear" w:color="auto" w:fill="FFFFFF"/>
          <w:lang w:val="zh-CN"/>
        </w:rPr>
      </w:pPr>
      <w:r>
        <w:rPr>
          <w:rFonts w:hint="eastAsia" w:ascii="楷体_GB2312" w:hAnsi="楷体_GB2312" w:eastAsia="楷体_GB2312" w:cs="楷体_GB2312"/>
          <w:b/>
          <w:bCs/>
          <w:color w:val="auto"/>
          <w:kern w:val="0"/>
          <w:sz w:val="32"/>
          <w:szCs w:val="32"/>
          <w:highlight w:val="none"/>
          <w:shd w:val="clear" w:color="auto" w:fill="FFFFFF"/>
          <w:lang w:val="zh-CN"/>
        </w:rPr>
        <w:t>机构组成</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default"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广元市昭化区医疗保障局（本级）无部门下属二级预算单位，下设独立编制机构2个，其中行政机构0个，参照公务员法管理的事业机构1个，其他事业机构1个，纳入2022年度单位决算编制范围的独立编制机构包括广元市昭化区医疗保障局（本级），因事务中心和信息中心无单独预算来源，人员经费收支统管，全额保障。</w:t>
      </w:r>
    </w:p>
    <w:p>
      <w:pPr>
        <w:pStyle w:val="5"/>
        <w:ind w:firstLine="640" w:firstLineChars="200"/>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全局核定编制23名，其中行政编制5名，参公编制11名，事业编制7人。年末实际在编在职17人，其中行政人员3人，参公人员9人，事业人员5人。</w:t>
      </w:r>
    </w:p>
    <w:p>
      <w:pPr>
        <w:pStyle w:val="5"/>
        <w:ind w:firstLine="643" w:firstLineChars="200"/>
        <w:rPr>
          <w:rFonts w:hint="eastAsia" w:ascii="楷体_GB2312" w:hAnsi="楷体_GB2312" w:eastAsia="楷体_GB2312" w:cs="楷体_GB2312"/>
          <w:b/>
          <w:bCs/>
          <w:color w:val="auto"/>
          <w:kern w:val="0"/>
          <w:sz w:val="32"/>
          <w:szCs w:val="32"/>
          <w:highlight w:val="none"/>
          <w:shd w:val="clear" w:color="auto" w:fill="FFFFFF"/>
          <w:lang w:val="zh-CN"/>
        </w:rPr>
      </w:pPr>
      <w:r>
        <w:rPr>
          <w:rFonts w:hint="eastAsia" w:ascii="楷体_GB2312" w:hAnsi="楷体_GB2312" w:eastAsia="楷体_GB2312" w:cs="楷体_GB2312"/>
          <w:b/>
          <w:bCs/>
          <w:color w:val="auto"/>
          <w:kern w:val="0"/>
          <w:sz w:val="32"/>
          <w:szCs w:val="32"/>
          <w:highlight w:val="none"/>
          <w:shd w:val="clear" w:color="auto" w:fill="FFFFFF"/>
          <w:lang w:val="zh-CN"/>
        </w:rPr>
        <w:t>（二）机构职能和人员概况</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_GB2312" w:hAnsi="仿宋_GB2312" w:eastAsia="仿宋_GB2312" w:cs="仿宋_GB2312"/>
          <w:b w:val="0"/>
          <w:bCs w:val="0"/>
          <w:color w:val="auto"/>
          <w:kern w:val="0"/>
          <w:sz w:val="32"/>
          <w:szCs w:val="32"/>
          <w:highlight w:val="none"/>
          <w:shd w:val="clear" w:color="auto" w:fill="FFFFFF"/>
          <w:lang w:val="en-US" w:eastAsia="zh-CN"/>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rPr>
        <w:t>1.机构职能</w:t>
      </w:r>
    </w:p>
    <w:p>
      <w:pPr>
        <w:pStyle w:val="5"/>
        <w:numPr>
          <w:ilvl w:val="0"/>
          <w:numId w:val="0"/>
        </w:numPr>
        <w:ind w:firstLine="640" w:firstLineChars="200"/>
        <w:rPr>
          <w:rFonts w:hint="eastAsia" w:ascii="Times New Roman" w:hAnsi="Times New Roman" w:cs="Times New Roman"/>
          <w:color w:val="auto"/>
          <w:sz w:val="32"/>
          <w:szCs w:val="32"/>
          <w:shd w:val="clear" w:color="auto" w:fill="FFFFFF"/>
          <w:lang w:eastAsia="zh-CN"/>
        </w:rPr>
      </w:pPr>
      <w:r>
        <w:rPr>
          <w:rFonts w:ascii="Times New Roman" w:hAnsi="Times New Roman" w:eastAsia="仿宋_GB2312" w:cs="Times New Roman"/>
          <w:color w:val="auto"/>
          <w:sz w:val="32"/>
          <w:szCs w:val="32"/>
          <w:shd w:val="clear" w:color="auto" w:fill="FFFFFF"/>
        </w:rPr>
        <w:t>完善统一的城乡居民基本医疗保险制度、大病保险制度和医疗救助制度，不断提高医疗保障水平，建立健全覆盖全民、城乡统筹的多层次医疗保障体系，确保医保资金合理使用、安全可控，推进医疗、医保、医药“三医联动”改革，更好保障人民群众就医需求、减轻医药费用负担</w:t>
      </w:r>
      <w:r>
        <w:rPr>
          <w:rFonts w:hint="eastAsia" w:ascii="Times New Roman" w:hAnsi="Times New Roman" w:cs="Times New Roman"/>
          <w:color w:val="auto"/>
          <w:sz w:val="32"/>
          <w:szCs w:val="32"/>
          <w:shd w:val="clear" w:color="auto" w:fill="FFFFFF"/>
          <w:lang w:eastAsia="zh-CN"/>
        </w:rPr>
        <w:t>。</w:t>
      </w:r>
    </w:p>
    <w:p>
      <w:pPr>
        <w:pStyle w:val="5"/>
        <w:numPr>
          <w:ilvl w:val="0"/>
          <w:numId w:val="0"/>
        </w:numPr>
        <w:ind w:leftChars="200"/>
        <w:rPr>
          <w:rFonts w:hint="eastAsia" w:hAnsi="仿宋_GB2312" w:cs="仿宋_GB2312"/>
          <w:sz w:val="32"/>
          <w:szCs w:val="40"/>
          <w:lang w:val="en-US" w:eastAsia="zh-CN"/>
        </w:rPr>
      </w:pPr>
      <w:r>
        <w:rPr>
          <w:rFonts w:hint="eastAsia" w:hAnsi="仿宋_GB2312" w:cs="仿宋_GB2312"/>
          <w:sz w:val="32"/>
          <w:szCs w:val="40"/>
          <w:lang w:val="en-US" w:eastAsia="zh-CN"/>
        </w:rPr>
        <w:t>2.人员概况</w:t>
      </w:r>
    </w:p>
    <w:p>
      <w:pPr>
        <w:pStyle w:val="5"/>
        <w:numPr>
          <w:ilvl w:val="0"/>
          <w:numId w:val="0"/>
        </w:numPr>
        <w:ind w:firstLine="640" w:firstLineChars="200"/>
        <w:rPr>
          <w:rFonts w:hint="eastAsia"/>
          <w:lang w:val="zh-CN"/>
        </w:rPr>
      </w:pPr>
      <w:r>
        <w:rPr>
          <w:rFonts w:hint="eastAsia" w:ascii="仿宋_GB2312" w:hAnsi="仿宋_GB2312" w:eastAsia="仿宋_GB2312" w:cs="仿宋_GB2312"/>
          <w:sz w:val="32"/>
          <w:szCs w:val="40"/>
          <w:lang w:val="en-US" w:eastAsia="zh-CN"/>
        </w:rPr>
        <w:t>全局核定编制23名，其中行政编制5名，参公编制11名，事业编制7人。年末实际在编在职17人，其中行政人员3人，参公人员9人，事业人员5人。</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Chars="200" w:firstLine="321" w:firstLineChars="100"/>
        <w:contextualSpacing/>
        <w:jc w:val="left"/>
        <w:textAlignment w:val="auto"/>
        <w:rPr>
          <w:rFonts w:hint="eastAsia" w:ascii="楷体_GB2312" w:hAnsi="楷体_GB2312" w:eastAsia="楷体_GB2312" w:cs="楷体_GB2312"/>
          <w:b/>
          <w:bCs/>
          <w:color w:val="auto"/>
          <w:kern w:val="0"/>
          <w:sz w:val="32"/>
          <w:szCs w:val="32"/>
          <w:highlight w:val="none"/>
          <w:shd w:val="clear" w:color="auto" w:fill="FFFFFF"/>
          <w:lang w:val="zh-CN"/>
        </w:rPr>
      </w:pPr>
      <w:r>
        <w:rPr>
          <w:rFonts w:hint="eastAsia" w:ascii="楷体_GB2312" w:hAnsi="楷体_GB2312" w:eastAsia="楷体_GB2312" w:cs="楷体_GB2312"/>
          <w:b/>
          <w:bCs/>
          <w:color w:val="auto"/>
          <w:kern w:val="0"/>
          <w:sz w:val="32"/>
          <w:szCs w:val="32"/>
          <w:highlight w:val="none"/>
          <w:shd w:val="clear" w:color="auto" w:fill="FFFFFF"/>
          <w:lang w:val="zh-CN"/>
        </w:rPr>
        <w:t>（三）年度主要工作任务</w:t>
      </w:r>
    </w:p>
    <w:p>
      <w:pPr>
        <w:pStyle w:val="5"/>
        <w:numPr>
          <w:ilvl w:val="0"/>
          <w:numId w:val="0"/>
        </w:numPr>
        <w:ind w:firstLine="600" w:firstLineChars="200"/>
        <w:rPr>
          <w:rFonts w:hint="eastAsia"/>
          <w:lang w:val="zh-CN"/>
        </w:rPr>
      </w:pPr>
      <w:r>
        <w:rPr>
          <w:rFonts w:hint="eastAsia"/>
          <w:lang w:val="en-US" w:eastAsia="zh-CN"/>
        </w:rPr>
        <w:t>一是</w:t>
      </w:r>
      <w:r>
        <w:rPr>
          <w:rFonts w:hint="eastAsia"/>
          <w:lang w:val="zh-CN"/>
        </w:rPr>
        <w:t>全面从严治党，扎实推进党建和党风廉政建设；二是全力履职尽责，着力夯实医保高质量发展基础；三是全盘提高保障，切实减轻群众医药费用负担；四是全程加强监管，持续加大欺诈骗保打击力度。</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Chars="200" w:firstLine="321" w:firstLineChars="100"/>
        <w:contextualSpacing/>
        <w:jc w:val="left"/>
        <w:textAlignment w:val="auto"/>
        <w:rPr>
          <w:rFonts w:hint="eastAsia" w:ascii="楷体_GB2312" w:hAnsi="楷体_GB2312" w:eastAsia="楷体_GB2312" w:cs="楷体_GB2312"/>
          <w:b/>
          <w:bCs/>
          <w:color w:val="auto"/>
          <w:kern w:val="0"/>
          <w:sz w:val="32"/>
          <w:szCs w:val="32"/>
          <w:highlight w:val="none"/>
          <w:shd w:val="clear" w:color="auto" w:fill="FFFFFF"/>
          <w:lang w:val="zh-CN"/>
        </w:rPr>
      </w:pPr>
      <w:r>
        <w:rPr>
          <w:rFonts w:hint="eastAsia" w:ascii="楷体_GB2312" w:hAnsi="楷体_GB2312" w:eastAsia="楷体_GB2312" w:cs="楷体_GB2312"/>
          <w:b/>
          <w:bCs/>
          <w:color w:val="auto"/>
          <w:kern w:val="0"/>
          <w:sz w:val="32"/>
          <w:szCs w:val="32"/>
          <w:highlight w:val="none"/>
          <w:shd w:val="clear" w:color="auto" w:fill="FFFFFF"/>
          <w:lang w:val="zh-CN"/>
        </w:rPr>
        <w:t>（四）部门整体支出绩效目标</w:t>
      </w:r>
    </w:p>
    <w:p>
      <w:pPr>
        <w:widowControl w:val="0"/>
        <w:kinsoku/>
        <w:autoSpaceDE/>
        <w:autoSpaceDN/>
        <w:adjustRightInd/>
        <w:snapToGrid/>
        <w:spacing w:line="576" w:lineRule="exact"/>
        <w:ind w:firstLine="640" w:firstLineChars="200"/>
        <w:jc w:val="both"/>
        <w:textAlignment w:val="auto"/>
        <w:rPr>
          <w:rFonts w:hint="eastAsia"/>
          <w:lang w:val="zh-CN"/>
        </w:rPr>
      </w:pPr>
      <w:r>
        <w:rPr>
          <w:rFonts w:hint="eastAsia" w:ascii="Times New Roman" w:hAnsi="Times New Roman" w:eastAsia="仿宋_GB2312" w:cs="Times New Roman"/>
          <w:color w:val="auto"/>
          <w:sz w:val="32"/>
          <w:szCs w:val="32"/>
          <w:shd w:val="clear" w:color="auto" w:fill="FFFFFF"/>
        </w:rPr>
        <w:t>按规定设置部门整体绩效目标，绩效目标编制要素完整，覆盖三级指标，且绩效指标可细化、可量化。以项目完成数量为核心，</w:t>
      </w:r>
      <w:r>
        <w:rPr>
          <w:rFonts w:hint="eastAsia" w:ascii="Times New Roman" w:hAnsi="Times New Roman" w:eastAsia="仿宋_GB2312" w:cs="Times New Roman"/>
          <w:color w:val="auto"/>
          <w:sz w:val="32"/>
          <w:szCs w:val="32"/>
          <w:shd w:val="clear" w:color="auto" w:fill="FFFFFF"/>
          <w:lang w:eastAsia="zh-CN"/>
        </w:rPr>
        <w:t>确保</w:t>
      </w:r>
      <w:r>
        <w:rPr>
          <w:rFonts w:hint="eastAsia" w:ascii="Times New Roman" w:hAnsi="Times New Roman" w:eastAsia="仿宋_GB2312" w:cs="Times New Roman"/>
          <w:color w:val="auto"/>
          <w:sz w:val="32"/>
          <w:szCs w:val="32"/>
          <w:shd w:val="clear" w:color="auto" w:fill="FFFFFF"/>
        </w:rPr>
        <w:t>实际完成情况与预期绩效目标基本相符。运用部门整体支出绩效评价指标体系，合理使用单位资金。加强网络、信息安全、基础设施等方面建设，切实保障医保信息系统高效、安全运行，提高数据采集质量和速度。打击欺诈骗保工作力度加强，重点整治了“三假”工作</w:t>
      </w:r>
      <w:r>
        <w:rPr>
          <w:rFonts w:hint="eastAsia" w:ascii="Times New Roman" w:hAnsi="Times New Roman" w:eastAsia="仿宋_GB2312" w:cs="Times New Roman"/>
          <w:color w:val="auto"/>
          <w:sz w:val="32"/>
          <w:szCs w:val="32"/>
          <w:shd w:val="clear" w:color="auto" w:fill="FFFFFF"/>
          <w:lang w:eastAsia="zh-CN"/>
        </w:rPr>
        <w:t>，</w:t>
      </w:r>
      <w:r>
        <w:rPr>
          <w:rFonts w:hint="eastAsia" w:ascii="Times New Roman" w:hAnsi="Times New Roman" w:eastAsia="仿宋_GB2312" w:cs="Times New Roman"/>
          <w:color w:val="auto"/>
          <w:sz w:val="32"/>
          <w:szCs w:val="32"/>
          <w:shd w:val="clear" w:color="auto" w:fill="FFFFFF"/>
        </w:rPr>
        <w:t>有效提升综合监管、宣传引导、经办服务、人才队伍建设等医疗保障服务能力。</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outlineLvl w:val="1"/>
        <w:rPr>
          <w:rFonts w:ascii="黑体" w:hAnsi="宋体" w:eastAsia="黑体" w:cs="宋体"/>
          <w:color w:val="auto"/>
          <w:kern w:val="0"/>
          <w:sz w:val="32"/>
          <w:szCs w:val="32"/>
          <w:highlight w:val="none"/>
          <w:shd w:val="clear" w:color="auto" w:fill="FFFFFF"/>
        </w:rPr>
      </w:pPr>
      <w:bookmarkStart w:id="79" w:name="_Toc27764"/>
      <w:r>
        <w:rPr>
          <w:rFonts w:hint="eastAsia" w:ascii="黑体" w:hAnsi="宋体" w:eastAsia="黑体" w:cs="宋体"/>
          <w:color w:val="auto"/>
          <w:kern w:val="0"/>
          <w:sz w:val="32"/>
          <w:szCs w:val="32"/>
          <w:highlight w:val="none"/>
          <w:shd w:val="clear" w:color="auto" w:fill="FFFFFF"/>
        </w:rPr>
        <w:t>二、</w:t>
      </w:r>
      <w:r>
        <w:rPr>
          <w:rFonts w:hint="eastAsia" w:ascii="黑体" w:hAnsi="宋体" w:eastAsia="黑体" w:cs="宋体"/>
          <w:color w:val="auto"/>
          <w:kern w:val="0"/>
          <w:sz w:val="32"/>
          <w:szCs w:val="32"/>
          <w:highlight w:val="none"/>
          <w:shd w:val="clear" w:color="auto" w:fill="FFFFFF"/>
          <w:lang w:eastAsia="zh-CN"/>
        </w:rPr>
        <w:t>部门</w:t>
      </w:r>
      <w:r>
        <w:rPr>
          <w:rFonts w:hint="eastAsia" w:ascii="黑体" w:hAnsi="宋体" w:eastAsia="黑体" w:cs="宋体"/>
          <w:color w:val="auto"/>
          <w:kern w:val="0"/>
          <w:sz w:val="32"/>
          <w:szCs w:val="32"/>
          <w:highlight w:val="none"/>
          <w:shd w:val="clear" w:color="auto" w:fill="FFFFFF"/>
        </w:rPr>
        <w:t>资金收支情况</w:t>
      </w:r>
      <w:bookmarkEnd w:id="79"/>
    </w:p>
    <w:p>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contextualSpacing/>
        <w:jc w:val="left"/>
        <w:textAlignment w:val="auto"/>
        <w:rPr>
          <w:rFonts w:hint="eastAsia" w:ascii="楷体_GB2312" w:hAnsi="楷体_GB2312" w:eastAsia="楷体_GB2312" w:cs="楷体_GB2312"/>
          <w:b/>
          <w:bCs/>
          <w:color w:val="auto"/>
          <w:kern w:val="0"/>
          <w:sz w:val="32"/>
          <w:szCs w:val="32"/>
          <w:highlight w:val="none"/>
          <w:shd w:val="clear" w:color="auto" w:fill="FFFFFF"/>
          <w:lang w:val="zh-CN"/>
        </w:rPr>
      </w:pPr>
      <w:r>
        <w:rPr>
          <w:rFonts w:hint="eastAsia" w:ascii="楷体_GB2312" w:hAnsi="楷体_GB2312" w:eastAsia="楷体_GB2312" w:cs="楷体_GB2312"/>
          <w:b/>
          <w:bCs/>
          <w:color w:val="auto"/>
          <w:kern w:val="0"/>
          <w:sz w:val="32"/>
          <w:szCs w:val="32"/>
          <w:highlight w:val="none"/>
          <w:shd w:val="clear" w:color="auto" w:fill="FFFFFF"/>
          <w:lang w:val="zh-CN"/>
        </w:rPr>
        <w:t>（一）部门总体收支情况</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_GB2312" w:hAnsi="仿宋_GB2312" w:eastAsia="仿宋_GB2312" w:cs="仿宋_GB2312"/>
          <w:b w:val="0"/>
          <w:bCs w:val="0"/>
          <w:color w:val="auto"/>
          <w:kern w:val="0"/>
          <w:sz w:val="32"/>
          <w:szCs w:val="32"/>
          <w:highlight w:val="none"/>
          <w:shd w:val="clear" w:color="auto" w:fill="FFFFFF"/>
          <w:lang w:val="en-US" w:eastAsia="zh-CN"/>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rPr>
        <w:t>1.部门总体收入情况</w:t>
      </w:r>
    </w:p>
    <w:p>
      <w:pPr>
        <w:pStyle w:val="5"/>
        <w:spacing w:line="576" w:lineRule="exact"/>
        <w:ind w:left="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sz w:val="32"/>
          <w:szCs w:val="32"/>
          <w:shd w:val="clear" w:color="auto" w:fill="FFFFFF"/>
          <w:lang w:val="en-US"/>
        </w:rPr>
        <w:t>2022年</w:t>
      </w:r>
      <w:r>
        <w:rPr>
          <w:rFonts w:hint="eastAsia" w:hAnsi="仿宋_GB2312" w:cs="仿宋_GB2312"/>
          <w:color w:val="auto"/>
          <w:sz w:val="32"/>
          <w:szCs w:val="32"/>
          <w:shd w:val="clear" w:color="auto" w:fill="FFFFFF"/>
          <w:lang w:val="en-US" w:eastAsia="zh-CN"/>
        </w:rPr>
        <w:t>部门总体</w:t>
      </w:r>
      <w:r>
        <w:rPr>
          <w:rFonts w:hint="eastAsia" w:ascii="仿宋_GB2312" w:hAnsi="仿宋_GB2312" w:eastAsia="仿宋_GB2312" w:cs="仿宋_GB2312"/>
          <w:color w:val="auto"/>
          <w:sz w:val="32"/>
          <w:szCs w:val="32"/>
          <w:shd w:val="clear" w:color="auto" w:fill="FFFFFF"/>
          <w:lang w:val="en-US" w:eastAsia="zh-CN"/>
        </w:rPr>
        <w:t>收入473.53万元</w:t>
      </w:r>
      <w:r>
        <w:rPr>
          <w:rFonts w:hint="eastAsia" w:hAnsi="仿宋_GB2312" w:cs="仿宋_GB2312"/>
          <w:color w:val="auto"/>
          <w:sz w:val="32"/>
          <w:szCs w:val="32"/>
          <w:shd w:val="clear" w:color="auto" w:fill="FFFFFF"/>
          <w:lang w:val="en-US" w:eastAsia="zh-CN"/>
        </w:rPr>
        <w:t>，</w:t>
      </w:r>
      <w:r>
        <w:rPr>
          <w:rFonts w:hint="eastAsia" w:ascii="仿宋_GB2312" w:hAnsi="仿宋_GB2312" w:eastAsia="仿宋_GB2312" w:cs="仿宋_GB2312"/>
          <w:color w:val="auto"/>
          <w:sz w:val="32"/>
          <w:szCs w:val="32"/>
          <w:shd w:val="clear" w:color="auto" w:fill="FFFFFF"/>
          <w:lang w:val="en-US" w:eastAsia="zh-CN"/>
        </w:rPr>
        <w:t>其中社会保障和就业支出318.90万元，</w:t>
      </w:r>
      <w:r>
        <w:rPr>
          <w:rFonts w:hint="eastAsia" w:hAnsi="仿宋_GB2312" w:cs="仿宋_GB2312"/>
          <w:color w:val="auto"/>
          <w:sz w:val="32"/>
          <w:szCs w:val="32"/>
          <w:shd w:val="clear" w:color="auto" w:fill="FFFFFF"/>
          <w:lang w:val="en-US" w:eastAsia="zh-CN"/>
        </w:rPr>
        <w:t>占67.35%；</w:t>
      </w:r>
      <w:r>
        <w:rPr>
          <w:rFonts w:hint="eastAsia" w:ascii="仿宋_GB2312" w:hAnsi="仿宋_GB2312" w:eastAsia="仿宋_GB2312" w:cs="仿宋_GB2312"/>
          <w:color w:val="auto"/>
          <w:sz w:val="32"/>
          <w:szCs w:val="32"/>
          <w:shd w:val="clear" w:color="auto" w:fill="FFFFFF"/>
          <w:lang w:val="en-US" w:eastAsia="zh-CN"/>
        </w:rPr>
        <w:t>卫生健康支出135.08万元，</w:t>
      </w:r>
      <w:r>
        <w:rPr>
          <w:rFonts w:hint="eastAsia" w:hAnsi="仿宋_GB2312" w:cs="仿宋_GB2312"/>
          <w:color w:val="auto"/>
          <w:sz w:val="32"/>
          <w:szCs w:val="32"/>
          <w:shd w:val="clear" w:color="auto" w:fill="FFFFFF"/>
          <w:lang w:val="en-US" w:eastAsia="zh-CN"/>
        </w:rPr>
        <w:t>占28.53%；</w:t>
      </w:r>
      <w:r>
        <w:rPr>
          <w:rFonts w:hint="eastAsia" w:ascii="仿宋_GB2312" w:hAnsi="仿宋_GB2312" w:eastAsia="仿宋_GB2312" w:cs="仿宋_GB2312"/>
          <w:color w:val="auto"/>
          <w:sz w:val="32"/>
          <w:szCs w:val="32"/>
          <w:shd w:val="clear" w:color="auto" w:fill="FFFFFF"/>
          <w:lang w:val="en-US" w:eastAsia="zh-CN"/>
        </w:rPr>
        <w:t>住房保障支出19.55万元</w:t>
      </w:r>
      <w:r>
        <w:rPr>
          <w:rFonts w:hint="eastAsia" w:hAnsi="仿宋_GB2312" w:cs="仿宋_GB2312"/>
          <w:color w:val="auto"/>
          <w:sz w:val="32"/>
          <w:szCs w:val="32"/>
          <w:shd w:val="clear" w:color="auto" w:fill="FFFFFF"/>
          <w:lang w:val="en-US" w:eastAsia="zh-CN"/>
        </w:rPr>
        <w:t>，占4.12%</w:t>
      </w:r>
      <w:r>
        <w:rPr>
          <w:rFonts w:hint="eastAsia" w:ascii="仿宋_GB2312" w:hAnsi="仿宋_GB2312" w:eastAsia="仿宋_GB2312" w:cs="仿宋_GB2312"/>
          <w:color w:val="auto"/>
          <w:sz w:val="32"/>
          <w:szCs w:val="32"/>
          <w:shd w:val="clear" w:color="auto" w:fill="FFFFFF"/>
          <w:lang w:val="en-US" w:eastAsia="zh-CN"/>
        </w:rPr>
        <w:t>。</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_GB2312" w:hAnsi="仿宋_GB2312" w:eastAsia="仿宋_GB2312" w:cs="仿宋_GB2312"/>
          <w:b w:val="0"/>
          <w:bCs w:val="0"/>
          <w:color w:val="auto"/>
          <w:kern w:val="0"/>
          <w:sz w:val="32"/>
          <w:szCs w:val="32"/>
          <w:highlight w:val="none"/>
          <w:shd w:val="clear" w:color="auto" w:fill="FFFFFF"/>
          <w:lang w:val="en-US" w:eastAsia="zh-CN"/>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rPr>
        <w:t>2.部门总体支出情况</w:t>
      </w:r>
    </w:p>
    <w:p>
      <w:pPr>
        <w:spacing w:line="600" w:lineRule="exact"/>
        <w:ind w:firstLine="640" w:firstLineChars="200"/>
        <w:outlineLvl w:val="1"/>
        <w:rPr>
          <w:rFonts w:hint="eastAsia" w:eastAsia="仿宋_GB2312"/>
          <w:lang w:val="en-US" w:eastAsia="zh-CN"/>
        </w:rPr>
      </w:pPr>
      <w:r>
        <w:rPr>
          <w:rFonts w:hint="eastAsia" w:ascii="仿宋_GB2312" w:hAnsi="仿宋_GB2312" w:eastAsia="仿宋_GB2312" w:cs="仿宋_GB2312"/>
          <w:color w:val="auto"/>
          <w:sz w:val="32"/>
          <w:szCs w:val="32"/>
          <w:highlight w:val="none"/>
        </w:rPr>
        <w:t>20</w:t>
      </w:r>
      <w:r>
        <w:rPr>
          <w:rFonts w:hint="eastAsia" w:ascii="仿宋_GB2312" w:hAnsi="仿宋_GB2312" w:eastAsia="仿宋_GB2312" w:cs="仿宋_GB2312"/>
          <w:color w:val="auto"/>
          <w:sz w:val="32"/>
          <w:szCs w:val="32"/>
          <w:highlight w:val="none"/>
          <w:lang w:val="en-US" w:eastAsia="zh-CN"/>
        </w:rPr>
        <w:t>22</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eastAsia="zh-CN"/>
        </w:rPr>
        <w:t>部门</w:t>
      </w:r>
      <w:r>
        <w:rPr>
          <w:rFonts w:hint="eastAsia" w:ascii="仿宋_GB2312" w:hAnsi="仿宋_GB2312" w:eastAsia="仿宋_GB2312" w:cs="仿宋_GB2312"/>
          <w:color w:val="auto"/>
          <w:sz w:val="32"/>
          <w:szCs w:val="32"/>
          <w:highlight w:val="none"/>
        </w:rPr>
        <w:t>支出合计</w:t>
      </w:r>
      <w:r>
        <w:rPr>
          <w:rFonts w:hint="eastAsia" w:ascii="仿宋_GB2312" w:hAnsi="仿宋_GB2312" w:eastAsia="仿宋_GB2312" w:cs="仿宋_GB2312"/>
          <w:color w:val="auto"/>
          <w:sz w:val="32"/>
          <w:szCs w:val="32"/>
          <w:highlight w:val="none"/>
          <w:lang w:val="en-US" w:eastAsia="zh-CN"/>
        </w:rPr>
        <w:t>473.53</w:t>
      </w:r>
      <w:r>
        <w:rPr>
          <w:rFonts w:hint="eastAsia" w:ascii="仿宋_GB2312" w:hAnsi="仿宋_GB2312" w:eastAsia="仿宋_GB2312" w:cs="仿宋_GB2312"/>
          <w:color w:val="auto"/>
          <w:sz w:val="32"/>
          <w:szCs w:val="32"/>
          <w:highlight w:val="none"/>
        </w:rPr>
        <w:t>万元，其中：基本支出</w:t>
      </w:r>
      <w:r>
        <w:rPr>
          <w:rFonts w:hint="eastAsia" w:ascii="仿宋_GB2312" w:hAnsi="仿宋_GB2312" w:eastAsia="仿宋_GB2312" w:cs="仿宋_GB2312"/>
          <w:color w:val="auto"/>
          <w:sz w:val="32"/>
          <w:szCs w:val="32"/>
          <w:highlight w:val="none"/>
          <w:lang w:val="en-US" w:eastAsia="zh-CN"/>
        </w:rPr>
        <w:t>353.22</w:t>
      </w:r>
      <w:r>
        <w:rPr>
          <w:rFonts w:hint="eastAsia" w:ascii="仿宋_GB2312" w:hAnsi="仿宋_GB2312" w:eastAsia="仿宋_GB2312" w:cs="仿宋_GB2312"/>
          <w:color w:val="auto"/>
          <w:sz w:val="32"/>
          <w:szCs w:val="32"/>
          <w:highlight w:val="none"/>
        </w:rPr>
        <w:t>万元，占</w:t>
      </w:r>
      <w:r>
        <w:rPr>
          <w:rFonts w:hint="eastAsia" w:ascii="仿宋_GB2312" w:hAnsi="仿宋_GB2312" w:eastAsia="仿宋_GB2312" w:cs="仿宋_GB2312"/>
          <w:color w:val="auto"/>
          <w:sz w:val="32"/>
          <w:szCs w:val="32"/>
          <w:highlight w:val="none"/>
          <w:lang w:val="en-US" w:eastAsia="zh-CN"/>
        </w:rPr>
        <w:t>74.59</w:t>
      </w:r>
      <w:r>
        <w:rPr>
          <w:rFonts w:hint="eastAsia" w:ascii="仿宋_GB2312" w:hAnsi="仿宋_GB2312" w:eastAsia="仿宋_GB2312" w:cs="仿宋_GB2312"/>
          <w:color w:val="auto"/>
          <w:sz w:val="32"/>
          <w:szCs w:val="32"/>
          <w:highlight w:val="none"/>
        </w:rPr>
        <w:t>%；项目支出</w:t>
      </w:r>
      <w:r>
        <w:rPr>
          <w:rFonts w:hint="eastAsia" w:ascii="仿宋_GB2312" w:hAnsi="仿宋_GB2312" w:eastAsia="仿宋_GB2312" w:cs="仿宋_GB2312"/>
          <w:color w:val="auto"/>
          <w:sz w:val="32"/>
          <w:szCs w:val="32"/>
          <w:highlight w:val="none"/>
          <w:lang w:val="en-US" w:eastAsia="zh-CN"/>
        </w:rPr>
        <w:t>120.31</w:t>
      </w:r>
      <w:r>
        <w:rPr>
          <w:rFonts w:hint="eastAsia" w:ascii="仿宋_GB2312" w:hAnsi="仿宋_GB2312" w:eastAsia="仿宋_GB2312" w:cs="仿宋_GB2312"/>
          <w:color w:val="auto"/>
          <w:sz w:val="32"/>
          <w:szCs w:val="32"/>
          <w:highlight w:val="none"/>
        </w:rPr>
        <w:t>万元，占</w:t>
      </w:r>
      <w:r>
        <w:rPr>
          <w:rFonts w:hint="eastAsia" w:ascii="仿宋_GB2312" w:hAnsi="仿宋_GB2312" w:eastAsia="仿宋_GB2312" w:cs="仿宋_GB2312"/>
          <w:color w:val="auto"/>
          <w:sz w:val="32"/>
          <w:szCs w:val="32"/>
          <w:highlight w:val="none"/>
          <w:lang w:val="en-US" w:eastAsia="zh-CN"/>
        </w:rPr>
        <w:t>25.41</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_GB2312" w:hAnsi="仿宋_GB2312" w:eastAsia="仿宋_GB2312" w:cs="仿宋_GB2312"/>
          <w:b w:val="0"/>
          <w:bCs w:val="0"/>
          <w:color w:val="auto"/>
          <w:kern w:val="0"/>
          <w:sz w:val="32"/>
          <w:szCs w:val="32"/>
          <w:highlight w:val="none"/>
          <w:shd w:val="clear" w:color="auto" w:fill="FFFFFF"/>
          <w:lang w:val="en-US" w:eastAsia="zh-CN"/>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rPr>
        <w:t>3.部门总体结转结余情况</w:t>
      </w:r>
    </w:p>
    <w:p>
      <w:pPr>
        <w:pStyle w:val="5"/>
        <w:numPr>
          <w:ilvl w:val="0"/>
          <w:numId w:val="0"/>
        </w:numPr>
        <w:ind w:leftChars="200" w:firstLine="300" w:firstLineChars="100"/>
        <w:rPr>
          <w:rFonts w:hint="default"/>
          <w:lang w:val="en-US" w:eastAsia="zh-CN"/>
        </w:rPr>
      </w:pPr>
      <w:r>
        <w:rPr>
          <w:rFonts w:hint="eastAsia"/>
          <w:lang w:val="en-US" w:eastAsia="zh-CN"/>
        </w:rPr>
        <w:t>年末部门总体结转和结余0万元。</w:t>
      </w:r>
    </w:p>
    <w:p>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contextualSpacing/>
        <w:jc w:val="left"/>
        <w:textAlignment w:val="auto"/>
        <w:rPr>
          <w:rFonts w:hint="eastAsia" w:ascii="楷体_GB2312" w:hAnsi="楷体_GB2312" w:eastAsia="楷体_GB2312" w:cs="楷体_GB2312"/>
          <w:b/>
          <w:bCs/>
          <w:color w:val="auto"/>
          <w:kern w:val="0"/>
          <w:sz w:val="32"/>
          <w:szCs w:val="32"/>
          <w:highlight w:val="none"/>
          <w:shd w:val="clear" w:color="auto" w:fill="FFFFFF"/>
          <w:lang w:val="zh-CN"/>
        </w:rPr>
      </w:pPr>
      <w:r>
        <w:rPr>
          <w:rFonts w:hint="eastAsia" w:ascii="楷体_GB2312" w:hAnsi="楷体_GB2312" w:eastAsia="楷体_GB2312" w:cs="楷体_GB2312"/>
          <w:b/>
          <w:bCs/>
          <w:color w:val="auto"/>
          <w:kern w:val="0"/>
          <w:sz w:val="32"/>
          <w:szCs w:val="32"/>
          <w:highlight w:val="none"/>
          <w:shd w:val="clear" w:color="auto" w:fill="FFFFFF"/>
          <w:lang w:val="zh-CN"/>
        </w:rPr>
        <w:t>（二）部门财政拨款收支情况</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_GB2312" w:hAnsi="仿宋_GB2312" w:eastAsia="仿宋_GB2312" w:cs="仿宋_GB2312"/>
          <w:b w:val="0"/>
          <w:bCs w:val="0"/>
          <w:color w:val="auto"/>
          <w:kern w:val="0"/>
          <w:sz w:val="32"/>
          <w:szCs w:val="32"/>
          <w:highlight w:val="none"/>
          <w:shd w:val="clear" w:color="auto" w:fill="FFFFFF"/>
          <w:lang w:val="en-US" w:eastAsia="zh-CN"/>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rPr>
        <w:t>1.部门财政拨款收入情况</w:t>
      </w:r>
    </w:p>
    <w:p>
      <w:pPr>
        <w:pStyle w:val="5"/>
        <w:spacing w:line="576" w:lineRule="exact"/>
        <w:ind w:left="0" w:firstLine="640" w:firstLineChars="200"/>
        <w:rPr>
          <w:rFonts w:hint="eastAsia"/>
          <w:lang w:val="en-US" w:eastAsia="zh-CN"/>
        </w:rPr>
      </w:pPr>
      <w:r>
        <w:rPr>
          <w:rFonts w:hint="eastAsia" w:ascii="仿宋_GB2312" w:hAnsi="仿宋_GB2312" w:eastAsia="仿宋_GB2312" w:cs="仿宋_GB2312"/>
          <w:color w:val="auto"/>
          <w:sz w:val="32"/>
          <w:szCs w:val="32"/>
          <w:shd w:val="clear" w:color="auto" w:fill="FFFFFF"/>
          <w:lang w:val="en-US"/>
        </w:rPr>
        <w:t>2022年</w:t>
      </w:r>
      <w:r>
        <w:rPr>
          <w:rFonts w:hint="eastAsia" w:ascii="仿宋_GB2312" w:hAnsi="仿宋_GB2312" w:eastAsia="仿宋_GB2312" w:cs="仿宋_GB2312"/>
          <w:color w:val="auto"/>
          <w:sz w:val="32"/>
          <w:szCs w:val="32"/>
          <w:shd w:val="clear" w:color="auto" w:fill="FFFFFF"/>
          <w:lang w:val="en-US" w:eastAsia="zh-CN"/>
        </w:rPr>
        <w:t>一般公共预算财政拨款收入473.53万元，其中社会保障和就业支出318.90万元，</w:t>
      </w:r>
      <w:r>
        <w:rPr>
          <w:rFonts w:hint="eastAsia" w:hAnsi="仿宋_GB2312" w:cs="仿宋_GB2312"/>
          <w:color w:val="auto"/>
          <w:sz w:val="32"/>
          <w:szCs w:val="32"/>
          <w:shd w:val="clear" w:color="auto" w:fill="FFFFFF"/>
          <w:lang w:val="en-US" w:eastAsia="zh-CN"/>
        </w:rPr>
        <w:t>占67.35%；</w:t>
      </w:r>
      <w:r>
        <w:rPr>
          <w:rFonts w:hint="eastAsia" w:ascii="仿宋_GB2312" w:hAnsi="仿宋_GB2312" w:eastAsia="仿宋_GB2312" w:cs="仿宋_GB2312"/>
          <w:color w:val="auto"/>
          <w:sz w:val="32"/>
          <w:szCs w:val="32"/>
          <w:shd w:val="clear" w:color="auto" w:fill="FFFFFF"/>
          <w:lang w:val="en-US" w:eastAsia="zh-CN"/>
        </w:rPr>
        <w:t>卫生健康支出135.08万元，</w:t>
      </w:r>
      <w:r>
        <w:rPr>
          <w:rFonts w:hint="eastAsia" w:hAnsi="仿宋_GB2312" w:cs="仿宋_GB2312"/>
          <w:color w:val="auto"/>
          <w:sz w:val="32"/>
          <w:szCs w:val="32"/>
          <w:shd w:val="clear" w:color="auto" w:fill="FFFFFF"/>
          <w:lang w:val="en-US" w:eastAsia="zh-CN"/>
        </w:rPr>
        <w:t>占28.53%；</w:t>
      </w:r>
      <w:r>
        <w:rPr>
          <w:rFonts w:hint="eastAsia" w:ascii="仿宋_GB2312" w:hAnsi="仿宋_GB2312" w:eastAsia="仿宋_GB2312" w:cs="仿宋_GB2312"/>
          <w:color w:val="auto"/>
          <w:sz w:val="32"/>
          <w:szCs w:val="32"/>
          <w:shd w:val="clear" w:color="auto" w:fill="FFFFFF"/>
          <w:lang w:val="en-US" w:eastAsia="zh-CN"/>
        </w:rPr>
        <w:t>住房保障支出19.55万元</w:t>
      </w:r>
      <w:r>
        <w:rPr>
          <w:rFonts w:hint="eastAsia" w:hAnsi="仿宋_GB2312" w:cs="仿宋_GB2312"/>
          <w:color w:val="auto"/>
          <w:sz w:val="32"/>
          <w:szCs w:val="32"/>
          <w:shd w:val="clear" w:color="auto" w:fill="FFFFFF"/>
          <w:lang w:val="en-US" w:eastAsia="zh-CN"/>
        </w:rPr>
        <w:t>，占4.12%</w:t>
      </w:r>
      <w:r>
        <w:rPr>
          <w:rFonts w:hint="eastAsia" w:ascii="仿宋_GB2312" w:hAnsi="仿宋_GB2312" w:eastAsia="仿宋_GB2312" w:cs="仿宋_GB2312"/>
          <w:color w:val="auto"/>
          <w:sz w:val="32"/>
          <w:szCs w:val="32"/>
          <w:shd w:val="clear" w:color="auto" w:fill="FFFFFF"/>
          <w:lang w:val="en-US" w:eastAsia="zh-CN"/>
        </w:rPr>
        <w:t>。</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_GB2312" w:hAnsi="仿宋_GB2312" w:eastAsia="仿宋_GB2312" w:cs="仿宋_GB2312"/>
          <w:b w:val="0"/>
          <w:bCs w:val="0"/>
          <w:color w:val="auto"/>
          <w:kern w:val="0"/>
          <w:sz w:val="32"/>
          <w:szCs w:val="32"/>
          <w:highlight w:val="none"/>
          <w:shd w:val="clear" w:color="auto" w:fill="FFFFFF"/>
          <w:lang w:val="en-US" w:eastAsia="zh-CN"/>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rPr>
        <w:t>2.部门财政拨款支出情况</w:t>
      </w:r>
    </w:p>
    <w:p>
      <w:pPr>
        <w:spacing w:line="600" w:lineRule="exact"/>
        <w:ind w:firstLine="640" w:firstLineChars="200"/>
        <w:outlineLvl w:val="1"/>
        <w:rPr>
          <w:rFonts w:hint="eastAsia"/>
          <w:lang w:val="en-US" w:eastAsia="zh-CN"/>
        </w:rPr>
      </w:pPr>
      <w:r>
        <w:rPr>
          <w:rFonts w:hint="eastAsia" w:ascii="仿宋_GB2312" w:hAnsi="仿宋_GB2312" w:eastAsia="仿宋_GB2312" w:cs="仿宋_GB2312"/>
          <w:color w:val="auto"/>
          <w:sz w:val="32"/>
          <w:szCs w:val="32"/>
          <w:highlight w:val="none"/>
        </w:rPr>
        <w:t>20</w:t>
      </w:r>
      <w:r>
        <w:rPr>
          <w:rFonts w:hint="eastAsia" w:ascii="仿宋_GB2312" w:hAnsi="仿宋_GB2312" w:eastAsia="仿宋_GB2312" w:cs="仿宋_GB2312"/>
          <w:color w:val="auto"/>
          <w:sz w:val="32"/>
          <w:szCs w:val="32"/>
          <w:highlight w:val="none"/>
          <w:lang w:val="en-US" w:eastAsia="zh-CN"/>
        </w:rPr>
        <w:t>22</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eastAsia="zh-CN"/>
        </w:rPr>
        <w:t>部门财政拨款</w:t>
      </w:r>
      <w:r>
        <w:rPr>
          <w:rFonts w:hint="eastAsia" w:ascii="仿宋_GB2312" w:hAnsi="仿宋_GB2312" w:eastAsia="仿宋_GB2312" w:cs="仿宋_GB2312"/>
          <w:color w:val="auto"/>
          <w:sz w:val="32"/>
          <w:szCs w:val="32"/>
          <w:highlight w:val="none"/>
        </w:rPr>
        <w:t>支出合计</w:t>
      </w:r>
      <w:r>
        <w:rPr>
          <w:rFonts w:hint="eastAsia" w:ascii="仿宋_GB2312" w:hAnsi="仿宋_GB2312" w:eastAsia="仿宋_GB2312" w:cs="仿宋_GB2312"/>
          <w:color w:val="auto"/>
          <w:sz w:val="32"/>
          <w:szCs w:val="32"/>
          <w:highlight w:val="none"/>
          <w:lang w:val="en-US" w:eastAsia="zh-CN"/>
        </w:rPr>
        <w:t>473.53</w:t>
      </w:r>
      <w:r>
        <w:rPr>
          <w:rFonts w:hint="eastAsia" w:ascii="仿宋_GB2312" w:hAnsi="仿宋_GB2312" w:eastAsia="仿宋_GB2312" w:cs="仿宋_GB2312"/>
          <w:color w:val="auto"/>
          <w:sz w:val="32"/>
          <w:szCs w:val="32"/>
          <w:highlight w:val="none"/>
        </w:rPr>
        <w:t>万元，其中：基本支出</w:t>
      </w:r>
      <w:r>
        <w:rPr>
          <w:rFonts w:hint="eastAsia" w:ascii="仿宋_GB2312" w:hAnsi="仿宋_GB2312" w:eastAsia="仿宋_GB2312" w:cs="仿宋_GB2312"/>
          <w:color w:val="auto"/>
          <w:sz w:val="32"/>
          <w:szCs w:val="32"/>
          <w:highlight w:val="none"/>
          <w:lang w:val="en-US" w:eastAsia="zh-CN"/>
        </w:rPr>
        <w:t>353.22</w:t>
      </w:r>
      <w:r>
        <w:rPr>
          <w:rFonts w:hint="eastAsia" w:ascii="仿宋_GB2312" w:hAnsi="仿宋_GB2312" w:eastAsia="仿宋_GB2312" w:cs="仿宋_GB2312"/>
          <w:color w:val="auto"/>
          <w:sz w:val="32"/>
          <w:szCs w:val="32"/>
          <w:highlight w:val="none"/>
        </w:rPr>
        <w:t>万元，占</w:t>
      </w:r>
      <w:r>
        <w:rPr>
          <w:rFonts w:hint="eastAsia" w:ascii="仿宋_GB2312" w:hAnsi="仿宋_GB2312" w:eastAsia="仿宋_GB2312" w:cs="仿宋_GB2312"/>
          <w:color w:val="auto"/>
          <w:sz w:val="32"/>
          <w:szCs w:val="32"/>
          <w:highlight w:val="none"/>
          <w:lang w:val="en-US" w:eastAsia="zh-CN"/>
        </w:rPr>
        <w:t>74.59</w:t>
      </w:r>
      <w:r>
        <w:rPr>
          <w:rFonts w:hint="eastAsia" w:ascii="仿宋_GB2312" w:hAnsi="仿宋_GB2312" w:eastAsia="仿宋_GB2312" w:cs="仿宋_GB2312"/>
          <w:color w:val="auto"/>
          <w:sz w:val="32"/>
          <w:szCs w:val="32"/>
          <w:highlight w:val="none"/>
        </w:rPr>
        <w:t>%；项目支出</w:t>
      </w:r>
      <w:r>
        <w:rPr>
          <w:rFonts w:hint="eastAsia" w:ascii="仿宋_GB2312" w:hAnsi="仿宋_GB2312" w:eastAsia="仿宋_GB2312" w:cs="仿宋_GB2312"/>
          <w:color w:val="auto"/>
          <w:sz w:val="32"/>
          <w:szCs w:val="32"/>
          <w:highlight w:val="none"/>
          <w:lang w:val="en-US" w:eastAsia="zh-CN"/>
        </w:rPr>
        <w:t>120.31</w:t>
      </w:r>
      <w:r>
        <w:rPr>
          <w:rFonts w:hint="eastAsia" w:ascii="仿宋_GB2312" w:hAnsi="仿宋_GB2312" w:eastAsia="仿宋_GB2312" w:cs="仿宋_GB2312"/>
          <w:color w:val="auto"/>
          <w:sz w:val="32"/>
          <w:szCs w:val="32"/>
          <w:highlight w:val="none"/>
        </w:rPr>
        <w:t>万元，占</w:t>
      </w:r>
      <w:r>
        <w:rPr>
          <w:rFonts w:hint="eastAsia" w:ascii="仿宋_GB2312" w:hAnsi="仿宋_GB2312" w:eastAsia="仿宋_GB2312" w:cs="仿宋_GB2312"/>
          <w:color w:val="auto"/>
          <w:sz w:val="32"/>
          <w:szCs w:val="32"/>
          <w:highlight w:val="none"/>
          <w:lang w:val="en-US" w:eastAsia="zh-CN"/>
        </w:rPr>
        <w:t>25.41</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_GB2312" w:hAnsi="仿宋_GB2312" w:eastAsia="仿宋_GB2312" w:cs="仿宋_GB2312"/>
          <w:b w:val="0"/>
          <w:bCs w:val="0"/>
          <w:color w:val="auto"/>
          <w:kern w:val="0"/>
          <w:sz w:val="32"/>
          <w:szCs w:val="32"/>
          <w:highlight w:val="none"/>
          <w:shd w:val="clear" w:color="auto" w:fill="FFFFFF"/>
          <w:lang w:val="en-US" w:eastAsia="zh-CN"/>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rPr>
        <w:t>3.部门财政拨款结转结余情况</w:t>
      </w:r>
    </w:p>
    <w:p>
      <w:pPr>
        <w:pStyle w:val="5"/>
        <w:numPr>
          <w:ilvl w:val="0"/>
          <w:numId w:val="0"/>
        </w:numPr>
        <w:rPr>
          <w:rFonts w:hint="default"/>
          <w:lang w:val="en-US" w:eastAsia="zh-CN"/>
        </w:rPr>
      </w:pPr>
      <w:r>
        <w:rPr>
          <w:rFonts w:hint="eastAsia"/>
          <w:lang w:val="en-US" w:eastAsia="zh-CN"/>
        </w:rPr>
        <w:t xml:space="preserve">   年末部门财政拨款结转和结余0万元。</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ascii="黑体" w:hAnsi="宋体" w:eastAsia="黑体" w:cs="宋体"/>
          <w:color w:val="auto"/>
          <w:kern w:val="0"/>
          <w:sz w:val="32"/>
          <w:szCs w:val="32"/>
          <w:highlight w:val="none"/>
          <w:shd w:val="clear" w:color="auto" w:fill="FFFFFF"/>
        </w:rPr>
      </w:pPr>
      <w:r>
        <w:rPr>
          <w:rFonts w:hint="eastAsia" w:ascii="黑体" w:hAnsi="宋体" w:eastAsia="黑体" w:cs="宋体"/>
          <w:color w:val="auto"/>
          <w:kern w:val="0"/>
          <w:sz w:val="32"/>
          <w:szCs w:val="32"/>
          <w:highlight w:val="none"/>
          <w:shd w:val="clear" w:color="auto" w:fill="FFFFFF"/>
        </w:rPr>
        <w:t>三、</w:t>
      </w:r>
      <w:r>
        <w:rPr>
          <w:rFonts w:hint="eastAsia" w:ascii="黑体" w:hAnsi="宋体" w:eastAsia="黑体" w:cs="宋体"/>
          <w:color w:val="auto"/>
          <w:kern w:val="0"/>
          <w:sz w:val="32"/>
          <w:szCs w:val="32"/>
          <w:highlight w:val="none"/>
          <w:u w:val="none"/>
          <w:shd w:val="clear" w:color="auto" w:fill="FFFFFF"/>
        </w:rPr>
        <w:t>部门整体绩效</w:t>
      </w:r>
      <w:r>
        <w:rPr>
          <w:rFonts w:hint="eastAsia" w:ascii="黑体" w:hAnsi="宋体" w:eastAsia="黑体" w:cs="宋体"/>
          <w:color w:val="auto"/>
          <w:kern w:val="0"/>
          <w:sz w:val="32"/>
          <w:szCs w:val="32"/>
          <w:highlight w:val="none"/>
          <w:u w:val="none"/>
          <w:shd w:val="clear" w:color="auto" w:fill="FFFFFF"/>
          <w:lang w:eastAsia="zh-CN"/>
        </w:rPr>
        <w:t>分析</w:t>
      </w:r>
    </w:p>
    <w:p>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contextualSpacing/>
        <w:jc w:val="left"/>
        <w:textAlignment w:val="auto"/>
        <w:rPr>
          <w:rFonts w:hint="eastAsia" w:ascii="仿宋_GB2312" w:hAnsi="仿宋_GB2312" w:eastAsia="仿宋_GB2312" w:cs="仿宋_GB2312"/>
          <w:b w:val="0"/>
          <w:bCs w:val="0"/>
          <w:color w:val="auto"/>
          <w:kern w:val="0"/>
          <w:sz w:val="32"/>
          <w:szCs w:val="32"/>
          <w:highlight w:val="none"/>
          <w:shd w:val="clear" w:color="auto" w:fill="FFFFFF"/>
          <w:lang w:val="zh-CN" w:eastAsia="zh-CN"/>
        </w:rPr>
      </w:pPr>
      <w:r>
        <w:rPr>
          <w:rFonts w:hint="eastAsia" w:ascii="楷体_GB2312" w:hAnsi="楷体_GB2312" w:eastAsia="楷体_GB2312" w:cs="楷体_GB2312"/>
          <w:b/>
          <w:bCs/>
          <w:color w:val="auto"/>
          <w:kern w:val="0"/>
          <w:sz w:val="32"/>
          <w:szCs w:val="32"/>
          <w:highlight w:val="none"/>
          <w:shd w:val="clear" w:color="auto" w:fill="FFFFFF"/>
          <w:lang w:val="zh-CN"/>
        </w:rPr>
        <w:t>（一）部门预算项目绩效分析</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_GB2312" w:hAnsi="仿宋_GB2312" w:eastAsia="仿宋_GB2312" w:cs="仿宋_GB2312"/>
          <w:b w:val="0"/>
          <w:bCs w:val="0"/>
          <w:color w:val="auto"/>
          <w:kern w:val="0"/>
          <w:sz w:val="32"/>
          <w:szCs w:val="32"/>
          <w:highlight w:val="none"/>
          <w:shd w:val="clear" w:color="auto" w:fill="FFFFFF"/>
          <w:lang w:val="en-US" w:eastAsia="zh-CN"/>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rPr>
        <w:t>1.人员类项目绩效分析</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_GB2312" w:hAnsi="仿宋_GB2312" w:eastAsia="仿宋_GB2312" w:cs="仿宋_GB2312"/>
          <w:b w:val="0"/>
          <w:bCs w:val="0"/>
          <w:color w:val="auto"/>
          <w:kern w:val="0"/>
          <w:sz w:val="32"/>
          <w:szCs w:val="32"/>
          <w:highlight w:val="none"/>
          <w:shd w:val="clear" w:color="auto" w:fill="FFFFFF"/>
          <w:lang w:val="zh-CN" w:eastAsia="zh-CN"/>
        </w:rPr>
      </w:pPr>
      <w:r>
        <w:rPr>
          <w:rFonts w:hint="eastAsia" w:ascii="仿宋_GB2312" w:hAnsi="仿宋_GB2312" w:eastAsia="仿宋_GB2312" w:cs="仿宋_GB2312"/>
          <w:b w:val="0"/>
          <w:bCs w:val="0"/>
          <w:color w:val="auto"/>
          <w:kern w:val="0"/>
          <w:sz w:val="32"/>
          <w:szCs w:val="32"/>
          <w:highlight w:val="none"/>
          <w:shd w:val="clear" w:color="auto" w:fill="FFFFFF"/>
          <w:lang w:val="zh-CN" w:eastAsia="zh-CN"/>
        </w:rPr>
        <w:t>（</w:t>
      </w:r>
      <w:r>
        <w:rPr>
          <w:rFonts w:hint="eastAsia" w:ascii="仿宋_GB2312" w:hAnsi="仿宋_GB2312" w:eastAsia="仿宋_GB2312" w:cs="仿宋_GB2312"/>
          <w:b w:val="0"/>
          <w:bCs w:val="0"/>
          <w:color w:val="auto"/>
          <w:kern w:val="0"/>
          <w:sz w:val="32"/>
          <w:szCs w:val="32"/>
          <w:highlight w:val="none"/>
          <w:shd w:val="clear" w:color="auto" w:fill="FFFFFF"/>
          <w:lang w:val="en-US" w:eastAsia="zh-CN"/>
        </w:rPr>
        <w:t>1</w:t>
      </w:r>
      <w:r>
        <w:rPr>
          <w:rFonts w:hint="eastAsia" w:ascii="仿宋_GB2312" w:hAnsi="仿宋_GB2312" w:eastAsia="仿宋_GB2312" w:cs="仿宋_GB2312"/>
          <w:b w:val="0"/>
          <w:bCs w:val="0"/>
          <w:color w:val="auto"/>
          <w:kern w:val="0"/>
          <w:sz w:val="32"/>
          <w:szCs w:val="32"/>
          <w:highlight w:val="none"/>
          <w:shd w:val="clear" w:color="auto" w:fill="FFFFFF"/>
          <w:lang w:val="zh-CN" w:eastAsia="zh-CN"/>
        </w:rPr>
        <w:t>）部门绩效目标制定</w:t>
      </w:r>
    </w:p>
    <w:p>
      <w:pPr>
        <w:widowControl w:val="0"/>
        <w:kinsoku/>
        <w:autoSpaceDE/>
        <w:autoSpaceDN/>
        <w:adjustRightInd/>
        <w:snapToGrid/>
        <w:spacing w:line="576" w:lineRule="exact"/>
        <w:ind w:firstLine="640" w:firstLineChars="200"/>
        <w:jc w:val="both"/>
        <w:textAlignment w:val="auto"/>
        <w:rPr>
          <w:rFonts w:hint="default" w:eastAsia="仿宋_GB2312"/>
          <w:lang w:val="en-US" w:eastAsia="zh-CN"/>
        </w:rPr>
      </w:pPr>
      <w:r>
        <w:rPr>
          <w:rFonts w:hint="eastAsia" w:ascii="Times New Roman" w:hAnsi="Times New Roman" w:eastAsia="仿宋_GB2312" w:cs="Times New Roman"/>
          <w:color w:val="auto"/>
          <w:sz w:val="32"/>
          <w:szCs w:val="32"/>
          <w:shd w:val="clear" w:color="auto" w:fill="FFFFFF"/>
        </w:rPr>
        <w:t>按规定设置</w:t>
      </w:r>
      <w:r>
        <w:rPr>
          <w:rFonts w:hint="eastAsia" w:ascii="Times New Roman" w:hAnsi="Times New Roman" w:eastAsia="仿宋_GB2312" w:cs="Times New Roman"/>
          <w:color w:val="auto"/>
          <w:sz w:val="32"/>
          <w:szCs w:val="32"/>
          <w:shd w:val="clear" w:color="auto" w:fill="FFFFFF"/>
          <w:lang w:eastAsia="zh-CN"/>
        </w:rPr>
        <w:t>人员类项目</w:t>
      </w:r>
      <w:r>
        <w:rPr>
          <w:rFonts w:hint="eastAsia" w:ascii="Times New Roman" w:hAnsi="Times New Roman" w:eastAsia="仿宋_GB2312" w:cs="Times New Roman"/>
          <w:color w:val="auto"/>
          <w:sz w:val="32"/>
          <w:szCs w:val="32"/>
          <w:shd w:val="clear" w:color="auto" w:fill="FFFFFF"/>
        </w:rPr>
        <w:t>绩效目标，绩效目标编制要素完整，</w:t>
      </w:r>
      <w:r>
        <w:rPr>
          <w:rFonts w:hint="eastAsia" w:ascii="Times New Roman" w:hAnsi="Times New Roman" w:eastAsia="仿宋_GB2312" w:cs="Times New Roman"/>
          <w:color w:val="auto"/>
          <w:sz w:val="32"/>
          <w:szCs w:val="32"/>
          <w:shd w:val="clear" w:color="auto" w:fill="FFFFFF"/>
          <w:lang w:eastAsia="zh-CN"/>
        </w:rPr>
        <w:t>设立产出指标、成本指标、效益指标、满意度指标，</w:t>
      </w:r>
      <w:r>
        <w:rPr>
          <w:rFonts w:hint="eastAsia" w:ascii="Times New Roman" w:hAnsi="Times New Roman" w:eastAsia="仿宋_GB2312" w:cs="Times New Roman"/>
          <w:color w:val="auto"/>
          <w:sz w:val="32"/>
          <w:szCs w:val="32"/>
          <w:shd w:val="clear" w:color="auto" w:fill="FFFFFF"/>
        </w:rPr>
        <w:t>覆盖三级指标，且绩效指标可细化、可量化</w:t>
      </w:r>
      <w:r>
        <w:rPr>
          <w:rFonts w:hint="eastAsia" w:ascii="Times New Roman" w:hAnsi="Times New Roman" w:eastAsia="仿宋_GB2312" w:cs="Times New Roman"/>
          <w:color w:val="auto"/>
          <w:sz w:val="32"/>
          <w:szCs w:val="32"/>
          <w:shd w:val="clear" w:color="auto" w:fill="FFFFFF"/>
          <w:lang w:eastAsia="zh-CN"/>
        </w:rPr>
        <w:t>，着力保障</w:t>
      </w:r>
      <w:r>
        <w:rPr>
          <w:rFonts w:hint="eastAsia" w:ascii="Times New Roman" w:hAnsi="Times New Roman" w:eastAsia="仿宋_GB2312" w:cs="Times New Roman"/>
          <w:color w:val="auto"/>
          <w:sz w:val="32"/>
          <w:szCs w:val="32"/>
          <w:shd w:val="clear" w:color="auto" w:fill="FFFFFF"/>
          <w:lang w:val="en-US" w:eastAsia="zh-CN"/>
        </w:rPr>
        <w:t>18名在职干部全年工资、保险待遇发放和保运转日常工作经费开支。</w:t>
      </w:r>
    </w:p>
    <w:p>
      <w:pPr>
        <w:keepNext w:val="0"/>
        <w:keepLines w:val="0"/>
        <w:pageBreakBefore w:val="0"/>
        <w:widowControl/>
        <w:numPr>
          <w:ilvl w:val="0"/>
          <w:numId w:val="5"/>
        </w:numPr>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_GB2312" w:hAnsi="仿宋_GB2312" w:eastAsia="仿宋_GB2312" w:cs="仿宋_GB2312"/>
          <w:b w:val="0"/>
          <w:bCs w:val="0"/>
          <w:color w:val="auto"/>
          <w:kern w:val="0"/>
          <w:sz w:val="32"/>
          <w:szCs w:val="32"/>
          <w:highlight w:val="none"/>
          <w:shd w:val="clear" w:color="auto" w:fill="FFFFFF"/>
          <w:lang w:val="zh-CN" w:eastAsia="zh-CN"/>
        </w:rPr>
      </w:pPr>
      <w:r>
        <w:rPr>
          <w:rFonts w:hint="eastAsia" w:ascii="仿宋_GB2312" w:hAnsi="仿宋_GB2312" w:eastAsia="仿宋_GB2312" w:cs="仿宋_GB2312"/>
          <w:b w:val="0"/>
          <w:bCs w:val="0"/>
          <w:color w:val="auto"/>
          <w:kern w:val="0"/>
          <w:sz w:val="32"/>
          <w:szCs w:val="32"/>
          <w:highlight w:val="none"/>
          <w:shd w:val="clear" w:color="auto" w:fill="FFFFFF"/>
          <w:lang w:val="zh-CN" w:eastAsia="zh-CN"/>
        </w:rPr>
        <w:t>目标实现</w:t>
      </w:r>
    </w:p>
    <w:p>
      <w:pPr>
        <w:pStyle w:val="5"/>
        <w:numPr>
          <w:ilvl w:val="0"/>
          <w:numId w:val="0"/>
        </w:numPr>
        <w:rPr>
          <w:rFonts w:hint="default"/>
          <w:lang w:val="en-US" w:eastAsia="zh-CN"/>
        </w:rPr>
      </w:pPr>
      <w:r>
        <w:rPr>
          <w:rFonts w:hint="eastAsia"/>
          <w:lang w:val="en-US" w:eastAsia="zh-CN"/>
        </w:rPr>
        <w:t xml:space="preserve">    </w:t>
      </w:r>
      <w:r>
        <w:rPr>
          <w:rFonts w:hint="eastAsia" w:ascii="Times New Roman" w:hAnsi="Times New Roman" w:eastAsia="仿宋_GB2312" w:cs="Times New Roman"/>
          <w:color w:val="auto"/>
          <w:sz w:val="32"/>
          <w:szCs w:val="32"/>
          <w:shd w:val="clear" w:color="auto" w:fill="FFFFFF"/>
        </w:rPr>
        <w:t>以</w:t>
      </w:r>
      <w:r>
        <w:rPr>
          <w:rFonts w:hint="eastAsia" w:ascii="Times New Roman" w:hAnsi="Times New Roman" w:cs="Times New Roman"/>
          <w:color w:val="auto"/>
          <w:sz w:val="32"/>
          <w:szCs w:val="32"/>
          <w:shd w:val="clear" w:color="auto" w:fill="FFFFFF"/>
          <w:lang w:eastAsia="zh-CN"/>
        </w:rPr>
        <w:t>人员类</w:t>
      </w:r>
      <w:r>
        <w:rPr>
          <w:rFonts w:hint="eastAsia" w:ascii="Times New Roman" w:hAnsi="Times New Roman" w:eastAsia="仿宋_GB2312" w:cs="Times New Roman"/>
          <w:color w:val="auto"/>
          <w:sz w:val="32"/>
          <w:szCs w:val="32"/>
          <w:shd w:val="clear" w:color="auto" w:fill="FFFFFF"/>
        </w:rPr>
        <w:t>项目完成数量为核心，</w:t>
      </w:r>
      <w:r>
        <w:rPr>
          <w:rFonts w:hint="eastAsia" w:ascii="Times New Roman" w:hAnsi="Times New Roman" w:cs="Times New Roman"/>
          <w:color w:val="auto"/>
          <w:sz w:val="32"/>
          <w:szCs w:val="32"/>
          <w:shd w:val="clear" w:color="auto" w:fill="FFFFFF"/>
          <w:lang w:eastAsia="zh-CN"/>
        </w:rPr>
        <w:t>人员类</w:t>
      </w:r>
      <w:r>
        <w:rPr>
          <w:rFonts w:hint="eastAsia" w:ascii="Times New Roman" w:hAnsi="Times New Roman" w:eastAsia="仿宋_GB2312" w:cs="Times New Roman"/>
          <w:color w:val="auto"/>
          <w:sz w:val="32"/>
          <w:szCs w:val="32"/>
          <w:shd w:val="clear" w:color="auto" w:fill="FFFFFF"/>
        </w:rPr>
        <w:t>项目实际完成情况与预期绩效目标基本相符</w:t>
      </w:r>
      <w:r>
        <w:rPr>
          <w:rFonts w:hint="eastAsia" w:ascii="Times New Roman" w:hAnsi="Times New Roman" w:cs="Times New Roman"/>
          <w:color w:val="auto"/>
          <w:sz w:val="32"/>
          <w:szCs w:val="32"/>
          <w:shd w:val="clear" w:color="auto" w:fill="FFFFFF"/>
          <w:lang w:eastAsia="zh-CN"/>
        </w:rPr>
        <w:t>，</w:t>
      </w:r>
      <w:r>
        <w:rPr>
          <w:rFonts w:hint="eastAsia"/>
          <w:lang w:val="en-US" w:eastAsia="zh-CN"/>
        </w:rPr>
        <w:t>及时兑付保运转日常工作经费和单位在职人员工资、保险。</w:t>
      </w:r>
    </w:p>
    <w:p>
      <w:pPr>
        <w:keepNext w:val="0"/>
        <w:keepLines w:val="0"/>
        <w:pageBreakBefore w:val="0"/>
        <w:widowControl/>
        <w:numPr>
          <w:ilvl w:val="0"/>
          <w:numId w:val="5"/>
        </w:numPr>
        <w:kinsoku/>
        <w:wordWrap/>
        <w:overflowPunct/>
        <w:topLinePunct w:val="0"/>
        <w:autoSpaceDE/>
        <w:autoSpaceDN/>
        <w:bidi w:val="0"/>
        <w:adjustRightInd w:val="0"/>
        <w:snapToGrid w:val="0"/>
        <w:spacing w:line="560" w:lineRule="exact"/>
        <w:ind w:left="0" w:leftChars="0" w:firstLine="640" w:firstLineChars="200"/>
        <w:contextualSpacing/>
        <w:jc w:val="left"/>
        <w:textAlignment w:val="auto"/>
        <w:rPr>
          <w:rFonts w:hint="eastAsia" w:ascii="仿宋_GB2312" w:hAnsi="仿宋_GB2312" w:eastAsia="仿宋_GB2312" w:cs="仿宋_GB2312"/>
          <w:b w:val="0"/>
          <w:bCs w:val="0"/>
          <w:color w:val="auto"/>
          <w:kern w:val="0"/>
          <w:sz w:val="32"/>
          <w:szCs w:val="32"/>
          <w:highlight w:val="none"/>
          <w:shd w:val="clear" w:color="auto" w:fill="FFFFFF"/>
          <w:lang w:val="zh-CN" w:eastAsia="zh-CN"/>
        </w:rPr>
      </w:pPr>
      <w:r>
        <w:rPr>
          <w:rFonts w:hint="eastAsia" w:ascii="仿宋_GB2312" w:hAnsi="仿宋_GB2312" w:eastAsia="仿宋_GB2312" w:cs="仿宋_GB2312"/>
          <w:b w:val="0"/>
          <w:bCs w:val="0"/>
          <w:color w:val="auto"/>
          <w:kern w:val="0"/>
          <w:sz w:val="32"/>
          <w:szCs w:val="32"/>
          <w:highlight w:val="none"/>
          <w:shd w:val="clear" w:color="auto" w:fill="FFFFFF"/>
          <w:lang w:val="zh-CN" w:eastAsia="zh-CN"/>
        </w:rPr>
        <w:t>支出控制</w:t>
      </w:r>
    </w:p>
    <w:p>
      <w:pPr>
        <w:widowControl w:val="0"/>
        <w:kinsoku/>
        <w:autoSpaceDE/>
        <w:autoSpaceDN/>
        <w:adjustRightInd/>
        <w:snapToGrid/>
        <w:spacing w:line="576" w:lineRule="exact"/>
        <w:ind w:firstLine="640" w:firstLineChars="200"/>
        <w:jc w:val="both"/>
        <w:textAlignment w:val="auto"/>
        <w:rPr>
          <w:rFonts w:hint="eastAsia"/>
          <w:lang w:val="zh-CN" w:eastAsia="zh-CN"/>
        </w:rPr>
      </w:pPr>
      <w:r>
        <w:rPr>
          <w:rFonts w:hint="eastAsia" w:ascii="Times New Roman" w:hAnsi="Times New Roman" w:eastAsia="仿宋_GB2312" w:cs="Times New Roman"/>
          <w:color w:val="auto"/>
          <w:sz w:val="32"/>
          <w:szCs w:val="32"/>
          <w:shd w:val="clear" w:color="auto" w:fill="FFFFFF"/>
        </w:rPr>
        <w:t>预算数与决算数基本相符</w:t>
      </w:r>
      <w:r>
        <w:rPr>
          <w:rFonts w:hint="eastAsia" w:ascii="Times New Roman" w:hAnsi="Times New Roman" w:eastAsia="仿宋_GB2312" w:cs="Times New Roman"/>
          <w:color w:val="auto"/>
          <w:sz w:val="32"/>
          <w:szCs w:val="32"/>
          <w:shd w:val="clear" w:color="auto" w:fill="FFFFFF"/>
          <w:lang w:eastAsia="zh-CN"/>
        </w:rPr>
        <w:t>，</w:t>
      </w:r>
      <w:r>
        <w:rPr>
          <w:rFonts w:hint="eastAsia" w:ascii="Times New Roman" w:hAnsi="Times New Roman" w:eastAsia="仿宋_GB2312" w:cs="Times New Roman"/>
          <w:color w:val="auto"/>
          <w:sz w:val="32"/>
          <w:szCs w:val="32"/>
          <w:shd w:val="clear" w:color="auto" w:fill="FFFFFF"/>
        </w:rPr>
        <w:t>2022年</w:t>
      </w:r>
      <w:r>
        <w:rPr>
          <w:rFonts w:hint="eastAsia" w:ascii="Times New Roman" w:hAnsi="Times New Roman" w:eastAsia="仿宋_GB2312" w:cs="Times New Roman"/>
          <w:color w:val="auto"/>
          <w:sz w:val="32"/>
          <w:szCs w:val="32"/>
          <w:shd w:val="clear" w:color="auto" w:fill="FFFFFF"/>
          <w:lang w:eastAsia="zh-CN"/>
        </w:rPr>
        <w:t>人员类项目</w:t>
      </w:r>
      <w:r>
        <w:rPr>
          <w:rFonts w:hint="eastAsia" w:ascii="Times New Roman" w:hAnsi="Times New Roman" w:eastAsia="仿宋_GB2312" w:cs="Times New Roman"/>
          <w:color w:val="auto"/>
          <w:sz w:val="32"/>
          <w:szCs w:val="32"/>
          <w:shd w:val="clear" w:color="auto" w:fill="FFFFFF"/>
        </w:rPr>
        <w:t>支出决算合计</w:t>
      </w:r>
      <w:r>
        <w:rPr>
          <w:rFonts w:hint="eastAsia" w:ascii="Times New Roman" w:hAnsi="Times New Roman" w:eastAsia="仿宋_GB2312" w:cs="Times New Roman"/>
          <w:color w:val="auto"/>
          <w:sz w:val="32"/>
          <w:szCs w:val="32"/>
          <w:shd w:val="clear" w:color="auto" w:fill="FFFFFF"/>
          <w:lang w:val="en-US" w:eastAsia="zh-CN"/>
        </w:rPr>
        <w:t>235.10</w:t>
      </w:r>
      <w:r>
        <w:rPr>
          <w:rFonts w:hint="eastAsia" w:ascii="Times New Roman" w:hAnsi="Times New Roman" w:eastAsia="仿宋_GB2312" w:cs="Times New Roman"/>
          <w:color w:val="auto"/>
          <w:sz w:val="32"/>
          <w:szCs w:val="32"/>
          <w:shd w:val="clear" w:color="auto" w:fill="FFFFFF"/>
        </w:rPr>
        <w:t>万元，其中：</w:t>
      </w:r>
      <w:r>
        <w:rPr>
          <w:rFonts w:hint="eastAsia" w:ascii="Times New Roman" w:hAnsi="Times New Roman" w:eastAsia="仿宋_GB2312" w:cs="Times New Roman"/>
          <w:color w:val="auto"/>
          <w:sz w:val="32"/>
          <w:szCs w:val="32"/>
          <w:shd w:val="clear" w:color="auto" w:fill="FFFFFF"/>
          <w:lang w:eastAsia="zh-CN"/>
        </w:rPr>
        <w:t>工资福利支出</w:t>
      </w:r>
      <w:r>
        <w:rPr>
          <w:rFonts w:hint="eastAsia" w:ascii="Times New Roman" w:hAnsi="Times New Roman" w:eastAsia="仿宋_GB2312" w:cs="Times New Roman"/>
          <w:color w:val="auto"/>
          <w:sz w:val="32"/>
          <w:szCs w:val="32"/>
          <w:shd w:val="clear" w:color="auto" w:fill="FFFFFF"/>
          <w:lang w:val="en-US" w:eastAsia="zh-CN"/>
        </w:rPr>
        <w:t>235.10</w:t>
      </w:r>
      <w:r>
        <w:rPr>
          <w:rFonts w:hint="eastAsia" w:ascii="Times New Roman" w:hAnsi="Times New Roman" w:eastAsia="仿宋_GB2312" w:cs="Times New Roman"/>
          <w:color w:val="auto"/>
          <w:sz w:val="32"/>
          <w:szCs w:val="32"/>
          <w:shd w:val="clear" w:color="auto" w:fill="FFFFFF"/>
        </w:rPr>
        <w:t>万元，占</w:t>
      </w:r>
      <w:r>
        <w:rPr>
          <w:rFonts w:hint="eastAsia" w:ascii="Times New Roman" w:hAnsi="Times New Roman" w:eastAsia="仿宋_GB2312" w:cs="Times New Roman"/>
          <w:color w:val="auto"/>
          <w:sz w:val="32"/>
          <w:szCs w:val="32"/>
          <w:shd w:val="clear" w:color="auto" w:fill="FFFFFF"/>
          <w:lang w:val="en-US" w:eastAsia="zh-CN"/>
        </w:rPr>
        <w:t>100</w:t>
      </w:r>
      <w:r>
        <w:rPr>
          <w:rFonts w:hint="eastAsia" w:ascii="Times New Roman" w:hAnsi="Times New Roman" w:eastAsia="仿宋_GB2312" w:cs="Times New Roman"/>
          <w:color w:val="auto"/>
          <w:sz w:val="32"/>
          <w:szCs w:val="32"/>
          <w:shd w:val="clear" w:color="auto" w:fill="FFFFFF"/>
        </w:rPr>
        <w:t>%</w:t>
      </w:r>
      <w:r>
        <w:rPr>
          <w:rFonts w:hint="eastAsia" w:ascii="Times New Roman" w:hAnsi="Times New Roman" w:eastAsia="仿宋_GB2312" w:cs="Times New Roman"/>
          <w:color w:val="auto"/>
          <w:sz w:val="32"/>
          <w:szCs w:val="32"/>
          <w:shd w:val="clear" w:color="auto" w:fill="FFFFFF"/>
          <w:lang w:eastAsia="zh-CN"/>
        </w:rPr>
        <w:t>，</w:t>
      </w:r>
      <w:r>
        <w:rPr>
          <w:rFonts w:hint="eastAsia" w:ascii="Times New Roman" w:hAnsi="Times New Roman" w:eastAsia="仿宋_GB2312" w:cs="Times New Roman"/>
          <w:color w:val="auto"/>
          <w:sz w:val="32"/>
          <w:szCs w:val="32"/>
          <w:shd w:val="clear" w:color="auto" w:fill="FFFFFF"/>
        </w:rPr>
        <w:t>本年财政收入与财政支出一致。</w:t>
      </w:r>
    </w:p>
    <w:p>
      <w:pPr>
        <w:keepNext w:val="0"/>
        <w:keepLines w:val="0"/>
        <w:pageBreakBefore w:val="0"/>
        <w:widowControl/>
        <w:numPr>
          <w:ilvl w:val="0"/>
          <w:numId w:val="5"/>
        </w:numPr>
        <w:kinsoku/>
        <w:wordWrap/>
        <w:overflowPunct/>
        <w:topLinePunct w:val="0"/>
        <w:autoSpaceDE/>
        <w:autoSpaceDN/>
        <w:bidi w:val="0"/>
        <w:adjustRightInd w:val="0"/>
        <w:snapToGrid w:val="0"/>
        <w:spacing w:line="560" w:lineRule="exact"/>
        <w:ind w:left="0" w:leftChars="0" w:firstLine="640" w:firstLineChars="200"/>
        <w:contextualSpacing/>
        <w:jc w:val="left"/>
        <w:textAlignment w:val="auto"/>
        <w:rPr>
          <w:rFonts w:hint="eastAsia" w:ascii="仿宋_GB2312" w:hAnsi="仿宋_GB2312" w:eastAsia="仿宋_GB2312" w:cs="仿宋_GB2312"/>
          <w:b w:val="0"/>
          <w:bCs w:val="0"/>
          <w:color w:val="auto"/>
          <w:kern w:val="0"/>
          <w:sz w:val="32"/>
          <w:szCs w:val="32"/>
          <w:highlight w:val="none"/>
          <w:shd w:val="clear" w:color="auto" w:fill="FFFFFF"/>
          <w:lang w:val="zh-CN" w:eastAsia="zh-CN"/>
        </w:rPr>
      </w:pPr>
      <w:r>
        <w:rPr>
          <w:rFonts w:hint="eastAsia" w:ascii="仿宋_GB2312" w:hAnsi="仿宋_GB2312" w:eastAsia="仿宋_GB2312" w:cs="仿宋_GB2312"/>
          <w:b w:val="0"/>
          <w:bCs w:val="0"/>
          <w:color w:val="auto"/>
          <w:kern w:val="0"/>
          <w:sz w:val="32"/>
          <w:szCs w:val="32"/>
          <w:highlight w:val="none"/>
          <w:shd w:val="clear" w:color="auto" w:fill="FFFFFF"/>
          <w:lang w:val="zh-CN" w:eastAsia="zh-CN"/>
        </w:rPr>
        <w:t>及时处置</w:t>
      </w:r>
    </w:p>
    <w:p>
      <w:pPr>
        <w:widowControl w:val="0"/>
        <w:kinsoku/>
        <w:autoSpaceDE/>
        <w:autoSpaceDN/>
        <w:adjustRightInd/>
        <w:snapToGrid/>
        <w:spacing w:line="576" w:lineRule="exact"/>
        <w:ind w:firstLine="640" w:firstLineChars="200"/>
        <w:jc w:val="both"/>
        <w:textAlignment w:val="auto"/>
        <w:rPr>
          <w:rFonts w:hint="eastAsia"/>
          <w:lang w:val="zh-CN" w:eastAsia="zh-CN"/>
        </w:rPr>
      </w:pPr>
      <w:r>
        <w:rPr>
          <w:rFonts w:hint="eastAsia" w:ascii="Times New Roman" w:hAnsi="Times New Roman" w:eastAsia="仿宋_GB2312" w:cs="Times New Roman"/>
          <w:color w:val="auto"/>
          <w:sz w:val="32"/>
          <w:szCs w:val="32"/>
          <w:shd w:val="clear" w:color="auto" w:fill="FFFFFF"/>
        </w:rPr>
        <w:t>部门绩效监控调整取消额与结余注销额均为零。</w:t>
      </w:r>
    </w:p>
    <w:p>
      <w:pPr>
        <w:keepNext w:val="0"/>
        <w:keepLines w:val="0"/>
        <w:pageBreakBefore w:val="0"/>
        <w:widowControl/>
        <w:numPr>
          <w:ilvl w:val="0"/>
          <w:numId w:val="5"/>
        </w:numPr>
        <w:kinsoku/>
        <w:wordWrap/>
        <w:overflowPunct/>
        <w:topLinePunct w:val="0"/>
        <w:autoSpaceDE/>
        <w:autoSpaceDN/>
        <w:bidi w:val="0"/>
        <w:adjustRightInd w:val="0"/>
        <w:snapToGrid w:val="0"/>
        <w:spacing w:line="560" w:lineRule="exact"/>
        <w:ind w:left="0" w:leftChars="0" w:firstLine="640" w:firstLineChars="200"/>
        <w:contextualSpacing/>
        <w:jc w:val="left"/>
        <w:textAlignment w:val="auto"/>
        <w:rPr>
          <w:rFonts w:hint="eastAsia" w:ascii="仿宋_GB2312" w:hAnsi="仿宋_GB2312" w:eastAsia="仿宋_GB2312" w:cs="仿宋_GB2312"/>
          <w:b w:val="0"/>
          <w:bCs w:val="0"/>
          <w:color w:val="auto"/>
          <w:kern w:val="0"/>
          <w:sz w:val="32"/>
          <w:szCs w:val="32"/>
          <w:highlight w:val="none"/>
          <w:shd w:val="clear" w:color="auto" w:fill="FFFFFF"/>
          <w:lang w:val="zh-CN" w:eastAsia="zh-CN"/>
        </w:rPr>
      </w:pPr>
      <w:r>
        <w:rPr>
          <w:rFonts w:hint="eastAsia" w:ascii="仿宋_GB2312" w:hAnsi="仿宋_GB2312" w:eastAsia="仿宋_GB2312" w:cs="仿宋_GB2312"/>
          <w:b w:val="0"/>
          <w:bCs w:val="0"/>
          <w:color w:val="auto"/>
          <w:kern w:val="0"/>
          <w:sz w:val="32"/>
          <w:szCs w:val="32"/>
          <w:highlight w:val="none"/>
          <w:shd w:val="clear" w:color="auto" w:fill="FFFFFF"/>
          <w:lang w:val="zh-CN" w:eastAsia="zh-CN"/>
        </w:rPr>
        <w:t>执行进度</w:t>
      </w:r>
    </w:p>
    <w:p>
      <w:pPr>
        <w:pStyle w:val="5"/>
        <w:numPr>
          <w:ilvl w:val="0"/>
          <w:numId w:val="0"/>
        </w:numPr>
        <w:ind w:leftChars="200" w:firstLine="320" w:firstLineChars="100"/>
        <w:rPr>
          <w:rFonts w:hint="default" w:eastAsia="仿宋_GB2312"/>
          <w:lang w:val="en-US" w:eastAsia="zh-CN"/>
        </w:rPr>
      </w:pPr>
      <w:r>
        <w:rPr>
          <w:rFonts w:hint="eastAsia" w:ascii="Times New Roman" w:hAnsi="Times New Roman" w:eastAsia="仿宋_GB2312" w:cs="Times New Roman"/>
          <w:color w:val="auto"/>
          <w:sz w:val="32"/>
          <w:szCs w:val="32"/>
          <w:shd w:val="clear" w:color="auto" w:fill="FFFFFF"/>
        </w:rPr>
        <w:t>按规定部门预算执行进度</w:t>
      </w:r>
      <w:r>
        <w:rPr>
          <w:rFonts w:hint="eastAsia" w:ascii="Times New Roman" w:hAnsi="Times New Roman" w:cs="Times New Roman"/>
          <w:color w:val="auto"/>
          <w:sz w:val="32"/>
          <w:szCs w:val="32"/>
          <w:shd w:val="clear" w:color="auto" w:fill="FFFFFF"/>
          <w:lang w:eastAsia="zh-CN"/>
        </w:rPr>
        <w:t>为</w:t>
      </w:r>
      <w:r>
        <w:rPr>
          <w:rFonts w:hint="eastAsia" w:ascii="Times New Roman" w:hAnsi="Times New Roman" w:cs="Times New Roman"/>
          <w:color w:val="auto"/>
          <w:sz w:val="32"/>
          <w:szCs w:val="32"/>
          <w:shd w:val="clear" w:color="auto" w:fill="FFFFFF"/>
          <w:lang w:val="en-US" w:eastAsia="zh-CN"/>
        </w:rPr>
        <w:t>100%。</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eastAsia="仿宋_GB2312"/>
          <w:lang w:val="zh-CN" w:eastAsia="zh-CN"/>
        </w:rPr>
      </w:pPr>
      <w:r>
        <w:rPr>
          <w:rFonts w:hint="eastAsia" w:ascii="仿宋_GB2312" w:hAnsi="仿宋_GB2312" w:eastAsia="仿宋_GB2312" w:cs="仿宋_GB2312"/>
          <w:b w:val="0"/>
          <w:bCs w:val="0"/>
          <w:color w:val="auto"/>
          <w:kern w:val="0"/>
          <w:sz w:val="32"/>
          <w:szCs w:val="32"/>
          <w:highlight w:val="none"/>
          <w:shd w:val="clear" w:color="auto" w:fill="FFFFFF"/>
          <w:lang w:val="zh-CN" w:eastAsia="zh-CN"/>
        </w:rPr>
        <w:t>（</w:t>
      </w:r>
      <w:r>
        <w:rPr>
          <w:rFonts w:hint="eastAsia" w:ascii="仿宋_GB2312" w:hAnsi="仿宋_GB2312" w:eastAsia="仿宋_GB2312" w:cs="仿宋_GB2312"/>
          <w:b w:val="0"/>
          <w:bCs w:val="0"/>
          <w:color w:val="auto"/>
          <w:kern w:val="0"/>
          <w:sz w:val="32"/>
          <w:szCs w:val="32"/>
          <w:highlight w:val="none"/>
          <w:shd w:val="clear" w:color="auto" w:fill="FFFFFF"/>
          <w:lang w:val="en-US" w:eastAsia="zh-CN"/>
        </w:rPr>
        <w:t>6</w:t>
      </w:r>
      <w:r>
        <w:rPr>
          <w:rFonts w:hint="eastAsia" w:ascii="仿宋_GB2312" w:hAnsi="仿宋_GB2312" w:eastAsia="仿宋_GB2312" w:cs="仿宋_GB2312"/>
          <w:b w:val="0"/>
          <w:bCs w:val="0"/>
          <w:color w:val="auto"/>
          <w:kern w:val="0"/>
          <w:sz w:val="32"/>
          <w:szCs w:val="32"/>
          <w:highlight w:val="none"/>
          <w:shd w:val="clear" w:color="auto" w:fill="FFFFFF"/>
          <w:lang w:val="zh-CN" w:eastAsia="zh-CN"/>
        </w:rPr>
        <w:t>）预算完成情况</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eastAsia="仿宋_GB2312"/>
          <w:lang w:val="zh-CN" w:eastAsia="zh-CN"/>
        </w:rPr>
      </w:pPr>
      <w:r>
        <w:rPr>
          <w:rFonts w:hint="eastAsia" w:ascii="Times New Roman" w:hAnsi="Times New Roman" w:eastAsia="仿宋_GB2312" w:cs="Times New Roman"/>
          <w:color w:val="auto"/>
          <w:kern w:val="0"/>
          <w:sz w:val="32"/>
          <w:szCs w:val="32"/>
          <w:shd w:val="clear" w:color="auto" w:fill="FFFFFF"/>
          <w:lang w:val="en-US" w:eastAsia="zh-CN" w:bidi="ar-SA"/>
        </w:rPr>
        <w:t>人员类预算项目1</w:t>
      </w:r>
      <w:r>
        <w:rPr>
          <w:rFonts w:hint="eastAsia" w:ascii="Times New Roman" w:hAnsi="Times New Roman" w:eastAsia="仿宋_GB2312" w:cs="Times New Roman"/>
          <w:color w:val="auto"/>
          <w:sz w:val="32"/>
          <w:szCs w:val="32"/>
          <w:shd w:val="clear" w:color="auto" w:fill="FFFFFF"/>
        </w:rPr>
        <w:t>2月预算执行进度达到100%</w:t>
      </w:r>
      <w:r>
        <w:rPr>
          <w:rFonts w:hint="eastAsia" w:ascii="Times New Roman" w:hAnsi="Times New Roman" w:cs="Times New Roman"/>
          <w:color w:val="auto"/>
          <w:sz w:val="32"/>
          <w:szCs w:val="32"/>
          <w:shd w:val="clear" w:color="auto" w:fill="FFFFFF"/>
          <w:lang w:eastAsia="zh-CN"/>
        </w:rPr>
        <w:t>。</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_GB2312" w:hAnsi="仿宋_GB2312" w:eastAsia="仿宋_GB2312" w:cs="仿宋_GB2312"/>
          <w:b w:val="0"/>
          <w:bCs w:val="0"/>
          <w:color w:val="auto"/>
          <w:kern w:val="0"/>
          <w:sz w:val="32"/>
          <w:szCs w:val="32"/>
          <w:highlight w:val="none"/>
          <w:shd w:val="clear" w:color="auto" w:fill="FFFFFF"/>
          <w:lang w:val="zh-CN" w:eastAsia="zh-CN"/>
        </w:rPr>
      </w:pPr>
      <w:r>
        <w:rPr>
          <w:rFonts w:hint="eastAsia" w:ascii="仿宋_GB2312" w:hAnsi="仿宋_GB2312" w:eastAsia="仿宋_GB2312" w:cs="仿宋_GB2312"/>
          <w:b w:val="0"/>
          <w:bCs w:val="0"/>
          <w:color w:val="auto"/>
          <w:kern w:val="0"/>
          <w:sz w:val="32"/>
          <w:szCs w:val="32"/>
          <w:highlight w:val="none"/>
          <w:shd w:val="clear" w:color="auto" w:fill="FFFFFF"/>
          <w:lang w:val="zh-CN" w:eastAsia="zh-CN"/>
        </w:rPr>
        <w:t>（</w:t>
      </w:r>
      <w:r>
        <w:rPr>
          <w:rFonts w:hint="eastAsia" w:ascii="仿宋_GB2312" w:hAnsi="仿宋_GB2312" w:eastAsia="仿宋_GB2312" w:cs="仿宋_GB2312"/>
          <w:b w:val="0"/>
          <w:bCs w:val="0"/>
          <w:color w:val="auto"/>
          <w:kern w:val="0"/>
          <w:sz w:val="32"/>
          <w:szCs w:val="32"/>
          <w:highlight w:val="none"/>
          <w:shd w:val="clear" w:color="auto" w:fill="FFFFFF"/>
          <w:lang w:val="en-US" w:eastAsia="zh-CN"/>
        </w:rPr>
        <w:t>7</w:t>
      </w:r>
      <w:r>
        <w:rPr>
          <w:rFonts w:hint="eastAsia" w:ascii="仿宋_GB2312" w:hAnsi="仿宋_GB2312" w:eastAsia="仿宋_GB2312" w:cs="仿宋_GB2312"/>
          <w:b w:val="0"/>
          <w:bCs w:val="0"/>
          <w:color w:val="auto"/>
          <w:kern w:val="0"/>
          <w:sz w:val="32"/>
          <w:szCs w:val="32"/>
          <w:highlight w:val="none"/>
          <w:shd w:val="clear" w:color="auto" w:fill="FFFFFF"/>
          <w:lang w:val="zh-CN" w:eastAsia="zh-CN"/>
        </w:rPr>
        <w:t>）资金结余率</w:t>
      </w:r>
    </w:p>
    <w:p>
      <w:pPr>
        <w:pStyle w:val="5"/>
        <w:numPr>
          <w:ilvl w:val="0"/>
          <w:numId w:val="0"/>
        </w:numPr>
        <w:ind w:leftChars="200" w:firstLine="320" w:firstLineChars="100"/>
        <w:rPr>
          <w:rFonts w:hint="eastAsia"/>
          <w:lang w:val="zh-CN" w:eastAsia="zh-CN"/>
        </w:rPr>
      </w:pPr>
      <w:r>
        <w:rPr>
          <w:rFonts w:hint="eastAsia" w:ascii="Times New Roman" w:hAnsi="Times New Roman" w:eastAsia="仿宋_GB2312" w:cs="Times New Roman"/>
          <w:color w:val="auto"/>
          <w:sz w:val="32"/>
          <w:szCs w:val="32"/>
          <w:shd w:val="clear" w:color="auto" w:fill="FFFFFF"/>
        </w:rPr>
        <w:t>2022年</w:t>
      </w:r>
      <w:r>
        <w:rPr>
          <w:rFonts w:hint="eastAsia" w:ascii="Times New Roman" w:hAnsi="Times New Roman" w:cs="Times New Roman"/>
          <w:color w:val="auto"/>
          <w:sz w:val="32"/>
          <w:szCs w:val="32"/>
          <w:shd w:val="clear" w:color="auto" w:fill="FFFFFF"/>
          <w:lang w:eastAsia="zh-CN"/>
        </w:rPr>
        <w:t>人员类项目</w:t>
      </w:r>
      <w:r>
        <w:rPr>
          <w:rFonts w:hint="eastAsia" w:ascii="Times New Roman" w:hAnsi="Times New Roman" w:eastAsia="仿宋_GB2312" w:cs="Times New Roman"/>
          <w:color w:val="auto"/>
          <w:sz w:val="32"/>
          <w:szCs w:val="32"/>
          <w:shd w:val="clear" w:color="auto" w:fill="FFFFFF"/>
        </w:rPr>
        <w:t>结转结余资金0万元。</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_GB2312" w:hAnsi="仿宋_GB2312" w:eastAsia="仿宋_GB2312" w:cs="仿宋_GB2312"/>
          <w:b w:val="0"/>
          <w:bCs w:val="0"/>
          <w:color w:val="auto"/>
          <w:kern w:val="0"/>
          <w:sz w:val="32"/>
          <w:szCs w:val="32"/>
          <w:highlight w:val="none"/>
          <w:shd w:val="clear" w:color="auto" w:fill="FFFFFF"/>
          <w:lang w:val="zh-CN" w:eastAsia="zh-CN"/>
        </w:rPr>
      </w:pPr>
      <w:r>
        <w:rPr>
          <w:rFonts w:hint="eastAsia" w:ascii="仿宋_GB2312" w:hAnsi="仿宋_GB2312" w:eastAsia="仿宋_GB2312" w:cs="仿宋_GB2312"/>
          <w:b w:val="0"/>
          <w:bCs w:val="0"/>
          <w:color w:val="auto"/>
          <w:kern w:val="0"/>
          <w:sz w:val="32"/>
          <w:szCs w:val="32"/>
          <w:highlight w:val="none"/>
          <w:shd w:val="clear" w:color="auto" w:fill="FFFFFF"/>
          <w:lang w:val="zh-CN" w:eastAsia="zh-CN"/>
        </w:rPr>
        <w:t>（</w:t>
      </w:r>
      <w:r>
        <w:rPr>
          <w:rFonts w:hint="eastAsia" w:ascii="仿宋_GB2312" w:hAnsi="仿宋_GB2312" w:eastAsia="仿宋_GB2312" w:cs="仿宋_GB2312"/>
          <w:b w:val="0"/>
          <w:bCs w:val="0"/>
          <w:color w:val="auto"/>
          <w:kern w:val="0"/>
          <w:sz w:val="32"/>
          <w:szCs w:val="32"/>
          <w:highlight w:val="none"/>
          <w:shd w:val="clear" w:color="auto" w:fill="FFFFFF"/>
          <w:lang w:val="en-US" w:eastAsia="zh-CN"/>
        </w:rPr>
        <w:t>8</w:t>
      </w:r>
      <w:r>
        <w:rPr>
          <w:rFonts w:hint="eastAsia" w:ascii="仿宋_GB2312" w:hAnsi="仿宋_GB2312" w:eastAsia="仿宋_GB2312" w:cs="仿宋_GB2312"/>
          <w:b w:val="0"/>
          <w:bCs w:val="0"/>
          <w:color w:val="auto"/>
          <w:kern w:val="0"/>
          <w:sz w:val="32"/>
          <w:szCs w:val="32"/>
          <w:highlight w:val="none"/>
          <w:shd w:val="clear" w:color="auto" w:fill="FFFFFF"/>
          <w:lang w:val="zh-CN" w:eastAsia="zh-CN"/>
        </w:rPr>
        <w:t>）违规记录情况</w:t>
      </w:r>
    </w:p>
    <w:p>
      <w:pPr>
        <w:widowControl w:val="0"/>
        <w:kinsoku/>
        <w:autoSpaceDE/>
        <w:autoSpaceDN/>
        <w:adjustRightInd/>
        <w:snapToGrid/>
        <w:spacing w:line="576" w:lineRule="exact"/>
        <w:ind w:firstLine="640" w:firstLineChars="200"/>
        <w:jc w:val="both"/>
        <w:textAlignment w:val="auto"/>
        <w:rPr>
          <w:rFonts w:ascii="Times New Roman" w:hAnsi="Times New Roman" w:eastAsia="仿宋_GB2312" w:cs="Times New Roman"/>
          <w:color w:val="auto"/>
          <w:sz w:val="32"/>
          <w:szCs w:val="32"/>
          <w:shd w:val="clear" w:color="auto" w:fill="FFFFFF"/>
        </w:rPr>
      </w:pPr>
      <w:r>
        <w:rPr>
          <w:rFonts w:hint="eastAsia" w:ascii="Times New Roman" w:hAnsi="Times New Roman" w:eastAsia="仿宋_GB2312" w:cs="Times New Roman"/>
          <w:color w:val="auto"/>
          <w:sz w:val="32"/>
          <w:szCs w:val="32"/>
          <w:shd w:val="clear" w:color="auto" w:fill="FFFFFF"/>
        </w:rPr>
        <w:t>2022年度不存在审计监督、财政检查等违纪违规问题。</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_GB2312" w:hAnsi="仿宋_GB2312" w:eastAsia="仿宋_GB2312" w:cs="仿宋_GB2312"/>
          <w:b w:val="0"/>
          <w:bCs w:val="0"/>
          <w:color w:val="auto"/>
          <w:kern w:val="0"/>
          <w:sz w:val="32"/>
          <w:szCs w:val="32"/>
          <w:highlight w:val="none"/>
          <w:shd w:val="clear" w:color="auto" w:fill="FFFFFF"/>
          <w:lang w:val="en-US" w:eastAsia="zh-CN"/>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rPr>
        <w:t>2.运转类项目绩效分析</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_GB2312" w:hAnsi="仿宋_GB2312" w:eastAsia="仿宋_GB2312" w:cs="仿宋_GB2312"/>
          <w:b w:val="0"/>
          <w:bCs w:val="0"/>
          <w:color w:val="auto"/>
          <w:kern w:val="0"/>
          <w:sz w:val="32"/>
          <w:szCs w:val="32"/>
          <w:highlight w:val="none"/>
          <w:shd w:val="clear" w:color="auto" w:fill="FFFFFF"/>
          <w:lang w:val="zh-CN" w:eastAsia="zh-CN"/>
        </w:rPr>
      </w:pPr>
      <w:r>
        <w:rPr>
          <w:rFonts w:hint="eastAsia" w:ascii="仿宋_GB2312" w:hAnsi="仿宋_GB2312" w:eastAsia="仿宋_GB2312" w:cs="仿宋_GB2312"/>
          <w:b w:val="0"/>
          <w:bCs w:val="0"/>
          <w:color w:val="auto"/>
          <w:kern w:val="0"/>
          <w:sz w:val="32"/>
          <w:szCs w:val="32"/>
          <w:highlight w:val="none"/>
          <w:shd w:val="clear" w:color="auto" w:fill="FFFFFF"/>
          <w:lang w:val="zh-CN" w:eastAsia="zh-CN"/>
        </w:rPr>
        <w:t>（</w:t>
      </w:r>
      <w:r>
        <w:rPr>
          <w:rFonts w:hint="eastAsia" w:ascii="仿宋_GB2312" w:hAnsi="仿宋_GB2312" w:eastAsia="仿宋_GB2312" w:cs="仿宋_GB2312"/>
          <w:b w:val="0"/>
          <w:bCs w:val="0"/>
          <w:color w:val="auto"/>
          <w:kern w:val="0"/>
          <w:sz w:val="32"/>
          <w:szCs w:val="32"/>
          <w:highlight w:val="none"/>
          <w:shd w:val="clear" w:color="auto" w:fill="FFFFFF"/>
          <w:lang w:val="en-US" w:eastAsia="zh-CN"/>
        </w:rPr>
        <w:t>1</w:t>
      </w:r>
      <w:r>
        <w:rPr>
          <w:rFonts w:hint="eastAsia" w:ascii="仿宋_GB2312" w:hAnsi="仿宋_GB2312" w:eastAsia="仿宋_GB2312" w:cs="仿宋_GB2312"/>
          <w:b w:val="0"/>
          <w:bCs w:val="0"/>
          <w:color w:val="auto"/>
          <w:kern w:val="0"/>
          <w:sz w:val="32"/>
          <w:szCs w:val="32"/>
          <w:highlight w:val="none"/>
          <w:shd w:val="clear" w:color="auto" w:fill="FFFFFF"/>
          <w:lang w:val="zh-CN" w:eastAsia="zh-CN"/>
        </w:rPr>
        <w:t>）部门绩效目标制定</w:t>
      </w:r>
    </w:p>
    <w:p>
      <w:pPr>
        <w:widowControl w:val="0"/>
        <w:kinsoku/>
        <w:autoSpaceDE/>
        <w:autoSpaceDN/>
        <w:adjustRightInd/>
        <w:snapToGrid/>
        <w:spacing w:line="576" w:lineRule="exact"/>
        <w:ind w:firstLine="640" w:firstLineChars="200"/>
        <w:jc w:val="both"/>
        <w:textAlignment w:val="auto"/>
        <w:rPr>
          <w:rFonts w:hint="default" w:eastAsia="仿宋_GB2312"/>
          <w:lang w:val="en-US" w:eastAsia="zh-CN"/>
        </w:rPr>
      </w:pPr>
      <w:r>
        <w:rPr>
          <w:rFonts w:hint="eastAsia" w:ascii="Times New Roman" w:hAnsi="Times New Roman" w:eastAsia="仿宋_GB2312" w:cs="Times New Roman"/>
          <w:color w:val="auto"/>
          <w:sz w:val="32"/>
          <w:szCs w:val="32"/>
          <w:shd w:val="clear" w:color="auto" w:fill="FFFFFF"/>
        </w:rPr>
        <w:t>按规定设置</w:t>
      </w:r>
      <w:r>
        <w:rPr>
          <w:rFonts w:hint="eastAsia" w:eastAsia="仿宋_GB2312" w:cs="Times New Roman"/>
          <w:color w:val="auto"/>
          <w:sz w:val="32"/>
          <w:szCs w:val="32"/>
          <w:shd w:val="clear" w:color="auto" w:fill="FFFFFF"/>
          <w:lang w:eastAsia="zh-CN"/>
        </w:rPr>
        <w:t>运转类</w:t>
      </w:r>
      <w:r>
        <w:rPr>
          <w:rFonts w:hint="eastAsia" w:ascii="Times New Roman" w:hAnsi="Times New Roman" w:eastAsia="仿宋_GB2312" w:cs="Times New Roman"/>
          <w:color w:val="auto"/>
          <w:sz w:val="32"/>
          <w:szCs w:val="32"/>
          <w:shd w:val="clear" w:color="auto" w:fill="FFFFFF"/>
          <w:lang w:eastAsia="zh-CN"/>
        </w:rPr>
        <w:t>项目</w:t>
      </w:r>
      <w:r>
        <w:rPr>
          <w:rFonts w:hint="eastAsia" w:ascii="Times New Roman" w:hAnsi="Times New Roman" w:eastAsia="仿宋_GB2312" w:cs="Times New Roman"/>
          <w:color w:val="auto"/>
          <w:sz w:val="32"/>
          <w:szCs w:val="32"/>
          <w:shd w:val="clear" w:color="auto" w:fill="FFFFFF"/>
        </w:rPr>
        <w:t>绩效目标，绩效目标编制要素完整，</w:t>
      </w:r>
      <w:r>
        <w:rPr>
          <w:rFonts w:hint="eastAsia" w:ascii="Times New Roman" w:hAnsi="Times New Roman" w:eastAsia="仿宋_GB2312" w:cs="Times New Roman"/>
          <w:color w:val="auto"/>
          <w:sz w:val="32"/>
          <w:szCs w:val="32"/>
          <w:shd w:val="clear" w:color="auto" w:fill="FFFFFF"/>
          <w:lang w:eastAsia="zh-CN"/>
        </w:rPr>
        <w:t>设立产出指标、成本指标、效益指标、满意度指标，</w:t>
      </w:r>
      <w:r>
        <w:rPr>
          <w:rFonts w:hint="eastAsia" w:ascii="Times New Roman" w:hAnsi="Times New Roman" w:eastAsia="仿宋_GB2312" w:cs="Times New Roman"/>
          <w:color w:val="auto"/>
          <w:sz w:val="32"/>
          <w:szCs w:val="32"/>
          <w:shd w:val="clear" w:color="auto" w:fill="FFFFFF"/>
        </w:rPr>
        <w:t>覆盖三级指标，且绩效指标可细化、可量化</w:t>
      </w:r>
      <w:r>
        <w:rPr>
          <w:rFonts w:hint="eastAsia" w:ascii="Times New Roman" w:hAnsi="Times New Roman" w:eastAsia="仿宋_GB2312" w:cs="Times New Roman"/>
          <w:color w:val="auto"/>
          <w:sz w:val="32"/>
          <w:szCs w:val="32"/>
          <w:shd w:val="clear" w:color="auto" w:fill="FFFFFF"/>
          <w:lang w:eastAsia="zh-CN"/>
        </w:rPr>
        <w:t>，着力保障</w:t>
      </w:r>
      <w:r>
        <w:rPr>
          <w:rFonts w:hint="eastAsia" w:eastAsia="仿宋_GB2312" w:cs="Times New Roman"/>
          <w:color w:val="auto"/>
          <w:sz w:val="32"/>
          <w:szCs w:val="32"/>
          <w:shd w:val="clear" w:color="auto" w:fill="FFFFFF"/>
          <w:lang w:val="en-US" w:eastAsia="zh-CN"/>
        </w:rPr>
        <w:t>2名临聘人员工资、保险待遇和保运转医保工作经费开支。</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_GB2312" w:hAnsi="仿宋_GB2312" w:eastAsia="仿宋_GB2312" w:cs="仿宋_GB2312"/>
          <w:b w:val="0"/>
          <w:bCs w:val="0"/>
          <w:color w:val="auto"/>
          <w:kern w:val="0"/>
          <w:sz w:val="32"/>
          <w:szCs w:val="32"/>
          <w:highlight w:val="none"/>
          <w:shd w:val="clear" w:color="auto" w:fill="FFFFFF"/>
          <w:lang w:val="zh-CN" w:eastAsia="zh-CN"/>
        </w:rPr>
      </w:pPr>
      <w:r>
        <w:rPr>
          <w:rFonts w:hint="eastAsia" w:ascii="仿宋_GB2312" w:hAnsi="仿宋_GB2312" w:eastAsia="仿宋_GB2312" w:cs="仿宋_GB2312"/>
          <w:b w:val="0"/>
          <w:bCs w:val="0"/>
          <w:color w:val="auto"/>
          <w:kern w:val="0"/>
          <w:sz w:val="32"/>
          <w:szCs w:val="32"/>
          <w:highlight w:val="none"/>
          <w:shd w:val="clear" w:color="auto" w:fill="FFFFFF"/>
          <w:lang w:val="zh-CN" w:eastAsia="zh-CN"/>
        </w:rPr>
        <w:t>（</w:t>
      </w:r>
      <w:r>
        <w:rPr>
          <w:rFonts w:hint="eastAsia" w:ascii="仿宋_GB2312" w:hAnsi="仿宋_GB2312" w:eastAsia="仿宋_GB2312" w:cs="仿宋_GB2312"/>
          <w:b w:val="0"/>
          <w:bCs w:val="0"/>
          <w:color w:val="auto"/>
          <w:kern w:val="0"/>
          <w:sz w:val="32"/>
          <w:szCs w:val="32"/>
          <w:highlight w:val="none"/>
          <w:shd w:val="clear" w:color="auto" w:fill="FFFFFF"/>
          <w:lang w:val="en-US" w:eastAsia="zh-CN"/>
        </w:rPr>
        <w:t>2</w:t>
      </w:r>
      <w:r>
        <w:rPr>
          <w:rFonts w:hint="eastAsia" w:ascii="仿宋_GB2312" w:hAnsi="仿宋_GB2312" w:eastAsia="仿宋_GB2312" w:cs="仿宋_GB2312"/>
          <w:b w:val="0"/>
          <w:bCs w:val="0"/>
          <w:color w:val="auto"/>
          <w:kern w:val="0"/>
          <w:sz w:val="32"/>
          <w:szCs w:val="32"/>
          <w:highlight w:val="none"/>
          <w:shd w:val="clear" w:color="auto" w:fill="FFFFFF"/>
          <w:lang w:val="zh-CN" w:eastAsia="zh-CN"/>
        </w:rPr>
        <w:t>）目标实现</w:t>
      </w:r>
    </w:p>
    <w:p>
      <w:pPr>
        <w:pStyle w:val="5"/>
        <w:numPr>
          <w:ilvl w:val="0"/>
          <w:numId w:val="0"/>
        </w:numPr>
        <w:rPr>
          <w:rFonts w:hint="default"/>
          <w:lang w:val="en-US" w:eastAsia="zh-CN"/>
        </w:rPr>
      </w:pPr>
      <w:r>
        <w:rPr>
          <w:rFonts w:hint="eastAsia"/>
          <w:lang w:val="en-US" w:eastAsia="zh-CN"/>
        </w:rPr>
        <w:t xml:space="preserve">    </w:t>
      </w:r>
      <w:r>
        <w:rPr>
          <w:rFonts w:hint="eastAsia" w:ascii="Times New Roman" w:hAnsi="Times New Roman" w:eastAsia="仿宋_GB2312" w:cs="Times New Roman"/>
          <w:color w:val="auto"/>
          <w:sz w:val="32"/>
          <w:szCs w:val="32"/>
          <w:shd w:val="clear" w:color="auto" w:fill="FFFFFF"/>
        </w:rPr>
        <w:t>以</w:t>
      </w:r>
      <w:r>
        <w:rPr>
          <w:rFonts w:hint="eastAsia" w:ascii="Times New Roman" w:cs="Times New Roman"/>
          <w:color w:val="auto"/>
          <w:sz w:val="32"/>
          <w:szCs w:val="32"/>
          <w:shd w:val="clear" w:color="auto" w:fill="FFFFFF"/>
          <w:lang w:eastAsia="zh-CN"/>
        </w:rPr>
        <w:t>运转类</w:t>
      </w:r>
      <w:r>
        <w:rPr>
          <w:rFonts w:hint="eastAsia" w:ascii="Times New Roman" w:hAnsi="Times New Roman" w:eastAsia="仿宋_GB2312" w:cs="Times New Roman"/>
          <w:color w:val="auto"/>
          <w:sz w:val="32"/>
          <w:szCs w:val="32"/>
          <w:shd w:val="clear" w:color="auto" w:fill="FFFFFF"/>
        </w:rPr>
        <w:t>项目完成数量为核心，</w:t>
      </w:r>
      <w:r>
        <w:rPr>
          <w:rFonts w:hint="eastAsia" w:ascii="Times New Roman" w:cs="Times New Roman"/>
          <w:color w:val="auto"/>
          <w:sz w:val="32"/>
          <w:szCs w:val="32"/>
          <w:shd w:val="clear" w:color="auto" w:fill="FFFFFF"/>
          <w:lang w:eastAsia="zh-CN"/>
        </w:rPr>
        <w:t>运转类</w:t>
      </w:r>
      <w:r>
        <w:rPr>
          <w:rFonts w:hint="eastAsia" w:ascii="Times New Roman" w:hAnsi="Times New Roman" w:eastAsia="仿宋_GB2312" w:cs="Times New Roman"/>
          <w:color w:val="auto"/>
          <w:sz w:val="32"/>
          <w:szCs w:val="32"/>
          <w:shd w:val="clear" w:color="auto" w:fill="FFFFFF"/>
        </w:rPr>
        <w:t>项目实际完成情况与预期绩效目标基本相符</w:t>
      </w:r>
      <w:r>
        <w:rPr>
          <w:rFonts w:hint="eastAsia" w:ascii="Times New Roman" w:hAnsi="Times New Roman" w:cs="Times New Roman"/>
          <w:color w:val="auto"/>
          <w:sz w:val="32"/>
          <w:szCs w:val="32"/>
          <w:shd w:val="clear" w:color="auto" w:fill="FFFFFF"/>
          <w:lang w:eastAsia="zh-CN"/>
        </w:rPr>
        <w:t>，</w:t>
      </w:r>
      <w:r>
        <w:rPr>
          <w:rFonts w:hint="eastAsia"/>
          <w:lang w:val="en-US" w:eastAsia="zh-CN"/>
        </w:rPr>
        <w:t>及时兑付保运转医保工作经费和单位临聘人员工资、保险。</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Chars="200" w:firstLine="320" w:firstLineChars="100"/>
        <w:contextualSpacing/>
        <w:jc w:val="left"/>
        <w:textAlignment w:val="auto"/>
        <w:rPr>
          <w:rFonts w:hint="eastAsia" w:ascii="仿宋_GB2312" w:hAnsi="仿宋_GB2312" w:eastAsia="仿宋_GB2312" w:cs="仿宋_GB2312"/>
          <w:b w:val="0"/>
          <w:bCs w:val="0"/>
          <w:color w:val="auto"/>
          <w:kern w:val="0"/>
          <w:sz w:val="32"/>
          <w:szCs w:val="32"/>
          <w:highlight w:val="none"/>
          <w:shd w:val="clear" w:color="auto" w:fill="FFFFFF"/>
          <w:lang w:val="zh-CN" w:eastAsia="zh-CN"/>
        </w:rPr>
      </w:pPr>
      <w:r>
        <w:rPr>
          <w:rFonts w:hint="eastAsia" w:ascii="仿宋_GB2312" w:hAnsi="仿宋_GB2312" w:eastAsia="仿宋_GB2312" w:cs="仿宋_GB2312"/>
          <w:b w:val="0"/>
          <w:bCs w:val="0"/>
          <w:color w:val="auto"/>
          <w:kern w:val="0"/>
          <w:sz w:val="32"/>
          <w:szCs w:val="32"/>
          <w:highlight w:val="none"/>
          <w:shd w:val="clear" w:color="auto" w:fill="FFFFFF"/>
          <w:lang w:val="zh-CN" w:eastAsia="zh-CN"/>
        </w:rPr>
        <w:t>（</w:t>
      </w:r>
      <w:r>
        <w:rPr>
          <w:rFonts w:hint="eastAsia" w:ascii="仿宋_GB2312" w:hAnsi="仿宋_GB2312" w:eastAsia="仿宋_GB2312" w:cs="仿宋_GB2312"/>
          <w:b w:val="0"/>
          <w:bCs w:val="0"/>
          <w:color w:val="auto"/>
          <w:kern w:val="0"/>
          <w:sz w:val="32"/>
          <w:szCs w:val="32"/>
          <w:highlight w:val="none"/>
          <w:shd w:val="clear" w:color="auto" w:fill="FFFFFF"/>
          <w:lang w:val="en-US" w:eastAsia="zh-CN"/>
        </w:rPr>
        <w:t>3</w:t>
      </w:r>
      <w:r>
        <w:rPr>
          <w:rFonts w:hint="eastAsia" w:ascii="仿宋_GB2312" w:hAnsi="仿宋_GB2312" w:eastAsia="仿宋_GB2312" w:cs="仿宋_GB2312"/>
          <w:b w:val="0"/>
          <w:bCs w:val="0"/>
          <w:color w:val="auto"/>
          <w:kern w:val="0"/>
          <w:sz w:val="32"/>
          <w:szCs w:val="32"/>
          <w:highlight w:val="none"/>
          <w:shd w:val="clear" w:color="auto" w:fill="FFFFFF"/>
          <w:lang w:val="zh-CN" w:eastAsia="zh-CN"/>
        </w:rPr>
        <w:t>）支出控制</w:t>
      </w:r>
    </w:p>
    <w:p>
      <w:pPr>
        <w:widowControl w:val="0"/>
        <w:kinsoku/>
        <w:autoSpaceDE/>
        <w:autoSpaceDN/>
        <w:adjustRightInd/>
        <w:snapToGrid/>
        <w:spacing w:line="576" w:lineRule="exact"/>
        <w:ind w:firstLine="640" w:firstLineChars="200"/>
        <w:jc w:val="both"/>
        <w:textAlignment w:val="auto"/>
        <w:rPr>
          <w:rFonts w:hint="eastAsia"/>
          <w:lang w:val="zh-CN" w:eastAsia="zh-CN"/>
        </w:rPr>
      </w:pPr>
      <w:r>
        <w:rPr>
          <w:rFonts w:hint="eastAsia" w:ascii="Times New Roman" w:hAnsi="Times New Roman" w:eastAsia="仿宋_GB2312" w:cs="Times New Roman"/>
          <w:color w:val="auto"/>
          <w:sz w:val="32"/>
          <w:szCs w:val="32"/>
          <w:shd w:val="clear" w:color="auto" w:fill="FFFFFF"/>
        </w:rPr>
        <w:t>预算数与决算数基本相符</w:t>
      </w:r>
      <w:r>
        <w:rPr>
          <w:rFonts w:hint="eastAsia" w:ascii="Times New Roman" w:hAnsi="Times New Roman" w:eastAsia="仿宋_GB2312" w:cs="Times New Roman"/>
          <w:color w:val="auto"/>
          <w:sz w:val="32"/>
          <w:szCs w:val="32"/>
          <w:shd w:val="clear" w:color="auto" w:fill="FFFFFF"/>
          <w:lang w:eastAsia="zh-CN"/>
        </w:rPr>
        <w:t>，</w:t>
      </w:r>
      <w:r>
        <w:rPr>
          <w:rFonts w:hint="eastAsia" w:ascii="Times New Roman" w:hAnsi="Times New Roman" w:eastAsia="仿宋_GB2312" w:cs="Times New Roman"/>
          <w:color w:val="auto"/>
          <w:sz w:val="32"/>
          <w:szCs w:val="32"/>
          <w:shd w:val="clear" w:color="auto" w:fill="FFFFFF"/>
        </w:rPr>
        <w:t>2022年</w:t>
      </w:r>
      <w:r>
        <w:rPr>
          <w:rFonts w:hint="eastAsia" w:eastAsia="仿宋_GB2312" w:cs="Times New Roman"/>
          <w:color w:val="auto"/>
          <w:sz w:val="32"/>
          <w:szCs w:val="32"/>
          <w:shd w:val="clear" w:color="auto" w:fill="FFFFFF"/>
          <w:lang w:eastAsia="zh-CN"/>
        </w:rPr>
        <w:t>运转类</w:t>
      </w:r>
      <w:r>
        <w:rPr>
          <w:rFonts w:hint="eastAsia" w:ascii="Times New Roman" w:hAnsi="Times New Roman" w:eastAsia="仿宋_GB2312" w:cs="Times New Roman"/>
          <w:color w:val="auto"/>
          <w:sz w:val="32"/>
          <w:szCs w:val="32"/>
          <w:shd w:val="clear" w:color="auto" w:fill="FFFFFF"/>
          <w:lang w:eastAsia="zh-CN"/>
        </w:rPr>
        <w:t>项目</w:t>
      </w:r>
      <w:r>
        <w:rPr>
          <w:rFonts w:hint="eastAsia" w:ascii="Times New Roman" w:hAnsi="Times New Roman" w:eastAsia="仿宋_GB2312" w:cs="Times New Roman"/>
          <w:color w:val="auto"/>
          <w:sz w:val="32"/>
          <w:szCs w:val="32"/>
          <w:shd w:val="clear" w:color="auto" w:fill="FFFFFF"/>
        </w:rPr>
        <w:t>支出决算合计</w:t>
      </w:r>
      <w:r>
        <w:rPr>
          <w:rFonts w:hint="eastAsia" w:eastAsia="仿宋_GB2312" w:cs="Times New Roman"/>
          <w:color w:val="auto"/>
          <w:sz w:val="32"/>
          <w:szCs w:val="32"/>
          <w:shd w:val="clear" w:color="auto" w:fill="FFFFFF"/>
          <w:lang w:val="en-US" w:eastAsia="zh-CN"/>
        </w:rPr>
        <w:t>127.43</w:t>
      </w:r>
      <w:r>
        <w:rPr>
          <w:rFonts w:hint="eastAsia" w:ascii="Times New Roman" w:hAnsi="Times New Roman" w:eastAsia="仿宋_GB2312" w:cs="Times New Roman"/>
          <w:color w:val="auto"/>
          <w:sz w:val="32"/>
          <w:szCs w:val="32"/>
          <w:shd w:val="clear" w:color="auto" w:fill="FFFFFF"/>
        </w:rPr>
        <w:t>万元，其中：</w:t>
      </w:r>
      <w:r>
        <w:rPr>
          <w:rFonts w:hint="eastAsia" w:eastAsia="仿宋_GB2312" w:cs="Times New Roman"/>
          <w:color w:val="auto"/>
          <w:sz w:val="32"/>
          <w:szCs w:val="32"/>
          <w:shd w:val="clear" w:color="auto" w:fill="FFFFFF"/>
          <w:lang w:eastAsia="zh-CN"/>
        </w:rPr>
        <w:t>临聘人员工作经费</w:t>
      </w:r>
      <w:r>
        <w:rPr>
          <w:rFonts w:hint="eastAsia" w:eastAsia="仿宋_GB2312" w:cs="Times New Roman"/>
          <w:color w:val="auto"/>
          <w:sz w:val="32"/>
          <w:szCs w:val="32"/>
          <w:shd w:val="clear" w:color="auto" w:fill="FFFFFF"/>
          <w:lang w:val="en-US" w:eastAsia="zh-CN"/>
        </w:rPr>
        <w:t>5</w:t>
      </w:r>
      <w:r>
        <w:rPr>
          <w:rFonts w:hint="eastAsia" w:ascii="Times New Roman" w:hAnsi="Times New Roman" w:eastAsia="仿宋_GB2312" w:cs="Times New Roman"/>
          <w:color w:val="auto"/>
          <w:sz w:val="32"/>
          <w:szCs w:val="32"/>
          <w:shd w:val="clear" w:color="auto" w:fill="FFFFFF"/>
        </w:rPr>
        <w:t>万元，占</w:t>
      </w:r>
      <w:r>
        <w:rPr>
          <w:rFonts w:hint="eastAsia" w:eastAsia="仿宋_GB2312" w:cs="Times New Roman"/>
          <w:color w:val="auto"/>
          <w:sz w:val="32"/>
          <w:szCs w:val="32"/>
          <w:shd w:val="clear" w:color="auto" w:fill="FFFFFF"/>
          <w:lang w:val="en-US" w:eastAsia="zh-CN"/>
        </w:rPr>
        <w:t>3.92</w:t>
      </w:r>
      <w:r>
        <w:rPr>
          <w:rFonts w:hint="eastAsia" w:ascii="Times New Roman" w:hAnsi="Times New Roman" w:eastAsia="仿宋_GB2312" w:cs="Times New Roman"/>
          <w:color w:val="auto"/>
          <w:sz w:val="32"/>
          <w:szCs w:val="32"/>
          <w:shd w:val="clear" w:color="auto" w:fill="FFFFFF"/>
        </w:rPr>
        <w:t>%；</w:t>
      </w:r>
      <w:r>
        <w:rPr>
          <w:rFonts w:hint="eastAsia" w:eastAsia="仿宋_GB2312" w:cs="Times New Roman"/>
          <w:color w:val="auto"/>
          <w:sz w:val="32"/>
          <w:szCs w:val="32"/>
          <w:shd w:val="clear" w:color="auto" w:fill="FFFFFF"/>
          <w:lang w:eastAsia="zh-CN"/>
        </w:rPr>
        <w:t>医保工作</w:t>
      </w:r>
      <w:r>
        <w:rPr>
          <w:rFonts w:hint="eastAsia" w:ascii="Times New Roman" w:hAnsi="Times New Roman" w:eastAsia="仿宋_GB2312" w:cs="Times New Roman"/>
          <w:color w:val="auto"/>
          <w:sz w:val="32"/>
          <w:szCs w:val="32"/>
          <w:shd w:val="clear" w:color="auto" w:fill="FFFFFF"/>
          <w:lang w:eastAsia="zh-CN"/>
        </w:rPr>
        <w:t>经费</w:t>
      </w:r>
      <w:r>
        <w:rPr>
          <w:rFonts w:hint="eastAsia" w:eastAsia="仿宋_GB2312" w:cs="Times New Roman"/>
          <w:color w:val="auto"/>
          <w:sz w:val="32"/>
          <w:szCs w:val="32"/>
          <w:shd w:val="clear" w:color="auto" w:fill="FFFFFF"/>
          <w:lang w:val="en-US" w:eastAsia="zh-CN"/>
        </w:rPr>
        <w:t>88</w:t>
      </w:r>
      <w:r>
        <w:rPr>
          <w:rFonts w:hint="eastAsia" w:ascii="Times New Roman" w:hAnsi="Times New Roman" w:eastAsia="仿宋_GB2312" w:cs="Times New Roman"/>
          <w:color w:val="auto"/>
          <w:sz w:val="32"/>
          <w:szCs w:val="32"/>
          <w:shd w:val="clear" w:color="auto" w:fill="FFFFFF"/>
        </w:rPr>
        <w:t>万元，占</w:t>
      </w:r>
      <w:r>
        <w:rPr>
          <w:rFonts w:hint="eastAsia" w:eastAsia="仿宋_GB2312" w:cs="Times New Roman"/>
          <w:color w:val="auto"/>
          <w:sz w:val="32"/>
          <w:szCs w:val="32"/>
          <w:shd w:val="clear" w:color="auto" w:fill="FFFFFF"/>
          <w:lang w:val="en-US" w:eastAsia="zh-CN"/>
        </w:rPr>
        <w:t>69.06</w:t>
      </w:r>
      <w:r>
        <w:rPr>
          <w:rFonts w:ascii="Times New Roman" w:hAnsi="Times New Roman" w:eastAsia="仿宋_GB2312" w:cs="Times New Roman"/>
          <w:color w:val="auto"/>
          <w:sz w:val="32"/>
          <w:szCs w:val="32"/>
          <w:shd w:val="clear" w:color="auto" w:fill="FFFFFF"/>
        </w:rPr>
        <w:t>%</w:t>
      </w:r>
      <w:r>
        <w:rPr>
          <w:rFonts w:hint="eastAsia" w:eastAsia="仿宋_GB2312" w:cs="Times New Roman"/>
          <w:color w:val="auto"/>
          <w:sz w:val="32"/>
          <w:szCs w:val="32"/>
          <w:shd w:val="clear" w:color="auto" w:fill="FFFFFF"/>
          <w:lang w:eastAsia="zh-CN"/>
        </w:rPr>
        <w:t>；防贫保第三方机构服务费</w:t>
      </w:r>
      <w:r>
        <w:rPr>
          <w:rFonts w:hint="eastAsia" w:eastAsia="仿宋_GB2312" w:cs="Times New Roman"/>
          <w:color w:val="auto"/>
          <w:sz w:val="32"/>
          <w:szCs w:val="32"/>
          <w:shd w:val="clear" w:color="auto" w:fill="FFFFFF"/>
          <w:lang w:val="en-US" w:eastAsia="zh-CN"/>
        </w:rPr>
        <w:t>9.31万元，占7.31%；公用经费25.12万元，占19.71%。</w:t>
      </w:r>
      <w:r>
        <w:rPr>
          <w:rFonts w:hint="eastAsia" w:ascii="Times New Roman" w:hAnsi="Times New Roman" w:eastAsia="仿宋_GB2312" w:cs="Times New Roman"/>
          <w:color w:val="auto"/>
          <w:sz w:val="32"/>
          <w:szCs w:val="32"/>
          <w:shd w:val="clear" w:color="auto" w:fill="FFFFFF"/>
        </w:rPr>
        <w:t>本年财政收入与财政支出一致。</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_GB2312" w:hAnsi="仿宋_GB2312" w:eastAsia="仿宋_GB2312" w:cs="仿宋_GB2312"/>
          <w:b w:val="0"/>
          <w:bCs w:val="0"/>
          <w:color w:val="auto"/>
          <w:kern w:val="0"/>
          <w:sz w:val="32"/>
          <w:szCs w:val="32"/>
          <w:highlight w:val="none"/>
          <w:shd w:val="clear" w:color="auto" w:fill="FFFFFF"/>
          <w:lang w:val="zh-CN" w:eastAsia="zh-CN"/>
        </w:rPr>
      </w:pPr>
      <w:r>
        <w:rPr>
          <w:rFonts w:hint="eastAsia" w:ascii="仿宋_GB2312" w:hAnsi="仿宋_GB2312" w:eastAsia="仿宋_GB2312" w:cs="仿宋_GB2312"/>
          <w:b w:val="0"/>
          <w:bCs w:val="0"/>
          <w:color w:val="auto"/>
          <w:kern w:val="0"/>
          <w:sz w:val="32"/>
          <w:szCs w:val="32"/>
          <w:highlight w:val="none"/>
          <w:shd w:val="clear" w:color="auto" w:fill="FFFFFF"/>
          <w:lang w:val="zh-CN" w:eastAsia="zh-CN"/>
        </w:rPr>
        <w:t>（</w:t>
      </w:r>
      <w:r>
        <w:rPr>
          <w:rFonts w:hint="eastAsia" w:ascii="仿宋_GB2312" w:hAnsi="仿宋_GB2312" w:eastAsia="仿宋_GB2312" w:cs="仿宋_GB2312"/>
          <w:b w:val="0"/>
          <w:bCs w:val="0"/>
          <w:color w:val="auto"/>
          <w:kern w:val="0"/>
          <w:sz w:val="32"/>
          <w:szCs w:val="32"/>
          <w:highlight w:val="none"/>
          <w:shd w:val="clear" w:color="auto" w:fill="FFFFFF"/>
          <w:lang w:val="en-US" w:eastAsia="zh-CN"/>
        </w:rPr>
        <w:t>4</w:t>
      </w:r>
      <w:r>
        <w:rPr>
          <w:rFonts w:hint="eastAsia" w:ascii="仿宋_GB2312" w:hAnsi="仿宋_GB2312" w:eastAsia="仿宋_GB2312" w:cs="仿宋_GB2312"/>
          <w:b w:val="0"/>
          <w:bCs w:val="0"/>
          <w:color w:val="auto"/>
          <w:kern w:val="0"/>
          <w:sz w:val="32"/>
          <w:szCs w:val="32"/>
          <w:highlight w:val="none"/>
          <w:shd w:val="clear" w:color="auto" w:fill="FFFFFF"/>
          <w:lang w:val="zh-CN" w:eastAsia="zh-CN"/>
        </w:rPr>
        <w:t>）及时处置</w:t>
      </w:r>
    </w:p>
    <w:p>
      <w:pPr>
        <w:widowControl w:val="0"/>
        <w:kinsoku/>
        <w:autoSpaceDE/>
        <w:autoSpaceDN/>
        <w:adjustRightInd/>
        <w:snapToGrid/>
        <w:spacing w:line="576" w:lineRule="exact"/>
        <w:ind w:firstLine="640" w:firstLineChars="200"/>
        <w:jc w:val="both"/>
        <w:textAlignment w:val="auto"/>
        <w:rPr>
          <w:rFonts w:hint="eastAsia"/>
          <w:lang w:val="zh-CN" w:eastAsia="zh-CN"/>
        </w:rPr>
      </w:pPr>
      <w:r>
        <w:rPr>
          <w:rFonts w:hint="eastAsia" w:ascii="Times New Roman" w:hAnsi="Times New Roman" w:eastAsia="仿宋_GB2312" w:cs="Times New Roman"/>
          <w:color w:val="auto"/>
          <w:sz w:val="32"/>
          <w:szCs w:val="32"/>
          <w:shd w:val="clear" w:color="auto" w:fill="FFFFFF"/>
        </w:rPr>
        <w:t>部门绩效监控调整取消额与结余注销额均为零。</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_GB2312" w:hAnsi="仿宋_GB2312" w:eastAsia="仿宋_GB2312" w:cs="仿宋_GB2312"/>
          <w:b w:val="0"/>
          <w:bCs w:val="0"/>
          <w:color w:val="auto"/>
          <w:kern w:val="0"/>
          <w:sz w:val="32"/>
          <w:szCs w:val="32"/>
          <w:highlight w:val="none"/>
          <w:shd w:val="clear" w:color="auto" w:fill="FFFFFF"/>
          <w:lang w:val="zh-CN" w:eastAsia="zh-CN"/>
        </w:rPr>
      </w:pPr>
      <w:r>
        <w:rPr>
          <w:rFonts w:hint="eastAsia" w:ascii="仿宋_GB2312" w:hAnsi="仿宋_GB2312" w:eastAsia="仿宋_GB2312" w:cs="仿宋_GB2312"/>
          <w:b w:val="0"/>
          <w:bCs w:val="0"/>
          <w:color w:val="auto"/>
          <w:kern w:val="0"/>
          <w:sz w:val="32"/>
          <w:szCs w:val="32"/>
          <w:highlight w:val="none"/>
          <w:shd w:val="clear" w:color="auto" w:fill="FFFFFF"/>
          <w:lang w:val="zh-CN" w:eastAsia="zh-CN"/>
        </w:rPr>
        <w:t>（</w:t>
      </w:r>
      <w:r>
        <w:rPr>
          <w:rFonts w:hint="eastAsia" w:ascii="仿宋_GB2312" w:hAnsi="仿宋_GB2312" w:eastAsia="仿宋_GB2312" w:cs="仿宋_GB2312"/>
          <w:b w:val="0"/>
          <w:bCs w:val="0"/>
          <w:color w:val="auto"/>
          <w:kern w:val="0"/>
          <w:sz w:val="32"/>
          <w:szCs w:val="32"/>
          <w:highlight w:val="none"/>
          <w:shd w:val="clear" w:color="auto" w:fill="FFFFFF"/>
          <w:lang w:val="en-US" w:eastAsia="zh-CN"/>
        </w:rPr>
        <w:t>5</w:t>
      </w:r>
      <w:r>
        <w:rPr>
          <w:rFonts w:hint="eastAsia" w:ascii="仿宋_GB2312" w:hAnsi="仿宋_GB2312" w:eastAsia="仿宋_GB2312" w:cs="仿宋_GB2312"/>
          <w:b w:val="0"/>
          <w:bCs w:val="0"/>
          <w:color w:val="auto"/>
          <w:kern w:val="0"/>
          <w:sz w:val="32"/>
          <w:szCs w:val="32"/>
          <w:highlight w:val="none"/>
          <w:shd w:val="clear" w:color="auto" w:fill="FFFFFF"/>
          <w:lang w:val="zh-CN" w:eastAsia="zh-CN"/>
        </w:rPr>
        <w:t>）执行进度</w:t>
      </w:r>
    </w:p>
    <w:p>
      <w:pPr>
        <w:pStyle w:val="5"/>
        <w:numPr>
          <w:ilvl w:val="0"/>
          <w:numId w:val="0"/>
        </w:numPr>
        <w:ind w:leftChars="200" w:firstLine="320" w:firstLineChars="100"/>
        <w:rPr>
          <w:rFonts w:hint="default" w:eastAsia="仿宋_GB2312"/>
          <w:lang w:val="en-US" w:eastAsia="zh-CN"/>
        </w:rPr>
      </w:pPr>
      <w:r>
        <w:rPr>
          <w:rFonts w:hint="eastAsia" w:ascii="Times New Roman" w:hAnsi="Times New Roman" w:eastAsia="仿宋_GB2312" w:cs="Times New Roman"/>
          <w:color w:val="auto"/>
          <w:sz w:val="32"/>
          <w:szCs w:val="32"/>
          <w:shd w:val="clear" w:color="auto" w:fill="FFFFFF"/>
        </w:rPr>
        <w:t>按规定部门预算执行进度</w:t>
      </w:r>
      <w:r>
        <w:rPr>
          <w:rFonts w:hint="eastAsia" w:ascii="Times New Roman" w:hAnsi="Times New Roman" w:cs="Times New Roman"/>
          <w:color w:val="auto"/>
          <w:sz w:val="32"/>
          <w:szCs w:val="32"/>
          <w:shd w:val="clear" w:color="auto" w:fill="FFFFFF"/>
          <w:lang w:eastAsia="zh-CN"/>
        </w:rPr>
        <w:t>为</w:t>
      </w:r>
      <w:r>
        <w:rPr>
          <w:rFonts w:hint="eastAsia" w:ascii="Times New Roman" w:hAnsi="Times New Roman" w:cs="Times New Roman"/>
          <w:color w:val="auto"/>
          <w:sz w:val="32"/>
          <w:szCs w:val="32"/>
          <w:shd w:val="clear" w:color="auto" w:fill="FFFFFF"/>
          <w:lang w:val="en-US" w:eastAsia="zh-CN"/>
        </w:rPr>
        <w:t>100%。</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eastAsia="仿宋_GB2312"/>
          <w:lang w:val="zh-CN" w:eastAsia="zh-CN"/>
        </w:rPr>
      </w:pPr>
      <w:r>
        <w:rPr>
          <w:rFonts w:hint="eastAsia" w:ascii="仿宋_GB2312" w:hAnsi="仿宋_GB2312" w:eastAsia="仿宋_GB2312" w:cs="仿宋_GB2312"/>
          <w:b w:val="0"/>
          <w:bCs w:val="0"/>
          <w:color w:val="auto"/>
          <w:kern w:val="0"/>
          <w:sz w:val="32"/>
          <w:szCs w:val="32"/>
          <w:highlight w:val="none"/>
          <w:shd w:val="clear" w:color="auto" w:fill="FFFFFF"/>
          <w:lang w:val="zh-CN" w:eastAsia="zh-CN"/>
        </w:rPr>
        <w:t>（</w:t>
      </w:r>
      <w:r>
        <w:rPr>
          <w:rFonts w:hint="eastAsia" w:ascii="仿宋_GB2312" w:hAnsi="仿宋_GB2312" w:eastAsia="仿宋_GB2312" w:cs="仿宋_GB2312"/>
          <w:b w:val="0"/>
          <w:bCs w:val="0"/>
          <w:color w:val="auto"/>
          <w:kern w:val="0"/>
          <w:sz w:val="32"/>
          <w:szCs w:val="32"/>
          <w:highlight w:val="none"/>
          <w:shd w:val="clear" w:color="auto" w:fill="FFFFFF"/>
          <w:lang w:val="en-US" w:eastAsia="zh-CN"/>
        </w:rPr>
        <w:t>6</w:t>
      </w:r>
      <w:r>
        <w:rPr>
          <w:rFonts w:hint="eastAsia" w:ascii="仿宋_GB2312" w:hAnsi="仿宋_GB2312" w:eastAsia="仿宋_GB2312" w:cs="仿宋_GB2312"/>
          <w:b w:val="0"/>
          <w:bCs w:val="0"/>
          <w:color w:val="auto"/>
          <w:kern w:val="0"/>
          <w:sz w:val="32"/>
          <w:szCs w:val="32"/>
          <w:highlight w:val="none"/>
          <w:shd w:val="clear" w:color="auto" w:fill="FFFFFF"/>
          <w:lang w:val="zh-CN" w:eastAsia="zh-CN"/>
        </w:rPr>
        <w:t>）预算完成情况</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eastAsia="仿宋_GB2312"/>
          <w:lang w:val="zh-CN" w:eastAsia="zh-CN"/>
        </w:rPr>
      </w:pPr>
      <w:r>
        <w:rPr>
          <w:rFonts w:hint="eastAsia" w:eastAsia="仿宋_GB2312" w:cs="Times New Roman"/>
          <w:color w:val="auto"/>
          <w:sz w:val="32"/>
          <w:szCs w:val="32"/>
          <w:shd w:val="clear" w:color="auto" w:fill="FFFFFF"/>
          <w:lang w:eastAsia="zh-CN"/>
        </w:rPr>
        <w:t>运转类</w:t>
      </w:r>
      <w:r>
        <w:rPr>
          <w:rFonts w:hint="eastAsia" w:ascii="Times New Roman" w:hAnsi="Times New Roman" w:eastAsia="仿宋_GB2312" w:cs="Times New Roman"/>
          <w:color w:val="auto"/>
          <w:sz w:val="32"/>
          <w:szCs w:val="32"/>
          <w:shd w:val="clear" w:color="auto" w:fill="FFFFFF"/>
        </w:rPr>
        <w:t>预算项目12月预算执行进度达到100%</w:t>
      </w:r>
      <w:r>
        <w:rPr>
          <w:rFonts w:hint="eastAsia" w:ascii="Times New Roman" w:hAnsi="Times New Roman" w:cs="Times New Roman"/>
          <w:color w:val="auto"/>
          <w:sz w:val="32"/>
          <w:szCs w:val="32"/>
          <w:shd w:val="clear" w:color="auto" w:fill="FFFFFF"/>
          <w:lang w:eastAsia="zh-CN"/>
        </w:rPr>
        <w:t>。</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_GB2312" w:hAnsi="仿宋_GB2312" w:eastAsia="仿宋_GB2312" w:cs="仿宋_GB2312"/>
          <w:b w:val="0"/>
          <w:bCs w:val="0"/>
          <w:color w:val="auto"/>
          <w:kern w:val="0"/>
          <w:sz w:val="32"/>
          <w:szCs w:val="32"/>
          <w:highlight w:val="none"/>
          <w:shd w:val="clear" w:color="auto" w:fill="FFFFFF"/>
          <w:lang w:val="zh-CN" w:eastAsia="zh-CN"/>
        </w:rPr>
      </w:pPr>
      <w:r>
        <w:rPr>
          <w:rFonts w:hint="eastAsia" w:ascii="仿宋_GB2312" w:hAnsi="仿宋_GB2312" w:eastAsia="仿宋_GB2312" w:cs="仿宋_GB2312"/>
          <w:b w:val="0"/>
          <w:bCs w:val="0"/>
          <w:color w:val="auto"/>
          <w:kern w:val="0"/>
          <w:sz w:val="32"/>
          <w:szCs w:val="32"/>
          <w:highlight w:val="none"/>
          <w:shd w:val="clear" w:color="auto" w:fill="FFFFFF"/>
          <w:lang w:val="zh-CN" w:eastAsia="zh-CN"/>
        </w:rPr>
        <w:t>（</w:t>
      </w:r>
      <w:r>
        <w:rPr>
          <w:rFonts w:hint="eastAsia" w:ascii="仿宋_GB2312" w:hAnsi="仿宋_GB2312" w:eastAsia="仿宋_GB2312" w:cs="仿宋_GB2312"/>
          <w:b w:val="0"/>
          <w:bCs w:val="0"/>
          <w:color w:val="auto"/>
          <w:kern w:val="0"/>
          <w:sz w:val="32"/>
          <w:szCs w:val="32"/>
          <w:highlight w:val="none"/>
          <w:shd w:val="clear" w:color="auto" w:fill="FFFFFF"/>
          <w:lang w:val="en-US" w:eastAsia="zh-CN"/>
        </w:rPr>
        <w:t>7</w:t>
      </w:r>
      <w:r>
        <w:rPr>
          <w:rFonts w:hint="eastAsia" w:ascii="仿宋_GB2312" w:hAnsi="仿宋_GB2312" w:eastAsia="仿宋_GB2312" w:cs="仿宋_GB2312"/>
          <w:b w:val="0"/>
          <w:bCs w:val="0"/>
          <w:color w:val="auto"/>
          <w:kern w:val="0"/>
          <w:sz w:val="32"/>
          <w:szCs w:val="32"/>
          <w:highlight w:val="none"/>
          <w:shd w:val="clear" w:color="auto" w:fill="FFFFFF"/>
          <w:lang w:val="zh-CN" w:eastAsia="zh-CN"/>
        </w:rPr>
        <w:t>）资金结余率</w:t>
      </w:r>
    </w:p>
    <w:p>
      <w:pPr>
        <w:pStyle w:val="5"/>
        <w:numPr>
          <w:ilvl w:val="0"/>
          <w:numId w:val="0"/>
        </w:numPr>
        <w:ind w:leftChars="200" w:firstLine="320" w:firstLineChars="100"/>
        <w:rPr>
          <w:rFonts w:hint="eastAsia"/>
          <w:lang w:val="zh-CN" w:eastAsia="zh-CN"/>
        </w:rPr>
      </w:pPr>
      <w:r>
        <w:rPr>
          <w:rFonts w:hint="eastAsia" w:ascii="Times New Roman" w:hAnsi="Times New Roman" w:eastAsia="仿宋_GB2312" w:cs="Times New Roman"/>
          <w:color w:val="auto"/>
          <w:sz w:val="32"/>
          <w:szCs w:val="32"/>
          <w:shd w:val="clear" w:color="auto" w:fill="FFFFFF"/>
        </w:rPr>
        <w:t>2022年</w:t>
      </w:r>
      <w:r>
        <w:rPr>
          <w:rFonts w:hint="eastAsia" w:ascii="Times New Roman" w:cs="Times New Roman"/>
          <w:color w:val="auto"/>
          <w:sz w:val="32"/>
          <w:szCs w:val="32"/>
          <w:shd w:val="clear" w:color="auto" w:fill="FFFFFF"/>
          <w:lang w:eastAsia="zh-CN"/>
        </w:rPr>
        <w:t>运转类</w:t>
      </w:r>
      <w:r>
        <w:rPr>
          <w:rFonts w:hint="eastAsia" w:ascii="Times New Roman" w:hAnsi="Times New Roman" w:cs="Times New Roman"/>
          <w:color w:val="auto"/>
          <w:sz w:val="32"/>
          <w:szCs w:val="32"/>
          <w:shd w:val="clear" w:color="auto" w:fill="FFFFFF"/>
          <w:lang w:eastAsia="zh-CN"/>
        </w:rPr>
        <w:t>项目</w:t>
      </w:r>
      <w:r>
        <w:rPr>
          <w:rFonts w:hint="eastAsia" w:ascii="Times New Roman" w:hAnsi="Times New Roman" w:eastAsia="仿宋_GB2312" w:cs="Times New Roman"/>
          <w:color w:val="auto"/>
          <w:sz w:val="32"/>
          <w:szCs w:val="32"/>
          <w:shd w:val="clear" w:color="auto" w:fill="FFFFFF"/>
        </w:rPr>
        <w:t>结转结余资金0万元。</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_GB2312" w:hAnsi="仿宋_GB2312" w:eastAsia="仿宋_GB2312" w:cs="仿宋_GB2312"/>
          <w:b w:val="0"/>
          <w:bCs w:val="0"/>
          <w:color w:val="auto"/>
          <w:kern w:val="0"/>
          <w:sz w:val="32"/>
          <w:szCs w:val="32"/>
          <w:highlight w:val="none"/>
          <w:shd w:val="clear" w:color="auto" w:fill="FFFFFF"/>
          <w:lang w:val="zh-CN" w:eastAsia="zh-CN"/>
        </w:rPr>
      </w:pPr>
      <w:r>
        <w:rPr>
          <w:rFonts w:hint="eastAsia" w:ascii="仿宋_GB2312" w:hAnsi="仿宋_GB2312" w:eastAsia="仿宋_GB2312" w:cs="仿宋_GB2312"/>
          <w:b w:val="0"/>
          <w:bCs w:val="0"/>
          <w:color w:val="auto"/>
          <w:kern w:val="0"/>
          <w:sz w:val="32"/>
          <w:szCs w:val="32"/>
          <w:highlight w:val="none"/>
          <w:shd w:val="clear" w:color="auto" w:fill="FFFFFF"/>
          <w:lang w:val="zh-CN" w:eastAsia="zh-CN"/>
        </w:rPr>
        <w:t>（</w:t>
      </w:r>
      <w:r>
        <w:rPr>
          <w:rFonts w:hint="eastAsia" w:ascii="仿宋_GB2312" w:hAnsi="仿宋_GB2312" w:eastAsia="仿宋_GB2312" w:cs="仿宋_GB2312"/>
          <w:b w:val="0"/>
          <w:bCs w:val="0"/>
          <w:color w:val="auto"/>
          <w:kern w:val="0"/>
          <w:sz w:val="32"/>
          <w:szCs w:val="32"/>
          <w:highlight w:val="none"/>
          <w:shd w:val="clear" w:color="auto" w:fill="FFFFFF"/>
          <w:lang w:val="en-US" w:eastAsia="zh-CN"/>
        </w:rPr>
        <w:t>8</w:t>
      </w:r>
      <w:r>
        <w:rPr>
          <w:rFonts w:hint="eastAsia" w:ascii="仿宋_GB2312" w:hAnsi="仿宋_GB2312" w:eastAsia="仿宋_GB2312" w:cs="仿宋_GB2312"/>
          <w:b w:val="0"/>
          <w:bCs w:val="0"/>
          <w:color w:val="auto"/>
          <w:kern w:val="0"/>
          <w:sz w:val="32"/>
          <w:szCs w:val="32"/>
          <w:highlight w:val="none"/>
          <w:shd w:val="clear" w:color="auto" w:fill="FFFFFF"/>
          <w:lang w:val="zh-CN" w:eastAsia="zh-CN"/>
        </w:rPr>
        <w:t>）违规记录情况</w:t>
      </w:r>
    </w:p>
    <w:p>
      <w:pPr>
        <w:widowControl w:val="0"/>
        <w:kinsoku/>
        <w:autoSpaceDE/>
        <w:autoSpaceDN/>
        <w:adjustRightInd/>
        <w:snapToGrid/>
        <w:spacing w:line="576" w:lineRule="exact"/>
        <w:ind w:firstLine="640" w:firstLineChars="200"/>
        <w:jc w:val="both"/>
        <w:textAlignment w:val="auto"/>
        <w:rPr>
          <w:rFonts w:ascii="Times New Roman" w:hAnsi="Times New Roman" w:eastAsia="仿宋_GB2312" w:cs="Times New Roman"/>
          <w:color w:val="auto"/>
          <w:sz w:val="32"/>
          <w:szCs w:val="32"/>
          <w:shd w:val="clear" w:color="auto" w:fill="FFFFFF"/>
        </w:rPr>
      </w:pPr>
      <w:r>
        <w:rPr>
          <w:rFonts w:hint="eastAsia" w:ascii="Times New Roman" w:hAnsi="Times New Roman" w:eastAsia="仿宋_GB2312" w:cs="Times New Roman"/>
          <w:color w:val="auto"/>
          <w:sz w:val="32"/>
          <w:szCs w:val="32"/>
          <w:shd w:val="clear" w:color="auto" w:fill="FFFFFF"/>
        </w:rPr>
        <w:t>2022年度不存在审计监督、财政检查等违纪违规问题。</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default" w:ascii="仿宋_GB2312" w:hAnsi="仿宋_GB2312" w:eastAsia="仿宋_GB2312" w:cs="仿宋_GB2312"/>
          <w:b w:val="0"/>
          <w:bCs w:val="0"/>
          <w:color w:val="auto"/>
          <w:kern w:val="0"/>
          <w:sz w:val="32"/>
          <w:szCs w:val="32"/>
          <w:highlight w:val="none"/>
          <w:shd w:val="clear" w:color="auto" w:fill="FFFFFF"/>
          <w:lang w:val="en-US" w:eastAsia="zh-CN"/>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rPr>
        <w:t>3.特定目标类项目绩效分析</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_GB2312" w:hAnsi="仿宋_GB2312" w:eastAsia="仿宋_GB2312" w:cs="仿宋_GB2312"/>
          <w:b w:val="0"/>
          <w:bCs w:val="0"/>
          <w:color w:val="auto"/>
          <w:kern w:val="0"/>
          <w:sz w:val="32"/>
          <w:szCs w:val="32"/>
          <w:highlight w:val="none"/>
          <w:shd w:val="clear" w:color="auto" w:fill="FFFFFF"/>
          <w:lang w:val="zh-CN" w:eastAsia="zh-CN"/>
        </w:rPr>
      </w:pPr>
      <w:r>
        <w:rPr>
          <w:rFonts w:hint="eastAsia" w:ascii="仿宋_GB2312" w:hAnsi="仿宋_GB2312" w:eastAsia="仿宋_GB2312" w:cs="仿宋_GB2312"/>
          <w:b w:val="0"/>
          <w:bCs w:val="0"/>
          <w:color w:val="auto"/>
          <w:kern w:val="0"/>
          <w:sz w:val="32"/>
          <w:szCs w:val="32"/>
          <w:highlight w:val="none"/>
          <w:shd w:val="clear" w:color="auto" w:fill="FFFFFF"/>
          <w:lang w:val="zh-CN" w:eastAsia="zh-CN"/>
        </w:rPr>
        <w:t>（</w:t>
      </w:r>
      <w:r>
        <w:rPr>
          <w:rFonts w:hint="eastAsia" w:ascii="仿宋_GB2312" w:hAnsi="仿宋_GB2312" w:eastAsia="仿宋_GB2312" w:cs="仿宋_GB2312"/>
          <w:b w:val="0"/>
          <w:bCs w:val="0"/>
          <w:color w:val="auto"/>
          <w:kern w:val="0"/>
          <w:sz w:val="32"/>
          <w:szCs w:val="32"/>
          <w:highlight w:val="none"/>
          <w:shd w:val="clear" w:color="auto" w:fill="FFFFFF"/>
          <w:lang w:val="en-US" w:eastAsia="zh-CN"/>
        </w:rPr>
        <w:t>1</w:t>
      </w:r>
      <w:r>
        <w:rPr>
          <w:rFonts w:hint="eastAsia" w:ascii="仿宋_GB2312" w:hAnsi="仿宋_GB2312" w:eastAsia="仿宋_GB2312" w:cs="仿宋_GB2312"/>
          <w:b w:val="0"/>
          <w:bCs w:val="0"/>
          <w:color w:val="auto"/>
          <w:kern w:val="0"/>
          <w:sz w:val="32"/>
          <w:szCs w:val="32"/>
          <w:highlight w:val="none"/>
          <w:shd w:val="clear" w:color="auto" w:fill="FFFFFF"/>
          <w:lang w:val="zh-CN" w:eastAsia="zh-CN"/>
        </w:rPr>
        <w:t>）部门绩效目标制定</w:t>
      </w:r>
    </w:p>
    <w:p>
      <w:pPr>
        <w:widowControl w:val="0"/>
        <w:kinsoku/>
        <w:autoSpaceDE/>
        <w:autoSpaceDN/>
        <w:adjustRightInd/>
        <w:snapToGrid/>
        <w:spacing w:line="576" w:lineRule="exact"/>
        <w:ind w:firstLine="640" w:firstLineChars="200"/>
        <w:jc w:val="both"/>
        <w:textAlignment w:val="auto"/>
        <w:rPr>
          <w:rFonts w:hint="default" w:eastAsia="仿宋_GB2312"/>
          <w:lang w:val="en-US" w:eastAsia="zh-CN"/>
        </w:rPr>
      </w:pPr>
      <w:r>
        <w:rPr>
          <w:rFonts w:hint="eastAsia" w:ascii="Times New Roman" w:hAnsi="Times New Roman" w:eastAsia="仿宋_GB2312" w:cs="Times New Roman"/>
          <w:color w:val="auto"/>
          <w:sz w:val="32"/>
          <w:szCs w:val="32"/>
          <w:shd w:val="clear" w:color="auto" w:fill="FFFFFF"/>
        </w:rPr>
        <w:t>按规定设置</w:t>
      </w:r>
      <w:r>
        <w:rPr>
          <w:rFonts w:hint="eastAsia" w:eastAsia="仿宋_GB2312" w:cs="Times New Roman"/>
          <w:color w:val="auto"/>
          <w:sz w:val="32"/>
          <w:szCs w:val="32"/>
          <w:shd w:val="clear" w:color="auto" w:fill="FFFFFF"/>
          <w:lang w:eastAsia="zh-CN"/>
        </w:rPr>
        <w:t>特定</w:t>
      </w:r>
      <w:r>
        <w:rPr>
          <w:rFonts w:hint="eastAsia" w:ascii="Times New Roman" w:hAnsi="Times New Roman" w:eastAsia="仿宋_GB2312" w:cs="Times New Roman"/>
          <w:color w:val="auto"/>
          <w:sz w:val="32"/>
          <w:szCs w:val="32"/>
          <w:shd w:val="clear" w:color="auto" w:fill="FFFFFF"/>
          <w:lang w:eastAsia="zh-CN"/>
        </w:rPr>
        <w:t>项目</w:t>
      </w:r>
      <w:r>
        <w:rPr>
          <w:rFonts w:hint="eastAsia" w:ascii="Times New Roman" w:hAnsi="Times New Roman" w:eastAsia="仿宋_GB2312" w:cs="Times New Roman"/>
          <w:color w:val="auto"/>
          <w:sz w:val="32"/>
          <w:szCs w:val="32"/>
          <w:shd w:val="clear" w:color="auto" w:fill="FFFFFF"/>
        </w:rPr>
        <w:t>绩效目标，绩效目标编制要素完整，</w:t>
      </w:r>
      <w:r>
        <w:rPr>
          <w:rFonts w:hint="eastAsia" w:ascii="Times New Roman" w:hAnsi="Times New Roman" w:eastAsia="仿宋_GB2312" w:cs="Times New Roman"/>
          <w:color w:val="auto"/>
          <w:sz w:val="32"/>
          <w:szCs w:val="32"/>
          <w:shd w:val="clear" w:color="auto" w:fill="FFFFFF"/>
          <w:lang w:eastAsia="zh-CN"/>
        </w:rPr>
        <w:t>设立产出指标、成本指标、效益指标、满意度指标，</w:t>
      </w:r>
      <w:r>
        <w:rPr>
          <w:rFonts w:hint="eastAsia" w:ascii="Times New Roman" w:hAnsi="Times New Roman" w:eastAsia="仿宋_GB2312" w:cs="Times New Roman"/>
          <w:color w:val="auto"/>
          <w:sz w:val="32"/>
          <w:szCs w:val="32"/>
          <w:shd w:val="clear" w:color="auto" w:fill="FFFFFF"/>
        </w:rPr>
        <w:t>覆盖三级指标，且绩效指标可细化、可量化</w:t>
      </w:r>
      <w:r>
        <w:rPr>
          <w:rFonts w:hint="eastAsia" w:ascii="Times New Roman" w:hAnsi="Times New Roman" w:eastAsia="仿宋_GB2312" w:cs="Times New Roman"/>
          <w:color w:val="auto"/>
          <w:sz w:val="32"/>
          <w:szCs w:val="32"/>
          <w:shd w:val="clear" w:color="auto" w:fill="FFFFFF"/>
          <w:lang w:eastAsia="zh-CN"/>
        </w:rPr>
        <w:t>，着力保障</w:t>
      </w:r>
      <w:r>
        <w:rPr>
          <w:rFonts w:hint="eastAsia" w:eastAsia="仿宋_GB2312" w:cs="Times New Roman"/>
          <w:color w:val="auto"/>
          <w:sz w:val="32"/>
          <w:szCs w:val="32"/>
          <w:shd w:val="clear" w:color="auto" w:fill="FFFFFF"/>
          <w:lang w:val="en-US" w:eastAsia="zh-CN"/>
        </w:rPr>
        <w:t>二老一残人员医疗费用报销、医疗服务与保障能力提升和防贫保第三方机构服务费开支。</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_GB2312" w:hAnsi="仿宋_GB2312" w:eastAsia="仿宋_GB2312" w:cs="仿宋_GB2312"/>
          <w:b w:val="0"/>
          <w:bCs w:val="0"/>
          <w:color w:val="auto"/>
          <w:kern w:val="0"/>
          <w:sz w:val="32"/>
          <w:szCs w:val="32"/>
          <w:highlight w:val="none"/>
          <w:shd w:val="clear" w:color="auto" w:fill="FFFFFF"/>
          <w:lang w:val="zh-CN" w:eastAsia="zh-CN"/>
        </w:rPr>
      </w:pPr>
      <w:r>
        <w:rPr>
          <w:rFonts w:hint="eastAsia" w:ascii="仿宋_GB2312" w:hAnsi="仿宋_GB2312" w:eastAsia="仿宋_GB2312" w:cs="仿宋_GB2312"/>
          <w:b w:val="0"/>
          <w:bCs w:val="0"/>
          <w:color w:val="auto"/>
          <w:kern w:val="0"/>
          <w:sz w:val="32"/>
          <w:szCs w:val="32"/>
          <w:highlight w:val="none"/>
          <w:shd w:val="clear" w:color="auto" w:fill="FFFFFF"/>
          <w:lang w:val="zh-CN" w:eastAsia="zh-CN"/>
        </w:rPr>
        <w:t>（</w:t>
      </w:r>
      <w:r>
        <w:rPr>
          <w:rFonts w:hint="eastAsia" w:ascii="仿宋_GB2312" w:hAnsi="仿宋_GB2312" w:eastAsia="仿宋_GB2312" w:cs="仿宋_GB2312"/>
          <w:b w:val="0"/>
          <w:bCs w:val="0"/>
          <w:color w:val="auto"/>
          <w:kern w:val="0"/>
          <w:sz w:val="32"/>
          <w:szCs w:val="32"/>
          <w:highlight w:val="none"/>
          <w:shd w:val="clear" w:color="auto" w:fill="FFFFFF"/>
          <w:lang w:val="en-US" w:eastAsia="zh-CN"/>
        </w:rPr>
        <w:t>2</w:t>
      </w:r>
      <w:r>
        <w:rPr>
          <w:rFonts w:hint="eastAsia" w:ascii="仿宋_GB2312" w:hAnsi="仿宋_GB2312" w:eastAsia="仿宋_GB2312" w:cs="仿宋_GB2312"/>
          <w:b w:val="0"/>
          <w:bCs w:val="0"/>
          <w:color w:val="auto"/>
          <w:kern w:val="0"/>
          <w:sz w:val="32"/>
          <w:szCs w:val="32"/>
          <w:highlight w:val="none"/>
          <w:shd w:val="clear" w:color="auto" w:fill="FFFFFF"/>
          <w:lang w:val="zh-CN" w:eastAsia="zh-CN"/>
        </w:rPr>
        <w:t>）目标实现</w:t>
      </w:r>
    </w:p>
    <w:p>
      <w:pPr>
        <w:pStyle w:val="5"/>
        <w:numPr>
          <w:ilvl w:val="0"/>
          <w:numId w:val="0"/>
        </w:numPr>
        <w:rPr>
          <w:rFonts w:hint="default"/>
          <w:lang w:val="en-US" w:eastAsia="zh-CN"/>
        </w:rPr>
      </w:pPr>
      <w:r>
        <w:rPr>
          <w:rFonts w:hint="eastAsia"/>
          <w:lang w:val="en-US" w:eastAsia="zh-CN"/>
        </w:rPr>
        <w:t xml:space="preserve">    </w:t>
      </w:r>
      <w:r>
        <w:rPr>
          <w:rFonts w:hint="eastAsia" w:ascii="Times New Roman" w:hAnsi="Times New Roman" w:eastAsia="仿宋_GB2312" w:cs="Times New Roman"/>
          <w:color w:val="auto"/>
          <w:sz w:val="32"/>
          <w:szCs w:val="32"/>
          <w:shd w:val="clear" w:color="auto" w:fill="FFFFFF"/>
        </w:rPr>
        <w:t>以</w:t>
      </w:r>
      <w:r>
        <w:rPr>
          <w:rFonts w:hint="eastAsia" w:ascii="Times New Roman" w:cs="Times New Roman"/>
          <w:color w:val="auto"/>
          <w:sz w:val="32"/>
          <w:szCs w:val="32"/>
          <w:shd w:val="clear" w:color="auto" w:fill="FFFFFF"/>
          <w:lang w:eastAsia="zh-CN"/>
        </w:rPr>
        <w:t>特定</w:t>
      </w:r>
      <w:r>
        <w:rPr>
          <w:rFonts w:hint="eastAsia" w:ascii="Times New Roman" w:hAnsi="Times New Roman" w:eastAsia="仿宋_GB2312" w:cs="Times New Roman"/>
          <w:color w:val="auto"/>
          <w:sz w:val="32"/>
          <w:szCs w:val="32"/>
          <w:shd w:val="clear" w:color="auto" w:fill="FFFFFF"/>
        </w:rPr>
        <w:t>项目完成数量为核心，</w:t>
      </w:r>
      <w:r>
        <w:rPr>
          <w:rFonts w:hint="eastAsia" w:ascii="Times New Roman" w:cs="Times New Roman"/>
          <w:color w:val="auto"/>
          <w:sz w:val="32"/>
          <w:szCs w:val="32"/>
          <w:shd w:val="clear" w:color="auto" w:fill="FFFFFF"/>
          <w:lang w:eastAsia="zh-CN"/>
        </w:rPr>
        <w:t>特定类</w:t>
      </w:r>
      <w:r>
        <w:rPr>
          <w:rFonts w:hint="eastAsia" w:ascii="Times New Roman" w:hAnsi="Times New Roman" w:eastAsia="仿宋_GB2312" w:cs="Times New Roman"/>
          <w:color w:val="auto"/>
          <w:sz w:val="32"/>
          <w:szCs w:val="32"/>
          <w:shd w:val="clear" w:color="auto" w:fill="FFFFFF"/>
        </w:rPr>
        <w:t>项目实际完成情况与预期绩效目标基本相符</w:t>
      </w:r>
      <w:r>
        <w:rPr>
          <w:rFonts w:hint="eastAsia" w:ascii="Times New Roman" w:hAnsi="Times New Roman" w:cs="Times New Roman"/>
          <w:color w:val="auto"/>
          <w:sz w:val="32"/>
          <w:szCs w:val="32"/>
          <w:shd w:val="clear" w:color="auto" w:fill="FFFFFF"/>
          <w:lang w:eastAsia="zh-CN"/>
        </w:rPr>
        <w:t>，</w:t>
      </w:r>
      <w:r>
        <w:rPr>
          <w:rFonts w:hint="eastAsia"/>
          <w:lang w:val="en-US" w:eastAsia="zh-CN"/>
        </w:rPr>
        <w:t>及时兑付医疗服务与保障能力提升资金和返贫保第三方机构服务费、报销二老一残人员医疗费用。</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_GB2312" w:hAnsi="仿宋_GB2312" w:eastAsia="仿宋_GB2312" w:cs="仿宋_GB2312"/>
          <w:b w:val="0"/>
          <w:bCs w:val="0"/>
          <w:color w:val="auto"/>
          <w:kern w:val="0"/>
          <w:sz w:val="32"/>
          <w:szCs w:val="32"/>
          <w:highlight w:val="none"/>
          <w:shd w:val="clear" w:color="auto" w:fill="FFFFFF"/>
          <w:lang w:val="zh-CN" w:eastAsia="zh-CN"/>
        </w:rPr>
      </w:pPr>
      <w:r>
        <w:rPr>
          <w:rFonts w:hint="eastAsia" w:ascii="仿宋_GB2312" w:hAnsi="仿宋_GB2312" w:eastAsia="仿宋_GB2312" w:cs="仿宋_GB2312"/>
          <w:b w:val="0"/>
          <w:bCs w:val="0"/>
          <w:color w:val="auto"/>
          <w:kern w:val="0"/>
          <w:sz w:val="32"/>
          <w:szCs w:val="32"/>
          <w:highlight w:val="none"/>
          <w:shd w:val="clear" w:color="auto" w:fill="FFFFFF"/>
          <w:lang w:val="zh-CN" w:eastAsia="zh-CN"/>
        </w:rPr>
        <w:t>（</w:t>
      </w:r>
      <w:r>
        <w:rPr>
          <w:rFonts w:hint="eastAsia" w:ascii="仿宋_GB2312" w:hAnsi="仿宋_GB2312" w:eastAsia="仿宋_GB2312" w:cs="仿宋_GB2312"/>
          <w:b w:val="0"/>
          <w:bCs w:val="0"/>
          <w:color w:val="auto"/>
          <w:kern w:val="0"/>
          <w:sz w:val="32"/>
          <w:szCs w:val="32"/>
          <w:highlight w:val="none"/>
          <w:shd w:val="clear" w:color="auto" w:fill="FFFFFF"/>
          <w:lang w:val="en-US" w:eastAsia="zh-CN"/>
        </w:rPr>
        <w:t>3</w:t>
      </w:r>
      <w:r>
        <w:rPr>
          <w:rFonts w:hint="eastAsia" w:ascii="仿宋_GB2312" w:hAnsi="仿宋_GB2312" w:eastAsia="仿宋_GB2312" w:cs="仿宋_GB2312"/>
          <w:b w:val="0"/>
          <w:bCs w:val="0"/>
          <w:color w:val="auto"/>
          <w:kern w:val="0"/>
          <w:sz w:val="32"/>
          <w:szCs w:val="32"/>
          <w:highlight w:val="none"/>
          <w:shd w:val="clear" w:color="auto" w:fill="FFFFFF"/>
          <w:lang w:val="zh-CN" w:eastAsia="zh-CN"/>
        </w:rPr>
        <w:t>）支出控制</w:t>
      </w:r>
    </w:p>
    <w:p>
      <w:pPr>
        <w:widowControl w:val="0"/>
        <w:kinsoku/>
        <w:autoSpaceDE/>
        <w:autoSpaceDN/>
        <w:adjustRightInd/>
        <w:snapToGrid/>
        <w:spacing w:line="576" w:lineRule="exact"/>
        <w:ind w:firstLine="640" w:firstLineChars="200"/>
        <w:jc w:val="both"/>
        <w:textAlignment w:val="auto"/>
        <w:rPr>
          <w:rFonts w:hint="eastAsia"/>
          <w:lang w:val="zh-CN" w:eastAsia="zh-CN"/>
        </w:rPr>
      </w:pPr>
      <w:r>
        <w:rPr>
          <w:rFonts w:hint="eastAsia" w:ascii="Times New Roman" w:hAnsi="Times New Roman" w:eastAsia="仿宋_GB2312" w:cs="Times New Roman"/>
          <w:color w:val="auto"/>
          <w:sz w:val="32"/>
          <w:szCs w:val="32"/>
          <w:shd w:val="clear" w:color="auto" w:fill="FFFFFF"/>
        </w:rPr>
        <w:t>预算数与决算数基本相符</w:t>
      </w:r>
      <w:r>
        <w:rPr>
          <w:rFonts w:hint="eastAsia" w:ascii="Times New Roman" w:hAnsi="Times New Roman" w:eastAsia="仿宋_GB2312" w:cs="Times New Roman"/>
          <w:color w:val="auto"/>
          <w:sz w:val="32"/>
          <w:szCs w:val="32"/>
          <w:shd w:val="clear" w:color="auto" w:fill="FFFFFF"/>
          <w:lang w:eastAsia="zh-CN"/>
        </w:rPr>
        <w:t>，</w:t>
      </w:r>
      <w:r>
        <w:rPr>
          <w:rFonts w:hint="eastAsia" w:ascii="Times New Roman" w:hAnsi="Times New Roman" w:eastAsia="仿宋_GB2312" w:cs="Times New Roman"/>
          <w:color w:val="auto"/>
          <w:sz w:val="32"/>
          <w:szCs w:val="32"/>
          <w:shd w:val="clear" w:color="auto" w:fill="FFFFFF"/>
        </w:rPr>
        <w:t>2022年</w:t>
      </w:r>
      <w:r>
        <w:rPr>
          <w:rFonts w:hint="eastAsia" w:eastAsia="仿宋_GB2312" w:cs="Times New Roman"/>
          <w:color w:val="auto"/>
          <w:sz w:val="32"/>
          <w:szCs w:val="32"/>
          <w:shd w:val="clear" w:color="auto" w:fill="FFFFFF"/>
          <w:lang w:eastAsia="zh-CN"/>
        </w:rPr>
        <w:t>特定项目类</w:t>
      </w:r>
      <w:r>
        <w:rPr>
          <w:rFonts w:hint="eastAsia" w:ascii="Times New Roman" w:hAnsi="Times New Roman" w:eastAsia="仿宋_GB2312" w:cs="Times New Roman"/>
          <w:color w:val="auto"/>
          <w:sz w:val="32"/>
          <w:szCs w:val="32"/>
          <w:shd w:val="clear" w:color="auto" w:fill="FFFFFF"/>
          <w:lang w:eastAsia="zh-CN"/>
        </w:rPr>
        <w:t>项目</w:t>
      </w:r>
      <w:r>
        <w:rPr>
          <w:rFonts w:hint="eastAsia" w:ascii="Times New Roman" w:hAnsi="Times New Roman" w:eastAsia="仿宋_GB2312" w:cs="Times New Roman"/>
          <w:color w:val="auto"/>
          <w:sz w:val="32"/>
          <w:szCs w:val="32"/>
          <w:shd w:val="clear" w:color="auto" w:fill="FFFFFF"/>
        </w:rPr>
        <w:t>支出决算合计</w:t>
      </w:r>
      <w:r>
        <w:rPr>
          <w:rFonts w:hint="eastAsia" w:eastAsia="仿宋_GB2312" w:cs="Times New Roman"/>
          <w:color w:val="auto"/>
          <w:sz w:val="32"/>
          <w:szCs w:val="32"/>
          <w:shd w:val="clear" w:color="auto" w:fill="FFFFFF"/>
          <w:lang w:val="en-US" w:eastAsia="zh-CN"/>
        </w:rPr>
        <w:t>111</w:t>
      </w:r>
      <w:r>
        <w:rPr>
          <w:rFonts w:hint="eastAsia" w:ascii="Times New Roman" w:hAnsi="Times New Roman" w:eastAsia="仿宋_GB2312" w:cs="Times New Roman"/>
          <w:color w:val="auto"/>
          <w:sz w:val="32"/>
          <w:szCs w:val="32"/>
          <w:shd w:val="clear" w:color="auto" w:fill="FFFFFF"/>
        </w:rPr>
        <w:t>万元，其中：</w:t>
      </w:r>
      <w:r>
        <w:rPr>
          <w:rFonts w:hint="eastAsia" w:eastAsia="仿宋_GB2312" w:cs="Times New Roman"/>
          <w:color w:val="auto"/>
          <w:sz w:val="32"/>
          <w:szCs w:val="32"/>
          <w:shd w:val="clear" w:color="auto" w:fill="FFFFFF"/>
          <w:lang w:eastAsia="zh-CN"/>
        </w:rPr>
        <w:t>二老一残医疗费用</w:t>
      </w:r>
      <w:r>
        <w:rPr>
          <w:rFonts w:hint="eastAsia" w:eastAsia="仿宋_GB2312" w:cs="Times New Roman"/>
          <w:color w:val="auto"/>
          <w:sz w:val="32"/>
          <w:szCs w:val="32"/>
          <w:shd w:val="clear" w:color="auto" w:fill="FFFFFF"/>
          <w:lang w:val="en-US" w:eastAsia="zh-CN"/>
        </w:rPr>
        <w:t>50</w:t>
      </w:r>
      <w:r>
        <w:rPr>
          <w:rFonts w:hint="eastAsia" w:ascii="Times New Roman" w:hAnsi="Times New Roman" w:eastAsia="仿宋_GB2312" w:cs="Times New Roman"/>
          <w:color w:val="auto"/>
          <w:sz w:val="32"/>
          <w:szCs w:val="32"/>
          <w:shd w:val="clear" w:color="auto" w:fill="FFFFFF"/>
        </w:rPr>
        <w:t>万元，占</w:t>
      </w:r>
      <w:r>
        <w:rPr>
          <w:rFonts w:hint="eastAsia" w:eastAsia="仿宋_GB2312" w:cs="Times New Roman"/>
          <w:color w:val="auto"/>
          <w:sz w:val="32"/>
          <w:szCs w:val="32"/>
          <w:shd w:val="clear" w:color="auto" w:fill="FFFFFF"/>
          <w:lang w:val="en-US" w:eastAsia="zh-CN"/>
        </w:rPr>
        <w:t>45.05</w:t>
      </w:r>
      <w:r>
        <w:rPr>
          <w:rFonts w:hint="eastAsia" w:ascii="Times New Roman" w:hAnsi="Times New Roman" w:eastAsia="仿宋_GB2312" w:cs="Times New Roman"/>
          <w:color w:val="auto"/>
          <w:sz w:val="32"/>
          <w:szCs w:val="32"/>
          <w:shd w:val="clear" w:color="auto" w:fill="FFFFFF"/>
        </w:rPr>
        <w:t>%；</w:t>
      </w:r>
      <w:r>
        <w:rPr>
          <w:rFonts w:hint="eastAsia" w:eastAsia="仿宋_GB2312" w:cs="Times New Roman"/>
          <w:color w:val="auto"/>
          <w:sz w:val="32"/>
          <w:szCs w:val="32"/>
          <w:shd w:val="clear" w:color="auto" w:fill="FFFFFF"/>
          <w:lang w:eastAsia="zh-CN"/>
        </w:rPr>
        <w:t>医疗服务与保障能力提升资金</w:t>
      </w:r>
      <w:r>
        <w:rPr>
          <w:rFonts w:hint="eastAsia" w:eastAsia="仿宋_GB2312" w:cs="Times New Roman"/>
          <w:color w:val="auto"/>
          <w:sz w:val="32"/>
          <w:szCs w:val="32"/>
          <w:shd w:val="clear" w:color="auto" w:fill="FFFFFF"/>
          <w:lang w:val="en-US" w:eastAsia="zh-CN"/>
        </w:rPr>
        <w:t>61万元</w:t>
      </w:r>
      <w:r>
        <w:rPr>
          <w:rFonts w:hint="eastAsia" w:ascii="Times New Roman" w:hAnsi="Times New Roman" w:eastAsia="仿宋_GB2312" w:cs="Times New Roman"/>
          <w:color w:val="auto"/>
          <w:sz w:val="32"/>
          <w:szCs w:val="32"/>
          <w:shd w:val="clear" w:color="auto" w:fill="FFFFFF"/>
        </w:rPr>
        <w:t>，占</w:t>
      </w:r>
      <w:r>
        <w:rPr>
          <w:rFonts w:hint="eastAsia" w:eastAsia="仿宋_GB2312" w:cs="Times New Roman"/>
          <w:color w:val="auto"/>
          <w:sz w:val="32"/>
          <w:szCs w:val="32"/>
          <w:shd w:val="clear" w:color="auto" w:fill="FFFFFF"/>
          <w:lang w:val="en-US" w:eastAsia="zh-CN"/>
        </w:rPr>
        <w:t>54.95</w:t>
      </w:r>
      <w:r>
        <w:rPr>
          <w:rFonts w:ascii="Times New Roman" w:hAnsi="Times New Roman" w:eastAsia="仿宋_GB2312" w:cs="Times New Roman"/>
          <w:color w:val="auto"/>
          <w:sz w:val="32"/>
          <w:szCs w:val="32"/>
          <w:shd w:val="clear" w:color="auto" w:fill="FFFFFF"/>
        </w:rPr>
        <w:t>%</w:t>
      </w:r>
      <w:r>
        <w:rPr>
          <w:rFonts w:hint="eastAsia" w:eastAsia="仿宋_GB2312" w:cs="Times New Roman"/>
          <w:color w:val="auto"/>
          <w:sz w:val="32"/>
          <w:szCs w:val="32"/>
          <w:shd w:val="clear" w:color="auto" w:fill="FFFFFF"/>
          <w:lang w:val="en-US" w:eastAsia="zh-CN"/>
        </w:rPr>
        <w:t>。</w:t>
      </w:r>
      <w:r>
        <w:rPr>
          <w:rFonts w:hint="eastAsia" w:ascii="Times New Roman" w:hAnsi="Times New Roman" w:eastAsia="仿宋_GB2312" w:cs="Times New Roman"/>
          <w:color w:val="auto"/>
          <w:sz w:val="32"/>
          <w:szCs w:val="32"/>
          <w:shd w:val="clear" w:color="auto" w:fill="FFFFFF"/>
        </w:rPr>
        <w:t>本年财政收入与财政支出一致。</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_GB2312" w:hAnsi="仿宋_GB2312" w:eastAsia="仿宋_GB2312" w:cs="仿宋_GB2312"/>
          <w:b w:val="0"/>
          <w:bCs w:val="0"/>
          <w:color w:val="auto"/>
          <w:kern w:val="0"/>
          <w:sz w:val="32"/>
          <w:szCs w:val="32"/>
          <w:highlight w:val="none"/>
          <w:shd w:val="clear" w:color="auto" w:fill="FFFFFF"/>
          <w:lang w:val="zh-CN" w:eastAsia="zh-CN"/>
        </w:rPr>
      </w:pPr>
      <w:r>
        <w:rPr>
          <w:rFonts w:hint="eastAsia" w:ascii="仿宋_GB2312" w:hAnsi="仿宋_GB2312" w:eastAsia="仿宋_GB2312" w:cs="仿宋_GB2312"/>
          <w:b w:val="0"/>
          <w:bCs w:val="0"/>
          <w:color w:val="auto"/>
          <w:kern w:val="0"/>
          <w:sz w:val="32"/>
          <w:szCs w:val="32"/>
          <w:highlight w:val="none"/>
          <w:shd w:val="clear" w:color="auto" w:fill="FFFFFF"/>
          <w:lang w:val="zh-CN" w:eastAsia="zh-CN"/>
        </w:rPr>
        <w:t>（</w:t>
      </w:r>
      <w:r>
        <w:rPr>
          <w:rFonts w:hint="eastAsia" w:ascii="仿宋_GB2312" w:hAnsi="仿宋_GB2312" w:eastAsia="仿宋_GB2312" w:cs="仿宋_GB2312"/>
          <w:b w:val="0"/>
          <w:bCs w:val="0"/>
          <w:color w:val="auto"/>
          <w:kern w:val="0"/>
          <w:sz w:val="32"/>
          <w:szCs w:val="32"/>
          <w:highlight w:val="none"/>
          <w:shd w:val="clear" w:color="auto" w:fill="FFFFFF"/>
          <w:lang w:val="en-US" w:eastAsia="zh-CN"/>
        </w:rPr>
        <w:t>4</w:t>
      </w:r>
      <w:r>
        <w:rPr>
          <w:rFonts w:hint="eastAsia" w:ascii="仿宋_GB2312" w:hAnsi="仿宋_GB2312" w:eastAsia="仿宋_GB2312" w:cs="仿宋_GB2312"/>
          <w:b w:val="0"/>
          <w:bCs w:val="0"/>
          <w:color w:val="auto"/>
          <w:kern w:val="0"/>
          <w:sz w:val="32"/>
          <w:szCs w:val="32"/>
          <w:highlight w:val="none"/>
          <w:shd w:val="clear" w:color="auto" w:fill="FFFFFF"/>
          <w:lang w:val="zh-CN" w:eastAsia="zh-CN"/>
        </w:rPr>
        <w:t>）及时处置</w:t>
      </w:r>
    </w:p>
    <w:p>
      <w:pPr>
        <w:widowControl w:val="0"/>
        <w:kinsoku/>
        <w:autoSpaceDE/>
        <w:autoSpaceDN/>
        <w:adjustRightInd/>
        <w:snapToGrid/>
        <w:spacing w:line="576" w:lineRule="exact"/>
        <w:ind w:firstLine="640" w:firstLineChars="200"/>
        <w:jc w:val="both"/>
        <w:textAlignment w:val="auto"/>
        <w:rPr>
          <w:rFonts w:hint="eastAsia"/>
          <w:lang w:val="zh-CN" w:eastAsia="zh-CN"/>
        </w:rPr>
      </w:pPr>
      <w:r>
        <w:rPr>
          <w:rFonts w:hint="eastAsia" w:ascii="Times New Roman" w:hAnsi="Times New Roman" w:eastAsia="仿宋_GB2312" w:cs="Times New Roman"/>
          <w:color w:val="auto"/>
          <w:sz w:val="32"/>
          <w:szCs w:val="32"/>
          <w:shd w:val="clear" w:color="auto" w:fill="FFFFFF"/>
        </w:rPr>
        <w:t>部门绩效监控调整取消额与结余注销额均为零。</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_GB2312" w:hAnsi="仿宋_GB2312" w:eastAsia="仿宋_GB2312" w:cs="仿宋_GB2312"/>
          <w:b w:val="0"/>
          <w:bCs w:val="0"/>
          <w:color w:val="auto"/>
          <w:kern w:val="0"/>
          <w:sz w:val="32"/>
          <w:szCs w:val="32"/>
          <w:highlight w:val="none"/>
          <w:shd w:val="clear" w:color="auto" w:fill="FFFFFF"/>
          <w:lang w:val="zh-CN" w:eastAsia="zh-CN"/>
        </w:rPr>
      </w:pPr>
      <w:r>
        <w:rPr>
          <w:rFonts w:hint="eastAsia" w:ascii="仿宋_GB2312" w:hAnsi="仿宋_GB2312" w:eastAsia="仿宋_GB2312" w:cs="仿宋_GB2312"/>
          <w:b w:val="0"/>
          <w:bCs w:val="0"/>
          <w:color w:val="auto"/>
          <w:kern w:val="0"/>
          <w:sz w:val="32"/>
          <w:szCs w:val="32"/>
          <w:highlight w:val="none"/>
          <w:shd w:val="clear" w:color="auto" w:fill="FFFFFF"/>
          <w:lang w:val="zh-CN" w:eastAsia="zh-CN"/>
        </w:rPr>
        <w:t>（</w:t>
      </w:r>
      <w:r>
        <w:rPr>
          <w:rFonts w:hint="eastAsia" w:ascii="仿宋_GB2312" w:hAnsi="仿宋_GB2312" w:eastAsia="仿宋_GB2312" w:cs="仿宋_GB2312"/>
          <w:b w:val="0"/>
          <w:bCs w:val="0"/>
          <w:color w:val="auto"/>
          <w:kern w:val="0"/>
          <w:sz w:val="32"/>
          <w:szCs w:val="32"/>
          <w:highlight w:val="none"/>
          <w:shd w:val="clear" w:color="auto" w:fill="FFFFFF"/>
          <w:lang w:val="en-US" w:eastAsia="zh-CN"/>
        </w:rPr>
        <w:t>5</w:t>
      </w:r>
      <w:r>
        <w:rPr>
          <w:rFonts w:hint="eastAsia" w:ascii="仿宋_GB2312" w:hAnsi="仿宋_GB2312" w:eastAsia="仿宋_GB2312" w:cs="仿宋_GB2312"/>
          <w:b w:val="0"/>
          <w:bCs w:val="0"/>
          <w:color w:val="auto"/>
          <w:kern w:val="0"/>
          <w:sz w:val="32"/>
          <w:szCs w:val="32"/>
          <w:highlight w:val="none"/>
          <w:shd w:val="clear" w:color="auto" w:fill="FFFFFF"/>
          <w:lang w:val="zh-CN" w:eastAsia="zh-CN"/>
        </w:rPr>
        <w:t>）执行进度</w:t>
      </w:r>
    </w:p>
    <w:p>
      <w:pPr>
        <w:pStyle w:val="5"/>
        <w:numPr>
          <w:ilvl w:val="0"/>
          <w:numId w:val="0"/>
        </w:numPr>
        <w:ind w:leftChars="200" w:firstLine="320" w:firstLineChars="100"/>
        <w:rPr>
          <w:rFonts w:hint="default" w:eastAsia="仿宋_GB2312"/>
          <w:lang w:val="en-US" w:eastAsia="zh-CN"/>
        </w:rPr>
      </w:pPr>
      <w:r>
        <w:rPr>
          <w:rFonts w:hint="eastAsia" w:ascii="Times New Roman" w:hAnsi="Times New Roman" w:eastAsia="仿宋_GB2312" w:cs="Times New Roman"/>
          <w:color w:val="auto"/>
          <w:sz w:val="32"/>
          <w:szCs w:val="32"/>
          <w:shd w:val="clear" w:color="auto" w:fill="FFFFFF"/>
        </w:rPr>
        <w:t>按规定部门预算执行进度</w:t>
      </w:r>
      <w:r>
        <w:rPr>
          <w:rFonts w:hint="eastAsia" w:ascii="Times New Roman" w:hAnsi="Times New Roman" w:cs="Times New Roman"/>
          <w:color w:val="auto"/>
          <w:sz w:val="32"/>
          <w:szCs w:val="32"/>
          <w:shd w:val="clear" w:color="auto" w:fill="FFFFFF"/>
          <w:lang w:eastAsia="zh-CN"/>
        </w:rPr>
        <w:t>为</w:t>
      </w:r>
      <w:r>
        <w:rPr>
          <w:rFonts w:hint="eastAsia" w:ascii="Times New Roman" w:hAnsi="Times New Roman" w:cs="Times New Roman"/>
          <w:color w:val="auto"/>
          <w:sz w:val="32"/>
          <w:szCs w:val="32"/>
          <w:shd w:val="clear" w:color="auto" w:fill="FFFFFF"/>
          <w:lang w:val="en-US" w:eastAsia="zh-CN"/>
        </w:rPr>
        <w:t>100%。</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eastAsia="仿宋_GB2312"/>
          <w:lang w:val="zh-CN" w:eastAsia="zh-CN"/>
        </w:rPr>
      </w:pPr>
      <w:r>
        <w:rPr>
          <w:rFonts w:hint="eastAsia" w:ascii="仿宋_GB2312" w:hAnsi="仿宋_GB2312" w:eastAsia="仿宋_GB2312" w:cs="仿宋_GB2312"/>
          <w:b w:val="0"/>
          <w:bCs w:val="0"/>
          <w:color w:val="auto"/>
          <w:kern w:val="0"/>
          <w:sz w:val="32"/>
          <w:szCs w:val="32"/>
          <w:highlight w:val="none"/>
          <w:shd w:val="clear" w:color="auto" w:fill="FFFFFF"/>
          <w:lang w:val="zh-CN" w:eastAsia="zh-CN"/>
        </w:rPr>
        <w:t>（</w:t>
      </w:r>
      <w:r>
        <w:rPr>
          <w:rFonts w:hint="eastAsia" w:ascii="仿宋_GB2312" w:hAnsi="仿宋_GB2312" w:eastAsia="仿宋_GB2312" w:cs="仿宋_GB2312"/>
          <w:b w:val="0"/>
          <w:bCs w:val="0"/>
          <w:color w:val="auto"/>
          <w:kern w:val="0"/>
          <w:sz w:val="32"/>
          <w:szCs w:val="32"/>
          <w:highlight w:val="none"/>
          <w:shd w:val="clear" w:color="auto" w:fill="FFFFFF"/>
          <w:lang w:val="en-US" w:eastAsia="zh-CN"/>
        </w:rPr>
        <w:t>6</w:t>
      </w:r>
      <w:r>
        <w:rPr>
          <w:rFonts w:hint="eastAsia" w:ascii="仿宋_GB2312" w:hAnsi="仿宋_GB2312" w:eastAsia="仿宋_GB2312" w:cs="仿宋_GB2312"/>
          <w:b w:val="0"/>
          <w:bCs w:val="0"/>
          <w:color w:val="auto"/>
          <w:kern w:val="0"/>
          <w:sz w:val="32"/>
          <w:szCs w:val="32"/>
          <w:highlight w:val="none"/>
          <w:shd w:val="clear" w:color="auto" w:fill="FFFFFF"/>
          <w:lang w:val="zh-CN" w:eastAsia="zh-CN"/>
        </w:rPr>
        <w:t>）预算完成情况</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eastAsia="仿宋_GB2312"/>
          <w:lang w:val="zh-CN" w:eastAsia="zh-CN"/>
        </w:rPr>
      </w:pPr>
      <w:r>
        <w:rPr>
          <w:rFonts w:hint="eastAsia" w:ascii="Times New Roman" w:hAnsi="Times New Roman" w:eastAsia="仿宋_GB2312" w:cs="Times New Roman"/>
          <w:color w:val="auto"/>
          <w:kern w:val="0"/>
          <w:sz w:val="32"/>
          <w:szCs w:val="32"/>
          <w:shd w:val="clear" w:color="auto" w:fill="FFFFFF"/>
          <w:lang w:val="en-US" w:eastAsia="zh-CN" w:bidi="ar-SA"/>
        </w:rPr>
        <w:t>特定预算</w:t>
      </w:r>
      <w:r>
        <w:rPr>
          <w:rFonts w:hint="eastAsia" w:ascii="Times New Roman" w:hAnsi="Times New Roman" w:eastAsia="仿宋_GB2312" w:cs="Times New Roman"/>
          <w:color w:val="auto"/>
          <w:sz w:val="32"/>
          <w:szCs w:val="32"/>
          <w:shd w:val="clear" w:color="auto" w:fill="FFFFFF"/>
        </w:rPr>
        <w:t>项目12月预算执行进度达到100%</w:t>
      </w:r>
      <w:r>
        <w:rPr>
          <w:rFonts w:hint="eastAsia" w:ascii="Times New Roman" w:hAnsi="Times New Roman" w:cs="Times New Roman"/>
          <w:color w:val="auto"/>
          <w:sz w:val="32"/>
          <w:szCs w:val="32"/>
          <w:shd w:val="clear" w:color="auto" w:fill="FFFFFF"/>
          <w:lang w:eastAsia="zh-CN"/>
        </w:rPr>
        <w:t>。</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_GB2312" w:hAnsi="仿宋_GB2312" w:eastAsia="仿宋_GB2312" w:cs="仿宋_GB2312"/>
          <w:b w:val="0"/>
          <w:bCs w:val="0"/>
          <w:color w:val="auto"/>
          <w:kern w:val="0"/>
          <w:sz w:val="32"/>
          <w:szCs w:val="32"/>
          <w:highlight w:val="none"/>
          <w:shd w:val="clear" w:color="auto" w:fill="FFFFFF"/>
          <w:lang w:val="zh-CN" w:eastAsia="zh-CN"/>
        </w:rPr>
      </w:pPr>
      <w:r>
        <w:rPr>
          <w:rFonts w:hint="eastAsia" w:ascii="仿宋_GB2312" w:hAnsi="仿宋_GB2312" w:eastAsia="仿宋_GB2312" w:cs="仿宋_GB2312"/>
          <w:b w:val="0"/>
          <w:bCs w:val="0"/>
          <w:color w:val="auto"/>
          <w:kern w:val="0"/>
          <w:sz w:val="32"/>
          <w:szCs w:val="32"/>
          <w:highlight w:val="none"/>
          <w:shd w:val="clear" w:color="auto" w:fill="FFFFFF"/>
          <w:lang w:val="zh-CN" w:eastAsia="zh-CN"/>
        </w:rPr>
        <w:t>（</w:t>
      </w:r>
      <w:r>
        <w:rPr>
          <w:rFonts w:hint="eastAsia" w:ascii="仿宋_GB2312" w:hAnsi="仿宋_GB2312" w:eastAsia="仿宋_GB2312" w:cs="仿宋_GB2312"/>
          <w:b w:val="0"/>
          <w:bCs w:val="0"/>
          <w:color w:val="auto"/>
          <w:kern w:val="0"/>
          <w:sz w:val="32"/>
          <w:szCs w:val="32"/>
          <w:highlight w:val="none"/>
          <w:shd w:val="clear" w:color="auto" w:fill="FFFFFF"/>
          <w:lang w:val="en-US" w:eastAsia="zh-CN"/>
        </w:rPr>
        <w:t>7</w:t>
      </w:r>
      <w:r>
        <w:rPr>
          <w:rFonts w:hint="eastAsia" w:ascii="仿宋_GB2312" w:hAnsi="仿宋_GB2312" w:eastAsia="仿宋_GB2312" w:cs="仿宋_GB2312"/>
          <w:b w:val="0"/>
          <w:bCs w:val="0"/>
          <w:color w:val="auto"/>
          <w:kern w:val="0"/>
          <w:sz w:val="32"/>
          <w:szCs w:val="32"/>
          <w:highlight w:val="none"/>
          <w:shd w:val="clear" w:color="auto" w:fill="FFFFFF"/>
          <w:lang w:val="zh-CN" w:eastAsia="zh-CN"/>
        </w:rPr>
        <w:t>）资金结余率</w:t>
      </w:r>
    </w:p>
    <w:p>
      <w:pPr>
        <w:pStyle w:val="5"/>
        <w:numPr>
          <w:ilvl w:val="0"/>
          <w:numId w:val="0"/>
        </w:numPr>
        <w:ind w:leftChars="200" w:firstLine="320" w:firstLineChars="100"/>
        <w:rPr>
          <w:rFonts w:hint="eastAsia"/>
          <w:lang w:val="zh-CN" w:eastAsia="zh-CN"/>
        </w:rPr>
      </w:pPr>
      <w:r>
        <w:rPr>
          <w:rFonts w:hint="eastAsia" w:ascii="Times New Roman" w:hAnsi="Times New Roman" w:eastAsia="仿宋_GB2312" w:cs="Times New Roman"/>
          <w:color w:val="auto"/>
          <w:sz w:val="32"/>
          <w:szCs w:val="32"/>
          <w:shd w:val="clear" w:color="auto" w:fill="FFFFFF"/>
        </w:rPr>
        <w:t>2022年</w:t>
      </w:r>
      <w:r>
        <w:rPr>
          <w:rFonts w:hint="eastAsia" w:ascii="Times New Roman" w:cs="Times New Roman"/>
          <w:color w:val="auto"/>
          <w:sz w:val="32"/>
          <w:szCs w:val="32"/>
          <w:shd w:val="clear" w:color="auto" w:fill="FFFFFF"/>
          <w:lang w:eastAsia="zh-CN"/>
        </w:rPr>
        <w:t>特定类</w:t>
      </w:r>
      <w:r>
        <w:rPr>
          <w:rFonts w:hint="eastAsia" w:ascii="Times New Roman" w:hAnsi="Times New Roman" w:cs="Times New Roman"/>
          <w:color w:val="auto"/>
          <w:sz w:val="32"/>
          <w:szCs w:val="32"/>
          <w:shd w:val="clear" w:color="auto" w:fill="FFFFFF"/>
          <w:lang w:eastAsia="zh-CN"/>
        </w:rPr>
        <w:t>项目</w:t>
      </w:r>
      <w:r>
        <w:rPr>
          <w:rFonts w:hint="eastAsia" w:ascii="Times New Roman" w:hAnsi="Times New Roman" w:eastAsia="仿宋_GB2312" w:cs="Times New Roman"/>
          <w:color w:val="auto"/>
          <w:sz w:val="32"/>
          <w:szCs w:val="32"/>
          <w:shd w:val="clear" w:color="auto" w:fill="FFFFFF"/>
        </w:rPr>
        <w:t>结转结余资金0万元。</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ascii="仿宋_GB2312" w:hAnsi="仿宋_GB2312" w:eastAsia="仿宋_GB2312" w:cs="仿宋_GB2312"/>
          <w:b w:val="0"/>
          <w:bCs w:val="0"/>
          <w:color w:val="auto"/>
          <w:kern w:val="0"/>
          <w:sz w:val="32"/>
          <w:szCs w:val="32"/>
          <w:highlight w:val="none"/>
          <w:shd w:val="clear" w:color="auto" w:fill="FFFFFF"/>
          <w:lang w:val="zh-CN" w:eastAsia="zh-CN"/>
        </w:rPr>
      </w:pPr>
      <w:r>
        <w:rPr>
          <w:rFonts w:hint="eastAsia" w:ascii="仿宋_GB2312" w:hAnsi="仿宋_GB2312" w:eastAsia="仿宋_GB2312" w:cs="仿宋_GB2312"/>
          <w:b w:val="0"/>
          <w:bCs w:val="0"/>
          <w:color w:val="auto"/>
          <w:kern w:val="0"/>
          <w:sz w:val="32"/>
          <w:szCs w:val="32"/>
          <w:highlight w:val="none"/>
          <w:shd w:val="clear" w:color="auto" w:fill="FFFFFF"/>
          <w:lang w:val="zh-CN" w:eastAsia="zh-CN"/>
        </w:rPr>
        <w:t>（</w:t>
      </w:r>
      <w:r>
        <w:rPr>
          <w:rFonts w:hint="eastAsia" w:ascii="仿宋_GB2312" w:hAnsi="仿宋_GB2312" w:eastAsia="仿宋_GB2312" w:cs="仿宋_GB2312"/>
          <w:b w:val="0"/>
          <w:bCs w:val="0"/>
          <w:color w:val="auto"/>
          <w:kern w:val="0"/>
          <w:sz w:val="32"/>
          <w:szCs w:val="32"/>
          <w:highlight w:val="none"/>
          <w:shd w:val="clear" w:color="auto" w:fill="FFFFFF"/>
          <w:lang w:val="en-US" w:eastAsia="zh-CN"/>
        </w:rPr>
        <w:t>8</w:t>
      </w:r>
      <w:r>
        <w:rPr>
          <w:rFonts w:hint="eastAsia" w:ascii="仿宋_GB2312" w:hAnsi="仿宋_GB2312" w:eastAsia="仿宋_GB2312" w:cs="仿宋_GB2312"/>
          <w:b w:val="0"/>
          <w:bCs w:val="0"/>
          <w:color w:val="auto"/>
          <w:kern w:val="0"/>
          <w:sz w:val="32"/>
          <w:szCs w:val="32"/>
          <w:highlight w:val="none"/>
          <w:shd w:val="clear" w:color="auto" w:fill="FFFFFF"/>
          <w:lang w:val="zh-CN" w:eastAsia="zh-CN"/>
        </w:rPr>
        <w:t>）违规记录情况</w:t>
      </w:r>
    </w:p>
    <w:p>
      <w:pPr>
        <w:widowControl w:val="0"/>
        <w:kinsoku/>
        <w:autoSpaceDE/>
        <w:autoSpaceDN/>
        <w:adjustRightInd/>
        <w:snapToGrid/>
        <w:spacing w:line="576" w:lineRule="exact"/>
        <w:ind w:firstLine="640" w:firstLineChars="200"/>
        <w:jc w:val="both"/>
        <w:textAlignment w:val="auto"/>
        <w:rPr>
          <w:rFonts w:ascii="Times New Roman" w:hAnsi="Times New Roman" w:eastAsia="仿宋_GB2312" w:cs="Times New Roman"/>
          <w:color w:val="auto"/>
          <w:sz w:val="32"/>
          <w:szCs w:val="32"/>
          <w:shd w:val="clear" w:color="auto" w:fill="FFFFFF"/>
        </w:rPr>
      </w:pPr>
      <w:r>
        <w:rPr>
          <w:rFonts w:hint="eastAsia" w:ascii="Times New Roman" w:hAnsi="Times New Roman" w:eastAsia="仿宋_GB2312" w:cs="Times New Roman"/>
          <w:color w:val="auto"/>
          <w:sz w:val="32"/>
          <w:szCs w:val="32"/>
          <w:shd w:val="clear" w:color="auto" w:fill="FFFFFF"/>
        </w:rPr>
        <w:t>2022年度不存在审计监督、财政检查等违纪违规问题。</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3" w:firstLineChars="200"/>
        <w:contextualSpacing/>
        <w:jc w:val="left"/>
        <w:textAlignment w:val="auto"/>
        <w:rPr>
          <w:rFonts w:hint="eastAsia" w:ascii="楷体_GB2312" w:hAnsi="楷体_GB2312" w:eastAsia="楷体_GB2312" w:cs="楷体_GB2312"/>
          <w:b/>
          <w:bCs/>
          <w:color w:val="auto"/>
          <w:kern w:val="0"/>
          <w:sz w:val="32"/>
          <w:szCs w:val="32"/>
          <w:highlight w:val="none"/>
          <w:shd w:val="clear" w:color="auto" w:fill="FFFFFF"/>
          <w:lang w:val="zh-CN"/>
        </w:rPr>
      </w:pPr>
      <w:r>
        <w:rPr>
          <w:rFonts w:hint="eastAsia" w:ascii="楷体_GB2312" w:hAnsi="楷体_GB2312" w:eastAsia="楷体_GB2312" w:cs="楷体_GB2312"/>
          <w:b/>
          <w:bCs/>
          <w:color w:val="auto"/>
          <w:kern w:val="0"/>
          <w:sz w:val="32"/>
          <w:szCs w:val="32"/>
          <w:highlight w:val="none"/>
          <w:shd w:val="clear" w:color="auto" w:fill="FFFFFF"/>
          <w:lang w:val="zh-CN"/>
        </w:rPr>
        <w:t>（二）部门整体履职绩效分析</w:t>
      </w:r>
    </w:p>
    <w:p>
      <w:pPr>
        <w:widowControl w:val="0"/>
        <w:kinsoku/>
        <w:autoSpaceDE/>
        <w:autoSpaceDN/>
        <w:adjustRightInd/>
        <w:snapToGrid/>
        <w:spacing w:line="576" w:lineRule="exact"/>
        <w:ind w:firstLine="640" w:firstLineChars="200"/>
        <w:jc w:val="both"/>
        <w:textAlignment w:val="auto"/>
        <w:rPr>
          <w:rFonts w:hint="eastAsia" w:ascii="楷体_GB2312" w:hAnsi="楷体_GB2312" w:eastAsia="楷体_GB2312" w:cs="楷体_GB2312"/>
          <w:b/>
          <w:bCs/>
          <w:color w:val="auto"/>
          <w:kern w:val="0"/>
          <w:sz w:val="32"/>
          <w:szCs w:val="32"/>
          <w:highlight w:val="none"/>
          <w:shd w:val="clear" w:color="auto" w:fill="FFFFFF"/>
          <w:lang w:val="zh-CN"/>
        </w:rPr>
      </w:pPr>
      <w:r>
        <w:rPr>
          <w:rFonts w:hint="eastAsia" w:ascii="Times New Roman" w:hAnsi="Times New Roman" w:eastAsia="仿宋_GB2312" w:cs="Times New Roman"/>
          <w:color w:val="auto"/>
          <w:sz w:val="32"/>
          <w:szCs w:val="32"/>
          <w:shd w:val="clear" w:color="auto" w:fill="FFFFFF"/>
          <w:lang w:eastAsia="zh-CN"/>
        </w:rPr>
        <w:t>区医保局贯彻落实党中央关于医疗保障工作的方针政策和省委、市委、区委的决策部署，在履行职责过程中坚持和加强党对医疗保障工作的集中统一领导，主要涉及医疗救助、医疗服务项目及药品价格监管、参保居民信息维护、长期护理保险经办、药品耗材招标采购等职能职责。</w:t>
      </w:r>
      <w:r>
        <w:rPr>
          <w:rFonts w:hint="eastAsia" w:ascii="Times New Roman" w:hAnsi="Times New Roman" w:eastAsia="仿宋_GB2312" w:cs="Times New Roman"/>
          <w:color w:val="auto"/>
          <w:sz w:val="32"/>
          <w:szCs w:val="32"/>
          <w:shd w:val="clear" w:color="auto" w:fill="FFFFFF"/>
        </w:rPr>
        <w:t>严格按照项目要求和项目绩效目标规范实施，切实加强目标绩效管理，提高财政资金使用效益，按照项目进度及时拨付。2</w:t>
      </w:r>
      <w:r>
        <w:rPr>
          <w:rFonts w:ascii="Times New Roman" w:hAnsi="Times New Roman" w:eastAsia="仿宋_GB2312" w:cs="Times New Roman"/>
          <w:color w:val="auto"/>
          <w:sz w:val="32"/>
          <w:szCs w:val="32"/>
          <w:shd w:val="clear" w:color="auto" w:fill="FFFFFF"/>
        </w:rPr>
        <w:t>022</w:t>
      </w:r>
      <w:r>
        <w:rPr>
          <w:rFonts w:hint="eastAsia" w:ascii="Times New Roman" w:hAnsi="Times New Roman" w:eastAsia="仿宋_GB2312" w:cs="Times New Roman"/>
          <w:color w:val="auto"/>
          <w:sz w:val="32"/>
          <w:szCs w:val="32"/>
          <w:shd w:val="clear" w:color="auto" w:fill="FFFFFF"/>
        </w:rPr>
        <w:t>年我局按照单位实际情况及财政安排，按时按量完成了收支任务，部门整体绩效目标完成良好</w:t>
      </w:r>
      <w:r>
        <w:rPr>
          <w:rFonts w:hint="eastAsia" w:ascii="Times New Roman" w:hAnsi="Times New Roman" w:eastAsia="仿宋_GB2312" w:cs="Times New Roman"/>
          <w:color w:val="auto"/>
          <w:sz w:val="32"/>
          <w:szCs w:val="32"/>
          <w:shd w:val="clear" w:color="auto" w:fill="FFFFFF"/>
          <w:lang w:eastAsia="zh-CN"/>
        </w:rPr>
        <w:t>，</w:t>
      </w:r>
      <w:r>
        <w:rPr>
          <w:rFonts w:hint="eastAsia" w:ascii="Times New Roman" w:hAnsi="Times New Roman" w:eastAsia="仿宋_GB2312" w:cs="Times New Roman"/>
          <w:color w:val="auto"/>
          <w:sz w:val="32"/>
          <w:szCs w:val="32"/>
          <w:shd w:val="clear" w:color="auto" w:fill="FFFFFF"/>
        </w:rPr>
        <w:t>基本实现预期目标值。</w:t>
      </w:r>
    </w:p>
    <w:p>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contextualSpacing/>
        <w:jc w:val="left"/>
        <w:textAlignment w:val="auto"/>
        <w:rPr>
          <w:rFonts w:hint="eastAsia" w:ascii="楷体_GB2312" w:hAnsi="楷体_GB2312" w:eastAsia="楷体_GB2312" w:cs="楷体_GB2312"/>
          <w:b/>
          <w:bCs/>
          <w:color w:val="auto"/>
          <w:kern w:val="0"/>
          <w:sz w:val="32"/>
          <w:szCs w:val="32"/>
          <w:highlight w:val="none"/>
          <w:shd w:val="clear" w:color="auto" w:fill="FFFFFF"/>
          <w:lang w:val="zh-CN"/>
        </w:rPr>
      </w:pPr>
      <w:r>
        <w:rPr>
          <w:rFonts w:hint="eastAsia" w:ascii="楷体_GB2312" w:hAnsi="楷体_GB2312" w:eastAsia="楷体_GB2312" w:cs="楷体_GB2312"/>
          <w:b/>
          <w:bCs/>
          <w:color w:val="auto"/>
          <w:kern w:val="0"/>
          <w:sz w:val="32"/>
          <w:szCs w:val="32"/>
          <w:highlight w:val="none"/>
          <w:shd w:val="clear" w:color="auto" w:fill="FFFFFF"/>
          <w:lang w:val="zh-CN"/>
        </w:rPr>
        <w:t>（三）结果应用情况</w:t>
      </w:r>
    </w:p>
    <w:p>
      <w:pPr>
        <w:widowControl w:val="0"/>
        <w:kinsoku/>
        <w:autoSpaceDE/>
        <w:autoSpaceDN/>
        <w:adjustRightInd/>
        <w:snapToGrid/>
        <w:spacing w:line="576" w:lineRule="exact"/>
        <w:ind w:firstLine="640" w:firstLineChars="200"/>
        <w:jc w:val="both"/>
        <w:textAlignment w:val="auto"/>
        <w:rPr>
          <w:rFonts w:ascii="Times New Roman" w:hAnsi="Times New Roman" w:eastAsia="仿宋_GB2312" w:cs="Times New Roman"/>
          <w:color w:val="auto"/>
          <w:sz w:val="32"/>
          <w:szCs w:val="32"/>
          <w:shd w:val="clear" w:color="auto" w:fill="FFFFFF"/>
        </w:rPr>
      </w:pPr>
      <w:r>
        <w:rPr>
          <w:rFonts w:hint="eastAsia" w:ascii="Times New Roman" w:hAnsi="Times New Roman" w:eastAsia="仿宋_GB2312" w:cs="Times New Roman"/>
          <w:color w:val="auto"/>
          <w:sz w:val="32"/>
          <w:szCs w:val="32"/>
          <w:shd w:val="clear" w:color="auto" w:fill="FFFFFF"/>
        </w:rPr>
        <w:t>1.信息公开。按要求将部门整体自评情况和自行组织的评价情况随同决算向社会公开。</w:t>
      </w:r>
    </w:p>
    <w:p>
      <w:pPr>
        <w:widowControl w:val="0"/>
        <w:kinsoku/>
        <w:autoSpaceDE/>
        <w:autoSpaceDN/>
        <w:adjustRightInd/>
        <w:snapToGrid/>
        <w:spacing w:line="576" w:lineRule="exact"/>
        <w:ind w:firstLine="640" w:firstLineChars="200"/>
        <w:jc w:val="both"/>
        <w:textAlignment w:val="auto"/>
        <w:rPr>
          <w:rFonts w:hint="eastAsia" w:ascii="仿宋_GB2312" w:hAnsi="仿宋_GB2312" w:eastAsia="仿宋_GB2312" w:cs="仿宋_GB2312"/>
          <w:b w:val="0"/>
          <w:bCs w:val="0"/>
          <w:color w:val="auto"/>
          <w:kern w:val="0"/>
          <w:sz w:val="32"/>
          <w:szCs w:val="32"/>
          <w:highlight w:val="none"/>
          <w:shd w:val="clear" w:color="auto" w:fill="FFFFFF"/>
          <w:lang w:val="zh-CN" w:eastAsia="zh-CN"/>
        </w:rPr>
      </w:pPr>
      <w:r>
        <w:rPr>
          <w:rFonts w:hint="eastAsia" w:ascii="Times New Roman" w:hAnsi="Times New Roman" w:eastAsia="仿宋_GB2312" w:cs="Times New Roman"/>
          <w:color w:val="auto"/>
          <w:sz w:val="32"/>
          <w:szCs w:val="32"/>
          <w:shd w:val="clear" w:color="auto" w:fill="FFFFFF"/>
        </w:rPr>
        <w:t>2.整改反馈。一是针对绩效管理过程中提出的问题进行整改。二是部门在规定时间内向财政部门反馈应用绩效结果报告的。</w:t>
      </w:r>
    </w:p>
    <w:p>
      <w:pPr>
        <w:keepNext w:val="0"/>
        <w:keepLines w:val="0"/>
        <w:pageBreakBefore w:val="0"/>
        <w:widowControl/>
        <w:numPr>
          <w:ilvl w:val="0"/>
          <w:numId w:val="6"/>
        </w:numPr>
        <w:kinsoku/>
        <w:wordWrap/>
        <w:overflowPunct/>
        <w:topLinePunct w:val="0"/>
        <w:autoSpaceDE/>
        <w:autoSpaceDN/>
        <w:bidi w:val="0"/>
        <w:adjustRightInd w:val="0"/>
        <w:snapToGrid w:val="0"/>
        <w:spacing w:line="560" w:lineRule="exact"/>
        <w:ind w:firstLine="643" w:firstLineChars="200"/>
        <w:contextualSpacing/>
        <w:jc w:val="left"/>
        <w:textAlignment w:val="auto"/>
        <w:rPr>
          <w:rFonts w:hint="eastAsia" w:ascii="楷体_GB2312" w:hAnsi="楷体_GB2312" w:eastAsia="楷体_GB2312" w:cs="楷体_GB2312"/>
          <w:b/>
          <w:bCs/>
          <w:color w:val="auto"/>
          <w:kern w:val="0"/>
          <w:sz w:val="32"/>
          <w:szCs w:val="32"/>
          <w:highlight w:val="none"/>
          <w:shd w:val="clear" w:color="auto" w:fill="FFFFFF"/>
          <w:lang w:val="zh-CN"/>
        </w:rPr>
      </w:pPr>
      <w:r>
        <w:rPr>
          <w:rFonts w:hint="eastAsia" w:ascii="楷体_GB2312" w:hAnsi="楷体_GB2312" w:eastAsia="楷体_GB2312" w:cs="楷体_GB2312"/>
          <w:b/>
          <w:bCs/>
          <w:color w:val="auto"/>
          <w:kern w:val="0"/>
          <w:sz w:val="32"/>
          <w:szCs w:val="32"/>
          <w:highlight w:val="none"/>
          <w:shd w:val="clear" w:color="auto" w:fill="FFFFFF"/>
          <w:lang w:val="zh-CN"/>
        </w:rPr>
        <w:t>自评质量</w:t>
      </w:r>
    </w:p>
    <w:p>
      <w:pPr>
        <w:widowControl w:val="0"/>
        <w:kinsoku/>
        <w:autoSpaceDE/>
        <w:autoSpaceDN/>
        <w:adjustRightInd/>
        <w:snapToGrid/>
        <w:spacing w:line="576" w:lineRule="exact"/>
        <w:ind w:firstLine="640" w:firstLineChars="200"/>
        <w:jc w:val="both"/>
        <w:textAlignment w:val="auto"/>
        <w:rPr>
          <w:rFonts w:ascii="Times New Roman" w:hAnsi="Times New Roman" w:eastAsia="仿宋_GB2312" w:cs="Times New Roman"/>
          <w:color w:val="auto"/>
          <w:sz w:val="32"/>
          <w:szCs w:val="32"/>
          <w:shd w:val="clear" w:color="auto" w:fill="FFFFFF"/>
        </w:rPr>
      </w:pPr>
      <w:bookmarkStart w:id="80" w:name="_Toc18272"/>
      <w:r>
        <w:rPr>
          <w:rFonts w:hint="eastAsia" w:ascii="Times New Roman" w:hAnsi="Times New Roman" w:eastAsia="仿宋_GB2312" w:cs="Times New Roman"/>
          <w:color w:val="auto"/>
          <w:sz w:val="32"/>
          <w:szCs w:val="32"/>
          <w:shd w:val="clear" w:color="auto" w:fill="FFFFFF"/>
        </w:rPr>
        <w:t>运用部门整体支出绩效评价指标体系，合理使用单位资金。加强了网络、信息安全、基础设施等方面建设，切实保障了医保信息系统高效、安全运行，提高数据采集质量和速度。打击欺诈骗保工作力度加强，重点整治了“三假”工作。有效提升综合监管、宣传引导、经办服务、人才队伍建设等医疗保障服务能力。</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outlineLvl w:val="1"/>
        <w:rPr>
          <w:rFonts w:ascii="黑体" w:hAnsi="宋体" w:eastAsia="黑体" w:cs="宋体"/>
          <w:color w:val="auto"/>
          <w:kern w:val="0"/>
          <w:sz w:val="32"/>
          <w:szCs w:val="32"/>
          <w:highlight w:val="none"/>
          <w:shd w:val="clear" w:color="auto" w:fill="FFFFFF"/>
        </w:rPr>
      </w:pPr>
      <w:r>
        <w:rPr>
          <w:rFonts w:hint="eastAsia" w:ascii="黑体" w:hAnsi="宋体" w:eastAsia="黑体" w:cs="宋体"/>
          <w:color w:val="auto"/>
          <w:kern w:val="0"/>
          <w:sz w:val="32"/>
          <w:szCs w:val="32"/>
          <w:highlight w:val="none"/>
          <w:shd w:val="clear" w:color="auto" w:fill="FFFFFF"/>
        </w:rPr>
        <w:t>四、评价结论及建议</w:t>
      </w:r>
      <w:bookmarkEnd w:id="80"/>
    </w:p>
    <w:p>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contextualSpacing/>
        <w:jc w:val="left"/>
        <w:textAlignment w:val="auto"/>
        <w:rPr>
          <w:rFonts w:hint="eastAsia" w:ascii="楷体_GB2312" w:hAnsi="楷体_GB2312" w:eastAsia="楷体_GB2312" w:cs="楷体_GB2312"/>
          <w:b/>
          <w:bCs/>
          <w:color w:val="auto"/>
          <w:kern w:val="0"/>
          <w:sz w:val="32"/>
          <w:szCs w:val="32"/>
          <w:highlight w:val="none"/>
          <w:shd w:val="clear" w:color="auto" w:fill="FFFFFF"/>
          <w:lang w:val="zh-CN"/>
        </w:rPr>
      </w:pPr>
      <w:r>
        <w:rPr>
          <w:rFonts w:hint="eastAsia" w:ascii="楷体_GB2312" w:hAnsi="楷体_GB2312" w:eastAsia="楷体_GB2312" w:cs="楷体_GB2312"/>
          <w:b/>
          <w:bCs/>
          <w:color w:val="auto"/>
          <w:kern w:val="0"/>
          <w:sz w:val="32"/>
          <w:szCs w:val="32"/>
          <w:highlight w:val="none"/>
          <w:shd w:val="clear" w:color="auto" w:fill="FFFFFF"/>
          <w:lang w:val="zh-CN"/>
        </w:rPr>
        <w:t>（一）评价结论</w:t>
      </w:r>
    </w:p>
    <w:p>
      <w:pPr>
        <w:pStyle w:val="5"/>
        <w:ind w:firstLine="640" w:firstLineChars="200"/>
        <w:rPr>
          <w:rFonts w:hint="eastAsia"/>
          <w:lang w:val="zh-CN"/>
        </w:rPr>
      </w:pPr>
      <w:r>
        <w:rPr>
          <w:rFonts w:hint="eastAsia" w:ascii="Times New Roman" w:hAnsi="Times New Roman" w:eastAsia="仿宋_GB2312" w:cs="Times New Roman"/>
          <w:color w:val="auto"/>
          <w:sz w:val="32"/>
          <w:szCs w:val="32"/>
          <w:shd w:val="clear" w:color="auto" w:fill="FFFFFF"/>
        </w:rPr>
        <w:t>严格按照项目要求和项目绩效目标规范实施，切实加强目标绩效管理，提高财政资金使用效益，按照项目进度及时拨付。2</w:t>
      </w:r>
      <w:r>
        <w:rPr>
          <w:rFonts w:ascii="Times New Roman" w:hAnsi="Times New Roman" w:eastAsia="仿宋_GB2312" w:cs="Times New Roman"/>
          <w:color w:val="auto"/>
          <w:sz w:val="32"/>
          <w:szCs w:val="32"/>
          <w:shd w:val="clear" w:color="auto" w:fill="FFFFFF"/>
        </w:rPr>
        <w:t>022</w:t>
      </w:r>
      <w:r>
        <w:rPr>
          <w:rFonts w:hint="eastAsia" w:ascii="Times New Roman" w:hAnsi="Times New Roman" w:eastAsia="仿宋_GB2312" w:cs="Times New Roman"/>
          <w:color w:val="auto"/>
          <w:sz w:val="32"/>
          <w:szCs w:val="32"/>
          <w:shd w:val="clear" w:color="auto" w:fill="FFFFFF"/>
        </w:rPr>
        <w:t>年我局按照单位实际情况及财政安排，按时按量完成了收支任务，部门整体绩效目标完成良好</w:t>
      </w:r>
      <w:r>
        <w:rPr>
          <w:rFonts w:hint="eastAsia" w:ascii="Times New Roman" w:hAnsi="Times New Roman" w:eastAsia="仿宋_GB2312" w:cs="Times New Roman"/>
          <w:color w:val="auto"/>
          <w:sz w:val="32"/>
          <w:szCs w:val="32"/>
          <w:shd w:val="clear" w:color="auto" w:fill="FFFFFF"/>
          <w:lang w:val="en-US" w:eastAsia="zh-CN"/>
        </w:rPr>
        <w:t>,自评得分94分。</w:t>
      </w:r>
    </w:p>
    <w:p>
      <w:pPr>
        <w:keepNext w:val="0"/>
        <w:keepLines w:val="0"/>
        <w:pageBreakBefore w:val="0"/>
        <w:widowControl/>
        <w:numPr>
          <w:ilvl w:val="0"/>
          <w:numId w:val="7"/>
        </w:numPr>
        <w:kinsoku/>
        <w:wordWrap/>
        <w:overflowPunct/>
        <w:topLinePunct w:val="0"/>
        <w:autoSpaceDE/>
        <w:autoSpaceDN/>
        <w:bidi w:val="0"/>
        <w:adjustRightInd w:val="0"/>
        <w:snapToGrid w:val="0"/>
        <w:spacing w:line="560" w:lineRule="exact"/>
        <w:ind w:firstLine="643" w:firstLineChars="200"/>
        <w:contextualSpacing/>
        <w:jc w:val="left"/>
        <w:textAlignment w:val="auto"/>
        <w:rPr>
          <w:rFonts w:hint="eastAsia" w:ascii="楷体_GB2312" w:hAnsi="楷体_GB2312" w:eastAsia="楷体_GB2312" w:cs="楷体_GB2312"/>
          <w:b/>
          <w:bCs/>
          <w:color w:val="auto"/>
          <w:kern w:val="0"/>
          <w:sz w:val="32"/>
          <w:szCs w:val="32"/>
          <w:highlight w:val="none"/>
          <w:shd w:val="clear" w:color="auto" w:fill="FFFFFF"/>
          <w:lang w:val="zh-CN"/>
        </w:rPr>
      </w:pPr>
      <w:r>
        <w:rPr>
          <w:rFonts w:hint="eastAsia" w:ascii="楷体_GB2312" w:hAnsi="楷体_GB2312" w:eastAsia="楷体_GB2312" w:cs="楷体_GB2312"/>
          <w:b/>
          <w:bCs/>
          <w:color w:val="auto"/>
          <w:kern w:val="0"/>
          <w:sz w:val="32"/>
          <w:szCs w:val="32"/>
          <w:highlight w:val="none"/>
          <w:shd w:val="clear" w:color="auto" w:fill="FFFFFF"/>
          <w:lang w:val="zh-CN"/>
        </w:rPr>
        <w:t>存在问题</w:t>
      </w:r>
    </w:p>
    <w:p>
      <w:pPr>
        <w:widowControl w:val="0"/>
        <w:kinsoku/>
        <w:autoSpaceDE/>
        <w:autoSpaceDN/>
        <w:adjustRightInd/>
        <w:snapToGrid/>
        <w:spacing w:line="576" w:lineRule="exact"/>
        <w:ind w:firstLine="640" w:firstLineChars="200"/>
        <w:jc w:val="both"/>
        <w:textAlignment w:val="auto"/>
        <w:rPr>
          <w:rFonts w:hint="eastAsia"/>
          <w:lang w:val="zh-CN"/>
        </w:rPr>
      </w:pPr>
      <w:r>
        <w:rPr>
          <w:rFonts w:hint="eastAsia" w:ascii="Times New Roman" w:hAnsi="Times New Roman" w:eastAsia="仿宋_GB2312" w:cs="Times New Roman"/>
          <w:color w:val="auto"/>
          <w:sz w:val="32"/>
          <w:szCs w:val="32"/>
          <w:shd w:val="clear" w:color="auto" w:fill="FFFFFF"/>
        </w:rPr>
        <w:t>无</w:t>
      </w:r>
    </w:p>
    <w:p>
      <w:pPr>
        <w:keepNext w:val="0"/>
        <w:keepLines w:val="0"/>
        <w:pageBreakBefore w:val="0"/>
        <w:widowControl/>
        <w:numPr>
          <w:ilvl w:val="0"/>
          <w:numId w:val="7"/>
        </w:numPr>
        <w:kinsoku/>
        <w:wordWrap/>
        <w:overflowPunct/>
        <w:topLinePunct w:val="0"/>
        <w:autoSpaceDE/>
        <w:autoSpaceDN/>
        <w:bidi w:val="0"/>
        <w:adjustRightInd w:val="0"/>
        <w:snapToGrid w:val="0"/>
        <w:spacing w:line="560" w:lineRule="exact"/>
        <w:ind w:left="0" w:leftChars="0" w:firstLine="643" w:firstLineChars="200"/>
        <w:contextualSpacing/>
        <w:jc w:val="left"/>
        <w:textAlignment w:val="auto"/>
        <w:rPr>
          <w:rFonts w:hint="eastAsia" w:ascii="楷体_GB2312" w:hAnsi="楷体_GB2312" w:eastAsia="楷体_GB2312" w:cs="楷体_GB2312"/>
          <w:b/>
          <w:bCs/>
          <w:color w:val="auto"/>
          <w:kern w:val="0"/>
          <w:sz w:val="32"/>
          <w:szCs w:val="32"/>
          <w:highlight w:val="none"/>
          <w:shd w:val="clear" w:color="auto" w:fill="FFFFFF"/>
          <w:lang w:val="zh-CN"/>
        </w:rPr>
      </w:pPr>
      <w:r>
        <w:rPr>
          <w:rFonts w:hint="eastAsia" w:ascii="楷体_GB2312" w:hAnsi="楷体_GB2312" w:eastAsia="楷体_GB2312" w:cs="楷体_GB2312"/>
          <w:b/>
          <w:bCs/>
          <w:color w:val="auto"/>
          <w:kern w:val="0"/>
          <w:sz w:val="32"/>
          <w:szCs w:val="32"/>
          <w:highlight w:val="none"/>
          <w:shd w:val="clear" w:color="auto" w:fill="FFFFFF"/>
          <w:lang w:val="zh-CN"/>
        </w:rPr>
        <w:t>改进建议</w:t>
      </w:r>
    </w:p>
    <w:p>
      <w:pPr>
        <w:widowControl w:val="0"/>
        <w:kinsoku/>
        <w:autoSpaceDE/>
        <w:autoSpaceDN/>
        <w:adjustRightInd/>
        <w:snapToGrid/>
        <w:spacing w:line="576" w:lineRule="exact"/>
        <w:ind w:firstLine="640" w:firstLineChars="200"/>
        <w:jc w:val="both"/>
        <w:textAlignment w:val="auto"/>
        <w:rPr>
          <w:rFonts w:ascii="Times New Roman" w:hAnsi="Times New Roman" w:eastAsia="仿宋_GB2312" w:cs="Times New Roman"/>
          <w:color w:val="auto"/>
          <w:sz w:val="32"/>
          <w:szCs w:val="32"/>
          <w:shd w:val="clear" w:color="auto" w:fill="FFFFFF"/>
        </w:rPr>
      </w:pPr>
      <w:r>
        <w:rPr>
          <w:rFonts w:hint="eastAsia" w:ascii="Times New Roman" w:hAnsi="Times New Roman" w:eastAsia="仿宋_GB2312" w:cs="Times New Roman"/>
          <w:color w:val="auto"/>
          <w:sz w:val="32"/>
          <w:szCs w:val="32"/>
          <w:shd w:val="clear" w:color="auto" w:fill="FFFFFF"/>
        </w:rPr>
        <w:t>1</w:t>
      </w:r>
      <w:r>
        <w:rPr>
          <w:rFonts w:ascii="Times New Roman" w:hAnsi="Times New Roman" w:eastAsia="仿宋_GB2312" w:cs="Times New Roman"/>
          <w:color w:val="auto"/>
          <w:sz w:val="32"/>
          <w:szCs w:val="32"/>
          <w:shd w:val="clear" w:color="auto" w:fill="FFFFFF"/>
        </w:rPr>
        <w:t>.</w:t>
      </w:r>
      <w:r>
        <w:rPr>
          <w:rFonts w:hint="eastAsia" w:ascii="Times New Roman" w:hAnsi="Times New Roman" w:eastAsia="仿宋_GB2312" w:cs="Times New Roman"/>
          <w:color w:val="auto"/>
          <w:sz w:val="32"/>
          <w:szCs w:val="32"/>
          <w:shd w:val="clear" w:color="auto" w:fill="FFFFFF"/>
        </w:rPr>
        <w:t>支付管理。严格执行财政集中支付制度，严控审批环节。</w:t>
      </w:r>
    </w:p>
    <w:p>
      <w:pPr>
        <w:widowControl w:val="0"/>
        <w:kinsoku/>
        <w:autoSpaceDE/>
        <w:autoSpaceDN/>
        <w:adjustRightInd/>
        <w:snapToGrid/>
        <w:spacing w:line="576" w:lineRule="exact"/>
        <w:ind w:firstLine="640" w:firstLineChars="200"/>
        <w:jc w:val="both"/>
        <w:textAlignment w:val="auto"/>
        <w:rPr>
          <w:rFonts w:hint="eastAsia"/>
          <w:lang w:val="zh-CN"/>
        </w:rPr>
      </w:pPr>
      <w:r>
        <w:rPr>
          <w:rFonts w:hint="eastAsia" w:ascii="Times New Roman" w:hAnsi="Times New Roman" w:eastAsia="仿宋_GB2312" w:cs="Times New Roman"/>
          <w:color w:val="auto"/>
          <w:sz w:val="32"/>
          <w:szCs w:val="32"/>
          <w:shd w:val="clear" w:color="auto" w:fill="FFFFFF"/>
          <w:lang w:val="en-US" w:eastAsia="zh-CN"/>
        </w:rPr>
        <w:t>2</w:t>
      </w:r>
      <w:r>
        <w:rPr>
          <w:rFonts w:ascii="Times New Roman" w:hAnsi="Times New Roman" w:eastAsia="仿宋_GB2312" w:cs="Times New Roman"/>
          <w:color w:val="auto"/>
          <w:sz w:val="32"/>
          <w:szCs w:val="32"/>
          <w:shd w:val="clear" w:color="auto" w:fill="FFFFFF"/>
        </w:rPr>
        <w:t>.</w:t>
      </w:r>
      <w:r>
        <w:rPr>
          <w:rFonts w:hint="eastAsia" w:ascii="Times New Roman" w:hAnsi="Times New Roman" w:eastAsia="仿宋_GB2312" w:cs="Times New Roman"/>
          <w:color w:val="auto"/>
          <w:sz w:val="32"/>
          <w:szCs w:val="32"/>
          <w:shd w:val="clear" w:color="auto" w:fill="FFFFFF"/>
        </w:rPr>
        <w:t>拨付管理。加强绩效事前、事中、事后监管，及时调度资金使用情况，加快资金兑付进度。</w:t>
      </w:r>
    </w:p>
    <w:p>
      <w:pPr>
        <w:pStyle w:val="13"/>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highlight w:val="none"/>
          <w:lang w:val="zh-CN" w:eastAsia="zh-CN"/>
        </w:rPr>
      </w:pPr>
    </w:p>
    <w:p>
      <w:pPr>
        <w:pStyle w:val="13"/>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highlight w:val="none"/>
          <w:lang w:val="zh-CN" w:eastAsia="zh-CN"/>
        </w:rPr>
      </w:pPr>
      <w:r>
        <w:rPr>
          <w:rFonts w:hint="eastAsia" w:ascii="仿宋_GB2312" w:hAnsi="仿宋_GB2312" w:eastAsia="仿宋_GB2312" w:cs="仿宋_GB2312"/>
          <w:color w:val="auto"/>
          <w:sz w:val="32"/>
          <w:szCs w:val="32"/>
          <w:highlight w:val="none"/>
          <w:lang w:val="zh-CN" w:eastAsia="zh-CN"/>
        </w:rPr>
        <w:t>附表：</w:t>
      </w:r>
      <w:r>
        <w:rPr>
          <w:rFonts w:hint="eastAsia" w:ascii="仿宋_GB2312" w:hAnsi="仿宋_GB2312" w:eastAsia="仿宋_GB2312" w:cs="仿宋_GB2312"/>
          <w:color w:val="auto"/>
          <w:sz w:val="32"/>
          <w:szCs w:val="32"/>
          <w:highlight w:val="none"/>
          <w:lang w:val="en-US" w:eastAsia="zh-CN"/>
        </w:rPr>
        <w:t>部门预算项目支出绩效自评表（2022年度）</w:t>
      </w:r>
    </w:p>
    <w:p>
      <w:pPr>
        <w:spacing w:before="5" w:line="215" w:lineRule="auto"/>
        <w:jc w:val="center"/>
        <w:rPr>
          <w:rFonts w:hint="eastAsia" w:ascii="方正小标宋简体" w:hAnsi="方正小标宋简体" w:eastAsia="方正小标宋简体" w:cs="方正小标宋简体"/>
          <w:b/>
          <w:bCs/>
          <w:spacing w:val="21"/>
          <w:sz w:val="36"/>
          <w:szCs w:val="36"/>
        </w:rPr>
      </w:pPr>
    </w:p>
    <w:p>
      <w:pPr>
        <w:spacing w:before="5" w:line="215" w:lineRule="auto"/>
        <w:jc w:val="center"/>
        <w:rPr>
          <w:rFonts w:hint="eastAsia" w:ascii="方正小标宋简体" w:hAnsi="方正小标宋简体" w:eastAsia="方正小标宋简体" w:cs="方正小标宋简体"/>
          <w:b/>
          <w:bCs/>
          <w:spacing w:val="21"/>
          <w:sz w:val="36"/>
          <w:szCs w:val="36"/>
        </w:rPr>
      </w:pPr>
    </w:p>
    <w:p>
      <w:pPr>
        <w:spacing w:before="5" w:line="215" w:lineRule="auto"/>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b/>
          <w:bCs/>
          <w:spacing w:val="21"/>
          <w:sz w:val="36"/>
          <w:szCs w:val="36"/>
        </w:rPr>
        <w:t>广元市昭化区部门整体支出绩效目标自评表</w:t>
      </w:r>
    </w:p>
    <w:p>
      <w:pPr>
        <w:spacing w:line="219" w:lineRule="auto"/>
        <w:jc w:val="center"/>
        <w:rPr>
          <w:rFonts w:ascii="宋体" w:hAnsi="宋体" w:eastAsia="宋体" w:cs="宋体"/>
          <w:sz w:val="28"/>
          <w:szCs w:val="28"/>
        </w:rPr>
      </w:pPr>
      <w:r>
        <w:rPr>
          <w:rFonts w:ascii="宋体" w:hAnsi="宋体" w:eastAsia="宋体" w:cs="宋体"/>
          <w:spacing w:val="-16"/>
          <w:sz w:val="28"/>
          <w:szCs w:val="28"/>
        </w:rPr>
        <w:t>(</w:t>
      </w:r>
      <w:r>
        <w:rPr>
          <w:rFonts w:hint="eastAsia" w:ascii="宋体" w:hAnsi="宋体" w:cs="宋体"/>
          <w:spacing w:val="-16"/>
          <w:sz w:val="28"/>
          <w:szCs w:val="28"/>
          <w:lang w:val="en-US" w:eastAsia="zh-CN"/>
        </w:rPr>
        <w:t>2022</w:t>
      </w:r>
      <w:r>
        <w:rPr>
          <w:rFonts w:ascii="宋体" w:hAnsi="宋体" w:eastAsia="宋体" w:cs="宋体"/>
          <w:spacing w:val="-16"/>
          <w:sz w:val="28"/>
          <w:szCs w:val="28"/>
        </w:rPr>
        <w:t>年度)</w:t>
      </w:r>
    </w:p>
    <w:p>
      <w:pPr>
        <w:spacing w:line="147" w:lineRule="exact"/>
        <w:jc w:val="both"/>
      </w:pPr>
    </w:p>
    <w:tbl>
      <w:tblPr>
        <w:tblStyle w:val="36"/>
        <w:tblW w:w="831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4"/>
        <w:gridCol w:w="745"/>
        <w:gridCol w:w="1014"/>
        <w:gridCol w:w="1006"/>
        <w:gridCol w:w="1140"/>
        <w:gridCol w:w="1256"/>
        <w:gridCol w:w="1256"/>
        <w:gridCol w:w="11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trPr>
        <w:tc>
          <w:tcPr>
            <w:tcW w:w="1449" w:type="dxa"/>
            <w:gridSpan w:val="2"/>
            <w:vAlign w:val="top"/>
          </w:tcPr>
          <w:p>
            <w:pPr>
              <w:spacing w:before="92" w:line="219" w:lineRule="auto"/>
              <w:ind w:left="434"/>
              <w:rPr>
                <w:rFonts w:ascii="宋体" w:hAnsi="宋体" w:eastAsia="宋体" w:cs="宋体"/>
                <w:sz w:val="18"/>
                <w:szCs w:val="18"/>
              </w:rPr>
            </w:pPr>
            <w:r>
              <w:rPr>
                <w:rFonts w:ascii="宋体" w:hAnsi="宋体" w:eastAsia="宋体" w:cs="宋体"/>
                <w:spacing w:val="5"/>
                <w:sz w:val="18"/>
                <w:szCs w:val="18"/>
              </w:rPr>
              <w:t>主管部门</w:t>
            </w:r>
          </w:p>
        </w:tc>
        <w:tc>
          <w:tcPr>
            <w:tcW w:w="3160" w:type="dxa"/>
            <w:gridSpan w:val="3"/>
            <w:vAlign w:val="top"/>
          </w:tcPr>
          <w:p>
            <w:pPr>
              <w:spacing w:before="92" w:line="219" w:lineRule="auto"/>
              <w:ind w:left="434"/>
              <w:rPr>
                <w:rFonts w:hint="eastAsia" w:ascii="宋体" w:hAnsi="宋体" w:eastAsia="宋体" w:cs="宋体"/>
                <w:spacing w:val="5"/>
                <w:sz w:val="18"/>
                <w:szCs w:val="18"/>
                <w:lang w:eastAsia="zh-CN"/>
              </w:rPr>
            </w:pPr>
            <w:r>
              <w:rPr>
                <w:rFonts w:hint="eastAsia" w:ascii="宋体" w:hAnsi="宋体" w:eastAsia="宋体" w:cs="宋体"/>
                <w:spacing w:val="5"/>
                <w:sz w:val="18"/>
                <w:szCs w:val="18"/>
                <w:lang w:eastAsia="zh-CN"/>
              </w:rPr>
              <w:t>昭化区医保局</w:t>
            </w:r>
          </w:p>
        </w:tc>
        <w:tc>
          <w:tcPr>
            <w:tcW w:w="1256" w:type="dxa"/>
            <w:vAlign w:val="top"/>
          </w:tcPr>
          <w:p>
            <w:pPr>
              <w:spacing w:before="92" w:line="219" w:lineRule="auto"/>
              <w:ind w:left="434"/>
              <w:rPr>
                <w:rFonts w:ascii="宋体" w:hAnsi="宋体" w:eastAsia="宋体" w:cs="宋体"/>
                <w:spacing w:val="5"/>
                <w:sz w:val="18"/>
                <w:szCs w:val="18"/>
              </w:rPr>
            </w:pPr>
            <w:r>
              <w:rPr>
                <w:rFonts w:ascii="宋体" w:hAnsi="宋体" w:eastAsia="宋体" w:cs="宋体"/>
                <w:spacing w:val="5"/>
                <w:sz w:val="18"/>
                <w:szCs w:val="18"/>
              </w:rPr>
              <w:t>实施单位</w:t>
            </w:r>
          </w:p>
        </w:tc>
        <w:tc>
          <w:tcPr>
            <w:tcW w:w="2453" w:type="dxa"/>
            <w:gridSpan w:val="2"/>
            <w:vAlign w:val="top"/>
          </w:tcPr>
          <w:p>
            <w:pPr>
              <w:spacing w:before="92" w:line="219" w:lineRule="auto"/>
              <w:ind w:left="434"/>
              <w:rPr>
                <w:rFonts w:hint="eastAsia" w:ascii="宋体" w:hAnsi="宋体" w:eastAsia="宋体" w:cs="宋体"/>
                <w:spacing w:val="5"/>
                <w:sz w:val="18"/>
                <w:szCs w:val="18"/>
                <w:lang w:eastAsia="zh-CN"/>
              </w:rPr>
            </w:pPr>
            <w:r>
              <w:rPr>
                <w:rFonts w:hint="eastAsia" w:ascii="宋体" w:hAnsi="宋体" w:eastAsia="宋体" w:cs="宋体"/>
                <w:spacing w:val="5"/>
                <w:sz w:val="18"/>
                <w:szCs w:val="18"/>
                <w:lang w:eastAsia="zh-CN"/>
              </w:rPr>
              <w:t>昭化区医保局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7" w:hRule="atLeast"/>
        </w:trPr>
        <w:tc>
          <w:tcPr>
            <w:tcW w:w="1449" w:type="dxa"/>
            <w:gridSpan w:val="2"/>
            <w:vMerge w:val="restart"/>
            <w:tcBorders>
              <w:bottom w:val="nil"/>
            </w:tcBorders>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before="59" w:line="248" w:lineRule="auto"/>
              <w:ind w:left="524" w:right="277" w:hanging="449"/>
              <w:rPr>
                <w:rFonts w:ascii="宋体" w:hAnsi="宋体" w:eastAsia="宋体" w:cs="宋体"/>
                <w:sz w:val="18"/>
                <w:szCs w:val="18"/>
              </w:rPr>
            </w:pPr>
            <w:r>
              <w:rPr>
                <w:rFonts w:ascii="宋体" w:hAnsi="宋体" w:eastAsia="宋体" w:cs="宋体"/>
                <w:spacing w:val="-2"/>
                <w:sz w:val="18"/>
                <w:szCs w:val="18"/>
              </w:rPr>
              <w:t>项目(政策)资金</w:t>
            </w:r>
            <w:r>
              <w:rPr>
                <w:rFonts w:ascii="宋体" w:hAnsi="宋体" w:eastAsia="宋体" w:cs="宋体"/>
                <w:spacing w:val="5"/>
                <w:sz w:val="18"/>
                <w:szCs w:val="18"/>
              </w:rPr>
              <w:t xml:space="preserve"> </w:t>
            </w:r>
            <w:r>
              <w:rPr>
                <w:rFonts w:ascii="宋体" w:hAnsi="宋体" w:eastAsia="宋体" w:cs="宋体"/>
                <w:spacing w:val="9"/>
                <w:sz w:val="18"/>
                <w:szCs w:val="18"/>
              </w:rPr>
              <w:t>(万元)</w:t>
            </w:r>
          </w:p>
        </w:tc>
        <w:tc>
          <w:tcPr>
            <w:tcW w:w="2020" w:type="dxa"/>
            <w:gridSpan w:val="2"/>
            <w:vAlign w:val="top"/>
          </w:tcPr>
          <w:p>
            <w:pPr>
              <w:rPr>
                <w:rFonts w:ascii="Arial"/>
                <w:sz w:val="21"/>
              </w:rPr>
            </w:pPr>
          </w:p>
        </w:tc>
        <w:tc>
          <w:tcPr>
            <w:tcW w:w="1140" w:type="dxa"/>
            <w:vAlign w:val="top"/>
          </w:tcPr>
          <w:p>
            <w:pPr>
              <w:spacing w:before="87" w:line="219" w:lineRule="auto"/>
              <w:jc w:val="center"/>
              <w:rPr>
                <w:rFonts w:ascii="宋体" w:hAnsi="宋体" w:eastAsia="宋体" w:cs="宋体"/>
                <w:sz w:val="18"/>
                <w:szCs w:val="18"/>
              </w:rPr>
            </w:pPr>
            <w:r>
              <w:rPr>
                <w:rFonts w:ascii="宋体" w:hAnsi="宋体" w:eastAsia="宋体" w:cs="宋体"/>
                <w:spacing w:val="-2"/>
                <w:sz w:val="18"/>
                <w:szCs w:val="18"/>
              </w:rPr>
              <w:t>年初预算数</w:t>
            </w:r>
          </w:p>
        </w:tc>
        <w:tc>
          <w:tcPr>
            <w:tcW w:w="1256" w:type="dxa"/>
            <w:vAlign w:val="top"/>
          </w:tcPr>
          <w:p>
            <w:pPr>
              <w:spacing w:before="87" w:line="219" w:lineRule="auto"/>
              <w:jc w:val="center"/>
              <w:rPr>
                <w:rFonts w:ascii="宋体" w:hAnsi="宋体" w:eastAsia="宋体" w:cs="宋体"/>
                <w:sz w:val="18"/>
                <w:szCs w:val="18"/>
              </w:rPr>
            </w:pPr>
            <w:r>
              <w:rPr>
                <w:rFonts w:ascii="宋体" w:hAnsi="宋体" w:eastAsia="宋体" w:cs="宋体"/>
                <w:spacing w:val="-2"/>
                <w:sz w:val="18"/>
                <w:szCs w:val="18"/>
              </w:rPr>
              <w:t>全年预算数</w:t>
            </w:r>
          </w:p>
        </w:tc>
        <w:tc>
          <w:tcPr>
            <w:tcW w:w="1256" w:type="dxa"/>
            <w:vAlign w:val="top"/>
          </w:tcPr>
          <w:p>
            <w:pPr>
              <w:spacing w:before="87" w:line="219" w:lineRule="auto"/>
              <w:jc w:val="center"/>
              <w:rPr>
                <w:rFonts w:ascii="宋体" w:hAnsi="宋体" w:eastAsia="宋体" w:cs="宋体"/>
                <w:sz w:val="18"/>
                <w:szCs w:val="18"/>
              </w:rPr>
            </w:pPr>
            <w:r>
              <w:rPr>
                <w:rFonts w:ascii="宋体" w:hAnsi="宋体" w:eastAsia="宋体" w:cs="宋体"/>
                <w:spacing w:val="-2"/>
                <w:sz w:val="18"/>
                <w:szCs w:val="18"/>
              </w:rPr>
              <w:t>全年执行数</w:t>
            </w:r>
          </w:p>
        </w:tc>
        <w:tc>
          <w:tcPr>
            <w:tcW w:w="1197" w:type="dxa"/>
            <w:vAlign w:val="top"/>
          </w:tcPr>
          <w:p>
            <w:pPr>
              <w:spacing w:before="87" w:line="219" w:lineRule="auto"/>
              <w:jc w:val="center"/>
              <w:rPr>
                <w:rFonts w:ascii="宋体" w:hAnsi="宋体" w:eastAsia="宋体" w:cs="宋体"/>
                <w:sz w:val="18"/>
                <w:szCs w:val="18"/>
              </w:rPr>
            </w:pPr>
            <w:r>
              <w:rPr>
                <w:rFonts w:ascii="宋体" w:hAnsi="宋体" w:eastAsia="宋体" w:cs="宋体"/>
                <w:spacing w:val="6"/>
                <w:sz w:val="18"/>
                <w:szCs w:val="18"/>
              </w:rPr>
              <w:t>执行率(%)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8" w:hRule="atLeast"/>
        </w:trPr>
        <w:tc>
          <w:tcPr>
            <w:tcW w:w="1449" w:type="dxa"/>
            <w:gridSpan w:val="2"/>
            <w:vMerge w:val="continue"/>
            <w:tcBorders>
              <w:top w:val="nil"/>
              <w:bottom w:val="nil"/>
            </w:tcBorders>
            <w:vAlign w:val="top"/>
          </w:tcPr>
          <w:p>
            <w:pPr>
              <w:rPr>
                <w:rFonts w:ascii="Arial"/>
                <w:sz w:val="21"/>
              </w:rPr>
            </w:pPr>
          </w:p>
        </w:tc>
        <w:tc>
          <w:tcPr>
            <w:tcW w:w="2020" w:type="dxa"/>
            <w:gridSpan w:val="2"/>
            <w:vAlign w:val="top"/>
          </w:tcPr>
          <w:p>
            <w:pPr>
              <w:spacing w:before="88" w:line="219" w:lineRule="auto"/>
              <w:ind w:left="162"/>
              <w:rPr>
                <w:rFonts w:ascii="宋体" w:hAnsi="宋体" w:eastAsia="宋体" w:cs="宋体"/>
                <w:spacing w:val="-2"/>
                <w:sz w:val="18"/>
                <w:szCs w:val="18"/>
              </w:rPr>
            </w:pPr>
            <w:r>
              <w:rPr>
                <w:rFonts w:ascii="宋体" w:hAnsi="宋体" w:eastAsia="宋体" w:cs="宋体"/>
                <w:spacing w:val="-2"/>
                <w:sz w:val="18"/>
                <w:szCs w:val="18"/>
              </w:rPr>
              <w:t>年度资金总额</w:t>
            </w:r>
          </w:p>
        </w:tc>
        <w:tc>
          <w:tcPr>
            <w:tcW w:w="1140" w:type="dxa"/>
            <w:vAlign w:val="top"/>
          </w:tcPr>
          <w:p>
            <w:pPr>
              <w:spacing w:before="88" w:line="219" w:lineRule="auto"/>
              <w:ind w:left="162"/>
              <w:jc w:val="center"/>
              <w:rPr>
                <w:rFonts w:hint="default" w:ascii="宋体" w:hAnsi="宋体" w:eastAsia="宋体" w:cs="宋体"/>
                <w:spacing w:val="-2"/>
                <w:sz w:val="18"/>
                <w:szCs w:val="18"/>
                <w:lang w:val="en-US" w:eastAsia="zh-CN"/>
              </w:rPr>
            </w:pPr>
            <w:r>
              <w:rPr>
                <w:rFonts w:hint="eastAsia" w:ascii="宋体" w:hAnsi="宋体" w:eastAsia="宋体" w:cs="宋体"/>
                <w:spacing w:val="-2"/>
                <w:sz w:val="18"/>
                <w:szCs w:val="18"/>
                <w:lang w:val="en-US" w:eastAsia="zh-CN"/>
              </w:rPr>
              <w:t>398.30</w:t>
            </w:r>
          </w:p>
        </w:tc>
        <w:tc>
          <w:tcPr>
            <w:tcW w:w="1256" w:type="dxa"/>
            <w:vAlign w:val="top"/>
          </w:tcPr>
          <w:p>
            <w:pPr>
              <w:spacing w:before="88" w:line="219" w:lineRule="auto"/>
              <w:ind w:left="162"/>
              <w:jc w:val="center"/>
              <w:rPr>
                <w:rFonts w:hint="default" w:ascii="宋体" w:hAnsi="宋体" w:eastAsia="宋体" w:cs="宋体"/>
                <w:spacing w:val="-2"/>
                <w:sz w:val="18"/>
                <w:szCs w:val="18"/>
                <w:lang w:val="en-US" w:eastAsia="zh-CN"/>
              </w:rPr>
            </w:pPr>
            <w:r>
              <w:rPr>
                <w:rFonts w:hint="eastAsia" w:ascii="宋体" w:hAnsi="宋体" w:eastAsia="宋体" w:cs="宋体"/>
                <w:spacing w:val="-2"/>
                <w:sz w:val="18"/>
                <w:szCs w:val="18"/>
                <w:lang w:val="en-US" w:eastAsia="zh-CN"/>
              </w:rPr>
              <w:t>473.53</w:t>
            </w:r>
          </w:p>
        </w:tc>
        <w:tc>
          <w:tcPr>
            <w:tcW w:w="1256" w:type="dxa"/>
            <w:vAlign w:val="top"/>
          </w:tcPr>
          <w:p>
            <w:pPr>
              <w:spacing w:before="88" w:line="219" w:lineRule="auto"/>
              <w:ind w:left="162"/>
              <w:jc w:val="center"/>
              <w:rPr>
                <w:rFonts w:hint="default" w:ascii="宋体" w:hAnsi="宋体" w:eastAsia="宋体" w:cs="宋体"/>
                <w:spacing w:val="-2"/>
                <w:sz w:val="18"/>
                <w:szCs w:val="18"/>
                <w:lang w:val="en-US" w:eastAsia="zh-CN"/>
              </w:rPr>
            </w:pPr>
            <w:r>
              <w:rPr>
                <w:rFonts w:hint="eastAsia" w:ascii="宋体" w:hAnsi="宋体" w:eastAsia="宋体" w:cs="宋体"/>
                <w:spacing w:val="-2"/>
                <w:sz w:val="18"/>
                <w:szCs w:val="18"/>
                <w:lang w:val="en-US" w:eastAsia="zh-CN"/>
              </w:rPr>
              <w:t>473.53</w:t>
            </w:r>
          </w:p>
        </w:tc>
        <w:tc>
          <w:tcPr>
            <w:tcW w:w="1197" w:type="dxa"/>
            <w:vAlign w:val="top"/>
          </w:tcPr>
          <w:p>
            <w:pPr>
              <w:spacing w:before="88" w:line="219" w:lineRule="auto"/>
              <w:ind w:left="162"/>
              <w:jc w:val="center"/>
              <w:rPr>
                <w:rFonts w:hint="default" w:ascii="宋体" w:hAnsi="宋体" w:eastAsia="宋体" w:cs="宋体"/>
                <w:spacing w:val="-2"/>
                <w:sz w:val="18"/>
                <w:szCs w:val="18"/>
                <w:lang w:val="en-US" w:eastAsia="zh-CN"/>
              </w:rPr>
            </w:pPr>
            <w:r>
              <w:rPr>
                <w:rFonts w:hint="eastAsia" w:ascii="宋体" w:hAnsi="宋体" w:eastAsia="宋体" w:cs="宋体"/>
                <w:spacing w:val="-2"/>
                <w:sz w:val="18"/>
                <w:szCs w:val="18"/>
                <w:lang w:val="en-US" w:eastAsia="zh-CN"/>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1449" w:type="dxa"/>
            <w:gridSpan w:val="2"/>
            <w:vMerge w:val="continue"/>
            <w:tcBorders>
              <w:top w:val="nil"/>
              <w:bottom w:val="nil"/>
            </w:tcBorders>
            <w:vAlign w:val="top"/>
          </w:tcPr>
          <w:p>
            <w:pPr>
              <w:rPr>
                <w:rFonts w:ascii="Arial"/>
                <w:sz w:val="21"/>
              </w:rPr>
            </w:pPr>
          </w:p>
        </w:tc>
        <w:tc>
          <w:tcPr>
            <w:tcW w:w="2020" w:type="dxa"/>
            <w:gridSpan w:val="2"/>
            <w:vAlign w:val="top"/>
          </w:tcPr>
          <w:p>
            <w:pPr>
              <w:spacing w:before="89" w:line="219" w:lineRule="auto"/>
              <w:ind w:left="162"/>
              <w:rPr>
                <w:rFonts w:ascii="宋体" w:hAnsi="宋体" w:eastAsia="宋体" w:cs="宋体"/>
                <w:sz w:val="18"/>
                <w:szCs w:val="18"/>
              </w:rPr>
            </w:pPr>
            <w:r>
              <w:rPr>
                <w:rFonts w:ascii="宋体" w:hAnsi="宋体" w:eastAsia="宋体" w:cs="宋体"/>
                <w:sz w:val="18"/>
                <w:szCs w:val="18"/>
              </w:rPr>
              <w:t>(一)财政拨款小计</w:t>
            </w:r>
          </w:p>
        </w:tc>
        <w:tc>
          <w:tcPr>
            <w:tcW w:w="1140" w:type="dxa"/>
            <w:vAlign w:val="top"/>
          </w:tcPr>
          <w:p>
            <w:pPr>
              <w:spacing w:before="88" w:line="219" w:lineRule="auto"/>
              <w:ind w:left="162" w:leftChars="0"/>
              <w:jc w:val="center"/>
              <w:rPr>
                <w:rFonts w:hint="default" w:ascii="宋体" w:hAnsi="宋体" w:eastAsia="宋体" w:cs="宋体"/>
                <w:snapToGrid w:val="0"/>
                <w:color w:val="000000"/>
                <w:spacing w:val="-2"/>
                <w:kern w:val="0"/>
                <w:sz w:val="18"/>
                <w:szCs w:val="18"/>
                <w:lang w:val="en-US" w:eastAsia="zh-CN"/>
              </w:rPr>
            </w:pPr>
            <w:r>
              <w:rPr>
                <w:rFonts w:hint="eastAsia" w:ascii="宋体" w:hAnsi="宋体" w:eastAsia="宋体" w:cs="宋体"/>
                <w:spacing w:val="-2"/>
                <w:sz w:val="18"/>
                <w:szCs w:val="18"/>
                <w:lang w:val="en-US" w:eastAsia="zh-CN"/>
              </w:rPr>
              <w:t>398.30</w:t>
            </w:r>
          </w:p>
        </w:tc>
        <w:tc>
          <w:tcPr>
            <w:tcW w:w="1256" w:type="dxa"/>
            <w:vAlign w:val="top"/>
          </w:tcPr>
          <w:p>
            <w:pPr>
              <w:spacing w:before="88" w:line="219" w:lineRule="auto"/>
              <w:ind w:left="162" w:leftChars="0"/>
              <w:jc w:val="center"/>
              <w:rPr>
                <w:rFonts w:hint="default" w:ascii="宋体" w:hAnsi="宋体" w:eastAsia="宋体" w:cs="宋体"/>
                <w:snapToGrid w:val="0"/>
                <w:color w:val="000000"/>
                <w:spacing w:val="-2"/>
                <w:kern w:val="0"/>
                <w:sz w:val="18"/>
                <w:szCs w:val="18"/>
                <w:lang w:val="en-US" w:eastAsia="zh-CN"/>
              </w:rPr>
            </w:pPr>
            <w:r>
              <w:rPr>
                <w:rFonts w:hint="eastAsia" w:ascii="宋体" w:hAnsi="宋体" w:eastAsia="宋体" w:cs="宋体"/>
                <w:spacing w:val="-2"/>
                <w:sz w:val="18"/>
                <w:szCs w:val="18"/>
                <w:lang w:val="en-US" w:eastAsia="zh-CN"/>
              </w:rPr>
              <w:t>473.53</w:t>
            </w:r>
          </w:p>
        </w:tc>
        <w:tc>
          <w:tcPr>
            <w:tcW w:w="1256" w:type="dxa"/>
            <w:vAlign w:val="top"/>
          </w:tcPr>
          <w:p>
            <w:pPr>
              <w:spacing w:before="88" w:line="219" w:lineRule="auto"/>
              <w:ind w:left="162" w:leftChars="0"/>
              <w:jc w:val="center"/>
              <w:rPr>
                <w:rFonts w:hint="default" w:ascii="宋体" w:hAnsi="宋体" w:eastAsia="宋体" w:cs="宋体"/>
                <w:snapToGrid w:val="0"/>
                <w:color w:val="000000"/>
                <w:spacing w:val="-2"/>
                <w:kern w:val="0"/>
                <w:sz w:val="18"/>
                <w:szCs w:val="18"/>
                <w:lang w:val="en-US" w:eastAsia="zh-CN"/>
              </w:rPr>
            </w:pPr>
            <w:r>
              <w:rPr>
                <w:rFonts w:hint="eastAsia" w:ascii="宋体" w:hAnsi="宋体" w:eastAsia="宋体" w:cs="宋体"/>
                <w:spacing w:val="-2"/>
                <w:sz w:val="18"/>
                <w:szCs w:val="18"/>
                <w:lang w:val="en-US" w:eastAsia="zh-CN"/>
              </w:rPr>
              <w:t>473.53</w:t>
            </w:r>
          </w:p>
        </w:tc>
        <w:tc>
          <w:tcPr>
            <w:tcW w:w="1197" w:type="dxa"/>
            <w:vAlign w:val="top"/>
          </w:tcPr>
          <w:p>
            <w:pPr>
              <w:spacing w:before="88" w:line="219" w:lineRule="auto"/>
              <w:ind w:left="162" w:leftChars="0"/>
              <w:jc w:val="center"/>
              <w:rPr>
                <w:rFonts w:hint="default" w:ascii="宋体" w:hAnsi="宋体" w:eastAsia="宋体" w:cs="宋体"/>
                <w:snapToGrid w:val="0"/>
                <w:color w:val="000000"/>
                <w:spacing w:val="-2"/>
                <w:kern w:val="0"/>
                <w:sz w:val="18"/>
                <w:szCs w:val="18"/>
                <w:lang w:val="en-US" w:eastAsia="zh-CN"/>
              </w:rPr>
            </w:pPr>
            <w:r>
              <w:rPr>
                <w:rFonts w:hint="eastAsia" w:ascii="宋体" w:hAnsi="宋体" w:eastAsia="宋体" w:cs="宋体"/>
                <w:spacing w:val="-2"/>
                <w:sz w:val="18"/>
                <w:szCs w:val="18"/>
                <w:lang w:val="en-US" w:eastAsia="zh-CN"/>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1449" w:type="dxa"/>
            <w:gridSpan w:val="2"/>
            <w:vMerge w:val="continue"/>
            <w:tcBorders>
              <w:top w:val="nil"/>
              <w:bottom w:val="nil"/>
            </w:tcBorders>
            <w:vAlign w:val="top"/>
          </w:tcPr>
          <w:p>
            <w:pPr>
              <w:rPr>
                <w:rFonts w:ascii="Arial"/>
                <w:sz w:val="21"/>
              </w:rPr>
            </w:pPr>
          </w:p>
        </w:tc>
        <w:tc>
          <w:tcPr>
            <w:tcW w:w="2020" w:type="dxa"/>
            <w:gridSpan w:val="2"/>
            <w:vAlign w:val="top"/>
          </w:tcPr>
          <w:p>
            <w:pPr>
              <w:spacing w:before="90" w:line="219" w:lineRule="auto"/>
              <w:ind w:left="162"/>
              <w:rPr>
                <w:rFonts w:ascii="宋体" w:hAnsi="宋体" w:eastAsia="宋体" w:cs="宋体"/>
                <w:sz w:val="18"/>
                <w:szCs w:val="18"/>
              </w:rPr>
            </w:pPr>
            <w:r>
              <w:rPr>
                <w:rFonts w:ascii="宋体" w:hAnsi="宋体" w:eastAsia="宋体" w:cs="宋体"/>
                <w:spacing w:val="1"/>
                <w:sz w:val="18"/>
                <w:szCs w:val="18"/>
              </w:rPr>
              <w:t>1.一般公共预算</w:t>
            </w:r>
          </w:p>
        </w:tc>
        <w:tc>
          <w:tcPr>
            <w:tcW w:w="1140" w:type="dxa"/>
            <w:vAlign w:val="top"/>
          </w:tcPr>
          <w:p>
            <w:pPr>
              <w:spacing w:before="88" w:line="219" w:lineRule="auto"/>
              <w:ind w:left="162" w:leftChars="0"/>
              <w:jc w:val="center"/>
              <w:rPr>
                <w:rFonts w:hint="default" w:ascii="宋体" w:hAnsi="宋体" w:eastAsia="宋体" w:cs="宋体"/>
                <w:snapToGrid w:val="0"/>
                <w:color w:val="000000"/>
                <w:spacing w:val="-2"/>
                <w:kern w:val="0"/>
                <w:sz w:val="18"/>
                <w:szCs w:val="18"/>
                <w:lang w:val="en-US" w:eastAsia="zh-CN"/>
              </w:rPr>
            </w:pPr>
            <w:r>
              <w:rPr>
                <w:rFonts w:hint="eastAsia" w:ascii="宋体" w:hAnsi="宋体" w:eastAsia="宋体" w:cs="宋体"/>
                <w:spacing w:val="-2"/>
                <w:sz w:val="18"/>
                <w:szCs w:val="18"/>
                <w:lang w:val="en-US" w:eastAsia="zh-CN"/>
              </w:rPr>
              <w:t>398.30</w:t>
            </w:r>
          </w:p>
        </w:tc>
        <w:tc>
          <w:tcPr>
            <w:tcW w:w="1256" w:type="dxa"/>
            <w:vAlign w:val="top"/>
          </w:tcPr>
          <w:p>
            <w:pPr>
              <w:spacing w:before="88" w:line="219" w:lineRule="auto"/>
              <w:ind w:left="162" w:leftChars="0"/>
              <w:jc w:val="center"/>
              <w:rPr>
                <w:rFonts w:hint="default" w:ascii="宋体" w:hAnsi="宋体" w:eastAsia="宋体" w:cs="宋体"/>
                <w:snapToGrid w:val="0"/>
                <w:color w:val="000000"/>
                <w:spacing w:val="-2"/>
                <w:kern w:val="0"/>
                <w:sz w:val="18"/>
                <w:szCs w:val="18"/>
                <w:lang w:val="en-US" w:eastAsia="zh-CN"/>
              </w:rPr>
            </w:pPr>
            <w:r>
              <w:rPr>
                <w:rFonts w:hint="eastAsia" w:ascii="宋体" w:hAnsi="宋体" w:eastAsia="宋体" w:cs="宋体"/>
                <w:spacing w:val="-2"/>
                <w:sz w:val="18"/>
                <w:szCs w:val="18"/>
                <w:lang w:val="en-US" w:eastAsia="zh-CN"/>
              </w:rPr>
              <w:t>473.53</w:t>
            </w:r>
          </w:p>
        </w:tc>
        <w:tc>
          <w:tcPr>
            <w:tcW w:w="1256" w:type="dxa"/>
            <w:vAlign w:val="top"/>
          </w:tcPr>
          <w:p>
            <w:pPr>
              <w:spacing w:before="88" w:line="219" w:lineRule="auto"/>
              <w:ind w:left="162" w:leftChars="0"/>
              <w:jc w:val="center"/>
              <w:rPr>
                <w:rFonts w:hint="default" w:ascii="宋体" w:hAnsi="宋体" w:eastAsia="宋体" w:cs="宋体"/>
                <w:snapToGrid w:val="0"/>
                <w:color w:val="000000"/>
                <w:spacing w:val="-2"/>
                <w:kern w:val="0"/>
                <w:sz w:val="18"/>
                <w:szCs w:val="18"/>
                <w:lang w:val="en-US" w:eastAsia="zh-CN"/>
              </w:rPr>
            </w:pPr>
            <w:r>
              <w:rPr>
                <w:rFonts w:hint="eastAsia" w:ascii="宋体" w:hAnsi="宋体" w:eastAsia="宋体" w:cs="宋体"/>
                <w:spacing w:val="-2"/>
                <w:sz w:val="18"/>
                <w:szCs w:val="18"/>
                <w:lang w:val="en-US" w:eastAsia="zh-CN"/>
              </w:rPr>
              <w:t>473.53</w:t>
            </w:r>
          </w:p>
        </w:tc>
        <w:tc>
          <w:tcPr>
            <w:tcW w:w="1197" w:type="dxa"/>
            <w:vAlign w:val="top"/>
          </w:tcPr>
          <w:p>
            <w:pPr>
              <w:spacing w:before="88" w:line="219" w:lineRule="auto"/>
              <w:ind w:left="162" w:leftChars="0"/>
              <w:jc w:val="center"/>
              <w:rPr>
                <w:rFonts w:hint="default" w:ascii="宋体" w:hAnsi="宋体" w:eastAsia="宋体" w:cs="宋体"/>
                <w:snapToGrid w:val="0"/>
                <w:color w:val="000000"/>
                <w:spacing w:val="-2"/>
                <w:kern w:val="0"/>
                <w:sz w:val="18"/>
                <w:szCs w:val="18"/>
                <w:lang w:val="en-US" w:eastAsia="zh-CN"/>
              </w:rPr>
            </w:pPr>
            <w:r>
              <w:rPr>
                <w:rFonts w:hint="eastAsia" w:ascii="宋体" w:hAnsi="宋体" w:eastAsia="宋体" w:cs="宋体"/>
                <w:spacing w:val="-2"/>
                <w:sz w:val="18"/>
                <w:szCs w:val="18"/>
                <w:lang w:val="en-US" w:eastAsia="zh-CN"/>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449" w:type="dxa"/>
            <w:gridSpan w:val="2"/>
            <w:vMerge w:val="continue"/>
            <w:tcBorders>
              <w:top w:val="nil"/>
              <w:bottom w:val="nil"/>
            </w:tcBorders>
            <w:vAlign w:val="top"/>
          </w:tcPr>
          <w:p>
            <w:pPr>
              <w:rPr>
                <w:rFonts w:ascii="Arial"/>
                <w:sz w:val="21"/>
              </w:rPr>
            </w:pPr>
          </w:p>
        </w:tc>
        <w:tc>
          <w:tcPr>
            <w:tcW w:w="2020" w:type="dxa"/>
            <w:gridSpan w:val="2"/>
            <w:vAlign w:val="top"/>
          </w:tcPr>
          <w:p>
            <w:pPr>
              <w:spacing w:before="99" w:line="219" w:lineRule="auto"/>
              <w:ind w:left="162"/>
              <w:rPr>
                <w:rFonts w:ascii="宋体" w:hAnsi="宋体" w:eastAsia="宋体" w:cs="宋体"/>
                <w:sz w:val="18"/>
                <w:szCs w:val="18"/>
              </w:rPr>
            </w:pPr>
            <w:r>
              <w:rPr>
                <w:rFonts w:ascii="宋体" w:hAnsi="宋体" w:eastAsia="宋体" w:cs="宋体"/>
                <w:spacing w:val="-2"/>
                <w:sz w:val="18"/>
                <w:szCs w:val="18"/>
              </w:rPr>
              <w:t>2.政府性基金</w:t>
            </w:r>
          </w:p>
        </w:tc>
        <w:tc>
          <w:tcPr>
            <w:tcW w:w="1140" w:type="dxa"/>
            <w:vAlign w:val="top"/>
          </w:tcPr>
          <w:p>
            <w:pPr>
              <w:rPr>
                <w:rFonts w:ascii="Arial"/>
                <w:sz w:val="21"/>
              </w:rPr>
            </w:pPr>
          </w:p>
        </w:tc>
        <w:tc>
          <w:tcPr>
            <w:tcW w:w="1256" w:type="dxa"/>
            <w:vAlign w:val="top"/>
          </w:tcPr>
          <w:p>
            <w:pPr>
              <w:rPr>
                <w:rFonts w:ascii="Arial"/>
                <w:sz w:val="21"/>
              </w:rPr>
            </w:pPr>
          </w:p>
        </w:tc>
        <w:tc>
          <w:tcPr>
            <w:tcW w:w="1256" w:type="dxa"/>
            <w:vAlign w:val="top"/>
          </w:tcPr>
          <w:p>
            <w:pPr>
              <w:rPr>
                <w:rFonts w:ascii="Arial"/>
                <w:sz w:val="21"/>
              </w:rPr>
            </w:pPr>
          </w:p>
        </w:tc>
        <w:tc>
          <w:tcPr>
            <w:tcW w:w="1197"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1449" w:type="dxa"/>
            <w:gridSpan w:val="2"/>
            <w:vMerge w:val="continue"/>
            <w:tcBorders>
              <w:top w:val="nil"/>
              <w:bottom w:val="nil"/>
            </w:tcBorders>
            <w:vAlign w:val="top"/>
          </w:tcPr>
          <w:p>
            <w:pPr>
              <w:rPr>
                <w:rFonts w:ascii="Arial"/>
                <w:sz w:val="21"/>
              </w:rPr>
            </w:pPr>
          </w:p>
        </w:tc>
        <w:tc>
          <w:tcPr>
            <w:tcW w:w="2020" w:type="dxa"/>
            <w:gridSpan w:val="2"/>
            <w:vAlign w:val="top"/>
          </w:tcPr>
          <w:p>
            <w:pPr>
              <w:spacing w:before="129" w:line="219" w:lineRule="auto"/>
              <w:ind w:left="162"/>
              <w:rPr>
                <w:rFonts w:ascii="宋体" w:hAnsi="宋体" w:eastAsia="宋体" w:cs="宋体"/>
                <w:sz w:val="18"/>
                <w:szCs w:val="18"/>
              </w:rPr>
            </w:pPr>
            <w:r>
              <w:rPr>
                <w:rFonts w:ascii="宋体" w:hAnsi="宋体" w:eastAsia="宋体" w:cs="宋体"/>
                <w:spacing w:val="-1"/>
                <w:sz w:val="18"/>
                <w:szCs w:val="18"/>
              </w:rPr>
              <w:t>3.国有资本经营预算</w:t>
            </w:r>
          </w:p>
        </w:tc>
        <w:tc>
          <w:tcPr>
            <w:tcW w:w="1140" w:type="dxa"/>
            <w:vAlign w:val="top"/>
          </w:tcPr>
          <w:p>
            <w:pPr>
              <w:rPr>
                <w:rFonts w:ascii="Arial"/>
                <w:sz w:val="21"/>
              </w:rPr>
            </w:pPr>
          </w:p>
        </w:tc>
        <w:tc>
          <w:tcPr>
            <w:tcW w:w="1256" w:type="dxa"/>
            <w:vAlign w:val="top"/>
          </w:tcPr>
          <w:p>
            <w:pPr>
              <w:rPr>
                <w:rFonts w:ascii="Arial"/>
                <w:sz w:val="21"/>
              </w:rPr>
            </w:pPr>
          </w:p>
        </w:tc>
        <w:tc>
          <w:tcPr>
            <w:tcW w:w="1256" w:type="dxa"/>
            <w:vAlign w:val="top"/>
          </w:tcPr>
          <w:p>
            <w:pPr>
              <w:rPr>
                <w:rFonts w:ascii="Arial"/>
                <w:sz w:val="21"/>
              </w:rPr>
            </w:pPr>
          </w:p>
        </w:tc>
        <w:tc>
          <w:tcPr>
            <w:tcW w:w="1197"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449" w:type="dxa"/>
            <w:gridSpan w:val="2"/>
            <w:vMerge w:val="continue"/>
            <w:tcBorders>
              <w:top w:val="nil"/>
              <w:bottom w:val="nil"/>
            </w:tcBorders>
            <w:vAlign w:val="top"/>
          </w:tcPr>
          <w:p>
            <w:pPr>
              <w:rPr>
                <w:rFonts w:ascii="Arial"/>
                <w:sz w:val="21"/>
              </w:rPr>
            </w:pPr>
          </w:p>
        </w:tc>
        <w:tc>
          <w:tcPr>
            <w:tcW w:w="2020" w:type="dxa"/>
            <w:gridSpan w:val="2"/>
            <w:vAlign w:val="top"/>
          </w:tcPr>
          <w:p>
            <w:pPr>
              <w:spacing w:before="91" w:line="219" w:lineRule="auto"/>
              <w:ind w:left="162"/>
              <w:rPr>
                <w:rFonts w:ascii="宋体" w:hAnsi="宋体" w:eastAsia="宋体" w:cs="宋体"/>
                <w:sz w:val="18"/>
                <w:szCs w:val="18"/>
              </w:rPr>
            </w:pPr>
            <w:r>
              <w:rPr>
                <w:rFonts w:ascii="宋体" w:hAnsi="宋体" w:eastAsia="宋体" w:cs="宋体"/>
                <w:spacing w:val="-1"/>
                <w:sz w:val="18"/>
                <w:szCs w:val="18"/>
              </w:rPr>
              <w:t>4.社保基金</w:t>
            </w:r>
          </w:p>
        </w:tc>
        <w:tc>
          <w:tcPr>
            <w:tcW w:w="1140" w:type="dxa"/>
            <w:vAlign w:val="top"/>
          </w:tcPr>
          <w:p>
            <w:pPr>
              <w:rPr>
                <w:rFonts w:ascii="Arial"/>
                <w:sz w:val="21"/>
              </w:rPr>
            </w:pPr>
          </w:p>
        </w:tc>
        <w:tc>
          <w:tcPr>
            <w:tcW w:w="1256" w:type="dxa"/>
            <w:vAlign w:val="top"/>
          </w:tcPr>
          <w:p>
            <w:pPr>
              <w:rPr>
                <w:rFonts w:ascii="Arial"/>
                <w:sz w:val="21"/>
              </w:rPr>
            </w:pPr>
          </w:p>
        </w:tc>
        <w:tc>
          <w:tcPr>
            <w:tcW w:w="1256" w:type="dxa"/>
            <w:vAlign w:val="top"/>
          </w:tcPr>
          <w:p>
            <w:pPr>
              <w:rPr>
                <w:rFonts w:ascii="Arial"/>
                <w:sz w:val="21"/>
              </w:rPr>
            </w:pPr>
          </w:p>
        </w:tc>
        <w:tc>
          <w:tcPr>
            <w:tcW w:w="1197"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trPr>
        <w:tc>
          <w:tcPr>
            <w:tcW w:w="1449" w:type="dxa"/>
            <w:gridSpan w:val="2"/>
            <w:vMerge w:val="continue"/>
            <w:tcBorders>
              <w:top w:val="nil"/>
            </w:tcBorders>
            <w:vAlign w:val="top"/>
          </w:tcPr>
          <w:p>
            <w:pPr>
              <w:rPr>
                <w:rFonts w:ascii="Arial"/>
                <w:sz w:val="21"/>
              </w:rPr>
            </w:pPr>
          </w:p>
        </w:tc>
        <w:tc>
          <w:tcPr>
            <w:tcW w:w="2020" w:type="dxa"/>
            <w:gridSpan w:val="2"/>
            <w:vAlign w:val="top"/>
          </w:tcPr>
          <w:p>
            <w:pPr>
              <w:spacing w:before="93" w:line="220" w:lineRule="auto"/>
              <w:ind w:left="162"/>
              <w:rPr>
                <w:rFonts w:ascii="宋体" w:hAnsi="宋体" w:eastAsia="宋体" w:cs="宋体"/>
                <w:sz w:val="18"/>
                <w:szCs w:val="18"/>
              </w:rPr>
            </w:pPr>
            <w:r>
              <w:rPr>
                <w:rFonts w:ascii="宋体" w:hAnsi="宋体" w:eastAsia="宋体" w:cs="宋体"/>
                <w:spacing w:val="1"/>
                <w:sz w:val="18"/>
                <w:szCs w:val="18"/>
              </w:rPr>
              <w:t>(二)其他资金</w:t>
            </w:r>
          </w:p>
        </w:tc>
        <w:tc>
          <w:tcPr>
            <w:tcW w:w="1140" w:type="dxa"/>
            <w:vAlign w:val="top"/>
          </w:tcPr>
          <w:p>
            <w:pPr>
              <w:rPr>
                <w:rFonts w:ascii="Arial"/>
                <w:sz w:val="21"/>
              </w:rPr>
            </w:pPr>
          </w:p>
        </w:tc>
        <w:tc>
          <w:tcPr>
            <w:tcW w:w="1256" w:type="dxa"/>
            <w:vAlign w:val="top"/>
          </w:tcPr>
          <w:p>
            <w:pPr>
              <w:rPr>
                <w:rFonts w:ascii="Arial"/>
                <w:sz w:val="21"/>
              </w:rPr>
            </w:pPr>
          </w:p>
        </w:tc>
        <w:tc>
          <w:tcPr>
            <w:tcW w:w="1256" w:type="dxa"/>
            <w:vAlign w:val="top"/>
          </w:tcPr>
          <w:p>
            <w:pPr>
              <w:rPr>
                <w:rFonts w:ascii="Arial"/>
                <w:sz w:val="21"/>
              </w:rPr>
            </w:pPr>
          </w:p>
        </w:tc>
        <w:tc>
          <w:tcPr>
            <w:tcW w:w="1197"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atLeast"/>
        </w:trPr>
        <w:tc>
          <w:tcPr>
            <w:tcW w:w="704" w:type="dxa"/>
            <w:vMerge w:val="restart"/>
            <w:tcBorders>
              <w:bottom w:val="nil"/>
            </w:tcBorders>
            <w:vAlign w:val="top"/>
          </w:tcPr>
          <w:p>
            <w:pPr>
              <w:spacing w:line="423" w:lineRule="auto"/>
              <w:rPr>
                <w:rFonts w:ascii="Arial"/>
                <w:sz w:val="21"/>
              </w:rPr>
            </w:pPr>
          </w:p>
          <w:p>
            <w:pPr>
              <w:spacing w:before="59" w:line="235" w:lineRule="auto"/>
              <w:ind w:left="204"/>
              <w:rPr>
                <w:rFonts w:ascii="宋体" w:hAnsi="宋体" w:eastAsia="宋体" w:cs="宋体"/>
                <w:sz w:val="18"/>
                <w:szCs w:val="18"/>
              </w:rPr>
            </w:pPr>
            <w:r>
              <w:rPr>
                <w:rFonts w:ascii="宋体" w:hAnsi="宋体" w:eastAsia="宋体" w:cs="宋体"/>
                <w:spacing w:val="-2"/>
                <w:sz w:val="18"/>
                <w:szCs w:val="18"/>
              </w:rPr>
              <w:t>整体</w:t>
            </w:r>
          </w:p>
          <w:p>
            <w:pPr>
              <w:spacing w:line="220" w:lineRule="auto"/>
              <w:ind w:left="204"/>
              <w:rPr>
                <w:rFonts w:ascii="宋体" w:hAnsi="宋体" w:eastAsia="宋体" w:cs="宋体"/>
                <w:sz w:val="18"/>
                <w:szCs w:val="18"/>
              </w:rPr>
            </w:pPr>
            <w:r>
              <w:rPr>
                <w:rFonts w:ascii="宋体" w:hAnsi="宋体" w:eastAsia="宋体" w:cs="宋体"/>
                <w:spacing w:val="7"/>
                <w:sz w:val="18"/>
                <w:szCs w:val="18"/>
              </w:rPr>
              <w:t>目标</w:t>
            </w:r>
          </w:p>
        </w:tc>
        <w:tc>
          <w:tcPr>
            <w:tcW w:w="5161" w:type="dxa"/>
            <w:gridSpan w:val="5"/>
            <w:vAlign w:val="top"/>
          </w:tcPr>
          <w:p>
            <w:pPr>
              <w:spacing w:before="223" w:line="219" w:lineRule="auto"/>
              <w:ind w:left="2501"/>
              <w:rPr>
                <w:rFonts w:ascii="宋体" w:hAnsi="宋体" w:eastAsia="宋体" w:cs="宋体"/>
                <w:sz w:val="18"/>
                <w:szCs w:val="18"/>
              </w:rPr>
            </w:pPr>
            <w:r>
              <w:rPr>
                <w:rFonts w:ascii="宋体" w:hAnsi="宋体" w:eastAsia="宋体" w:cs="宋体"/>
                <w:spacing w:val="-2"/>
                <w:sz w:val="18"/>
                <w:szCs w:val="18"/>
              </w:rPr>
              <w:t>年度目标</w:t>
            </w:r>
          </w:p>
        </w:tc>
        <w:tc>
          <w:tcPr>
            <w:tcW w:w="2453" w:type="dxa"/>
            <w:gridSpan w:val="2"/>
            <w:vAlign w:val="top"/>
          </w:tcPr>
          <w:p>
            <w:pPr>
              <w:spacing w:before="223" w:line="219" w:lineRule="auto"/>
              <w:ind w:left="996"/>
              <w:rPr>
                <w:rFonts w:ascii="宋体" w:hAnsi="宋体" w:eastAsia="宋体" w:cs="宋体"/>
                <w:sz w:val="18"/>
                <w:szCs w:val="18"/>
              </w:rPr>
            </w:pPr>
            <w:r>
              <w:rPr>
                <w:rFonts w:ascii="宋体" w:hAnsi="宋体" w:eastAsia="宋体" w:cs="宋体"/>
                <w:spacing w:val="-2"/>
                <w:sz w:val="18"/>
                <w:szCs w:val="18"/>
              </w:rPr>
              <w:t>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9" w:hRule="atLeast"/>
        </w:trPr>
        <w:tc>
          <w:tcPr>
            <w:tcW w:w="704" w:type="dxa"/>
            <w:vMerge w:val="continue"/>
            <w:tcBorders>
              <w:top w:val="nil"/>
            </w:tcBorders>
            <w:vAlign w:val="top"/>
          </w:tcPr>
          <w:p>
            <w:pPr>
              <w:rPr>
                <w:rFonts w:ascii="Arial"/>
                <w:sz w:val="21"/>
              </w:rPr>
            </w:pPr>
          </w:p>
        </w:tc>
        <w:tc>
          <w:tcPr>
            <w:tcW w:w="5161" w:type="dxa"/>
            <w:gridSpan w:val="5"/>
            <w:vAlign w:val="top"/>
          </w:tcPr>
          <w:p>
            <w:pPr>
              <w:spacing w:before="59" w:line="235" w:lineRule="auto"/>
              <w:rPr>
                <w:rFonts w:hint="eastAsia" w:ascii="宋体" w:hAnsi="宋体" w:eastAsia="宋体" w:cs="宋体"/>
                <w:spacing w:val="-2"/>
                <w:sz w:val="18"/>
                <w:szCs w:val="18"/>
                <w:lang w:eastAsia="zh-CN"/>
              </w:rPr>
            </w:pPr>
            <w:r>
              <w:rPr>
                <w:rFonts w:hint="eastAsia" w:ascii="宋体" w:hAnsi="宋体" w:eastAsia="宋体" w:cs="宋体"/>
                <w:spacing w:val="-2"/>
                <w:sz w:val="18"/>
                <w:szCs w:val="18"/>
                <w:lang w:eastAsia="zh-CN"/>
              </w:rPr>
              <w:t>区医保局贯彻落实党中央关于医疗保障工作的方针政策和省委、市委、区委的决策部署，在履行职责过程中坚持和加强党对医疗保障工作的集中统一领导，主要涉及医疗救助、医疗服务项目及药品价格监管、参保居民信息维护、长期护理保险经办、药品耗材招标采购等职能职责。</w:t>
            </w:r>
          </w:p>
          <w:p>
            <w:pPr>
              <w:spacing w:before="59" w:line="235" w:lineRule="auto"/>
              <w:rPr>
                <w:rFonts w:hint="eastAsia" w:ascii="宋体" w:hAnsi="宋体" w:eastAsia="宋体" w:cs="宋体"/>
                <w:spacing w:val="-2"/>
                <w:sz w:val="18"/>
                <w:szCs w:val="18"/>
                <w:lang w:eastAsia="zh-CN"/>
              </w:rPr>
            </w:pPr>
            <w:r>
              <w:rPr>
                <w:rFonts w:hint="eastAsia" w:ascii="宋体" w:hAnsi="宋体" w:eastAsia="宋体" w:cs="宋体"/>
                <w:spacing w:val="-2"/>
                <w:sz w:val="18"/>
                <w:szCs w:val="18"/>
                <w:lang w:eastAsia="zh-CN"/>
              </w:rPr>
              <w:t>目标1：提升医保信息化水平，加强网络、信息安全、基础设施等方面建设，进一步夯实技术基础，切实保障医保信息系统高效、安全运行，提高数据采集质量和速度。</w:t>
            </w:r>
          </w:p>
          <w:p>
            <w:pPr>
              <w:spacing w:before="59" w:line="235" w:lineRule="auto"/>
              <w:rPr>
                <w:rFonts w:hint="eastAsia" w:ascii="宋体" w:hAnsi="宋体" w:eastAsia="宋体" w:cs="宋体"/>
                <w:spacing w:val="-2"/>
                <w:sz w:val="18"/>
                <w:szCs w:val="18"/>
                <w:lang w:eastAsia="zh-CN"/>
              </w:rPr>
            </w:pPr>
            <w:r>
              <w:rPr>
                <w:rFonts w:hint="eastAsia" w:ascii="宋体" w:hAnsi="宋体" w:eastAsia="宋体" w:cs="宋体"/>
                <w:spacing w:val="-2"/>
                <w:sz w:val="18"/>
                <w:szCs w:val="18"/>
                <w:lang w:eastAsia="zh-CN"/>
              </w:rPr>
              <w:t>目标2：加强打击欺诈骗保工作力度，重点“三假”工作整治。</w:t>
            </w:r>
          </w:p>
          <w:p>
            <w:pPr>
              <w:spacing w:before="59" w:line="235" w:lineRule="auto"/>
              <w:rPr>
                <w:rFonts w:hint="eastAsia" w:ascii="宋体" w:hAnsi="宋体" w:eastAsia="宋体" w:cs="宋体"/>
                <w:spacing w:val="-2"/>
                <w:sz w:val="18"/>
                <w:szCs w:val="18"/>
                <w:lang w:eastAsia="zh-CN"/>
              </w:rPr>
            </w:pPr>
            <w:r>
              <w:rPr>
                <w:rFonts w:hint="eastAsia" w:ascii="宋体" w:hAnsi="宋体" w:eastAsia="宋体" w:cs="宋体"/>
                <w:spacing w:val="-2"/>
                <w:sz w:val="18"/>
                <w:szCs w:val="18"/>
                <w:lang w:eastAsia="zh-CN"/>
              </w:rPr>
              <w:t>目标3：网络运行畅通。</w:t>
            </w:r>
          </w:p>
          <w:p>
            <w:pPr>
              <w:spacing w:before="59" w:line="235" w:lineRule="auto"/>
              <w:rPr>
                <w:rFonts w:hint="eastAsia" w:ascii="宋体" w:hAnsi="宋体" w:eastAsia="宋体" w:cs="宋体"/>
                <w:spacing w:val="-2"/>
                <w:sz w:val="18"/>
                <w:szCs w:val="18"/>
                <w:lang w:eastAsia="zh-CN"/>
              </w:rPr>
            </w:pPr>
            <w:r>
              <w:rPr>
                <w:rFonts w:hint="eastAsia" w:ascii="宋体" w:hAnsi="宋体" w:eastAsia="宋体" w:cs="宋体"/>
                <w:spacing w:val="-2"/>
                <w:sz w:val="18"/>
                <w:szCs w:val="18"/>
                <w:lang w:eastAsia="zh-CN"/>
              </w:rPr>
              <w:t>目标4：有效提升综合监管、宣传引导、经办服务、人才队伍建设等医疗保障服务能力。</w:t>
            </w:r>
          </w:p>
          <w:p>
            <w:pPr>
              <w:spacing w:before="59" w:line="235" w:lineRule="auto"/>
              <w:rPr>
                <w:rFonts w:hint="eastAsia" w:ascii="Arial" w:hAnsi="Arial" w:eastAsia="宋体" w:cs="Arial"/>
                <w:snapToGrid w:val="0"/>
                <w:color w:val="000000"/>
                <w:kern w:val="0"/>
                <w:sz w:val="21"/>
                <w:szCs w:val="21"/>
                <w:lang w:eastAsia="zh-CN"/>
              </w:rPr>
            </w:pPr>
            <w:r>
              <w:rPr>
                <w:rFonts w:hint="eastAsia" w:ascii="宋体" w:hAnsi="宋体" w:eastAsia="宋体" w:cs="宋体"/>
                <w:spacing w:val="-2"/>
                <w:sz w:val="18"/>
                <w:szCs w:val="18"/>
                <w:lang w:eastAsia="zh-CN"/>
              </w:rPr>
              <w:t>目标5：着力保障和改善民生，减轻群众就医负担。</w:t>
            </w:r>
          </w:p>
        </w:tc>
        <w:tc>
          <w:tcPr>
            <w:tcW w:w="2453" w:type="dxa"/>
            <w:gridSpan w:val="2"/>
            <w:vAlign w:val="top"/>
          </w:tcPr>
          <w:p>
            <w:pPr>
              <w:spacing w:before="59" w:line="235" w:lineRule="auto"/>
              <w:rPr>
                <w:rFonts w:hint="eastAsia" w:ascii="宋体" w:hAnsi="宋体" w:eastAsia="宋体" w:cs="宋体"/>
                <w:spacing w:val="-2"/>
                <w:sz w:val="18"/>
                <w:szCs w:val="18"/>
                <w:lang w:eastAsia="zh-CN"/>
              </w:rPr>
            </w:pPr>
            <w:r>
              <w:rPr>
                <w:rFonts w:hint="eastAsia" w:ascii="宋体" w:hAnsi="宋体" w:eastAsia="宋体" w:cs="宋体"/>
                <w:spacing w:val="-2"/>
                <w:sz w:val="18"/>
                <w:szCs w:val="18"/>
                <w:lang w:eastAsia="zh-CN"/>
              </w:rPr>
              <w:t>加强了网络、信息安全、基础设施等方面建设，切实保障了医保信息系统高效、安全运行，提高数据采集质量和速度。打击欺诈骗保工作力度加强，重点整治了“三假”工作。完成了国家医保平台平稳上线，网络运行畅通。</w:t>
            </w:r>
          </w:p>
          <w:p>
            <w:pPr>
              <w:spacing w:before="59" w:line="235" w:lineRule="auto"/>
              <w:rPr>
                <w:rFonts w:ascii="Arial"/>
                <w:sz w:val="21"/>
              </w:rPr>
            </w:pPr>
            <w:r>
              <w:rPr>
                <w:rFonts w:hint="eastAsia" w:ascii="宋体" w:hAnsi="宋体" w:eastAsia="宋体" w:cs="宋体"/>
                <w:spacing w:val="-2"/>
                <w:sz w:val="18"/>
                <w:szCs w:val="18"/>
                <w:lang w:eastAsia="zh-CN"/>
              </w:rPr>
              <w:t>有效提升综合监管、宣传引导、经办服务、人才队伍建设等医疗保障服务能力。有效控制医保基金增长，减轻参保人员医疗支付负担，提高基金使用效率。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8" w:hRule="atLeast"/>
        </w:trPr>
        <w:tc>
          <w:tcPr>
            <w:tcW w:w="704" w:type="dxa"/>
            <w:vMerge w:val="restart"/>
            <w:tcBorders>
              <w:bottom w:val="nil"/>
            </w:tcBorders>
            <w:vAlign w:val="top"/>
          </w:tcPr>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before="55" w:line="241" w:lineRule="auto"/>
              <w:ind w:left="75"/>
              <w:rPr>
                <w:rFonts w:ascii="宋体" w:hAnsi="宋体" w:eastAsia="宋体" w:cs="宋体"/>
                <w:sz w:val="17"/>
                <w:szCs w:val="17"/>
              </w:rPr>
            </w:pPr>
            <w:r>
              <w:rPr>
                <w:rFonts w:ascii="宋体" w:hAnsi="宋体" w:eastAsia="宋体" w:cs="宋体"/>
                <w:spacing w:val="4"/>
                <w:sz w:val="17"/>
                <w:szCs w:val="17"/>
              </w:rPr>
              <w:t>部门整体</w:t>
            </w:r>
            <w:r>
              <w:rPr>
                <w:rFonts w:ascii="宋体" w:hAnsi="宋体" w:eastAsia="宋体" w:cs="宋体"/>
                <w:spacing w:val="1"/>
                <w:sz w:val="17"/>
                <w:szCs w:val="17"/>
              </w:rPr>
              <w:t xml:space="preserve"> </w:t>
            </w:r>
            <w:r>
              <w:rPr>
                <w:rFonts w:ascii="宋体" w:hAnsi="宋体" w:eastAsia="宋体" w:cs="宋体"/>
                <w:spacing w:val="4"/>
                <w:sz w:val="17"/>
                <w:szCs w:val="17"/>
              </w:rPr>
              <w:t>绩效指标</w:t>
            </w:r>
          </w:p>
        </w:tc>
        <w:tc>
          <w:tcPr>
            <w:tcW w:w="745" w:type="dxa"/>
            <w:vAlign w:val="top"/>
          </w:tcPr>
          <w:p>
            <w:pPr>
              <w:spacing w:before="176" w:line="220" w:lineRule="auto"/>
              <w:ind w:left="81"/>
              <w:rPr>
                <w:rFonts w:ascii="宋体" w:hAnsi="宋体" w:eastAsia="宋体" w:cs="宋体"/>
                <w:sz w:val="18"/>
                <w:szCs w:val="18"/>
              </w:rPr>
            </w:pPr>
            <w:r>
              <w:rPr>
                <w:rFonts w:ascii="宋体" w:hAnsi="宋体" w:eastAsia="宋体" w:cs="宋体"/>
                <w:spacing w:val="-2"/>
                <w:sz w:val="18"/>
                <w:szCs w:val="18"/>
              </w:rPr>
              <w:t>一级指标</w:t>
            </w:r>
          </w:p>
        </w:tc>
        <w:tc>
          <w:tcPr>
            <w:tcW w:w="1014" w:type="dxa"/>
            <w:vAlign w:val="top"/>
          </w:tcPr>
          <w:p>
            <w:pPr>
              <w:spacing w:before="176" w:line="220" w:lineRule="auto"/>
              <w:ind w:left="191"/>
              <w:rPr>
                <w:rFonts w:ascii="宋体" w:hAnsi="宋体" w:eastAsia="宋体" w:cs="宋体"/>
                <w:sz w:val="18"/>
                <w:szCs w:val="18"/>
              </w:rPr>
            </w:pPr>
            <w:r>
              <w:rPr>
                <w:rFonts w:ascii="宋体" w:hAnsi="宋体" w:eastAsia="宋体" w:cs="宋体"/>
                <w:spacing w:val="-2"/>
                <w:sz w:val="18"/>
                <w:szCs w:val="18"/>
              </w:rPr>
              <w:t>二级指标</w:t>
            </w:r>
          </w:p>
        </w:tc>
        <w:tc>
          <w:tcPr>
            <w:tcW w:w="2146" w:type="dxa"/>
            <w:gridSpan w:val="2"/>
            <w:vAlign w:val="top"/>
          </w:tcPr>
          <w:p>
            <w:pPr>
              <w:spacing w:before="176" w:line="220" w:lineRule="auto"/>
              <w:ind w:left="833"/>
              <w:rPr>
                <w:rFonts w:ascii="宋体" w:hAnsi="宋体" w:eastAsia="宋体" w:cs="宋体"/>
                <w:sz w:val="18"/>
                <w:szCs w:val="18"/>
              </w:rPr>
            </w:pPr>
            <w:r>
              <w:rPr>
                <w:rFonts w:ascii="宋体" w:hAnsi="宋体" w:eastAsia="宋体" w:cs="宋体"/>
                <w:spacing w:val="-2"/>
                <w:sz w:val="18"/>
                <w:szCs w:val="18"/>
              </w:rPr>
              <w:t>三级指标</w:t>
            </w:r>
          </w:p>
        </w:tc>
        <w:tc>
          <w:tcPr>
            <w:tcW w:w="1256" w:type="dxa"/>
            <w:vAlign w:val="top"/>
          </w:tcPr>
          <w:p>
            <w:pPr>
              <w:spacing w:before="175" w:line="219" w:lineRule="auto"/>
              <w:ind w:left="224"/>
              <w:rPr>
                <w:rFonts w:ascii="宋体" w:hAnsi="宋体" w:eastAsia="宋体" w:cs="宋体"/>
                <w:sz w:val="18"/>
                <w:szCs w:val="18"/>
              </w:rPr>
            </w:pPr>
            <w:r>
              <w:rPr>
                <w:rFonts w:ascii="宋体" w:hAnsi="宋体" w:eastAsia="宋体" w:cs="宋体"/>
                <w:spacing w:val="-2"/>
                <w:sz w:val="18"/>
                <w:szCs w:val="18"/>
              </w:rPr>
              <w:t>年度指标值</w:t>
            </w:r>
          </w:p>
        </w:tc>
        <w:tc>
          <w:tcPr>
            <w:tcW w:w="1256" w:type="dxa"/>
            <w:vAlign w:val="top"/>
          </w:tcPr>
          <w:p>
            <w:pPr>
              <w:spacing w:before="175" w:line="219" w:lineRule="auto"/>
              <w:ind w:left="287"/>
              <w:rPr>
                <w:rFonts w:ascii="宋体" w:hAnsi="宋体" w:eastAsia="宋体" w:cs="宋体"/>
                <w:sz w:val="18"/>
                <w:szCs w:val="18"/>
              </w:rPr>
            </w:pPr>
            <w:r>
              <w:rPr>
                <w:rFonts w:ascii="宋体" w:hAnsi="宋体" w:eastAsia="宋体" w:cs="宋体"/>
                <w:spacing w:val="-2"/>
                <w:sz w:val="18"/>
                <w:szCs w:val="18"/>
              </w:rPr>
              <w:t>实际完成值</w:t>
            </w:r>
          </w:p>
        </w:tc>
        <w:tc>
          <w:tcPr>
            <w:tcW w:w="1197" w:type="dxa"/>
            <w:vAlign w:val="top"/>
          </w:tcPr>
          <w:p>
            <w:pPr>
              <w:spacing w:before="59" w:line="235" w:lineRule="auto"/>
              <w:rPr>
                <w:rFonts w:hint="eastAsia" w:ascii="宋体" w:hAnsi="宋体" w:eastAsia="宋体" w:cs="宋体"/>
                <w:spacing w:val="-2"/>
                <w:sz w:val="18"/>
                <w:szCs w:val="18"/>
                <w:lang w:eastAsia="zh-CN"/>
              </w:rPr>
            </w:pPr>
            <w:r>
              <w:rPr>
                <w:rFonts w:hint="eastAsia" w:ascii="宋体" w:hAnsi="宋体" w:eastAsia="宋体" w:cs="宋体"/>
                <w:spacing w:val="-2"/>
                <w:sz w:val="18"/>
                <w:szCs w:val="18"/>
                <w:lang w:eastAsia="zh-CN"/>
              </w:rPr>
              <w:t>偏差原因分析及整改措施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704" w:type="dxa"/>
            <w:vMerge w:val="continue"/>
            <w:tcBorders>
              <w:top w:val="nil"/>
              <w:bottom w:val="nil"/>
            </w:tcBorders>
            <w:vAlign w:val="top"/>
          </w:tcPr>
          <w:p>
            <w:pPr>
              <w:rPr>
                <w:rFonts w:ascii="Arial"/>
                <w:sz w:val="21"/>
              </w:rPr>
            </w:pPr>
          </w:p>
        </w:tc>
        <w:tc>
          <w:tcPr>
            <w:tcW w:w="745" w:type="dxa"/>
            <w:vMerge w:val="restart"/>
            <w:tcBorders>
              <w:bottom w:val="nil"/>
            </w:tcBorders>
            <w:vAlign w:val="top"/>
          </w:tcPr>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7" w:lineRule="auto"/>
              <w:rPr>
                <w:rFonts w:ascii="Arial"/>
                <w:sz w:val="21"/>
              </w:rPr>
            </w:pPr>
          </w:p>
          <w:p>
            <w:pPr>
              <w:spacing w:before="58" w:line="219" w:lineRule="auto"/>
              <w:ind w:left="81"/>
              <w:rPr>
                <w:rFonts w:ascii="宋体" w:hAnsi="宋体" w:eastAsia="宋体" w:cs="宋体"/>
                <w:sz w:val="18"/>
                <w:szCs w:val="18"/>
              </w:rPr>
            </w:pPr>
            <w:r>
              <w:rPr>
                <w:rFonts w:ascii="宋体" w:hAnsi="宋体" w:eastAsia="宋体" w:cs="宋体"/>
                <w:spacing w:val="-2"/>
                <w:sz w:val="18"/>
                <w:szCs w:val="18"/>
              </w:rPr>
              <w:t>产出指标</w:t>
            </w:r>
          </w:p>
        </w:tc>
        <w:tc>
          <w:tcPr>
            <w:tcW w:w="1014" w:type="dxa"/>
            <w:vMerge w:val="restart"/>
            <w:tcBorders>
              <w:bottom w:val="nil"/>
            </w:tcBorders>
            <w:vAlign w:val="top"/>
          </w:tcPr>
          <w:p>
            <w:pPr>
              <w:spacing w:before="65" w:line="220" w:lineRule="auto"/>
              <w:ind w:left="243" w:leftChars="0"/>
              <w:rPr>
                <w:rFonts w:ascii="宋体" w:hAnsi="宋体" w:eastAsia="宋体" w:cs="宋体"/>
                <w:spacing w:val="9"/>
                <w:sz w:val="18"/>
                <w:szCs w:val="18"/>
              </w:rPr>
            </w:pPr>
          </w:p>
          <w:p>
            <w:pPr>
              <w:spacing w:before="65" w:line="220" w:lineRule="auto"/>
              <w:ind w:firstLine="198" w:firstLineChars="100"/>
              <w:rPr>
                <w:rFonts w:ascii="宋体" w:hAnsi="宋体" w:eastAsia="宋体" w:cs="宋体"/>
                <w:spacing w:val="9"/>
                <w:sz w:val="18"/>
                <w:szCs w:val="18"/>
              </w:rPr>
            </w:pPr>
            <w:r>
              <w:rPr>
                <w:rFonts w:ascii="宋体" w:hAnsi="宋体" w:eastAsia="宋体" w:cs="宋体"/>
                <w:spacing w:val="9"/>
                <w:sz w:val="18"/>
                <w:szCs w:val="18"/>
              </w:rPr>
              <w:t>数量指标</w:t>
            </w:r>
          </w:p>
        </w:tc>
        <w:tc>
          <w:tcPr>
            <w:tcW w:w="2146" w:type="dxa"/>
            <w:gridSpan w:val="2"/>
            <w:vAlign w:val="top"/>
          </w:tcPr>
          <w:p>
            <w:pPr>
              <w:spacing w:before="65" w:line="220" w:lineRule="auto"/>
              <w:ind w:left="243" w:leftChars="0"/>
              <w:jc w:val="center"/>
              <w:rPr>
                <w:rFonts w:ascii="宋体" w:hAnsi="宋体" w:eastAsia="宋体" w:cs="宋体"/>
                <w:spacing w:val="9"/>
                <w:sz w:val="18"/>
                <w:szCs w:val="18"/>
              </w:rPr>
            </w:pPr>
            <w:r>
              <w:rPr>
                <w:rFonts w:hint="eastAsia" w:ascii="宋体" w:hAnsi="宋体" w:eastAsia="宋体" w:cs="宋体"/>
                <w:spacing w:val="-2"/>
                <w:sz w:val="18"/>
                <w:szCs w:val="18"/>
                <w:lang w:eastAsia="zh-CN"/>
              </w:rPr>
              <w:t>二老一残人员报销次数</w:t>
            </w:r>
          </w:p>
        </w:tc>
        <w:tc>
          <w:tcPr>
            <w:tcW w:w="1256" w:type="dxa"/>
            <w:vAlign w:val="top"/>
          </w:tcPr>
          <w:p>
            <w:pPr>
              <w:jc w:val="center"/>
              <w:rPr>
                <w:rFonts w:hint="eastAsia" w:ascii="Arial" w:eastAsia="宋体"/>
                <w:sz w:val="21"/>
                <w:lang w:val="en-US" w:eastAsia="zh-CN"/>
              </w:rPr>
            </w:pPr>
            <w:r>
              <w:rPr>
                <w:rFonts w:hint="eastAsia" w:ascii="宋体" w:hAnsi="宋体" w:eastAsia="宋体" w:cs="宋体"/>
                <w:spacing w:val="-2"/>
                <w:sz w:val="18"/>
                <w:szCs w:val="18"/>
                <w:lang w:eastAsia="zh-CN"/>
              </w:rPr>
              <w:t>≥</w:t>
            </w:r>
            <w:r>
              <w:rPr>
                <w:rFonts w:hint="eastAsia" w:ascii="宋体" w:hAnsi="宋体" w:eastAsia="宋体" w:cs="宋体"/>
                <w:spacing w:val="-2"/>
                <w:sz w:val="18"/>
                <w:szCs w:val="18"/>
                <w:lang w:val="en-US" w:eastAsia="zh-CN"/>
              </w:rPr>
              <w:t>10</w:t>
            </w:r>
            <w:r>
              <w:rPr>
                <w:rFonts w:hint="eastAsia" w:ascii="宋体" w:hAnsi="宋体" w:eastAsia="宋体" w:cs="宋体"/>
                <w:spacing w:val="-2"/>
                <w:sz w:val="18"/>
                <w:szCs w:val="18"/>
                <w:lang w:eastAsia="zh-CN"/>
              </w:rPr>
              <w:t>人次</w:t>
            </w:r>
          </w:p>
        </w:tc>
        <w:tc>
          <w:tcPr>
            <w:tcW w:w="1256" w:type="dxa"/>
            <w:vAlign w:val="top"/>
          </w:tcPr>
          <w:p>
            <w:pPr>
              <w:jc w:val="center"/>
              <w:rPr>
                <w:rFonts w:hint="eastAsia" w:ascii="宋体" w:hAnsi="宋体" w:eastAsia="宋体" w:cs="宋体"/>
                <w:spacing w:val="-2"/>
                <w:sz w:val="18"/>
                <w:szCs w:val="18"/>
                <w:lang w:val="en-US" w:eastAsia="zh-CN"/>
              </w:rPr>
            </w:pPr>
            <w:r>
              <w:rPr>
                <w:rFonts w:hint="eastAsia" w:ascii="宋体" w:hAnsi="宋体" w:eastAsia="宋体" w:cs="宋体"/>
                <w:spacing w:val="-2"/>
                <w:sz w:val="18"/>
                <w:szCs w:val="18"/>
                <w:lang w:val="en-US" w:eastAsia="zh-CN"/>
              </w:rPr>
              <w:t>58人次</w:t>
            </w:r>
          </w:p>
        </w:tc>
        <w:tc>
          <w:tcPr>
            <w:tcW w:w="1197" w:type="dxa"/>
            <w:vAlign w:val="top"/>
          </w:tcPr>
          <w:p>
            <w:pPr>
              <w:jc w:val="center"/>
              <w:rPr>
                <w:rFonts w:hint="eastAsia" w:ascii="宋体" w:hAnsi="宋体" w:eastAsia="宋体" w:cs="宋体"/>
                <w:spacing w:val="-2"/>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704" w:type="dxa"/>
            <w:vMerge w:val="continue"/>
            <w:tcBorders>
              <w:top w:val="nil"/>
              <w:bottom w:val="nil"/>
            </w:tcBorders>
            <w:vAlign w:val="top"/>
          </w:tcPr>
          <w:p>
            <w:pPr>
              <w:rPr>
                <w:rFonts w:ascii="Arial"/>
                <w:sz w:val="21"/>
              </w:rPr>
            </w:pPr>
          </w:p>
        </w:tc>
        <w:tc>
          <w:tcPr>
            <w:tcW w:w="745" w:type="dxa"/>
            <w:vMerge w:val="continue"/>
            <w:tcBorders>
              <w:top w:val="nil"/>
              <w:bottom w:val="nil"/>
            </w:tcBorders>
            <w:vAlign w:val="top"/>
          </w:tcPr>
          <w:p>
            <w:pPr>
              <w:rPr>
                <w:rFonts w:ascii="Arial"/>
                <w:sz w:val="21"/>
              </w:rPr>
            </w:pPr>
          </w:p>
        </w:tc>
        <w:tc>
          <w:tcPr>
            <w:tcW w:w="1014" w:type="dxa"/>
            <w:vMerge w:val="continue"/>
            <w:tcBorders>
              <w:top w:val="nil"/>
              <w:bottom w:val="nil"/>
            </w:tcBorders>
            <w:vAlign w:val="top"/>
          </w:tcPr>
          <w:p>
            <w:pPr>
              <w:spacing w:before="65" w:line="220" w:lineRule="auto"/>
              <w:ind w:left="243" w:leftChars="0"/>
              <w:rPr>
                <w:rFonts w:ascii="宋体" w:hAnsi="宋体" w:eastAsia="宋体" w:cs="宋体"/>
                <w:spacing w:val="9"/>
                <w:sz w:val="18"/>
                <w:szCs w:val="18"/>
              </w:rPr>
            </w:pPr>
          </w:p>
        </w:tc>
        <w:tc>
          <w:tcPr>
            <w:tcW w:w="2146" w:type="dxa"/>
            <w:gridSpan w:val="2"/>
            <w:vAlign w:val="top"/>
          </w:tcPr>
          <w:p>
            <w:pPr>
              <w:spacing w:before="65" w:line="220" w:lineRule="auto"/>
              <w:ind w:left="243" w:leftChars="0"/>
              <w:jc w:val="center"/>
              <w:rPr>
                <w:rFonts w:ascii="宋体" w:hAnsi="宋体" w:eastAsia="宋体" w:cs="宋体"/>
                <w:spacing w:val="9"/>
                <w:sz w:val="18"/>
                <w:szCs w:val="18"/>
              </w:rPr>
            </w:pPr>
            <w:r>
              <w:rPr>
                <w:rFonts w:hint="eastAsia" w:ascii="宋体" w:hAnsi="宋体" w:eastAsia="宋体" w:cs="宋体"/>
                <w:spacing w:val="-2"/>
                <w:sz w:val="18"/>
                <w:szCs w:val="18"/>
                <w:lang w:eastAsia="zh-CN"/>
              </w:rPr>
              <w:t>临聘人员数量</w:t>
            </w:r>
          </w:p>
        </w:tc>
        <w:tc>
          <w:tcPr>
            <w:tcW w:w="1256" w:type="dxa"/>
            <w:vAlign w:val="top"/>
          </w:tcPr>
          <w:p>
            <w:pPr>
              <w:jc w:val="center"/>
              <w:rPr>
                <w:rFonts w:hint="default" w:ascii="Arial" w:eastAsia="宋体"/>
                <w:sz w:val="21"/>
                <w:lang w:val="en-US" w:eastAsia="zh-CN"/>
              </w:rPr>
            </w:pPr>
            <w:r>
              <w:rPr>
                <w:rFonts w:hint="eastAsia" w:ascii="宋体" w:hAnsi="宋体" w:eastAsia="宋体" w:cs="宋体"/>
                <w:spacing w:val="-2"/>
                <w:sz w:val="18"/>
                <w:szCs w:val="18"/>
                <w:lang w:eastAsia="zh-CN"/>
              </w:rPr>
              <w:t>≤</w:t>
            </w:r>
            <w:r>
              <w:rPr>
                <w:rFonts w:hint="eastAsia" w:ascii="宋体" w:hAnsi="宋体" w:eastAsia="宋体" w:cs="宋体"/>
                <w:spacing w:val="-2"/>
                <w:sz w:val="18"/>
                <w:szCs w:val="18"/>
                <w:lang w:val="en-US" w:eastAsia="zh-CN"/>
              </w:rPr>
              <w:t>3人</w:t>
            </w:r>
          </w:p>
        </w:tc>
        <w:tc>
          <w:tcPr>
            <w:tcW w:w="1256" w:type="dxa"/>
            <w:vAlign w:val="top"/>
          </w:tcPr>
          <w:p>
            <w:pPr>
              <w:jc w:val="center"/>
              <w:rPr>
                <w:rFonts w:hint="eastAsia" w:ascii="宋体" w:hAnsi="宋体" w:eastAsia="宋体" w:cs="宋体"/>
                <w:spacing w:val="-2"/>
                <w:sz w:val="18"/>
                <w:szCs w:val="18"/>
                <w:lang w:val="en-US" w:eastAsia="zh-CN"/>
              </w:rPr>
            </w:pPr>
            <w:r>
              <w:rPr>
                <w:rFonts w:hint="eastAsia" w:ascii="宋体" w:hAnsi="宋体" w:eastAsia="宋体" w:cs="宋体"/>
                <w:spacing w:val="-2"/>
                <w:sz w:val="18"/>
                <w:szCs w:val="18"/>
                <w:lang w:val="en-US" w:eastAsia="zh-CN"/>
              </w:rPr>
              <w:t>2人次</w:t>
            </w:r>
          </w:p>
        </w:tc>
        <w:tc>
          <w:tcPr>
            <w:tcW w:w="1197"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3" w:hRule="atLeast"/>
        </w:trPr>
        <w:tc>
          <w:tcPr>
            <w:tcW w:w="704" w:type="dxa"/>
            <w:vMerge w:val="continue"/>
            <w:tcBorders>
              <w:top w:val="nil"/>
              <w:bottom w:val="nil"/>
            </w:tcBorders>
            <w:vAlign w:val="top"/>
          </w:tcPr>
          <w:p>
            <w:pPr>
              <w:rPr>
                <w:rFonts w:ascii="Arial"/>
                <w:sz w:val="21"/>
              </w:rPr>
            </w:pPr>
          </w:p>
        </w:tc>
        <w:tc>
          <w:tcPr>
            <w:tcW w:w="745" w:type="dxa"/>
            <w:vMerge w:val="continue"/>
            <w:tcBorders>
              <w:top w:val="nil"/>
              <w:bottom w:val="nil"/>
            </w:tcBorders>
            <w:vAlign w:val="top"/>
          </w:tcPr>
          <w:p>
            <w:pPr>
              <w:rPr>
                <w:rFonts w:ascii="Arial"/>
                <w:sz w:val="21"/>
              </w:rPr>
            </w:pPr>
          </w:p>
        </w:tc>
        <w:tc>
          <w:tcPr>
            <w:tcW w:w="1014" w:type="dxa"/>
            <w:vMerge w:val="continue"/>
            <w:tcBorders>
              <w:top w:val="nil"/>
            </w:tcBorders>
            <w:vAlign w:val="top"/>
          </w:tcPr>
          <w:p>
            <w:pPr>
              <w:spacing w:before="65" w:line="220" w:lineRule="auto"/>
              <w:ind w:left="243" w:leftChars="0"/>
              <w:rPr>
                <w:rFonts w:ascii="宋体" w:hAnsi="宋体" w:eastAsia="宋体" w:cs="宋体"/>
                <w:spacing w:val="9"/>
                <w:sz w:val="18"/>
                <w:szCs w:val="18"/>
              </w:rPr>
            </w:pPr>
          </w:p>
        </w:tc>
        <w:tc>
          <w:tcPr>
            <w:tcW w:w="2146" w:type="dxa"/>
            <w:gridSpan w:val="2"/>
            <w:vAlign w:val="top"/>
          </w:tcPr>
          <w:p>
            <w:pPr>
              <w:spacing w:before="65" w:line="220" w:lineRule="auto"/>
              <w:ind w:left="243" w:leftChars="0"/>
              <w:jc w:val="center"/>
              <w:rPr>
                <w:rFonts w:ascii="宋体" w:hAnsi="宋体" w:eastAsia="宋体" w:cs="宋体"/>
                <w:spacing w:val="9"/>
                <w:sz w:val="18"/>
                <w:szCs w:val="18"/>
              </w:rPr>
            </w:pPr>
            <w:r>
              <w:rPr>
                <w:rFonts w:hint="eastAsia" w:ascii="宋体" w:hAnsi="宋体" w:eastAsia="宋体" w:cs="宋体"/>
                <w:spacing w:val="-2"/>
                <w:sz w:val="18"/>
                <w:szCs w:val="18"/>
                <w:lang w:eastAsia="zh-CN"/>
              </w:rPr>
              <w:t>全区职工及城乡居民医保受益群众人数</w:t>
            </w:r>
          </w:p>
        </w:tc>
        <w:tc>
          <w:tcPr>
            <w:tcW w:w="1256" w:type="dxa"/>
            <w:vAlign w:val="top"/>
          </w:tcPr>
          <w:p>
            <w:pPr>
              <w:jc w:val="center"/>
              <w:rPr>
                <w:rFonts w:hint="eastAsia" w:ascii="Arial" w:hAnsi="Arial" w:eastAsia="宋体" w:cs="Arial"/>
                <w:snapToGrid w:val="0"/>
                <w:color w:val="000000"/>
                <w:kern w:val="0"/>
                <w:sz w:val="21"/>
                <w:szCs w:val="21"/>
                <w:lang w:val="en-US" w:eastAsia="zh-CN"/>
              </w:rPr>
            </w:pPr>
            <w:r>
              <w:rPr>
                <w:rFonts w:hint="eastAsia" w:ascii="宋体" w:hAnsi="宋体" w:eastAsia="宋体" w:cs="宋体"/>
                <w:spacing w:val="-2"/>
                <w:sz w:val="18"/>
                <w:szCs w:val="18"/>
                <w:lang w:eastAsia="zh-CN"/>
              </w:rPr>
              <w:t>≥</w:t>
            </w:r>
            <w:r>
              <w:rPr>
                <w:rFonts w:hint="eastAsia" w:ascii="宋体" w:hAnsi="宋体" w:eastAsia="宋体" w:cs="宋体"/>
                <w:spacing w:val="-2"/>
                <w:sz w:val="18"/>
                <w:szCs w:val="18"/>
                <w:lang w:val="en-US" w:eastAsia="zh-CN"/>
              </w:rPr>
              <w:t>18万人</w:t>
            </w:r>
          </w:p>
        </w:tc>
        <w:tc>
          <w:tcPr>
            <w:tcW w:w="1256" w:type="dxa"/>
            <w:vAlign w:val="top"/>
          </w:tcPr>
          <w:p>
            <w:pPr>
              <w:jc w:val="center"/>
              <w:rPr>
                <w:rFonts w:hint="default" w:ascii="宋体" w:hAnsi="宋体" w:eastAsia="宋体" w:cs="宋体"/>
                <w:spacing w:val="-2"/>
                <w:sz w:val="18"/>
                <w:szCs w:val="18"/>
                <w:lang w:val="en-US" w:eastAsia="zh-CN"/>
              </w:rPr>
            </w:pPr>
            <w:r>
              <w:rPr>
                <w:rFonts w:hint="eastAsia" w:ascii="宋体" w:hAnsi="宋体" w:eastAsia="宋体" w:cs="宋体"/>
                <w:spacing w:val="-2"/>
                <w:sz w:val="18"/>
                <w:szCs w:val="18"/>
                <w:lang w:val="en-US" w:eastAsia="zh-CN"/>
              </w:rPr>
              <w:t>18.16万人</w:t>
            </w:r>
          </w:p>
        </w:tc>
        <w:tc>
          <w:tcPr>
            <w:tcW w:w="1197"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3" w:hRule="atLeast"/>
        </w:trPr>
        <w:tc>
          <w:tcPr>
            <w:tcW w:w="704" w:type="dxa"/>
            <w:vMerge w:val="continue"/>
            <w:tcBorders>
              <w:top w:val="nil"/>
              <w:bottom w:val="nil"/>
            </w:tcBorders>
            <w:vAlign w:val="top"/>
          </w:tcPr>
          <w:p>
            <w:pPr>
              <w:rPr>
                <w:rFonts w:ascii="Arial"/>
                <w:sz w:val="21"/>
              </w:rPr>
            </w:pPr>
          </w:p>
        </w:tc>
        <w:tc>
          <w:tcPr>
            <w:tcW w:w="745" w:type="dxa"/>
            <w:vMerge w:val="continue"/>
            <w:tcBorders>
              <w:top w:val="nil"/>
              <w:bottom w:val="nil"/>
            </w:tcBorders>
            <w:vAlign w:val="top"/>
          </w:tcPr>
          <w:p>
            <w:pPr>
              <w:rPr>
                <w:rFonts w:ascii="Arial"/>
                <w:sz w:val="21"/>
              </w:rPr>
            </w:pPr>
          </w:p>
        </w:tc>
        <w:tc>
          <w:tcPr>
            <w:tcW w:w="1014" w:type="dxa"/>
            <w:vMerge w:val="continue"/>
            <w:tcBorders>
              <w:top w:val="nil"/>
            </w:tcBorders>
            <w:vAlign w:val="top"/>
          </w:tcPr>
          <w:p>
            <w:pPr>
              <w:spacing w:before="65" w:line="220" w:lineRule="auto"/>
              <w:ind w:left="243" w:leftChars="0"/>
              <w:rPr>
                <w:rFonts w:ascii="宋体" w:hAnsi="宋体" w:eastAsia="宋体" w:cs="宋体"/>
                <w:spacing w:val="9"/>
                <w:sz w:val="18"/>
                <w:szCs w:val="18"/>
              </w:rPr>
            </w:pPr>
          </w:p>
        </w:tc>
        <w:tc>
          <w:tcPr>
            <w:tcW w:w="2146" w:type="dxa"/>
            <w:gridSpan w:val="2"/>
            <w:vAlign w:val="top"/>
          </w:tcPr>
          <w:p>
            <w:pPr>
              <w:spacing w:before="65" w:line="220" w:lineRule="auto"/>
              <w:ind w:left="243" w:leftChars="0"/>
              <w:jc w:val="center"/>
              <w:rPr>
                <w:rFonts w:ascii="宋体" w:hAnsi="宋体" w:eastAsia="宋体" w:cs="宋体"/>
                <w:spacing w:val="9"/>
                <w:sz w:val="18"/>
                <w:szCs w:val="18"/>
              </w:rPr>
            </w:pPr>
            <w:r>
              <w:rPr>
                <w:rFonts w:hint="eastAsia" w:ascii="宋体" w:hAnsi="宋体" w:eastAsia="宋体" w:cs="宋体"/>
                <w:spacing w:val="-2"/>
                <w:sz w:val="18"/>
                <w:szCs w:val="18"/>
                <w:lang w:eastAsia="zh-CN"/>
              </w:rPr>
              <w:t>印制宣传资料数量</w:t>
            </w:r>
          </w:p>
        </w:tc>
        <w:tc>
          <w:tcPr>
            <w:tcW w:w="1256" w:type="dxa"/>
            <w:vAlign w:val="top"/>
          </w:tcPr>
          <w:p>
            <w:pPr>
              <w:jc w:val="center"/>
              <w:rPr>
                <w:rFonts w:hint="default" w:ascii="宋体" w:hAnsi="宋体" w:eastAsia="宋体" w:cs="宋体"/>
                <w:spacing w:val="-2"/>
                <w:sz w:val="18"/>
                <w:szCs w:val="18"/>
                <w:lang w:val="en-US" w:eastAsia="zh-CN"/>
              </w:rPr>
            </w:pPr>
            <w:r>
              <w:rPr>
                <w:rFonts w:hint="eastAsia" w:ascii="宋体" w:hAnsi="宋体" w:eastAsia="宋体" w:cs="宋体"/>
                <w:spacing w:val="-2"/>
                <w:sz w:val="18"/>
                <w:szCs w:val="18"/>
                <w:lang w:eastAsia="zh-CN"/>
              </w:rPr>
              <w:t>≥</w:t>
            </w:r>
            <w:r>
              <w:rPr>
                <w:rFonts w:hint="eastAsia" w:ascii="宋体" w:hAnsi="宋体" w:eastAsia="宋体" w:cs="宋体"/>
                <w:spacing w:val="-2"/>
                <w:sz w:val="18"/>
                <w:szCs w:val="18"/>
                <w:lang w:val="en-US" w:eastAsia="zh-CN"/>
              </w:rPr>
              <w:t>10000份</w:t>
            </w:r>
          </w:p>
        </w:tc>
        <w:tc>
          <w:tcPr>
            <w:tcW w:w="1256" w:type="dxa"/>
            <w:vAlign w:val="top"/>
          </w:tcPr>
          <w:p>
            <w:pPr>
              <w:jc w:val="center"/>
              <w:rPr>
                <w:rFonts w:hint="default" w:ascii="宋体" w:hAnsi="宋体" w:eastAsia="宋体" w:cs="宋体"/>
                <w:spacing w:val="-2"/>
                <w:sz w:val="18"/>
                <w:szCs w:val="18"/>
                <w:lang w:val="en-US" w:eastAsia="zh-CN"/>
              </w:rPr>
            </w:pPr>
            <w:r>
              <w:rPr>
                <w:rFonts w:hint="eastAsia" w:ascii="宋体" w:hAnsi="宋体" w:eastAsia="宋体" w:cs="宋体"/>
                <w:spacing w:val="-2"/>
                <w:sz w:val="18"/>
                <w:szCs w:val="18"/>
                <w:lang w:val="en-US" w:eastAsia="zh-CN"/>
              </w:rPr>
              <w:t>40000份</w:t>
            </w:r>
          </w:p>
        </w:tc>
        <w:tc>
          <w:tcPr>
            <w:tcW w:w="1197"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3" w:hRule="atLeast"/>
        </w:trPr>
        <w:tc>
          <w:tcPr>
            <w:tcW w:w="704" w:type="dxa"/>
            <w:vMerge w:val="continue"/>
            <w:tcBorders>
              <w:top w:val="nil"/>
              <w:bottom w:val="nil"/>
            </w:tcBorders>
            <w:vAlign w:val="top"/>
          </w:tcPr>
          <w:p>
            <w:pPr>
              <w:rPr>
                <w:rFonts w:ascii="Arial"/>
                <w:sz w:val="21"/>
              </w:rPr>
            </w:pPr>
          </w:p>
        </w:tc>
        <w:tc>
          <w:tcPr>
            <w:tcW w:w="745" w:type="dxa"/>
            <w:vMerge w:val="continue"/>
            <w:tcBorders>
              <w:top w:val="nil"/>
              <w:bottom w:val="nil"/>
            </w:tcBorders>
            <w:vAlign w:val="top"/>
          </w:tcPr>
          <w:p>
            <w:pPr>
              <w:rPr>
                <w:rFonts w:ascii="Arial"/>
                <w:sz w:val="21"/>
              </w:rPr>
            </w:pPr>
          </w:p>
        </w:tc>
        <w:tc>
          <w:tcPr>
            <w:tcW w:w="1014" w:type="dxa"/>
            <w:vMerge w:val="continue"/>
            <w:tcBorders>
              <w:top w:val="nil"/>
            </w:tcBorders>
            <w:vAlign w:val="top"/>
          </w:tcPr>
          <w:p>
            <w:pPr>
              <w:spacing w:before="65" w:line="220" w:lineRule="auto"/>
              <w:ind w:left="243" w:leftChars="0"/>
              <w:rPr>
                <w:rFonts w:ascii="宋体" w:hAnsi="宋体" w:eastAsia="宋体" w:cs="宋体"/>
                <w:spacing w:val="9"/>
                <w:sz w:val="18"/>
                <w:szCs w:val="18"/>
              </w:rPr>
            </w:pPr>
          </w:p>
        </w:tc>
        <w:tc>
          <w:tcPr>
            <w:tcW w:w="2146" w:type="dxa"/>
            <w:gridSpan w:val="2"/>
            <w:vAlign w:val="top"/>
          </w:tcPr>
          <w:p>
            <w:pPr>
              <w:spacing w:before="65" w:line="220" w:lineRule="auto"/>
              <w:ind w:left="243" w:leftChars="0"/>
              <w:jc w:val="center"/>
              <w:rPr>
                <w:rFonts w:hint="eastAsia" w:ascii="宋体" w:hAnsi="宋体" w:eastAsia="宋体" w:cs="宋体"/>
                <w:spacing w:val="9"/>
                <w:sz w:val="18"/>
                <w:szCs w:val="18"/>
                <w:lang w:eastAsia="zh-CN"/>
              </w:rPr>
            </w:pPr>
            <w:r>
              <w:rPr>
                <w:rFonts w:hint="eastAsia" w:ascii="宋体" w:hAnsi="宋体" w:eastAsia="宋体" w:cs="宋体"/>
                <w:spacing w:val="-2"/>
                <w:sz w:val="18"/>
                <w:szCs w:val="18"/>
                <w:lang w:val="en-US" w:eastAsia="zh-CN"/>
              </w:rPr>
              <w:t>计划防贫保救助群众数量</w:t>
            </w:r>
          </w:p>
        </w:tc>
        <w:tc>
          <w:tcPr>
            <w:tcW w:w="1256" w:type="dxa"/>
            <w:vAlign w:val="top"/>
          </w:tcPr>
          <w:p>
            <w:pPr>
              <w:jc w:val="center"/>
              <w:rPr>
                <w:rFonts w:hint="default" w:ascii="宋体" w:hAnsi="宋体" w:eastAsia="宋体" w:cs="宋体"/>
                <w:spacing w:val="-2"/>
                <w:sz w:val="18"/>
                <w:szCs w:val="18"/>
                <w:lang w:val="en-US" w:eastAsia="zh-CN"/>
              </w:rPr>
            </w:pPr>
            <w:r>
              <w:rPr>
                <w:rFonts w:hint="eastAsia" w:ascii="宋体" w:hAnsi="宋体" w:eastAsia="宋体" w:cs="宋体"/>
                <w:spacing w:val="-2"/>
                <w:sz w:val="18"/>
                <w:szCs w:val="18"/>
                <w:lang w:val="en-US" w:eastAsia="zh-CN"/>
              </w:rPr>
              <w:t>≥10人次</w:t>
            </w:r>
          </w:p>
        </w:tc>
        <w:tc>
          <w:tcPr>
            <w:tcW w:w="1256" w:type="dxa"/>
            <w:vAlign w:val="top"/>
          </w:tcPr>
          <w:p>
            <w:pPr>
              <w:jc w:val="center"/>
              <w:rPr>
                <w:rFonts w:hint="default" w:ascii="宋体" w:hAnsi="宋体" w:eastAsia="宋体" w:cs="宋体"/>
                <w:spacing w:val="-2"/>
                <w:sz w:val="18"/>
                <w:szCs w:val="18"/>
                <w:lang w:val="en-US" w:eastAsia="zh-CN"/>
              </w:rPr>
            </w:pPr>
            <w:r>
              <w:rPr>
                <w:rFonts w:hint="eastAsia" w:ascii="宋体" w:hAnsi="宋体" w:eastAsia="宋体" w:cs="宋体"/>
                <w:spacing w:val="-2"/>
                <w:sz w:val="18"/>
                <w:szCs w:val="18"/>
                <w:lang w:val="en-US" w:eastAsia="zh-CN"/>
              </w:rPr>
              <w:t>17人</w:t>
            </w:r>
          </w:p>
        </w:tc>
        <w:tc>
          <w:tcPr>
            <w:tcW w:w="1197"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3" w:hRule="atLeast"/>
        </w:trPr>
        <w:tc>
          <w:tcPr>
            <w:tcW w:w="704" w:type="dxa"/>
            <w:vMerge w:val="continue"/>
            <w:tcBorders>
              <w:top w:val="nil"/>
              <w:bottom w:val="nil"/>
            </w:tcBorders>
            <w:vAlign w:val="top"/>
          </w:tcPr>
          <w:p>
            <w:pPr>
              <w:rPr>
                <w:rFonts w:ascii="Arial"/>
                <w:sz w:val="21"/>
              </w:rPr>
            </w:pPr>
          </w:p>
        </w:tc>
        <w:tc>
          <w:tcPr>
            <w:tcW w:w="745" w:type="dxa"/>
            <w:vMerge w:val="continue"/>
            <w:tcBorders>
              <w:top w:val="nil"/>
              <w:bottom w:val="nil"/>
            </w:tcBorders>
            <w:vAlign w:val="top"/>
          </w:tcPr>
          <w:p>
            <w:pPr>
              <w:rPr>
                <w:rFonts w:ascii="Arial"/>
                <w:sz w:val="21"/>
              </w:rPr>
            </w:pPr>
          </w:p>
        </w:tc>
        <w:tc>
          <w:tcPr>
            <w:tcW w:w="1014" w:type="dxa"/>
            <w:vMerge w:val="continue"/>
            <w:tcBorders>
              <w:top w:val="nil"/>
            </w:tcBorders>
            <w:vAlign w:val="top"/>
          </w:tcPr>
          <w:p>
            <w:pPr>
              <w:spacing w:before="65" w:line="220" w:lineRule="auto"/>
              <w:ind w:left="243" w:leftChars="0"/>
              <w:rPr>
                <w:rFonts w:ascii="宋体" w:hAnsi="宋体" w:eastAsia="宋体" w:cs="宋体"/>
                <w:spacing w:val="9"/>
                <w:sz w:val="18"/>
                <w:szCs w:val="18"/>
              </w:rPr>
            </w:pPr>
          </w:p>
        </w:tc>
        <w:tc>
          <w:tcPr>
            <w:tcW w:w="2146" w:type="dxa"/>
            <w:gridSpan w:val="2"/>
            <w:vAlign w:val="top"/>
          </w:tcPr>
          <w:p>
            <w:pPr>
              <w:spacing w:before="65" w:line="220" w:lineRule="auto"/>
              <w:ind w:left="243" w:leftChars="0"/>
              <w:jc w:val="center"/>
              <w:rPr>
                <w:rFonts w:hint="eastAsia" w:ascii="宋体" w:hAnsi="宋体" w:eastAsia="宋体" w:cs="宋体"/>
                <w:spacing w:val="9"/>
                <w:sz w:val="18"/>
                <w:szCs w:val="18"/>
                <w:lang w:eastAsia="zh-CN"/>
              </w:rPr>
            </w:pPr>
            <w:r>
              <w:rPr>
                <w:rFonts w:hint="eastAsia" w:ascii="宋体" w:hAnsi="宋体" w:eastAsia="宋体" w:cs="宋体"/>
                <w:spacing w:val="-2"/>
                <w:sz w:val="18"/>
                <w:szCs w:val="18"/>
                <w:lang w:val="en-US" w:eastAsia="zh-CN"/>
              </w:rPr>
              <w:t>召开医保业务培训会议次数</w:t>
            </w:r>
          </w:p>
        </w:tc>
        <w:tc>
          <w:tcPr>
            <w:tcW w:w="1256" w:type="dxa"/>
            <w:vAlign w:val="top"/>
          </w:tcPr>
          <w:p>
            <w:pPr>
              <w:jc w:val="center"/>
              <w:rPr>
                <w:rFonts w:hint="eastAsia" w:ascii="宋体" w:hAnsi="宋体" w:eastAsia="宋体" w:cs="宋体"/>
                <w:spacing w:val="-2"/>
                <w:sz w:val="18"/>
                <w:szCs w:val="18"/>
                <w:lang w:val="en-US" w:eastAsia="zh-CN"/>
              </w:rPr>
            </w:pPr>
            <w:r>
              <w:rPr>
                <w:rFonts w:hint="eastAsia" w:ascii="宋体" w:hAnsi="宋体" w:eastAsia="宋体" w:cs="宋体"/>
                <w:spacing w:val="-2"/>
                <w:sz w:val="18"/>
                <w:szCs w:val="18"/>
                <w:lang w:val="en-US" w:eastAsia="zh-CN"/>
              </w:rPr>
              <w:t>≥5场次</w:t>
            </w:r>
          </w:p>
        </w:tc>
        <w:tc>
          <w:tcPr>
            <w:tcW w:w="1256" w:type="dxa"/>
            <w:vAlign w:val="top"/>
          </w:tcPr>
          <w:p>
            <w:pPr>
              <w:jc w:val="center"/>
              <w:rPr>
                <w:rFonts w:hint="default" w:ascii="宋体" w:hAnsi="宋体" w:eastAsia="宋体" w:cs="宋体"/>
                <w:spacing w:val="-2"/>
                <w:sz w:val="18"/>
                <w:szCs w:val="18"/>
                <w:lang w:val="en-US" w:eastAsia="zh-CN"/>
              </w:rPr>
            </w:pPr>
            <w:r>
              <w:rPr>
                <w:rFonts w:hint="eastAsia" w:ascii="宋体" w:hAnsi="宋体" w:eastAsia="宋体" w:cs="宋体"/>
                <w:spacing w:val="-2"/>
                <w:sz w:val="18"/>
                <w:szCs w:val="18"/>
                <w:lang w:val="en-US" w:eastAsia="zh-CN"/>
              </w:rPr>
              <w:t>12场次</w:t>
            </w:r>
          </w:p>
        </w:tc>
        <w:tc>
          <w:tcPr>
            <w:tcW w:w="1197"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3" w:hRule="atLeast"/>
        </w:trPr>
        <w:tc>
          <w:tcPr>
            <w:tcW w:w="704" w:type="dxa"/>
            <w:vMerge w:val="continue"/>
            <w:tcBorders>
              <w:top w:val="nil"/>
              <w:bottom w:val="nil"/>
            </w:tcBorders>
            <w:vAlign w:val="top"/>
          </w:tcPr>
          <w:p>
            <w:pPr>
              <w:rPr>
                <w:rFonts w:ascii="Arial"/>
                <w:sz w:val="21"/>
              </w:rPr>
            </w:pPr>
          </w:p>
        </w:tc>
        <w:tc>
          <w:tcPr>
            <w:tcW w:w="745" w:type="dxa"/>
            <w:vMerge w:val="continue"/>
            <w:tcBorders>
              <w:top w:val="nil"/>
              <w:bottom w:val="nil"/>
            </w:tcBorders>
            <w:vAlign w:val="top"/>
          </w:tcPr>
          <w:p>
            <w:pPr>
              <w:rPr>
                <w:rFonts w:ascii="Arial"/>
                <w:sz w:val="21"/>
              </w:rPr>
            </w:pPr>
          </w:p>
        </w:tc>
        <w:tc>
          <w:tcPr>
            <w:tcW w:w="1014" w:type="dxa"/>
            <w:vMerge w:val="continue"/>
            <w:tcBorders>
              <w:top w:val="nil"/>
            </w:tcBorders>
            <w:vAlign w:val="top"/>
          </w:tcPr>
          <w:p>
            <w:pPr>
              <w:spacing w:before="65" w:line="220" w:lineRule="auto"/>
              <w:ind w:left="243" w:leftChars="0"/>
              <w:rPr>
                <w:rFonts w:ascii="宋体" w:hAnsi="宋体" w:eastAsia="宋体" w:cs="宋体"/>
                <w:spacing w:val="9"/>
                <w:sz w:val="18"/>
                <w:szCs w:val="18"/>
              </w:rPr>
            </w:pPr>
          </w:p>
        </w:tc>
        <w:tc>
          <w:tcPr>
            <w:tcW w:w="2146" w:type="dxa"/>
            <w:gridSpan w:val="2"/>
            <w:vAlign w:val="top"/>
          </w:tcPr>
          <w:p>
            <w:pPr>
              <w:spacing w:before="65" w:line="220" w:lineRule="auto"/>
              <w:ind w:left="243" w:leftChars="0"/>
              <w:jc w:val="center"/>
              <w:rPr>
                <w:rFonts w:hint="default" w:ascii="宋体" w:hAnsi="宋体" w:eastAsia="宋体" w:cs="宋体"/>
                <w:spacing w:val="9"/>
                <w:sz w:val="18"/>
                <w:szCs w:val="18"/>
                <w:lang w:val="en-US" w:eastAsia="zh-CN"/>
              </w:rPr>
            </w:pPr>
            <w:r>
              <w:rPr>
                <w:rFonts w:hint="eastAsia" w:ascii="宋体" w:hAnsi="宋体" w:eastAsia="宋体" w:cs="宋体"/>
                <w:spacing w:val="-2"/>
                <w:sz w:val="18"/>
                <w:szCs w:val="18"/>
                <w:lang w:val="en-US" w:eastAsia="zh-CN"/>
              </w:rPr>
              <w:t>单位在编在职职工人数</w:t>
            </w:r>
          </w:p>
        </w:tc>
        <w:tc>
          <w:tcPr>
            <w:tcW w:w="1256" w:type="dxa"/>
            <w:vAlign w:val="top"/>
          </w:tcPr>
          <w:p>
            <w:pPr>
              <w:jc w:val="center"/>
              <w:rPr>
                <w:rFonts w:hint="default" w:ascii="宋体" w:hAnsi="宋体" w:eastAsia="宋体" w:cs="宋体"/>
                <w:spacing w:val="-2"/>
                <w:sz w:val="18"/>
                <w:szCs w:val="18"/>
                <w:lang w:val="en-US" w:eastAsia="zh-CN"/>
              </w:rPr>
            </w:pPr>
            <w:r>
              <w:rPr>
                <w:rFonts w:hint="eastAsia" w:ascii="宋体" w:hAnsi="宋体" w:eastAsia="宋体" w:cs="宋体"/>
                <w:spacing w:val="-2"/>
                <w:sz w:val="18"/>
                <w:szCs w:val="18"/>
                <w:lang w:val="en-US" w:eastAsia="zh-CN"/>
              </w:rPr>
              <w:t>≤23人</w:t>
            </w:r>
          </w:p>
        </w:tc>
        <w:tc>
          <w:tcPr>
            <w:tcW w:w="1256" w:type="dxa"/>
            <w:vAlign w:val="top"/>
          </w:tcPr>
          <w:p>
            <w:pPr>
              <w:jc w:val="center"/>
              <w:rPr>
                <w:rFonts w:hint="default" w:ascii="宋体" w:hAnsi="宋体" w:eastAsia="宋体" w:cs="宋体"/>
                <w:spacing w:val="-2"/>
                <w:sz w:val="18"/>
                <w:szCs w:val="18"/>
                <w:lang w:val="en-US" w:eastAsia="zh-CN"/>
              </w:rPr>
            </w:pPr>
            <w:r>
              <w:rPr>
                <w:rFonts w:hint="eastAsia" w:ascii="宋体" w:hAnsi="宋体" w:eastAsia="宋体" w:cs="宋体"/>
                <w:spacing w:val="-2"/>
                <w:sz w:val="18"/>
                <w:szCs w:val="18"/>
                <w:lang w:val="en-US" w:eastAsia="zh-CN"/>
              </w:rPr>
              <w:t>17人</w:t>
            </w:r>
          </w:p>
        </w:tc>
        <w:tc>
          <w:tcPr>
            <w:tcW w:w="1197"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 w:hRule="atLeast"/>
        </w:trPr>
        <w:tc>
          <w:tcPr>
            <w:tcW w:w="704" w:type="dxa"/>
            <w:vMerge w:val="continue"/>
            <w:tcBorders>
              <w:top w:val="nil"/>
              <w:bottom w:val="nil"/>
            </w:tcBorders>
            <w:vAlign w:val="top"/>
          </w:tcPr>
          <w:p>
            <w:pPr>
              <w:rPr>
                <w:rFonts w:ascii="Arial"/>
                <w:sz w:val="21"/>
              </w:rPr>
            </w:pPr>
          </w:p>
        </w:tc>
        <w:tc>
          <w:tcPr>
            <w:tcW w:w="745" w:type="dxa"/>
            <w:vMerge w:val="continue"/>
            <w:tcBorders>
              <w:top w:val="nil"/>
              <w:bottom w:val="nil"/>
            </w:tcBorders>
            <w:vAlign w:val="top"/>
          </w:tcPr>
          <w:p>
            <w:pPr>
              <w:rPr>
                <w:rFonts w:ascii="Arial"/>
                <w:sz w:val="21"/>
              </w:rPr>
            </w:pPr>
          </w:p>
        </w:tc>
        <w:tc>
          <w:tcPr>
            <w:tcW w:w="1014" w:type="dxa"/>
            <w:vMerge w:val="restart"/>
            <w:tcBorders>
              <w:bottom w:val="nil"/>
            </w:tcBorders>
            <w:vAlign w:val="top"/>
          </w:tcPr>
          <w:p>
            <w:pPr>
              <w:spacing w:line="295" w:lineRule="auto"/>
              <w:rPr>
                <w:rFonts w:ascii="Arial"/>
                <w:sz w:val="21"/>
              </w:rPr>
            </w:pPr>
          </w:p>
          <w:p>
            <w:pPr>
              <w:spacing w:before="59" w:line="220" w:lineRule="auto"/>
              <w:ind w:left="191"/>
              <w:rPr>
                <w:rFonts w:ascii="宋体" w:hAnsi="宋体" w:eastAsia="宋体" w:cs="宋体"/>
                <w:sz w:val="18"/>
                <w:szCs w:val="18"/>
              </w:rPr>
            </w:pPr>
            <w:r>
              <w:rPr>
                <w:rFonts w:ascii="宋体" w:hAnsi="宋体" w:eastAsia="宋体" w:cs="宋体"/>
                <w:spacing w:val="-2"/>
                <w:sz w:val="18"/>
                <w:szCs w:val="18"/>
              </w:rPr>
              <w:t>质量指标</w:t>
            </w:r>
          </w:p>
        </w:tc>
        <w:tc>
          <w:tcPr>
            <w:tcW w:w="2146" w:type="dxa"/>
            <w:gridSpan w:val="2"/>
            <w:vAlign w:val="top"/>
          </w:tcPr>
          <w:p>
            <w:pPr>
              <w:spacing w:before="95" w:line="199" w:lineRule="auto"/>
              <w:ind w:left="243"/>
              <w:jc w:val="center"/>
              <w:rPr>
                <w:rFonts w:ascii="宋体" w:hAnsi="宋体" w:eastAsia="宋体" w:cs="宋体"/>
                <w:sz w:val="18"/>
                <w:szCs w:val="18"/>
              </w:rPr>
            </w:pPr>
            <w:r>
              <w:rPr>
                <w:rFonts w:hint="eastAsia" w:ascii="宋体" w:hAnsi="宋体" w:eastAsia="宋体" w:cs="宋体"/>
                <w:spacing w:val="-2"/>
                <w:sz w:val="18"/>
                <w:szCs w:val="18"/>
                <w:lang w:val="en-US" w:eastAsia="zh-CN"/>
              </w:rPr>
              <w:t>二老一残资金报销精准率、及时率</w:t>
            </w:r>
          </w:p>
        </w:tc>
        <w:tc>
          <w:tcPr>
            <w:tcW w:w="1256" w:type="dxa"/>
            <w:vAlign w:val="top"/>
          </w:tcPr>
          <w:p>
            <w:pPr>
              <w:jc w:val="center"/>
              <w:rPr>
                <w:rFonts w:hint="default" w:ascii="Arial"/>
                <w:sz w:val="21"/>
                <w:lang w:val="en-US"/>
              </w:rPr>
            </w:pPr>
            <w:r>
              <w:rPr>
                <w:rFonts w:hint="eastAsia" w:ascii="宋体" w:hAnsi="宋体" w:eastAsia="宋体" w:cs="宋体"/>
                <w:spacing w:val="-2"/>
                <w:sz w:val="18"/>
                <w:szCs w:val="18"/>
                <w:lang w:val="en-US" w:eastAsia="zh-CN"/>
              </w:rPr>
              <w:t>=100%</w:t>
            </w:r>
          </w:p>
        </w:tc>
        <w:tc>
          <w:tcPr>
            <w:tcW w:w="1256" w:type="dxa"/>
            <w:vAlign w:val="top"/>
          </w:tcPr>
          <w:p>
            <w:pPr>
              <w:jc w:val="center"/>
              <w:rPr>
                <w:rFonts w:hint="default" w:ascii="宋体" w:hAnsi="宋体" w:eastAsia="宋体" w:cs="宋体"/>
                <w:spacing w:val="-2"/>
                <w:sz w:val="18"/>
                <w:szCs w:val="18"/>
                <w:lang w:val="en-US" w:eastAsia="zh-CN"/>
              </w:rPr>
            </w:pPr>
            <w:r>
              <w:rPr>
                <w:rFonts w:hint="eastAsia" w:ascii="宋体" w:hAnsi="宋体" w:eastAsia="宋体" w:cs="宋体"/>
                <w:spacing w:val="-2"/>
                <w:sz w:val="18"/>
                <w:szCs w:val="18"/>
                <w:lang w:val="en-US" w:eastAsia="zh-CN"/>
              </w:rPr>
              <w:t>100%</w:t>
            </w:r>
          </w:p>
        </w:tc>
        <w:tc>
          <w:tcPr>
            <w:tcW w:w="1197"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8" w:hRule="atLeast"/>
        </w:trPr>
        <w:tc>
          <w:tcPr>
            <w:tcW w:w="704" w:type="dxa"/>
            <w:vMerge w:val="continue"/>
            <w:tcBorders>
              <w:top w:val="nil"/>
              <w:bottom w:val="nil"/>
            </w:tcBorders>
            <w:vAlign w:val="top"/>
          </w:tcPr>
          <w:p>
            <w:pPr>
              <w:rPr>
                <w:rFonts w:ascii="Arial"/>
                <w:sz w:val="21"/>
              </w:rPr>
            </w:pPr>
          </w:p>
        </w:tc>
        <w:tc>
          <w:tcPr>
            <w:tcW w:w="745" w:type="dxa"/>
            <w:vMerge w:val="continue"/>
            <w:tcBorders>
              <w:top w:val="nil"/>
              <w:bottom w:val="nil"/>
            </w:tcBorders>
            <w:vAlign w:val="top"/>
          </w:tcPr>
          <w:p>
            <w:pPr>
              <w:rPr>
                <w:rFonts w:ascii="Arial"/>
                <w:sz w:val="21"/>
              </w:rPr>
            </w:pPr>
          </w:p>
        </w:tc>
        <w:tc>
          <w:tcPr>
            <w:tcW w:w="1014" w:type="dxa"/>
            <w:vMerge w:val="continue"/>
            <w:tcBorders>
              <w:top w:val="nil"/>
              <w:bottom w:val="nil"/>
            </w:tcBorders>
            <w:vAlign w:val="top"/>
          </w:tcPr>
          <w:p>
            <w:pPr>
              <w:rPr>
                <w:rFonts w:ascii="Arial"/>
                <w:sz w:val="21"/>
              </w:rPr>
            </w:pPr>
          </w:p>
        </w:tc>
        <w:tc>
          <w:tcPr>
            <w:tcW w:w="2146" w:type="dxa"/>
            <w:gridSpan w:val="2"/>
            <w:vAlign w:val="top"/>
          </w:tcPr>
          <w:p>
            <w:pPr>
              <w:spacing w:before="66" w:line="208" w:lineRule="auto"/>
              <w:ind w:left="243"/>
              <w:rPr>
                <w:rFonts w:ascii="宋体" w:hAnsi="宋体" w:eastAsia="宋体" w:cs="宋体"/>
                <w:sz w:val="18"/>
                <w:szCs w:val="18"/>
              </w:rPr>
            </w:pPr>
            <w:r>
              <w:rPr>
                <w:rFonts w:hint="eastAsia" w:ascii="宋体" w:hAnsi="宋体" w:eastAsia="宋体" w:cs="宋体"/>
                <w:spacing w:val="-2"/>
                <w:sz w:val="18"/>
                <w:szCs w:val="18"/>
                <w:lang w:val="en-US" w:eastAsia="zh-CN"/>
              </w:rPr>
              <w:t>防贫保救助准确率</w:t>
            </w:r>
          </w:p>
        </w:tc>
        <w:tc>
          <w:tcPr>
            <w:tcW w:w="1256" w:type="dxa"/>
            <w:vAlign w:val="top"/>
          </w:tcPr>
          <w:p>
            <w:pPr>
              <w:rPr>
                <w:rFonts w:hint="default" w:ascii="Arial" w:eastAsia="宋体"/>
                <w:sz w:val="21"/>
                <w:lang w:val="en-US" w:eastAsia="zh-CN"/>
              </w:rPr>
            </w:pPr>
            <w:r>
              <w:rPr>
                <w:rFonts w:hint="eastAsia" w:ascii="宋体" w:hAnsi="宋体" w:eastAsia="宋体" w:cs="宋体"/>
                <w:spacing w:val="-2"/>
                <w:sz w:val="18"/>
                <w:szCs w:val="18"/>
                <w:lang w:val="en-US" w:eastAsia="zh-CN"/>
              </w:rPr>
              <w:t>=100%</w:t>
            </w:r>
          </w:p>
        </w:tc>
        <w:tc>
          <w:tcPr>
            <w:tcW w:w="1256" w:type="dxa"/>
            <w:vAlign w:val="top"/>
          </w:tcPr>
          <w:p>
            <w:pPr>
              <w:jc w:val="center"/>
              <w:rPr>
                <w:rFonts w:hint="default" w:ascii="宋体" w:hAnsi="宋体" w:eastAsia="宋体" w:cs="宋体"/>
                <w:spacing w:val="-2"/>
                <w:sz w:val="18"/>
                <w:szCs w:val="18"/>
                <w:lang w:val="en-US" w:eastAsia="zh-CN"/>
              </w:rPr>
            </w:pPr>
            <w:r>
              <w:rPr>
                <w:rFonts w:hint="eastAsia" w:ascii="宋体" w:hAnsi="宋体" w:eastAsia="宋体" w:cs="宋体"/>
                <w:spacing w:val="-2"/>
                <w:sz w:val="18"/>
                <w:szCs w:val="18"/>
                <w:lang w:val="en-US" w:eastAsia="zh-CN"/>
              </w:rPr>
              <w:t>100%</w:t>
            </w:r>
          </w:p>
        </w:tc>
        <w:tc>
          <w:tcPr>
            <w:tcW w:w="1197"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6" w:hRule="atLeast"/>
        </w:trPr>
        <w:tc>
          <w:tcPr>
            <w:tcW w:w="704" w:type="dxa"/>
            <w:vMerge w:val="continue"/>
            <w:tcBorders>
              <w:top w:val="nil"/>
              <w:bottom w:val="nil"/>
            </w:tcBorders>
            <w:vAlign w:val="top"/>
          </w:tcPr>
          <w:p>
            <w:pPr>
              <w:rPr>
                <w:rFonts w:ascii="Arial"/>
                <w:sz w:val="21"/>
              </w:rPr>
            </w:pPr>
          </w:p>
        </w:tc>
        <w:tc>
          <w:tcPr>
            <w:tcW w:w="745" w:type="dxa"/>
            <w:vMerge w:val="continue"/>
            <w:tcBorders>
              <w:top w:val="nil"/>
              <w:bottom w:val="nil"/>
            </w:tcBorders>
            <w:vAlign w:val="top"/>
          </w:tcPr>
          <w:p>
            <w:pPr>
              <w:rPr>
                <w:rFonts w:ascii="Arial"/>
                <w:sz w:val="21"/>
              </w:rPr>
            </w:pPr>
          </w:p>
        </w:tc>
        <w:tc>
          <w:tcPr>
            <w:tcW w:w="1014" w:type="dxa"/>
            <w:vMerge w:val="continue"/>
            <w:tcBorders>
              <w:top w:val="nil"/>
            </w:tcBorders>
            <w:vAlign w:val="top"/>
          </w:tcPr>
          <w:p>
            <w:pPr>
              <w:rPr>
                <w:rFonts w:ascii="Arial"/>
                <w:sz w:val="21"/>
              </w:rPr>
            </w:pPr>
          </w:p>
        </w:tc>
        <w:tc>
          <w:tcPr>
            <w:tcW w:w="2146" w:type="dxa"/>
            <w:gridSpan w:val="2"/>
            <w:vAlign w:val="top"/>
          </w:tcPr>
          <w:p>
            <w:pPr>
              <w:ind w:firstLine="176" w:firstLineChars="100"/>
              <w:rPr>
                <w:rFonts w:hint="eastAsia" w:ascii="宋体" w:hAnsi="宋体" w:eastAsia="宋体" w:cs="宋体"/>
                <w:spacing w:val="-2"/>
                <w:sz w:val="18"/>
                <w:szCs w:val="18"/>
                <w:lang w:val="en-US" w:eastAsia="zh-CN"/>
              </w:rPr>
            </w:pPr>
            <w:r>
              <w:rPr>
                <w:rFonts w:hint="eastAsia" w:ascii="宋体" w:hAnsi="宋体" w:eastAsia="宋体" w:cs="宋体"/>
                <w:spacing w:val="-2"/>
                <w:sz w:val="18"/>
                <w:szCs w:val="18"/>
                <w:lang w:val="en-US" w:eastAsia="zh-CN"/>
              </w:rPr>
              <w:t>基金监管专项检查违规查处率</w:t>
            </w:r>
          </w:p>
        </w:tc>
        <w:tc>
          <w:tcPr>
            <w:tcW w:w="1256" w:type="dxa"/>
            <w:vAlign w:val="top"/>
          </w:tcPr>
          <w:p>
            <w:pPr>
              <w:rPr>
                <w:rFonts w:hint="default" w:ascii="宋体" w:hAnsi="宋体" w:eastAsia="宋体" w:cs="宋体"/>
                <w:spacing w:val="-2"/>
                <w:sz w:val="18"/>
                <w:szCs w:val="18"/>
                <w:lang w:val="en-US" w:eastAsia="zh-CN"/>
              </w:rPr>
            </w:pPr>
            <w:r>
              <w:rPr>
                <w:rFonts w:hint="eastAsia" w:ascii="宋体" w:hAnsi="宋体" w:eastAsia="宋体" w:cs="宋体"/>
                <w:spacing w:val="-2"/>
                <w:sz w:val="18"/>
                <w:szCs w:val="18"/>
                <w:lang w:val="en-US" w:eastAsia="zh-CN"/>
              </w:rPr>
              <w:t>=100%</w:t>
            </w:r>
          </w:p>
        </w:tc>
        <w:tc>
          <w:tcPr>
            <w:tcW w:w="1256" w:type="dxa"/>
            <w:vAlign w:val="top"/>
          </w:tcPr>
          <w:p>
            <w:pPr>
              <w:jc w:val="center"/>
              <w:rPr>
                <w:rFonts w:hint="default" w:ascii="宋体" w:hAnsi="宋体" w:eastAsia="宋体" w:cs="宋体"/>
                <w:spacing w:val="-2"/>
                <w:sz w:val="18"/>
                <w:szCs w:val="18"/>
                <w:lang w:val="en-US" w:eastAsia="zh-CN"/>
              </w:rPr>
            </w:pPr>
            <w:r>
              <w:rPr>
                <w:rFonts w:hint="eastAsia" w:ascii="宋体" w:hAnsi="宋体" w:eastAsia="宋体" w:cs="宋体"/>
                <w:spacing w:val="-2"/>
                <w:sz w:val="18"/>
                <w:szCs w:val="18"/>
                <w:lang w:val="en-US" w:eastAsia="zh-CN"/>
              </w:rPr>
              <w:t>100%</w:t>
            </w:r>
          </w:p>
        </w:tc>
        <w:tc>
          <w:tcPr>
            <w:tcW w:w="1197"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7" w:hRule="atLeast"/>
        </w:trPr>
        <w:tc>
          <w:tcPr>
            <w:tcW w:w="704" w:type="dxa"/>
            <w:vMerge w:val="continue"/>
            <w:tcBorders>
              <w:top w:val="nil"/>
              <w:bottom w:val="nil"/>
            </w:tcBorders>
            <w:vAlign w:val="top"/>
          </w:tcPr>
          <w:p>
            <w:pPr>
              <w:rPr>
                <w:rFonts w:ascii="Arial"/>
                <w:sz w:val="21"/>
              </w:rPr>
            </w:pPr>
          </w:p>
        </w:tc>
        <w:tc>
          <w:tcPr>
            <w:tcW w:w="745" w:type="dxa"/>
            <w:vMerge w:val="continue"/>
            <w:tcBorders>
              <w:top w:val="nil"/>
              <w:bottom w:val="nil"/>
            </w:tcBorders>
            <w:vAlign w:val="top"/>
          </w:tcPr>
          <w:p>
            <w:pPr>
              <w:rPr>
                <w:rFonts w:ascii="Arial"/>
                <w:sz w:val="21"/>
              </w:rPr>
            </w:pPr>
          </w:p>
        </w:tc>
        <w:tc>
          <w:tcPr>
            <w:tcW w:w="1014" w:type="dxa"/>
            <w:vMerge w:val="restart"/>
            <w:tcBorders>
              <w:bottom w:val="nil"/>
            </w:tcBorders>
            <w:vAlign w:val="top"/>
          </w:tcPr>
          <w:p>
            <w:pPr>
              <w:spacing w:line="296" w:lineRule="auto"/>
              <w:rPr>
                <w:rFonts w:ascii="Arial"/>
                <w:sz w:val="21"/>
              </w:rPr>
            </w:pPr>
          </w:p>
          <w:p>
            <w:pPr>
              <w:spacing w:line="285" w:lineRule="auto"/>
              <w:rPr>
                <w:rFonts w:ascii="宋体" w:hAnsi="宋体" w:eastAsia="宋体" w:cs="宋体"/>
                <w:sz w:val="18"/>
                <w:szCs w:val="18"/>
              </w:rPr>
            </w:pPr>
            <w:r>
              <w:rPr>
                <w:rFonts w:ascii="宋体" w:hAnsi="宋体" w:eastAsia="宋体" w:cs="宋体"/>
                <w:spacing w:val="1"/>
                <w:sz w:val="18"/>
                <w:szCs w:val="18"/>
              </w:rPr>
              <w:t>时效指标</w:t>
            </w:r>
          </w:p>
        </w:tc>
        <w:tc>
          <w:tcPr>
            <w:tcW w:w="2146" w:type="dxa"/>
            <w:gridSpan w:val="2"/>
            <w:vAlign w:val="top"/>
          </w:tcPr>
          <w:p>
            <w:pPr>
              <w:spacing w:before="77" w:line="208" w:lineRule="auto"/>
              <w:ind w:left="243"/>
              <w:rPr>
                <w:rFonts w:ascii="宋体" w:hAnsi="宋体" w:eastAsia="宋体" w:cs="宋体"/>
                <w:sz w:val="18"/>
                <w:szCs w:val="18"/>
              </w:rPr>
            </w:pPr>
            <w:r>
              <w:rPr>
                <w:rFonts w:hint="eastAsia" w:ascii="宋体" w:hAnsi="宋体" w:eastAsia="宋体" w:cs="宋体"/>
                <w:spacing w:val="-2"/>
                <w:sz w:val="18"/>
                <w:szCs w:val="18"/>
                <w:lang w:val="en-US" w:eastAsia="zh-CN"/>
              </w:rPr>
              <w:t>完成时限</w:t>
            </w:r>
          </w:p>
        </w:tc>
        <w:tc>
          <w:tcPr>
            <w:tcW w:w="1256" w:type="dxa"/>
            <w:vAlign w:val="top"/>
          </w:tcPr>
          <w:p>
            <w:pPr>
              <w:rPr>
                <w:rFonts w:hint="default" w:ascii="Arial" w:eastAsia="宋体"/>
                <w:sz w:val="21"/>
                <w:lang w:val="en-US" w:eastAsia="zh-CN"/>
              </w:rPr>
            </w:pPr>
            <w:r>
              <w:rPr>
                <w:rFonts w:hint="eastAsia" w:ascii="宋体" w:hAnsi="宋体" w:eastAsia="宋体" w:cs="宋体"/>
                <w:spacing w:val="-2"/>
                <w:sz w:val="18"/>
                <w:szCs w:val="18"/>
                <w:lang w:val="en-US" w:eastAsia="zh-CN"/>
              </w:rPr>
              <w:t>=1年</w:t>
            </w:r>
          </w:p>
        </w:tc>
        <w:tc>
          <w:tcPr>
            <w:tcW w:w="1256" w:type="dxa"/>
            <w:vAlign w:val="top"/>
          </w:tcPr>
          <w:p>
            <w:pPr>
              <w:jc w:val="center"/>
              <w:rPr>
                <w:rFonts w:hint="default" w:ascii="宋体" w:hAnsi="宋体" w:eastAsia="宋体" w:cs="宋体"/>
                <w:spacing w:val="-2"/>
                <w:sz w:val="18"/>
                <w:szCs w:val="18"/>
                <w:lang w:val="en-US" w:eastAsia="zh-CN"/>
              </w:rPr>
            </w:pPr>
            <w:r>
              <w:rPr>
                <w:rFonts w:hint="eastAsia" w:ascii="宋体" w:hAnsi="宋体" w:eastAsia="宋体" w:cs="宋体"/>
                <w:spacing w:val="-2"/>
                <w:sz w:val="18"/>
                <w:szCs w:val="18"/>
                <w:lang w:val="en-US" w:eastAsia="zh-CN"/>
              </w:rPr>
              <w:t>1年</w:t>
            </w:r>
          </w:p>
        </w:tc>
        <w:tc>
          <w:tcPr>
            <w:tcW w:w="1197"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7" w:hRule="atLeast"/>
        </w:trPr>
        <w:tc>
          <w:tcPr>
            <w:tcW w:w="704" w:type="dxa"/>
            <w:vMerge w:val="continue"/>
            <w:tcBorders>
              <w:top w:val="nil"/>
              <w:bottom w:val="nil"/>
            </w:tcBorders>
            <w:vAlign w:val="top"/>
          </w:tcPr>
          <w:p>
            <w:pPr>
              <w:rPr>
                <w:rFonts w:ascii="Arial"/>
                <w:sz w:val="21"/>
              </w:rPr>
            </w:pPr>
          </w:p>
        </w:tc>
        <w:tc>
          <w:tcPr>
            <w:tcW w:w="745" w:type="dxa"/>
            <w:vMerge w:val="continue"/>
            <w:tcBorders>
              <w:top w:val="nil"/>
              <w:bottom w:val="nil"/>
            </w:tcBorders>
            <w:vAlign w:val="top"/>
          </w:tcPr>
          <w:p>
            <w:pPr>
              <w:rPr>
                <w:rFonts w:ascii="Arial"/>
                <w:sz w:val="21"/>
              </w:rPr>
            </w:pPr>
          </w:p>
        </w:tc>
        <w:tc>
          <w:tcPr>
            <w:tcW w:w="1014" w:type="dxa"/>
            <w:vMerge w:val="continue"/>
            <w:tcBorders>
              <w:top w:val="nil"/>
              <w:bottom w:val="nil"/>
            </w:tcBorders>
            <w:vAlign w:val="top"/>
          </w:tcPr>
          <w:p>
            <w:pPr>
              <w:rPr>
                <w:rFonts w:ascii="Arial"/>
                <w:sz w:val="21"/>
              </w:rPr>
            </w:pPr>
          </w:p>
        </w:tc>
        <w:tc>
          <w:tcPr>
            <w:tcW w:w="2146" w:type="dxa"/>
            <w:gridSpan w:val="2"/>
            <w:vAlign w:val="top"/>
          </w:tcPr>
          <w:p>
            <w:pPr>
              <w:spacing w:before="77" w:line="208" w:lineRule="auto"/>
              <w:ind w:left="243"/>
              <w:rPr>
                <w:rFonts w:ascii="宋体" w:hAnsi="宋体" w:eastAsia="宋体" w:cs="宋体"/>
                <w:sz w:val="18"/>
                <w:szCs w:val="18"/>
              </w:rPr>
            </w:pPr>
            <w:r>
              <w:rPr>
                <w:rFonts w:hint="eastAsia" w:ascii="宋体" w:hAnsi="宋体" w:eastAsia="宋体" w:cs="宋体"/>
                <w:spacing w:val="-2"/>
                <w:sz w:val="18"/>
                <w:szCs w:val="18"/>
                <w:lang w:val="en-US" w:eastAsia="zh-CN"/>
              </w:rPr>
              <w:t>资金支付及时率</w:t>
            </w:r>
          </w:p>
        </w:tc>
        <w:tc>
          <w:tcPr>
            <w:tcW w:w="1256" w:type="dxa"/>
            <w:vAlign w:val="top"/>
          </w:tcPr>
          <w:p>
            <w:pPr>
              <w:rPr>
                <w:rFonts w:hint="default" w:ascii="Arial" w:eastAsia="宋体"/>
                <w:sz w:val="21"/>
                <w:lang w:val="en-US" w:eastAsia="zh-CN"/>
              </w:rPr>
            </w:pPr>
            <w:r>
              <w:rPr>
                <w:rFonts w:hint="eastAsia" w:ascii="宋体" w:hAnsi="宋体" w:eastAsia="宋体" w:cs="宋体"/>
                <w:spacing w:val="-2"/>
                <w:sz w:val="18"/>
                <w:szCs w:val="18"/>
                <w:lang w:val="en-US" w:eastAsia="zh-CN"/>
              </w:rPr>
              <w:t>=100%</w:t>
            </w:r>
          </w:p>
        </w:tc>
        <w:tc>
          <w:tcPr>
            <w:tcW w:w="1256" w:type="dxa"/>
            <w:vAlign w:val="top"/>
          </w:tcPr>
          <w:p>
            <w:pPr>
              <w:jc w:val="center"/>
              <w:rPr>
                <w:rFonts w:hint="default" w:ascii="宋体" w:hAnsi="宋体" w:eastAsia="宋体" w:cs="宋体"/>
                <w:spacing w:val="-2"/>
                <w:sz w:val="18"/>
                <w:szCs w:val="18"/>
                <w:lang w:val="en-US" w:eastAsia="zh-CN"/>
              </w:rPr>
            </w:pPr>
            <w:r>
              <w:rPr>
                <w:rFonts w:hint="eastAsia" w:ascii="宋体" w:hAnsi="宋体" w:eastAsia="宋体" w:cs="宋体"/>
                <w:spacing w:val="-2"/>
                <w:sz w:val="18"/>
                <w:szCs w:val="18"/>
                <w:lang w:val="en-US" w:eastAsia="zh-CN"/>
              </w:rPr>
              <w:t>100%</w:t>
            </w:r>
          </w:p>
        </w:tc>
        <w:tc>
          <w:tcPr>
            <w:tcW w:w="1197"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7" w:hRule="atLeast"/>
        </w:trPr>
        <w:tc>
          <w:tcPr>
            <w:tcW w:w="704" w:type="dxa"/>
            <w:vMerge w:val="continue"/>
            <w:tcBorders>
              <w:top w:val="nil"/>
              <w:bottom w:val="nil"/>
            </w:tcBorders>
            <w:vAlign w:val="top"/>
          </w:tcPr>
          <w:p>
            <w:pPr>
              <w:rPr>
                <w:rFonts w:ascii="Arial"/>
                <w:sz w:val="21"/>
              </w:rPr>
            </w:pPr>
          </w:p>
        </w:tc>
        <w:tc>
          <w:tcPr>
            <w:tcW w:w="745" w:type="dxa"/>
            <w:vMerge w:val="continue"/>
            <w:tcBorders>
              <w:top w:val="nil"/>
              <w:bottom w:val="nil"/>
            </w:tcBorders>
            <w:vAlign w:val="top"/>
          </w:tcPr>
          <w:p>
            <w:pPr>
              <w:rPr>
                <w:rFonts w:ascii="Arial"/>
                <w:sz w:val="21"/>
              </w:rPr>
            </w:pPr>
          </w:p>
        </w:tc>
        <w:tc>
          <w:tcPr>
            <w:tcW w:w="1014" w:type="dxa"/>
            <w:vMerge w:val="restart"/>
            <w:vAlign w:val="top"/>
          </w:tcPr>
          <w:p>
            <w:pPr>
              <w:spacing w:line="285" w:lineRule="auto"/>
              <w:rPr>
                <w:rFonts w:ascii="Arial"/>
                <w:sz w:val="21"/>
              </w:rPr>
            </w:pPr>
          </w:p>
          <w:p>
            <w:pPr>
              <w:spacing w:before="58" w:line="219" w:lineRule="auto"/>
              <w:ind w:left="191"/>
              <w:rPr>
                <w:rFonts w:ascii="宋体" w:hAnsi="宋体" w:eastAsia="宋体" w:cs="宋体"/>
                <w:sz w:val="18"/>
                <w:szCs w:val="18"/>
              </w:rPr>
            </w:pPr>
            <w:r>
              <w:rPr>
                <w:rFonts w:ascii="宋体" w:hAnsi="宋体" w:eastAsia="宋体" w:cs="宋体"/>
                <w:spacing w:val="-2"/>
                <w:sz w:val="18"/>
                <w:szCs w:val="18"/>
              </w:rPr>
              <w:t>成本指标</w:t>
            </w:r>
          </w:p>
        </w:tc>
        <w:tc>
          <w:tcPr>
            <w:tcW w:w="2146" w:type="dxa"/>
            <w:gridSpan w:val="2"/>
            <w:vAlign w:val="top"/>
          </w:tcPr>
          <w:p>
            <w:pPr>
              <w:spacing w:before="77" w:line="208" w:lineRule="auto"/>
              <w:ind w:left="243"/>
              <w:rPr>
                <w:rFonts w:ascii="宋体" w:hAnsi="宋体" w:eastAsia="宋体" w:cs="宋体"/>
                <w:sz w:val="18"/>
                <w:szCs w:val="18"/>
              </w:rPr>
            </w:pPr>
            <w:r>
              <w:rPr>
                <w:rFonts w:hint="eastAsia" w:ascii="宋体" w:hAnsi="宋体" w:eastAsia="宋体" w:cs="宋体"/>
                <w:spacing w:val="-2"/>
                <w:sz w:val="18"/>
                <w:szCs w:val="18"/>
                <w:lang w:val="en-US" w:eastAsia="zh-CN"/>
              </w:rPr>
              <w:t>二老一残医疗费用控制数额</w:t>
            </w:r>
          </w:p>
        </w:tc>
        <w:tc>
          <w:tcPr>
            <w:tcW w:w="1256" w:type="dxa"/>
            <w:vAlign w:val="top"/>
          </w:tcPr>
          <w:p>
            <w:pPr>
              <w:rPr>
                <w:rFonts w:hint="default" w:ascii="宋体" w:hAnsi="宋体" w:eastAsia="宋体" w:cs="宋体"/>
                <w:spacing w:val="-2"/>
                <w:sz w:val="18"/>
                <w:szCs w:val="18"/>
                <w:lang w:val="en-US" w:eastAsia="zh-CN"/>
              </w:rPr>
            </w:pPr>
            <w:r>
              <w:rPr>
                <w:rFonts w:hint="eastAsia" w:ascii="宋体" w:hAnsi="宋体" w:eastAsia="宋体" w:cs="宋体"/>
                <w:spacing w:val="-2"/>
                <w:sz w:val="18"/>
                <w:szCs w:val="18"/>
                <w:lang w:val="en-US" w:eastAsia="zh-CN"/>
              </w:rPr>
              <w:t>=50万元</w:t>
            </w:r>
          </w:p>
        </w:tc>
        <w:tc>
          <w:tcPr>
            <w:tcW w:w="1256" w:type="dxa"/>
            <w:vAlign w:val="top"/>
          </w:tcPr>
          <w:p>
            <w:pPr>
              <w:jc w:val="center"/>
              <w:rPr>
                <w:rFonts w:hint="default" w:ascii="宋体" w:hAnsi="宋体" w:eastAsia="宋体" w:cs="宋体"/>
                <w:spacing w:val="-2"/>
                <w:sz w:val="18"/>
                <w:szCs w:val="18"/>
                <w:lang w:val="en-US" w:eastAsia="zh-CN"/>
              </w:rPr>
            </w:pPr>
            <w:r>
              <w:rPr>
                <w:rFonts w:hint="eastAsia" w:ascii="宋体" w:hAnsi="宋体" w:eastAsia="宋体" w:cs="宋体"/>
                <w:spacing w:val="-2"/>
                <w:sz w:val="18"/>
                <w:szCs w:val="18"/>
                <w:lang w:val="en-US" w:eastAsia="zh-CN"/>
              </w:rPr>
              <w:t>50万元</w:t>
            </w:r>
          </w:p>
        </w:tc>
        <w:tc>
          <w:tcPr>
            <w:tcW w:w="1197"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7" w:hRule="atLeast"/>
        </w:trPr>
        <w:tc>
          <w:tcPr>
            <w:tcW w:w="704" w:type="dxa"/>
            <w:vMerge w:val="continue"/>
            <w:tcBorders>
              <w:top w:val="nil"/>
              <w:bottom w:val="nil"/>
            </w:tcBorders>
            <w:vAlign w:val="top"/>
          </w:tcPr>
          <w:p>
            <w:pPr>
              <w:rPr>
                <w:rFonts w:ascii="Arial"/>
                <w:sz w:val="21"/>
              </w:rPr>
            </w:pPr>
          </w:p>
        </w:tc>
        <w:tc>
          <w:tcPr>
            <w:tcW w:w="745" w:type="dxa"/>
            <w:vMerge w:val="continue"/>
            <w:tcBorders>
              <w:top w:val="nil"/>
              <w:bottom w:val="nil"/>
            </w:tcBorders>
            <w:vAlign w:val="top"/>
          </w:tcPr>
          <w:p>
            <w:pPr>
              <w:rPr>
                <w:rFonts w:ascii="Arial"/>
                <w:sz w:val="21"/>
              </w:rPr>
            </w:pPr>
          </w:p>
        </w:tc>
        <w:tc>
          <w:tcPr>
            <w:tcW w:w="1014" w:type="dxa"/>
            <w:vMerge w:val="continue"/>
            <w:vAlign w:val="top"/>
          </w:tcPr>
          <w:p>
            <w:pPr>
              <w:rPr>
                <w:rFonts w:ascii="Arial"/>
                <w:sz w:val="21"/>
              </w:rPr>
            </w:pPr>
          </w:p>
        </w:tc>
        <w:tc>
          <w:tcPr>
            <w:tcW w:w="2146" w:type="dxa"/>
            <w:gridSpan w:val="2"/>
            <w:vAlign w:val="top"/>
          </w:tcPr>
          <w:p>
            <w:pPr>
              <w:spacing w:before="77" w:line="208" w:lineRule="auto"/>
              <w:ind w:left="243"/>
              <w:rPr>
                <w:rFonts w:ascii="宋体" w:hAnsi="宋体" w:eastAsia="宋体" w:cs="宋体"/>
                <w:sz w:val="18"/>
                <w:szCs w:val="18"/>
              </w:rPr>
            </w:pPr>
            <w:r>
              <w:rPr>
                <w:rFonts w:hint="eastAsia" w:ascii="宋体" w:hAnsi="宋体" w:eastAsia="宋体" w:cs="宋体"/>
                <w:spacing w:val="-2"/>
                <w:sz w:val="18"/>
                <w:szCs w:val="18"/>
                <w:lang w:val="en-US" w:eastAsia="zh-CN"/>
              </w:rPr>
              <w:t>防贫保项目第三方机构服务费（预算成本控制额）</w:t>
            </w:r>
          </w:p>
        </w:tc>
        <w:tc>
          <w:tcPr>
            <w:tcW w:w="1256" w:type="dxa"/>
            <w:vAlign w:val="top"/>
          </w:tcPr>
          <w:p>
            <w:pPr>
              <w:rPr>
                <w:rFonts w:hint="default" w:ascii="宋体" w:hAnsi="宋体" w:eastAsia="宋体" w:cs="宋体"/>
                <w:spacing w:val="-2"/>
                <w:sz w:val="18"/>
                <w:szCs w:val="18"/>
                <w:lang w:val="en-US" w:eastAsia="zh-CN"/>
              </w:rPr>
            </w:pPr>
            <w:r>
              <w:rPr>
                <w:rFonts w:hint="eastAsia" w:ascii="宋体" w:hAnsi="宋体" w:eastAsia="宋体" w:cs="宋体"/>
                <w:spacing w:val="-2"/>
                <w:sz w:val="18"/>
                <w:szCs w:val="18"/>
                <w:lang w:val="en-US" w:eastAsia="zh-CN"/>
              </w:rPr>
              <w:t>≤9.5万元</w:t>
            </w:r>
          </w:p>
        </w:tc>
        <w:tc>
          <w:tcPr>
            <w:tcW w:w="1256" w:type="dxa"/>
            <w:vAlign w:val="top"/>
          </w:tcPr>
          <w:p>
            <w:pPr>
              <w:jc w:val="center"/>
              <w:rPr>
                <w:rFonts w:hint="default" w:ascii="宋体" w:hAnsi="宋体" w:eastAsia="宋体" w:cs="宋体"/>
                <w:spacing w:val="-2"/>
                <w:sz w:val="18"/>
                <w:szCs w:val="18"/>
                <w:lang w:val="en-US" w:eastAsia="zh-CN"/>
              </w:rPr>
            </w:pPr>
            <w:r>
              <w:rPr>
                <w:rFonts w:hint="eastAsia" w:ascii="宋体" w:hAnsi="宋体" w:eastAsia="宋体" w:cs="宋体"/>
                <w:spacing w:val="-2"/>
                <w:sz w:val="18"/>
                <w:szCs w:val="18"/>
                <w:lang w:val="en-US" w:eastAsia="zh-CN"/>
              </w:rPr>
              <w:t>9.31万元</w:t>
            </w:r>
          </w:p>
        </w:tc>
        <w:tc>
          <w:tcPr>
            <w:tcW w:w="1197"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7" w:hRule="atLeast"/>
        </w:trPr>
        <w:tc>
          <w:tcPr>
            <w:tcW w:w="704" w:type="dxa"/>
            <w:vMerge w:val="continue"/>
            <w:tcBorders>
              <w:top w:val="nil"/>
              <w:bottom w:val="nil"/>
            </w:tcBorders>
            <w:vAlign w:val="top"/>
          </w:tcPr>
          <w:p>
            <w:pPr>
              <w:rPr>
                <w:rFonts w:ascii="Arial"/>
                <w:sz w:val="21"/>
              </w:rPr>
            </w:pPr>
          </w:p>
        </w:tc>
        <w:tc>
          <w:tcPr>
            <w:tcW w:w="745" w:type="dxa"/>
            <w:vMerge w:val="continue"/>
            <w:tcBorders>
              <w:top w:val="nil"/>
            </w:tcBorders>
            <w:vAlign w:val="top"/>
          </w:tcPr>
          <w:p>
            <w:pPr>
              <w:rPr>
                <w:rFonts w:ascii="Arial"/>
                <w:sz w:val="21"/>
              </w:rPr>
            </w:pPr>
          </w:p>
        </w:tc>
        <w:tc>
          <w:tcPr>
            <w:tcW w:w="1014" w:type="dxa"/>
            <w:vMerge w:val="continue"/>
            <w:vAlign w:val="top"/>
          </w:tcPr>
          <w:p>
            <w:pPr>
              <w:rPr>
                <w:rFonts w:ascii="Arial"/>
                <w:sz w:val="21"/>
              </w:rPr>
            </w:pPr>
          </w:p>
        </w:tc>
        <w:tc>
          <w:tcPr>
            <w:tcW w:w="2146" w:type="dxa"/>
            <w:gridSpan w:val="2"/>
            <w:vAlign w:val="top"/>
          </w:tcPr>
          <w:p>
            <w:pPr>
              <w:spacing w:before="67" w:line="218" w:lineRule="auto"/>
              <w:ind w:left="243"/>
              <w:rPr>
                <w:rFonts w:ascii="宋体" w:hAnsi="宋体" w:eastAsia="宋体" w:cs="宋体"/>
                <w:sz w:val="18"/>
                <w:szCs w:val="18"/>
              </w:rPr>
            </w:pPr>
            <w:r>
              <w:rPr>
                <w:rFonts w:hint="eastAsia" w:ascii="宋体" w:hAnsi="宋体" w:eastAsia="宋体" w:cs="宋体"/>
                <w:spacing w:val="-2"/>
                <w:sz w:val="18"/>
                <w:szCs w:val="18"/>
                <w:lang w:val="en-US" w:eastAsia="zh-CN"/>
              </w:rPr>
              <w:t>临聘人员工资、保险经费控制额</w:t>
            </w:r>
          </w:p>
        </w:tc>
        <w:tc>
          <w:tcPr>
            <w:tcW w:w="1256" w:type="dxa"/>
            <w:vAlign w:val="top"/>
          </w:tcPr>
          <w:p>
            <w:pPr>
              <w:rPr>
                <w:rFonts w:hint="default" w:ascii="宋体" w:hAnsi="宋体" w:eastAsia="宋体" w:cs="宋体"/>
                <w:spacing w:val="-2"/>
                <w:sz w:val="18"/>
                <w:szCs w:val="18"/>
                <w:lang w:val="en-US" w:eastAsia="zh-CN"/>
              </w:rPr>
            </w:pPr>
            <w:r>
              <w:rPr>
                <w:rFonts w:hint="eastAsia" w:ascii="宋体" w:hAnsi="宋体" w:eastAsia="宋体" w:cs="宋体"/>
                <w:spacing w:val="-2"/>
                <w:sz w:val="18"/>
                <w:szCs w:val="18"/>
                <w:lang w:val="en-US" w:eastAsia="zh-CN"/>
              </w:rPr>
              <w:t>=5万元</w:t>
            </w:r>
          </w:p>
        </w:tc>
        <w:tc>
          <w:tcPr>
            <w:tcW w:w="1256" w:type="dxa"/>
            <w:vAlign w:val="top"/>
          </w:tcPr>
          <w:p>
            <w:pPr>
              <w:jc w:val="center"/>
              <w:rPr>
                <w:rFonts w:hint="default" w:ascii="宋体" w:hAnsi="宋体" w:eastAsia="宋体" w:cs="宋体"/>
                <w:spacing w:val="-2"/>
                <w:sz w:val="18"/>
                <w:szCs w:val="18"/>
                <w:lang w:val="en-US" w:eastAsia="zh-CN"/>
              </w:rPr>
            </w:pPr>
            <w:r>
              <w:rPr>
                <w:rFonts w:hint="eastAsia" w:ascii="宋体" w:hAnsi="宋体" w:eastAsia="宋体" w:cs="宋体"/>
                <w:spacing w:val="-2"/>
                <w:sz w:val="18"/>
                <w:szCs w:val="18"/>
                <w:lang w:val="en-US" w:eastAsia="zh-CN"/>
              </w:rPr>
              <w:t>5万元</w:t>
            </w:r>
          </w:p>
        </w:tc>
        <w:tc>
          <w:tcPr>
            <w:tcW w:w="1197"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7" w:hRule="atLeast"/>
        </w:trPr>
        <w:tc>
          <w:tcPr>
            <w:tcW w:w="704" w:type="dxa"/>
            <w:vMerge w:val="continue"/>
            <w:tcBorders>
              <w:top w:val="nil"/>
              <w:bottom w:val="nil"/>
            </w:tcBorders>
            <w:vAlign w:val="top"/>
          </w:tcPr>
          <w:p>
            <w:pPr>
              <w:rPr>
                <w:rFonts w:ascii="Arial"/>
                <w:sz w:val="21"/>
              </w:rPr>
            </w:pPr>
          </w:p>
        </w:tc>
        <w:tc>
          <w:tcPr>
            <w:tcW w:w="745" w:type="dxa"/>
            <w:tcBorders>
              <w:top w:val="nil"/>
            </w:tcBorders>
            <w:vAlign w:val="top"/>
          </w:tcPr>
          <w:p>
            <w:pPr>
              <w:rPr>
                <w:rFonts w:ascii="Arial"/>
                <w:sz w:val="21"/>
              </w:rPr>
            </w:pPr>
          </w:p>
        </w:tc>
        <w:tc>
          <w:tcPr>
            <w:tcW w:w="1014" w:type="dxa"/>
            <w:vMerge w:val="continue"/>
            <w:vAlign w:val="top"/>
          </w:tcPr>
          <w:p>
            <w:pPr>
              <w:rPr>
                <w:rFonts w:ascii="Arial"/>
                <w:sz w:val="21"/>
              </w:rPr>
            </w:pPr>
          </w:p>
        </w:tc>
        <w:tc>
          <w:tcPr>
            <w:tcW w:w="2146" w:type="dxa"/>
            <w:gridSpan w:val="2"/>
            <w:vAlign w:val="top"/>
          </w:tcPr>
          <w:p>
            <w:pPr>
              <w:spacing w:before="67" w:line="218" w:lineRule="auto"/>
              <w:ind w:left="243" w:leftChars="0"/>
              <w:rPr>
                <w:rFonts w:hint="default" w:ascii="宋体" w:hAnsi="宋体" w:eastAsia="宋体" w:cs="宋体"/>
                <w:spacing w:val="9"/>
                <w:sz w:val="18"/>
                <w:szCs w:val="18"/>
                <w:lang w:val="en-US" w:eastAsia="zh-CN"/>
              </w:rPr>
            </w:pPr>
            <w:r>
              <w:rPr>
                <w:rFonts w:hint="eastAsia" w:ascii="宋体" w:hAnsi="宋体" w:eastAsia="宋体" w:cs="宋体"/>
                <w:spacing w:val="-2"/>
                <w:sz w:val="18"/>
                <w:szCs w:val="18"/>
                <w:lang w:val="en-US" w:eastAsia="zh-CN"/>
              </w:rPr>
              <w:t>医保工作经费控制额</w:t>
            </w:r>
          </w:p>
        </w:tc>
        <w:tc>
          <w:tcPr>
            <w:tcW w:w="1256" w:type="dxa"/>
            <w:vAlign w:val="top"/>
          </w:tcPr>
          <w:p>
            <w:pPr>
              <w:rPr>
                <w:rFonts w:hint="default" w:ascii="宋体" w:hAnsi="宋体" w:eastAsia="宋体" w:cs="宋体"/>
                <w:spacing w:val="-2"/>
                <w:sz w:val="18"/>
                <w:szCs w:val="18"/>
                <w:lang w:val="en-US" w:eastAsia="zh-CN"/>
              </w:rPr>
            </w:pPr>
            <w:r>
              <w:rPr>
                <w:rFonts w:hint="eastAsia" w:ascii="宋体" w:hAnsi="宋体" w:eastAsia="宋体" w:cs="宋体"/>
                <w:spacing w:val="-2"/>
                <w:sz w:val="18"/>
                <w:szCs w:val="18"/>
                <w:lang w:val="en-US" w:eastAsia="zh-CN"/>
              </w:rPr>
              <w:t>=88万元</w:t>
            </w:r>
          </w:p>
        </w:tc>
        <w:tc>
          <w:tcPr>
            <w:tcW w:w="1256" w:type="dxa"/>
            <w:vAlign w:val="top"/>
          </w:tcPr>
          <w:p>
            <w:pPr>
              <w:jc w:val="center"/>
              <w:rPr>
                <w:rFonts w:hint="default" w:ascii="宋体" w:hAnsi="宋体" w:eastAsia="宋体" w:cs="宋体"/>
                <w:spacing w:val="-2"/>
                <w:sz w:val="18"/>
                <w:szCs w:val="18"/>
                <w:lang w:val="en-US" w:eastAsia="zh-CN"/>
              </w:rPr>
            </w:pPr>
            <w:r>
              <w:rPr>
                <w:rFonts w:hint="eastAsia" w:ascii="宋体" w:hAnsi="宋体" w:eastAsia="宋体" w:cs="宋体"/>
                <w:spacing w:val="-2"/>
                <w:sz w:val="18"/>
                <w:szCs w:val="18"/>
                <w:lang w:val="en-US" w:eastAsia="zh-CN"/>
              </w:rPr>
              <w:t>88万元</w:t>
            </w:r>
          </w:p>
        </w:tc>
        <w:tc>
          <w:tcPr>
            <w:tcW w:w="1197"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8" w:hRule="atLeast"/>
        </w:trPr>
        <w:tc>
          <w:tcPr>
            <w:tcW w:w="704" w:type="dxa"/>
            <w:vMerge w:val="continue"/>
            <w:tcBorders>
              <w:top w:val="nil"/>
              <w:bottom w:val="nil"/>
            </w:tcBorders>
            <w:vAlign w:val="top"/>
          </w:tcPr>
          <w:p>
            <w:pPr>
              <w:rPr>
                <w:rFonts w:ascii="Arial"/>
                <w:sz w:val="21"/>
              </w:rPr>
            </w:pPr>
          </w:p>
        </w:tc>
        <w:tc>
          <w:tcPr>
            <w:tcW w:w="745" w:type="dxa"/>
            <w:vMerge w:val="restart"/>
            <w:tcBorders>
              <w:top w:val="nil"/>
            </w:tcBorders>
            <w:vAlign w:val="top"/>
          </w:tcPr>
          <w:p>
            <w:pPr>
              <w:rPr>
                <w:rFonts w:hint="eastAsia" w:ascii="Arial" w:eastAsia="宋体"/>
                <w:sz w:val="21"/>
                <w:lang w:eastAsia="zh-CN"/>
              </w:rPr>
            </w:pPr>
            <w:r>
              <w:rPr>
                <w:rFonts w:hint="eastAsia" w:eastAsia="宋体"/>
                <w:sz w:val="21"/>
                <w:lang w:eastAsia="zh-CN"/>
              </w:rPr>
              <w:t>效益指标</w:t>
            </w:r>
          </w:p>
        </w:tc>
        <w:tc>
          <w:tcPr>
            <w:tcW w:w="1014" w:type="dxa"/>
            <w:vMerge w:val="restart"/>
            <w:tcBorders>
              <w:bottom w:val="nil"/>
            </w:tcBorders>
            <w:vAlign w:val="top"/>
          </w:tcPr>
          <w:p>
            <w:pPr>
              <w:spacing w:before="116" w:line="218" w:lineRule="auto"/>
              <w:ind w:left="371" w:right="215" w:hanging="180"/>
              <w:rPr>
                <w:rFonts w:ascii="宋体" w:hAnsi="宋体" w:eastAsia="宋体" w:cs="宋体"/>
                <w:sz w:val="18"/>
                <w:szCs w:val="18"/>
              </w:rPr>
            </w:pPr>
            <w:r>
              <w:rPr>
                <w:rFonts w:ascii="宋体" w:hAnsi="宋体" w:eastAsia="宋体" w:cs="宋体"/>
                <w:spacing w:val="-3"/>
                <w:sz w:val="18"/>
                <w:szCs w:val="18"/>
              </w:rPr>
              <w:t>社会效益</w:t>
            </w:r>
            <w:r>
              <w:rPr>
                <w:rFonts w:ascii="宋体" w:hAnsi="宋体" w:eastAsia="宋体" w:cs="宋体"/>
                <w:spacing w:val="2"/>
                <w:sz w:val="18"/>
                <w:szCs w:val="18"/>
              </w:rPr>
              <w:t xml:space="preserve"> </w:t>
            </w:r>
            <w:r>
              <w:rPr>
                <w:rFonts w:ascii="宋体" w:hAnsi="宋体" w:eastAsia="宋体" w:cs="宋体"/>
                <w:spacing w:val="-3"/>
                <w:sz w:val="18"/>
                <w:szCs w:val="18"/>
              </w:rPr>
              <w:t>指标</w:t>
            </w:r>
          </w:p>
        </w:tc>
        <w:tc>
          <w:tcPr>
            <w:tcW w:w="2146" w:type="dxa"/>
            <w:gridSpan w:val="2"/>
            <w:vAlign w:val="top"/>
          </w:tcPr>
          <w:p>
            <w:pPr>
              <w:spacing w:before="67" w:line="220" w:lineRule="auto"/>
              <w:ind w:left="243"/>
              <w:rPr>
                <w:rFonts w:ascii="宋体" w:hAnsi="宋体" w:eastAsia="宋体" w:cs="宋体"/>
                <w:sz w:val="18"/>
                <w:szCs w:val="18"/>
              </w:rPr>
            </w:pPr>
            <w:r>
              <w:rPr>
                <w:rFonts w:hint="eastAsia" w:ascii="宋体" w:hAnsi="宋体" w:eastAsia="宋体" w:cs="宋体"/>
                <w:spacing w:val="-2"/>
                <w:sz w:val="18"/>
                <w:szCs w:val="18"/>
                <w:lang w:val="en-US" w:eastAsia="zh-CN"/>
              </w:rPr>
              <w:t>维护社会稳定，减轻群众就医负担，提高健康水平，保障和改善民生</w:t>
            </w:r>
          </w:p>
        </w:tc>
        <w:tc>
          <w:tcPr>
            <w:tcW w:w="1256" w:type="dxa"/>
            <w:vAlign w:val="top"/>
          </w:tcPr>
          <w:p>
            <w:pPr>
              <w:rPr>
                <w:rFonts w:hint="eastAsia" w:ascii="宋体" w:hAnsi="宋体" w:eastAsia="宋体" w:cs="宋体"/>
                <w:spacing w:val="-2"/>
                <w:sz w:val="18"/>
                <w:szCs w:val="18"/>
                <w:lang w:val="en-US" w:eastAsia="zh-CN"/>
              </w:rPr>
            </w:pPr>
            <w:r>
              <w:rPr>
                <w:rFonts w:hint="eastAsia" w:ascii="宋体" w:hAnsi="宋体" w:eastAsia="宋体" w:cs="宋体"/>
                <w:spacing w:val="-2"/>
                <w:sz w:val="18"/>
                <w:szCs w:val="18"/>
                <w:lang w:val="en-US" w:eastAsia="zh-CN"/>
              </w:rPr>
              <w:t>优</w:t>
            </w:r>
          </w:p>
        </w:tc>
        <w:tc>
          <w:tcPr>
            <w:tcW w:w="1256" w:type="dxa"/>
            <w:vAlign w:val="top"/>
          </w:tcPr>
          <w:p>
            <w:pPr>
              <w:jc w:val="center"/>
              <w:rPr>
                <w:rFonts w:hint="eastAsia" w:ascii="宋体" w:hAnsi="宋体" w:eastAsia="宋体" w:cs="宋体"/>
                <w:spacing w:val="-2"/>
                <w:sz w:val="18"/>
                <w:szCs w:val="18"/>
                <w:lang w:val="en-US" w:eastAsia="zh-CN"/>
              </w:rPr>
            </w:pPr>
            <w:r>
              <w:rPr>
                <w:rFonts w:hint="eastAsia" w:ascii="宋体" w:hAnsi="宋体" w:eastAsia="宋体" w:cs="宋体"/>
                <w:spacing w:val="-2"/>
                <w:sz w:val="18"/>
                <w:szCs w:val="18"/>
                <w:lang w:val="en-US" w:eastAsia="zh-CN"/>
              </w:rPr>
              <w:t>优</w:t>
            </w:r>
          </w:p>
        </w:tc>
        <w:tc>
          <w:tcPr>
            <w:tcW w:w="1197"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4" w:type="dxa"/>
            <w:vMerge w:val="continue"/>
            <w:tcBorders>
              <w:top w:val="nil"/>
              <w:bottom w:val="nil"/>
            </w:tcBorders>
            <w:vAlign w:val="top"/>
          </w:tcPr>
          <w:p>
            <w:pPr>
              <w:rPr>
                <w:rFonts w:ascii="Arial"/>
                <w:sz w:val="21"/>
              </w:rPr>
            </w:pPr>
          </w:p>
        </w:tc>
        <w:tc>
          <w:tcPr>
            <w:tcW w:w="745" w:type="dxa"/>
            <w:vMerge w:val="continue"/>
            <w:tcBorders>
              <w:top w:val="nil"/>
              <w:bottom w:val="nil"/>
            </w:tcBorders>
            <w:vAlign w:val="top"/>
          </w:tcPr>
          <w:p>
            <w:pPr>
              <w:rPr>
                <w:rFonts w:ascii="Arial"/>
                <w:sz w:val="21"/>
              </w:rPr>
            </w:pPr>
          </w:p>
        </w:tc>
        <w:tc>
          <w:tcPr>
            <w:tcW w:w="1014" w:type="dxa"/>
            <w:vMerge w:val="continue"/>
            <w:tcBorders>
              <w:top w:val="nil"/>
            </w:tcBorders>
            <w:vAlign w:val="top"/>
          </w:tcPr>
          <w:p>
            <w:pPr>
              <w:rPr>
                <w:rFonts w:ascii="Arial"/>
                <w:sz w:val="21"/>
              </w:rPr>
            </w:pPr>
          </w:p>
        </w:tc>
        <w:tc>
          <w:tcPr>
            <w:tcW w:w="2146" w:type="dxa"/>
            <w:gridSpan w:val="2"/>
            <w:vAlign w:val="top"/>
          </w:tcPr>
          <w:p>
            <w:pPr>
              <w:spacing w:before="77" w:line="208" w:lineRule="auto"/>
              <w:ind w:left="243" w:leftChars="0"/>
              <w:rPr>
                <w:rFonts w:ascii="宋体" w:hAnsi="宋体" w:eastAsia="宋体" w:cs="宋体"/>
                <w:snapToGrid w:val="0"/>
                <w:color w:val="000000"/>
                <w:kern w:val="0"/>
                <w:sz w:val="18"/>
                <w:szCs w:val="18"/>
              </w:rPr>
            </w:pPr>
            <w:r>
              <w:rPr>
                <w:rFonts w:hint="eastAsia" w:ascii="宋体" w:hAnsi="宋体" w:eastAsia="宋体" w:cs="宋体"/>
                <w:spacing w:val="-2"/>
                <w:sz w:val="18"/>
                <w:szCs w:val="18"/>
                <w:lang w:val="en-US" w:eastAsia="zh-CN"/>
              </w:rPr>
              <w:t>有效防止辖区内群众因病致贫返贫风险</w:t>
            </w:r>
          </w:p>
        </w:tc>
        <w:tc>
          <w:tcPr>
            <w:tcW w:w="1256" w:type="dxa"/>
            <w:vAlign w:val="top"/>
          </w:tcPr>
          <w:p>
            <w:pPr>
              <w:rPr>
                <w:rFonts w:hint="eastAsia" w:ascii="宋体" w:hAnsi="宋体" w:eastAsia="宋体" w:cs="宋体"/>
                <w:spacing w:val="-2"/>
                <w:sz w:val="18"/>
                <w:szCs w:val="18"/>
                <w:lang w:val="en-US" w:eastAsia="zh-CN"/>
              </w:rPr>
            </w:pPr>
            <w:r>
              <w:rPr>
                <w:rFonts w:hint="eastAsia" w:ascii="宋体" w:hAnsi="宋体" w:eastAsia="宋体" w:cs="宋体"/>
                <w:spacing w:val="-2"/>
                <w:sz w:val="18"/>
                <w:szCs w:val="18"/>
                <w:lang w:val="en-US" w:eastAsia="zh-CN"/>
              </w:rPr>
              <w:t>优</w:t>
            </w:r>
          </w:p>
        </w:tc>
        <w:tc>
          <w:tcPr>
            <w:tcW w:w="1256" w:type="dxa"/>
            <w:vAlign w:val="top"/>
          </w:tcPr>
          <w:p>
            <w:pPr>
              <w:jc w:val="center"/>
              <w:rPr>
                <w:rFonts w:hint="eastAsia" w:ascii="宋体" w:hAnsi="宋体" w:eastAsia="宋体" w:cs="宋体"/>
                <w:spacing w:val="-2"/>
                <w:sz w:val="18"/>
                <w:szCs w:val="18"/>
                <w:lang w:val="en-US" w:eastAsia="zh-CN"/>
              </w:rPr>
            </w:pPr>
            <w:r>
              <w:rPr>
                <w:rFonts w:hint="eastAsia" w:ascii="宋体" w:hAnsi="宋体" w:eastAsia="宋体" w:cs="宋体"/>
                <w:spacing w:val="-2"/>
                <w:sz w:val="18"/>
                <w:szCs w:val="18"/>
                <w:lang w:val="en-US" w:eastAsia="zh-CN"/>
              </w:rPr>
              <w:t>优</w:t>
            </w:r>
          </w:p>
        </w:tc>
        <w:tc>
          <w:tcPr>
            <w:tcW w:w="1197"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4" w:type="dxa"/>
            <w:vMerge w:val="continue"/>
            <w:tcBorders>
              <w:top w:val="nil"/>
              <w:bottom w:val="nil"/>
            </w:tcBorders>
            <w:vAlign w:val="top"/>
          </w:tcPr>
          <w:p>
            <w:pPr>
              <w:rPr>
                <w:rFonts w:ascii="Arial"/>
                <w:sz w:val="21"/>
              </w:rPr>
            </w:pPr>
          </w:p>
        </w:tc>
        <w:tc>
          <w:tcPr>
            <w:tcW w:w="745" w:type="dxa"/>
            <w:vMerge w:val="continue"/>
            <w:tcBorders>
              <w:top w:val="nil"/>
              <w:bottom w:val="nil"/>
            </w:tcBorders>
            <w:vAlign w:val="top"/>
          </w:tcPr>
          <w:p>
            <w:pPr>
              <w:rPr>
                <w:rFonts w:ascii="Arial"/>
                <w:sz w:val="21"/>
              </w:rPr>
            </w:pPr>
          </w:p>
        </w:tc>
        <w:tc>
          <w:tcPr>
            <w:tcW w:w="1014" w:type="dxa"/>
            <w:vMerge w:val="continue"/>
            <w:tcBorders>
              <w:top w:val="nil"/>
            </w:tcBorders>
            <w:vAlign w:val="top"/>
          </w:tcPr>
          <w:p>
            <w:pPr>
              <w:rPr>
                <w:rFonts w:ascii="Arial"/>
                <w:sz w:val="21"/>
              </w:rPr>
            </w:pPr>
          </w:p>
        </w:tc>
        <w:tc>
          <w:tcPr>
            <w:tcW w:w="2146" w:type="dxa"/>
            <w:gridSpan w:val="2"/>
            <w:vAlign w:val="top"/>
          </w:tcPr>
          <w:p>
            <w:pPr>
              <w:spacing w:before="77" w:line="208" w:lineRule="auto"/>
              <w:ind w:left="243"/>
              <w:rPr>
                <w:rFonts w:hint="default" w:ascii="宋体" w:hAnsi="宋体" w:eastAsia="宋体" w:cs="宋体"/>
                <w:spacing w:val="9"/>
                <w:sz w:val="18"/>
                <w:szCs w:val="18"/>
                <w:lang w:val="en-US" w:eastAsia="zh-CN"/>
              </w:rPr>
            </w:pPr>
            <w:r>
              <w:rPr>
                <w:rFonts w:hint="eastAsia" w:ascii="宋体" w:hAnsi="宋体" w:eastAsia="宋体" w:cs="宋体"/>
                <w:spacing w:val="-2"/>
                <w:sz w:val="18"/>
                <w:szCs w:val="18"/>
                <w:lang w:val="en-US" w:eastAsia="zh-CN"/>
              </w:rPr>
              <w:t>整合部门力量，提高医保经办服务能力</w:t>
            </w:r>
          </w:p>
        </w:tc>
        <w:tc>
          <w:tcPr>
            <w:tcW w:w="1256" w:type="dxa"/>
            <w:vAlign w:val="top"/>
          </w:tcPr>
          <w:p>
            <w:pPr>
              <w:rPr>
                <w:rFonts w:hint="eastAsia" w:ascii="宋体" w:hAnsi="宋体" w:eastAsia="宋体" w:cs="宋体"/>
                <w:spacing w:val="-2"/>
                <w:sz w:val="18"/>
                <w:szCs w:val="18"/>
                <w:lang w:val="en-US" w:eastAsia="zh-CN"/>
              </w:rPr>
            </w:pPr>
            <w:r>
              <w:rPr>
                <w:rFonts w:hint="eastAsia" w:ascii="宋体" w:hAnsi="宋体" w:eastAsia="宋体" w:cs="宋体"/>
                <w:spacing w:val="-2"/>
                <w:sz w:val="18"/>
                <w:szCs w:val="18"/>
                <w:lang w:val="en-US" w:eastAsia="zh-CN"/>
              </w:rPr>
              <w:t>优</w:t>
            </w:r>
          </w:p>
        </w:tc>
        <w:tc>
          <w:tcPr>
            <w:tcW w:w="1256" w:type="dxa"/>
            <w:vAlign w:val="top"/>
          </w:tcPr>
          <w:p>
            <w:pPr>
              <w:jc w:val="center"/>
              <w:rPr>
                <w:rFonts w:hint="eastAsia" w:ascii="宋体" w:hAnsi="宋体" w:eastAsia="宋体" w:cs="宋体"/>
                <w:spacing w:val="-2"/>
                <w:sz w:val="18"/>
                <w:szCs w:val="18"/>
                <w:lang w:val="en-US" w:eastAsia="zh-CN"/>
              </w:rPr>
            </w:pPr>
            <w:r>
              <w:rPr>
                <w:rFonts w:hint="eastAsia" w:ascii="宋体" w:hAnsi="宋体" w:eastAsia="宋体" w:cs="宋体"/>
                <w:spacing w:val="-2"/>
                <w:sz w:val="18"/>
                <w:szCs w:val="18"/>
                <w:lang w:val="en-US" w:eastAsia="zh-CN"/>
              </w:rPr>
              <w:t>优</w:t>
            </w:r>
          </w:p>
        </w:tc>
        <w:tc>
          <w:tcPr>
            <w:tcW w:w="1197"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7" w:hRule="atLeast"/>
        </w:trPr>
        <w:tc>
          <w:tcPr>
            <w:tcW w:w="704" w:type="dxa"/>
            <w:vMerge w:val="continue"/>
            <w:tcBorders>
              <w:top w:val="nil"/>
              <w:bottom w:val="nil"/>
            </w:tcBorders>
            <w:vAlign w:val="top"/>
          </w:tcPr>
          <w:p>
            <w:pPr>
              <w:rPr>
                <w:rFonts w:ascii="Arial"/>
                <w:sz w:val="21"/>
              </w:rPr>
            </w:pPr>
          </w:p>
        </w:tc>
        <w:tc>
          <w:tcPr>
            <w:tcW w:w="745" w:type="dxa"/>
            <w:vMerge w:val="continue"/>
            <w:tcBorders>
              <w:top w:val="nil"/>
              <w:bottom w:val="nil"/>
            </w:tcBorders>
            <w:vAlign w:val="top"/>
          </w:tcPr>
          <w:p>
            <w:pPr>
              <w:rPr>
                <w:rFonts w:ascii="Arial"/>
                <w:sz w:val="21"/>
              </w:rPr>
            </w:pPr>
          </w:p>
        </w:tc>
        <w:tc>
          <w:tcPr>
            <w:tcW w:w="1014" w:type="dxa"/>
            <w:vMerge w:val="continue"/>
            <w:tcBorders>
              <w:top w:val="nil"/>
            </w:tcBorders>
            <w:vAlign w:val="top"/>
          </w:tcPr>
          <w:p>
            <w:pPr>
              <w:rPr>
                <w:rFonts w:ascii="Arial"/>
                <w:sz w:val="21"/>
              </w:rPr>
            </w:pPr>
          </w:p>
        </w:tc>
        <w:tc>
          <w:tcPr>
            <w:tcW w:w="2146" w:type="dxa"/>
            <w:gridSpan w:val="2"/>
            <w:vAlign w:val="top"/>
          </w:tcPr>
          <w:p>
            <w:pPr>
              <w:spacing w:before="77" w:line="208" w:lineRule="auto"/>
              <w:ind w:left="243"/>
              <w:rPr>
                <w:rFonts w:hint="default" w:ascii="宋体" w:hAnsi="宋体" w:eastAsia="宋体" w:cs="宋体"/>
                <w:spacing w:val="9"/>
                <w:sz w:val="18"/>
                <w:szCs w:val="18"/>
                <w:lang w:val="en-US" w:eastAsia="zh-CN"/>
              </w:rPr>
            </w:pPr>
            <w:r>
              <w:rPr>
                <w:rFonts w:hint="eastAsia" w:ascii="宋体" w:hAnsi="宋体" w:eastAsia="宋体" w:cs="宋体"/>
                <w:spacing w:val="-2"/>
                <w:sz w:val="18"/>
                <w:szCs w:val="18"/>
                <w:lang w:val="en-US" w:eastAsia="zh-CN"/>
              </w:rPr>
              <w:t>保障医保基金安全运行，提高综合监管能力</w:t>
            </w:r>
          </w:p>
        </w:tc>
        <w:tc>
          <w:tcPr>
            <w:tcW w:w="1256" w:type="dxa"/>
            <w:vAlign w:val="top"/>
          </w:tcPr>
          <w:p>
            <w:pPr>
              <w:rPr>
                <w:rFonts w:hint="eastAsia" w:ascii="宋体" w:hAnsi="宋体" w:eastAsia="宋体" w:cs="宋体"/>
                <w:spacing w:val="-2"/>
                <w:sz w:val="18"/>
                <w:szCs w:val="18"/>
                <w:lang w:val="en-US" w:eastAsia="zh-CN"/>
              </w:rPr>
            </w:pPr>
            <w:r>
              <w:rPr>
                <w:rFonts w:hint="eastAsia" w:ascii="宋体" w:hAnsi="宋体" w:eastAsia="宋体" w:cs="宋体"/>
                <w:spacing w:val="-2"/>
                <w:sz w:val="18"/>
                <w:szCs w:val="18"/>
                <w:lang w:val="en-US" w:eastAsia="zh-CN"/>
              </w:rPr>
              <w:t>优</w:t>
            </w:r>
          </w:p>
        </w:tc>
        <w:tc>
          <w:tcPr>
            <w:tcW w:w="1256" w:type="dxa"/>
            <w:vAlign w:val="top"/>
          </w:tcPr>
          <w:p>
            <w:pPr>
              <w:jc w:val="center"/>
              <w:rPr>
                <w:rFonts w:hint="eastAsia" w:ascii="宋体" w:hAnsi="宋体" w:eastAsia="宋体" w:cs="宋体"/>
                <w:spacing w:val="-2"/>
                <w:sz w:val="18"/>
                <w:szCs w:val="18"/>
                <w:lang w:val="en-US" w:eastAsia="zh-CN"/>
              </w:rPr>
            </w:pPr>
            <w:r>
              <w:rPr>
                <w:rFonts w:hint="eastAsia" w:ascii="宋体" w:hAnsi="宋体" w:eastAsia="宋体" w:cs="宋体"/>
                <w:spacing w:val="-2"/>
                <w:sz w:val="18"/>
                <w:szCs w:val="18"/>
                <w:lang w:val="en-US" w:eastAsia="zh-CN"/>
              </w:rPr>
              <w:t>优</w:t>
            </w:r>
          </w:p>
        </w:tc>
        <w:tc>
          <w:tcPr>
            <w:tcW w:w="1197"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7" w:hRule="atLeast"/>
        </w:trPr>
        <w:tc>
          <w:tcPr>
            <w:tcW w:w="704" w:type="dxa"/>
            <w:vMerge w:val="continue"/>
            <w:tcBorders>
              <w:top w:val="nil"/>
              <w:bottom w:val="nil"/>
            </w:tcBorders>
            <w:vAlign w:val="top"/>
          </w:tcPr>
          <w:p>
            <w:pPr>
              <w:rPr>
                <w:rFonts w:ascii="Arial"/>
                <w:sz w:val="21"/>
              </w:rPr>
            </w:pPr>
          </w:p>
        </w:tc>
        <w:tc>
          <w:tcPr>
            <w:tcW w:w="745" w:type="dxa"/>
            <w:vMerge w:val="restart"/>
            <w:tcBorders>
              <w:bottom w:val="nil"/>
            </w:tcBorders>
            <w:vAlign w:val="top"/>
          </w:tcPr>
          <w:p>
            <w:pPr>
              <w:spacing w:before="165" w:line="237" w:lineRule="auto"/>
              <w:ind w:left="81"/>
              <w:rPr>
                <w:rFonts w:ascii="宋体" w:hAnsi="宋体" w:eastAsia="宋体" w:cs="宋体"/>
                <w:sz w:val="18"/>
                <w:szCs w:val="18"/>
              </w:rPr>
            </w:pPr>
            <w:r>
              <w:rPr>
                <w:rFonts w:ascii="宋体" w:hAnsi="宋体" w:eastAsia="宋体" w:cs="宋体"/>
                <w:spacing w:val="-2"/>
                <w:sz w:val="18"/>
                <w:szCs w:val="18"/>
              </w:rPr>
              <w:t>满意度</w:t>
            </w:r>
          </w:p>
          <w:p>
            <w:pPr>
              <w:spacing w:line="220" w:lineRule="auto"/>
              <w:ind w:left="220"/>
              <w:rPr>
                <w:rFonts w:ascii="宋体" w:hAnsi="宋体" w:eastAsia="宋体" w:cs="宋体"/>
                <w:sz w:val="18"/>
                <w:szCs w:val="18"/>
              </w:rPr>
            </w:pPr>
            <w:r>
              <w:rPr>
                <w:rFonts w:ascii="宋体" w:hAnsi="宋体" w:eastAsia="宋体" w:cs="宋体"/>
                <w:spacing w:val="-3"/>
                <w:sz w:val="18"/>
                <w:szCs w:val="18"/>
              </w:rPr>
              <w:t>指标</w:t>
            </w:r>
          </w:p>
        </w:tc>
        <w:tc>
          <w:tcPr>
            <w:tcW w:w="1014" w:type="dxa"/>
            <w:vMerge w:val="restart"/>
            <w:tcBorders>
              <w:bottom w:val="nil"/>
            </w:tcBorders>
            <w:vAlign w:val="top"/>
          </w:tcPr>
          <w:p>
            <w:pPr>
              <w:spacing w:before="176" w:line="219" w:lineRule="auto"/>
              <w:ind w:left="102"/>
              <w:rPr>
                <w:rFonts w:ascii="宋体" w:hAnsi="宋体" w:eastAsia="宋体" w:cs="宋体"/>
                <w:sz w:val="18"/>
                <w:szCs w:val="18"/>
              </w:rPr>
            </w:pPr>
            <w:r>
              <w:rPr>
                <w:rFonts w:ascii="宋体" w:hAnsi="宋体" w:eastAsia="宋体" w:cs="宋体"/>
                <w:spacing w:val="-2"/>
                <w:sz w:val="18"/>
                <w:szCs w:val="18"/>
              </w:rPr>
              <w:t>服务对象满</w:t>
            </w:r>
          </w:p>
          <w:p>
            <w:pPr>
              <w:spacing w:before="16" w:line="220" w:lineRule="auto"/>
              <w:ind w:left="191"/>
              <w:rPr>
                <w:rFonts w:ascii="宋体" w:hAnsi="宋体" w:eastAsia="宋体" w:cs="宋体"/>
                <w:sz w:val="18"/>
                <w:szCs w:val="18"/>
              </w:rPr>
            </w:pPr>
            <w:r>
              <w:rPr>
                <w:rFonts w:ascii="宋体" w:hAnsi="宋体" w:eastAsia="宋体" w:cs="宋体"/>
                <w:spacing w:val="-3"/>
                <w:sz w:val="18"/>
                <w:szCs w:val="18"/>
              </w:rPr>
              <w:t>意度指标</w:t>
            </w:r>
          </w:p>
        </w:tc>
        <w:tc>
          <w:tcPr>
            <w:tcW w:w="2146" w:type="dxa"/>
            <w:gridSpan w:val="2"/>
            <w:vAlign w:val="top"/>
          </w:tcPr>
          <w:p>
            <w:pPr>
              <w:spacing w:before="66" w:line="219" w:lineRule="auto"/>
              <w:ind w:left="23" w:firstLine="352" w:firstLineChars="200"/>
              <w:rPr>
                <w:rFonts w:ascii="宋体" w:hAnsi="宋体" w:eastAsia="宋体" w:cs="宋体"/>
                <w:sz w:val="18"/>
                <w:szCs w:val="18"/>
              </w:rPr>
            </w:pPr>
            <w:r>
              <w:rPr>
                <w:rFonts w:hint="eastAsia" w:ascii="宋体" w:hAnsi="宋体" w:eastAsia="宋体" w:cs="宋体"/>
                <w:spacing w:val="-2"/>
                <w:sz w:val="18"/>
                <w:szCs w:val="18"/>
                <w:lang w:val="en-US" w:eastAsia="zh-CN"/>
              </w:rPr>
              <w:t>定点医药机构对医保管理服务满意度</w:t>
            </w:r>
          </w:p>
        </w:tc>
        <w:tc>
          <w:tcPr>
            <w:tcW w:w="1256" w:type="dxa"/>
            <w:vAlign w:val="top"/>
          </w:tcPr>
          <w:p>
            <w:pPr>
              <w:rPr>
                <w:rFonts w:hint="default" w:ascii="宋体" w:hAnsi="宋体" w:eastAsia="宋体" w:cs="宋体"/>
                <w:spacing w:val="-2"/>
                <w:sz w:val="18"/>
                <w:szCs w:val="18"/>
                <w:lang w:val="en-US" w:eastAsia="zh-CN"/>
              </w:rPr>
            </w:pPr>
            <w:r>
              <w:rPr>
                <w:rFonts w:hint="eastAsia" w:ascii="宋体" w:hAnsi="宋体" w:eastAsia="宋体" w:cs="宋体"/>
                <w:spacing w:val="-2"/>
                <w:sz w:val="18"/>
                <w:szCs w:val="18"/>
                <w:lang w:val="en-US" w:eastAsia="zh-CN"/>
              </w:rPr>
              <w:t>≥90%</w:t>
            </w:r>
          </w:p>
        </w:tc>
        <w:tc>
          <w:tcPr>
            <w:tcW w:w="1256" w:type="dxa"/>
            <w:vAlign w:val="top"/>
          </w:tcPr>
          <w:p>
            <w:pPr>
              <w:jc w:val="center"/>
              <w:rPr>
                <w:rFonts w:hint="default" w:ascii="宋体" w:hAnsi="宋体" w:eastAsia="宋体" w:cs="宋体"/>
                <w:spacing w:val="-2"/>
                <w:sz w:val="18"/>
                <w:szCs w:val="18"/>
                <w:lang w:val="en-US" w:eastAsia="zh-CN"/>
              </w:rPr>
            </w:pPr>
            <w:r>
              <w:rPr>
                <w:rFonts w:hint="eastAsia" w:ascii="宋体" w:hAnsi="宋体" w:eastAsia="宋体" w:cs="宋体"/>
                <w:spacing w:val="-2"/>
                <w:sz w:val="18"/>
                <w:szCs w:val="18"/>
                <w:lang w:val="en-US" w:eastAsia="zh-CN"/>
              </w:rPr>
              <w:t>90%</w:t>
            </w:r>
          </w:p>
        </w:tc>
        <w:tc>
          <w:tcPr>
            <w:tcW w:w="1197"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6" w:hRule="atLeast"/>
        </w:trPr>
        <w:tc>
          <w:tcPr>
            <w:tcW w:w="704" w:type="dxa"/>
            <w:vMerge w:val="continue"/>
            <w:tcBorders>
              <w:top w:val="nil"/>
            </w:tcBorders>
            <w:vAlign w:val="top"/>
          </w:tcPr>
          <w:p>
            <w:pPr>
              <w:rPr>
                <w:rFonts w:ascii="Arial"/>
                <w:sz w:val="21"/>
              </w:rPr>
            </w:pPr>
          </w:p>
        </w:tc>
        <w:tc>
          <w:tcPr>
            <w:tcW w:w="745" w:type="dxa"/>
            <w:vMerge w:val="continue"/>
            <w:tcBorders>
              <w:top w:val="nil"/>
            </w:tcBorders>
            <w:vAlign w:val="top"/>
          </w:tcPr>
          <w:p>
            <w:pPr>
              <w:rPr>
                <w:rFonts w:ascii="Arial"/>
                <w:sz w:val="21"/>
              </w:rPr>
            </w:pPr>
          </w:p>
        </w:tc>
        <w:tc>
          <w:tcPr>
            <w:tcW w:w="1014" w:type="dxa"/>
            <w:vMerge w:val="continue"/>
            <w:tcBorders>
              <w:top w:val="nil"/>
            </w:tcBorders>
            <w:vAlign w:val="top"/>
          </w:tcPr>
          <w:p>
            <w:pPr>
              <w:rPr>
                <w:rFonts w:ascii="Arial"/>
                <w:sz w:val="21"/>
              </w:rPr>
            </w:pPr>
          </w:p>
        </w:tc>
        <w:tc>
          <w:tcPr>
            <w:tcW w:w="2146" w:type="dxa"/>
            <w:gridSpan w:val="2"/>
            <w:vAlign w:val="top"/>
          </w:tcPr>
          <w:p>
            <w:pPr>
              <w:spacing w:before="126" w:line="220" w:lineRule="auto"/>
              <w:ind w:left="23" w:firstLine="352" w:firstLineChars="200"/>
              <w:rPr>
                <w:rFonts w:ascii="宋体" w:hAnsi="宋体" w:eastAsia="宋体" w:cs="宋体"/>
                <w:sz w:val="18"/>
                <w:szCs w:val="18"/>
              </w:rPr>
            </w:pPr>
            <w:r>
              <w:rPr>
                <w:rFonts w:hint="eastAsia" w:ascii="宋体" w:hAnsi="宋体" w:eastAsia="宋体" w:cs="宋体"/>
                <w:spacing w:val="-2"/>
                <w:sz w:val="18"/>
                <w:szCs w:val="18"/>
                <w:lang w:val="en-US" w:eastAsia="zh-CN"/>
              </w:rPr>
              <w:t>社会群众满意度</w:t>
            </w:r>
          </w:p>
        </w:tc>
        <w:tc>
          <w:tcPr>
            <w:tcW w:w="1256" w:type="dxa"/>
            <w:vAlign w:val="top"/>
          </w:tcPr>
          <w:p>
            <w:pPr>
              <w:rPr>
                <w:rFonts w:hint="default" w:ascii="宋体" w:hAnsi="宋体" w:eastAsia="宋体" w:cs="宋体"/>
                <w:spacing w:val="-2"/>
                <w:sz w:val="18"/>
                <w:szCs w:val="18"/>
                <w:lang w:val="en-US" w:eastAsia="zh-CN"/>
              </w:rPr>
            </w:pPr>
            <w:r>
              <w:rPr>
                <w:rFonts w:hint="eastAsia" w:ascii="宋体" w:hAnsi="宋体" w:eastAsia="宋体" w:cs="宋体"/>
                <w:spacing w:val="-2"/>
                <w:sz w:val="18"/>
                <w:szCs w:val="18"/>
                <w:lang w:val="en-US" w:eastAsia="zh-CN"/>
              </w:rPr>
              <w:t>≥90%</w:t>
            </w:r>
          </w:p>
        </w:tc>
        <w:tc>
          <w:tcPr>
            <w:tcW w:w="1256" w:type="dxa"/>
            <w:vAlign w:val="top"/>
          </w:tcPr>
          <w:p>
            <w:pPr>
              <w:jc w:val="center"/>
              <w:rPr>
                <w:rFonts w:hint="eastAsia" w:ascii="宋体" w:hAnsi="宋体" w:eastAsia="宋体" w:cs="宋体"/>
                <w:spacing w:val="-2"/>
                <w:sz w:val="18"/>
                <w:szCs w:val="18"/>
                <w:lang w:val="en-US" w:eastAsia="zh-CN"/>
              </w:rPr>
            </w:pPr>
            <w:r>
              <w:rPr>
                <w:rFonts w:hint="eastAsia" w:ascii="宋体" w:hAnsi="宋体" w:eastAsia="宋体" w:cs="宋体"/>
                <w:spacing w:val="-2"/>
                <w:sz w:val="18"/>
                <w:szCs w:val="18"/>
                <w:lang w:val="en-US" w:eastAsia="zh-CN"/>
              </w:rPr>
              <w:t>90%</w:t>
            </w:r>
          </w:p>
        </w:tc>
        <w:tc>
          <w:tcPr>
            <w:tcW w:w="1197" w:type="dxa"/>
            <w:vAlign w:val="top"/>
          </w:tcPr>
          <w:p>
            <w:pPr>
              <w:rPr>
                <w:rFonts w:ascii="Arial"/>
                <w:sz w:val="21"/>
              </w:rPr>
            </w:pPr>
          </w:p>
        </w:tc>
      </w:tr>
    </w:tbl>
    <w:p/>
    <w:p>
      <w:pPr>
        <w:spacing w:before="5" w:line="215" w:lineRule="auto"/>
        <w:jc w:val="both"/>
        <w:rPr>
          <w:rFonts w:hint="eastAsia" w:ascii="方正小标宋简体" w:hAnsi="方正小标宋简体" w:eastAsia="方正小标宋简体" w:cs="方正小标宋简体"/>
          <w:b/>
          <w:bCs/>
          <w:spacing w:val="21"/>
          <w:sz w:val="36"/>
          <w:szCs w:val="36"/>
        </w:rPr>
      </w:pPr>
    </w:p>
    <w:p>
      <w:pPr>
        <w:spacing w:before="5" w:line="215" w:lineRule="auto"/>
        <w:jc w:val="center"/>
        <w:rPr>
          <w:rFonts w:hint="eastAsia" w:ascii="方正小标宋简体" w:hAnsi="方正小标宋简体" w:eastAsia="方正小标宋简体" w:cs="方正小标宋简体"/>
          <w:b/>
          <w:bCs/>
          <w:spacing w:val="21"/>
          <w:sz w:val="36"/>
          <w:szCs w:val="36"/>
        </w:rPr>
      </w:pPr>
    </w:p>
    <w:p>
      <w:pPr>
        <w:pStyle w:val="5"/>
        <w:rPr>
          <w:rFonts w:hint="eastAsia" w:hAnsi="宋体" w:cs="宋体"/>
          <w:color w:val="auto"/>
          <w:kern w:val="0"/>
          <w:sz w:val="32"/>
          <w:szCs w:val="32"/>
          <w:highlight w:val="none"/>
          <w:shd w:val="clear" w:color="auto" w:fill="FFFFFF"/>
          <w:lang w:val="zh-CN"/>
        </w:rPr>
        <w:sectPr>
          <w:footerReference r:id="rId8" w:type="first"/>
          <w:footerReference r:id="rId7" w:type="default"/>
          <w:pgSz w:w="11906" w:h="16838"/>
          <w:pgMar w:top="1440" w:right="1800" w:bottom="1440" w:left="1800" w:header="851" w:footer="992" w:gutter="0"/>
          <w:pgNumType w:fmt="decimal" w:start="1"/>
          <w:cols w:space="425" w:num="1"/>
          <w:titlePg/>
          <w:docGrid w:type="lines" w:linePitch="312" w:charSpace="0"/>
        </w:sectPr>
      </w:pPr>
    </w:p>
    <w:p>
      <w:pPr>
        <w:pStyle w:val="5"/>
        <w:rPr>
          <w:rFonts w:hint="eastAsia" w:eastAsia="仿宋_GB2312"/>
          <w:color w:val="auto"/>
          <w:sz w:val="32"/>
          <w:szCs w:val="32"/>
          <w:highlight w:val="none"/>
          <w:lang w:val="en-US" w:eastAsia="zh-CN"/>
        </w:rPr>
      </w:pPr>
      <w:r>
        <w:rPr>
          <w:rFonts w:hint="eastAsia" w:hAnsi="宋体" w:cs="宋体"/>
          <w:color w:val="auto"/>
          <w:kern w:val="0"/>
          <w:sz w:val="32"/>
          <w:szCs w:val="32"/>
          <w:highlight w:val="none"/>
          <w:shd w:val="clear" w:color="auto" w:fill="FFFFFF"/>
          <w:lang w:val="zh-CN"/>
        </w:rPr>
        <w:t>附件</w:t>
      </w:r>
      <w:r>
        <w:rPr>
          <w:rFonts w:hint="eastAsia" w:hAnsi="宋体" w:cs="宋体"/>
          <w:color w:val="auto"/>
          <w:kern w:val="0"/>
          <w:sz w:val="32"/>
          <w:szCs w:val="32"/>
          <w:highlight w:val="none"/>
          <w:shd w:val="clear" w:color="auto" w:fill="FFFFFF"/>
          <w:lang w:val="en-US" w:eastAsia="zh-CN"/>
        </w:rPr>
        <w:t>2</w:t>
      </w:r>
    </w:p>
    <w:p>
      <w:pPr>
        <w:keepNext w:val="0"/>
        <w:keepLines w:val="0"/>
        <w:pageBreakBefore w:val="0"/>
        <w:widowControl/>
        <w:kinsoku/>
        <w:wordWrap/>
        <w:overflowPunct/>
        <w:topLinePunct w:val="0"/>
        <w:autoSpaceDE/>
        <w:autoSpaceDN/>
        <w:bidi w:val="0"/>
        <w:spacing w:line="560" w:lineRule="exact"/>
        <w:contextualSpacing/>
        <w:jc w:val="center"/>
        <w:textAlignment w:val="auto"/>
        <w:rPr>
          <w:rFonts w:hint="eastAsia" w:ascii="方正小标宋简体" w:hAnsi="方正小标宋简体" w:eastAsia="方正小标宋简体" w:cs="方正小标宋简体"/>
          <w:b w:val="0"/>
          <w:bCs/>
          <w:color w:val="auto"/>
          <w:sz w:val="40"/>
          <w:szCs w:val="40"/>
          <w:highlight w:val="none"/>
          <w:shd w:val="clear" w:color="auto" w:fill="FFFFFF"/>
          <w:lang w:val="en-US" w:eastAsia="zh-CN"/>
        </w:rPr>
      </w:pPr>
      <w:r>
        <w:rPr>
          <w:rFonts w:hint="eastAsia" w:ascii="方正小标宋简体" w:hAnsi="方正小标宋简体" w:eastAsia="方正小标宋简体" w:cs="方正小标宋简体"/>
          <w:b w:val="0"/>
          <w:bCs/>
          <w:color w:val="auto"/>
          <w:sz w:val="40"/>
          <w:szCs w:val="40"/>
          <w:highlight w:val="none"/>
          <w:shd w:val="clear" w:color="auto" w:fill="FFFFFF"/>
          <w:lang w:val="en-US" w:eastAsia="zh-CN"/>
        </w:rPr>
        <w:t>2023年</w:t>
      </w:r>
      <w:r>
        <w:rPr>
          <w:rFonts w:hint="default" w:ascii="方正小标宋简体" w:hAnsi="方正小标宋简体" w:eastAsia="方正小标宋简体" w:cs="方正小标宋简体"/>
          <w:b w:val="0"/>
          <w:bCs/>
          <w:color w:val="auto"/>
          <w:sz w:val="40"/>
          <w:szCs w:val="40"/>
          <w:highlight w:val="none"/>
          <w:shd w:val="clear" w:color="auto" w:fill="FFFFFF"/>
          <w:lang w:eastAsia="zh-CN"/>
        </w:rPr>
        <w:t>二老一残医疗费</w:t>
      </w:r>
      <w:r>
        <w:rPr>
          <w:rFonts w:hint="eastAsia" w:ascii="方正小标宋简体" w:hAnsi="方正小标宋简体" w:eastAsia="方正小标宋简体" w:cs="方正小标宋简体"/>
          <w:b w:val="0"/>
          <w:bCs/>
          <w:color w:val="auto"/>
          <w:sz w:val="40"/>
          <w:szCs w:val="40"/>
          <w:highlight w:val="none"/>
          <w:shd w:val="clear" w:color="auto" w:fill="FFFFFF"/>
          <w:lang w:val="en-US" w:eastAsia="zh-CN"/>
        </w:rPr>
        <w:t>专项资金预算项目绩效自评报告</w:t>
      </w:r>
    </w:p>
    <w:p>
      <w:pPr>
        <w:pStyle w:val="33"/>
        <w:keepNext w:val="0"/>
        <w:keepLines w:val="0"/>
        <w:pageBreakBefore w:val="0"/>
        <w:widowControl w:val="0"/>
        <w:kinsoku/>
        <w:wordWrap/>
        <w:overflowPunct/>
        <w:topLinePunct w:val="0"/>
        <w:autoSpaceDE/>
        <w:autoSpaceDN/>
        <w:bidi w:val="0"/>
        <w:spacing w:line="578" w:lineRule="exact"/>
        <w:ind w:firstLine="640"/>
        <w:jc w:val="center"/>
        <w:textAlignment w:val="auto"/>
        <w:rPr>
          <w:rFonts w:ascii="宋体" w:hAnsi="宋体"/>
          <w:color w:val="auto"/>
          <w:kern w:val="2"/>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line="578" w:lineRule="exact"/>
        <w:ind w:firstLine="720"/>
        <w:textAlignment w:val="auto"/>
        <w:rPr>
          <w:rFonts w:ascii="黑体" w:hAnsi="宋体" w:eastAsia="黑体"/>
          <w:color w:val="auto"/>
          <w:sz w:val="32"/>
          <w:szCs w:val="32"/>
          <w:highlight w:val="none"/>
          <w:lang w:val="zh-CN"/>
        </w:rPr>
      </w:pPr>
      <w:r>
        <w:rPr>
          <w:rFonts w:hint="eastAsia" w:ascii="黑体" w:hAnsi="宋体" w:eastAsia="黑体"/>
          <w:color w:val="auto"/>
          <w:sz w:val="32"/>
          <w:szCs w:val="32"/>
          <w:highlight w:val="none"/>
        </w:rPr>
        <w:t>一、</w:t>
      </w:r>
      <w:r>
        <w:rPr>
          <w:rFonts w:hint="eastAsia" w:ascii="黑体" w:hAnsi="宋体" w:eastAsia="黑体"/>
          <w:color w:val="auto"/>
          <w:sz w:val="32"/>
          <w:szCs w:val="32"/>
          <w:highlight w:val="none"/>
          <w:lang w:val="zh-CN"/>
        </w:rPr>
        <w:t>项目概况</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（一）项目基本情况。</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rPr>
          <w:rFonts w:hint="eastAsia" w:ascii="仿宋_GB2312" w:hAnsi="仿宋_GB2312" w:eastAsia="仿宋_GB2312" w:cs="仿宋_GB2312"/>
          <w:color w:val="auto"/>
          <w:kern w:val="0"/>
          <w:sz w:val="32"/>
          <w:szCs w:val="32"/>
          <w:highlight w:val="none"/>
          <w:u w:val="none"/>
          <w:shd w:val="clear" w:color="auto" w:fill="FFFFFF"/>
          <w:lang w:val="zh-CN"/>
        </w:rPr>
      </w:pPr>
      <w:r>
        <w:rPr>
          <w:rFonts w:hint="eastAsia" w:ascii="仿宋_GB2312" w:hAnsi="仿宋_GB2312" w:eastAsia="仿宋_GB2312" w:cs="仿宋_GB2312"/>
          <w:color w:val="auto"/>
          <w:kern w:val="0"/>
          <w:sz w:val="32"/>
          <w:szCs w:val="32"/>
          <w:highlight w:val="none"/>
          <w:u w:val="none"/>
          <w:shd w:val="clear" w:color="auto" w:fill="FFFFFF"/>
          <w:lang w:val="zh-CN"/>
        </w:rPr>
        <w:t>严格按照国家政策，根据退役军人事务管理局等提供全区军转干部、离休干部和伤残军人详细名单，核实相应人员因生病住院和门诊发生的医疗费用，在按照基本医疗保险政策报销后剩余部分在“二老一残”医疗费项目中支付，从而解决二老一残人员就医负担，让这些为国家做出贡献的人受到国家和社会的尊重、关怀。</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（二）项目绩效目标。</w:t>
      </w:r>
    </w:p>
    <w:p>
      <w:pPr>
        <w:keepNext w:val="0"/>
        <w:keepLines w:val="0"/>
        <w:pageBreakBefore w:val="0"/>
        <w:widowControl/>
        <w:numPr>
          <w:ilvl w:val="0"/>
          <w:numId w:val="0"/>
        </w:numPr>
        <w:kinsoku/>
        <w:wordWrap/>
        <w:overflowPunct/>
        <w:topLinePunct w:val="0"/>
        <w:autoSpaceDE/>
        <w:autoSpaceDN/>
        <w:bidi w:val="0"/>
        <w:adjustRightInd w:val="0"/>
        <w:snapToGrid w:val="0"/>
        <w:spacing w:line="578" w:lineRule="exact"/>
        <w:ind w:firstLine="640" w:firstLineChars="200"/>
        <w:contextualSpacing/>
        <w:jc w:val="left"/>
        <w:textAlignment w:val="auto"/>
        <w:rPr>
          <w:rFonts w:hint="eastAsia" w:ascii="仿宋_GB2312" w:hAnsi="仿宋_GB2312" w:eastAsia="仿宋_GB2312" w:cs="仿宋_GB2312"/>
          <w:color w:val="auto"/>
          <w:kern w:val="0"/>
          <w:sz w:val="32"/>
          <w:szCs w:val="32"/>
          <w:highlight w:val="none"/>
          <w:u w:val="none"/>
          <w:shd w:val="clear" w:color="auto" w:fill="FFFFFF"/>
          <w:lang w:val="zh-CN"/>
        </w:rPr>
      </w:pPr>
      <w:r>
        <w:rPr>
          <w:rFonts w:hint="eastAsia" w:ascii="仿宋" w:hAnsi="仿宋" w:eastAsia="仿宋" w:cs="仿宋"/>
          <w:sz w:val="32"/>
          <w:szCs w:val="32"/>
        </w:rPr>
        <w:t>“二老一残”医疗费用是严格按照国家政策，核实全区军转干部、离休干部和伤残军人基本情况，对他们因生病住院、门诊发生的医疗费用，在按基本医疗保险政策报销后，剩余部分由区级财政负担报销。该项目符合中央、省、市、区重大决策部署和宏观政策规划，绩效目标与中长期规划一致。2022年“二老一残”医疗费用按照50万元的标准，纳入年初财政预算</w:t>
      </w:r>
      <w:r>
        <w:rPr>
          <w:rFonts w:hint="eastAsia" w:ascii="仿宋_GB2312" w:hAnsi="仿宋_GB2312" w:eastAsia="仿宋_GB2312" w:cs="仿宋_GB2312"/>
          <w:color w:val="auto"/>
          <w:kern w:val="0"/>
          <w:sz w:val="32"/>
          <w:szCs w:val="32"/>
          <w:highlight w:val="none"/>
          <w:u w:val="none"/>
          <w:shd w:val="clear" w:color="auto" w:fill="FFFFFF"/>
          <w:lang w:val="zh-CN"/>
        </w:rPr>
        <w:t>。</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（三）项目自评步骤及方法。</w:t>
      </w:r>
    </w:p>
    <w:p>
      <w:pPr>
        <w:spacing w:line="576" w:lineRule="exact"/>
        <w:ind w:firstLine="640" w:firstLineChars="200"/>
        <w:rPr>
          <w:rFonts w:hint="default" w:ascii="Times New Roman" w:hAnsi="Times New Roman" w:eastAsia="黑体" w:cs="Times New Roman"/>
          <w:color w:val="000000" w:themeColor="text1"/>
          <w:sz w:val="32"/>
          <w:szCs w:val="32"/>
          <w14:textFill>
            <w14:solidFill>
              <w14:schemeClr w14:val="tx1"/>
            </w14:solidFill>
          </w14:textFill>
        </w:rPr>
      </w:pPr>
      <w:r>
        <w:rPr>
          <w:rFonts w:hint="eastAsia" w:ascii="仿宋" w:hAnsi="仿宋" w:eastAsia="仿宋" w:cs="仿宋"/>
          <w:sz w:val="32"/>
          <w:szCs w:val="32"/>
        </w:rPr>
        <w:t>根据绩效评价指标体系评价表，对财政支出产生的实际效果与预定目标进行比较。该项目规划符合中央、省、市、区重大决策部署，项目绩效目标合理、明确，与项目年度目标一致。项目实施过程做到公开透明，保证了项目经费的安全、合理、合规使用。从数量指标、质量指标、时效指标、成本指标、社会效益指标、满意度指标6大指标分析，项目均完成预期目标，完成率达100%且相关群体满意度高。</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ascii="黑体" w:hAnsi="宋体" w:eastAsia="黑体"/>
          <w:color w:val="auto"/>
          <w:sz w:val="32"/>
          <w:szCs w:val="32"/>
          <w:highlight w:val="none"/>
          <w:u w:val="none"/>
        </w:rPr>
      </w:pPr>
      <w:r>
        <w:rPr>
          <w:rFonts w:hint="eastAsia" w:ascii="黑体" w:hAnsi="宋体" w:eastAsia="黑体"/>
          <w:color w:val="auto"/>
          <w:sz w:val="32"/>
          <w:szCs w:val="32"/>
          <w:highlight w:val="none"/>
          <w:u w:val="none"/>
        </w:rPr>
        <w:t>二、项目资金申报及使用情况</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（一）项目资金申报及批复情况。</w:t>
      </w:r>
    </w:p>
    <w:p>
      <w:pPr>
        <w:spacing w:line="576" w:lineRule="exact"/>
        <w:ind w:firstLine="640" w:firstLineChars="200"/>
        <w:rPr>
          <w:rFonts w:hint="eastAsia" w:ascii="楷体_GB2312" w:hAnsi="宋体" w:eastAsia="楷体_GB2312"/>
          <w:b/>
          <w:color w:val="auto"/>
          <w:sz w:val="32"/>
          <w:szCs w:val="32"/>
          <w:highlight w:val="none"/>
          <w:u w:val="none"/>
          <w:lang w:val="zh-CN"/>
        </w:rPr>
      </w:pPr>
      <w:r>
        <w:rPr>
          <w:rFonts w:hint="eastAsia" w:ascii="仿宋" w:hAnsi="仿宋" w:eastAsia="仿宋" w:cs="仿宋"/>
          <w:sz w:val="32"/>
          <w:szCs w:val="32"/>
        </w:rPr>
        <w:t>“二老一残”医疗费用按照50万元的标准，纳入年初的财政预算。截至目前，该笔资金已到位50万元，资金到位及时率100%。“二老一残”医疗费用资金开支范围、支付标准、支付进度、支付依据等合规合法，资金拨付及时率为100%。</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ascii="仿宋_GB2312" w:hAnsi="宋体"/>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（二）资金计划、到位及使用情况。</w:t>
      </w:r>
    </w:p>
    <w:p>
      <w:pPr>
        <w:spacing w:line="134" w:lineRule="exact"/>
      </w:pPr>
    </w:p>
    <w:tbl>
      <w:tblPr>
        <w:tblStyle w:val="36"/>
        <w:tblW w:w="819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9"/>
        <w:gridCol w:w="703"/>
        <w:gridCol w:w="931"/>
        <w:gridCol w:w="935"/>
        <w:gridCol w:w="887"/>
        <w:gridCol w:w="1638"/>
        <w:gridCol w:w="1224"/>
        <w:gridCol w:w="12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1352" w:type="dxa"/>
            <w:gridSpan w:val="2"/>
          </w:tcPr>
          <w:p>
            <w:pPr>
              <w:spacing w:before="82" w:line="220" w:lineRule="auto"/>
              <w:ind w:left="75"/>
              <w:rPr>
                <w:rFonts w:ascii="宋体" w:hAnsi="宋体" w:eastAsia="宋体" w:cs="宋体"/>
                <w:sz w:val="17"/>
                <w:szCs w:val="17"/>
              </w:rPr>
            </w:pPr>
            <w:r>
              <w:rPr>
                <w:rFonts w:ascii="宋体" w:hAnsi="宋体" w:eastAsia="宋体" w:cs="宋体"/>
                <w:spacing w:val="-2"/>
                <w:sz w:val="17"/>
                <w:szCs w:val="17"/>
              </w:rPr>
              <w:t>项目(政策)名称</w:t>
            </w:r>
          </w:p>
        </w:tc>
        <w:tc>
          <w:tcPr>
            <w:tcW w:w="6847" w:type="dxa"/>
            <w:gridSpan w:val="6"/>
          </w:tcPr>
          <w:p>
            <w:pPr>
              <w:jc w:val="center"/>
              <w:rPr>
                <w:rFonts w:eastAsia="宋体"/>
              </w:rPr>
            </w:pPr>
            <w:r>
              <w:rPr>
                <w:rFonts w:hint="eastAsia" w:ascii="宋体" w:hAnsi="宋体" w:eastAsia="宋体" w:cs="宋体"/>
                <w:spacing w:val="-2"/>
                <w:sz w:val="17"/>
                <w:szCs w:val="17"/>
              </w:rPr>
              <w:t>二老一残医疗费用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1352" w:type="dxa"/>
            <w:gridSpan w:val="2"/>
          </w:tcPr>
          <w:p>
            <w:pPr>
              <w:ind w:firstLine="166" w:firstLineChars="100"/>
              <w:rPr>
                <w:rFonts w:ascii="宋体" w:hAnsi="宋体" w:eastAsia="宋体" w:cs="宋体"/>
                <w:spacing w:val="-2"/>
                <w:sz w:val="17"/>
                <w:szCs w:val="17"/>
              </w:rPr>
            </w:pPr>
            <w:r>
              <w:rPr>
                <w:rFonts w:hint="eastAsia" w:ascii="宋体" w:hAnsi="宋体" w:eastAsia="宋体" w:cs="宋体"/>
                <w:spacing w:val="-2"/>
                <w:sz w:val="17"/>
                <w:szCs w:val="17"/>
              </w:rPr>
              <w:t>主管部门</w:t>
            </w:r>
          </w:p>
        </w:tc>
        <w:tc>
          <w:tcPr>
            <w:tcW w:w="4391" w:type="dxa"/>
            <w:gridSpan w:val="4"/>
          </w:tcPr>
          <w:p>
            <w:pPr>
              <w:jc w:val="center"/>
              <w:rPr>
                <w:rFonts w:ascii="宋体" w:hAnsi="宋体" w:eastAsia="宋体" w:cs="宋体"/>
                <w:spacing w:val="-2"/>
                <w:sz w:val="17"/>
                <w:szCs w:val="17"/>
              </w:rPr>
            </w:pPr>
            <w:r>
              <w:rPr>
                <w:rFonts w:hint="eastAsia" w:ascii="宋体" w:hAnsi="宋体" w:eastAsia="宋体" w:cs="宋体"/>
                <w:spacing w:val="-2"/>
                <w:sz w:val="17"/>
                <w:szCs w:val="17"/>
              </w:rPr>
              <w:t>昭化区医保局</w:t>
            </w:r>
          </w:p>
        </w:tc>
        <w:tc>
          <w:tcPr>
            <w:tcW w:w="1224" w:type="dxa"/>
          </w:tcPr>
          <w:p>
            <w:pPr>
              <w:spacing w:before="78" w:line="220" w:lineRule="auto"/>
              <w:ind w:left="396"/>
              <w:jc w:val="both"/>
              <w:rPr>
                <w:rFonts w:ascii="宋体" w:hAnsi="宋体" w:eastAsia="宋体" w:cs="宋体"/>
                <w:sz w:val="17"/>
                <w:szCs w:val="17"/>
              </w:rPr>
            </w:pPr>
            <w:r>
              <w:rPr>
                <w:rFonts w:ascii="宋体" w:hAnsi="宋体" w:eastAsia="宋体" w:cs="宋体"/>
                <w:spacing w:val="-3"/>
                <w:sz w:val="17"/>
                <w:szCs w:val="17"/>
              </w:rPr>
              <w:t>实施单位</w:t>
            </w:r>
          </w:p>
        </w:tc>
        <w:tc>
          <w:tcPr>
            <w:tcW w:w="1232" w:type="dxa"/>
          </w:tcPr>
          <w:p>
            <w:pPr>
              <w:jc w:val="center"/>
            </w:pPr>
            <w:r>
              <w:rPr>
                <w:rFonts w:hint="eastAsia" w:ascii="宋体" w:hAnsi="宋体" w:eastAsia="宋体" w:cs="宋体"/>
                <w:spacing w:val="-2"/>
                <w:sz w:val="17"/>
                <w:szCs w:val="17"/>
              </w:rPr>
              <w:t>昭化区医保局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8" w:hRule="atLeast"/>
        </w:trPr>
        <w:tc>
          <w:tcPr>
            <w:tcW w:w="1352" w:type="dxa"/>
            <w:gridSpan w:val="2"/>
            <w:vMerge w:val="restart"/>
            <w:tcBorders>
              <w:bottom w:val="nil"/>
            </w:tcBorders>
          </w:tcPr>
          <w:p>
            <w:pPr>
              <w:spacing w:line="279" w:lineRule="auto"/>
            </w:pPr>
          </w:p>
          <w:p>
            <w:pPr>
              <w:spacing w:line="279" w:lineRule="auto"/>
            </w:pPr>
          </w:p>
          <w:p>
            <w:pPr>
              <w:spacing w:line="279" w:lineRule="auto"/>
            </w:pPr>
          </w:p>
          <w:p>
            <w:pPr>
              <w:spacing w:line="279" w:lineRule="auto"/>
            </w:pPr>
          </w:p>
          <w:p>
            <w:pPr>
              <w:spacing w:before="55" w:line="235" w:lineRule="auto"/>
              <w:ind w:left="464" w:right="197" w:hanging="389"/>
              <w:rPr>
                <w:rFonts w:ascii="宋体" w:hAnsi="宋体" w:eastAsia="宋体" w:cs="宋体"/>
                <w:sz w:val="17"/>
                <w:szCs w:val="17"/>
              </w:rPr>
            </w:pPr>
            <w:r>
              <w:rPr>
                <w:rFonts w:ascii="宋体" w:hAnsi="宋体" w:eastAsia="宋体" w:cs="宋体"/>
                <w:spacing w:val="-2"/>
                <w:sz w:val="17"/>
                <w:szCs w:val="17"/>
              </w:rPr>
              <w:t>项目(政策)资金</w:t>
            </w:r>
            <w:r>
              <w:rPr>
                <w:rFonts w:ascii="宋体" w:hAnsi="宋体" w:eastAsia="宋体" w:cs="宋体"/>
                <w:spacing w:val="5"/>
                <w:sz w:val="17"/>
                <w:szCs w:val="17"/>
              </w:rPr>
              <w:t xml:space="preserve"> </w:t>
            </w:r>
            <w:r>
              <w:rPr>
                <w:rFonts w:ascii="宋体" w:hAnsi="宋体" w:eastAsia="宋体" w:cs="宋体"/>
                <w:spacing w:val="9"/>
                <w:sz w:val="17"/>
                <w:szCs w:val="17"/>
              </w:rPr>
              <w:t>(万元)</w:t>
            </w:r>
          </w:p>
        </w:tc>
        <w:tc>
          <w:tcPr>
            <w:tcW w:w="1866" w:type="dxa"/>
            <w:gridSpan w:val="2"/>
          </w:tcPr>
          <w:p/>
        </w:tc>
        <w:tc>
          <w:tcPr>
            <w:tcW w:w="887" w:type="dxa"/>
          </w:tcPr>
          <w:p>
            <w:pPr>
              <w:spacing w:before="77" w:line="219" w:lineRule="auto"/>
              <w:rPr>
                <w:rFonts w:ascii="宋体" w:hAnsi="宋体" w:eastAsia="宋体" w:cs="宋体"/>
                <w:sz w:val="17"/>
                <w:szCs w:val="17"/>
              </w:rPr>
            </w:pPr>
            <w:r>
              <w:rPr>
                <w:rFonts w:ascii="宋体" w:hAnsi="宋体" w:eastAsia="宋体" w:cs="宋体"/>
                <w:spacing w:val="-2"/>
                <w:sz w:val="17"/>
                <w:szCs w:val="17"/>
              </w:rPr>
              <w:t>年初预算数</w:t>
            </w:r>
          </w:p>
        </w:tc>
        <w:tc>
          <w:tcPr>
            <w:tcW w:w="1638" w:type="dxa"/>
          </w:tcPr>
          <w:p>
            <w:pPr>
              <w:spacing w:before="98" w:line="219" w:lineRule="auto"/>
              <w:ind w:left="354"/>
              <w:rPr>
                <w:rFonts w:ascii="宋体" w:hAnsi="宋体" w:eastAsia="宋体" w:cs="宋体"/>
                <w:sz w:val="17"/>
                <w:szCs w:val="17"/>
              </w:rPr>
            </w:pPr>
            <w:r>
              <w:rPr>
                <w:rFonts w:ascii="宋体" w:hAnsi="宋体" w:eastAsia="宋体" w:cs="宋体"/>
                <w:spacing w:val="-2"/>
                <w:sz w:val="17"/>
                <w:szCs w:val="17"/>
              </w:rPr>
              <w:t>全年预算数</w:t>
            </w:r>
          </w:p>
        </w:tc>
        <w:tc>
          <w:tcPr>
            <w:tcW w:w="1224" w:type="dxa"/>
          </w:tcPr>
          <w:p>
            <w:pPr>
              <w:spacing w:before="77" w:line="219" w:lineRule="auto"/>
              <w:ind w:left="307"/>
              <w:rPr>
                <w:rFonts w:ascii="宋体" w:hAnsi="宋体" w:eastAsia="宋体" w:cs="宋体"/>
                <w:sz w:val="17"/>
                <w:szCs w:val="17"/>
              </w:rPr>
            </w:pPr>
            <w:r>
              <w:rPr>
                <w:rFonts w:ascii="宋体" w:hAnsi="宋体" w:eastAsia="宋体" w:cs="宋体"/>
                <w:spacing w:val="-2"/>
                <w:sz w:val="17"/>
                <w:szCs w:val="17"/>
              </w:rPr>
              <w:t>全年执行数</w:t>
            </w:r>
          </w:p>
        </w:tc>
        <w:tc>
          <w:tcPr>
            <w:tcW w:w="1232" w:type="dxa"/>
          </w:tcPr>
          <w:p>
            <w:pPr>
              <w:spacing w:before="77" w:line="219" w:lineRule="auto"/>
              <w:ind w:left="398"/>
              <w:rPr>
                <w:rFonts w:ascii="宋体" w:hAnsi="宋体" w:eastAsia="宋体" w:cs="宋体"/>
                <w:sz w:val="17"/>
                <w:szCs w:val="17"/>
              </w:rPr>
            </w:pPr>
            <w:r>
              <w:rPr>
                <w:rFonts w:ascii="宋体" w:hAnsi="宋体" w:eastAsia="宋体" w:cs="宋体"/>
                <w:spacing w:val="-2"/>
                <w:sz w:val="17"/>
                <w:szCs w:val="17"/>
              </w:rPr>
              <w:t>执行率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1352" w:type="dxa"/>
            <w:gridSpan w:val="2"/>
            <w:vMerge w:val="continue"/>
            <w:tcBorders>
              <w:top w:val="nil"/>
              <w:bottom w:val="nil"/>
            </w:tcBorders>
          </w:tcPr>
          <w:p/>
        </w:tc>
        <w:tc>
          <w:tcPr>
            <w:tcW w:w="1866" w:type="dxa"/>
            <w:gridSpan w:val="2"/>
          </w:tcPr>
          <w:p>
            <w:pPr>
              <w:spacing w:before="79" w:line="219" w:lineRule="auto"/>
              <w:ind w:left="151"/>
              <w:rPr>
                <w:rFonts w:ascii="宋体" w:hAnsi="宋体" w:eastAsia="宋体" w:cs="宋体"/>
                <w:sz w:val="17"/>
                <w:szCs w:val="17"/>
              </w:rPr>
            </w:pPr>
            <w:r>
              <w:rPr>
                <w:rFonts w:ascii="宋体" w:hAnsi="宋体" w:eastAsia="宋体" w:cs="宋体"/>
                <w:spacing w:val="-2"/>
                <w:sz w:val="17"/>
                <w:szCs w:val="17"/>
              </w:rPr>
              <w:t>年度资金总额</w:t>
            </w:r>
          </w:p>
        </w:tc>
        <w:tc>
          <w:tcPr>
            <w:tcW w:w="887" w:type="dxa"/>
          </w:tcPr>
          <w:p>
            <w:pPr>
              <w:spacing w:before="79" w:line="219" w:lineRule="auto"/>
              <w:ind w:left="151"/>
              <w:jc w:val="center"/>
              <w:rPr>
                <w:rFonts w:ascii="宋体" w:hAnsi="宋体" w:eastAsia="宋体" w:cs="宋体"/>
                <w:spacing w:val="-2"/>
                <w:sz w:val="17"/>
                <w:szCs w:val="17"/>
              </w:rPr>
            </w:pPr>
            <w:r>
              <w:rPr>
                <w:rFonts w:hint="eastAsia" w:ascii="宋体" w:hAnsi="宋体" w:eastAsia="宋体" w:cs="宋体"/>
                <w:spacing w:val="-2"/>
                <w:sz w:val="17"/>
                <w:szCs w:val="17"/>
              </w:rPr>
              <w:t>50</w:t>
            </w:r>
          </w:p>
        </w:tc>
        <w:tc>
          <w:tcPr>
            <w:tcW w:w="1638" w:type="dxa"/>
          </w:tcPr>
          <w:p>
            <w:pPr>
              <w:spacing w:before="79" w:line="219" w:lineRule="auto"/>
              <w:ind w:left="151"/>
              <w:jc w:val="center"/>
              <w:rPr>
                <w:rFonts w:ascii="宋体" w:hAnsi="宋体" w:eastAsia="宋体" w:cs="宋体"/>
                <w:spacing w:val="-2"/>
                <w:sz w:val="17"/>
                <w:szCs w:val="17"/>
              </w:rPr>
            </w:pPr>
            <w:r>
              <w:rPr>
                <w:rFonts w:hint="eastAsia" w:ascii="宋体" w:hAnsi="宋体" w:eastAsia="宋体" w:cs="宋体"/>
                <w:spacing w:val="-2"/>
                <w:sz w:val="17"/>
                <w:szCs w:val="17"/>
              </w:rPr>
              <w:t>50</w:t>
            </w:r>
          </w:p>
        </w:tc>
        <w:tc>
          <w:tcPr>
            <w:tcW w:w="1224" w:type="dxa"/>
          </w:tcPr>
          <w:p>
            <w:pPr>
              <w:spacing w:before="79" w:line="219" w:lineRule="auto"/>
              <w:ind w:left="151"/>
              <w:jc w:val="center"/>
              <w:rPr>
                <w:rFonts w:ascii="宋体" w:hAnsi="宋体" w:eastAsia="宋体" w:cs="宋体"/>
                <w:spacing w:val="-2"/>
                <w:sz w:val="17"/>
                <w:szCs w:val="17"/>
              </w:rPr>
            </w:pPr>
            <w:r>
              <w:rPr>
                <w:rFonts w:hint="eastAsia" w:ascii="宋体" w:hAnsi="宋体" w:eastAsia="宋体" w:cs="宋体"/>
                <w:spacing w:val="-2"/>
                <w:sz w:val="17"/>
                <w:szCs w:val="17"/>
              </w:rPr>
              <w:t>50</w:t>
            </w:r>
          </w:p>
        </w:tc>
        <w:tc>
          <w:tcPr>
            <w:tcW w:w="1232" w:type="dxa"/>
          </w:tcPr>
          <w:p>
            <w:pPr>
              <w:spacing w:before="79" w:line="219" w:lineRule="auto"/>
              <w:ind w:left="151"/>
              <w:jc w:val="center"/>
              <w:rPr>
                <w:rFonts w:ascii="宋体" w:hAnsi="宋体" w:eastAsia="宋体" w:cs="宋体"/>
                <w:spacing w:val="-2"/>
                <w:sz w:val="17"/>
                <w:szCs w:val="17"/>
              </w:rPr>
            </w:pPr>
            <w:r>
              <w:rPr>
                <w:rFonts w:hint="eastAsia" w:ascii="宋体" w:hAnsi="宋体" w:eastAsia="宋体" w:cs="宋体"/>
                <w:spacing w:val="-2"/>
                <w:sz w:val="17"/>
                <w:szCs w:val="17"/>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1352" w:type="dxa"/>
            <w:gridSpan w:val="2"/>
            <w:vMerge w:val="continue"/>
            <w:tcBorders>
              <w:top w:val="nil"/>
              <w:bottom w:val="nil"/>
            </w:tcBorders>
          </w:tcPr>
          <w:p/>
        </w:tc>
        <w:tc>
          <w:tcPr>
            <w:tcW w:w="1866" w:type="dxa"/>
            <w:gridSpan w:val="2"/>
          </w:tcPr>
          <w:p>
            <w:pPr>
              <w:spacing w:before="109" w:line="219" w:lineRule="auto"/>
              <w:ind w:left="151"/>
              <w:rPr>
                <w:rFonts w:ascii="宋体" w:hAnsi="宋体" w:eastAsia="宋体" w:cs="宋体"/>
                <w:sz w:val="17"/>
                <w:szCs w:val="17"/>
              </w:rPr>
            </w:pPr>
            <w:r>
              <w:rPr>
                <w:rFonts w:ascii="宋体" w:hAnsi="宋体" w:eastAsia="宋体" w:cs="宋体"/>
                <w:sz w:val="17"/>
                <w:szCs w:val="17"/>
              </w:rPr>
              <w:t>(一)财政拨款小计</w:t>
            </w:r>
          </w:p>
        </w:tc>
        <w:tc>
          <w:tcPr>
            <w:tcW w:w="887" w:type="dxa"/>
          </w:tcPr>
          <w:p/>
        </w:tc>
        <w:tc>
          <w:tcPr>
            <w:tcW w:w="1638" w:type="dxa"/>
          </w:tcPr>
          <w:p/>
        </w:tc>
        <w:tc>
          <w:tcPr>
            <w:tcW w:w="1224" w:type="dxa"/>
          </w:tcPr>
          <w:p/>
        </w:tc>
        <w:tc>
          <w:tcPr>
            <w:tcW w:w="1232"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1352" w:type="dxa"/>
            <w:gridSpan w:val="2"/>
            <w:vMerge w:val="continue"/>
            <w:tcBorders>
              <w:top w:val="nil"/>
              <w:bottom w:val="nil"/>
            </w:tcBorders>
          </w:tcPr>
          <w:p/>
        </w:tc>
        <w:tc>
          <w:tcPr>
            <w:tcW w:w="1866" w:type="dxa"/>
            <w:gridSpan w:val="2"/>
          </w:tcPr>
          <w:p>
            <w:pPr>
              <w:spacing w:before="80" w:line="219" w:lineRule="auto"/>
              <w:ind w:left="151"/>
              <w:rPr>
                <w:rFonts w:ascii="宋体" w:hAnsi="宋体" w:eastAsia="宋体" w:cs="宋体"/>
                <w:sz w:val="17"/>
                <w:szCs w:val="17"/>
              </w:rPr>
            </w:pPr>
            <w:r>
              <w:rPr>
                <w:rFonts w:ascii="宋体" w:hAnsi="宋体" w:eastAsia="宋体" w:cs="宋体"/>
                <w:sz w:val="17"/>
                <w:szCs w:val="17"/>
              </w:rPr>
              <w:t>1.一般公共预算</w:t>
            </w:r>
          </w:p>
        </w:tc>
        <w:tc>
          <w:tcPr>
            <w:tcW w:w="887" w:type="dxa"/>
          </w:tcPr>
          <w:p>
            <w:pPr>
              <w:spacing w:before="79" w:line="219" w:lineRule="auto"/>
              <w:ind w:left="151"/>
              <w:jc w:val="center"/>
              <w:rPr>
                <w:rFonts w:ascii="宋体" w:hAnsi="宋体" w:eastAsia="宋体" w:cs="宋体"/>
                <w:spacing w:val="-2"/>
                <w:sz w:val="17"/>
                <w:szCs w:val="17"/>
              </w:rPr>
            </w:pPr>
            <w:r>
              <w:rPr>
                <w:rFonts w:hint="eastAsia" w:ascii="宋体" w:hAnsi="宋体" w:eastAsia="宋体" w:cs="宋体"/>
                <w:spacing w:val="-2"/>
                <w:sz w:val="17"/>
                <w:szCs w:val="17"/>
              </w:rPr>
              <w:t>50</w:t>
            </w:r>
          </w:p>
        </w:tc>
        <w:tc>
          <w:tcPr>
            <w:tcW w:w="1638" w:type="dxa"/>
          </w:tcPr>
          <w:p>
            <w:pPr>
              <w:spacing w:before="79" w:line="219" w:lineRule="auto"/>
              <w:ind w:left="151"/>
              <w:jc w:val="center"/>
              <w:rPr>
                <w:rFonts w:ascii="宋体" w:hAnsi="宋体" w:eastAsia="宋体" w:cs="宋体"/>
                <w:spacing w:val="-2"/>
                <w:sz w:val="17"/>
                <w:szCs w:val="17"/>
              </w:rPr>
            </w:pPr>
            <w:r>
              <w:rPr>
                <w:rFonts w:hint="eastAsia" w:ascii="宋体" w:hAnsi="宋体" w:eastAsia="宋体" w:cs="宋体"/>
                <w:spacing w:val="-2"/>
                <w:sz w:val="17"/>
                <w:szCs w:val="17"/>
              </w:rPr>
              <w:t>50</w:t>
            </w:r>
          </w:p>
        </w:tc>
        <w:tc>
          <w:tcPr>
            <w:tcW w:w="1224" w:type="dxa"/>
          </w:tcPr>
          <w:p>
            <w:pPr>
              <w:spacing w:before="79" w:line="219" w:lineRule="auto"/>
              <w:ind w:left="151"/>
              <w:jc w:val="center"/>
              <w:rPr>
                <w:rFonts w:ascii="宋体" w:hAnsi="宋体" w:eastAsia="宋体" w:cs="宋体"/>
                <w:spacing w:val="-2"/>
                <w:sz w:val="17"/>
                <w:szCs w:val="17"/>
              </w:rPr>
            </w:pPr>
            <w:r>
              <w:rPr>
                <w:rFonts w:hint="eastAsia" w:ascii="宋体" w:hAnsi="宋体" w:eastAsia="宋体" w:cs="宋体"/>
                <w:spacing w:val="-2"/>
                <w:sz w:val="17"/>
                <w:szCs w:val="17"/>
              </w:rPr>
              <w:t>50</w:t>
            </w:r>
          </w:p>
        </w:tc>
        <w:tc>
          <w:tcPr>
            <w:tcW w:w="1232" w:type="dxa"/>
          </w:tcPr>
          <w:p>
            <w:pPr>
              <w:spacing w:before="79" w:line="219" w:lineRule="auto"/>
              <w:ind w:left="151"/>
              <w:jc w:val="center"/>
              <w:rPr>
                <w:rFonts w:ascii="宋体" w:hAnsi="宋体" w:eastAsia="宋体" w:cs="宋体"/>
                <w:spacing w:val="-2"/>
                <w:sz w:val="17"/>
                <w:szCs w:val="17"/>
              </w:rPr>
            </w:pPr>
            <w:r>
              <w:rPr>
                <w:rFonts w:hint="eastAsia" w:ascii="宋体" w:hAnsi="宋体" w:eastAsia="宋体" w:cs="宋体"/>
                <w:spacing w:val="-2"/>
                <w:sz w:val="17"/>
                <w:szCs w:val="17"/>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8" w:hRule="atLeast"/>
        </w:trPr>
        <w:tc>
          <w:tcPr>
            <w:tcW w:w="1352" w:type="dxa"/>
            <w:gridSpan w:val="2"/>
            <w:vMerge w:val="continue"/>
            <w:tcBorders>
              <w:top w:val="nil"/>
              <w:bottom w:val="nil"/>
            </w:tcBorders>
          </w:tcPr>
          <w:p/>
        </w:tc>
        <w:tc>
          <w:tcPr>
            <w:tcW w:w="1866" w:type="dxa"/>
            <w:gridSpan w:val="2"/>
          </w:tcPr>
          <w:p>
            <w:pPr>
              <w:spacing w:before="78" w:line="219" w:lineRule="auto"/>
              <w:ind w:left="151"/>
              <w:rPr>
                <w:rFonts w:ascii="宋体" w:hAnsi="宋体" w:eastAsia="宋体" w:cs="宋体"/>
                <w:sz w:val="17"/>
                <w:szCs w:val="17"/>
              </w:rPr>
            </w:pPr>
            <w:r>
              <w:rPr>
                <w:rFonts w:ascii="宋体" w:hAnsi="宋体" w:eastAsia="宋体" w:cs="宋体"/>
                <w:spacing w:val="-2"/>
                <w:sz w:val="17"/>
                <w:szCs w:val="17"/>
              </w:rPr>
              <w:t>2.政府性基金</w:t>
            </w:r>
          </w:p>
        </w:tc>
        <w:tc>
          <w:tcPr>
            <w:tcW w:w="887" w:type="dxa"/>
          </w:tcPr>
          <w:p/>
        </w:tc>
        <w:tc>
          <w:tcPr>
            <w:tcW w:w="1638" w:type="dxa"/>
          </w:tcPr>
          <w:p/>
        </w:tc>
        <w:tc>
          <w:tcPr>
            <w:tcW w:w="1224" w:type="dxa"/>
          </w:tcPr>
          <w:p/>
        </w:tc>
        <w:tc>
          <w:tcPr>
            <w:tcW w:w="1232"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6" w:hRule="atLeast"/>
        </w:trPr>
        <w:tc>
          <w:tcPr>
            <w:tcW w:w="1352" w:type="dxa"/>
            <w:gridSpan w:val="2"/>
            <w:vMerge w:val="continue"/>
            <w:tcBorders>
              <w:top w:val="nil"/>
              <w:bottom w:val="nil"/>
            </w:tcBorders>
          </w:tcPr>
          <w:p/>
        </w:tc>
        <w:tc>
          <w:tcPr>
            <w:tcW w:w="1866" w:type="dxa"/>
            <w:gridSpan w:val="2"/>
          </w:tcPr>
          <w:p>
            <w:pPr>
              <w:spacing w:before="119" w:line="219" w:lineRule="auto"/>
              <w:ind w:left="151"/>
              <w:rPr>
                <w:rFonts w:ascii="宋体" w:hAnsi="宋体" w:eastAsia="宋体" w:cs="宋体"/>
                <w:sz w:val="17"/>
                <w:szCs w:val="17"/>
              </w:rPr>
            </w:pPr>
            <w:r>
              <w:rPr>
                <w:rFonts w:ascii="宋体" w:hAnsi="宋体" w:eastAsia="宋体" w:cs="宋体"/>
                <w:spacing w:val="-1"/>
                <w:sz w:val="17"/>
                <w:szCs w:val="17"/>
              </w:rPr>
              <w:t>3.国有资本经营预算</w:t>
            </w:r>
          </w:p>
        </w:tc>
        <w:tc>
          <w:tcPr>
            <w:tcW w:w="887" w:type="dxa"/>
          </w:tcPr>
          <w:p/>
        </w:tc>
        <w:tc>
          <w:tcPr>
            <w:tcW w:w="1638" w:type="dxa"/>
          </w:tcPr>
          <w:p/>
        </w:tc>
        <w:tc>
          <w:tcPr>
            <w:tcW w:w="1224" w:type="dxa"/>
          </w:tcPr>
          <w:p/>
        </w:tc>
        <w:tc>
          <w:tcPr>
            <w:tcW w:w="1232"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1352" w:type="dxa"/>
            <w:gridSpan w:val="2"/>
            <w:vMerge w:val="continue"/>
            <w:tcBorders>
              <w:top w:val="nil"/>
              <w:bottom w:val="nil"/>
            </w:tcBorders>
          </w:tcPr>
          <w:p/>
        </w:tc>
        <w:tc>
          <w:tcPr>
            <w:tcW w:w="1866" w:type="dxa"/>
            <w:gridSpan w:val="2"/>
          </w:tcPr>
          <w:p>
            <w:pPr>
              <w:spacing w:before="82" w:line="219" w:lineRule="auto"/>
              <w:ind w:left="151"/>
              <w:rPr>
                <w:rFonts w:ascii="宋体" w:hAnsi="宋体" w:eastAsia="宋体" w:cs="宋体"/>
                <w:sz w:val="17"/>
                <w:szCs w:val="17"/>
              </w:rPr>
            </w:pPr>
            <w:r>
              <w:rPr>
                <w:rFonts w:ascii="宋体" w:hAnsi="宋体" w:eastAsia="宋体" w:cs="宋体"/>
                <w:spacing w:val="-1"/>
                <w:sz w:val="17"/>
                <w:szCs w:val="17"/>
              </w:rPr>
              <w:t>4.社保基金</w:t>
            </w:r>
          </w:p>
        </w:tc>
        <w:tc>
          <w:tcPr>
            <w:tcW w:w="887" w:type="dxa"/>
          </w:tcPr>
          <w:p/>
        </w:tc>
        <w:tc>
          <w:tcPr>
            <w:tcW w:w="1638" w:type="dxa"/>
          </w:tcPr>
          <w:p/>
        </w:tc>
        <w:tc>
          <w:tcPr>
            <w:tcW w:w="1224" w:type="dxa"/>
          </w:tcPr>
          <w:p/>
        </w:tc>
        <w:tc>
          <w:tcPr>
            <w:tcW w:w="1232"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1352" w:type="dxa"/>
            <w:gridSpan w:val="2"/>
            <w:vMerge w:val="continue"/>
            <w:tcBorders>
              <w:top w:val="nil"/>
            </w:tcBorders>
          </w:tcPr>
          <w:p/>
        </w:tc>
        <w:tc>
          <w:tcPr>
            <w:tcW w:w="1866" w:type="dxa"/>
            <w:gridSpan w:val="2"/>
          </w:tcPr>
          <w:p>
            <w:pPr>
              <w:spacing w:before="112" w:line="220" w:lineRule="auto"/>
              <w:ind w:left="151"/>
              <w:rPr>
                <w:rFonts w:ascii="宋体" w:hAnsi="宋体" w:eastAsia="宋体" w:cs="宋体"/>
                <w:sz w:val="17"/>
                <w:szCs w:val="17"/>
              </w:rPr>
            </w:pPr>
            <w:r>
              <w:rPr>
                <w:rFonts w:ascii="宋体" w:hAnsi="宋体" w:eastAsia="宋体" w:cs="宋体"/>
                <w:spacing w:val="1"/>
                <w:sz w:val="17"/>
                <w:szCs w:val="17"/>
              </w:rPr>
              <w:t>(二)其他资金</w:t>
            </w:r>
          </w:p>
        </w:tc>
        <w:tc>
          <w:tcPr>
            <w:tcW w:w="887" w:type="dxa"/>
          </w:tcPr>
          <w:p/>
        </w:tc>
        <w:tc>
          <w:tcPr>
            <w:tcW w:w="1638" w:type="dxa"/>
          </w:tcPr>
          <w:p/>
        </w:tc>
        <w:tc>
          <w:tcPr>
            <w:tcW w:w="1224" w:type="dxa"/>
          </w:tcPr>
          <w:p>
            <w:pPr>
              <w:rPr>
                <w:color w:val="auto"/>
              </w:rPr>
            </w:pPr>
          </w:p>
        </w:tc>
        <w:tc>
          <w:tcPr>
            <w:tcW w:w="1232" w:type="dxa"/>
          </w:tcPr>
          <w:p>
            <w:pPr>
              <w:rPr>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trPr>
        <w:tc>
          <w:tcPr>
            <w:tcW w:w="649" w:type="dxa"/>
            <w:vMerge w:val="restart"/>
            <w:tcBorders>
              <w:bottom w:val="nil"/>
            </w:tcBorders>
          </w:tcPr>
          <w:p>
            <w:pPr>
              <w:spacing w:line="385" w:lineRule="auto"/>
              <w:jc w:val="center"/>
            </w:pPr>
          </w:p>
          <w:p>
            <w:pPr>
              <w:spacing w:before="55" w:line="219" w:lineRule="auto"/>
              <w:ind w:left="194" w:right="2" w:hanging="139"/>
              <w:jc w:val="center"/>
              <w:rPr>
                <w:rFonts w:ascii="宋体" w:hAnsi="宋体" w:eastAsia="宋体" w:cs="宋体"/>
                <w:spacing w:val="-2"/>
                <w:sz w:val="17"/>
                <w:szCs w:val="17"/>
              </w:rPr>
            </w:pPr>
            <w:r>
              <w:rPr>
                <w:rFonts w:ascii="宋体" w:hAnsi="宋体" w:eastAsia="宋体" w:cs="宋体"/>
                <w:spacing w:val="-2"/>
                <w:sz w:val="17"/>
                <w:szCs w:val="17"/>
              </w:rPr>
              <w:t>年度</w:t>
            </w:r>
          </w:p>
          <w:p>
            <w:pPr>
              <w:spacing w:before="55" w:line="219" w:lineRule="auto"/>
              <w:ind w:left="194" w:right="2" w:hanging="139"/>
              <w:jc w:val="center"/>
              <w:rPr>
                <w:rFonts w:ascii="宋体" w:hAnsi="宋体" w:eastAsia="宋体" w:cs="宋体"/>
                <w:spacing w:val="-2"/>
                <w:sz w:val="17"/>
                <w:szCs w:val="17"/>
              </w:rPr>
            </w:pPr>
            <w:r>
              <w:rPr>
                <w:rFonts w:hint="eastAsia" w:ascii="宋体" w:hAnsi="宋体" w:eastAsia="宋体" w:cs="宋体"/>
                <w:spacing w:val="-2"/>
                <w:sz w:val="17"/>
                <w:szCs w:val="17"/>
              </w:rPr>
              <w:t>总</w:t>
            </w:r>
            <w:r>
              <w:rPr>
                <w:rFonts w:ascii="宋体" w:hAnsi="宋体" w:eastAsia="宋体" w:cs="宋体"/>
                <w:spacing w:val="-2"/>
                <w:sz w:val="17"/>
                <w:szCs w:val="17"/>
              </w:rPr>
              <w:t>体</w:t>
            </w:r>
          </w:p>
          <w:p>
            <w:pPr>
              <w:spacing w:before="55" w:line="219" w:lineRule="auto"/>
              <w:ind w:left="194" w:right="2" w:hanging="139"/>
              <w:jc w:val="center"/>
              <w:rPr>
                <w:rFonts w:ascii="宋体" w:hAnsi="宋体" w:eastAsia="宋体" w:cs="宋体"/>
                <w:sz w:val="17"/>
                <w:szCs w:val="17"/>
              </w:rPr>
            </w:pPr>
            <w:r>
              <w:rPr>
                <w:rFonts w:ascii="宋体" w:hAnsi="宋体" w:eastAsia="宋体" w:cs="宋体"/>
                <w:spacing w:val="-2"/>
                <w:sz w:val="17"/>
                <w:szCs w:val="17"/>
              </w:rPr>
              <w:t>目标</w:t>
            </w:r>
          </w:p>
        </w:tc>
        <w:tc>
          <w:tcPr>
            <w:tcW w:w="6318" w:type="dxa"/>
            <w:gridSpan w:val="6"/>
          </w:tcPr>
          <w:p>
            <w:pPr>
              <w:spacing w:before="183" w:line="220" w:lineRule="auto"/>
              <w:ind w:left="3141"/>
              <w:rPr>
                <w:rFonts w:ascii="宋体" w:hAnsi="宋体" w:eastAsia="宋体" w:cs="宋体"/>
                <w:color w:val="auto"/>
                <w:sz w:val="17"/>
                <w:szCs w:val="17"/>
              </w:rPr>
            </w:pPr>
            <w:r>
              <w:rPr>
                <w:rFonts w:ascii="宋体" w:hAnsi="宋体" w:eastAsia="宋体" w:cs="宋体"/>
                <w:color w:val="auto"/>
                <w:spacing w:val="-2"/>
                <w:sz w:val="17"/>
                <w:szCs w:val="17"/>
              </w:rPr>
              <w:t>预期目标</w:t>
            </w:r>
          </w:p>
        </w:tc>
        <w:tc>
          <w:tcPr>
            <w:tcW w:w="1232" w:type="dxa"/>
          </w:tcPr>
          <w:p>
            <w:pPr>
              <w:jc w:val="center"/>
              <w:rPr>
                <w:color w:val="auto"/>
              </w:rPr>
            </w:pPr>
            <w:r>
              <w:rPr>
                <w:rFonts w:hint="eastAsia"/>
                <w:color w:val="auto"/>
              </w:rPr>
              <w:t>全年实际完成情况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9" w:hRule="atLeast"/>
        </w:trPr>
        <w:tc>
          <w:tcPr>
            <w:tcW w:w="649" w:type="dxa"/>
            <w:vMerge w:val="continue"/>
            <w:tcBorders>
              <w:top w:val="nil"/>
            </w:tcBorders>
          </w:tcPr>
          <w:p/>
        </w:tc>
        <w:tc>
          <w:tcPr>
            <w:tcW w:w="6318" w:type="dxa"/>
            <w:gridSpan w:val="6"/>
          </w:tcPr>
          <w:p>
            <w:pPr>
              <w:rPr>
                <w:rFonts w:eastAsia="宋体"/>
              </w:rPr>
            </w:pPr>
            <w:r>
              <w:rPr>
                <w:rFonts w:hint="eastAsia" w:eastAsia="宋体"/>
              </w:rPr>
              <w:t>严格按照国家政策，根据退役军人事务管理局等提供全区军转干部、离休干部和伤残军人详细名单，核实相应人员因生病住院和门诊发生的医疗费用，在按照基本医疗保险政策报销后剩余部分在“二老一残”医疗费项目中支付，从而解决就医负担，让这些为国家做出贡献的人受到国家和社会的尊重、关怀。</w:t>
            </w:r>
          </w:p>
        </w:tc>
        <w:tc>
          <w:tcPr>
            <w:tcW w:w="1232" w:type="dxa"/>
            <w:vAlign w:val="center"/>
          </w:tcPr>
          <w:p>
            <w:pPr>
              <w:jc w:val="center"/>
              <w:rPr>
                <w:rFonts w:eastAsia="宋体"/>
              </w:rPr>
            </w:pPr>
            <w:r>
              <w:rPr>
                <w:rFonts w:hint="eastAsia" w:eastAsia="宋体"/>
              </w:rPr>
              <w:t>已完成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8" w:hRule="atLeast"/>
        </w:trPr>
        <w:tc>
          <w:tcPr>
            <w:tcW w:w="649" w:type="dxa"/>
            <w:vMerge w:val="restart"/>
            <w:tcBorders>
              <w:top w:val="single" w:color="auto" w:sz="4" w:space="0"/>
              <w:left w:val="single" w:color="auto" w:sz="4" w:space="0"/>
              <w:bottom w:val="single" w:color="auto" w:sz="4" w:space="0"/>
              <w:right w:val="single" w:color="auto" w:sz="4" w:space="0"/>
            </w:tcBorders>
          </w:tcPr>
          <w:p>
            <w:pPr>
              <w:spacing w:line="253" w:lineRule="auto"/>
            </w:pPr>
          </w:p>
          <w:p>
            <w:pPr>
              <w:spacing w:line="253" w:lineRule="auto"/>
            </w:pPr>
          </w:p>
          <w:p>
            <w:pPr>
              <w:spacing w:line="253" w:lineRule="auto"/>
            </w:pPr>
          </w:p>
          <w:p>
            <w:pPr>
              <w:spacing w:line="254" w:lineRule="auto"/>
            </w:pPr>
          </w:p>
          <w:p>
            <w:pPr>
              <w:spacing w:line="254" w:lineRule="auto"/>
            </w:pPr>
          </w:p>
          <w:p>
            <w:pPr>
              <w:spacing w:line="254" w:lineRule="auto"/>
            </w:pPr>
          </w:p>
          <w:p>
            <w:pPr>
              <w:spacing w:line="254" w:lineRule="auto"/>
            </w:pPr>
          </w:p>
          <w:p>
            <w:pPr>
              <w:spacing w:line="254" w:lineRule="auto"/>
            </w:pPr>
          </w:p>
          <w:p>
            <w:pPr>
              <w:spacing w:line="254" w:lineRule="auto"/>
            </w:pPr>
          </w:p>
          <w:p>
            <w:pPr>
              <w:spacing w:line="254" w:lineRule="auto"/>
            </w:pPr>
          </w:p>
          <w:p>
            <w:pPr>
              <w:spacing w:line="254" w:lineRule="auto"/>
            </w:pPr>
          </w:p>
          <w:p>
            <w:pPr>
              <w:spacing w:line="254" w:lineRule="auto"/>
            </w:pPr>
          </w:p>
          <w:p>
            <w:pPr>
              <w:spacing w:line="254" w:lineRule="auto"/>
            </w:pPr>
          </w:p>
          <w:p>
            <w:pPr>
              <w:spacing w:before="56" w:line="220" w:lineRule="auto"/>
              <w:ind w:left="55"/>
              <w:rPr>
                <w:rFonts w:ascii="宋体" w:hAnsi="宋体" w:eastAsia="宋体" w:cs="宋体"/>
                <w:sz w:val="17"/>
                <w:szCs w:val="17"/>
              </w:rPr>
            </w:pPr>
            <w:r>
              <w:rPr>
                <w:rFonts w:ascii="宋体" w:hAnsi="宋体" w:eastAsia="宋体" w:cs="宋体"/>
                <w:spacing w:val="-11"/>
                <w:sz w:val="17"/>
                <w:szCs w:val="17"/>
              </w:rPr>
              <w:t>绩效指标</w:t>
            </w:r>
          </w:p>
        </w:tc>
        <w:tc>
          <w:tcPr>
            <w:tcW w:w="703" w:type="dxa"/>
            <w:tcBorders>
              <w:top w:val="single" w:color="auto" w:sz="4" w:space="0"/>
              <w:left w:val="single" w:color="auto" w:sz="4" w:space="0"/>
              <w:bottom w:val="single" w:color="auto" w:sz="4" w:space="0"/>
              <w:right w:val="single" w:color="auto" w:sz="4" w:space="0"/>
            </w:tcBorders>
          </w:tcPr>
          <w:p>
            <w:pPr>
              <w:spacing w:before="155" w:line="220" w:lineRule="auto"/>
              <w:ind w:left="40"/>
              <w:rPr>
                <w:rFonts w:ascii="宋体" w:hAnsi="宋体" w:eastAsia="宋体" w:cs="宋体"/>
                <w:sz w:val="17"/>
                <w:szCs w:val="17"/>
              </w:rPr>
            </w:pPr>
            <w:r>
              <w:rPr>
                <w:rFonts w:ascii="宋体" w:hAnsi="宋体" w:eastAsia="宋体" w:cs="宋体"/>
                <w:spacing w:val="-2"/>
                <w:sz w:val="17"/>
                <w:szCs w:val="17"/>
              </w:rPr>
              <w:t>一级指标</w:t>
            </w:r>
          </w:p>
        </w:tc>
        <w:tc>
          <w:tcPr>
            <w:tcW w:w="931" w:type="dxa"/>
            <w:tcBorders>
              <w:top w:val="single" w:color="auto" w:sz="4" w:space="0"/>
              <w:left w:val="single" w:color="auto" w:sz="4" w:space="0"/>
              <w:bottom w:val="single" w:color="auto" w:sz="4" w:space="0"/>
              <w:right w:val="single" w:color="auto" w:sz="4" w:space="0"/>
            </w:tcBorders>
          </w:tcPr>
          <w:p>
            <w:pPr>
              <w:spacing w:before="155" w:line="220" w:lineRule="auto"/>
              <w:ind w:left="202"/>
              <w:rPr>
                <w:rFonts w:ascii="宋体" w:hAnsi="宋体" w:eastAsia="宋体" w:cs="宋体"/>
                <w:sz w:val="17"/>
                <w:szCs w:val="17"/>
              </w:rPr>
            </w:pPr>
            <w:r>
              <w:rPr>
                <w:rFonts w:ascii="宋体" w:hAnsi="宋体" w:eastAsia="宋体" w:cs="宋体"/>
                <w:spacing w:val="-2"/>
                <w:sz w:val="17"/>
                <w:szCs w:val="17"/>
              </w:rPr>
              <w:t>二级指标</w:t>
            </w:r>
          </w:p>
        </w:tc>
        <w:tc>
          <w:tcPr>
            <w:tcW w:w="1822" w:type="dxa"/>
            <w:gridSpan w:val="2"/>
            <w:tcBorders>
              <w:top w:val="single" w:color="auto" w:sz="4" w:space="0"/>
              <w:left w:val="single" w:color="auto" w:sz="4" w:space="0"/>
              <w:bottom w:val="single" w:color="auto" w:sz="4" w:space="0"/>
              <w:right w:val="single" w:color="auto" w:sz="4" w:space="0"/>
            </w:tcBorders>
          </w:tcPr>
          <w:p>
            <w:pPr>
              <w:spacing w:before="155" w:line="220" w:lineRule="auto"/>
              <w:ind w:left="742"/>
              <w:rPr>
                <w:rFonts w:ascii="宋体" w:hAnsi="宋体" w:eastAsia="宋体" w:cs="宋体"/>
                <w:sz w:val="17"/>
                <w:szCs w:val="17"/>
              </w:rPr>
            </w:pPr>
            <w:r>
              <w:rPr>
                <w:rFonts w:ascii="宋体" w:hAnsi="宋体" w:eastAsia="宋体" w:cs="宋体"/>
                <w:spacing w:val="-2"/>
                <w:sz w:val="17"/>
                <w:szCs w:val="17"/>
              </w:rPr>
              <w:t>三级指标</w:t>
            </w:r>
          </w:p>
        </w:tc>
        <w:tc>
          <w:tcPr>
            <w:tcW w:w="1638" w:type="dxa"/>
            <w:tcBorders>
              <w:top w:val="single" w:color="auto" w:sz="4" w:space="0"/>
              <w:left w:val="single" w:color="auto" w:sz="4" w:space="0"/>
              <w:bottom w:val="single" w:color="auto" w:sz="4" w:space="0"/>
              <w:right w:val="single" w:color="auto" w:sz="4" w:space="0"/>
            </w:tcBorders>
          </w:tcPr>
          <w:p>
            <w:pPr>
              <w:spacing w:before="155" w:line="219" w:lineRule="auto"/>
              <w:ind w:left="354"/>
              <w:rPr>
                <w:rFonts w:ascii="宋体" w:hAnsi="宋体" w:eastAsia="宋体" w:cs="宋体"/>
                <w:sz w:val="17"/>
                <w:szCs w:val="17"/>
              </w:rPr>
            </w:pPr>
            <w:r>
              <w:rPr>
                <w:rFonts w:ascii="宋体" w:hAnsi="宋体" w:eastAsia="宋体" w:cs="宋体"/>
                <w:spacing w:val="-2"/>
                <w:sz w:val="17"/>
                <w:szCs w:val="17"/>
              </w:rPr>
              <w:t>年度指标值</w:t>
            </w:r>
          </w:p>
        </w:tc>
        <w:tc>
          <w:tcPr>
            <w:tcW w:w="1224" w:type="dxa"/>
            <w:tcBorders>
              <w:left w:val="single" w:color="auto" w:sz="4" w:space="0"/>
            </w:tcBorders>
          </w:tcPr>
          <w:p>
            <w:pPr>
              <w:spacing w:before="155" w:line="219" w:lineRule="auto"/>
              <w:ind w:left="307"/>
              <w:rPr>
                <w:rFonts w:ascii="宋体" w:hAnsi="宋体" w:eastAsia="宋体" w:cs="宋体"/>
                <w:sz w:val="17"/>
                <w:szCs w:val="17"/>
              </w:rPr>
            </w:pPr>
            <w:r>
              <w:rPr>
                <w:rFonts w:ascii="宋体" w:hAnsi="宋体" w:eastAsia="宋体" w:cs="宋体"/>
                <w:spacing w:val="-2"/>
                <w:sz w:val="17"/>
                <w:szCs w:val="17"/>
              </w:rPr>
              <w:t>实际完成值</w:t>
            </w:r>
          </w:p>
        </w:tc>
        <w:tc>
          <w:tcPr>
            <w:tcW w:w="1232" w:type="dxa"/>
          </w:tcPr>
          <w:p>
            <w:pPr>
              <w:spacing w:before="75" w:line="227" w:lineRule="auto"/>
              <w:ind w:left="227" w:hanging="189"/>
              <w:rPr>
                <w:rFonts w:ascii="宋体" w:hAnsi="宋体" w:eastAsia="宋体" w:cs="宋体"/>
                <w:sz w:val="16"/>
                <w:szCs w:val="16"/>
              </w:rPr>
            </w:pPr>
            <w:r>
              <w:rPr>
                <w:rFonts w:ascii="宋体" w:hAnsi="宋体" w:eastAsia="宋体" w:cs="宋体"/>
                <w:sz w:val="16"/>
                <w:szCs w:val="16"/>
              </w:rPr>
              <w:t>偏差原因分析及</w:t>
            </w:r>
            <w:r>
              <w:rPr>
                <w:rFonts w:ascii="宋体" w:hAnsi="宋体" w:eastAsia="宋体" w:cs="宋体"/>
                <w:spacing w:val="3"/>
                <w:sz w:val="16"/>
                <w:szCs w:val="16"/>
              </w:rPr>
              <w:t xml:space="preserve"> </w:t>
            </w:r>
            <w:r>
              <w:rPr>
                <w:rFonts w:ascii="宋体" w:hAnsi="宋体" w:eastAsia="宋体" w:cs="宋体"/>
                <w:spacing w:val="11"/>
                <w:sz w:val="16"/>
                <w:szCs w:val="16"/>
              </w:rPr>
              <w:t>改进措施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 w:hRule="atLeast"/>
        </w:trPr>
        <w:tc>
          <w:tcPr>
            <w:tcW w:w="649" w:type="dxa"/>
            <w:vMerge w:val="continue"/>
            <w:tcBorders>
              <w:top w:val="single" w:color="auto" w:sz="4" w:space="0"/>
              <w:left w:val="single" w:color="auto" w:sz="4" w:space="0"/>
              <w:bottom w:val="single" w:color="auto" w:sz="4" w:space="0"/>
              <w:right w:val="single" w:color="auto" w:sz="4" w:space="0"/>
            </w:tcBorders>
          </w:tcPr>
          <w:p/>
        </w:tc>
        <w:tc>
          <w:tcPr>
            <w:tcW w:w="703" w:type="dxa"/>
            <w:vMerge w:val="restart"/>
            <w:tcBorders>
              <w:top w:val="single" w:color="auto" w:sz="4" w:space="0"/>
              <w:left w:val="single" w:color="auto" w:sz="4" w:space="0"/>
              <w:bottom w:val="single" w:color="auto" w:sz="4" w:space="0"/>
              <w:right w:val="single" w:color="auto" w:sz="4" w:space="0"/>
            </w:tcBorders>
          </w:tcPr>
          <w:p>
            <w:pPr>
              <w:spacing w:line="286" w:lineRule="auto"/>
              <w:jc w:val="center"/>
            </w:pPr>
          </w:p>
          <w:p>
            <w:pPr>
              <w:spacing w:line="286" w:lineRule="auto"/>
              <w:jc w:val="center"/>
            </w:pPr>
          </w:p>
          <w:p>
            <w:pPr>
              <w:spacing w:line="286" w:lineRule="auto"/>
              <w:jc w:val="center"/>
            </w:pPr>
          </w:p>
          <w:p>
            <w:pPr>
              <w:spacing w:line="286" w:lineRule="auto"/>
              <w:jc w:val="center"/>
            </w:pPr>
          </w:p>
          <w:p>
            <w:pPr>
              <w:spacing w:line="287" w:lineRule="auto"/>
              <w:jc w:val="center"/>
            </w:pPr>
          </w:p>
          <w:p>
            <w:pPr>
              <w:spacing w:before="56" w:line="219" w:lineRule="auto"/>
              <w:ind w:left="40"/>
              <w:jc w:val="center"/>
              <w:rPr>
                <w:rFonts w:ascii="宋体" w:hAnsi="宋体" w:eastAsia="宋体" w:cs="宋体"/>
                <w:spacing w:val="-2"/>
                <w:sz w:val="17"/>
                <w:szCs w:val="17"/>
              </w:rPr>
            </w:pPr>
            <w:r>
              <w:rPr>
                <w:rFonts w:ascii="宋体" w:hAnsi="宋体" w:eastAsia="宋体" w:cs="宋体"/>
                <w:spacing w:val="-2"/>
                <w:sz w:val="17"/>
                <w:szCs w:val="17"/>
              </w:rPr>
              <w:t>产出</w:t>
            </w:r>
          </w:p>
          <w:p>
            <w:pPr>
              <w:spacing w:before="56" w:line="219" w:lineRule="auto"/>
              <w:ind w:left="40"/>
              <w:jc w:val="center"/>
              <w:rPr>
                <w:rFonts w:ascii="宋体" w:hAnsi="宋体" w:eastAsia="宋体" w:cs="宋体"/>
                <w:sz w:val="17"/>
                <w:szCs w:val="17"/>
              </w:rPr>
            </w:pPr>
            <w:r>
              <w:rPr>
                <w:rFonts w:ascii="宋体" w:hAnsi="宋体" w:eastAsia="宋体" w:cs="宋体"/>
                <w:spacing w:val="-2"/>
                <w:sz w:val="17"/>
                <w:szCs w:val="17"/>
              </w:rPr>
              <w:t>指标</w:t>
            </w:r>
          </w:p>
        </w:tc>
        <w:tc>
          <w:tcPr>
            <w:tcW w:w="931" w:type="dxa"/>
            <w:tcBorders>
              <w:top w:val="single" w:color="auto" w:sz="4" w:space="0"/>
              <w:left w:val="single" w:color="auto" w:sz="4" w:space="0"/>
              <w:bottom w:val="single" w:color="auto" w:sz="4" w:space="0"/>
              <w:right w:val="single" w:color="auto" w:sz="4" w:space="0"/>
            </w:tcBorders>
            <w:vAlign w:val="center"/>
          </w:tcPr>
          <w:p>
            <w:pPr>
              <w:spacing w:before="55" w:line="219" w:lineRule="auto"/>
              <w:ind w:firstLine="166" w:firstLineChars="100"/>
              <w:jc w:val="both"/>
              <w:rPr>
                <w:rFonts w:ascii="宋体" w:hAnsi="宋体" w:eastAsia="宋体" w:cs="宋体"/>
                <w:sz w:val="17"/>
                <w:szCs w:val="17"/>
              </w:rPr>
            </w:pPr>
            <w:r>
              <w:rPr>
                <w:rFonts w:ascii="宋体" w:hAnsi="宋体" w:eastAsia="宋体" w:cs="宋体"/>
                <w:spacing w:val="-2"/>
                <w:sz w:val="17"/>
                <w:szCs w:val="17"/>
              </w:rPr>
              <w:t>数量指标</w:t>
            </w:r>
          </w:p>
        </w:tc>
        <w:tc>
          <w:tcPr>
            <w:tcW w:w="1822" w:type="dxa"/>
            <w:gridSpan w:val="2"/>
            <w:tcBorders>
              <w:top w:val="single" w:color="auto" w:sz="4" w:space="0"/>
              <w:left w:val="single" w:color="auto" w:sz="4" w:space="0"/>
              <w:bottom w:val="single" w:color="auto" w:sz="4" w:space="0"/>
              <w:right w:val="single" w:color="auto" w:sz="4" w:space="0"/>
            </w:tcBorders>
            <w:vAlign w:val="center"/>
          </w:tcPr>
          <w:p>
            <w:pPr>
              <w:spacing w:before="36" w:line="220" w:lineRule="auto"/>
              <w:ind w:left="202"/>
              <w:jc w:val="center"/>
              <w:rPr>
                <w:rFonts w:ascii="宋体" w:hAnsi="宋体" w:eastAsia="宋体" w:cs="宋体"/>
                <w:sz w:val="17"/>
                <w:szCs w:val="17"/>
              </w:rPr>
            </w:pPr>
            <w:r>
              <w:rPr>
                <w:rFonts w:hint="eastAsia" w:ascii="宋体" w:hAnsi="宋体" w:eastAsia="宋体" w:cs="宋体"/>
                <w:spacing w:val="8"/>
                <w:sz w:val="17"/>
                <w:szCs w:val="17"/>
              </w:rPr>
              <w:t>二老一残人员报销次数</w:t>
            </w:r>
          </w:p>
        </w:tc>
        <w:tc>
          <w:tcPr>
            <w:tcW w:w="1638" w:type="dxa"/>
            <w:tcBorders>
              <w:top w:val="single" w:color="auto" w:sz="4" w:space="0"/>
              <w:left w:val="single" w:color="auto" w:sz="4" w:space="0"/>
              <w:bottom w:val="single" w:color="auto" w:sz="4" w:space="0"/>
              <w:right w:val="single" w:color="auto" w:sz="4" w:space="0"/>
            </w:tcBorders>
            <w:vAlign w:val="center"/>
          </w:tcPr>
          <w:p>
            <w:pPr>
              <w:spacing w:before="36" w:line="220" w:lineRule="auto"/>
              <w:ind w:left="202"/>
              <w:jc w:val="center"/>
              <w:rPr>
                <w:rFonts w:ascii="宋体" w:hAnsi="宋体" w:eastAsia="宋体" w:cs="宋体"/>
                <w:spacing w:val="8"/>
                <w:sz w:val="17"/>
                <w:szCs w:val="17"/>
              </w:rPr>
            </w:pPr>
            <w:r>
              <w:rPr>
                <w:rFonts w:hint="eastAsia" w:ascii="宋体" w:hAnsi="宋体" w:eastAsia="宋体" w:cs="宋体"/>
                <w:spacing w:val="8"/>
                <w:sz w:val="17"/>
                <w:szCs w:val="17"/>
              </w:rPr>
              <w:t>≥10人次</w:t>
            </w:r>
          </w:p>
        </w:tc>
        <w:tc>
          <w:tcPr>
            <w:tcW w:w="1224" w:type="dxa"/>
            <w:tcBorders>
              <w:left w:val="single" w:color="auto" w:sz="4" w:space="0"/>
            </w:tcBorders>
            <w:vAlign w:val="center"/>
          </w:tcPr>
          <w:p>
            <w:pPr>
              <w:spacing w:before="36" w:line="220" w:lineRule="auto"/>
              <w:ind w:left="202"/>
              <w:jc w:val="center"/>
              <w:rPr>
                <w:rFonts w:ascii="宋体" w:hAnsi="宋体" w:eastAsia="宋体" w:cs="宋体"/>
                <w:spacing w:val="8"/>
                <w:sz w:val="17"/>
                <w:szCs w:val="17"/>
              </w:rPr>
            </w:pPr>
            <w:r>
              <w:rPr>
                <w:rFonts w:hint="eastAsia" w:ascii="宋体" w:hAnsi="宋体" w:eastAsia="宋体" w:cs="宋体"/>
                <w:spacing w:val="8"/>
                <w:sz w:val="17"/>
                <w:szCs w:val="17"/>
              </w:rPr>
              <w:t>58人次</w:t>
            </w:r>
          </w:p>
        </w:tc>
        <w:tc>
          <w:tcPr>
            <w:tcW w:w="1232" w:type="dxa"/>
          </w:tcPr>
          <w:p>
            <w:pPr>
              <w:rPr>
                <w:rFonts w:hint="eastAsia" w:eastAsia="宋体"/>
                <w:lang w:val="en-US" w:eastAsia="zh-CN"/>
              </w:rPr>
            </w:pPr>
            <w:r>
              <w:rPr>
                <w:rFonts w:hint="eastAsia" w:eastAsia="宋体"/>
                <w:lang w:val="en-US" w:eastAsia="zh-CN"/>
              </w:rPr>
              <w:t>根据提交报销资料，实时动态更新人次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7" w:hRule="atLeast"/>
        </w:trPr>
        <w:tc>
          <w:tcPr>
            <w:tcW w:w="649" w:type="dxa"/>
            <w:vMerge w:val="continue"/>
            <w:tcBorders>
              <w:top w:val="single" w:color="auto" w:sz="4" w:space="0"/>
              <w:left w:val="single" w:color="auto" w:sz="4" w:space="0"/>
              <w:bottom w:val="single" w:color="auto" w:sz="4" w:space="0"/>
              <w:right w:val="single" w:color="auto" w:sz="4" w:space="0"/>
            </w:tcBorders>
          </w:tcPr>
          <w:p/>
        </w:tc>
        <w:tc>
          <w:tcPr>
            <w:tcW w:w="703" w:type="dxa"/>
            <w:vMerge w:val="continue"/>
            <w:tcBorders>
              <w:top w:val="single" w:color="auto" w:sz="4" w:space="0"/>
              <w:left w:val="single" w:color="auto" w:sz="4" w:space="0"/>
              <w:bottom w:val="single" w:color="auto" w:sz="4" w:space="0"/>
              <w:right w:val="single" w:color="auto" w:sz="4" w:space="0"/>
            </w:tcBorders>
          </w:tcPr>
          <w:p>
            <w:pPr>
              <w:jc w:val="center"/>
            </w:pPr>
          </w:p>
        </w:tc>
        <w:tc>
          <w:tcPr>
            <w:tcW w:w="931" w:type="dxa"/>
            <w:tcBorders>
              <w:top w:val="single" w:color="auto" w:sz="4" w:space="0"/>
              <w:left w:val="single" w:color="auto" w:sz="4" w:space="0"/>
              <w:bottom w:val="single" w:color="auto" w:sz="4" w:space="0"/>
              <w:right w:val="single" w:color="auto" w:sz="4" w:space="0"/>
            </w:tcBorders>
            <w:vAlign w:val="center"/>
          </w:tcPr>
          <w:p>
            <w:pPr>
              <w:spacing w:before="55" w:line="220" w:lineRule="auto"/>
              <w:ind w:firstLine="166" w:firstLineChars="100"/>
              <w:jc w:val="both"/>
              <w:rPr>
                <w:rFonts w:ascii="宋体" w:hAnsi="宋体" w:eastAsia="宋体" w:cs="宋体"/>
                <w:sz w:val="17"/>
                <w:szCs w:val="17"/>
              </w:rPr>
            </w:pPr>
            <w:r>
              <w:rPr>
                <w:rFonts w:ascii="宋体" w:hAnsi="宋体" w:eastAsia="宋体" w:cs="宋体"/>
                <w:spacing w:val="-2"/>
                <w:sz w:val="17"/>
                <w:szCs w:val="17"/>
              </w:rPr>
              <w:t>质量指标</w:t>
            </w:r>
          </w:p>
        </w:tc>
        <w:tc>
          <w:tcPr>
            <w:tcW w:w="1822" w:type="dxa"/>
            <w:gridSpan w:val="2"/>
            <w:tcBorders>
              <w:top w:val="single" w:color="auto" w:sz="4" w:space="0"/>
              <w:left w:val="single" w:color="auto" w:sz="4" w:space="0"/>
              <w:bottom w:val="single" w:color="auto" w:sz="4" w:space="0"/>
              <w:right w:val="single" w:color="auto" w:sz="4" w:space="0"/>
            </w:tcBorders>
            <w:vAlign w:val="center"/>
          </w:tcPr>
          <w:p>
            <w:pPr>
              <w:spacing w:before="66" w:line="210" w:lineRule="auto"/>
              <w:ind w:left="202"/>
              <w:jc w:val="center"/>
              <w:rPr>
                <w:rFonts w:ascii="宋体" w:hAnsi="宋体" w:eastAsia="宋体" w:cs="宋体"/>
                <w:sz w:val="17"/>
                <w:szCs w:val="17"/>
              </w:rPr>
            </w:pPr>
            <w:r>
              <w:rPr>
                <w:rFonts w:hint="eastAsia" w:ascii="宋体" w:hAnsi="宋体" w:eastAsia="宋体" w:cs="宋体"/>
                <w:spacing w:val="8"/>
                <w:sz w:val="17"/>
                <w:szCs w:val="17"/>
              </w:rPr>
              <w:t>报销精准率、及时率</w:t>
            </w:r>
          </w:p>
        </w:tc>
        <w:tc>
          <w:tcPr>
            <w:tcW w:w="1638" w:type="dxa"/>
            <w:tcBorders>
              <w:top w:val="single" w:color="auto" w:sz="4" w:space="0"/>
              <w:left w:val="single" w:color="auto" w:sz="4" w:space="0"/>
              <w:bottom w:val="single" w:color="auto" w:sz="4" w:space="0"/>
              <w:right w:val="single" w:color="auto" w:sz="4" w:space="0"/>
            </w:tcBorders>
            <w:vAlign w:val="center"/>
          </w:tcPr>
          <w:p>
            <w:pPr>
              <w:spacing w:before="36" w:line="220" w:lineRule="auto"/>
              <w:ind w:left="202"/>
              <w:jc w:val="center"/>
              <w:rPr>
                <w:rFonts w:ascii="宋体" w:hAnsi="宋体" w:eastAsia="宋体" w:cs="宋体"/>
                <w:spacing w:val="8"/>
                <w:sz w:val="17"/>
                <w:szCs w:val="17"/>
              </w:rPr>
            </w:pPr>
            <w:r>
              <w:rPr>
                <w:rFonts w:hint="eastAsia" w:ascii="宋体" w:hAnsi="宋体" w:eastAsia="宋体" w:cs="宋体"/>
                <w:spacing w:val="8"/>
                <w:sz w:val="17"/>
                <w:szCs w:val="17"/>
              </w:rPr>
              <w:t>=100%</w:t>
            </w:r>
          </w:p>
        </w:tc>
        <w:tc>
          <w:tcPr>
            <w:tcW w:w="1224" w:type="dxa"/>
            <w:tcBorders>
              <w:left w:val="single" w:color="auto" w:sz="4" w:space="0"/>
            </w:tcBorders>
            <w:vAlign w:val="center"/>
          </w:tcPr>
          <w:p>
            <w:pPr>
              <w:spacing w:before="36" w:line="220" w:lineRule="auto"/>
              <w:ind w:left="202"/>
              <w:jc w:val="center"/>
              <w:rPr>
                <w:rFonts w:ascii="宋体" w:hAnsi="宋体" w:eastAsia="宋体" w:cs="宋体"/>
                <w:spacing w:val="8"/>
                <w:sz w:val="17"/>
                <w:szCs w:val="17"/>
              </w:rPr>
            </w:pPr>
            <w:r>
              <w:rPr>
                <w:rFonts w:hint="eastAsia" w:ascii="宋体" w:hAnsi="宋体" w:eastAsia="宋体" w:cs="宋体"/>
                <w:spacing w:val="8"/>
                <w:sz w:val="17"/>
                <w:szCs w:val="17"/>
              </w:rPr>
              <w:t>100%</w:t>
            </w:r>
          </w:p>
        </w:tc>
        <w:tc>
          <w:tcPr>
            <w:tcW w:w="1232"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 w:hRule="atLeast"/>
        </w:trPr>
        <w:tc>
          <w:tcPr>
            <w:tcW w:w="649" w:type="dxa"/>
            <w:vMerge w:val="continue"/>
            <w:tcBorders>
              <w:top w:val="single" w:color="auto" w:sz="4" w:space="0"/>
              <w:left w:val="single" w:color="auto" w:sz="4" w:space="0"/>
              <w:bottom w:val="single" w:color="auto" w:sz="4" w:space="0"/>
              <w:right w:val="single" w:color="auto" w:sz="4" w:space="0"/>
            </w:tcBorders>
          </w:tcPr>
          <w:p/>
        </w:tc>
        <w:tc>
          <w:tcPr>
            <w:tcW w:w="703" w:type="dxa"/>
            <w:vMerge w:val="continue"/>
            <w:tcBorders>
              <w:top w:val="single" w:color="auto" w:sz="4" w:space="0"/>
              <w:left w:val="single" w:color="auto" w:sz="4" w:space="0"/>
              <w:bottom w:val="single" w:color="auto" w:sz="4" w:space="0"/>
              <w:right w:val="single" w:color="auto" w:sz="4" w:space="0"/>
            </w:tcBorders>
          </w:tcPr>
          <w:p>
            <w:pPr>
              <w:jc w:val="center"/>
            </w:pPr>
          </w:p>
        </w:tc>
        <w:tc>
          <w:tcPr>
            <w:tcW w:w="931" w:type="dxa"/>
            <w:tcBorders>
              <w:top w:val="single" w:color="auto" w:sz="4" w:space="0"/>
              <w:left w:val="single" w:color="auto" w:sz="4" w:space="0"/>
              <w:bottom w:val="single" w:color="auto" w:sz="4" w:space="0"/>
              <w:right w:val="single" w:color="auto" w:sz="4" w:space="0"/>
            </w:tcBorders>
            <w:vAlign w:val="center"/>
          </w:tcPr>
          <w:p>
            <w:pPr>
              <w:spacing w:before="55" w:line="220" w:lineRule="auto"/>
              <w:ind w:firstLine="172" w:firstLineChars="100"/>
              <w:jc w:val="both"/>
              <w:rPr>
                <w:rFonts w:ascii="宋体" w:hAnsi="宋体" w:eastAsia="宋体" w:cs="宋体"/>
                <w:sz w:val="17"/>
                <w:szCs w:val="17"/>
              </w:rPr>
            </w:pPr>
            <w:r>
              <w:rPr>
                <w:rFonts w:ascii="宋体" w:hAnsi="宋体" w:eastAsia="宋体" w:cs="宋体"/>
                <w:spacing w:val="1"/>
                <w:sz w:val="17"/>
                <w:szCs w:val="17"/>
              </w:rPr>
              <w:t>时效指标</w:t>
            </w:r>
          </w:p>
        </w:tc>
        <w:tc>
          <w:tcPr>
            <w:tcW w:w="1822" w:type="dxa"/>
            <w:gridSpan w:val="2"/>
            <w:tcBorders>
              <w:top w:val="single" w:color="auto" w:sz="4" w:space="0"/>
              <w:left w:val="single" w:color="auto" w:sz="4" w:space="0"/>
              <w:bottom w:val="single" w:color="auto" w:sz="4" w:space="0"/>
              <w:right w:val="single" w:color="auto" w:sz="4" w:space="0"/>
            </w:tcBorders>
            <w:vAlign w:val="center"/>
          </w:tcPr>
          <w:p>
            <w:pPr>
              <w:spacing w:before="56" w:line="210" w:lineRule="auto"/>
              <w:ind w:left="202"/>
              <w:jc w:val="center"/>
              <w:rPr>
                <w:rFonts w:ascii="宋体" w:hAnsi="宋体" w:eastAsia="宋体" w:cs="宋体"/>
                <w:sz w:val="17"/>
                <w:szCs w:val="17"/>
              </w:rPr>
            </w:pPr>
            <w:r>
              <w:rPr>
                <w:rFonts w:hint="eastAsia" w:ascii="宋体" w:hAnsi="宋体" w:eastAsia="宋体" w:cs="宋体"/>
                <w:spacing w:val="8"/>
                <w:sz w:val="17"/>
                <w:szCs w:val="17"/>
              </w:rPr>
              <w:t>完成时限</w:t>
            </w:r>
          </w:p>
        </w:tc>
        <w:tc>
          <w:tcPr>
            <w:tcW w:w="1638" w:type="dxa"/>
            <w:tcBorders>
              <w:top w:val="single" w:color="auto" w:sz="4" w:space="0"/>
              <w:left w:val="single" w:color="auto" w:sz="4" w:space="0"/>
              <w:bottom w:val="single" w:color="auto" w:sz="4" w:space="0"/>
              <w:right w:val="single" w:color="auto" w:sz="4" w:space="0"/>
            </w:tcBorders>
            <w:vAlign w:val="center"/>
          </w:tcPr>
          <w:p>
            <w:pPr>
              <w:spacing w:before="36" w:line="220" w:lineRule="auto"/>
              <w:ind w:left="202"/>
              <w:jc w:val="center"/>
              <w:rPr>
                <w:rFonts w:ascii="宋体" w:hAnsi="宋体" w:eastAsia="宋体" w:cs="宋体"/>
                <w:spacing w:val="8"/>
                <w:sz w:val="17"/>
                <w:szCs w:val="17"/>
              </w:rPr>
            </w:pPr>
            <w:r>
              <w:rPr>
                <w:rFonts w:hint="eastAsia" w:ascii="宋体" w:hAnsi="宋体" w:eastAsia="宋体" w:cs="宋体"/>
                <w:spacing w:val="8"/>
                <w:sz w:val="17"/>
                <w:szCs w:val="17"/>
              </w:rPr>
              <w:t>=1年</w:t>
            </w:r>
          </w:p>
        </w:tc>
        <w:tc>
          <w:tcPr>
            <w:tcW w:w="1224" w:type="dxa"/>
            <w:tcBorders>
              <w:left w:val="single" w:color="auto" w:sz="4" w:space="0"/>
            </w:tcBorders>
            <w:vAlign w:val="center"/>
          </w:tcPr>
          <w:p>
            <w:pPr>
              <w:spacing w:before="36" w:line="220" w:lineRule="auto"/>
              <w:ind w:left="202"/>
              <w:jc w:val="center"/>
              <w:rPr>
                <w:rFonts w:ascii="宋体" w:hAnsi="宋体" w:eastAsia="宋体" w:cs="宋体"/>
                <w:spacing w:val="8"/>
                <w:sz w:val="17"/>
                <w:szCs w:val="17"/>
              </w:rPr>
            </w:pPr>
            <w:r>
              <w:rPr>
                <w:rFonts w:hint="eastAsia" w:ascii="宋体" w:hAnsi="宋体" w:eastAsia="宋体" w:cs="宋体"/>
                <w:spacing w:val="8"/>
                <w:sz w:val="17"/>
                <w:szCs w:val="17"/>
              </w:rPr>
              <w:t>1年</w:t>
            </w:r>
          </w:p>
        </w:tc>
        <w:tc>
          <w:tcPr>
            <w:tcW w:w="1232"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 w:hRule="atLeast"/>
        </w:trPr>
        <w:tc>
          <w:tcPr>
            <w:tcW w:w="649" w:type="dxa"/>
            <w:vMerge w:val="continue"/>
            <w:tcBorders>
              <w:top w:val="single" w:color="auto" w:sz="4" w:space="0"/>
              <w:left w:val="single" w:color="auto" w:sz="4" w:space="0"/>
              <w:bottom w:val="single" w:color="auto" w:sz="4" w:space="0"/>
              <w:right w:val="single" w:color="auto" w:sz="4" w:space="0"/>
            </w:tcBorders>
          </w:tcPr>
          <w:p/>
        </w:tc>
        <w:tc>
          <w:tcPr>
            <w:tcW w:w="703" w:type="dxa"/>
            <w:vMerge w:val="continue"/>
            <w:tcBorders>
              <w:top w:val="single" w:color="auto" w:sz="4" w:space="0"/>
              <w:left w:val="single" w:color="auto" w:sz="4" w:space="0"/>
              <w:bottom w:val="single" w:color="auto" w:sz="4" w:space="0"/>
              <w:right w:val="single" w:color="auto" w:sz="4" w:space="0"/>
            </w:tcBorders>
          </w:tcPr>
          <w:p>
            <w:pPr>
              <w:jc w:val="center"/>
            </w:pPr>
          </w:p>
        </w:tc>
        <w:tc>
          <w:tcPr>
            <w:tcW w:w="931" w:type="dxa"/>
            <w:tcBorders>
              <w:top w:val="single" w:color="auto" w:sz="4" w:space="0"/>
              <w:left w:val="single" w:color="auto" w:sz="4" w:space="0"/>
              <w:bottom w:val="single" w:color="auto" w:sz="4" w:space="0"/>
              <w:right w:val="single" w:color="auto" w:sz="4" w:space="0"/>
            </w:tcBorders>
            <w:vAlign w:val="center"/>
          </w:tcPr>
          <w:p>
            <w:pPr>
              <w:spacing w:before="55" w:line="219" w:lineRule="auto"/>
              <w:ind w:firstLine="166" w:firstLineChars="100"/>
              <w:jc w:val="both"/>
              <w:rPr>
                <w:rFonts w:ascii="宋体" w:hAnsi="宋体" w:eastAsia="宋体" w:cs="宋体"/>
                <w:sz w:val="17"/>
                <w:szCs w:val="17"/>
              </w:rPr>
            </w:pPr>
            <w:r>
              <w:rPr>
                <w:rFonts w:ascii="宋体" w:hAnsi="宋体" w:eastAsia="宋体" w:cs="宋体"/>
                <w:spacing w:val="-2"/>
                <w:sz w:val="17"/>
                <w:szCs w:val="17"/>
              </w:rPr>
              <w:t>成本指标</w:t>
            </w:r>
          </w:p>
        </w:tc>
        <w:tc>
          <w:tcPr>
            <w:tcW w:w="1822" w:type="dxa"/>
            <w:gridSpan w:val="2"/>
            <w:tcBorders>
              <w:top w:val="single" w:color="auto" w:sz="4" w:space="0"/>
              <w:left w:val="single" w:color="auto" w:sz="4" w:space="0"/>
              <w:bottom w:val="single" w:color="auto" w:sz="4" w:space="0"/>
              <w:right w:val="single" w:color="auto" w:sz="4" w:space="0"/>
            </w:tcBorders>
            <w:vAlign w:val="center"/>
          </w:tcPr>
          <w:p>
            <w:pPr>
              <w:spacing w:before="36" w:line="220" w:lineRule="auto"/>
              <w:ind w:left="202"/>
              <w:jc w:val="center"/>
              <w:rPr>
                <w:rFonts w:ascii="宋体" w:hAnsi="宋体" w:eastAsia="宋体" w:cs="宋体"/>
                <w:sz w:val="17"/>
                <w:szCs w:val="17"/>
              </w:rPr>
            </w:pPr>
            <w:r>
              <w:rPr>
                <w:rFonts w:hint="eastAsia" w:ascii="宋体" w:hAnsi="宋体" w:eastAsia="宋体" w:cs="宋体"/>
                <w:spacing w:val="8"/>
                <w:sz w:val="17"/>
                <w:szCs w:val="17"/>
              </w:rPr>
              <w:t>二老一残医疗费用控制数</w:t>
            </w:r>
          </w:p>
        </w:tc>
        <w:tc>
          <w:tcPr>
            <w:tcW w:w="1638" w:type="dxa"/>
            <w:tcBorders>
              <w:top w:val="single" w:color="auto" w:sz="4" w:space="0"/>
              <w:left w:val="single" w:color="auto" w:sz="4" w:space="0"/>
              <w:bottom w:val="single" w:color="auto" w:sz="4" w:space="0"/>
              <w:right w:val="single" w:color="auto" w:sz="4" w:space="0"/>
            </w:tcBorders>
            <w:vAlign w:val="center"/>
          </w:tcPr>
          <w:p>
            <w:pPr>
              <w:spacing w:before="36" w:line="220" w:lineRule="auto"/>
              <w:ind w:left="202"/>
              <w:jc w:val="center"/>
              <w:rPr>
                <w:rFonts w:ascii="宋体" w:hAnsi="宋体" w:eastAsia="宋体" w:cs="宋体"/>
                <w:spacing w:val="8"/>
                <w:sz w:val="17"/>
                <w:szCs w:val="17"/>
              </w:rPr>
            </w:pPr>
            <w:r>
              <w:rPr>
                <w:rFonts w:hint="eastAsia" w:ascii="宋体" w:hAnsi="宋体" w:eastAsia="宋体" w:cs="宋体"/>
                <w:spacing w:val="8"/>
                <w:sz w:val="17"/>
                <w:szCs w:val="17"/>
              </w:rPr>
              <w:t>≤50万元</w:t>
            </w:r>
          </w:p>
        </w:tc>
        <w:tc>
          <w:tcPr>
            <w:tcW w:w="1224" w:type="dxa"/>
            <w:tcBorders>
              <w:left w:val="single" w:color="auto" w:sz="4" w:space="0"/>
            </w:tcBorders>
            <w:vAlign w:val="center"/>
          </w:tcPr>
          <w:p>
            <w:pPr>
              <w:spacing w:before="36" w:line="220" w:lineRule="auto"/>
              <w:ind w:left="202"/>
              <w:jc w:val="center"/>
              <w:rPr>
                <w:rFonts w:ascii="宋体" w:hAnsi="宋体" w:eastAsia="宋体" w:cs="宋体"/>
                <w:spacing w:val="8"/>
                <w:sz w:val="17"/>
                <w:szCs w:val="17"/>
              </w:rPr>
            </w:pPr>
            <w:r>
              <w:rPr>
                <w:rFonts w:hint="eastAsia" w:ascii="宋体" w:hAnsi="宋体" w:eastAsia="宋体" w:cs="宋体"/>
                <w:spacing w:val="8"/>
                <w:sz w:val="17"/>
                <w:szCs w:val="17"/>
              </w:rPr>
              <w:t>50万元</w:t>
            </w:r>
          </w:p>
        </w:tc>
        <w:tc>
          <w:tcPr>
            <w:tcW w:w="1232"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3" w:hRule="atLeast"/>
        </w:trPr>
        <w:tc>
          <w:tcPr>
            <w:tcW w:w="649" w:type="dxa"/>
            <w:vMerge w:val="continue"/>
            <w:tcBorders>
              <w:top w:val="single" w:color="auto" w:sz="4" w:space="0"/>
              <w:left w:val="single" w:color="auto" w:sz="4" w:space="0"/>
              <w:bottom w:val="single" w:color="auto" w:sz="4" w:space="0"/>
              <w:right w:val="single" w:color="auto" w:sz="4" w:space="0"/>
            </w:tcBorders>
          </w:tcPr>
          <w:p/>
        </w:tc>
        <w:tc>
          <w:tcPr>
            <w:tcW w:w="703" w:type="dxa"/>
            <w:tcBorders>
              <w:top w:val="single" w:color="auto" w:sz="4" w:space="0"/>
              <w:left w:val="single" w:color="auto" w:sz="4" w:space="0"/>
              <w:bottom w:val="single" w:color="auto" w:sz="4" w:space="0"/>
              <w:right w:val="single" w:color="auto" w:sz="4" w:space="0"/>
            </w:tcBorders>
          </w:tcPr>
          <w:p>
            <w:pPr>
              <w:spacing w:line="293" w:lineRule="auto"/>
              <w:jc w:val="center"/>
            </w:pPr>
          </w:p>
          <w:p>
            <w:pPr>
              <w:spacing w:before="56" w:line="220" w:lineRule="auto"/>
              <w:jc w:val="center"/>
              <w:rPr>
                <w:rFonts w:ascii="宋体" w:hAnsi="宋体" w:eastAsia="宋体" w:cs="宋体"/>
                <w:sz w:val="17"/>
                <w:szCs w:val="17"/>
              </w:rPr>
            </w:pPr>
            <w:r>
              <w:rPr>
                <w:rFonts w:ascii="宋体" w:hAnsi="宋体" w:eastAsia="宋体" w:cs="宋体"/>
                <w:spacing w:val="-3"/>
                <w:sz w:val="17"/>
                <w:szCs w:val="17"/>
              </w:rPr>
              <w:t>效益指标</w:t>
            </w:r>
          </w:p>
        </w:tc>
        <w:tc>
          <w:tcPr>
            <w:tcW w:w="931" w:type="dxa"/>
            <w:tcBorders>
              <w:top w:val="single" w:color="auto" w:sz="4" w:space="0"/>
              <w:left w:val="single" w:color="auto" w:sz="4" w:space="0"/>
              <w:bottom w:val="single" w:color="auto" w:sz="4" w:space="0"/>
              <w:right w:val="single" w:color="auto" w:sz="4" w:space="0"/>
            </w:tcBorders>
            <w:vAlign w:val="center"/>
          </w:tcPr>
          <w:p>
            <w:pPr>
              <w:spacing w:before="55" w:line="219" w:lineRule="auto"/>
              <w:jc w:val="center"/>
              <w:rPr>
                <w:rFonts w:ascii="宋体" w:hAnsi="宋体" w:eastAsia="宋体" w:cs="宋体"/>
                <w:spacing w:val="-2"/>
                <w:sz w:val="17"/>
                <w:szCs w:val="17"/>
              </w:rPr>
            </w:pPr>
            <w:r>
              <w:rPr>
                <w:rFonts w:ascii="宋体" w:hAnsi="宋体" w:eastAsia="宋体" w:cs="宋体"/>
                <w:spacing w:val="-2"/>
                <w:sz w:val="17"/>
                <w:szCs w:val="17"/>
              </w:rPr>
              <w:t>社会效益</w:t>
            </w:r>
          </w:p>
          <w:p>
            <w:pPr>
              <w:spacing w:before="55" w:line="219" w:lineRule="auto"/>
              <w:jc w:val="center"/>
              <w:rPr>
                <w:rFonts w:ascii="宋体" w:hAnsi="宋体" w:eastAsia="宋体" w:cs="宋体"/>
                <w:spacing w:val="-2"/>
                <w:sz w:val="17"/>
                <w:szCs w:val="17"/>
              </w:rPr>
            </w:pPr>
            <w:r>
              <w:rPr>
                <w:rFonts w:ascii="宋体" w:hAnsi="宋体" w:eastAsia="宋体" w:cs="宋体"/>
                <w:spacing w:val="-2"/>
                <w:sz w:val="17"/>
                <w:szCs w:val="17"/>
              </w:rPr>
              <w:t>指标</w:t>
            </w:r>
          </w:p>
        </w:tc>
        <w:tc>
          <w:tcPr>
            <w:tcW w:w="1822" w:type="dxa"/>
            <w:gridSpan w:val="2"/>
            <w:tcBorders>
              <w:top w:val="single" w:color="auto" w:sz="4" w:space="0"/>
              <w:left w:val="single" w:color="auto" w:sz="4" w:space="0"/>
              <w:bottom w:val="single" w:color="auto" w:sz="4" w:space="0"/>
              <w:right w:val="single" w:color="auto" w:sz="4" w:space="0"/>
            </w:tcBorders>
            <w:vAlign w:val="center"/>
          </w:tcPr>
          <w:p>
            <w:pPr>
              <w:spacing w:before="56" w:line="210" w:lineRule="auto"/>
              <w:ind w:left="202"/>
              <w:jc w:val="center"/>
              <w:rPr>
                <w:rFonts w:ascii="宋体" w:hAnsi="宋体" w:eastAsia="宋体" w:cs="宋体"/>
                <w:sz w:val="17"/>
                <w:szCs w:val="17"/>
              </w:rPr>
            </w:pPr>
            <w:r>
              <w:rPr>
                <w:rFonts w:hint="eastAsia" w:ascii="宋体" w:hAnsi="宋体" w:eastAsia="宋体" w:cs="宋体"/>
                <w:spacing w:val="8"/>
                <w:sz w:val="17"/>
                <w:szCs w:val="17"/>
              </w:rPr>
              <w:t>维护社会稳定，鼓励更多人为国家做出贡献</w:t>
            </w:r>
          </w:p>
        </w:tc>
        <w:tc>
          <w:tcPr>
            <w:tcW w:w="1638" w:type="dxa"/>
            <w:tcBorders>
              <w:top w:val="single" w:color="auto" w:sz="4" w:space="0"/>
              <w:left w:val="single" w:color="auto" w:sz="4" w:space="0"/>
              <w:bottom w:val="single" w:color="auto" w:sz="4" w:space="0"/>
              <w:right w:val="single" w:color="auto" w:sz="4" w:space="0"/>
            </w:tcBorders>
            <w:vAlign w:val="center"/>
          </w:tcPr>
          <w:p>
            <w:pPr>
              <w:spacing w:before="36" w:line="220" w:lineRule="auto"/>
              <w:ind w:left="202"/>
              <w:jc w:val="center"/>
              <w:rPr>
                <w:rFonts w:ascii="宋体" w:hAnsi="宋体" w:eastAsia="宋体" w:cs="宋体"/>
                <w:spacing w:val="8"/>
                <w:sz w:val="17"/>
                <w:szCs w:val="17"/>
              </w:rPr>
            </w:pPr>
            <w:r>
              <w:rPr>
                <w:rFonts w:hint="eastAsia" w:ascii="宋体" w:hAnsi="宋体" w:eastAsia="宋体" w:cs="宋体"/>
                <w:spacing w:val="8"/>
                <w:sz w:val="17"/>
                <w:szCs w:val="17"/>
              </w:rPr>
              <w:t>优</w:t>
            </w:r>
          </w:p>
        </w:tc>
        <w:tc>
          <w:tcPr>
            <w:tcW w:w="1224" w:type="dxa"/>
            <w:tcBorders>
              <w:left w:val="single" w:color="auto" w:sz="4" w:space="0"/>
            </w:tcBorders>
            <w:vAlign w:val="center"/>
          </w:tcPr>
          <w:p>
            <w:pPr>
              <w:spacing w:before="36" w:line="220" w:lineRule="auto"/>
              <w:ind w:left="202"/>
              <w:jc w:val="center"/>
              <w:rPr>
                <w:rFonts w:ascii="宋体" w:hAnsi="宋体" w:eastAsia="宋体" w:cs="宋体"/>
                <w:spacing w:val="8"/>
                <w:sz w:val="17"/>
                <w:szCs w:val="17"/>
              </w:rPr>
            </w:pPr>
            <w:r>
              <w:rPr>
                <w:rFonts w:hint="eastAsia" w:ascii="宋体" w:hAnsi="宋体" w:eastAsia="宋体" w:cs="宋体"/>
                <w:spacing w:val="8"/>
                <w:sz w:val="17"/>
                <w:szCs w:val="17"/>
              </w:rPr>
              <w:t>优</w:t>
            </w:r>
          </w:p>
        </w:tc>
        <w:tc>
          <w:tcPr>
            <w:tcW w:w="1232"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3" w:hRule="atLeast"/>
        </w:trPr>
        <w:tc>
          <w:tcPr>
            <w:tcW w:w="649" w:type="dxa"/>
            <w:vMerge w:val="continue"/>
            <w:tcBorders>
              <w:top w:val="single" w:color="auto" w:sz="4" w:space="0"/>
              <w:left w:val="single" w:color="auto" w:sz="4" w:space="0"/>
              <w:bottom w:val="single" w:color="auto" w:sz="4" w:space="0"/>
              <w:right w:val="single" w:color="auto" w:sz="4" w:space="0"/>
            </w:tcBorders>
          </w:tcPr>
          <w:p/>
        </w:tc>
        <w:tc>
          <w:tcPr>
            <w:tcW w:w="703" w:type="dxa"/>
            <w:tcBorders>
              <w:top w:val="single" w:color="auto" w:sz="4" w:space="0"/>
              <w:left w:val="single" w:color="auto" w:sz="4" w:space="0"/>
              <w:bottom w:val="single" w:color="auto" w:sz="4" w:space="0"/>
              <w:right w:val="single" w:color="auto" w:sz="4" w:space="0"/>
            </w:tcBorders>
          </w:tcPr>
          <w:p>
            <w:pPr>
              <w:spacing w:before="146" w:line="219" w:lineRule="auto"/>
              <w:ind w:right="124"/>
              <w:jc w:val="center"/>
              <w:rPr>
                <w:rFonts w:ascii="宋体" w:hAnsi="宋体" w:eastAsia="宋体" w:cs="宋体"/>
                <w:sz w:val="17"/>
                <w:szCs w:val="17"/>
              </w:rPr>
            </w:pPr>
            <w:r>
              <w:rPr>
                <w:rFonts w:hint="eastAsia" w:ascii="宋体" w:hAnsi="宋体" w:eastAsia="宋体" w:cs="宋体"/>
                <w:spacing w:val="-2"/>
                <w:sz w:val="17"/>
                <w:szCs w:val="17"/>
              </w:rPr>
              <w:t>满意度指标</w:t>
            </w:r>
          </w:p>
        </w:tc>
        <w:tc>
          <w:tcPr>
            <w:tcW w:w="931" w:type="dxa"/>
            <w:tcBorders>
              <w:top w:val="single" w:color="auto" w:sz="4" w:space="0"/>
              <w:left w:val="single" w:color="auto" w:sz="4" w:space="0"/>
              <w:bottom w:val="single" w:color="auto" w:sz="4" w:space="0"/>
              <w:right w:val="single" w:color="auto" w:sz="4" w:space="0"/>
            </w:tcBorders>
            <w:vAlign w:val="center"/>
          </w:tcPr>
          <w:p>
            <w:pPr>
              <w:spacing w:before="55" w:line="219" w:lineRule="auto"/>
              <w:jc w:val="center"/>
              <w:rPr>
                <w:rFonts w:ascii="宋体" w:hAnsi="宋体" w:eastAsia="宋体" w:cs="宋体"/>
                <w:spacing w:val="-2"/>
                <w:sz w:val="17"/>
                <w:szCs w:val="17"/>
              </w:rPr>
            </w:pPr>
            <w:r>
              <w:rPr>
                <w:rFonts w:ascii="宋体" w:hAnsi="宋体" w:eastAsia="宋体" w:cs="宋体"/>
                <w:spacing w:val="-2"/>
                <w:sz w:val="17"/>
                <w:szCs w:val="17"/>
              </w:rPr>
              <w:t>服务对象</w:t>
            </w:r>
          </w:p>
          <w:p>
            <w:pPr>
              <w:spacing w:before="55" w:line="219" w:lineRule="auto"/>
              <w:jc w:val="center"/>
              <w:rPr>
                <w:rFonts w:ascii="宋体" w:hAnsi="宋体" w:eastAsia="宋体" w:cs="宋体"/>
                <w:spacing w:val="-2"/>
                <w:sz w:val="17"/>
                <w:szCs w:val="17"/>
              </w:rPr>
            </w:pPr>
            <w:r>
              <w:rPr>
                <w:rFonts w:ascii="宋体" w:hAnsi="宋体" w:eastAsia="宋体" w:cs="宋体"/>
                <w:spacing w:val="-2"/>
                <w:sz w:val="17"/>
                <w:szCs w:val="17"/>
              </w:rPr>
              <w:t>满意度指标</w:t>
            </w:r>
          </w:p>
        </w:tc>
        <w:tc>
          <w:tcPr>
            <w:tcW w:w="1822" w:type="dxa"/>
            <w:gridSpan w:val="2"/>
            <w:tcBorders>
              <w:top w:val="single" w:color="auto" w:sz="4" w:space="0"/>
              <w:left w:val="single" w:color="auto" w:sz="4" w:space="0"/>
              <w:bottom w:val="single" w:color="auto" w:sz="4" w:space="0"/>
              <w:right w:val="single" w:color="auto" w:sz="4" w:space="0"/>
            </w:tcBorders>
            <w:vAlign w:val="center"/>
          </w:tcPr>
          <w:p>
            <w:pPr>
              <w:spacing w:before="67" w:line="209" w:lineRule="auto"/>
              <w:ind w:left="23"/>
              <w:jc w:val="center"/>
              <w:rPr>
                <w:rFonts w:ascii="宋体" w:hAnsi="宋体" w:eastAsia="宋体" w:cs="宋体"/>
                <w:sz w:val="17"/>
                <w:szCs w:val="17"/>
              </w:rPr>
            </w:pPr>
            <w:r>
              <w:rPr>
                <w:rFonts w:hint="eastAsia" w:ascii="宋体" w:hAnsi="宋体" w:eastAsia="宋体" w:cs="宋体"/>
                <w:spacing w:val="8"/>
                <w:sz w:val="17"/>
                <w:szCs w:val="17"/>
              </w:rPr>
              <w:t>二老一残人员满意度</w:t>
            </w:r>
          </w:p>
        </w:tc>
        <w:tc>
          <w:tcPr>
            <w:tcW w:w="1638" w:type="dxa"/>
            <w:tcBorders>
              <w:top w:val="single" w:color="auto" w:sz="4" w:space="0"/>
              <w:left w:val="single" w:color="auto" w:sz="4" w:space="0"/>
              <w:bottom w:val="single" w:color="auto" w:sz="4" w:space="0"/>
              <w:right w:val="single" w:color="auto" w:sz="4" w:space="0"/>
            </w:tcBorders>
            <w:vAlign w:val="center"/>
          </w:tcPr>
          <w:p>
            <w:pPr>
              <w:spacing w:before="36" w:line="220" w:lineRule="auto"/>
              <w:ind w:left="202"/>
              <w:jc w:val="center"/>
              <w:rPr>
                <w:rFonts w:ascii="宋体" w:hAnsi="宋体" w:eastAsia="宋体" w:cs="宋体"/>
                <w:spacing w:val="8"/>
                <w:sz w:val="17"/>
                <w:szCs w:val="17"/>
              </w:rPr>
            </w:pPr>
            <w:r>
              <w:rPr>
                <w:rFonts w:hint="eastAsia" w:ascii="宋体" w:hAnsi="宋体" w:eastAsia="宋体" w:cs="宋体"/>
                <w:spacing w:val="8"/>
                <w:sz w:val="17"/>
                <w:szCs w:val="17"/>
              </w:rPr>
              <w:t>≥98%</w:t>
            </w:r>
          </w:p>
        </w:tc>
        <w:tc>
          <w:tcPr>
            <w:tcW w:w="1224" w:type="dxa"/>
            <w:tcBorders>
              <w:left w:val="single" w:color="auto" w:sz="4" w:space="0"/>
            </w:tcBorders>
            <w:vAlign w:val="center"/>
          </w:tcPr>
          <w:p>
            <w:pPr>
              <w:spacing w:before="36" w:line="220" w:lineRule="auto"/>
              <w:ind w:left="202"/>
              <w:jc w:val="center"/>
              <w:rPr>
                <w:rFonts w:ascii="宋体" w:hAnsi="宋体" w:eastAsia="宋体" w:cs="宋体"/>
                <w:spacing w:val="8"/>
                <w:sz w:val="17"/>
                <w:szCs w:val="17"/>
              </w:rPr>
            </w:pPr>
            <w:r>
              <w:rPr>
                <w:rFonts w:ascii="宋体" w:hAnsi="宋体" w:eastAsia="宋体" w:cs="宋体"/>
                <w:spacing w:val="8"/>
                <w:sz w:val="17"/>
                <w:szCs w:val="17"/>
              </w:rPr>
              <w:t>100</w:t>
            </w:r>
            <w:r>
              <w:rPr>
                <w:rFonts w:hint="eastAsia" w:ascii="宋体" w:hAnsi="宋体" w:eastAsia="宋体" w:cs="宋体"/>
                <w:spacing w:val="8"/>
                <w:sz w:val="17"/>
                <w:szCs w:val="17"/>
              </w:rPr>
              <w:t>%</w:t>
            </w:r>
          </w:p>
        </w:tc>
        <w:tc>
          <w:tcPr>
            <w:tcW w:w="1232" w:type="dxa"/>
          </w:tcPr>
          <w:p/>
        </w:tc>
      </w:tr>
    </w:tbl>
    <w:p>
      <w:pPr>
        <w:keepNext w:val="0"/>
        <w:keepLines w:val="0"/>
        <w:pageBreakBefore w:val="0"/>
        <w:kinsoku/>
        <w:wordWrap/>
        <w:overflowPunct/>
        <w:topLinePunct w:val="0"/>
        <w:autoSpaceDE/>
        <w:autoSpaceDN/>
        <w:bidi w:val="0"/>
        <w:adjustRightInd w:val="0"/>
        <w:snapToGrid w:val="0"/>
        <w:spacing w:line="578" w:lineRule="exact"/>
        <w:textAlignment w:val="auto"/>
        <w:rPr>
          <w:rFonts w:hint="eastAsia" w:ascii="楷体_GB2312" w:hAnsi="宋体" w:eastAsia="楷体_GB2312"/>
          <w:b/>
          <w:color w:val="auto"/>
          <w:sz w:val="32"/>
          <w:szCs w:val="32"/>
          <w:highlight w:val="none"/>
          <w:u w:val="none"/>
          <w:lang w:val="zh-CN"/>
        </w:rPr>
      </w:pP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（三）项目财务管理情况。</w:t>
      </w:r>
    </w:p>
    <w:p>
      <w:pPr>
        <w:spacing w:line="576" w:lineRule="exact"/>
        <w:ind w:firstLine="640" w:firstLineChars="200"/>
        <w:rPr>
          <w:rFonts w:hint="eastAsia" w:ascii="黑体" w:hAnsi="宋体" w:eastAsia="黑体"/>
          <w:color w:val="auto"/>
          <w:sz w:val="32"/>
          <w:szCs w:val="32"/>
          <w:highlight w:val="none"/>
          <w:u w:val="none"/>
        </w:rPr>
      </w:pPr>
      <w:r>
        <w:rPr>
          <w:rFonts w:hint="eastAsia" w:ascii="仿宋" w:hAnsi="仿宋" w:eastAsia="仿宋" w:cs="仿宋"/>
          <w:sz w:val="32"/>
          <w:szCs w:val="32"/>
        </w:rPr>
        <w:t>为确保“二老一残”医疗费用项目全面落实落地，我局成立了项目实施领导小组，明确了小组工作职责。形成了分管领导负责抓，责任人员具体抓的工作格局。并严格按照“三重一大”要求执行。</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ascii="黑体" w:hAnsi="宋体" w:eastAsia="黑体"/>
          <w:color w:val="auto"/>
          <w:sz w:val="32"/>
          <w:szCs w:val="32"/>
          <w:highlight w:val="none"/>
          <w:u w:val="none"/>
        </w:rPr>
      </w:pPr>
      <w:r>
        <w:rPr>
          <w:rFonts w:hint="eastAsia" w:ascii="黑体" w:hAnsi="宋体" w:eastAsia="黑体"/>
          <w:color w:val="auto"/>
          <w:sz w:val="32"/>
          <w:szCs w:val="32"/>
          <w:highlight w:val="none"/>
          <w:u w:val="none"/>
        </w:rPr>
        <w:t>三、项目实施及管理情况</w:t>
      </w:r>
    </w:p>
    <w:p>
      <w:pPr>
        <w:spacing w:line="576" w:lineRule="exact"/>
        <w:ind w:firstLine="640" w:firstLineChars="200"/>
        <w:rPr>
          <w:rFonts w:ascii="仿宋" w:hAnsi="仿宋" w:eastAsia="仿宋" w:cs="仿宋"/>
          <w:sz w:val="32"/>
          <w:szCs w:val="32"/>
        </w:rPr>
      </w:pPr>
      <w:r>
        <w:rPr>
          <w:rFonts w:hint="eastAsia" w:ascii="黑体" w:hAnsi="黑体" w:eastAsia="黑体" w:cs="黑体"/>
          <w:sz w:val="32"/>
          <w:szCs w:val="32"/>
          <w:lang w:val="en-US" w:eastAsia="zh-CN"/>
        </w:rPr>
        <w:t>1.</w:t>
      </w:r>
      <w:r>
        <w:rPr>
          <w:rFonts w:hint="eastAsia" w:ascii="仿宋" w:hAnsi="仿宋" w:eastAsia="仿宋" w:cs="仿宋"/>
          <w:sz w:val="32"/>
          <w:szCs w:val="32"/>
        </w:rPr>
        <w:t>项目管理情况。资金由区级财政拨入昭化区医疗保障局预算内账户，由预算内账户转入昭化区医疗保障事务中心基金专户，专款专户专用，切实做到了基金封闭管理。</w:t>
      </w:r>
    </w:p>
    <w:p>
      <w:pPr>
        <w:spacing w:line="576"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w:t>
      </w:r>
      <w:r>
        <w:rPr>
          <w:rFonts w:hint="eastAsia" w:ascii="仿宋" w:hAnsi="仿宋" w:eastAsia="仿宋" w:cs="仿宋"/>
          <w:sz w:val="32"/>
          <w:szCs w:val="32"/>
        </w:rPr>
        <w:t>项目监管情况。建立责任追究机制，在项目实施等环节出现问题，依法追究有关人员责任；建立制约制衡机制，成立区医保局内控领导小组，负责日常监督管理财务支出情况；建立社会监督机制，设置举报箱并公布举报电话，畅通监督举报渠道，及时收集相关问题线索，确保项目资金公开透明。</w:t>
      </w:r>
    </w:p>
    <w:p>
      <w:pPr>
        <w:spacing w:line="576" w:lineRule="exact"/>
        <w:ind w:firstLine="640" w:firstLineChars="200"/>
        <w:rPr>
          <w:rFonts w:hint="default" w:ascii="仿宋" w:hAnsi="仿宋" w:eastAsia="仿宋" w:cs="仿宋"/>
          <w:sz w:val="32"/>
          <w:szCs w:val="32"/>
          <w:lang w:val="en-US" w:eastAsia="zh-CN"/>
        </w:rPr>
      </w:pP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ascii="仿宋_GB2312" w:hAnsi="宋体"/>
          <w:color w:val="auto"/>
          <w:sz w:val="32"/>
          <w:szCs w:val="32"/>
          <w:highlight w:val="none"/>
          <w:u w:val="none"/>
          <w:lang w:val="zh-CN"/>
        </w:rPr>
      </w:pPr>
      <w:r>
        <w:rPr>
          <w:rFonts w:hint="eastAsia" w:ascii="黑体" w:hAnsi="宋体" w:eastAsia="黑体"/>
          <w:color w:val="auto"/>
          <w:sz w:val="32"/>
          <w:szCs w:val="32"/>
          <w:highlight w:val="none"/>
          <w:u w:val="none"/>
        </w:rPr>
        <w:t>四、项目绩效情况</w:t>
      </w:r>
      <w:r>
        <w:rPr>
          <w:rFonts w:hint="eastAsia" w:ascii="仿宋_GB2312" w:hAnsi="宋体"/>
          <w:color w:val="auto"/>
          <w:sz w:val="32"/>
          <w:szCs w:val="32"/>
          <w:highlight w:val="none"/>
          <w:u w:val="none"/>
          <w:lang w:val="zh-CN"/>
        </w:rPr>
        <w:tab/>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（一）项目完成情况。</w:t>
      </w:r>
    </w:p>
    <w:p>
      <w:pPr>
        <w:spacing w:line="576" w:lineRule="exact"/>
        <w:ind w:firstLine="640" w:firstLineChars="200"/>
        <w:rPr>
          <w:rFonts w:hint="eastAsia" w:ascii="楷体_GB2312" w:hAnsi="宋体" w:eastAsia="楷体_GB2312"/>
          <w:b/>
          <w:color w:val="auto"/>
          <w:sz w:val="32"/>
          <w:szCs w:val="32"/>
          <w:highlight w:val="none"/>
          <w:u w:val="none"/>
          <w:lang w:val="zh-CN"/>
        </w:rPr>
      </w:pPr>
      <w:r>
        <w:rPr>
          <w:rFonts w:hint="eastAsia" w:ascii="仿宋" w:hAnsi="仿宋" w:eastAsia="仿宋" w:cs="仿宋"/>
          <w:sz w:val="32"/>
          <w:szCs w:val="32"/>
        </w:rPr>
        <w:t>从数量指标、质量指标、时效指标、成本指标、社会效益指标、满意度指标6大指标分析，项目均完成预期目标，完成率达100%且相关群体满意度高。</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（二）项目效益情况。</w:t>
      </w:r>
    </w:p>
    <w:p>
      <w:pPr>
        <w:spacing w:line="576" w:lineRule="exact"/>
        <w:ind w:firstLine="640" w:firstLineChars="200"/>
        <w:rPr>
          <w:rFonts w:hint="eastAsia" w:ascii="Times New Roman" w:hAnsi="Times New Roman" w:eastAsia="仿宋" w:cs="Times New Roman"/>
          <w:color w:val="000000" w:themeColor="text1"/>
          <w:sz w:val="32"/>
          <w:szCs w:val="32"/>
          <w:lang w:val="en-US" w:eastAsia="zh-CN"/>
          <w14:textFill>
            <w14:solidFill>
              <w14:schemeClr w14:val="tx1"/>
            </w14:solidFill>
          </w14:textFill>
        </w:rPr>
      </w:pPr>
      <w:r>
        <w:rPr>
          <w:rFonts w:hint="eastAsia" w:ascii="仿宋" w:hAnsi="仿宋" w:eastAsia="仿宋" w:cs="仿宋"/>
          <w:sz w:val="32"/>
          <w:szCs w:val="32"/>
        </w:rPr>
        <w:t>总体来说，“二老一残”医疗费项目实施科学合理，组织实施有序，监管有力到位，责任分工明确，确保项目资金正常拨付，发挥了项目资金最大效益化，2</w:t>
      </w:r>
      <w:r>
        <w:rPr>
          <w:rFonts w:ascii="仿宋" w:hAnsi="仿宋" w:eastAsia="仿宋" w:cs="仿宋"/>
          <w:sz w:val="32"/>
          <w:szCs w:val="32"/>
        </w:rPr>
        <w:t>022</w:t>
      </w:r>
      <w:r>
        <w:rPr>
          <w:rFonts w:hint="eastAsia" w:ascii="仿宋" w:hAnsi="仿宋" w:eastAsia="仿宋" w:cs="仿宋"/>
          <w:sz w:val="32"/>
          <w:szCs w:val="32"/>
        </w:rPr>
        <w:t>年为5</w:t>
      </w:r>
      <w:r>
        <w:rPr>
          <w:rFonts w:ascii="仿宋" w:hAnsi="仿宋" w:eastAsia="仿宋" w:cs="仿宋"/>
          <w:sz w:val="32"/>
          <w:szCs w:val="32"/>
        </w:rPr>
        <w:t>8</w:t>
      </w:r>
      <w:r>
        <w:rPr>
          <w:rFonts w:hint="eastAsia" w:ascii="仿宋" w:hAnsi="仿宋" w:eastAsia="仿宋" w:cs="仿宋"/>
          <w:sz w:val="32"/>
          <w:szCs w:val="32"/>
        </w:rPr>
        <w:t>人次二老一残人员报销医疗费用，该项目的实施有利于维护社会稳定，鼓励更多人员为国家作贡献。通过调查问卷的方式，对项目满意度进行了调查。共计发放调查问卷6份，收回6份，有效份数6份，满意人数6人，满意度达1</w:t>
      </w:r>
      <w:r>
        <w:rPr>
          <w:rFonts w:ascii="仿宋" w:hAnsi="仿宋" w:eastAsia="仿宋" w:cs="仿宋"/>
          <w:sz w:val="32"/>
          <w:szCs w:val="32"/>
        </w:rPr>
        <w:t>00%</w:t>
      </w:r>
      <w:r>
        <w:rPr>
          <w:rFonts w:hint="eastAsia" w:ascii="仿宋" w:hAnsi="仿宋" w:eastAsia="仿宋" w:cs="仿宋"/>
          <w:sz w:val="32"/>
          <w:szCs w:val="32"/>
        </w:rPr>
        <w:t>，满意度高。</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ascii="黑体" w:hAnsi="宋体" w:eastAsia="黑体"/>
          <w:color w:val="auto"/>
          <w:sz w:val="32"/>
          <w:szCs w:val="32"/>
          <w:highlight w:val="none"/>
          <w:u w:val="none"/>
        </w:rPr>
      </w:pPr>
      <w:r>
        <w:rPr>
          <w:rFonts w:hint="eastAsia" w:ascii="黑体" w:hAnsi="宋体" w:eastAsia="黑体"/>
          <w:color w:val="auto"/>
          <w:sz w:val="32"/>
          <w:szCs w:val="32"/>
          <w:highlight w:val="none"/>
          <w:u w:val="none"/>
        </w:rPr>
        <w:t>五、评价结论及建议</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hint="eastAsia"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（一）评价结论</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hint="eastAsia" w:ascii="楷体_GB2312" w:hAnsi="宋体" w:eastAsia="仿宋"/>
          <w:b/>
          <w:color w:val="auto"/>
          <w:sz w:val="32"/>
          <w:szCs w:val="32"/>
          <w:highlight w:val="none"/>
          <w:u w:val="none"/>
          <w:lang w:val="en-US" w:eastAsia="zh-CN"/>
        </w:rPr>
      </w:pPr>
      <w:r>
        <w:rPr>
          <w:rFonts w:hint="eastAsia" w:ascii="仿宋" w:hAnsi="仿宋" w:eastAsia="仿宋" w:cs="仿宋"/>
          <w:sz w:val="32"/>
          <w:szCs w:val="32"/>
        </w:rPr>
        <w:t>根据绩效评价指标体系评价表，对财政支出产生的实际效果与预定目标进行比较，“二老一残”医疗费自评结果为优</w:t>
      </w:r>
      <w:r>
        <w:rPr>
          <w:rFonts w:hint="eastAsia" w:ascii="仿宋" w:hAnsi="仿宋" w:eastAsia="仿宋" w:cs="仿宋"/>
          <w:sz w:val="32"/>
          <w:szCs w:val="32"/>
          <w:lang w:eastAsia="zh-CN"/>
        </w:rPr>
        <w:t>。</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（二）存在的问题</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仿宋_GB2312" w:hAnsi="仿宋_GB2312" w:eastAsia="仿宋_GB2312" w:cs="仿宋_GB2312"/>
          <w:color w:val="auto"/>
          <w:kern w:val="0"/>
          <w:sz w:val="32"/>
          <w:szCs w:val="32"/>
          <w:highlight w:val="none"/>
          <w:u w:val="none"/>
          <w:shd w:val="clear" w:color="auto" w:fill="FFFFFF"/>
          <w:lang w:val="en-US" w:eastAsia="zh-CN"/>
        </w:rPr>
      </w:pPr>
      <w:r>
        <w:rPr>
          <w:rFonts w:hint="eastAsia" w:ascii="仿宋" w:hAnsi="仿宋" w:eastAsia="仿宋" w:cs="仿宋"/>
          <w:sz w:val="32"/>
          <w:szCs w:val="32"/>
        </w:rPr>
        <w:t>相应人员因生病住院和门诊发生的医疗费用</w:t>
      </w:r>
      <w:r>
        <w:rPr>
          <w:rFonts w:hint="eastAsia" w:ascii="仿宋" w:hAnsi="仿宋" w:eastAsia="仿宋" w:cs="仿宋"/>
          <w:sz w:val="32"/>
          <w:szCs w:val="32"/>
          <w:lang w:eastAsia="zh-CN"/>
        </w:rPr>
        <w:t>属于不定因素，存在未按时提交生病报账资料或者某时段报销人次较少，故影响支付执行进度。</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（三）相关建议</w:t>
      </w:r>
    </w:p>
    <w:p>
      <w:pPr>
        <w:spacing w:line="576" w:lineRule="exact"/>
        <w:ind w:firstLine="640" w:firstLineChars="200"/>
        <w:rPr>
          <w:rFonts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w:t>
      </w:r>
      <w:r>
        <w:rPr>
          <w:rFonts w:hint="eastAsia" w:ascii="仿宋" w:hAnsi="仿宋" w:eastAsia="仿宋" w:cs="仿宋"/>
          <w:sz w:val="32"/>
          <w:szCs w:val="32"/>
        </w:rPr>
        <w:t>加强“二老一残”医疗费政策宣传，提高政策知晓率。</w:t>
      </w:r>
    </w:p>
    <w:p>
      <w:pPr>
        <w:spacing w:line="576" w:lineRule="exact"/>
        <w:ind w:firstLine="640" w:firstLineChars="200"/>
        <w:rPr>
          <w:rFonts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val="en-US" w:eastAsia="zh-CN"/>
        </w:rPr>
        <w:t>.</w:t>
      </w:r>
      <w:r>
        <w:rPr>
          <w:rFonts w:hint="eastAsia" w:ascii="仿宋" w:hAnsi="仿宋" w:eastAsia="仿宋" w:cs="仿宋"/>
          <w:sz w:val="32"/>
          <w:szCs w:val="32"/>
        </w:rPr>
        <w:t>加强财务人员培训，提升财务人员的业务能力。</w:t>
      </w:r>
    </w:p>
    <w:p>
      <w:pPr>
        <w:spacing w:line="576" w:lineRule="exact"/>
        <w:ind w:firstLine="640" w:firstLineChars="200"/>
        <w:rPr>
          <w:rFonts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val="en-US" w:eastAsia="zh-CN"/>
        </w:rPr>
        <w:t>.</w:t>
      </w:r>
      <w:r>
        <w:rPr>
          <w:rFonts w:hint="eastAsia" w:ascii="仿宋" w:hAnsi="仿宋" w:eastAsia="仿宋" w:cs="仿宋"/>
          <w:sz w:val="32"/>
          <w:szCs w:val="32"/>
        </w:rPr>
        <w:t>继续加强绩效管理，发挥资金效益最大化。</w:t>
      </w:r>
    </w:p>
    <w:p>
      <w:pPr>
        <w:pStyle w:val="5"/>
        <w:rPr>
          <w:rFonts w:hint="eastAsia" w:hAnsi="宋体" w:cs="宋体"/>
          <w:color w:val="auto"/>
          <w:kern w:val="0"/>
          <w:sz w:val="32"/>
          <w:szCs w:val="32"/>
          <w:highlight w:val="none"/>
          <w:shd w:val="clear" w:color="auto" w:fill="FFFFFF"/>
          <w:lang w:val="zh-CN"/>
        </w:rPr>
      </w:pPr>
    </w:p>
    <w:p>
      <w:pPr>
        <w:pStyle w:val="5"/>
        <w:rPr>
          <w:rFonts w:hint="eastAsia" w:hAnsi="宋体" w:cs="宋体"/>
          <w:color w:val="auto"/>
          <w:kern w:val="0"/>
          <w:sz w:val="32"/>
          <w:szCs w:val="32"/>
          <w:highlight w:val="none"/>
          <w:shd w:val="clear" w:color="auto" w:fill="FFFFFF"/>
          <w:lang w:val="zh-CN"/>
        </w:rPr>
      </w:pPr>
    </w:p>
    <w:p>
      <w:pPr>
        <w:pStyle w:val="5"/>
        <w:rPr>
          <w:rFonts w:hint="eastAsia" w:hAnsi="宋体" w:cs="宋体"/>
          <w:color w:val="auto"/>
          <w:kern w:val="0"/>
          <w:sz w:val="32"/>
          <w:szCs w:val="32"/>
          <w:highlight w:val="none"/>
          <w:shd w:val="clear" w:color="auto" w:fill="FFFFFF"/>
          <w:lang w:val="zh-CN"/>
        </w:rPr>
      </w:pPr>
    </w:p>
    <w:p>
      <w:pPr>
        <w:pStyle w:val="5"/>
        <w:rPr>
          <w:rFonts w:hint="eastAsia" w:hAnsi="宋体" w:cs="宋体"/>
          <w:color w:val="auto"/>
          <w:kern w:val="0"/>
          <w:sz w:val="32"/>
          <w:szCs w:val="32"/>
          <w:highlight w:val="none"/>
          <w:shd w:val="clear" w:color="auto" w:fill="FFFFFF"/>
          <w:lang w:val="zh-CN"/>
        </w:rPr>
      </w:pPr>
    </w:p>
    <w:p>
      <w:pPr>
        <w:pStyle w:val="5"/>
        <w:rPr>
          <w:rFonts w:hint="eastAsia" w:hAnsi="宋体" w:cs="宋体"/>
          <w:color w:val="auto"/>
          <w:kern w:val="0"/>
          <w:sz w:val="32"/>
          <w:szCs w:val="32"/>
          <w:highlight w:val="none"/>
          <w:shd w:val="clear" w:color="auto" w:fill="FFFFFF"/>
          <w:lang w:val="zh-CN"/>
        </w:rPr>
      </w:pPr>
    </w:p>
    <w:p>
      <w:pPr>
        <w:pStyle w:val="5"/>
        <w:rPr>
          <w:rFonts w:hint="eastAsia" w:hAnsi="宋体" w:cs="宋体"/>
          <w:color w:val="auto"/>
          <w:kern w:val="0"/>
          <w:sz w:val="32"/>
          <w:szCs w:val="32"/>
          <w:highlight w:val="none"/>
          <w:shd w:val="clear" w:color="auto" w:fill="FFFFFF"/>
          <w:lang w:val="zh-CN"/>
        </w:rPr>
      </w:pPr>
    </w:p>
    <w:p>
      <w:pPr>
        <w:pStyle w:val="5"/>
        <w:rPr>
          <w:rFonts w:hint="eastAsia" w:hAnsi="宋体" w:cs="宋体"/>
          <w:color w:val="auto"/>
          <w:kern w:val="0"/>
          <w:sz w:val="32"/>
          <w:szCs w:val="32"/>
          <w:highlight w:val="none"/>
          <w:shd w:val="clear" w:color="auto" w:fill="FFFFFF"/>
          <w:lang w:val="zh-CN"/>
        </w:rPr>
      </w:pPr>
    </w:p>
    <w:p>
      <w:pPr>
        <w:pStyle w:val="5"/>
        <w:rPr>
          <w:rFonts w:hint="eastAsia" w:hAnsi="宋体" w:cs="宋体"/>
          <w:color w:val="auto"/>
          <w:kern w:val="0"/>
          <w:sz w:val="32"/>
          <w:szCs w:val="32"/>
          <w:highlight w:val="none"/>
          <w:shd w:val="clear" w:color="auto" w:fill="FFFFFF"/>
          <w:lang w:val="zh-CN"/>
        </w:rPr>
      </w:pPr>
    </w:p>
    <w:p>
      <w:pPr>
        <w:pStyle w:val="5"/>
        <w:rPr>
          <w:rFonts w:hint="eastAsia" w:hAnsi="宋体" w:cs="宋体"/>
          <w:color w:val="auto"/>
          <w:kern w:val="0"/>
          <w:sz w:val="32"/>
          <w:szCs w:val="32"/>
          <w:highlight w:val="none"/>
          <w:shd w:val="clear" w:color="auto" w:fill="FFFFFF"/>
          <w:lang w:val="zh-CN"/>
        </w:rPr>
      </w:pPr>
    </w:p>
    <w:p>
      <w:pPr>
        <w:pStyle w:val="5"/>
        <w:rPr>
          <w:rFonts w:hint="eastAsia" w:hAnsi="宋体" w:cs="宋体"/>
          <w:color w:val="auto"/>
          <w:kern w:val="0"/>
          <w:sz w:val="32"/>
          <w:szCs w:val="32"/>
          <w:highlight w:val="none"/>
          <w:shd w:val="clear" w:color="auto" w:fill="FFFFFF"/>
          <w:lang w:val="zh-CN"/>
        </w:rPr>
      </w:pPr>
    </w:p>
    <w:p>
      <w:pPr>
        <w:pStyle w:val="5"/>
        <w:rPr>
          <w:rFonts w:hint="eastAsia" w:hAnsi="宋体" w:cs="宋体"/>
          <w:color w:val="auto"/>
          <w:kern w:val="0"/>
          <w:sz w:val="32"/>
          <w:szCs w:val="32"/>
          <w:highlight w:val="none"/>
          <w:shd w:val="clear" w:color="auto" w:fill="FFFFFF"/>
          <w:lang w:val="zh-CN"/>
        </w:rPr>
      </w:pPr>
    </w:p>
    <w:p>
      <w:pPr>
        <w:spacing w:line="600" w:lineRule="exact"/>
        <w:jc w:val="center"/>
        <w:outlineLvl w:val="0"/>
        <w:rPr>
          <w:rFonts w:hint="eastAsia" w:ascii="黑体" w:hAnsi="黑体" w:eastAsia="黑体"/>
          <w:color w:val="auto"/>
          <w:sz w:val="44"/>
          <w:szCs w:val="44"/>
          <w:highlight w:val="none"/>
        </w:rPr>
      </w:pPr>
      <w:bookmarkStart w:id="81" w:name="_Toc28093"/>
      <w:bookmarkStart w:id="82" w:name="_Toc15396618"/>
    </w:p>
    <w:p>
      <w:pPr>
        <w:pStyle w:val="5"/>
        <w:rPr>
          <w:rFonts w:hint="eastAsia" w:eastAsia="仿宋_GB2312"/>
          <w:color w:val="auto"/>
          <w:sz w:val="32"/>
          <w:szCs w:val="32"/>
          <w:highlight w:val="none"/>
          <w:lang w:val="en-US" w:eastAsia="zh-CN"/>
        </w:rPr>
      </w:pPr>
      <w:r>
        <w:rPr>
          <w:rFonts w:hint="eastAsia" w:hAnsi="宋体" w:cs="宋体"/>
          <w:color w:val="auto"/>
          <w:kern w:val="0"/>
          <w:sz w:val="32"/>
          <w:szCs w:val="32"/>
          <w:highlight w:val="none"/>
          <w:shd w:val="clear" w:color="auto" w:fill="FFFFFF"/>
          <w:lang w:val="zh-CN"/>
        </w:rPr>
        <w:t>附件</w:t>
      </w:r>
      <w:r>
        <w:rPr>
          <w:rFonts w:hint="eastAsia" w:hAnsi="宋体" w:cs="宋体"/>
          <w:color w:val="auto"/>
          <w:kern w:val="0"/>
          <w:sz w:val="32"/>
          <w:szCs w:val="32"/>
          <w:highlight w:val="none"/>
          <w:shd w:val="clear" w:color="auto" w:fill="FFFFFF"/>
          <w:lang w:val="en-US" w:eastAsia="zh-CN"/>
        </w:rPr>
        <w:t>3</w:t>
      </w:r>
    </w:p>
    <w:p>
      <w:pPr>
        <w:keepNext w:val="0"/>
        <w:keepLines w:val="0"/>
        <w:pageBreakBefore w:val="0"/>
        <w:widowControl/>
        <w:kinsoku/>
        <w:wordWrap/>
        <w:overflowPunct/>
        <w:topLinePunct w:val="0"/>
        <w:autoSpaceDE/>
        <w:autoSpaceDN/>
        <w:bidi w:val="0"/>
        <w:spacing w:line="560" w:lineRule="exact"/>
        <w:contextualSpacing/>
        <w:jc w:val="center"/>
        <w:textAlignment w:val="auto"/>
        <w:rPr>
          <w:rFonts w:hint="eastAsia" w:ascii="方正小标宋简体" w:hAnsi="方正小标宋简体" w:eastAsia="方正小标宋简体" w:cs="方正小标宋简体"/>
          <w:b w:val="0"/>
          <w:bCs/>
          <w:color w:val="auto"/>
          <w:sz w:val="40"/>
          <w:szCs w:val="40"/>
          <w:highlight w:val="none"/>
          <w:shd w:val="clear" w:color="auto" w:fill="FFFFFF"/>
          <w:lang w:val="en-US" w:eastAsia="zh-CN"/>
        </w:rPr>
      </w:pPr>
      <w:r>
        <w:rPr>
          <w:rFonts w:hint="eastAsia" w:ascii="方正小标宋简体" w:hAnsi="方正小标宋简体" w:eastAsia="方正小标宋简体" w:cs="方正小标宋简体"/>
          <w:b w:val="0"/>
          <w:bCs/>
          <w:color w:val="auto"/>
          <w:sz w:val="40"/>
          <w:szCs w:val="40"/>
          <w:highlight w:val="none"/>
          <w:shd w:val="clear" w:color="auto" w:fill="FFFFFF"/>
          <w:lang w:val="en-US" w:eastAsia="zh-CN"/>
        </w:rPr>
        <w:t>2023年医疗服务与保障能力提升专项资金预算项目绩效自评报告</w:t>
      </w:r>
    </w:p>
    <w:p>
      <w:pPr>
        <w:pStyle w:val="33"/>
        <w:keepNext w:val="0"/>
        <w:keepLines w:val="0"/>
        <w:pageBreakBefore w:val="0"/>
        <w:widowControl w:val="0"/>
        <w:kinsoku/>
        <w:wordWrap/>
        <w:overflowPunct/>
        <w:topLinePunct w:val="0"/>
        <w:autoSpaceDE/>
        <w:autoSpaceDN/>
        <w:bidi w:val="0"/>
        <w:spacing w:line="578" w:lineRule="exact"/>
        <w:ind w:firstLine="640"/>
        <w:jc w:val="center"/>
        <w:textAlignment w:val="auto"/>
        <w:rPr>
          <w:rFonts w:ascii="宋体" w:hAnsi="宋体"/>
          <w:color w:val="auto"/>
          <w:kern w:val="2"/>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line="578" w:lineRule="exact"/>
        <w:ind w:firstLine="720"/>
        <w:textAlignment w:val="auto"/>
        <w:rPr>
          <w:rFonts w:ascii="黑体" w:hAnsi="宋体" w:eastAsia="黑体"/>
          <w:color w:val="auto"/>
          <w:sz w:val="32"/>
          <w:szCs w:val="32"/>
          <w:highlight w:val="none"/>
          <w:lang w:val="zh-CN"/>
        </w:rPr>
      </w:pPr>
      <w:r>
        <w:rPr>
          <w:rFonts w:hint="eastAsia" w:ascii="黑体" w:hAnsi="宋体" w:eastAsia="黑体"/>
          <w:color w:val="auto"/>
          <w:sz w:val="32"/>
          <w:szCs w:val="32"/>
          <w:highlight w:val="none"/>
        </w:rPr>
        <w:t>一、</w:t>
      </w:r>
      <w:r>
        <w:rPr>
          <w:rFonts w:hint="eastAsia" w:ascii="黑体" w:hAnsi="宋体" w:eastAsia="黑体"/>
          <w:color w:val="auto"/>
          <w:sz w:val="32"/>
          <w:szCs w:val="32"/>
          <w:highlight w:val="none"/>
          <w:lang w:val="zh-CN"/>
        </w:rPr>
        <w:t>项目概况</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hint="eastAsia"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（一）项目基本情况</w:t>
      </w:r>
    </w:p>
    <w:p>
      <w:pPr>
        <w:spacing w:line="576" w:lineRule="exact"/>
        <w:ind w:firstLine="640" w:firstLineChars="200"/>
        <w:rPr>
          <w:rFonts w:hint="eastAsia" w:ascii="楷体_GB2312" w:hAnsi="宋体" w:eastAsia="楷体_GB2312"/>
          <w:b/>
          <w:color w:val="auto"/>
          <w:sz w:val="32"/>
          <w:szCs w:val="32"/>
          <w:highlight w:val="none"/>
          <w:u w:val="none"/>
          <w:lang w:val="zh-CN"/>
        </w:rPr>
      </w:pPr>
      <w:r>
        <w:rPr>
          <w:rFonts w:hint="eastAsia" w:ascii="仿宋" w:hAnsi="仿宋" w:eastAsia="仿宋" w:cs="仿宋"/>
          <w:sz w:val="32"/>
          <w:szCs w:val="32"/>
        </w:rPr>
        <w:t>根据四川省财政厅和四川省医保局《关于下达2022年医疗服务与保障能力提升中央财政补助资金（医疗保障服务能力建设部分）预算的通知》（川财社〔2022〕56号）和《关于下达2</w:t>
      </w:r>
      <w:r>
        <w:rPr>
          <w:rFonts w:ascii="仿宋" w:hAnsi="仿宋" w:eastAsia="仿宋" w:cs="仿宋"/>
          <w:sz w:val="32"/>
          <w:szCs w:val="32"/>
        </w:rPr>
        <w:t>022</w:t>
      </w:r>
      <w:r>
        <w:rPr>
          <w:rFonts w:hint="eastAsia" w:ascii="仿宋" w:hAnsi="仿宋" w:eastAsia="仿宋" w:cs="仿宋"/>
          <w:sz w:val="32"/>
          <w:szCs w:val="32"/>
        </w:rPr>
        <w:t>年医疗服务与保障能力提升（医疗保障服务能力建设部分）中央财政补助资金的通知》精神，向昭化区分两批次下达资金共计6</w:t>
      </w:r>
      <w:r>
        <w:rPr>
          <w:rFonts w:ascii="仿宋" w:hAnsi="仿宋" w:eastAsia="仿宋" w:cs="仿宋"/>
          <w:sz w:val="32"/>
          <w:szCs w:val="32"/>
        </w:rPr>
        <w:t>1</w:t>
      </w:r>
      <w:r>
        <w:rPr>
          <w:rFonts w:hint="eastAsia" w:ascii="仿宋" w:hAnsi="仿宋" w:eastAsia="仿宋" w:cs="仿宋"/>
          <w:sz w:val="32"/>
          <w:szCs w:val="32"/>
        </w:rPr>
        <w:t>万，第一批次为年初预算4</w:t>
      </w:r>
      <w:r>
        <w:rPr>
          <w:rFonts w:ascii="仿宋" w:hAnsi="仿宋" w:eastAsia="仿宋" w:cs="仿宋"/>
          <w:sz w:val="32"/>
          <w:szCs w:val="32"/>
        </w:rPr>
        <w:t>0</w:t>
      </w:r>
      <w:r>
        <w:rPr>
          <w:rFonts w:hint="eastAsia" w:ascii="仿宋" w:hAnsi="仿宋" w:eastAsia="仿宋" w:cs="仿宋"/>
          <w:sz w:val="32"/>
          <w:szCs w:val="32"/>
        </w:rPr>
        <w:t>万元，第二批次年内追加预算2</w:t>
      </w:r>
      <w:r>
        <w:rPr>
          <w:rFonts w:ascii="仿宋" w:hAnsi="仿宋" w:eastAsia="仿宋" w:cs="仿宋"/>
          <w:sz w:val="32"/>
          <w:szCs w:val="32"/>
        </w:rPr>
        <w:t>1</w:t>
      </w:r>
      <w:r>
        <w:rPr>
          <w:rFonts w:hint="eastAsia" w:ascii="仿宋" w:hAnsi="仿宋" w:eastAsia="仿宋" w:cs="仿宋"/>
          <w:sz w:val="32"/>
          <w:szCs w:val="32"/>
        </w:rPr>
        <w:t>万元。</w:t>
      </w:r>
    </w:p>
    <w:p>
      <w:pPr>
        <w:keepNext w:val="0"/>
        <w:keepLines w:val="0"/>
        <w:pageBreakBefore w:val="0"/>
        <w:numPr>
          <w:ilvl w:val="0"/>
          <w:numId w:val="8"/>
        </w:numPr>
        <w:kinsoku/>
        <w:wordWrap/>
        <w:overflowPunct/>
        <w:topLinePunct w:val="0"/>
        <w:autoSpaceDE/>
        <w:autoSpaceDN/>
        <w:bidi w:val="0"/>
        <w:adjustRightInd w:val="0"/>
        <w:snapToGrid w:val="0"/>
        <w:spacing w:line="578" w:lineRule="exact"/>
        <w:ind w:firstLine="720"/>
        <w:textAlignment w:val="auto"/>
        <w:rPr>
          <w:rFonts w:hint="eastAsia"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项目绩效目标</w:t>
      </w:r>
    </w:p>
    <w:p>
      <w:pPr>
        <w:spacing w:line="576" w:lineRule="exact"/>
        <w:ind w:firstLine="640" w:firstLineChars="200"/>
        <w:rPr>
          <w:rFonts w:hint="eastAsia" w:ascii="楷体_GB2312" w:hAnsi="宋体" w:eastAsia="楷体_GB2312"/>
          <w:b/>
          <w:color w:val="auto"/>
          <w:sz w:val="32"/>
          <w:szCs w:val="32"/>
          <w:highlight w:val="none"/>
          <w:u w:val="none"/>
          <w:lang w:val="zh-CN"/>
        </w:rPr>
      </w:pPr>
      <w:r>
        <w:rPr>
          <w:rFonts w:hint="eastAsia" w:ascii="仿宋" w:hAnsi="仿宋" w:eastAsia="仿宋" w:cs="仿宋"/>
          <w:sz w:val="32"/>
          <w:szCs w:val="32"/>
        </w:rPr>
        <w:t>提升医保信息化水平，加强网络、信息安全、基础设施等方面建设，加强打击欺诈骗保工作力度，有效提升综合监管、宣传引导、经办服务、人才队伍建设等医疗保障服务能力，该项资金总额61万元，主要涉及镇村医保经办人员顶岗脱产培训、区镇村医保经办体系建设、医保基金监管等。</w:t>
      </w:r>
    </w:p>
    <w:p>
      <w:pPr>
        <w:keepNext w:val="0"/>
        <w:keepLines w:val="0"/>
        <w:pageBreakBefore w:val="0"/>
        <w:numPr>
          <w:ilvl w:val="0"/>
          <w:numId w:val="8"/>
        </w:numPr>
        <w:kinsoku/>
        <w:wordWrap/>
        <w:overflowPunct/>
        <w:topLinePunct w:val="0"/>
        <w:autoSpaceDE/>
        <w:autoSpaceDN/>
        <w:bidi w:val="0"/>
        <w:adjustRightInd w:val="0"/>
        <w:snapToGrid w:val="0"/>
        <w:spacing w:line="578" w:lineRule="exact"/>
        <w:ind w:left="0" w:leftChars="0" w:firstLine="720" w:firstLineChars="0"/>
        <w:textAlignment w:val="auto"/>
        <w:rPr>
          <w:rFonts w:hint="eastAsia"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项目自评步骤及方法</w:t>
      </w:r>
    </w:p>
    <w:p>
      <w:pPr>
        <w:spacing w:line="576" w:lineRule="exact"/>
        <w:ind w:firstLine="640" w:firstLineChars="200"/>
        <w:rPr>
          <w:rFonts w:ascii="仿宋" w:hAnsi="仿宋" w:eastAsia="仿宋" w:cs="仿宋"/>
          <w:sz w:val="32"/>
          <w:szCs w:val="32"/>
        </w:rPr>
      </w:pPr>
      <w:r>
        <w:rPr>
          <w:rFonts w:hint="eastAsia" w:ascii="仿宋" w:hAnsi="仿宋" w:eastAsia="仿宋" w:cs="仿宋"/>
          <w:sz w:val="32"/>
          <w:szCs w:val="32"/>
        </w:rPr>
        <w:t>目标比较法：通过对财政支出产生的实际效果与预定目标进行比较，分析完成目标或未完成目标原因，从而实现自评。</w:t>
      </w:r>
    </w:p>
    <w:p>
      <w:pPr>
        <w:keepNext w:val="0"/>
        <w:keepLines w:val="0"/>
        <w:pageBreakBefore w:val="0"/>
        <w:numPr>
          <w:ilvl w:val="0"/>
          <w:numId w:val="0"/>
        </w:numPr>
        <w:kinsoku/>
        <w:wordWrap/>
        <w:overflowPunct/>
        <w:topLinePunct w:val="0"/>
        <w:autoSpaceDE/>
        <w:autoSpaceDN/>
        <w:bidi w:val="0"/>
        <w:adjustRightInd w:val="0"/>
        <w:snapToGrid w:val="0"/>
        <w:spacing w:line="578" w:lineRule="exact"/>
        <w:ind w:left="720" w:leftChars="0"/>
        <w:textAlignment w:val="auto"/>
        <w:rPr>
          <w:rFonts w:hint="eastAsia" w:ascii="楷体_GB2312" w:hAnsi="宋体" w:eastAsia="楷体_GB2312"/>
          <w:b/>
          <w:color w:val="auto"/>
          <w:sz w:val="32"/>
          <w:szCs w:val="32"/>
          <w:highlight w:val="none"/>
          <w:u w:val="none"/>
          <w:lang w:val="zh-CN"/>
        </w:rPr>
      </w:pP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ascii="黑体" w:hAnsi="宋体" w:eastAsia="黑体"/>
          <w:color w:val="auto"/>
          <w:sz w:val="32"/>
          <w:szCs w:val="32"/>
          <w:highlight w:val="none"/>
          <w:u w:val="none"/>
        </w:rPr>
      </w:pPr>
      <w:r>
        <w:rPr>
          <w:rFonts w:hint="eastAsia" w:ascii="黑体" w:hAnsi="宋体" w:eastAsia="黑体"/>
          <w:color w:val="auto"/>
          <w:sz w:val="32"/>
          <w:szCs w:val="32"/>
          <w:highlight w:val="none"/>
          <w:u w:val="none"/>
        </w:rPr>
        <w:t>二、项目资金申报及使用情况</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hint="eastAsia"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（一）项目资金申报及批复情况</w:t>
      </w:r>
    </w:p>
    <w:p>
      <w:pPr>
        <w:spacing w:line="576" w:lineRule="exact"/>
        <w:ind w:firstLine="640" w:firstLineChars="200"/>
        <w:rPr>
          <w:rFonts w:hint="eastAsia" w:ascii="楷体_GB2312" w:hAnsi="宋体" w:eastAsia="楷体_GB2312"/>
          <w:b/>
          <w:color w:val="auto"/>
          <w:sz w:val="32"/>
          <w:szCs w:val="32"/>
          <w:highlight w:val="none"/>
          <w:u w:val="none"/>
          <w:lang w:val="zh-CN"/>
        </w:rPr>
      </w:pPr>
      <w:r>
        <w:rPr>
          <w:rFonts w:hint="eastAsia" w:ascii="仿宋" w:hAnsi="仿宋" w:eastAsia="仿宋" w:cs="仿宋"/>
          <w:sz w:val="32"/>
          <w:szCs w:val="32"/>
        </w:rPr>
        <w:t>医疗服务与保障能力提升资金严格按照项目经费申报要求执行，项目经费申报符合当年单位工作需要，并达到预期目标。该项目由中央财政补助资金单独预算，分两批次下达</w:t>
      </w:r>
      <w:r>
        <w:rPr>
          <w:rFonts w:hint="eastAsia" w:ascii="仿宋" w:hAnsi="仿宋" w:eastAsia="仿宋" w:cs="仿宋"/>
          <w:sz w:val="32"/>
          <w:szCs w:val="32"/>
          <w:lang w:eastAsia="zh-CN"/>
        </w:rPr>
        <w:t>。</w:t>
      </w:r>
      <w:r>
        <w:rPr>
          <w:rFonts w:hint="eastAsia" w:ascii="仿宋" w:hAnsi="仿宋" w:eastAsia="仿宋" w:cs="仿宋"/>
          <w:sz w:val="32"/>
          <w:szCs w:val="32"/>
        </w:rPr>
        <w:t>下达资金共计6</w:t>
      </w:r>
      <w:r>
        <w:rPr>
          <w:rFonts w:ascii="仿宋" w:hAnsi="仿宋" w:eastAsia="仿宋" w:cs="仿宋"/>
          <w:sz w:val="32"/>
          <w:szCs w:val="32"/>
        </w:rPr>
        <w:t>1</w:t>
      </w:r>
      <w:r>
        <w:rPr>
          <w:rFonts w:hint="eastAsia" w:ascii="仿宋" w:hAnsi="仿宋" w:eastAsia="仿宋" w:cs="仿宋"/>
          <w:sz w:val="32"/>
          <w:szCs w:val="32"/>
        </w:rPr>
        <w:t>万，第一批次为年初预算4</w:t>
      </w:r>
      <w:r>
        <w:rPr>
          <w:rFonts w:ascii="仿宋" w:hAnsi="仿宋" w:eastAsia="仿宋" w:cs="仿宋"/>
          <w:sz w:val="32"/>
          <w:szCs w:val="32"/>
        </w:rPr>
        <w:t>0</w:t>
      </w:r>
      <w:r>
        <w:rPr>
          <w:rFonts w:hint="eastAsia" w:ascii="仿宋" w:hAnsi="仿宋" w:eastAsia="仿宋" w:cs="仿宋"/>
          <w:sz w:val="32"/>
          <w:szCs w:val="32"/>
        </w:rPr>
        <w:t>万元，第二批次年内追加预算2</w:t>
      </w:r>
      <w:r>
        <w:rPr>
          <w:rFonts w:ascii="仿宋" w:hAnsi="仿宋" w:eastAsia="仿宋" w:cs="仿宋"/>
          <w:sz w:val="32"/>
          <w:szCs w:val="32"/>
        </w:rPr>
        <w:t>1</w:t>
      </w:r>
      <w:r>
        <w:rPr>
          <w:rFonts w:hint="eastAsia" w:ascii="仿宋" w:hAnsi="仿宋" w:eastAsia="仿宋" w:cs="仿宋"/>
          <w:sz w:val="32"/>
          <w:szCs w:val="32"/>
        </w:rPr>
        <w:t>万元。</w:t>
      </w:r>
    </w:p>
    <w:p>
      <w:pPr>
        <w:keepNext w:val="0"/>
        <w:keepLines w:val="0"/>
        <w:pageBreakBefore w:val="0"/>
        <w:numPr>
          <w:ilvl w:val="0"/>
          <w:numId w:val="9"/>
        </w:numPr>
        <w:kinsoku/>
        <w:wordWrap/>
        <w:overflowPunct/>
        <w:topLinePunct w:val="0"/>
        <w:autoSpaceDE/>
        <w:autoSpaceDN/>
        <w:bidi w:val="0"/>
        <w:adjustRightInd w:val="0"/>
        <w:snapToGrid w:val="0"/>
        <w:spacing w:line="578" w:lineRule="exact"/>
        <w:ind w:firstLine="720"/>
        <w:textAlignment w:val="auto"/>
        <w:rPr>
          <w:rFonts w:hint="eastAsia"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资金计划、到位及使用情况</w:t>
      </w:r>
    </w:p>
    <w:p>
      <w:pPr>
        <w:snapToGrid w:val="0"/>
        <w:spacing w:line="576" w:lineRule="exact"/>
        <w:ind w:firstLine="640" w:firstLineChars="200"/>
        <w:jc w:val="left"/>
        <w:rPr>
          <w:rFonts w:ascii="仿宋" w:hAnsi="仿宋" w:eastAsia="仿宋" w:cs="仿宋"/>
          <w:sz w:val="32"/>
          <w:szCs w:val="32"/>
        </w:rPr>
      </w:pPr>
      <w:r>
        <w:rPr>
          <w:rFonts w:hint="eastAsia" w:ascii="仿宋" w:hAnsi="仿宋" w:eastAsia="仿宋" w:cs="仿宋"/>
          <w:sz w:val="32"/>
          <w:szCs w:val="32"/>
        </w:rPr>
        <w:t>1.资金到位情况：2022年资金61万元，中央财政补助资金全部到位，资金到位及时率100%。</w:t>
      </w:r>
    </w:p>
    <w:p>
      <w:pPr>
        <w:snapToGrid w:val="0"/>
        <w:spacing w:line="576"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2、资金使用情况:截止2021年12月31日,2022年项目资金已用61万元，资金使用率100%。主要包括医疗保障政策宣传、区镇村经办服务体系建设、医保地方媒体宣传报道等。</w:t>
      </w:r>
    </w:p>
    <w:tbl>
      <w:tblPr>
        <w:tblStyle w:val="36"/>
        <w:tblW w:w="825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55"/>
        <w:gridCol w:w="708"/>
        <w:gridCol w:w="939"/>
        <w:gridCol w:w="941"/>
        <w:gridCol w:w="895"/>
        <w:gridCol w:w="1648"/>
        <w:gridCol w:w="1233"/>
        <w:gridCol w:w="12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1363" w:type="dxa"/>
            <w:gridSpan w:val="2"/>
          </w:tcPr>
          <w:p>
            <w:pPr>
              <w:spacing w:before="82" w:line="220" w:lineRule="auto"/>
              <w:ind w:left="75"/>
              <w:rPr>
                <w:rFonts w:ascii="宋体" w:hAnsi="宋体" w:eastAsia="宋体" w:cs="宋体"/>
                <w:sz w:val="17"/>
                <w:szCs w:val="17"/>
              </w:rPr>
            </w:pPr>
            <w:r>
              <w:rPr>
                <w:rFonts w:ascii="宋体" w:hAnsi="宋体" w:eastAsia="宋体" w:cs="宋体"/>
                <w:spacing w:val="-2"/>
                <w:sz w:val="17"/>
                <w:szCs w:val="17"/>
              </w:rPr>
              <w:t>项目(政策)名称</w:t>
            </w:r>
          </w:p>
        </w:tc>
        <w:tc>
          <w:tcPr>
            <w:tcW w:w="6896" w:type="dxa"/>
            <w:gridSpan w:val="6"/>
          </w:tcPr>
          <w:p>
            <w:pPr>
              <w:jc w:val="center"/>
              <w:rPr>
                <w:rFonts w:eastAsia="宋体"/>
              </w:rPr>
            </w:pPr>
            <w:r>
              <w:rPr>
                <w:rFonts w:hint="eastAsia" w:eastAsia="宋体"/>
              </w:rPr>
              <w:t>中央财政补助资金医疗服务与保障能力提升资金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1363" w:type="dxa"/>
            <w:gridSpan w:val="2"/>
          </w:tcPr>
          <w:p>
            <w:pPr>
              <w:ind w:firstLine="166" w:firstLineChars="100"/>
              <w:rPr>
                <w:rFonts w:ascii="宋体" w:hAnsi="宋体" w:eastAsia="宋体" w:cs="宋体"/>
                <w:spacing w:val="-2"/>
                <w:sz w:val="17"/>
                <w:szCs w:val="17"/>
              </w:rPr>
            </w:pPr>
            <w:r>
              <w:rPr>
                <w:rFonts w:hint="eastAsia" w:ascii="宋体" w:hAnsi="宋体" w:eastAsia="宋体" w:cs="宋体"/>
                <w:spacing w:val="-2"/>
                <w:sz w:val="17"/>
                <w:szCs w:val="17"/>
              </w:rPr>
              <w:t>主管部门</w:t>
            </w:r>
          </w:p>
        </w:tc>
        <w:tc>
          <w:tcPr>
            <w:tcW w:w="4423" w:type="dxa"/>
            <w:gridSpan w:val="4"/>
          </w:tcPr>
          <w:p>
            <w:pPr>
              <w:jc w:val="center"/>
              <w:rPr>
                <w:rFonts w:ascii="宋体" w:hAnsi="宋体" w:eastAsia="宋体" w:cs="宋体"/>
                <w:spacing w:val="-2"/>
                <w:sz w:val="17"/>
                <w:szCs w:val="17"/>
              </w:rPr>
            </w:pPr>
            <w:r>
              <w:rPr>
                <w:rFonts w:hint="eastAsia" w:ascii="宋体" w:hAnsi="宋体" w:eastAsia="宋体" w:cs="宋体"/>
                <w:spacing w:val="-2"/>
                <w:sz w:val="17"/>
                <w:szCs w:val="17"/>
              </w:rPr>
              <w:t>昭化区医保局</w:t>
            </w:r>
          </w:p>
        </w:tc>
        <w:tc>
          <w:tcPr>
            <w:tcW w:w="1233" w:type="dxa"/>
          </w:tcPr>
          <w:p>
            <w:pPr>
              <w:spacing w:before="78" w:line="220" w:lineRule="auto"/>
              <w:ind w:left="396"/>
              <w:jc w:val="both"/>
              <w:rPr>
                <w:rFonts w:ascii="宋体" w:hAnsi="宋体" w:eastAsia="宋体" w:cs="宋体"/>
                <w:sz w:val="17"/>
                <w:szCs w:val="17"/>
              </w:rPr>
            </w:pPr>
            <w:r>
              <w:rPr>
                <w:rFonts w:ascii="宋体" w:hAnsi="宋体" w:eastAsia="宋体" w:cs="宋体"/>
                <w:spacing w:val="-3"/>
                <w:sz w:val="17"/>
                <w:szCs w:val="17"/>
              </w:rPr>
              <w:t>实施单位</w:t>
            </w:r>
          </w:p>
        </w:tc>
        <w:tc>
          <w:tcPr>
            <w:tcW w:w="1240" w:type="dxa"/>
          </w:tcPr>
          <w:p>
            <w:pPr>
              <w:jc w:val="center"/>
            </w:pPr>
            <w:r>
              <w:rPr>
                <w:rFonts w:hint="eastAsia" w:ascii="宋体" w:hAnsi="宋体" w:eastAsia="宋体" w:cs="宋体"/>
                <w:spacing w:val="-2"/>
                <w:sz w:val="17"/>
                <w:szCs w:val="17"/>
              </w:rPr>
              <w:t>昭化区医保局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atLeast"/>
        </w:trPr>
        <w:tc>
          <w:tcPr>
            <w:tcW w:w="1363" w:type="dxa"/>
            <w:gridSpan w:val="2"/>
            <w:vMerge w:val="restart"/>
            <w:tcBorders>
              <w:bottom w:val="nil"/>
            </w:tcBorders>
          </w:tcPr>
          <w:p>
            <w:pPr>
              <w:spacing w:line="279" w:lineRule="auto"/>
            </w:pPr>
          </w:p>
          <w:p>
            <w:pPr>
              <w:spacing w:line="279" w:lineRule="auto"/>
            </w:pPr>
          </w:p>
          <w:p>
            <w:pPr>
              <w:spacing w:line="279" w:lineRule="auto"/>
            </w:pPr>
          </w:p>
          <w:p>
            <w:pPr>
              <w:spacing w:line="279" w:lineRule="auto"/>
            </w:pPr>
          </w:p>
          <w:p>
            <w:pPr>
              <w:spacing w:before="55" w:line="235" w:lineRule="auto"/>
              <w:ind w:left="464" w:right="197" w:hanging="389"/>
              <w:rPr>
                <w:rFonts w:ascii="宋体" w:hAnsi="宋体" w:eastAsia="宋体" w:cs="宋体"/>
                <w:spacing w:val="-2"/>
                <w:sz w:val="17"/>
                <w:szCs w:val="17"/>
              </w:rPr>
            </w:pPr>
            <w:r>
              <w:rPr>
                <w:rFonts w:ascii="宋体" w:hAnsi="宋体" w:eastAsia="宋体" w:cs="宋体"/>
                <w:spacing w:val="-2"/>
                <w:sz w:val="17"/>
                <w:szCs w:val="17"/>
              </w:rPr>
              <w:t>项目(政策)</w:t>
            </w:r>
          </w:p>
          <w:p>
            <w:pPr>
              <w:spacing w:before="55" w:line="235" w:lineRule="auto"/>
              <w:ind w:left="464" w:right="197" w:hanging="389"/>
              <w:rPr>
                <w:rFonts w:ascii="宋体" w:hAnsi="宋体" w:eastAsia="宋体" w:cs="宋体"/>
                <w:sz w:val="17"/>
                <w:szCs w:val="17"/>
              </w:rPr>
            </w:pPr>
            <w:r>
              <w:rPr>
                <w:rFonts w:ascii="宋体" w:hAnsi="宋体" w:eastAsia="宋体" w:cs="宋体"/>
                <w:spacing w:val="-2"/>
                <w:sz w:val="17"/>
                <w:szCs w:val="17"/>
              </w:rPr>
              <w:t>资金</w:t>
            </w:r>
            <w:r>
              <w:rPr>
                <w:rFonts w:ascii="宋体" w:hAnsi="宋体" w:eastAsia="宋体" w:cs="宋体"/>
                <w:spacing w:val="5"/>
                <w:sz w:val="17"/>
                <w:szCs w:val="17"/>
              </w:rPr>
              <w:t xml:space="preserve"> </w:t>
            </w:r>
            <w:r>
              <w:rPr>
                <w:rFonts w:ascii="宋体" w:hAnsi="宋体" w:eastAsia="宋体" w:cs="宋体"/>
                <w:spacing w:val="9"/>
                <w:sz w:val="17"/>
                <w:szCs w:val="17"/>
              </w:rPr>
              <w:t>(万元)</w:t>
            </w:r>
          </w:p>
        </w:tc>
        <w:tc>
          <w:tcPr>
            <w:tcW w:w="1880" w:type="dxa"/>
            <w:gridSpan w:val="2"/>
          </w:tcPr>
          <w:p/>
        </w:tc>
        <w:tc>
          <w:tcPr>
            <w:tcW w:w="895" w:type="dxa"/>
          </w:tcPr>
          <w:p>
            <w:pPr>
              <w:spacing w:before="77" w:line="219" w:lineRule="auto"/>
              <w:rPr>
                <w:rFonts w:ascii="宋体" w:hAnsi="宋体" w:eastAsia="宋体" w:cs="宋体"/>
                <w:sz w:val="17"/>
                <w:szCs w:val="17"/>
              </w:rPr>
            </w:pPr>
            <w:r>
              <w:rPr>
                <w:rFonts w:ascii="宋体" w:hAnsi="宋体" w:eastAsia="宋体" w:cs="宋体"/>
                <w:spacing w:val="-2"/>
                <w:sz w:val="17"/>
                <w:szCs w:val="17"/>
              </w:rPr>
              <w:t>年初预算数</w:t>
            </w:r>
          </w:p>
        </w:tc>
        <w:tc>
          <w:tcPr>
            <w:tcW w:w="1648" w:type="dxa"/>
          </w:tcPr>
          <w:p>
            <w:pPr>
              <w:spacing w:before="98" w:line="219" w:lineRule="auto"/>
              <w:ind w:left="354"/>
              <w:rPr>
                <w:rFonts w:ascii="宋体" w:hAnsi="宋体" w:eastAsia="宋体" w:cs="宋体"/>
                <w:sz w:val="17"/>
                <w:szCs w:val="17"/>
              </w:rPr>
            </w:pPr>
            <w:r>
              <w:rPr>
                <w:rFonts w:ascii="宋体" w:hAnsi="宋体" w:eastAsia="宋体" w:cs="宋体"/>
                <w:spacing w:val="-2"/>
                <w:sz w:val="17"/>
                <w:szCs w:val="17"/>
              </w:rPr>
              <w:t>全年预算数</w:t>
            </w:r>
          </w:p>
        </w:tc>
        <w:tc>
          <w:tcPr>
            <w:tcW w:w="1233" w:type="dxa"/>
          </w:tcPr>
          <w:p>
            <w:pPr>
              <w:spacing w:before="77" w:line="219" w:lineRule="auto"/>
              <w:ind w:left="307"/>
              <w:rPr>
                <w:rFonts w:ascii="宋体" w:hAnsi="宋体" w:eastAsia="宋体" w:cs="宋体"/>
                <w:sz w:val="17"/>
                <w:szCs w:val="17"/>
              </w:rPr>
            </w:pPr>
            <w:r>
              <w:rPr>
                <w:rFonts w:ascii="宋体" w:hAnsi="宋体" w:eastAsia="宋体" w:cs="宋体"/>
                <w:spacing w:val="-2"/>
                <w:sz w:val="17"/>
                <w:szCs w:val="17"/>
              </w:rPr>
              <w:t>全年执行数</w:t>
            </w:r>
          </w:p>
        </w:tc>
        <w:tc>
          <w:tcPr>
            <w:tcW w:w="1240" w:type="dxa"/>
          </w:tcPr>
          <w:p>
            <w:pPr>
              <w:spacing w:before="77" w:line="219" w:lineRule="auto"/>
              <w:ind w:left="398"/>
              <w:rPr>
                <w:rFonts w:ascii="宋体" w:hAnsi="宋体" w:eastAsia="宋体" w:cs="宋体"/>
                <w:sz w:val="17"/>
                <w:szCs w:val="17"/>
              </w:rPr>
            </w:pPr>
            <w:r>
              <w:rPr>
                <w:rFonts w:ascii="宋体" w:hAnsi="宋体" w:eastAsia="宋体" w:cs="宋体"/>
                <w:spacing w:val="-2"/>
                <w:sz w:val="17"/>
                <w:szCs w:val="17"/>
              </w:rPr>
              <w:t>执行率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1363" w:type="dxa"/>
            <w:gridSpan w:val="2"/>
            <w:vMerge w:val="continue"/>
            <w:tcBorders>
              <w:top w:val="nil"/>
              <w:bottom w:val="nil"/>
            </w:tcBorders>
          </w:tcPr>
          <w:p/>
        </w:tc>
        <w:tc>
          <w:tcPr>
            <w:tcW w:w="1880" w:type="dxa"/>
            <w:gridSpan w:val="2"/>
          </w:tcPr>
          <w:p>
            <w:pPr>
              <w:spacing w:before="79" w:line="219" w:lineRule="auto"/>
              <w:ind w:left="151"/>
              <w:rPr>
                <w:rFonts w:ascii="宋体" w:hAnsi="宋体" w:eastAsia="宋体" w:cs="宋体"/>
                <w:sz w:val="17"/>
                <w:szCs w:val="17"/>
              </w:rPr>
            </w:pPr>
            <w:r>
              <w:rPr>
                <w:rFonts w:ascii="宋体" w:hAnsi="宋体" w:eastAsia="宋体" w:cs="宋体"/>
                <w:spacing w:val="-2"/>
                <w:sz w:val="17"/>
                <w:szCs w:val="17"/>
              </w:rPr>
              <w:t>年度资金总额</w:t>
            </w:r>
          </w:p>
        </w:tc>
        <w:tc>
          <w:tcPr>
            <w:tcW w:w="895" w:type="dxa"/>
          </w:tcPr>
          <w:p>
            <w:pPr>
              <w:spacing w:before="79" w:line="219" w:lineRule="auto"/>
              <w:ind w:left="151"/>
              <w:jc w:val="center"/>
              <w:rPr>
                <w:rFonts w:ascii="宋体" w:hAnsi="宋体" w:eastAsia="宋体" w:cs="宋体"/>
                <w:spacing w:val="-2"/>
                <w:sz w:val="17"/>
                <w:szCs w:val="17"/>
              </w:rPr>
            </w:pPr>
            <w:r>
              <w:rPr>
                <w:rFonts w:hint="eastAsia" w:ascii="宋体" w:hAnsi="宋体" w:eastAsia="宋体" w:cs="宋体"/>
                <w:spacing w:val="-2"/>
                <w:sz w:val="17"/>
                <w:szCs w:val="17"/>
              </w:rPr>
              <w:t>40</w:t>
            </w:r>
          </w:p>
        </w:tc>
        <w:tc>
          <w:tcPr>
            <w:tcW w:w="1648" w:type="dxa"/>
          </w:tcPr>
          <w:p>
            <w:pPr>
              <w:spacing w:before="79" w:line="219" w:lineRule="auto"/>
              <w:ind w:left="151"/>
              <w:jc w:val="center"/>
              <w:rPr>
                <w:rFonts w:ascii="宋体" w:hAnsi="宋体" w:eastAsia="宋体" w:cs="宋体"/>
                <w:spacing w:val="-2"/>
                <w:sz w:val="17"/>
                <w:szCs w:val="17"/>
              </w:rPr>
            </w:pPr>
            <w:r>
              <w:rPr>
                <w:rFonts w:hint="eastAsia" w:ascii="宋体" w:hAnsi="宋体" w:eastAsia="宋体" w:cs="宋体"/>
                <w:spacing w:val="-2"/>
                <w:sz w:val="17"/>
                <w:szCs w:val="17"/>
              </w:rPr>
              <w:t>61</w:t>
            </w:r>
          </w:p>
        </w:tc>
        <w:tc>
          <w:tcPr>
            <w:tcW w:w="1233" w:type="dxa"/>
          </w:tcPr>
          <w:p>
            <w:pPr>
              <w:spacing w:before="79" w:line="219" w:lineRule="auto"/>
              <w:ind w:left="151"/>
              <w:jc w:val="center"/>
              <w:rPr>
                <w:rFonts w:ascii="宋体" w:hAnsi="宋体" w:eastAsia="宋体" w:cs="宋体"/>
                <w:spacing w:val="-2"/>
                <w:sz w:val="17"/>
                <w:szCs w:val="17"/>
              </w:rPr>
            </w:pPr>
            <w:r>
              <w:rPr>
                <w:rFonts w:hint="eastAsia" w:ascii="宋体" w:hAnsi="宋体" w:eastAsia="宋体" w:cs="宋体"/>
                <w:spacing w:val="-2"/>
                <w:sz w:val="17"/>
                <w:szCs w:val="17"/>
              </w:rPr>
              <w:t>61</w:t>
            </w:r>
          </w:p>
        </w:tc>
        <w:tc>
          <w:tcPr>
            <w:tcW w:w="1240" w:type="dxa"/>
          </w:tcPr>
          <w:p>
            <w:pPr>
              <w:spacing w:before="79" w:line="219" w:lineRule="auto"/>
              <w:ind w:left="151"/>
              <w:jc w:val="center"/>
              <w:rPr>
                <w:rFonts w:ascii="宋体" w:hAnsi="宋体" w:eastAsia="宋体" w:cs="宋体"/>
                <w:spacing w:val="-2"/>
                <w:sz w:val="17"/>
                <w:szCs w:val="17"/>
              </w:rPr>
            </w:pPr>
            <w:r>
              <w:rPr>
                <w:rFonts w:hint="eastAsia" w:ascii="宋体" w:hAnsi="宋体" w:eastAsia="宋体" w:cs="宋体"/>
                <w:spacing w:val="-2"/>
                <w:sz w:val="17"/>
                <w:szCs w:val="17"/>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1363" w:type="dxa"/>
            <w:gridSpan w:val="2"/>
            <w:vMerge w:val="continue"/>
            <w:tcBorders>
              <w:top w:val="nil"/>
              <w:bottom w:val="nil"/>
            </w:tcBorders>
          </w:tcPr>
          <w:p/>
        </w:tc>
        <w:tc>
          <w:tcPr>
            <w:tcW w:w="1880" w:type="dxa"/>
            <w:gridSpan w:val="2"/>
          </w:tcPr>
          <w:p>
            <w:pPr>
              <w:spacing w:before="109" w:line="219" w:lineRule="auto"/>
              <w:ind w:left="151"/>
              <w:rPr>
                <w:rFonts w:ascii="宋体" w:hAnsi="宋体" w:eastAsia="宋体" w:cs="宋体"/>
                <w:sz w:val="17"/>
                <w:szCs w:val="17"/>
              </w:rPr>
            </w:pPr>
            <w:r>
              <w:rPr>
                <w:rFonts w:ascii="宋体" w:hAnsi="宋体" w:eastAsia="宋体" w:cs="宋体"/>
                <w:sz w:val="17"/>
                <w:szCs w:val="17"/>
              </w:rPr>
              <w:t>(一)财政拨款小计</w:t>
            </w:r>
          </w:p>
        </w:tc>
        <w:tc>
          <w:tcPr>
            <w:tcW w:w="895" w:type="dxa"/>
          </w:tcPr>
          <w:p/>
        </w:tc>
        <w:tc>
          <w:tcPr>
            <w:tcW w:w="1648" w:type="dxa"/>
          </w:tcPr>
          <w:p/>
        </w:tc>
        <w:tc>
          <w:tcPr>
            <w:tcW w:w="1233" w:type="dxa"/>
          </w:tcPr>
          <w:p/>
        </w:tc>
        <w:tc>
          <w:tcPr>
            <w:tcW w:w="1240"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1363" w:type="dxa"/>
            <w:gridSpan w:val="2"/>
            <w:vMerge w:val="continue"/>
            <w:tcBorders>
              <w:top w:val="nil"/>
              <w:bottom w:val="nil"/>
            </w:tcBorders>
          </w:tcPr>
          <w:p/>
        </w:tc>
        <w:tc>
          <w:tcPr>
            <w:tcW w:w="1880" w:type="dxa"/>
            <w:gridSpan w:val="2"/>
          </w:tcPr>
          <w:p>
            <w:pPr>
              <w:spacing w:before="80" w:line="219" w:lineRule="auto"/>
              <w:ind w:left="151"/>
              <w:rPr>
                <w:rFonts w:ascii="宋体" w:hAnsi="宋体" w:eastAsia="宋体" w:cs="宋体"/>
                <w:sz w:val="17"/>
                <w:szCs w:val="17"/>
              </w:rPr>
            </w:pPr>
            <w:r>
              <w:rPr>
                <w:rFonts w:ascii="宋体" w:hAnsi="宋体" w:eastAsia="宋体" w:cs="宋体"/>
                <w:sz w:val="17"/>
                <w:szCs w:val="17"/>
              </w:rPr>
              <w:t>1.一般公共预算</w:t>
            </w:r>
          </w:p>
        </w:tc>
        <w:tc>
          <w:tcPr>
            <w:tcW w:w="895" w:type="dxa"/>
          </w:tcPr>
          <w:p>
            <w:pPr>
              <w:spacing w:before="79" w:line="219" w:lineRule="auto"/>
              <w:ind w:left="151"/>
              <w:jc w:val="center"/>
              <w:rPr>
                <w:rFonts w:ascii="宋体" w:hAnsi="宋体" w:eastAsia="宋体" w:cs="宋体"/>
                <w:spacing w:val="-2"/>
                <w:sz w:val="17"/>
                <w:szCs w:val="17"/>
              </w:rPr>
            </w:pPr>
            <w:r>
              <w:rPr>
                <w:rFonts w:hint="eastAsia" w:ascii="宋体" w:hAnsi="宋体" w:eastAsia="宋体" w:cs="宋体"/>
                <w:spacing w:val="-2"/>
                <w:sz w:val="17"/>
                <w:szCs w:val="17"/>
              </w:rPr>
              <w:t>40</w:t>
            </w:r>
          </w:p>
        </w:tc>
        <w:tc>
          <w:tcPr>
            <w:tcW w:w="1648" w:type="dxa"/>
          </w:tcPr>
          <w:p>
            <w:pPr>
              <w:spacing w:before="79" w:line="219" w:lineRule="auto"/>
              <w:ind w:left="151"/>
              <w:jc w:val="center"/>
              <w:rPr>
                <w:rFonts w:ascii="宋体" w:hAnsi="宋体" w:eastAsia="宋体" w:cs="宋体"/>
                <w:spacing w:val="-2"/>
                <w:sz w:val="17"/>
                <w:szCs w:val="17"/>
              </w:rPr>
            </w:pPr>
            <w:r>
              <w:rPr>
                <w:rFonts w:hint="eastAsia" w:ascii="宋体" w:hAnsi="宋体" w:eastAsia="宋体" w:cs="宋体"/>
                <w:spacing w:val="-2"/>
                <w:sz w:val="17"/>
                <w:szCs w:val="17"/>
              </w:rPr>
              <w:t>61</w:t>
            </w:r>
          </w:p>
        </w:tc>
        <w:tc>
          <w:tcPr>
            <w:tcW w:w="1233" w:type="dxa"/>
          </w:tcPr>
          <w:p>
            <w:pPr>
              <w:spacing w:before="79" w:line="219" w:lineRule="auto"/>
              <w:ind w:left="151"/>
              <w:jc w:val="center"/>
              <w:rPr>
                <w:rFonts w:ascii="宋体" w:hAnsi="宋体" w:eastAsia="宋体" w:cs="宋体"/>
                <w:spacing w:val="-2"/>
                <w:sz w:val="17"/>
                <w:szCs w:val="17"/>
              </w:rPr>
            </w:pPr>
            <w:r>
              <w:rPr>
                <w:rFonts w:hint="eastAsia" w:ascii="宋体" w:hAnsi="宋体" w:eastAsia="宋体" w:cs="宋体"/>
                <w:spacing w:val="-2"/>
                <w:sz w:val="17"/>
                <w:szCs w:val="17"/>
              </w:rPr>
              <w:t>61</w:t>
            </w:r>
          </w:p>
        </w:tc>
        <w:tc>
          <w:tcPr>
            <w:tcW w:w="1240" w:type="dxa"/>
          </w:tcPr>
          <w:p>
            <w:pPr>
              <w:spacing w:before="79" w:line="219" w:lineRule="auto"/>
              <w:ind w:left="151"/>
              <w:jc w:val="center"/>
              <w:rPr>
                <w:rFonts w:ascii="宋体" w:hAnsi="宋体" w:eastAsia="宋体" w:cs="宋体"/>
                <w:spacing w:val="-2"/>
                <w:sz w:val="17"/>
                <w:szCs w:val="17"/>
              </w:rPr>
            </w:pPr>
            <w:r>
              <w:rPr>
                <w:rFonts w:hint="eastAsia" w:ascii="宋体" w:hAnsi="宋体" w:eastAsia="宋体" w:cs="宋体"/>
                <w:spacing w:val="-2"/>
                <w:sz w:val="17"/>
                <w:szCs w:val="17"/>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atLeast"/>
        </w:trPr>
        <w:tc>
          <w:tcPr>
            <w:tcW w:w="1363" w:type="dxa"/>
            <w:gridSpan w:val="2"/>
            <w:vMerge w:val="continue"/>
            <w:tcBorders>
              <w:top w:val="nil"/>
              <w:bottom w:val="nil"/>
            </w:tcBorders>
          </w:tcPr>
          <w:p/>
        </w:tc>
        <w:tc>
          <w:tcPr>
            <w:tcW w:w="1880" w:type="dxa"/>
            <w:gridSpan w:val="2"/>
          </w:tcPr>
          <w:p>
            <w:pPr>
              <w:spacing w:before="78" w:line="219" w:lineRule="auto"/>
              <w:ind w:left="151"/>
              <w:rPr>
                <w:rFonts w:ascii="宋体" w:hAnsi="宋体" w:eastAsia="宋体" w:cs="宋体"/>
                <w:sz w:val="17"/>
                <w:szCs w:val="17"/>
              </w:rPr>
            </w:pPr>
            <w:r>
              <w:rPr>
                <w:rFonts w:ascii="宋体" w:hAnsi="宋体" w:eastAsia="宋体" w:cs="宋体"/>
                <w:spacing w:val="-2"/>
                <w:sz w:val="17"/>
                <w:szCs w:val="17"/>
              </w:rPr>
              <w:t>2.政府性基金</w:t>
            </w:r>
          </w:p>
        </w:tc>
        <w:tc>
          <w:tcPr>
            <w:tcW w:w="895" w:type="dxa"/>
          </w:tcPr>
          <w:p/>
        </w:tc>
        <w:tc>
          <w:tcPr>
            <w:tcW w:w="1648" w:type="dxa"/>
          </w:tcPr>
          <w:p/>
        </w:tc>
        <w:tc>
          <w:tcPr>
            <w:tcW w:w="1233" w:type="dxa"/>
          </w:tcPr>
          <w:p/>
        </w:tc>
        <w:tc>
          <w:tcPr>
            <w:tcW w:w="1240"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6" w:hRule="atLeast"/>
        </w:trPr>
        <w:tc>
          <w:tcPr>
            <w:tcW w:w="1363" w:type="dxa"/>
            <w:gridSpan w:val="2"/>
            <w:vMerge w:val="continue"/>
            <w:tcBorders>
              <w:top w:val="nil"/>
              <w:bottom w:val="nil"/>
            </w:tcBorders>
          </w:tcPr>
          <w:p/>
        </w:tc>
        <w:tc>
          <w:tcPr>
            <w:tcW w:w="1880" w:type="dxa"/>
            <w:gridSpan w:val="2"/>
          </w:tcPr>
          <w:p>
            <w:pPr>
              <w:spacing w:before="119" w:line="219" w:lineRule="auto"/>
              <w:ind w:left="151"/>
              <w:rPr>
                <w:rFonts w:ascii="宋体" w:hAnsi="宋体" w:eastAsia="宋体" w:cs="宋体"/>
                <w:sz w:val="17"/>
                <w:szCs w:val="17"/>
              </w:rPr>
            </w:pPr>
            <w:r>
              <w:rPr>
                <w:rFonts w:ascii="宋体" w:hAnsi="宋体" w:eastAsia="宋体" w:cs="宋体"/>
                <w:spacing w:val="-1"/>
                <w:sz w:val="17"/>
                <w:szCs w:val="17"/>
              </w:rPr>
              <w:t>3.国有资本经营预算</w:t>
            </w:r>
          </w:p>
        </w:tc>
        <w:tc>
          <w:tcPr>
            <w:tcW w:w="895" w:type="dxa"/>
          </w:tcPr>
          <w:p/>
        </w:tc>
        <w:tc>
          <w:tcPr>
            <w:tcW w:w="1648" w:type="dxa"/>
          </w:tcPr>
          <w:p/>
        </w:tc>
        <w:tc>
          <w:tcPr>
            <w:tcW w:w="1233" w:type="dxa"/>
          </w:tcPr>
          <w:p/>
        </w:tc>
        <w:tc>
          <w:tcPr>
            <w:tcW w:w="1240"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1363" w:type="dxa"/>
            <w:gridSpan w:val="2"/>
            <w:vMerge w:val="continue"/>
            <w:tcBorders>
              <w:top w:val="nil"/>
              <w:bottom w:val="nil"/>
            </w:tcBorders>
          </w:tcPr>
          <w:p/>
        </w:tc>
        <w:tc>
          <w:tcPr>
            <w:tcW w:w="1880" w:type="dxa"/>
            <w:gridSpan w:val="2"/>
          </w:tcPr>
          <w:p>
            <w:pPr>
              <w:spacing w:before="82" w:line="219" w:lineRule="auto"/>
              <w:ind w:left="151"/>
              <w:rPr>
                <w:rFonts w:ascii="宋体" w:hAnsi="宋体" w:eastAsia="宋体" w:cs="宋体"/>
                <w:sz w:val="17"/>
                <w:szCs w:val="17"/>
              </w:rPr>
            </w:pPr>
            <w:r>
              <w:rPr>
                <w:rFonts w:ascii="宋体" w:hAnsi="宋体" w:eastAsia="宋体" w:cs="宋体"/>
                <w:spacing w:val="-1"/>
                <w:sz w:val="17"/>
                <w:szCs w:val="17"/>
              </w:rPr>
              <w:t>4.社保基金</w:t>
            </w:r>
          </w:p>
        </w:tc>
        <w:tc>
          <w:tcPr>
            <w:tcW w:w="895" w:type="dxa"/>
          </w:tcPr>
          <w:p/>
        </w:tc>
        <w:tc>
          <w:tcPr>
            <w:tcW w:w="1648" w:type="dxa"/>
          </w:tcPr>
          <w:p/>
        </w:tc>
        <w:tc>
          <w:tcPr>
            <w:tcW w:w="1233" w:type="dxa"/>
          </w:tcPr>
          <w:p/>
        </w:tc>
        <w:tc>
          <w:tcPr>
            <w:tcW w:w="1240"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1363" w:type="dxa"/>
            <w:gridSpan w:val="2"/>
            <w:vMerge w:val="continue"/>
            <w:tcBorders>
              <w:top w:val="nil"/>
            </w:tcBorders>
          </w:tcPr>
          <w:p/>
        </w:tc>
        <w:tc>
          <w:tcPr>
            <w:tcW w:w="1880" w:type="dxa"/>
            <w:gridSpan w:val="2"/>
          </w:tcPr>
          <w:p>
            <w:pPr>
              <w:spacing w:before="112" w:line="220" w:lineRule="auto"/>
              <w:ind w:left="151"/>
              <w:rPr>
                <w:rFonts w:ascii="宋体" w:hAnsi="宋体" w:eastAsia="宋体" w:cs="宋体"/>
                <w:sz w:val="17"/>
                <w:szCs w:val="17"/>
              </w:rPr>
            </w:pPr>
            <w:r>
              <w:rPr>
                <w:rFonts w:ascii="宋体" w:hAnsi="宋体" w:eastAsia="宋体" w:cs="宋体"/>
                <w:spacing w:val="1"/>
                <w:sz w:val="17"/>
                <w:szCs w:val="17"/>
              </w:rPr>
              <w:t>(二)其他资金</w:t>
            </w:r>
          </w:p>
        </w:tc>
        <w:tc>
          <w:tcPr>
            <w:tcW w:w="895" w:type="dxa"/>
          </w:tcPr>
          <w:p/>
        </w:tc>
        <w:tc>
          <w:tcPr>
            <w:tcW w:w="1648" w:type="dxa"/>
          </w:tcPr>
          <w:p/>
        </w:tc>
        <w:tc>
          <w:tcPr>
            <w:tcW w:w="1233" w:type="dxa"/>
          </w:tcPr>
          <w:p/>
        </w:tc>
        <w:tc>
          <w:tcPr>
            <w:tcW w:w="1240"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4" w:hRule="atLeast"/>
        </w:trPr>
        <w:tc>
          <w:tcPr>
            <w:tcW w:w="655" w:type="dxa"/>
            <w:vMerge w:val="restart"/>
            <w:tcBorders>
              <w:bottom w:val="nil"/>
            </w:tcBorders>
          </w:tcPr>
          <w:p>
            <w:pPr>
              <w:spacing w:line="385" w:lineRule="auto"/>
            </w:pPr>
          </w:p>
          <w:p>
            <w:pPr>
              <w:spacing w:before="55" w:line="219" w:lineRule="auto"/>
              <w:ind w:left="194" w:right="2" w:hanging="139"/>
              <w:rPr>
                <w:rFonts w:ascii="宋体" w:hAnsi="宋体" w:eastAsia="宋体" w:cs="宋体"/>
                <w:sz w:val="17"/>
                <w:szCs w:val="17"/>
              </w:rPr>
            </w:pPr>
            <w:r>
              <w:rPr>
                <w:rFonts w:ascii="宋体" w:hAnsi="宋体" w:eastAsia="宋体" w:cs="宋体"/>
                <w:spacing w:val="-11"/>
                <w:sz w:val="17"/>
                <w:szCs w:val="17"/>
              </w:rPr>
              <w:t>年度总体</w:t>
            </w:r>
            <w:r>
              <w:rPr>
                <w:rFonts w:ascii="宋体" w:hAnsi="宋体" w:eastAsia="宋体" w:cs="宋体"/>
                <w:sz w:val="17"/>
                <w:szCs w:val="17"/>
              </w:rPr>
              <w:t xml:space="preserve"> </w:t>
            </w:r>
            <w:r>
              <w:rPr>
                <w:rFonts w:ascii="宋体" w:hAnsi="宋体" w:eastAsia="宋体" w:cs="宋体"/>
                <w:spacing w:val="6"/>
                <w:sz w:val="17"/>
                <w:szCs w:val="17"/>
              </w:rPr>
              <w:t>目标</w:t>
            </w:r>
          </w:p>
        </w:tc>
        <w:tc>
          <w:tcPr>
            <w:tcW w:w="6364" w:type="dxa"/>
            <w:gridSpan w:val="6"/>
          </w:tcPr>
          <w:p>
            <w:pPr>
              <w:spacing w:before="183" w:line="220" w:lineRule="auto"/>
              <w:ind w:left="3141"/>
              <w:rPr>
                <w:rFonts w:ascii="宋体" w:hAnsi="宋体" w:eastAsia="宋体" w:cs="宋体"/>
                <w:sz w:val="17"/>
                <w:szCs w:val="17"/>
              </w:rPr>
            </w:pPr>
            <w:r>
              <w:rPr>
                <w:rFonts w:ascii="宋体" w:hAnsi="宋体" w:eastAsia="宋体" w:cs="宋体"/>
                <w:spacing w:val="-2"/>
                <w:sz w:val="17"/>
                <w:szCs w:val="17"/>
              </w:rPr>
              <w:t>预期目标</w:t>
            </w:r>
          </w:p>
        </w:tc>
        <w:tc>
          <w:tcPr>
            <w:tcW w:w="1240" w:type="dxa"/>
          </w:tcPr>
          <w:p>
            <w:pPr>
              <w:rPr>
                <w:rFonts w:eastAsia="宋体"/>
              </w:rPr>
            </w:pPr>
            <w:r>
              <w:rPr>
                <w:rFonts w:hint="eastAsia" w:eastAsia="宋体"/>
              </w:rPr>
              <w:t>已完成情况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85" w:hRule="atLeast"/>
        </w:trPr>
        <w:tc>
          <w:tcPr>
            <w:tcW w:w="655" w:type="dxa"/>
            <w:vMerge w:val="continue"/>
            <w:tcBorders>
              <w:top w:val="nil"/>
            </w:tcBorders>
          </w:tcPr>
          <w:p/>
        </w:tc>
        <w:tc>
          <w:tcPr>
            <w:tcW w:w="6364" w:type="dxa"/>
            <w:gridSpan w:val="6"/>
          </w:tcPr>
          <w:p>
            <w:pPr>
              <w:rPr>
                <w:rFonts w:eastAsia="宋体"/>
              </w:rPr>
            </w:pPr>
            <w:r>
              <w:rPr>
                <w:rFonts w:hint="eastAsia" w:eastAsia="宋体"/>
              </w:rPr>
              <w:t>提升医保信息化水平，加强网络、信息安全、基础设施等方面建设，加强打击欺诈骗保工作力度，有效提升综合监管、宣传引导、经办服务、人才队伍建设等医疗保障服务能力，该项资金总额61万元，主要涉及镇村医保经办人员顶岗脱产培训、区镇村医保经办体系建设、医保基金监管等。</w:t>
            </w:r>
          </w:p>
        </w:tc>
        <w:tc>
          <w:tcPr>
            <w:tcW w:w="1240" w:type="dxa"/>
          </w:tcPr>
          <w:p>
            <w:pPr>
              <w:rPr>
                <w:rFonts w:hint="eastAsia" w:eastAsia="宋体"/>
                <w:lang w:eastAsia="zh-CN"/>
              </w:rPr>
            </w:pPr>
            <w:r>
              <w:rPr>
                <w:rFonts w:hint="eastAsia" w:eastAsia="宋体"/>
                <w:lang w:eastAsia="zh-CN"/>
              </w:rPr>
              <w:t>已完成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trPr>
        <w:tc>
          <w:tcPr>
            <w:tcW w:w="655" w:type="dxa"/>
            <w:vMerge w:val="restart"/>
            <w:tcBorders>
              <w:top w:val="single" w:color="auto" w:sz="4" w:space="0"/>
              <w:left w:val="single" w:color="auto" w:sz="4" w:space="0"/>
              <w:bottom w:val="single" w:color="auto" w:sz="4" w:space="0"/>
              <w:right w:val="single" w:color="auto" w:sz="4" w:space="0"/>
            </w:tcBorders>
          </w:tcPr>
          <w:p>
            <w:pPr>
              <w:spacing w:line="253" w:lineRule="auto"/>
            </w:pPr>
          </w:p>
          <w:p>
            <w:pPr>
              <w:spacing w:line="253" w:lineRule="auto"/>
            </w:pPr>
          </w:p>
          <w:p>
            <w:pPr>
              <w:spacing w:line="253" w:lineRule="auto"/>
            </w:pPr>
          </w:p>
          <w:p>
            <w:pPr>
              <w:spacing w:line="254" w:lineRule="auto"/>
            </w:pPr>
          </w:p>
          <w:p>
            <w:pPr>
              <w:spacing w:line="254" w:lineRule="auto"/>
            </w:pPr>
          </w:p>
          <w:p>
            <w:pPr>
              <w:spacing w:line="254" w:lineRule="auto"/>
            </w:pPr>
          </w:p>
          <w:p>
            <w:pPr>
              <w:spacing w:line="254" w:lineRule="auto"/>
            </w:pPr>
          </w:p>
          <w:p>
            <w:pPr>
              <w:spacing w:line="254" w:lineRule="auto"/>
            </w:pPr>
          </w:p>
          <w:p>
            <w:pPr>
              <w:spacing w:line="254" w:lineRule="auto"/>
            </w:pPr>
          </w:p>
          <w:p>
            <w:pPr>
              <w:spacing w:line="254" w:lineRule="auto"/>
            </w:pPr>
          </w:p>
          <w:p>
            <w:pPr>
              <w:spacing w:line="254" w:lineRule="auto"/>
            </w:pPr>
          </w:p>
          <w:p>
            <w:pPr>
              <w:spacing w:line="254" w:lineRule="auto"/>
            </w:pPr>
          </w:p>
          <w:p>
            <w:pPr>
              <w:spacing w:line="254" w:lineRule="auto"/>
            </w:pPr>
          </w:p>
          <w:p>
            <w:pPr>
              <w:spacing w:before="56" w:line="220" w:lineRule="auto"/>
              <w:ind w:left="55"/>
              <w:rPr>
                <w:rFonts w:ascii="宋体" w:hAnsi="宋体" w:eastAsia="宋体" w:cs="宋体"/>
                <w:spacing w:val="-11"/>
                <w:sz w:val="17"/>
                <w:szCs w:val="17"/>
              </w:rPr>
            </w:pPr>
            <w:r>
              <w:rPr>
                <w:rFonts w:ascii="宋体" w:hAnsi="宋体" w:eastAsia="宋体" w:cs="宋体"/>
                <w:spacing w:val="-11"/>
                <w:sz w:val="17"/>
                <w:szCs w:val="17"/>
              </w:rPr>
              <w:t>绩效</w:t>
            </w:r>
          </w:p>
          <w:p>
            <w:pPr>
              <w:spacing w:before="56" w:line="220" w:lineRule="auto"/>
              <w:ind w:left="55"/>
              <w:rPr>
                <w:rFonts w:ascii="宋体" w:hAnsi="宋体" w:eastAsia="宋体" w:cs="宋体"/>
                <w:sz w:val="17"/>
                <w:szCs w:val="17"/>
              </w:rPr>
            </w:pPr>
            <w:r>
              <w:rPr>
                <w:rFonts w:ascii="宋体" w:hAnsi="宋体" w:eastAsia="宋体" w:cs="宋体"/>
                <w:spacing w:val="-11"/>
                <w:sz w:val="17"/>
                <w:szCs w:val="17"/>
              </w:rPr>
              <w:t>指标</w:t>
            </w:r>
          </w:p>
        </w:tc>
        <w:tc>
          <w:tcPr>
            <w:tcW w:w="708" w:type="dxa"/>
            <w:tcBorders>
              <w:top w:val="single" w:color="auto" w:sz="4" w:space="0"/>
              <w:left w:val="single" w:color="auto" w:sz="4" w:space="0"/>
              <w:bottom w:val="single" w:color="auto" w:sz="4" w:space="0"/>
              <w:right w:val="single" w:color="auto" w:sz="4" w:space="0"/>
            </w:tcBorders>
          </w:tcPr>
          <w:p>
            <w:pPr>
              <w:spacing w:before="155" w:line="220" w:lineRule="auto"/>
              <w:ind w:left="40"/>
              <w:rPr>
                <w:rFonts w:ascii="宋体" w:hAnsi="宋体" w:eastAsia="宋体" w:cs="宋体"/>
                <w:sz w:val="17"/>
                <w:szCs w:val="17"/>
              </w:rPr>
            </w:pPr>
            <w:r>
              <w:rPr>
                <w:rFonts w:ascii="宋体" w:hAnsi="宋体" w:eastAsia="宋体" w:cs="宋体"/>
                <w:spacing w:val="-2"/>
                <w:sz w:val="17"/>
                <w:szCs w:val="17"/>
              </w:rPr>
              <w:t>一级指标</w:t>
            </w:r>
          </w:p>
        </w:tc>
        <w:tc>
          <w:tcPr>
            <w:tcW w:w="939" w:type="dxa"/>
            <w:tcBorders>
              <w:top w:val="single" w:color="auto" w:sz="4" w:space="0"/>
              <w:left w:val="single" w:color="auto" w:sz="4" w:space="0"/>
              <w:bottom w:val="single" w:color="auto" w:sz="4" w:space="0"/>
              <w:right w:val="single" w:color="auto" w:sz="4" w:space="0"/>
            </w:tcBorders>
          </w:tcPr>
          <w:p>
            <w:pPr>
              <w:spacing w:before="155" w:line="220" w:lineRule="auto"/>
              <w:ind w:left="202"/>
              <w:rPr>
                <w:rFonts w:ascii="宋体" w:hAnsi="宋体" w:eastAsia="宋体" w:cs="宋体"/>
                <w:sz w:val="17"/>
                <w:szCs w:val="17"/>
              </w:rPr>
            </w:pPr>
            <w:r>
              <w:rPr>
                <w:rFonts w:ascii="宋体" w:hAnsi="宋体" w:eastAsia="宋体" w:cs="宋体"/>
                <w:spacing w:val="-2"/>
                <w:sz w:val="17"/>
                <w:szCs w:val="17"/>
              </w:rPr>
              <w:t>二级指标</w:t>
            </w:r>
          </w:p>
        </w:tc>
        <w:tc>
          <w:tcPr>
            <w:tcW w:w="1836" w:type="dxa"/>
            <w:gridSpan w:val="2"/>
            <w:tcBorders>
              <w:top w:val="single" w:color="auto" w:sz="4" w:space="0"/>
              <w:left w:val="single" w:color="auto" w:sz="4" w:space="0"/>
              <w:bottom w:val="single" w:color="auto" w:sz="4" w:space="0"/>
              <w:right w:val="single" w:color="auto" w:sz="4" w:space="0"/>
            </w:tcBorders>
          </w:tcPr>
          <w:p>
            <w:pPr>
              <w:spacing w:before="155" w:line="220" w:lineRule="auto"/>
              <w:ind w:left="742"/>
              <w:rPr>
                <w:rFonts w:ascii="宋体" w:hAnsi="宋体" w:eastAsia="宋体" w:cs="宋体"/>
                <w:sz w:val="17"/>
                <w:szCs w:val="17"/>
              </w:rPr>
            </w:pPr>
            <w:r>
              <w:rPr>
                <w:rFonts w:ascii="宋体" w:hAnsi="宋体" w:eastAsia="宋体" w:cs="宋体"/>
                <w:spacing w:val="-2"/>
                <w:sz w:val="17"/>
                <w:szCs w:val="17"/>
              </w:rPr>
              <w:t>三级指标</w:t>
            </w:r>
          </w:p>
        </w:tc>
        <w:tc>
          <w:tcPr>
            <w:tcW w:w="1648" w:type="dxa"/>
            <w:tcBorders>
              <w:left w:val="single" w:color="auto" w:sz="4" w:space="0"/>
            </w:tcBorders>
          </w:tcPr>
          <w:p>
            <w:pPr>
              <w:spacing w:before="155" w:line="219" w:lineRule="auto"/>
              <w:ind w:left="354"/>
              <w:rPr>
                <w:rFonts w:ascii="宋体" w:hAnsi="宋体" w:eastAsia="宋体" w:cs="宋体"/>
                <w:sz w:val="17"/>
                <w:szCs w:val="17"/>
              </w:rPr>
            </w:pPr>
            <w:r>
              <w:rPr>
                <w:rFonts w:ascii="宋体" w:hAnsi="宋体" w:eastAsia="宋体" w:cs="宋体"/>
                <w:spacing w:val="-2"/>
                <w:sz w:val="17"/>
                <w:szCs w:val="17"/>
              </w:rPr>
              <w:t>年度指标值</w:t>
            </w:r>
          </w:p>
        </w:tc>
        <w:tc>
          <w:tcPr>
            <w:tcW w:w="1233" w:type="dxa"/>
          </w:tcPr>
          <w:p>
            <w:pPr>
              <w:spacing w:before="155" w:line="219" w:lineRule="auto"/>
              <w:ind w:left="307"/>
              <w:rPr>
                <w:rFonts w:ascii="宋体" w:hAnsi="宋体" w:eastAsia="宋体" w:cs="宋体"/>
                <w:sz w:val="17"/>
                <w:szCs w:val="17"/>
              </w:rPr>
            </w:pPr>
            <w:r>
              <w:rPr>
                <w:rFonts w:ascii="宋体" w:hAnsi="宋体" w:eastAsia="宋体" w:cs="宋体"/>
                <w:spacing w:val="-2"/>
                <w:sz w:val="17"/>
                <w:szCs w:val="17"/>
              </w:rPr>
              <w:t>实际完成值</w:t>
            </w:r>
          </w:p>
        </w:tc>
        <w:tc>
          <w:tcPr>
            <w:tcW w:w="1240" w:type="dxa"/>
          </w:tcPr>
          <w:p>
            <w:pPr>
              <w:spacing w:before="75" w:line="227" w:lineRule="auto"/>
              <w:ind w:left="227" w:hanging="189"/>
              <w:rPr>
                <w:rFonts w:ascii="宋体" w:hAnsi="宋体" w:eastAsia="宋体" w:cs="宋体"/>
                <w:sz w:val="16"/>
                <w:szCs w:val="16"/>
              </w:rPr>
            </w:pPr>
            <w:r>
              <w:rPr>
                <w:rFonts w:ascii="宋体" w:hAnsi="宋体" w:eastAsia="宋体" w:cs="宋体"/>
                <w:sz w:val="16"/>
                <w:szCs w:val="16"/>
              </w:rPr>
              <w:t>偏差原因分析及</w:t>
            </w:r>
            <w:r>
              <w:rPr>
                <w:rFonts w:ascii="宋体" w:hAnsi="宋体" w:eastAsia="宋体" w:cs="宋体"/>
                <w:spacing w:val="3"/>
                <w:sz w:val="16"/>
                <w:szCs w:val="16"/>
              </w:rPr>
              <w:t xml:space="preserve"> </w:t>
            </w:r>
            <w:r>
              <w:rPr>
                <w:rFonts w:ascii="宋体" w:hAnsi="宋体" w:eastAsia="宋体" w:cs="宋体"/>
                <w:spacing w:val="11"/>
                <w:sz w:val="16"/>
                <w:szCs w:val="16"/>
              </w:rPr>
              <w:t>改进措施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655" w:type="dxa"/>
            <w:vMerge w:val="continue"/>
            <w:tcBorders>
              <w:top w:val="single" w:color="auto" w:sz="4" w:space="0"/>
              <w:left w:val="single" w:color="auto" w:sz="4" w:space="0"/>
              <w:bottom w:val="single" w:color="auto" w:sz="4" w:space="0"/>
              <w:right w:val="single" w:color="auto" w:sz="4" w:space="0"/>
            </w:tcBorders>
          </w:tcPr>
          <w:p/>
        </w:tc>
        <w:tc>
          <w:tcPr>
            <w:tcW w:w="708" w:type="dxa"/>
            <w:tcBorders>
              <w:top w:val="single" w:color="auto" w:sz="4" w:space="0"/>
              <w:left w:val="single" w:color="auto" w:sz="4" w:space="0"/>
              <w:bottom w:val="single" w:color="auto" w:sz="4" w:space="0"/>
              <w:right w:val="single" w:color="auto" w:sz="4" w:space="0"/>
            </w:tcBorders>
          </w:tcPr>
          <w:p>
            <w:pPr>
              <w:spacing w:before="56" w:line="219" w:lineRule="auto"/>
              <w:ind w:left="40"/>
              <w:rPr>
                <w:rFonts w:ascii="宋体" w:hAnsi="宋体" w:eastAsia="宋体" w:cs="宋体"/>
                <w:spacing w:val="-2"/>
                <w:sz w:val="17"/>
                <w:szCs w:val="17"/>
              </w:rPr>
            </w:pPr>
          </w:p>
        </w:tc>
        <w:tc>
          <w:tcPr>
            <w:tcW w:w="939" w:type="dxa"/>
            <w:tcBorders>
              <w:top w:val="single" w:color="auto" w:sz="4" w:space="0"/>
              <w:left w:val="single" w:color="auto" w:sz="4" w:space="0"/>
              <w:bottom w:val="single" w:color="auto" w:sz="4" w:space="0"/>
              <w:right w:val="single" w:color="auto" w:sz="4" w:space="0"/>
            </w:tcBorders>
            <w:vAlign w:val="center"/>
          </w:tcPr>
          <w:p>
            <w:pPr>
              <w:spacing w:before="55" w:line="219" w:lineRule="auto"/>
              <w:ind w:firstLine="166" w:firstLineChars="100"/>
              <w:jc w:val="both"/>
              <w:rPr>
                <w:rFonts w:ascii="宋体" w:hAnsi="宋体" w:eastAsia="宋体" w:cs="宋体"/>
                <w:spacing w:val="-2"/>
                <w:sz w:val="17"/>
                <w:szCs w:val="17"/>
              </w:rPr>
            </w:pPr>
            <w:r>
              <w:rPr>
                <w:rFonts w:ascii="宋体" w:hAnsi="宋体" w:eastAsia="宋体" w:cs="宋体"/>
                <w:spacing w:val="-2"/>
                <w:sz w:val="17"/>
                <w:szCs w:val="17"/>
              </w:rPr>
              <w:t>数量指标</w:t>
            </w:r>
          </w:p>
        </w:tc>
        <w:tc>
          <w:tcPr>
            <w:tcW w:w="1836" w:type="dxa"/>
            <w:gridSpan w:val="2"/>
            <w:tcBorders>
              <w:top w:val="single" w:color="auto" w:sz="4" w:space="0"/>
              <w:left w:val="single" w:color="auto" w:sz="4" w:space="0"/>
              <w:bottom w:val="single" w:color="auto" w:sz="4" w:space="0"/>
              <w:right w:val="single" w:color="auto" w:sz="4" w:space="0"/>
            </w:tcBorders>
            <w:vAlign w:val="center"/>
          </w:tcPr>
          <w:p>
            <w:pPr>
              <w:spacing w:before="36" w:line="220" w:lineRule="auto"/>
              <w:ind w:left="202"/>
              <w:jc w:val="center"/>
              <w:rPr>
                <w:rFonts w:ascii="宋体" w:hAnsi="宋体" w:eastAsia="宋体" w:cs="宋体"/>
                <w:sz w:val="17"/>
                <w:szCs w:val="17"/>
              </w:rPr>
            </w:pPr>
            <w:r>
              <w:rPr>
                <w:rFonts w:hint="eastAsia" w:ascii="宋体" w:hAnsi="宋体" w:eastAsia="宋体" w:cs="宋体"/>
                <w:sz w:val="17"/>
                <w:szCs w:val="17"/>
              </w:rPr>
              <w:t>地方媒体报道次数</w:t>
            </w:r>
          </w:p>
        </w:tc>
        <w:tc>
          <w:tcPr>
            <w:tcW w:w="1648" w:type="dxa"/>
            <w:tcBorders>
              <w:left w:val="single" w:color="auto" w:sz="4" w:space="0"/>
            </w:tcBorders>
            <w:vAlign w:val="center"/>
          </w:tcPr>
          <w:p>
            <w:pPr>
              <w:spacing w:before="36" w:line="220" w:lineRule="auto"/>
              <w:ind w:left="202"/>
              <w:jc w:val="center"/>
              <w:rPr>
                <w:rFonts w:ascii="宋体" w:hAnsi="宋体" w:eastAsia="宋体" w:cs="宋体"/>
                <w:spacing w:val="8"/>
                <w:sz w:val="17"/>
                <w:szCs w:val="17"/>
              </w:rPr>
            </w:pPr>
            <w:r>
              <w:rPr>
                <w:rFonts w:hint="eastAsia" w:ascii="宋体" w:hAnsi="宋体" w:eastAsia="宋体" w:cs="宋体"/>
                <w:spacing w:val="8"/>
                <w:sz w:val="17"/>
                <w:szCs w:val="17"/>
              </w:rPr>
              <w:t>≥2次</w:t>
            </w:r>
          </w:p>
        </w:tc>
        <w:tc>
          <w:tcPr>
            <w:tcW w:w="1233" w:type="dxa"/>
            <w:vAlign w:val="center"/>
          </w:tcPr>
          <w:p>
            <w:pPr>
              <w:spacing w:before="36" w:line="220" w:lineRule="auto"/>
              <w:ind w:left="202"/>
              <w:jc w:val="center"/>
              <w:rPr>
                <w:rFonts w:ascii="宋体" w:hAnsi="宋体" w:eastAsia="宋体" w:cs="宋体"/>
                <w:spacing w:val="8"/>
                <w:sz w:val="17"/>
                <w:szCs w:val="17"/>
              </w:rPr>
            </w:pPr>
            <w:r>
              <w:rPr>
                <w:rFonts w:hint="eastAsia" w:ascii="宋体" w:hAnsi="宋体" w:eastAsia="宋体" w:cs="宋体"/>
                <w:spacing w:val="8"/>
                <w:sz w:val="17"/>
                <w:szCs w:val="17"/>
              </w:rPr>
              <w:t>10次</w:t>
            </w:r>
          </w:p>
        </w:tc>
        <w:tc>
          <w:tcPr>
            <w:tcW w:w="1240"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655" w:type="dxa"/>
            <w:vMerge w:val="continue"/>
            <w:tcBorders>
              <w:top w:val="single" w:color="auto" w:sz="4" w:space="0"/>
              <w:left w:val="single" w:color="auto" w:sz="4" w:space="0"/>
              <w:bottom w:val="single" w:color="auto" w:sz="4" w:space="0"/>
              <w:right w:val="single" w:color="auto" w:sz="4" w:space="0"/>
            </w:tcBorders>
          </w:tcPr>
          <w:p/>
        </w:tc>
        <w:tc>
          <w:tcPr>
            <w:tcW w:w="708" w:type="dxa"/>
            <w:tcBorders>
              <w:top w:val="single" w:color="auto" w:sz="4" w:space="0"/>
              <w:left w:val="single" w:color="auto" w:sz="4" w:space="0"/>
              <w:bottom w:val="single" w:color="auto" w:sz="4" w:space="0"/>
              <w:right w:val="single" w:color="auto" w:sz="4" w:space="0"/>
            </w:tcBorders>
          </w:tcPr>
          <w:p>
            <w:pPr>
              <w:spacing w:before="56" w:line="219" w:lineRule="auto"/>
              <w:ind w:left="40"/>
              <w:rPr>
                <w:rFonts w:ascii="宋体" w:hAnsi="宋体" w:eastAsia="宋体" w:cs="宋体"/>
                <w:spacing w:val="-2"/>
                <w:sz w:val="17"/>
                <w:szCs w:val="17"/>
              </w:rPr>
            </w:pPr>
          </w:p>
        </w:tc>
        <w:tc>
          <w:tcPr>
            <w:tcW w:w="939" w:type="dxa"/>
            <w:tcBorders>
              <w:top w:val="single" w:color="auto" w:sz="4" w:space="0"/>
              <w:left w:val="single" w:color="auto" w:sz="4" w:space="0"/>
              <w:bottom w:val="single" w:color="auto" w:sz="4" w:space="0"/>
              <w:right w:val="single" w:color="auto" w:sz="4" w:space="0"/>
            </w:tcBorders>
            <w:vAlign w:val="center"/>
          </w:tcPr>
          <w:p>
            <w:pPr>
              <w:spacing w:before="55" w:line="219" w:lineRule="auto"/>
              <w:ind w:firstLine="166" w:firstLineChars="100"/>
              <w:jc w:val="both"/>
              <w:rPr>
                <w:rFonts w:ascii="宋体" w:hAnsi="宋体" w:eastAsia="宋体" w:cs="宋体"/>
                <w:spacing w:val="-2"/>
                <w:sz w:val="17"/>
                <w:szCs w:val="17"/>
              </w:rPr>
            </w:pPr>
            <w:r>
              <w:rPr>
                <w:rFonts w:ascii="宋体" w:hAnsi="宋体" w:eastAsia="宋体" w:cs="宋体"/>
                <w:spacing w:val="-2"/>
                <w:sz w:val="17"/>
                <w:szCs w:val="17"/>
              </w:rPr>
              <w:t>数量指标</w:t>
            </w:r>
          </w:p>
        </w:tc>
        <w:tc>
          <w:tcPr>
            <w:tcW w:w="1836" w:type="dxa"/>
            <w:gridSpan w:val="2"/>
            <w:tcBorders>
              <w:top w:val="single" w:color="auto" w:sz="4" w:space="0"/>
              <w:left w:val="single" w:color="auto" w:sz="4" w:space="0"/>
              <w:bottom w:val="single" w:color="auto" w:sz="4" w:space="0"/>
              <w:right w:val="single" w:color="auto" w:sz="4" w:space="0"/>
            </w:tcBorders>
            <w:vAlign w:val="center"/>
          </w:tcPr>
          <w:p>
            <w:pPr>
              <w:spacing w:before="36" w:line="220" w:lineRule="auto"/>
              <w:ind w:left="202"/>
              <w:jc w:val="center"/>
              <w:rPr>
                <w:rFonts w:ascii="宋体" w:hAnsi="宋体" w:eastAsia="宋体" w:cs="宋体"/>
                <w:sz w:val="17"/>
                <w:szCs w:val="17"/>
              </w:rPr>
            </w:pPr>
            <w:r>
              <w:rPr>
                <w:rFonts w:hint="eastAsia" w:ascii="宋体" w:hAnsi="宋体" w:eastAsia="宋体" w:cs="宋体"/>
                <w:sz w:val="17"/>
                <w:szCs w:val="17"/>
              </w:rPr>
              <w:t>医保经办服务网点建设</w:t>
            </w:r>
          </w:p>
        </w:tc>
        <w:tc>
          <w:tcPr>
            <w:tcW w:w="1648" w:type="dxa"/>
            <w:tcBorders>
              <w:left w:val="single" w:color="auto" w:sz="4" w:space="0"/>
            </w:tcBorders>
            <w:vAlign w:val="center"/>
          </w:tcPr>
          <w:p>
            <w:pPr>
              <w:spacing w:before="36" w:line="220" w:lineRule="auto"/>
              <w:ind w:left="202"/>
              <w:jc w:val="center"/>
              <w:rPr>
                <w:rFonts w:ascii="宋体" w:hAnsi="宋体" w:eastAsia="宋体" w:cs="宋体"/>
                <w:spacing w:val="8"/>
                <w:sz w:val="17"/>
                <w:szCs w:val="17"/>
              </w:rPr>
            </w:pPr>
            <w:r>
              <w:rPr>
                <w:rFonts w:hint="eastAsia" w:ascii="宋体" w:hAnsi="宋体" w:eastAsia="宋体" w:cs="宋体"/>
                <w:spacing w:val="8"/>
                <w:sz w:val="17"/>
                <w:szCs w:val="17"/>
              </w:rPr>
              <w:t>≥3个</w:t>
            </w:r>
          </w:p>
        </w:tc>
        <w:tc>
          <w:tcPr>
            <w:tcW w:w="1233" w:type="dxa"/>
            <w:vAlign w:val="center"/>
          </w:tcPr>
          <w:p>
            <w:pPr>
              <w:spacing w:before="36" w:line="220" w:lineRule="auto"/>
              <w:ind w:left="202"/>
              <w:jc w:val="center"/>
              <w:rPr>
                <w:rFonts w:ascii="宋体" w:hAnsi="宋体" w:eastAsia="宋体" w:cs="宋体"/>
                <w:spacing w:val="8"/>
                <w:sz w:val="17"/>
                <w:szCs w:val="17"/>
              </w:rPr>
            </w:pPr>
            <w:r>
              <w:rPr>
                <w:rFonts w:hint="eastAsia" w:ascii="宋体" w:hAnsi="宋体" w:eastAsia="宋体" w:cs="宋体"/>
                <w:spacing w:val="8"/>
                <w:sz w:val="17"/>
                <w:szCs w:val="17"/>
              </w:rPr>
              <w:t>4个</w:t>
            </w:r>
          </w:p>
        </w:tc>
        <w:tc>
          <w:tcPr>
            <w:tcW w:w="1240"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655" w:type="dxa"/>
            <w:vMerge w:val="continue"/>
            <w:tcBorders>
              <w:top w:val="single" w:color="auto" w:sz="4" w:space="0"/>
              <w:left w:val="single" w:color="auto" w:sz="4" w:space="0"/>
              <w:bottom w:val="single" w:color="auto" w:sz="4" w:space="0"/>
              <w:right w:val="single" w:color="auto" w:sz="4" w:space="0"/>
            </w:tcBorders>
          </w:tcPr>
          <w:p/>
        </w:tc>
        <w:tc>
          <w:tcPr>
            <w:tcW w:w="708" w:type="dxa"/>
            <w:vMerge w:val="restart"/>
            <w:tcBorders>
              <w:top w:val="single" w:color="auto" w:sz="4" w:space="0"/>
              <w:left w:val="single" w:color="auto" w:sz="4" w:space="0"/>
              <w:bottom w:val="single" w:color="auto" w:sz="4" w:space="0"/>
              <w:right w:val="single" w:color="auto" w:sz="4" w:space="0"/>
            </w:tcBorders>
          </w:tcPr>
          <w:p>
            <w:pPr>
              <w:spacing w:line="286" w:lineRule="auto"/>
            </w:pPr>
          </w:p>
          <w:p>
            <w:pPr>
              <w:spacing w:line="286" w:lineRule="auto"/>
            </w:pPr>
          </w:p>
          <w:p>
            <w:pPr>
              <w:spacing w:line="286" w:lineRule="auto"/>
            </w:pPr>
          </w:p>
          <w:p>
            <w:pPr>
              <w:spacing w:line="286" w:lineRule="auto"/>
            </w:pPr>
          </w:p>
          <w:p>
            <w:pPr>
              <w:spacing w:line="287" w:lineRule="auto"/>
            </w:pPr>
          </w:p>
          <w:p>
            <w:pPr>
              <w:spacing w:before="56" w:line="219" w:lineRule="auto"/>
              <w:ind w:left="40"/>
              <w:rPr>
                <w:rFonts w:ascii="宋体" w:hAnsi="宋体" w:eastAsia="宋体" w:cs="宋体"/>
                <w:spacing w:val="-2"/>
                <w:sz w:val="17"/>
                <w:szCs w:val="17"/>
              </w:rPr>
            </w:pPr>
            <w:r>
              <w:rPr>
                <w:rFonts w:ascii="宋体" w:hAnsi="宋体" w:eastAsia="宋体" w:cs="宋体"/>
                <w:spacing w:val="-2"/>
                <w:sz w:val="17"/>
                <w:szCs w:val="17"/>
              </w:rPr>
              <w:t>产出</w:t>
            </w:r>
          </w:p>
          <w:p>
            <w:pPr>
              <w:spacing w:before="56" w:line="219" w:lineRule="auto"/>
              <w:ind w:left="40"/>
              <w:rPr>
                <w:rFonts w:ascii="宋体" w:hAnsi="宋体" w:eastAsia="宋体" w:cs="宋体"/>
                <w:sz w:val="17"/>
                <w:szCs w:val="17"/>
              </w:rPr>
            </w:pPr>
            <w:r>
              <w:rPr>
                <w:rFonts w:ascii="宋体" w:hAnsi="宋体" w:eastAsia="宋体" w:cs="宋体"/>
                <w:spacing w:val="-2"/>
                <w:sz w:val="17"/>
                <w:szCs w:val="17"/>
              </w:rPr>
              <w:t>指标</w:t>
            </w:r>
          </w:p>
        </w:tc>
        <w:tc>
          <w:tcPr>
            <w:tcW w:w="939" w:type="dxa"/>
            <w:tcBorders>
              <w:top w:val="single" w:color="auto" w:sz="4" w:space="0"/>
              <w:left w:val="single" w:color="auto" w:sz="4" w:space="0"/>
              <w:bottom w:val="single" w:color="auto" w:sz="4" w:space="0"/>
              <w:right w:val="single" w:color="auto" w:sz="4" w:space="0"/>
            </w:tcBorders>
            <w:vAlign w:val="center"/>
          </w:tcPr>
          <w:p>
            <w:pPr>
              <w:spacing w:before="55" w:line="219" w:lineRule="auto"/>
              <w:ind w:firstLine="166" w:firstLineChars="100"/>
              <w:jc w:val="both"/>
              <w:rPr>
                <w:rFonts w:ascii="宋体" w:hAnsi="宋体" w:eastAsia="宋体" w:cs="宋体"/>
                <w:sz w:val="17"/>
                <w:szCs w:val="17"/>
              </w:rPr>
            </w:pPr>
            <w:r>
              <w:rPr>
                <w:rFonts w:ascii="宋体" w:hAnsi="宋体" w:eastAsia="宋体" w:cs="宋体"/>
                <w:spacing w:val="-2"/>
                <w:sz w:val="17"/>
                <w:szCs w:val="17"/>
              </w:rPr>
              <w:t>数量指标</w:t>
            </w:r>
          </w:p>
        </w:tc>
        <w:tc>
          <w:tcPr>
            <w:tcW w:w="1836" w:type="dxa"/>
            <w:gridSpan w:val="2"/>
            <w:tcBorders>
              <w:top w:val="single" w:color="auto" w:sz="4" w:space="0"/>
              <w:left w:val="single" w:color="auto" w:sz="4" w:space="0"/>
              <w:bottom w:val="single" w:color="auto" w:sz="4" w:space="0"/>
              <w:right w:val="single" w:color="auto" w:sz="4" w:space="0"/>
            </w:tcBorders>
            <w:vAlign w:val="center"/>
          </w:tcPr>
          <w:p>
            <w:pPr>
              <w:spacing w:before="36" w:line="220" w:lineRule="auto"/>
              <w:ind w:left="202"/>
              <w:jc w:val="center"/>
              <w:rPr>
                <w:rFonts w:ascii="宋体" w:hAnsi="宋体" w:eastAsia="宋体" w:cs="宋体"/>
                <w:sz w:val="17"/>
                <w:szCs w:val="17"/>
              </w:rPr>
            </w:pPr>
            <w:r>
              <w:rPr>
                <w:rFonts w:hint="eastAsia" w:ascii="宋体" w:hAnsi="宋体" w:eastAsia="宋体" w:cs="宋体"/>
                <w:sz w:val="17"/>
                <w:szCs w:val="17"/>
              </w:rPr>
              <w:t>印制宣传资料数量</w:t>
            </w:r>
          </w:p>
        </w:tc>
        <w:tc>
          <w:tcPr>
            <w:tcW w:w="1648" w:type="dxa"/>
            <w:tcBorders>
              <w:left w:val="single" w:color="auto" w:sz="4" w:space="0"/>
            </w:tcBorders>
            <w:vAlign w:val="center"/>
          </w:tcPr>
          <w:p>
            <w:pPr>
              <w:spacing w:before="36" w:line="220" w:lineRule="auto"/>
              <w:ind w:left="202"/>
              <w:jc w:val="center"/>
              <w:rPr>
                <w:rFonts w:ascii="宋体" w:hAnsi="宋体" w:eastAsia="宋体" w:cs="宋体"/>
                <w:spacing w:val="8"/>
                <w:sz w:val="17"/>
                <w:szCs w:val="17"/>
              </w:rPr>
            </w:pPr>
            <w:r>
              <w:rPr>
                <w:rFonts w:hint="eastAsia" w:ascii="宋体" w:hAnsi="宋体" w:eastAsia="宋体" w:cs="宋体"/>
                <w:spacing w:val="8"/>
                <w:sz w:val="17"/>
                <w:szCs w:val="17"/>
              </w:rPr>
              <w:t>≥15000份</w:t>
            </w:r>
          </w:p>
        </w:tc>
        <w:tc>
          <w:tcPr>
            <w:tcW w:w="1233" w:type="dxa"/>
            <w:vAlign w:val="center"/>
          </w:tcPr>
          <w:p>
            <w:pPr>
              <w:spacing w:before="36" w:line="220" w:lineRule="auto"/>
              <w:ind w:left="202"/>
              <w:jc w:val="center"/>
              <w:rPr>
                <w:rFonts w:ascii="宋体" w:hAnsi="宋体" w:eastAsia="宋体" w:cs="宋体"/>
                <w:spacing w:val="8"/>
                <w:sz w:val="17"/>
                <w:szCs w:val="17"/>
              </w:rPr>
            </w:pPr>
            <w:r>
              <w:rPr>
                <w:rFonts w:hint="eastAsia" w:ascii="宋体" w:hAnsi="宋体" w:eastAsia="宋体" w:cs="宋体"/>
                <w:spacing w:val="8"/>
                <w:sz w:val="17"/>
                <w:szCs w:val="17"/>
              </w:rPr>
              <w:t>30000份</w:t>
            </w:r>
          </w:p>
        </w:tc>
        <w:tc>
          <w:tcPr>
            <w:tcW w:w="1240"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2" w:hRule="atLeast"/>
        </w:trPr>
        <w:tc>
          <w:tcPr>
            <w:tcW w:w="655" w:type="dxa"/>
            <w:vMerge w:val="continue"/>
            <w:tcBorders>
              <w:top w:val="single" w:color="auto" w:sz="4" w:space="0"/>
              <w:left w:val="single" w:color="auto" w:sz="4" w:space="0"/>
              <w:bottom w:val="single" w:color="auto" w:sz="4" w:space="0"/>
              <w:right w:val="single" w:color="auto" w:sz="4" w:space="0"/>
            </w:tcBorders>
          </w:tcPr>
          <w:p/>
        </w:tc>
        <w:tc>
          <w:tcPr>
            <w:tcW w:w="708" w:type="dxa"/>
            <w:vMerge w:val="continue"/>
            <w:tcBorders>
              <w:top w:val="single" w:color="auto" w:sz="4" w:space="0"/>
              <w:left w:val="single" w:color="auto" w:sz="4" w:space="0"/>
              <w:bottom w:val="single" w:color="auto" w:sz="4" w:space="0"/>
              <w:right w:val="single" w:color="auto" w:sz="4" w:space="0"/>
            </w:tcBorders>
          </w:tcPr>
          <w:p/>
        </w:tc>
        <w:tc>
          <w:tcPr>
            <w:tcW w:w="939" w:type="dxa"/>
            <w:tcBorders>
              <w:top w:val="single" w:color="auto" w:sz="4" w:space="0"/>
              <w:left w:val="single" w:color="auto" w:sz="4" w:space="0"/>
              <w:bottom w:val="single" w:color="auto" w:sz="4" w:space="0"/>
              <w:right w:val="single" w:color="auto" w:sz="4" w:space="0"/>
            </w:tcBorders>
            <w:vAlign w:val="center"/>
          </w:tcPr>
          <w:p>
            <w:pPr>
              <w:spacing w:before="55" w:line="220" w:lineRule="auto"/>
              <w:ind w:firstLine="166" w:firstLineChars="100"/>
              <w:jc w:val="both"/>
              <w:rPr>
                <w:rFonts w:ascii="宋体" w:hAnsi="宋体" w:eastAsia="宋体" w:cs="宋体"/>
                <w:sz w:val="17"/>
                <w:szCs w:val="17"/>
              </w:rPr>
            </w:pPr>
            <w:r>
              <w:rPr>
                <w:rFonts w:ascii="宋体" w:hAnsi="宋体" w:eastAsia="宋体" w:cs="宋体"/>
                <w:spacing w:val="-2"/>
                <w:sz w:val="17"/>
                <w:szCs w:val="17"/>
              </w:rPr>
              <w:t>质量指标</w:t>
            </w:r>
          </w:p>
        </w:tc>
        <w:tc>
          <w:tcPr>
            <w:tcW w:w="1836" w:type="dxa"/>
            <w:gridSpan w:val="2"/>
            <w:tcBorders>
              <w:top w:val="single" w:color="auto" w:sz="4" w:space="0"/>
              <w:left w:val="single" w:color="auto" w:sz="4" w:space="0"/>
              <w:bottom w:val="single" w:color="auto" w:sz="4" w:space="0"/>
              <w:right w:val="single" w:color="auto" w:sz="4" w:space="0"/>
            </w:tcBorders>
            <w:vAlign w:val="center"/>
          </w:tcPr>
          <w:p>
            <w:pPr>
              <w:spacing w:before="66" w:line="210" w:lineRule="auto"/>
              <w:ind w:left="202"/>
              <w:jc w:val="center"/>
              <w:rPr>
                <w:rFonts w:ascii="宋体" w:hAnsi="宋体" w:eastAsia="宋体" w:cs="宋体"/>
                <w:sz w:val="17"/>
                <w:szCs w:val="17"/>
              </w:rPr>
            </w:pPr>
            <w:r>
              <w:rPr>
                <w:rFonts w:hint="eastAsia" w:ascii="宋体" w:hAnsi="宋体" w:eastAsia="宋体" w:cs="宋体"/>
                <w:sz w:val="17"/>
                <w:szCs w:val="17"/>
              </w:rPr>
              <w:t>医保系统正常运转率</w:t>
            </w:r>
          </w:p>
        </w:tc>
        <w:tc>
          <w:tcPr>
            <w:tcW w:w="1648" w:type="dxa"/>
            <w:tcBorders>
              <w:left w:val="single" w:color="auto" w:sz="4" w:space="0"/>
            </w:tcBorders>
            <w:vAlign w:val="center"/>
          </w:tcPr>
          <w:p>
            <w:pPr>
              <w:spacing w:before="36" w:line="220" w:lineRule="auto"/>
              <w:ind w:left="202"/>
              <w:jc w:val="center"/>
              <w:rPr>
                <w:rFonts w:ascii="宋体" w:hAnsi="宋体" w:eastAsia="宋体" w:cs="宋体"/>
                <w:spacing w:val="8"/>
                <w:sz w:val="17"/>
                <w:szCs w:val="17"/>
              </w:rPr>
            </w:pPr>
            <w:r>
              <w:rPr>
                <w:rFonts w:hint="eastAsia" w:ascii="宋体" w:hAnsi="宋体" w:eastAsia="宋体" w:cs="宋体"/>
                <w:spacing w:val="8"/>
                <w:sz w:val="17"/>
                <w:szCs w:val="17"/>
              </w:rPr>
              <w:t>≥90%</w:t>
            </w:r>
          </w:p>
        </w:tc>
        <w:tc>
          <w:tcPr>
            <w:tcW w:w="1233" w:type="dxa"/>
            <w:vAlign w:val="center"/>
          </w:tcPr>
          <w:p>
            <w:pPr>
              <w:spacing w:before="36" w:line="220" w:lineRule="auto"/>
              <w:ind w:left="202"/>
              <w:jc w:val="center"/>
              <w:rPr>
                <w:rFonts w:ascii="宋体" w:hAnsi="宋体" w:eastAsia="宋体" w:cs="宋体"/>
                <w:spacing w:val="8"/>
                <w:sz w:val="17"/>
                <w:szCs w:val="17"/>
              </w:rPr>
            </w:pPr>
            <w:r>
              <w:rPr>
                <w:rFonts w:hint="eastAsia" w:ascii="宋体" w:hAnsi="宋体" w:eastAsia="宋体" w:cs="宋体"/>
                <w:spacing w:val="8"/>
                <w:sz w:val="17"/>
                <w:szCs w:val="17"/>
              </w:rPr>
              <w:t>100%</w:t>
            </w:r>
          </w:p>
        </w:tc>
        <w:tc>
          <w:tcPr>
            <w:tcW w:w="1240"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655" w:type="dxa"/>
            <w:vMerge w:val="continue"/>
            <w:tcBorders>
              <w:top w:val="single" w:color="auto" w:sz="4" w:space="0"/>
              <w:left w:val="single" w:color="auto" w:sz="4" w:space="0"/>
              <w:bottom w:val="single" w:color="auto" w:sz="4" w:space="0"/>
              <w:right w:val="single" w:color="auto" w:sz="4" w:space="0"/>
            </w:tcBorders>
          </w:tcPr>
          <w:p/>
        </w:tc>
        <w:tc>
          <w:tcPr>
            <w:tcW w:w="708" w:type="dxa"/>
            <w:vMerge w:val="continue"/>
            <w:tcBorders>
              <w:top w:val="single" w:color="auto" w:sz="4" w:space="0"/>
              <w:left w:val="single" w:color="auto" w:sz="4" w:space="0"/>
              <w:bottom w:val="single" w:color="auto" w:sz="4" w:space="0"/>
              <w:right w:val="single" w:color="auto" w:sz="4" w:space="0"/>
            </w:tcBorders>
          </w:tcPr>
          <w:p/>
        </w:tc>
        <w:tc>
          <w:tcPr>
            <w:tcW w:w="939" w:type="dxa"/>
            <w:tcBorders>
              <w:top w:val="single" w:color="auto" w:sz="4" w:space="0"/>
              <w:left w:val="single" w:color="auto" w:sz="4" w:space="0"/>
              <w:bottom w:val="single" w:color="auto" w:sz="4" w:space="0"/>
              <w:right w:val="single" w:color="auto" w:sz="4" w:space="0"/>
            </w:tcBorders>
            <w:vAlign w:val="center"/>
          </w:tcPr>
          <w:p>
            <w:pPr>
              <w:spacing w:before="55" w:line="220" w:lineRule="auto"/>
              <w:ind w:firstLine="172" w:firstLineChars="100"/>
              <w:jc w:val="both"/>
              <w:rPr>
                <w:rFonts w:ascii="宋体" w:hAnsi="宋体" w:eastAsia="宋体" w:cs="宋体"/>
                <w:sz w:val="17"/>
                <w:szCs w:val="17"/>
              </w:rPr>
            </w:pPr>
            <w:r>
              <w:rPr>
                <w:rFonts w:ascii="宋体" w:hAnsi="宋体" w:eastAsia="宋体" w:cs="宋体"/>
                <w:spacing w:val="1"/>
                <w:sz w:val="17"/>
                <w:szCs w:val="17"/>
              </w:rPr>
              <w:t>时效指标</w:t>
            </w:r>
          </w:p>
        </w:tc>
        <w:tc>
          <w:tcPr>
            <w:tcW w:w="1836" w:type="dxa"/>
            <w:gridSpan w:val="2"/>
            <w:tcBorders>
              <w:top w:val="single" w:color="auto" w:sz="4" w:space="0"/>
              <w:left w:val="single" w:color="auto" w:sz="4" w:space="0"/>
              <w:bottom w:val="single" w:color="auto" w:sz="4" w:space="0"/>
              <w:right w:val="single" w:color="auto" w:sz="4" w:space="0"/>
            </w:tcBorders>
            <w:vAlign w:val="center"/>
          </w:tcPr>
          <w:p>
            <w:pPr>
              <w:spacing w:before="56" w:line="210" w:lineRule="auto"/>
              <w:ind w:left="202"/>
              <w:jc w:val="center"/>
              <w:rPr>
                <w:rFonts w:ascii="宋体" w:hAnsi="宋体" w:eastAsia="宋体" w:cs="宋体"/>
                <w:sz w:val="17"/>
                <w:szCs w:val="17"/>
              </w:rPr>
            </w:pPr>
            <w:r>
              <w:rPr>
                <w:rFonts w:hint="eastAsia" w:ascii="宋体" w:hAnsi="宋体" w:eastAsia="宋体" w:cs="宋体"/>
                <w:sz w:val="17"/>
                <w:szCs w:val="17"/>
              </w:rPr>
              <w:t>资金支付及时率</w:t>
            </w:r>
          </w:p>
        </w:tc>
        <w:tc>
          <w:tcPr>
            <w:tcW w:w="1648" w:type="dxa"/>
            <w:tcBorders>
              <w:left w:val="single" w:color="auto" w:sz="4" w:space="0"/>
            </w:tcBorders>
            <w:vAlign w:val="center"/>
          </w:tcPr>
          <w:p>
            <w:pPr>
              <w:spacing w:before="36" w:line="220" w:lineRule="auto"/>
              <w:ind w:left="202"/>
              <w:jc w:val="center"/>
              <w:rPr>
                <w:rFonts w:ascii="宋体" w:hAnsi="宋体" w:eastAsia="宋体" w:cs="宋体"/>
                <w:spacing w:val="8"/>
                <w:sz w:val="17"/>
                <w:szCs w:val="17"/>
              </w:rPr>
            </w:pPr>
            <w:r>
              <w:rPr>
                <w:rFonts w:hint="eastAsia" w:ascii="宋体" w:hAnsi="宋体" w:eastAsia="宋体" w:cs="宋体"/>
                <w:spacing w:val="8"/>
                <w:sz w:val="17"/>
                <w:szCs w:val="17"/>
              </w:rPr>
              <w:t>=100%</w:t>
            </w:r>
          </w:p>
        </w:tc>
        <w:tc>
          <w:tcPr>
            <w:tcW w:w="1233" w:type="dxa"/>
            <w:vAlign w:val="center"/>
          </w:tcPr>
          <w:p>
            <w:pPr>
              <w:spacing w:before="36" w:line="220" w:lineRule="auto"/>
              <w:ind w:left="202"/>
              <w:jc w:val="center"/>
              <w:rPr>
                <w:rFonts w:ascii="宋体" w:hAnsi="宋体" w:eastAsia="宋体" w:cs="宋体"/>
                <w:spacing w:val="8"/>
                <w:sz w:val="17"/>
                <w:szCs w:val="17"/>
              </w:rPr>
            </w:pPr>
            <w:r>
              <w:rPr>
                <w:rFonts w:hint="eastAsia" w:ascii="宋体" w:hAnsi="宋体" w:eastAsia="宋体" w:cs="宋体"/>
                <w:spacing w:val="8"/>
                <w:sz w:val="17"/>
                <w:szCs w:val="17"/>
              </w:rPr>
              <w:t>100%</w:t>
            </w:r>
          </w:p>
        </w:tc>
        <w:tc>
          <w:tcPr>
            <w:tcW w:w="1240"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655" w:type="dxa"/>
            <w:vMerge w:val="continue"/>
            <w:tcBorders>
              <w:top w:val="single" w:color="auto" w:sz="4" w:space="0"/>
              <w:left w:val="single" w:color="auto" w:sz="4" w:space="0"/>
              <w:bottom w:val="single" w:color="auto" w:sz="4" w:space="0"/>
              <w:right w:val="single" w:color="auto" w:sz="4" w:space="0"/>
            </w:tcBorders>
          </w:tcPr>
          <w:p/>
        </w:tc>
        <w:tc>
          <w:tcPr>
            <w:tcW w:w="708" w:type="dxa"/>
            <w:vMerge w:val="continue"/>
            <w:tcBorders>
              <w:top w:val="single" w:color="auto" w:sz="4" w:space="0"/>
              <w:left w:val="single" w:color="auto" w:sz="4" w:space="0"/>
              <w:bottom w:val="single" w:color="auto" w:sz="4" w:space="0"/>
              <w:right w:val="single" w:color="auto" w:sz="4" w:space="0"/>
            </w:tcBorders>
          </w:tcPr>
          <w:p/>
        </w:tc>
        <w:tc>
          <w:tcPr>
            <w:tcW w:w="939" w:type="dxa"/>
            <w:tcBorders>
              <w:top w:val="single" w:color="auto" w:sz="4" w:space="0"/>
              <w:left w:val="single" w:color="auto" w:sz="4" w:space="0"/>
              <w:bottom w:val="single" w:color="auto" w:sz="4" w:space="0"/>
              <w:right w:val="single" w:color="auto" w:sz="4" w:space="0"/>
            </w:tcBorders>
            <w:vAlign w:val="center"/>
          </w:tcPr>
          <w:p>
            <w:pPr>
              <w:spacing w:before="55" w:line="219" w:lineRule="auto"/>
              <w:ind w:firstLine="166" w:firstLineChars="100"/>
              <w:jc w:val="both"/>
              <w:rPr>
                <w:rFonts w:ascii="宋体" w:hAnsi="宋体" w:eastAsia="宋体" w:cs="宋体"/>
                <w:sz w:val="17"/>
                <w:szCs w:val="17"/>
              </w:rPr>
            </w:pPr>
            <w:r>
              <w:rPr>
                <w:rFonts w:ascii="宋体" w:hAnsi="宋体" w:eastAsia="宋体" w:cs="宋体"/>
                <w:spacing w:val="-2"/>
                <w:sz w:val="17"/>
                <w:szCs w:val="17"/>
              </w:rPr>
              <w:t>成本指标</w:t>
            </w:r>
          </w:p>
        </w:tc>
        <w:tc>
          <w:tcPr>
            <w:tcW w:w="1836" w:type="dxa"/>
            <w:gridSpan w:val="2"/>
            <w:tcBorders>
              <w:top w:val="single" w:color="auto" w:sz="4" w:space="0"/>
              <w:left w:val="single" w:color="auto" w:sz="4" w:space="0"/>
              <w:bottom w:val="single" w:color="auto" w:sz="4" w:space="0"/>
              <w:right w:val="single" w:color="auto" w:sz="4" w:space="0"/>
            </w:tcBorders>
            <w:vAlign w:val="center"/>
          </w:tcPr>
          <w:p>
            <w:pPr>
              <w:spacing w:before="36" w:line="220" w:lineRule="auto"/>
              <w:ind w:left="202"/>
              <w:jc w:val="center"/>
              <w:rPr>
                <w:rFonts w:ascii="宋体" w:hAnsi="宋体" w:eastAsia="宋体" w:cs="宋体"/>
                <w:sz w:val="17"/>
                <w:szCs w:val="17"/>
              </w:rPr>
            </w:pPr>
            <w:r>
              <w:rPr>
                <w:rFonts w:hint="eastAsia" w:ascii="宋体" w:hAnsi="宋体" w:eastAsia="宋体" w:cs="宋体"/>
                <w:sz w:val="17"/>
                <w:szCs w:val="17"/>
              </w:rPr>
              <w:t>服务能力提升控制数</w:t>
            </w:r>
          </w:p>
        </w:tc>
        <w:tc>
          <w:tcPr>
            <w:tcW w:w="1648" w:type="dxa"/>
            <w:tcBorders>
              <w:left w:val="single" w:color="auto" w:sz="4" w:space="0"/>
            </w:tcBorders>
            <w:vAlign w:val="center"/>
          </w:tcPr>
          <w:p>
            <w:pPr>
              <w:spacing w:before="36" w:line="220" w:lineRule="auto"/>
              <w:ind w:left="202"/>
              <w:jc w:val="center"/>
              <w:rPr>
                <w:rFonts w:ascii="宋体" w:hAnsi="宋体" w:eastAsia="宋体" w:cs="宋体"/>
                <w:spacing w:val="8"/>
                <w:sz w:val="17"/>
                <w:szCs w:val="17"/>
              </w:rPr>
            </w:pPr>
            <w:r>
              <w:rPr>
                <w:rFonts w:hint="eastAsia" w:ascii="宋体" w:hAnsi="宋体" w:eastAsia="宋体" w:cs="宋体"/>
                <w:spacing w:val="8"/>
                <w:sz w:val="17"/>
                <w:szCs w:val="17"/>
              </w:rPr>
              <w:t>=61万元</w:t>
            </w:r>
          </w:p>
        </w:tc>
        <w:tc>
          <w:tcPr>
            <w:tcW w:w="1233" w:type="dxa"/>
            <w:vAlign w:val="center"/>
          </w:tcPr>
          <w:p>
            <w:pPr>
              <w:spacing w:before="36" w:line="220" w:lineRule="auto"/>
              <w:ind w:left="202"/>
              <w:jc w:val="center"/>
              <w:rPr>
                <w:rFonts w:ascii="宋体" w:hAnsi="宋体" w:eastAsia="宋体" w:cs="宋体"/>
                <w:spacing w:val="8"/>
                <w:sz w:val="17"/>
                <w:szCs w:val="17"/>
              </w:rPr>
            </w:pPr>
            <w:r>
              <w:rPr>
                <w:rFonts w:hint="eastAsia" w:ascii="宋体" w:hAnsi="宋体" w:eastAsia="宋体" w:cs="宋体"/>
                <w:spacing w:val="8"/>
                <w:sz w:val="17"/>
                <w:szCs w:val="17"/>
              </w:rPr>
              <w:t>61万元</w:t>
            </w:r>
          </w:p>
        </w:tc>
        <w:tc>
          <w:tcPr>
            <w:tcW w:w="1240" w:type="dxa"/>
          </w:tcPr>
          <w:p>
            <w:pPr>
              <w:rPr>
                <w:rFonts w:ascii="宋体" w:hAnsi="宋体" w:eastAsia="宋体" w:cs="宋体"/>
                <w:sz w:val="17"/>
                <w:szCs w:val="17"/>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8" w:hRule="atLeast"/>
        </w:trPr>
        <w:tc>
          <w:tcPr>
            <w:tcW w:w="655" w:type="dxa"/>
            <w:vMerge w:val="continue"/>
            <w:tcBorders>
              <w:top w:val="single" w:color="auto" w:sz="4" w:space="0"/>
              <w:left w:val="single" w:color="auto" w:sz="4" w:space="0"/>
              <w:bottom w:val="single" w:color="auto" w:sz="4" w:space="0"/>
              <w:right w:val="single" w:color="auto" w:sz="4" w:space="0"/>
            </w:tcBorders>
          </w:tcPr>
          <w:p/>
        </w:tc>
        <w:tc>
          <w:tcPr>
            <w:tcW w:w="708" w:type="dxa"/>
            <w:tcBorders>
              <w:top w:val="single" w:color="auto" w:sz="4" w:space="0"/>
              <w:left w:val="single" w:color="auto" w:sz="4" w:space="0"/>
              <w:bottom w:val="single" w:color="auto" w:sz="4" w:space="0"/>
              <w:right w:val="single" w:color="auto" w:sz="4" w:space="0"/>
            </w:tcBorders>
          </w:tcPr>
          <w:p>
            <w:pPr>
              <w:spacing w:line="293" w:lineRule="auto"/>
            </w:pPr>
          </w:p>
          <w:p>
            <w:pPr>
              <w:spacing w:before="56" w:line="220" w:lineRule="auto"/>
              <w:rPr>
                <w:rFonts w:ascii="宋体" w:hAnsi="宋体" w:eastAsia="宋体" w:cs="宋体"/>
                <w:spacing w:val="-3"/>
                <w:sz w:val="17"/>
                <w:szCs w:val="17"/>
              </w:rPr>
            </w:pPr>
            <w:r>
              <w:rPr>
                <w:rFonts w:ascii="宋体" w:hAnsi="宋体" w:eastAsia="宋体" w:cs="宋体"/>
                <w:spacing w:val="-3"/>
                <w:sz w:val="17"/>
                <w:szCs w:val="17"/>
              </w:rPr>
              <w:t>效益</w:t>
            </w:r>
          </w:p>
          <w:p>
            <w:pPr>
              <w:spacing w:before="56" w:line="220" w:lineRule="auto"/>
              <w:rPr>
                <w:rFonts w:ascii="宋体" w:hAnsi="宋体" w:eastAsia="宋体" w:cs="宋体"/>
                <w:sz w:val="17"/>
                <w:szCs w:val="17"/>
              </w:rPr>
            </w:pPr>
            <w:r>
              <w:rPr>
                <w:rFonts w:ascii="宋体" w:hAnsi="宋体" w:eastAsia="宋体" w:cs="宋体"/>
                <w:spacing w:val="-3"/>
                <w:sz w:val="17"/>
                <w:szCs w:val="17"/>
              </w:rPr>
              <w:t>指标</w:t>
            </w:r>
          </w:p>
        </w:tc>
        <w:tc>
          <w:tcPr>
            <w:tcW w:w="939" w:type="dxa"/>
            <w:tcBorders>
              <w:top w:val="single" w:color="auto" w:sz="4" w:space="0"/>
              <w:left w:val="single" w:color="auto" w:sz="4" w:space="0"/>
              <w:bottom w:val="single" w:color="auto" w:sz="4" w:space="0"/>
              <w:right w:val="single" w:color="auto" w:sz="4" w:space="0"/>
            </w:tcBorders>
            <w:vAlign w:val="center"/>
          </w:tcPr>
          <w:p>
            <w:pPr>
              <w:spacing w:before="207" w:line="229" w:lineRule="auto"/>
              <w:ind w:left="331" w:right="124" w:hanging="129"/>
              <w:jc w:val="center"/>
              <w:rPr>
                <w:rFonts w:ascii="宋体" w:hAnsi="宋体" w:eastAsia="宋体" w:cs="宋体"/>
                <w:sz w:val="17"/>
                <w:szCs w:val="17"/>
              </w:rPr>
            </w:pPr>
            <w:r>
              <w:rPr>
                <w:rFonts w:ascii="宋体" w:hAnsi="宋体" w:eastAsia="宋体" w:cs="宋体"/>
                <w:spacing w:val="-2"/>
                <w:sz w:val="17"/>
                <w:szCs w:val="17"/>
              </w:rPr>
              <w:t>社会效益</w:t>
            </w:r>
            <w:r>
              <w:rPr>
                <w:rFonts w:ascii="宋体" w:hAnsi="宋体" w:eastAsia="宋体" w:cs="宋体"/>
                <w:sz w:val="17"/>
                <w:szCs w:val="17"/>
              </w:rPr>
              <w:t xml:space="preserve"> </w:t>
            </w:r>
            <w:r>
              <w:rPr>
                <w:rFonts w:ascii="宋体" w:hAnsi="宋体" w:eastAsia="宋体" w:cs="宋体"/>
                <w:spacing w:val="-3"/>
                <w:sz w:val="17"/>
                <w:szCs w:val="17"/>
              </w:rPr>
              <w:t>指标</w:t>
            </w:r>
          </w:p>
        </w:tc>
        <w:tc>
          <w:tcPr>
            <w:tcW w:w="1836" w:type="dxa"/>
            <w:gridSpan w:val="2"/>
            <w:tcBorders>
              <w:top w:val="single" w:color="auto" w:sz="4" w:space="0"/>
              <w:left w:val="single" w:color="auto" w:sz="4" w:space="0"/>
              <w:bottom w:val="single" w:color="auto" w:sz="4" w:space="0"/>
              <w:right w:val="single" w:color="auto" w:sz="4" w:space="0"/>
            </w:tcBorders>
            <w:vAlign w:val="center"/>
          </w:tcPr>
          <w:p>
            <w:pPr>
              <w:spacing w:before="56" w:line="210" w:lineRule="auto"/>
              <w:ind w:left="202"/>
              <w:jc w:val="center"/>
              <w:rPr>
                <w:rFonts w:ascii="宋体" w:hAnsi="宋体" w:eastAsia="宋体" w:cs="宋体"/>
                <w:sz w:val="17"/>
                <w:szCs w:val="17"/>
              </w:rPr>
            </w:pPr>
            <w:r>
              <w:rPr>
                <w:rFonts w:hint="eastAsia" w:ascii="宋体" w:hAnsi="宋体" w:eastAsia="宋体" w:cs="宋体"/>
                <w:sz w:val="17"/>
                <w:szCs w:val="17"/>
              </w:rPr>
              <w:t>医保标准化水平</w:t>
            </w:r>
          </w:p>
        </w:tc>
        <w:tc>
          <w:tcPr>
            <w:tcW w:w="1648" w:type="dxa"/>
            <w:tcBorders>
              <w:left w:val="single" w:color="auto" w:sz="4" w:space="0"/>
            </w:tcBorders>
            <w:vAlign w:val="center"/>
          </w:tcPr>
          <w:p>
            <w:pPr>
              <w:spacing w:before="36" w:line="220" w:lineRule="auto"/>
              <w:ind w:left="202"/>
              <w:jc w:val="center"/>
              <w:rPr>
                <w:rFonts w:ascii="宋体" w:hAnsi="宋体" w:eastAsia="宋体" w:cs="宋体"/>
                <w:spacing w:val="8"/>
                <w:sz w:val="17"/>
                <w:szCs w:val="17"/>
              </w:rPr>
            </w:pPr>
            <w:r>
              <w:rPr>
                <w:rFonts w:hint="eastAsia" w:ascii="宋体" w:hAnsi="宋体" w:eastAsia="宋体" w:cs="宋体"/>
                <w:spacing w:val="8"/>
                <w:sz w:val="17"/>
                <w:szCs w:val="17"/>
              </w:rPr>
              <w:t>优</w:t>
            </w:r>
          </w:p>
        </w:tc>
        <w:tc>
          <w:tcPr>
            <w:tcW w:w="1233" w:type="dxa"/>
            <w:vAlign w:val="center"/>
          </w:tcPr>
          <w:p>
            <w:pPr>
              <w:spacing w:before="36" w:line="220" w:lineRule="auto"/>
              <w:ind w:left="202"/>
              <w:jc w:val="center"/>
              <w:rPr>
                <w:rFonts w:ascii="宋体" w:hAnsi="宋体" w:eastAsia="宋体" w:cs="宋体"/>
                <w:spacing w:val="8"/>
                <w:sz w:val="17"/>
                <w:szCs w:val="17"/>
              </w:rPr>
            </w:pPr>
            <w:r>
              <w:rPr>
                <w:rFonts w:hint="eastAsia" w:ascii="宋体" w:hAnsi="宋体" w:eastAsia="宋体" w:cs="宋体"/>
                <w:spacing w:val="8"/>
                <w:sz w:val="17"/>
                <w:szCs w:val="17"/>
              </w:rPr>
              <w:t>优</w:t>
            </w:r>
          </w:p>
        </w:tc>
        <w:tc>
          <w:tcPr>
            <w:tcW w:w="1240"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5" w:hRule="atLeast"/>
        </w:trPr>
        <w:tc>
          <w:tcPr>
            <w:tcW w:w="655" w:type="dxa"/>
            <w:vMerge w:val="continue"/>
            <w:tcBorders>
              <w:top w:val="single" w:color="auto" w:sz="4" w:space="0"/>
              <w:left w:val="single" w:color="auto" w:sz="4" w:space="0"/>
              <w:bottom w:val="single" w:color="auto" w:sz="4" w:space="0"/>
              <w:right w:val="single" w:color="auto" w:sz="4" w:space="0"/>
            </w:tcBorders>
          </w:tcPr>
          <w:p/>
        </w:tc>
        <w:tc>
          <w:tcPr>
            <w:tcW w:w="708" w:type="dxa"/>
            <w:tcBorders>
              <w:top w:val="single" w:color="auto" w:sz="4" w:space="0"/>
              <w:left w:val="single" w:color="auto" w:sz="4" w:space="0"/>
              <w:bottom w:val="single" w:color="auto" w:sz="4" w:space="0"/>
              <w:right w:val="single" w:color="auto" w:sz="4" w:space="0"/>
            </w:tcBorders>
          </w:tcPr>
          <w:p>
            <w:pPr>
              <w:spacing w:before="146" w:line="219" w:lineRule="auto"/>
              <w:ind w:left="191" w:right="124" w:hanging="70"/>
              <w:rPr>
                <w:rFonts w:ascii="宋体" w:hAnsi="宋体" w:eastAsia="宋体" w:cs="宋体"/>
                <w:sz w:val="17"/>
                <w:szCs w:val="17"/>
              </w:rPr>
            </w:pPr>
            <w:r>
              <w:rPr>
                <w:rFonts w:ascii="宋体" w:hAnsi="宋体" w:eastAsia="宋体" w:cs="宋体"/>
                <w:spacing w:val="-3"/>
                <w:sz w:val="17"/>
                <w:szCs w:val="17"/>
              </w:rPr>
              <w:t>满意度指标</w:t>
            </w:r>
          </w:p>
        </w:tc>
        <w:tc>
          <w:tcPr>
            <w:tcW w:w="939" w:type="dxa"/>
            <w:tcBorders>
              <w:top w:val="single" w:color="auto" w:sz="4" w:space="0"/>
              <w:left w:val="single" w:color="auto" w:sz="4" w:space="0"/>
              <w:bottom w:val="single" w:color="auto" w:sz="4" w:space="0"/>
              <w:right w:val="single" w:color="auto" w:sz="4" w:space="0"/>
            </w:tcBorders>
            <w:vAlign w:val="center"/>
          </w:tcPr>
          <w:p>
            <w:pPr>
              <w:spacing w:before="155" w:line="214" w:lineRule="auto"/>
              <w:ind w:left="181" w:right="123" w:hanging="150"/>
              <w:jc w:val="center"/>
              <w:rPr>
                <w:rFonts w:ascii="宋体" w:hAnsi="宋体" w:eastAsia="宋体" w:cs="宋体"/>
                <w:sz w:val="17"/>
                <w:szCs w:val="17"/>
              </w:rPr>
            </w:pPr>
            <w:r>
              <w:rPr>
                <w:rFonts w:ascii="宋体" w:hAnsi="宋体" w:eastAsia="宋体" w:cs="宋体"/>
                <w:spacing w:val="-2"/>
                <w:sz w:val="17"/>
                <w:szCs w:val="17"/>
              </w:rPr>
              <w:t>服务对象满</w:t>
            </w:r>
            <w:r>
              <w:rPr>
                <w:rFonts w:ascii="宋体" w:hAnsi="宋体" w:eastAsia="宋体" w:cs="宋体"/>
                <w:spacing w:val="2"/>
                <w:sz w:val="17"/>
                <w:szCs w:val="17"/>
              </w:rPr>
              <w:t xml:space="preserve"> </w:t>
            </w:r>
            <w:r>
              <w:rPr>
                <w:rFonts w:ascii="宋体" w:hAnsi="宋体" w:eastAsia="宋体" w:cs="宋体"/>
                <w:spacing w:val="-3"/>
                <w:sz w:val="17"/>
                <w:szCs w:val="17"/>
              </w:rPr>
              <w:t>意度指标</w:t>
            </w:r>
          </w:p>
        </w:tc>
        <w:tc>
          <w:tcPr>
            <w:tcW w:w="1836" w:type="dxa"/>
            <w:gridSpan w:val="2"/>
            <w:tcBorders>
              <w:top w:val="single" w:color="auto" w:sz="4" w:space="0"/>
              <w:left w:val="single" w:color="auto" w:sz="4" w:space="0"/>
              <w:bottom w:val="single" w:color="auto" w:sz="4" w:space="0"/>
              <w:right w:val="single" w:color="auto" w:sz="4" w:space="0"/>
            </w:tcBorders>
            <w:vAlign w:val="center"/>
          </w:tcPr>
          <w:p>
            <w:pPr>
              <w:spacing w:before="67" w:line="209" w:lineRule="auto"/>
              <w:ind w:left="23"/>
              <w:jc w:val="center"/>
              <w:rPr>
                <w:rFonts w:ascii="宋体" w:hAnsi="宋体" w:eastAsia="宋体" w:cs="宋体"/>
                <w:sz w:val="17"/>
                <w:szCs w:val="17"/>
              </w:rPr>
            </w:pPr>
            <w:r>
              <w:rPr>
                <w:rFonts w:hint="eastAsia" w:ascii="宋体" w:hAnsi="宋体" w:eastAsia="宋体" w:cs="宋体"/>
                <w:sz w:val="17"/>
                <w:szCs w:val="17"/>
              </w:rPr>
              <w:t>服务对象满意度</w:t>
            </w:r>
          </w:p>
        </w:tc>
        <w:tc>
          <w:tcPr>
            <w:tcW w:w="1648" w:type="dxa"/>
            <w:tcBorders>
              <w:left w:val="single" w:color="auto" w:sz="4" w:space="0"/>
            </w:tcBorders>
            <w:vAlign w:val="center"/>
          </w:tcPr>
          <w:p>
            <w:pPr>
              <w:spacing w:before="36" w:line="220" w:lineRule="auto"/>
              <w:ind w:left="202"/>
              <w:jc w:val="center"/>
              <w:rPr>
                <w:rFonts w:ascii="宋体" w:hAnsi="宋体" w:eastAsia="宋体" w:cs="宋体"/>
                <w:spacing w:val="8"/>
                <w:sz w:val="17"/>
                <w:szCs w:val="17"/>
              </w:rPr>
            </w:pPr>
            <w:r>
              <w:rPr>
                <w:rFonts w:hint="eastAsia" w:ascii="宋体" w:hAnsi="宋体" w:eastAsia="宋体" w:cs="宋体"/>
                <w:spacing w:val="8"/>
                <w:sz w:val="17"/>
                <w:szCs w:val="17"/>
              </w:rPr>
              <w:t>≥90%</w:t>
            </w:r>
          </w:p>
        </w:tc>
        <w:tc>
          <w:tcPr>
            <w:tcW w:w="1233" w:type="dxa"/>
            <w:vAlign w:val="center"/>
          </w:tcPr>
          <w:p>
            <w:pPr>
              <w:spacing w:before="36" w:line="220" w:lineRule="auto"/>
              <w:ind w:left="202"/>
              <w:jc w:val="center"/>
              <w:rPr>
                <w:rFonts w:ascii="宋体" w:hAnsi="宋体" w:eastAsia="宋体" w:cs="宋体"/>
                <w:spacing w:val="8"/>
                <w:sz w:val="17"/>
                <w:szCs w:val="17"/>
              </w:rPr>
            </w:pPr>
            <w:r>
              <w:rPr>
                <w:rFonts w:ascii="宋体" w:hAnsi="宋体" w:eastAsia="宋体" w:cs="宋体"/>
                <w:spacing w:val="8"/>
                <w:sz w:val="17"/>
                <w:szCs w:val="17"/>
              </w:rPr>
              <w:t>93</w:t>
            </w:r>
            <w:r>
              <w:rPr>
                <w:rFonts w:hint="eastAsia" w:ascii="宋体" w:hAnsi="宋体" w:eastAsia="宋体" w:cs="宋体"/>
                <w:spacing w:val="8"/>
                <w:sz w:val="17"/>
                <w:szCs w:val="17"/>
              </w:rPr>
              <w:t>%</w:t>
            </w:r>
          </w:p>
        </w:tc>
        <w:tc>
          <w:tcPr>
            <w:tcW w:w="1240" w:type="dxa"/>
          </w:tcPr>
          <w:p/>
        </w:tc>
      </w:tr>
    </w:tbl>
    <w:p>
      <w:pPr>
        <w:snapToGrid w:val="0"/>
        <w:spacing w:line="576" w:lineRule="exact"/>
        <w:jc w:val="left"/>
        <w:rPr>
          <w:rFonts w:hint="eastAsia" w:ascii="仿宋" w:hAnsi="仿宋" w:eastAsia="仿宋" w:cs="仿宋"/>
          <w:sz w:val="32"/>
          <w:szCs w:val="32"/>
        </w:rPr>
      </w:pP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hint="eastAsia"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（三）项目财务管理情况</w:t>
      </w:r>
    </w:p>
    <w:p>
      <w:pPr>
        <w:spacing w:line="576" w:lineRule="exact"/>
        <w:ind w:firstLine="640" w:firstLineChars="200"/>
        <w:rPr>
          <w:rFonts w:hint="eastAsia" w:ascii="楷体_GB2312" w:hAnsi="宋体" w:eastAsia="楷体_GB2312"/>
          <w:b/>
          <w:color w:val="auto"/>
          <w:sz w:val="32"/>
          <w:szCs w:val="32"/>
          <w:highlight w:val="none"/>
          <w:u w:val="none"/>
          <w:lang w:val="zh-CN"/>
        </w:rPr>
      </w:pPr>
      <w:r>
        <w:rPr>
          <w:rFonts w:hint="eastAsia" w:ascii="仿宋" w:hAnsi="仿宋" w:eastAsia="仿宋" w:cs="仿宋"/>
          <w:sz w:val="32"/>
          <w:szCs w:val="32"/>
        </w:rPr>
        <w:t>医疗服务与保障能力提升项目资金的实施，在项目决策方面，决策依据基本充分、资金分配合理；在项目管理方面，资金到位及时、资金支出的依据、使用范围、开支标准基本符合规定，财务制度、会计核算健全规范。</w:t>
      </w:r>
    </w:p>
    <w:p>
      <w:pPr>
        <w:keepNext w:val="0"/>
        <w:keepLines w:val="0"/>
        <w:pageBreakBefore w:val="0"/>
        <w:numPr>
          <w:ilvl w:val="0"/>
          <w:numId w:val="0"/>
        </w:numPr>
        <w:kinsoku/>
        <w:wordWrap/>
        <w:overflowPunct/>
        <w:topLinePunct w:val="0"/>
        <w:autoSpaceDE/>
        <w:autoSpaceDN/>
        <w:bidi w:val="0"/>
        <w:adjustRightInd w:val="0"/>
        <w:snapToGrid w:val="0"/>
        <w:spacing w:line="578" w:lineRule="exact"/>
        <w:ind w:left="640" w:leftChars="0"/>
        <w:textAlignment w:val="auto"/>
        <w:rPr>
          <w:rFonts w:hint="eastAsia" w:ascii="黑体" w:hAnsi="宋体" w:eastAsia="黑体"/>
          <w:color w:val="auto"/>
          <w:sz w:val="32"/>
          <w:szCs w:val="32"/>
          <w:highlight w:val="none"/>
          <w:u w:val="none"/>
        </w:rPr>
      </w:pPr>
      <w:r>
        <w:rPr>
          <w:rFonts w:hint="eastAsia" w:ascii="黑体" w:hAnsi="宋体" w:eastAsia="黑体"/>
          <w:color w:val="auto"/>
          <w:sz w:val="32"/>
          <w:szCs w:val="32"/>
          <w:highlight w:val="none"/>
          <w:u w:val="none"/>
          <w:lang w:eastAsia="zh-CN"/>
        </w:rPr>
        <w:t>三、</w:t>
      </w:r>
      <w:r>
        <w:rPr>
          <w:rFonts w:hint="eastAsia" w:ascii="黑体" w:hAnsi="宋体" w:eastAsia="黑体"/>
          <w:color w:val="auto"/>
          <w:sz w:val="32"/>
          <w:szCs w:val="32"/>
          <w:highlight w:val="none"/>
          <w:u w:val="none"/>
        </w:rPr>
        <w:t>项目实施及管理情况</w:t>
      </w:r>
    </w:p>
    <w:p>
      <w:pPr>
        <w:spacing w:line="576" w:lineRule="exact"/>
        <w:ind w:firstLine="640" w:firstLineChars="200"/>
        <w:rPr>
          <w:rFonts w:ascii="仿宋" w:hAnsi="仿宋" w:eastAsia="仿宋" w:cs="仿宋"/>
          <w:sz w:val="32"/>
          <w:szCs w:val="32"/>
        </w:rPr>
      </w:pPr>
      <w:r>
        <w:rPr>
          <w:rFonts w:hint="eastAsia" w:ascii="仿宋" w:hAnsi="仿宋" w:eastAsia="仿宋" w:cs="仿宋"/>
          <w:sz w:val="32"/>
          <w:szCs w:val="32"/>
        </w:rPr>
        <w:t>坚持节约高效、廉洁守纪的原则，该项目专项资金严格按照申报、审核、支付、管理等流程执行，资金的支付范围、支付标准合规合法，支付依据充分，做到了专款专用，且项目在实施过程中邀请纪检组参与，确保了不折不扣用好项目资金。</w:t>
      </w:r>
    </w:p>
    <w:p>
      <w:pPr>
        <w:spacing w:line="576" w:lineRule="exact"/>
        <w:ind w:firstLine="640" w:firstLineChars="200"/>
        <w:rPr>
          <w:rFonts w:ascii="仿宋" w:hAnsi="仿宋" w:eastAsia="仿宋" w:cs="仿宋"/>
          <w:sz w:val="32"/>
          <w:szCs w:val="32"/>
        </w:rPr>
      </w:pPr>
      <w:r>
        <w:rPr>
          <w:rFonts w:hint="eastAsia" w:ascii="黑体" w:hAnsi="黑体" w:eastAsia="黑体" w:cs="黑体"/>
          <w:sz w:val="32"/>
          <w:szCs w:val="32"/>
        </w:rPr>
        <w:t>一是</w:t>
      </w:r>
      <w:r>
        <w:rPr>
          <w:rFonts w:hint="eastAsia" w:ascii="仿宋" w:hAnsi="仿宋" w:eastAsia="仿宋" w:cs="仿宋"/>
          <w:sz w:val="32"/>
          <w:szCs w:val="32"/>
        </w:rPr>
        <w:t>管理架构和实施流程。为确保临聘人员工作经费项目全面落实落地，我局成立了项目实施领导小组，明确了小组工作职责。形成了分管领导负责抓，责任人员具体抓的工作格局。并严格按照“三重一大”要求执行。</w:t>
      </w:r>
    </w:p>
    <w:p>
      <w:pPr>
        <w:spacing w:line="576" w:lineRule="exact"/>
        <w:ind w:firstLine="640" w:firstLineChars="200"/>
        <w:rPr>
          <w:rFonts w:ascii="仿宋" w:hAnsi="仿宋" w:eastAsia="仿宋" w:cs="仿宋"/>
          <w:sz w:val="32"/>
          <w:szCs w:val="32"/>
        </w:rPr>
      </w:pPr>
      <w:r>
        <w:rPr>
          <w:rFonts w:hint="eastAsia" w:ascii="黑体" w:hAnsi="黑体" w:eastAsia="黑体" w:cs="黑体"/>
          <w:sz w:val="32"/>
          <w:szCs w:val="32"/>
        </w:rPr>
        <w:t>二是</w:t>
      </w:r>
      <w:r>
        <w:rPr>
          <w:rFonts w:hint="eastAsia" w:ascii="仿宋" w:hAnsi="仿宋" w:eastAsia="仿宋" w:cs="仿宋"/>
          <w:sz w:val="32"/>
          <w:szCs w:val="32"/>
        </w:rPr>
        <w:t>项目管理情况。资金由区级财政拨入昭化区医疗保障局预算内账户，专款专用，兜底医保工作经费支出。</w:t>
      </w:r>
    </w:p>
    <w:p>
      <w:pPr>
        <w:spacing w:line="576" w:lineRule="exact"/>
        <w:ind w:firstLine="640" w:firstLineChars="200"/>
        <w:rPr>
          <w:rFonts w:hint="eastAsia" w:ascii="黑体" w:hAnsi="宋体" w:eastAsia="黑体"/>
          <w:color w:val="auto"/>
          <w:sz w:val="32"/>
          <w:szCs w:val="32"/>
          <w:highlight w:val="none"/>
          <w:u w:val="none"/>
        </w:rPr>
      </w:pPr>
      <w:r>
        <w:rPr>
          <w:rFonts w:hint="eastAsia" w:ascii="黑体" w:hAnsi="黑体" w:eastAsia="黑体" w:cs="黑体"/>
          <w:sz w:val="32"/>
          <w:szCs w:val="32"/>
        </w:rPr>
        <w:t>三是</w:t>
      </w:r>
      <w:r>
        <w:rPr>
          <w:rFonts w:hint="eastAsia" w:ascii="仿宋" w:hAnsi="仿宋" w:eastAsia="仿宋" w:cs="仿宋"/>
          <w:sz w:val="32"/>
          <w:szCs w:val="32"/>
        </w:rPr>
        <w:t>项目监管情况。建立责任追究机制，在项目实施等环节出现问题，依法追究有关人员责任；建立制约制衡机制，成立区医保局内控领导小组，负责日常监督管理财务支出情况；建立社会监督机制，设置举报箱并公布举报电话，畅通监督举报渠道，及时收集相关问题线索，确保项目资金公开透明。</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ascii="仿宋_GB2312" w:hAnsi="宋体"/>
          <w:color w:val="auto"/>
          <w:sz w:val="32"/>
          <w:szCs w:val="32"/>
          <w:highlight w:val="none"/>
          <w:u w:val="none"/>
          <w:lang w:val="zh-CN"/>
        </w:rPr>
      </w:pPr>
      <w:r>
        <w:rPr>
          <w:rFonts w:hint="eastAsia" w:ascii="黑体" w:hAnsi="宋体" w:eastAsia="黑体"/>
          <w:color w:val="auto"/>
          <w:sz w:val="32"/>
          <w:szCs w:val="32"/>
          <w:highlight w:val="none"/>
          <w:u w:val="none"/>
        </w:rPr>
        <w:t>四、项目绩效情况</w:t>
      </w:r>
      <w:r>
        <w:rPr>
          <w:rFonts w:hint="eastAsia" w:ascii="仿宋_GB2312" w:hAnsi="宋体"/>
          <w:color w:val="auto"/>
          <w:sz w:val="32"/>
          <w:szCs w:val="32"/>
          <w:highlight w:val="none"/>
          <w:u w:val="none"/>
          <w:lang w:val="zh-CN"/>
        </w:rPr>
        <w:tab/>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hint="eastAsia"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（一）项目完成情况</w:t>
      </w:r>
    </w:p>
    <w:p>
      <w:pPr>
        <w:adjustRightInd w:val="0"/>
        <w:snapToGrid w:val="0"/>
        <w:spacing w:line="576" w:lineRule="exact"/>
        <w:ind w:firstLine="640" w:firstLineChars="200"/>
        <w:rPr>
          <w:rFonts w:hint="eastAsia" w:ascii="楷体_GB2312" w:hAnsi="宋体" w:eastAsia="楷体_GB2312"/>
          <w:b/>
          <w:color w:val="auto"/>
          <w:sz w:val="32"/>
          <w:szCs w:val="32"/>
          <w:highlight w:val="none"/>
          <w:u w:val="none"/>
          <w:lang w:val="zh-CN"/>
        </w:rPr>
      </w:pPr>
      <w:r>
        <w:rPr>
          <w:rFonts w:hint="eastAsia" w:ascii="仿宋" w:hAnsi="仿宋" w:eastAsia="仿宋" w:cs="仿宋"/>
          <w:sz w:val="32"/>
          <w:szCs w:val="32"/>
        </w:rPr>
        <w:t>医疗服务与保障能力提升资金预算61万元，资金到位率100%。项目严格按照规定基本完成目标任务，项目实施效果达到基本预期目标，资金使用安全有效。</w:t>
      </w:r>
      <w:r>
        <w:rPr>
          <w:rFonts w:hint="eastAsia" w:ascii="仿宋_GB2312" w:hAnsi="仿宋_GB2312" w:eastAsia="仿宋_GB2312" w:cs="仿宋_GB2312"/>
          <w:sz w:val="32"/>
          <w:szCs w:val="32"/>
        </w:rPr>
        <w:t>医保法治能力建设、基金预警和风险防控能力有所提高，医保经办服务能力有所提升，医保综合监管能力、宣传能力、标准化水平显著提升，医保系统正常运转率达1</w:t>
      </w:r>
      <w:r>
        <w:rPr>
          <w:rFonts w:ascii="仿宋_GB2312" w:hAnsi="仿宋_GB2312" w:eastAsia="仿宋_GB2312" w:cs="仿宋_GB2312"/>
          <w:sz w:val="32"/>
          <w:szCs w:val="32"/>
        </w:rPr>
        <w:t>00%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医保经办服务信息化支撑能力保障正常运行，区镇村医保服务能力持续加强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服务对象满意度。</w:t>
      </w:r>
    </w:p>
    <w:p>
      <w:pPr>
        <w:keepNext w:val="0"/>
        <w:keepLines w:val="0"/>
        <w:pageBreakBefore w:val="0"/>
        <w:numPr>
          <w:ilvl w:val="0"/>
          <w:numId w:val="0"/>
        </w:numPr>
        <w:kinsoku/>
        <w:wordWrap/>
        <w:overflowPunct/>
        <w:topLinePunct w:val="0"/>
        <w:autoSpaceDE/>
        <w:autoSpaceDN/>
        <w:bidi w:val="0"/>
        <w:adjustRightInd w:val="0"/>
        <w:snapToGrid w:val="0"/>
        <w:spacing w:line="578" w:lineRule="exact"/>
        <w:ind w:left="720" w:leftChars="0"/>
        <w:textAlignment w:val="auto"/>
        <w:rPr>
          <w:rFonts w:hint="eastAsia"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eastAsia="zh-CN"/>
        </w:rPr>
        <w:t>（二）</w:t>
      </w:r>
      <w:r>
        <w:rPr>
          <w:rFonts w:hint="eastAsia" w:ascii="楷体_GB2312" w:hAnsi="宋体" w:eastAsia="楷体_GB2312"/>
          <w:b/>
          <w:color w:val="auto"/>
          <w:sz w:val="32"/>
          <w:szCs w:val="32"/>
          <w:highlight w:val="none"/>
          <w:u w:val="none"/>
          <w:lang w:val="zh-CN"/>
        </w:rPr>
        <w:t>项目效益情况</w:t>
      </w:r>
    </w:p>
    <w:p>
      <w:pPr>
        <w:spacing w:line="576" w:lineRule="exact"/>
        <w:ind w:firstLine="640" w:firstLineChars="200"/>
        <w:rPr>
          <w:rFonts w:hint="eastAsia" w:ascii="楷体_GB2312" w:hAnsi="宋体" w:eastAsia="楷体_GB2312"/>
          <w:b/>
          <w:color w:val="auto"/>
          <w:sz w:val="32"/>
          <w:szCs w:val="32"/>
          <w:highlight w:val="none"/>
          <w:u w:val="none"/>
          <w:lang w:val="zh-CN"/>
        </w:rPr>
      </w:pPr>
      <w:r>
        <w:rPr>
          <w:rFonts w:hint="eastAsia" w:ascii="仿宋" w:hAnsi="仿宋" w:eastAsia="仿宋" w:cs="仿宋"/>
          <w:sz w:val="32"/>
          <w:szCs w:val="32"/>
        </w:rPr>
        <w:t>总体来说，医疗服务与保障能力提升资金项目实施科学合理，组织实施有序，监管有力到位，责任分工明确，确保项目资金正常拨付，发挥了项目资金最大效益化。该项目的实施有利于提升医疗保障经办和服务能力，提高信息化水平。通过调查问卷的方式，对项目满意度进行了调查。共计发放调查问卷15份，收回15份，有效份数15份，满意人数1</w:t>
      </w:r>
      <w:r>
        <w:rPr>
          <w:rFonts w:ascii="仿宋" w:hAnsi="仿宋" w:eastAsia="仿宋" w:cs="仿宋"/>
          <w:sz w:val="32"/>
          <w:szCs w:val="32"/>
        </w:rPr>
        <w:t>4</w:t>
      </w:r>
      <w:r>
        <w:rPr>
          <w:rFonts w:hint="eastAsia" w:ascii="仿宋" w:hAnsi="仿宋" w:eastAsia="仿宋" w:cs="仿宋"/>
          <w:sz w:val="32"/>
          <w:szCs w:val="32"/>
        </w:rPr>
        <w:t>人，满意度达</w:t>
      </w:r>
      <w:r>
        <w:rPr>
          <w:rFonts w:ascii="仿宋" w:hAnsi="仿宋" w:eastAsia="仿宋" w:cs="仿宋"/>
          <w:sz w:val="32"/>
          <w:szCs w:val="32"/>
        </w:rPr>
        <w:t>93</w:t>
      </w:r>
      <w:r>
        <w:rPr>
          <w:rFonts w:hint="eastAsia" w:ascii="仿宋" w:hAnsi="仿宋" w:eastAsia="仿宋" w:cs="仿宋"/>
          <w:sz w:val="32"/>
          <w:szCs w:val="32"/>
        </w:rPr>
        <w:t>%，满意度高。</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ascii="黑体" w:hAnsi="宋体" w:eastAsia="黑体"/>
          <w:color w:val="auto"/>
          <w:sz w:val="32"/>
          <w:szCs w:val="32"/>
          <w:highlight w:val="none"/>
          <w:u w:val="none"/>
        </w:rPr>
      </w:pPr>
      <w:r>
        <w:rPr>
          <w:rFonts w:hint="eastAsia" w:ascii="黑体" w:hAnsi="宋体" w:eastAsia="黑体"/>
          <w:color w:val="auto"/>
          <w:sz w:val="32"/>
          <w:szCs w:val="32"/>
          <w:highlight w:val="none"/>
          <w:u w:val="none"/>
        </w:rPr>
        <w:t>五、评价结论及建议</w:t>
      </w:r>
    </w:p>
    <w:p>
      <w:pPr>
        <w:keepNext w:val="0"/>
        <w:keepLines w:val="0"/>
        <w:pageBreakBefore w:val="0"/>
        <w:kinsoku/>
        <w:wordWrap/>
        <w:overflowPunct/>
        <w:topLinePunct w:val="0"/>
        <w:autoSpaceDE/>
        <w:autoSpaceDN/>
        <w:bidi w:val="0"/>
        <w:adjustRightInd w:val="0"/>
        <w:snapToGrid w:val="0"/>
        <w:spacing w:line="578" w:lineRule="exact"/>
        <w:ind w:firstLine="720"/>
        <w:textAlignment w:val="auto"/>
        <w:rPr>
          <w:rFonts w:hint="eastAsia"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（一）评价结论</w:t>
      </w:r>
    </w:p>
    <w:p>
      <w:pPr>
        <w:spacing w:line="576" w:lineRule="exact"/>
        <w:ind w:firstLine="640" w:firstLineChars="200"/>
        <w:rPr>
          <w:rFonts w:hint="eastAsia" w:ascii="楷体_GB2312" w:hAnsi="宋体" w:eastAsia="楷体_GB2312"/>
          <w:b/>
          <w:color w:val="auto"/>
          <w:sz w:val="32"/>
          <w:szCs w:val="32"/>
          <w:highlight w:val="none"/>
          <w:u w:val="none"/>
          <w:lang w:val="zh-CN"/>
        </w:rPr>
      </w:pPr>
      <w:r>
        <w:rPr>
          <w:rFonts w:hint="eastAsia" w:ascii="仿宋" w:hAnsi="仿宋" w:eastAsia="仿宋" w:cs="仿宋"/>
          <w:sz w:val="32"/>
          <w:szCs w:val="32"/>
        </w:rPr>
        <w:t>该项目规划符合中央、省、市、区重大决策部署，项目绩效目标合理、明确，与项目年度目标一致。项目实施过程做到公开透明，保证了项目经费的安全、合理、合规使用。从数量指标、质量指标、时效指标、成本指标、社会效益指标、满意度指标6大指标分析，项目基本完成预期目标，完成率达100%且相关群体满意度高。</w:t>
      </w:r>
    </w:p>
    <w:p>
      <w:pPr>
        <w:keepNext w:val="0"/>
        <w:keepLines w:val="0"/>
        <w:pageBreakBefore w:val="0"/>
        <w:numPr>
          <w:ilvl w:val="0"/>
          <w:numId w:val="0"/>
        </w:numPr>
        <w:kinsoku/>
        <w:wordWrap/>
        <w:overflowPunct/>
        <w:topLinePunct w:val="0"/>
        <w:autoSpaceDE/>
        <w:autoSpaceDN/>
        <w:bidi w:val="0"/>
        <w:adjustRightInd w:val="0"/>
        <w:snapToGrid w:val="0"/>
        <w:spacing w:line="578" w:lineRule="exact"/>
        <w:ind w:left="720" w:leftChars="0"/>
        <w:textAlignment w:val="auto"/>
        <w:rPr>
          <w:rFonts w:hint="eastAsia"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（二）存在的问题</w:t>
      </w:r>
    </w:p>
    <w:p>
      <w:pPr>
        <w:keepNext w:val="0"/>
        <w:keepLines w:val="0"/>
        <w:pageBreakBefore w:val="0"/>
        <w:numPr>
          <w:ilvl w:val="0"/>
          <w:numId w:val="0"/>
        </w:numPr>
        <w:kinsoku/>
        <w:wordWrap/>
        <w:overflowPunct/>
        <w:topLinePunct w:val="0"/>
        <w:autoSpaceDE/>
        <w:autoSpaceDN/>
        <w:bidi w:val="0"/>
        <w:adjustRightInd w:val="0"/>
        <w:snapToGrid w:val="0"/>
        <w:spacing w:line="578" w:lineRule="exact"/>
        <w:ind w:left="720" w:leftChars="0"/>
        <w:textAlignment w:val="auto"/>
        <w:rPr>
          <w:rFonts w:hint="eastAsia" w:ascii="楷体_GB2312" w:hAnsi="宋体" w:eastAsia="楷体_GB2312"/>
          <w:b/>
          <w:color w:val="auto"/>
          <w:sz w:val="32"/>
          <w:szCs w:val="32"/>
          <w:highlight w:val="none"/>
          <w:u w:val="none"/>
          <w:lang w:val="zh-CN"/>
        </w:rPr>
      </w:pPr>
      <w:r>
        <w:rPr>
          <w:rFonts w:hint="eastAsia" w:ascii="仿宋" w:hAnsi="仿宋" w:eastAsia="仿宋" w:cs="仿宋"/>
          <w:sz w:val="32"/>
          <w:szCs w:val="32"/>
        </w:rPr>
        <w:t>无</w:t>
      </w:r>
    </w:p>
    <w:p>
      <w:pPr>
        <w:keepNext w:val="0"/>
        <w:keepLines w:val="0"/>
        <w:pageBreakBefore w:val="0"/>
        <w:numPr>
          <w:ilvl w:val="0"/>
          <w:numId w:val="9"/>
        </w:numPr>
        <w:kinsoku/>
        <w:wordWrap/>
        <w:overflowPunct/>
        <w:topLinePunct w:val="0"/>
        <w:autoSpaceDE/>
        <w:autoSpaceDN/>
        <w:bidi w:val="0"/>
        <w:adjustRightInd w:val="0"/>
        <w:snapToGrid w:val="0"/>
        <w:spacing w:line="578" w:lineRule="exact"/>
        <w:ind w:left="0" w:leftChars="0" w:firstLine="720" w:firstLineChars="0"/>
        <w:textAlignment w:val="auto"/>
        <w:rPr>
          <w:rFonts w:hint="eastAsia" w:ascii="楷体_GB2312" w:hAnsi="宋体" w:eastAsia="楷体_GB2312"/>
          <w:b/>
          <w:color w:val="auto"/>
          <w:sz w:val="32"/>
          <w:szCs w:val="32"/>
          <w:highlight w:val="none"/>
          <w:u w:val="none"/>
          <w:lang w:val="zh-CN"/>
        </w:rPr>
      </w:pPr>
      <w:r>
        <w:rPr>
          <w:rFonts w:hint="eastAsia" w:ascii="楷体_GB2312" w:hAnsi="宋体" w:eastAsia="楷体_GB2312"/>
          <w:b/>
          <w:color w:val="auto"/>
          <w:sz w:val="32"/>
          <w:szCs w:val="32"/>
          <w:highlight w:val="none"/>
          <w:u w:val="none"/>
          <w:lang w:val="zh-CN"/>
        </w:rPr>
        <w:t>相关建议</w:t>
      </w:r>
    </w:p>
    <w:p>
      <w:pPr>
        <w:spacing w:line="576" w:lineRule="exact"/>
        <w:ind w:firstLine="640" w:firstLineChars="200"/>
        <w:rPr>
          <w:rFonts w:ascii="仿宋" w:hAnsi="仿宋" w:eastAsia="仿宋" w:cs="仿宋"/>
          <w:sz w:val="32"/>
          <w:szCs w:val="32"/>
        </w:rPr>
      </w:pPr>
      <w:r>
        <w:rPr>
          <w:rFonts w:hint="eastAsia" w:ascii="仿宋" w:hAnsi="仿宋" w:eastAsia="仿宋" w:cs="仿宋"/>
          <w:sz w:val="32"/>
          <w:szCs w:val="32"/>
        </w:rPr>
        <w:t>继续加强绩效管理，发挥资金效益最大化。</w:t>
      </w:r>
    </w:p>
    <w:p>
      <w:pPr>
        <w:keepNext w:val="0"/>
        <w:keepLines w:val="0"/>
        <w:pageBreakBefore w:val="0"/>
        <w:numPr>
          <w:ilvl w:val="0"/>
          <w:numId w:val="0"/>
        </w:numPr>
        <w:kinsoku/>
        <w:wordWrap/>
        <w:overflowPunct/>
        <w:topLinePunct w:val="0"/>
        <w:autoSpaceDE/>
        <w:autoSpaceDN/>
        <w:bidi w:val="0"/>
        <w:adjustRightInd w:val="0"/>
        <w:snapToGrid w:val="0"/>
        <w:spacing w:line="578" w:lineRule="exact"/>
        <w:ind w:left="720" w:leftChars="0"/>
        <w:textAlignment w:val="auto"/>
        <w:rPr>
          <w:rFonts w:hint="eastAsia" w:ascii="楷体_GB2312" w:hAnsi="宋体" w:eastAsia="楷体_GB2312"/>
          <w:b w:val="0"/>
          <w:bCs/>
          <w:color w:val="auto"/>
          <w:sz w:val="32"/>
          <w:szCs w:val="32"/>
          <w:highlight w:val="none"/>
          <w:u w:val="none"/>
          <w:lang w:val="zh-CN"/>
        </w:rPr>
      </w:pPr>
    </w:p>
    <w:p>
      <w:pPr>
        <w:spacing w:line="600" w:lineRule="exact"/>
        <w:jc w:val="center"/>
        <w:outlineLvl w:val="0"/>
        <w:rPr>
          <w:rFonts w:hint="eastAsia" w:ascii="黑体" w:hAnsi="黑体" w:eastAsia="黑体"/>
          <w:color w:val="auto"/>
          <w:sz w:val="44"/>
          <w:szCs w:val="44"/>
          <w:highlight w:val="none"/>
        </w:rPr>
      </w:pPr>
    </w:p>
    <w:p>
      <w:pPr>
        <w:spacing w:line="600" w:lineRule="exact"/>
        <w:jc w:val="both"/>
        <w:outlineLvl w:val="0"/>
        <w:rPr>
          <w:rFonts w:hint="eastAsia" w:ascii="黑体" w:hAnsi="黑体" w:eastAsia="黑体"/>
          <w:color w:val="auto"/>
          <w:sz w:val="44"/>
          <w:szCs w:val="44"/>
          <w:highlight w:val="none"/>
        </w:rPr>
      </w:pPr>
    </w:p>
    <w:p>
      <w:pPr>
        <w:spacing w:line="600" w:lineRule="exact"/>
        <w:jc w:val="center"/>
        <w:outlineLvl w:val="0"/>
        <w:rPr>
          <w:rFonts w:hint="eastAsia" w:ascii="仿宋" w:hAnsi="仿宋" w:eastAsia="仿宋"/>
          <w:b w:val="0"/>
          <w:color w:val="auto"/>
          <w:highlight w:val="none"/>
        </w:rPr>
      </w:pPr>
      <w:r>
        <w:rPr>
          <w:rFonts w:hint="eastAsia" w:ascii="黑体" w:hAnsi="黑体" w:eastAsia="黑体"/>
          <w:color w:val="auto"/>
          <w:sz w:val="44"/>
          <w:szCs w:val="44"/>
          <w:highlight w:val="none"/>
        </w:rPr>
        <w:t>第</w:t>
      </w:r>
      <w:r>
        <w:rPr>
          <w:rStyle w:val="27"/>
          <w:rFonts w:hint="eastAsia" w:ascii="黑体" w:hAnsi="黑体" w:eastAsia="黑体"/>
          <w:b w:val="0"/>
          <w:color w:val="auto"/>
          <w:highlight w:val="none"/>
        </w:rPr>
        <w:t>五部分 附表</w:t>
      </w:r>
      <w:bookmarkEnd w:id="75"/>
      <w:bookmarkEnd w:id="81"/>
      <w:bookmarkEnd w:id="82"/>
      <w:bookmarkStart w:id="83" w:name="_Toc15396619"/>
    </w:p>
    <w:p>
      <w:pPr>
        <w:pStyle w:val="3"/>
        <w:rPr>
          <w:rFonts w:ascii="仿宋" w:hAnsi="仿宋" w:eastAsia="仿宋"/>
          <w:color w:val="auto"/>
          <w:highlight w:val="none"/>
        </w:rPr>
      </w:pPr>
      <w:bookmarkStart w:id="84" w:name="_Toc11505"/>
      <w:r>
        <w:rPr>
          <w:rFonts w:hint="eastAsia" w:ascii="仿宋" w:hAnsi="仿宋" w:eastAsia="仿宋"/>
          <w:b w:val="0"/>
          <w:color w:val="auto"/>
          <w:highlight w:val="none"/>
        </w:rPr>
        <w:t>一、收</w:t>
      </w:r>
      <w:r>
        <w:rPr>
          <w:rStyle w:val="28"/>
          <w:rFonts w:hint="eastAsia" w:ascii="仿宋" w:hAnsi="仿宋" w:eastAsia="仿宋"/>
          <w:b w:val="0"/>
          <w:bCs w:val="0"/>
          <w:color w:val="auto"/>
          <w:highlight w:val="none"/>
        </w:rPr>
        <w:t>入支出决算总表</w:t>
      </w:r>
      <w:bookmarkEnd w:id="83"/>
      <w:bookmarkEnd w:id="84"/>
    </w:p>
    <w:p>
      <w:pPr>
        <w:pStyle w:val="3"/>
        <w:rPr>
          <w:rFonts w:ascii="仿宋" w:hAnsi="仿宋" w:eastAsia="仿宋"/>
          <w:color w:val="auto"/>
          <w:highlight w:val="none"/>
        </w:rPr>
      </w:pPr>
      <w:bookmarkStart w:id="85" w:name="_Toc9805"/>
      <w:bookmarkStart w:id="86" w:name="_Toc15396620"/>
      <w:r>
        <w:rPr>
          <w:rFonts w:hint="eastAsia" w:ascii="仿宋" w:hAnsi="仿宋" w:eastAsia="仿宋"/>
          <w:b w:val="0"/>
          <w:color w:val="auto"/>
          <w:highlight w:val="none"/>
        </w:rPr>
        <w:t>二、收</w:t>
      </w:r>
      <w:r>
        <w:rPr>
          <w:rStyle w:val="28"/>
          <w:rFonts w:hint="eastAsia" w:ascii="仿宋" w:hAnsi="仿宋" w:eastAsia="仿宋"/>
          <w:b w:val="0"/>
          <w:bCs w:val="0"/>
          <w:color w:val="auto"/>
          <w:highlight w:val="none"/>
        </w:rPr>
        <w:t>入决算表</w:t>
      </w:r>
      <w:bookmarkEnd w:id="85"/>
      <w:bookmarkEnd w:id="86"/>
    </w:p>
    <w:p>
      <w:pPr>
        <w:pStyle w:val="3"/>
        <w:rPr>
          <w:rFonts w:ascii="仿宋" w:hAnsi="仿宋" w:eastAsia="仿宋"/>
          <w:color w:val="auto"/>
          <w:highlight w:val="none"/>
        </w:rPr>
      </w:pPr>
      <w:bookmarkStart w:id="87" w:name="_Toc32063"/>
      <w:bookmarkStart w:id="88" w:name="_Toc15396621"/>
      <w:r>
        <w:rPr>
          <w:rStyle w:val="28"/>
          <w:rFonts w:hint="eastAsia" w:ascii="仿宋" w:hAnsi="仿宋" w:eastAsia="仿宋"/>
          <w:b w:val="0"/>
          <w:bCs w:val="0"/>
          <w:color w:val="auto"/>
          <w:highlight w:val="none"/>
        </w:rPr>
        <w:t>三、</w:t>
      </w:r>
      <w:r>
        <w:rPr>
          <w:rFonts w:hint="eastAsia" w:ascii="仿宋" w:hAnsi="仿宋" w:eastAsia="仿宋"/>
          <w:b w:val="0"/>
          <w:color w:val="auto"/>
          <w:highlight w:val="none"/>
        </w:rPr>
        <w:t>支</w:t>
      </w:r>
      <w:r>
        <w:rPr>
          <w:rStyle w:val="28"/>
          <w:rFonts w:hint="eastAsia" w:ascii="仿宋" w:hAnsi="仿宋" w:eastAsia="仿宋"/>
          <w:b w:val="0"/>
          <w:bCs w:val="0"/>
          <w:color w:val="auto"/>
          <w:highlight w:val="none"/>
        </w:rPr>
        <w:t>出决算表</w:t>
      </w:r>
      <w:bookmarkEnd w:id="87"/>
      <w:bookmarkEnd w:id="88"/>
    </w:p>
    <w:p>
      <w:pPr>
        <w:pStyle w:val="3"/>
        <w:rPr>
          <w:rFonts w:ascii="仿宋" w:hAnsi="仿宋" w:eastAsia="仿宋"/>
          <w:b w:val="0"/>
          <w:color w:val="auto"/>
          <w:highlight w:val="none"/>
        </w:rPr>
      </w:pPr>
      <w:bookmarkStart w:id="89" w:name="_Toc14220"/>
      <w:bookmarkStart w:id="90" w:name="_Toc15396622"/>
      <w:r>
        <w:rPr>
          <w:rStyle w:val="28"/>
          <w:rFonts w:hint="eastAsia" w:ascii="仿宋" w:hAnsi="仿宋" w:eastAsia="仿宋"/>
          <w:b w:val="0"/>
          <w:bCs w:val="0"/>
          <w:color w:val="auto"/>
          <w:highlight w:val="none"/>
        </w:rPr>
        <w:t>四、</w:t>
      </w:r>
      <w:r>
        <w:rPr>
          <w:rFonts w:hint="eastAsia" w:ascii="仿宋" w:hAnsi="仿宋" w:eastAsia="仿宋"/>
          <w:b w:val="0"/>
          <w:color w:val="auto"/>
          <w:highlight w:val="none"/>
        </w:rPr>
        <w:t>财</w:t>
      </w:r>
      <w:r>
        <w:rPr>
          <w:rStyle w:val="28"/>
          <w:rFonts w:hint="eastAsia" w:ascii="仿宋" w:hAnsi="仿宋" w:eastAsia="仿宋"/>
          <w:b w:val="0"/>
          <w:bCs w:val="0"/>
          <w:color w:val="auto"/>
          <w:highlight w:val="none"/>
        </w:rPr>
        <w:t>政拨款收入支出决算总表</w:t>
      </w:r>
      <w:bookmarkEnd w:id="89"/>
      <w:bookmarkEnd w:id="90"/>
    </w:p>
    <w:p>
      <w:pPr>
        <w:pStyle w:val="3"/>
        <w:rPr>
          <w:rStyle w:val="28"/>
          <w:rFonts w:ascii="仿宋" w:hAnsi="仿宋" w:eastAsia="仿宋"/>
          <w:b w:val="0"/>
          <w:bCs w:val="0"/>
          <w:color w:val="auto"/>
          <w:highlight w:val="none"/>
        </w:rPr>
      </w:pPr>
      <w:bookmarkStart w:id="91" w:name="_Toc29354"/>
      <w:bookmarkStart w:id="92" w:name="_Toc15396623"/>
      <w:r>
        <w:rPr>
          <w:rStyle w:val="28"/>
          <w:rFonts w:hint="eastAsia" w:ascii="仿宋" w:hAnsi="仿宋" w:eastAsia="仿宋"/>
          <w:b w:val="0"/>
          <w:bCs w:val="0"/>
          <w:color w:val="auto"/>
          <w:highlight w:val="none"/>
        </w:rPr>
        <w:t>五、</w:t>
      </w:r>
      <w:r>
        <w:rPr>
          <w:rFonts w:hint="eastAsia" w:ascii="仿宋" w:hAnsi="仿宋" w:eastAsia="仿宋"/>
          <w:b w:val="0"/>
          <w:color w:val="auto"/>
          <w:highlight w:val="none"/>
        </w:rPr>
        <w:t>财</w:t>
      </w:r>
      <w:r>
        <w:rPr>
          <w:rStyle w:val="28"/>
          <w:rFonts w:hint="eastAsia" w:ascii="仿宋" w:hAnsi="仿宋" w:eastAsia="仿宋"/>
          <w:b w:val="0"/>
          <w:bCs w:val="0"/>
          <w:color w:val="auto"/>
          <w:highlight w:val="none"/>
        </w:rPr>
        <w:t>政拨款支出决算明细表</w:t>
      </w:r>
      <w:bookmarkEnd w:id="91"/>
      <w:bookmarkEnd w:id="92"/>
      <w:bookmarkStart w:id="93" w:name="_Toc15396624"/>
    </w:p>
    <w:p>
      <w:pPr>
        <w:pStyle w:val="3"/>
        <w:rPr>
          <w:rFonts w:ascii="仿宋" w:hAnsi="仿宋" w:eastAsia="仿宋"/>
          <w:color w:val="auto"/>
          <w:highlight w:val="none"/>
        </w:rPr>
      </w:pPr>
      <w:bookmarkStart w:id="94" w:name="_Toc19692"/>
      <w:r>
        <w:rPr>
          <w:rStyle w:val="28"/>
          <w:rFonts w:hint="eastAsia" w:ascii="仿宋" w:hAnsi="仿宋" w:eastAsia="仿宋"/>
          <w:b w:val="0"/>
          <w:bCs w:val="0"/>
          <w:color w:val="auto"/>
          <w:highlight w:val="none"/>
        </w:rPr>
        <w:t>六、</w:t>
      </w:r>
      <w:r>
        <w:rPr>
          <w:rFonts w:hint="eastAsia" w:ascii="仿宋" w:hAnsi="仿宋" w:eastAsia="仿宋"/>
          <w:b w:val="0"/>
          <w:color w:val="auto"/>
          <w:highlight w:val="none"/>
        </w:rPr>
        <w:t>一</w:t>
      </w:r>
      <w:r>
        <w:rPr>
          <w:rStyle w:val="28"/>
          <w:rFonts w:hint="eastAsia" w:ascii="仿宋" w:hAnsi="仿宋" w:eastAsia="仿宋"/>
          <w:b w:val="0"/>
          <w:bCs w:val="0"/>
          <w:color w:val="auto"/>
          <w:highlight w:val="none"/>
        </w:rPr>
        <w:t>般公共预算财政拨款支出决算表</w:t>
      </w:r>
      <w:bookmarkEnd w:id="93"/>
      <w:bookmarkEnd w:id="94"/>
    </w:p>
    <w:p>
      <w:pPr>
        <w:pStyle w:val="3"/>
        <w:rPr>
          <w:rFonts w:ascii="仿宋" w:hAnsi="仿宋" w:eastAsia="仿宋"/>
          <w:color w:val="auto"/>
          <w:highlight w:val="none"/>
        </w:rPr>
      </w:pPr>
      <w:bookmarkStart w:id="95" w:name="_Toc15396625"/>
      <w:bookmarkStart w:id="96" w:name="_Toc32321"/>
      <w:r>
        <w:rPr>
          <w:rStyle w:val="28"/>
          <w:rFonts w:hint="eastAsia" w:ascii="仿宋" w:hAnsi="仿宋" w:eastAsia="仿宋"/>
          <w:b w:val="0"/>
          <w:bCs w:val="0"/>
          <w:color w:val="auto"/>
          <w:highlight w:val="none"/>
        </w:rPr>
        <w:t>七、</w:t>
      </w:r>
      <w:r>
        <w:rPr>
          <w:rFonts w:hint="eastAsia" w:ascii="仿宋" w:hAnsi="仿宋" w:eastAsia="仿宋"/>
          <w:b w:val="0"/>
          <w:color w:val="auto"/>
          <w:highlight w:val="none"/>
        </w:rPr>
        <w:t>一</w:t>
      </w:r>
      <w:r>
        <w:rPr>
          <w:rStyle w:val="28"/>
          <w:rFonts w:hint="eastAsia" w:ascii="仿宋" w:hAnsi="仿宋" w:eastAsia="仿宋"/>
          <w:b w:val="0"/>
          <w:bCs w:val="0"/>
          <w:color w:val="auto"/>
          <w:highlight w:val="none"/>
        </w:rPr>
        <w:t>般公共预算财政拨款支出决算明细表</w:t>
      </w:r>
      <w:bookmarkEnd w:id="95"/>
      <w:bookmarkEnd w:id="96"/>
    </w:p>
    <w:p>
      <w:pPr>
        <w:pStyle w:val="3"/>
        <w:rPr>
          <w:rFonts w:ascii="仿宋" w:hAnsi="仿宋" w:eastAsia="仿宋"/>
          <w:color w:val="auto"/>
          <w:highlight w:val="none"/>
        </w:rPr>
      </w:pPr>
      <w:bookmarkStart w:id="97" w:name="_Toc15396626"/>
      <w:bookmarkStart w:id="98" w:name="_Toc16670"/>
      <w:r>
        <w:rPr>
          <w:rStyle w:val="28"/>
          <w:rFonts w:hint="eastAsia" w:ascii="仿宋" w:hAnsi="仿宋" w:eastAsia="仿宋"/>
          <w:b w:val="0"/>
          <w:bCs w:val="0"/>
          <w:color w:val="auto"/>
          <w:highlight w:val="none"/>
        </w:rPr>
        <w:t>八、</w:t>
      </w:r>
      <w:r>
        <w:rPr>
          <w:rFonts w:hint="eastAsia" w:ascii="仿宋" w:hAnsi="仿宋" w:eastAsia="仿宋"/>
          <w:b w:val="0"/>
          <w:color w:val="auto"/>
          <w:highlight w:val="none"/>
        </w:rPr>
        <w:t>一</w:t>
      </w:r>
      <w:r>
        <w:rPr>
          <w:rStyle w:val="28"/>
          <w:rFonts w:hint="eastAsia" w:ascii="仿宋" w:hAnsi="仿宋" w:eastAsia="仿宋"/>
          <w:b w:val="0"/>
          <w:bCs w:val="0"/>
          <w:color w:val="auto"/>
          <w:highlight w:val="none"/>
        </w:rPr>
        <w:t>般公共预算财政拨款基本支出决算表</w:t>
      </w:r>
      <w:bookmarkEnd w:id="97"/>
      <w:bookmarkEnd w:id="98"/>
    </w:p>
    <w:p>
      <w:pPr>
        <w:pStyle w:val="3"/>
        <w:rPr>
          <w:rFonts w:ascii="仿宋" w:hAnsi="仿宋" w:eastAsia="仿宋"/>
          <w:color w:val="auto"/>
          <w:highlight w:val="none"/>
        </w:rPr>
      </w:pPr>
      <w:bookmarkStart w:id="99" w:name="_Toc15396627"/>
      <w:bookmarkStart w:id="100" w:name="_Toc28260"/>
      <w:r>
        <w:rPr>
          <w:rStyle w:val="28"/>
          <w:rFonts w:hint="eastAsia" w:ascii="仿宋" w:hAnsi="仿宋" w:eastAsia="仿宋"/>
          <w:b w:val="0"/>
          <w:bCs w:val="0"/>
          <w:color w:val="auto"/>
          <w:highlight w:val="none"/>
        </w:rPr>
        <w:t>九、</w:t>
      </w:r>
      <w:r>
        <w:rPr>
          <w:rFonts w:hint="eastAsia" w:ascii="仿宋" w:hAnsi="仿宋" w:eastAsia="仿宋"/>
          <w:b w:val="0"/>
          <w:color w:val="auto"/>
          <w:highlight w:val="none"/>
        </w:rPr>
        <w:t>一</w:t>
      </w:r>
      <w:r>
        <w:rPr>
          <w:rStyle w:val="28"/>
          <w:rFonts w:hint="eastAsia" w:ascii="仿宋" w:hAnsi="仿宋" w:eastAsia="仿宋"/>
          <w:b w:val="0"/>
          <w:bCs w:val="0"/>
          <w:color w:val="auto"/>
          <w:highlight w:val="none"/>
        </w:rPr>
        <w:t>般公共预算财政拨款项目支出决算表</w:t>
      </w:r>
      <w:bookmarkEnd w:id="99"/>
      <w:bookmarkEnd w:id="100"/>
    </w:p>
    <w:p>
      <w:pPr>
        <w:pStyle w:val="3"/>
        <w:rPr>
          <w:rFonts w:ascii="仿宋" w:hAnsi="仿宋" w:eastAsia="仿宋"/>
          <w:color w:val="auto"/>
          <w:highlight w:val="none"/>
        </w:rPr>
      </w:pPr>
      <w:bookmarkStart w:id="101" w:name="_Toc15396628"/>
      <w:bookmarkStart w:id="102" w:name="_Toc21935"/>
      <w:r>
        <w:rPr>
          <w:rStyle w:val="28"/>
          <w:rFonts w:hint="eastAsia" w:ascii="仿宋" w:hAnsi="仿宋" w:eastAsia="仿宋"/>
          <w:b w:val="0"/>
          <w:bCs w:val="0"/>
          <w:color w:val="auto"/>
          <w:highlight w:val="none"/>
        </w:rPr>
        <w:t>十、</w:t>
      </w:r>
      <w:bookmarkEnd w:id="101"/>
      <w:r>
        <w:rPr>
          <w:rFonts w:hint="eastAsia" w:ascii="仿宋" w:hAnsi="仿宋" w:eastAsia="仿宋"/>
          <w:b w:val="0"/>
          <w:color w:val="auto"/>
          <w:highlight w:val="none"/>
        </w:rPr>
        <w:t>政</w:t>
      </w:r>
      <w:r>
        <w:rPr>
          <w:rStyle w:val="28"/>
          <w:rFonts w:hint="eastAsia" w:ascii="仿宋" w:hAnsi="仿宋" w:eastAsia="仿宋"/>
          <w:b w:val="0"/>
          <w:bCs w:val="0"/>
          <w:color w:val="auto"/>
          <w:highlight w:val="none"/>
        </w:rPr>
        <w:t>府性基金预算财政拨款收入支出决算表</w:t>
      </w:r>
      <w:bookmarkEnd w:id="102"/>
    </w:p>
    <w:p>
      <w:pPr>
        <w:pStyle w:val="3"/>
        <w:rPr>
          <w:rFonts w:ascii="仿宋" w:hAnsi="仿宋" w:eastAsia="仿宋"/>
          <w:color w:val="auto"/>
          <w:highlight w:val="none"/>
        </w:rPr>
      </w:pPr>
      <w:bookmarkStart w:id="103" w:name="_Toc15396629"/>
      <w:bookmarkStart w:id="104" w:name="_Toc8301"/>
      <w:r>
        <w:rPr>
          <w:rStyle w:val="28"/>
          <w:rFonts w:hint="eastAsia" w:ascii="仿宋" w:hAnsi="仿宋" w:eastAsia="仿宋"/>
          <w:b w:val="0"/>
          <w:bCs w:val="0"/>
          <w:color w:val="auto"/>
          <w:highlight w:val="none"/>
        </w:rPr>
        <w:t>十一、</w:t>
      </w:r>
      <w:bookmarkEnd w:id="103"/>
      <w:r>
        <w:rPr>
          <w:rFonts w:hint="eastAsia" w:ascii="仿宋" w:hAnsi="仿宋" w:eastAsia="仿宋"/>
          <w:b w:val="0"/>
          <w:color w:val="auto"/>
          <w:highlight w:val="none"/>
        </w:rPr>
        <w:t>国</w:t>
      </w:r>
      <w:r>
        <w:rPr>
          <w:rStyle w:val="28"/>
          <w:rFonts w:hint="eastAsia" w:ascii="仿宋" w:hAnsi="仿宋" w:eastAsia="仿宋"/>
          <w:b w:val="0"/>
          <w:bCs w:val="0"/>
          <w:color w:val="auto"/>
          <w:highlight w:val="none"/>
        </w:rPr>
        <w:t>有资本经营预算</w:t>
      </w:r>
      <w:r>
        <w:rPr>
          <w:rStyle w:val="28"/>
          <w:rFonts w:hint="eastAsia" w:ascii="仿宋" w:hAnsi="仿宋" w:eastAsia="仿宋"/>
          <w:b w:val="0"/>
          <w:bCs w:val="0"/>
          <w:color w:val="auto"/>
          <w:highlight w:val="none"/>
          <w:lang w:eastAsia="zh-CN"/>
        </w:rPr>
        <w:t>财政拨款收入</w:t>
      </w:r>
      <w:r>
        <w:rPr>
          <w:rStyle w:val="28"/>
          <w:rFonts w:hint="eastAsia" w:ascii="仿宋" w:hAnsi="仿宋" w:eastAsia="仿宋"/>
          <w:b w:val="0"/>
          <w:bCs w:val="0"/>
          <w:color w:val="auto"/>
          <w:highlight w:val="none"/>
        </w:rPr>
        <w:t>支出决算表</w:t>
      </w:r>
      <w:bookmarkEnd w:id="104"/>
    </w:p>
    <w:p>
      <w:pPr>
        <w:pStyle w:val="3"/>
        <w:rPr>
          <w:rFonts w:ascii="仿宋" w:hAnsi="仿宋" w:eastAsia="仿宋"/>
          <w:color w:val="auto"/>
          <w:highlight w:val="none"/>
        </w:rPr>
      </w:pPr>
      <w:bookmarkStart w:id="105" w:name="_Toc15396630"/>
      <w:bookmarkStart w:id="106" w:name="_Toc5251"/>
      <w:r>
        <w:rPr>
          <w:rStyle w:val="28"/>
          <w:rFonts w:hint="eastAsia" w:ascii="仿宋" w:hAnsi="仿宋" w:eastAsia="仿宋"/>
          <w:b w:val="0"/>
          <w:bCs w:val="0"/>
          <w:color w:val="auto"/>
          <w:highlight w:val="none"/>
        </w:rPr>
        <w:t>十二、</w:t>
      </w:r>
      <w:bookmarkEnd w:id="105"/>
      <w:r>
        <w:rPr>
          <w:rStyle w:val="28"/>
          <w:rFonts w:hint="eastAsia" w:ascii="仿宋" w:hAnsi="仿宋" w:eastAsia="仿宋"/>
          <w:b w:val="0"/>
          <w:bCs w:val="0"/>
          <w:color w:val="auto"/>
          <w:highlight w:val="none"/>
          <w:lang w:eastAsia="zh-CN"/>
        </w:rPr>
        <w:t>国有资本经营预算财政拨款支出决算表</w:t>
      </w:r>
      <w:bookmarkEnd w:id="106"/>
    </w:p>
    <w:p>
      <w:pPr>
        <w:pStyle w:val="3"/>
        <w:rPr>
          <w:rFonts w:hint="eastAsia" w:eastAsia="仿宋"/>
          <w:color w:val="auto"/>
          <w:highlight w:val="none"/>
          <w:lang w:eastAsia="zh-CN"/>
        </w:rPr>
      </w:pPr>
      <w:bookmarkStart w:id="107" w:name="_Toc15396631"/>
      <w:bookmarkStart w:id="108" w:name="_Toc30912"/>
      <w:r>
        <w:rPr>
          <w:rStyle w:val="28"/>
          <w:rFonts w:hint="eastAsia" w:ascii="仿宋" w:hAnsi="仿宋" w:eastAsia="仿宋"/>
          <w:b w:val="0"/>
          <w:bCs w:val="0"/>
          <w:color w:val="auto"/>
          <w:highlight w:val="none"/>
        </w:rPr>
        <w:t>十三、</w:t>
      </w:r>
      <w:bookmarkEnd w:id="107"/>
      <w:r>
        <w:rPr>
          <w:rStyle w:val="28"/>
          <w:rFonts w:hint="eastAsia" w:ascii="仿宋" w:hAnsi="仿宋" w:eastAsia="仿宋"/>
          <w:b w:val="0"/>
          <w:bCs w:val="0"/>
          <w:color w:val="auto"/>
          <w:highlight w:val="none"/>
          <w:lang w:eastAsia="zh-CN"/>
        </w:rPr>
        <w:t>财政拨款“三公”经费支出决算表</w:t>
      </w:r>
      <w:bookmarkEnd w:id="108"/>
    </w:p>
    <w:sectPr>
      <w:footerReference r:id="rId10" w:type="first"/>
      <w:footerReference r:id="rId9" w:type="default"/>
      <w:pgSz w:w="11906" w:h="16838"/>
      <w:pgMar w:top="1440" w:right="1800" w:bottom="1440" w:left="1800" w:header="851" w:footer="992" w:gutter="0"/>
      <w:pgNumType w:fmt="decimal"/>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00000" w:csb1="00000000"/>
  </w:font>
  <w:font w:name="方正小标宋简体">
    <w:panose1 w:val="02010601030101010101"/>
    <w:charset w:val="86"/>
    <w:family w:val="script"/>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p>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994781956"/>
                          </w:sdtPr>
                          <w:sdtContent>
                            <w:p>
                              <w:pPr>
                                <w:pStyle w:val="9"/>
                                <w:jc w:val="center"/>
                              </w:pPr>
                              <w:r>
                                <w:fldChar w:fldCharType="begin"/>
                              </w:r>
                              <w:r>
                                <w:instrText xml:space="preserve">PAGE   \* MERGEFORMAT</w:instrText>
                              </w:r>
                              <w:r>
                                <w:fldChar w:fldCharType="separate"/>
                              </w:r>
                              <w:r>
                                <w:rPr>
                                  <w:lang w:val="zh-CN"/>
                                </w:rPr>
                                <w:t>8</w:t>
                              </w:r>
                              <w:r>
                                <w:fldChar w:fldCharType="end"/>
                              </w:r>
                            </w:p>
                          </w:sdtContent>
                        </w:sd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sdt>
                    <w:sdtPr>
                      <w:id w:val="-1994781956"/>
                    </w:sdtPr>
                    <w:sdtContent>
                      <w:p>
                        <w:pPr>
                          <w:pStyle w:val="9"/>
                          <w:jc w:val="center"/>
                        </w:pPr>
                        <w:r>
                          <w:fldChar w:fldCharType="begin"/>
                        </w:r>
                        <w:r>
                          <w:instrText xml:space="preserve">PAGE   \* MERGEFORMAT</w:instrText>
                        </w:r>
                        <w:r>
                          <w:fldChar w:fldCharType="separate"/>
                        </w:r>
                        <w:r>
                          <w:rPr>
                            <w:lang w:val="zh-CN"/>
                          </w:rPr>
                          <w:t>8</w:t>
                        </w:r>
                        <w:r>
                          <w:fldChar w:fldCharType="end"/>
                        </w:r>
                      </w:p>
                    </w:sdtContent>
                  </w:sdt>
                  <w:p/>
                </w:txbxContent>
              </v:textbox>
            </v:shape>
          </w:pict>
        </mc:Fallback>
      </mc:AlternateContent>
    </w:r>
  </w:p>
  <w:p>
    <w:pPr>
      <w:pStyle w:val="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994781956"/>
                          </w:sdtPr>
                          <w:sdtContent>
                            <w:p>
                              <w:pPr>
                                <w:pStyle w:val="9"/>
                                <w:jc w:val="center"/>
                              </w:pPr>
                              <w:r>
                                <w:fldChar w:fldCharType="begin"/>
                              </w:r>
                              <w:r>
                                <w:instrText xml:space="preserve">PAGE   \* MERGEFORMAT</w:instrText>
                              </w:r>
                              <w:r>
                                <w:fldChar w:fldCharType="separate"/>
                              </w:r>
                              <w:r>
                                <w:rPr>
                                  <w:lang w:val="zh-CN"/>
                                </w:rPr>
                                <w:t>8</w:t>
                              </w:r>
                              <w:r>
                                <w:fldChar w:fldCharType="end"/>
                              </w:r>
                            </w:p>
                          </w:sdtContent>
                        </w:sd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sdt>
                    <w:sdtPr>
                      <w:id w:val="-1994781956"/>
                    </w:sdtPr>
                    <w:sdtContent>
                      <w:p>
                        <w:pPr>
                          <w:pStyle w:val="9"/>
                          <w:jc w:val="center"/>
                        </w:pPr>
                        <w:r>
                          <w:fldChar w:fldCharType="begin"/>
                        </w:r>
                        <w:r>
                          <w:instrText xml:space="preserve">PAGE   \* MERGEFORMAT</w:instrText>
                        </w:r>
                        <w:r>
                          <w:fldChar w:fldCharType="separate"/>
                        </w:r>
                        <w:r>
                          <w:rPr>
                            <w:lang w:val="zh-CN"/>
                          </w:rPr>
                          <w:t>8</w:t>
                        </w:r>
                        <w:r>
                          <w:fldChar w:fldCharType="end"/>
                        </w:r>
                      </w:p>
                    </w:sdtContent>
                  </w:sdt>
                  <w:p/>
                </w:txbxContent>
              </v:textbox>
            </v:shape>
          </w:pict>
        </mc:Fallback>
      </mc:AlternateContent>
    </w:r>
  </w:p>
  <w:p>
    <w:pPr>
      <w:pStyle w:val="9"/>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7C225F"/>
    <w:multiLevelType w:val="singleLevel"/>
    <w:tmpl w:val="807C225F"/>
    <w:lvl w:ilvl="0" w:tentative="0">
      <w:start w:val="2"/>
      <w:numFmt w:val="decimal"/>
      <w:suff w:val="nothing"/>
      <w:lvlText w:val="（%1）"/>
      <w:lvlJc w:val="left"/>
    </w:lvl>
  </w:abstractNum>
  <w:abstractNum w:abstractNumId="1">
    <w:nsid w:val="92B8374D"/>
    <w:multiLevelType w:val="singleLevel"/>
    <w:tmpl w:val="92B8374D"/>
    <w:lvl w:ilvl="0" w:tentative="0">
      <w:start w:val="2"/>
      <w:numFmt w:val="chineseCounting"/>
      <w:suff w:val="nothing"/>
      <w:lvlText w:val="（%1）"/>
      <w:lvlJc w:val="left"/>
      <w:rPr>
        <w:rFonts w:hint="eastAsia"/>
      </w:rPr>
    </w:lvl>
  </w:abstractNum>
  <w:abstractNum w:abstractNumId="2">
    <w:nsid w:val="A3E19FAD"/>
    <w:multiLevelType w:val="singleLevel"/>
    <w:tmpl w:val="A3E19FAD"/>
    <w:lvl w:ilvl="0" w:tentative="0">
      <w:start w:val="2"/>
      <w:numFmt w:val="chineseCounting"/>
      <w:suff w:val="nothing"/>
      <w:lvlText w:val="（%1）"/>
      <w:lvlJc w:val="left"/>
      <w:rPr>
        <w:rFonts w:hint="eastAsia"/>
      </w:rPr>
    </w:lvl>
  </w:abstractNum>
  <w:abstractNum w:abstractNumId="3">
    <w:nsid w:val="CF652CEC"/>
    <w:multiLevelType w:val="singleLevel"/>
    <w:tmpl w:val="CF652CEC"/>
    <w:lvl w:ilvl="0" w:tentative="0">
      <w:start w:val="9"/>
      <w:numFmt w:val="chineseCounting"/>
      <w:suff w:val="nothing"/>
      <w:lvlText w:val="%1、"/>
      <w:lvlJc w:val="left"/>
      <w:rPr>
        <w:rFonts w:hint="eastAsia"/>
      </w:rPr>
    </w:lvl>
  </w:abstractNum>
  <w:abstractNum w:abstractNumId="4">
    <w:nsid w:val="D20AD418"/>
    <w:multiLevelType w:val="singleLevel"/>
    <w:tmpl w:val="D20AD418"/>
    <w:lvl w:ilvl="0" w:tentative="0">
      <w:start w:val="1"/>
      <w:numFmt w:val="chineseCounting"/>
      <w:suff w:val="nothing"/>
      <w:lvlText w:val="（%1）"/>
      <w:lvlJc w:val="left"/>
      <w:rPr>
        <w:rFonts w:hint="eastAsia"/>
      </w:rPr>
    </w:lvl>
  </w:abstractNum>
  <w:abstractNum w:abstractNumId="5">
    <w:nsid w:val="DEBEF323"/>
    <w:multiLevelType w:val="singleLevel"/>
    <w:tmpl w:val="DEBEF323"/>
    <w:lvl w:ilvl="0" w:tentative="0">
      <w:start w:val="4"/>
      <w:numFmt w:val="chineseCounting"/>
      <w:suff w:val="nothing"/>
      <w:lvlText w:val="（%1）"/>
      <w:lvlJc w:val="left"/>
      <w:rPr>
        <w:rFonts w:hint="eastAsia"/>
      </w:rPr>
    </w:lvl>
  </w:abstractNum>
  <w:abstractNum w:abstractNumId="6">
    <w:nsid w:val="E2FA047D"/>
    <w:multiLevelType w:val="singleLevel"/>
    <w:tmpl w:val="E2FA047D"/>
    <w:lvl w:ilvl="0" w:tentative="0">
      <w:start w:val="3"/>
      <w:numFmt w:val="chineseCounting"/>
      <w:suff w:val="space"/>
      <w:lvlText w:val="第%1部分"/>
      <w:lvlJc w:val="left"/>
      <w:rPr>
        <w:rFonts w:hint="eastAsia"/>
      </w:rPr>
    </w:lvl>
  </w:abstractNum>
  <w:abstractNum w:abstractNumId="7">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8">
    <w:nsid w:val="7585192F"/>
    <w:multiLevelType w:val="singleLevel"/>
    <w:tmpl w:val="7585192F"/>
    <w:lvl w:ilvl="0" w:tentative="0">
      <w:start w:val="2"/>
      <w:numFmt w:val="chineseCounting"/>
      <w:suff w:val="nothing"/>
      <w:lvlText w:val="（%1）"/>
      <w:lvlJc w:val="left"/>
      <w:rPr>
        <w:rFonts w:hint="eastAsia"/>
      </w:rPr>
    </w:lvl>
  </w:abstractNum>
  <w:num w:numId="1">
    <w:abstractNumId w:val="7"/>
  </w:num>
  <w:num w:numId="2">
    <w:abstractNumId w:val="3"/>
  </w:num>
  <w:num w:numId="3">
    <w:abstractNumId w:val="6"/>
  </w:num>
  <w:num w:numId="4">
    <w:abstractNumId w:val="4"/>
  </w:num>
  <w:num w:numId="5">
    <w:abstractNumId w:val="0"/>
  </w:num>
  <w:num w:numId="6">
    <w:abstractNumId w:val="5"/>
  </w:num>
  <w:num w:numId="7">
    <w:abstractNumId w:val="2"/>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9"/>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5N2Y3ZmQzOTMzODk4ZTFmNzYzYWFjY2QwZTJmODA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5975B8"/>
    <w:rsid w:val="02143E91"/>
    <w:rsid w:val="064C4714"/>
    <w:rsid w:val="066E0107"/>
    <w:rsid w:val="07996F6E"/>
    <w:rsid w:val="0A2032A3"/>
    <w:rsid w:val="0DC76954"/>
    <w:rsid w:val="0EBE3E4F"/>
    <w:rsid w:val="0F98263C"/>
    <w:rsid w:val="101860EC"/>
    <w:rsid w:val="10C055FF"/>
    <w:rsid w:val="118107EC"/>
    <w:rsid w:val="13D50BC4"/>
    <w:rsid w:val="16BB723D"/>
    <w:rsid w:val="1BDB3293"/>
    <w:rsid w:val="1BE8440E"/>
    <w:rsid w:val="1D155CEE"/>
    <w:rsid w:val="1DF56ABB"/>
    <w:rsid w:val="1FF35744"/>
    <w:rsid w:val="21023FD6"/>
    <w:rsid w:val="213F66D7"/>
    <w:rsid w:val="23860B96"/>
    <w:rsid w:val="240371BF"/>
    <w:rsid w:val="24B26693"/>
    <w:rsid w:val="25987D07"/>
    <w:rsid w:val="26F161DD"/>
    <w:rsid w:val="29FD04D3"/>
    <w:rsid w:val="2C8A61B5"/>
    <w:rsid w:val="2DCA0C7A"/>
    <w:rsid w:val="2DF04E50"/>
    <w:rsid w:val="2E3662A3"/>
    <w:rsid w:val="2F040D46"/>
    <w:rsid w:val="31552D14"/>
    <w:rsid w:val="319F7F4E"/>
    <w:rsid w:val="3304709D"/>
    <w:rsid w:val="345064F4"/>
    <w:rsid w:val="36AA5135"/>
    <w:rsid w:val="376D39B2"/>
    <w:rsid w:val="37A60062"/>
    <w:rsid w:val="37E16F03"/>
    <w:rsid w:val="38D469F0"/>
    <w:rsid w:val="399B1223"/>
    <w:rsid w:val="3A773F37"/>
    <w:rsid w:val="3BD23BE1"/>
    <w:rsid w:val="3C481E9A"/>
    <w:rsid w:val="3D98207C"/>
    <w:rsid w:val="3E3C43F8"/>
    <w:rsid w:val="3E78745D"/>
    <w:rsid w:val="40B47649"/>
    <w:rsid w:val="424C6B57"/>
    <w:rsid w:val="44AD38A2"/>
    <w:rsid w:val="44E268DA"/>
    <w:rsid w:val="48045130"/>
    <w:rsid w:val="4A627F82"/>
    <w:rsid w:val="4B0E749A"/>
    <w:rsid w:val="4B4F25DA"/>
    <w:rsid w:val="4BE068DB"/>
    <w:rsid w:val="4C2C668F"/>
    <w:rsid w:val="4D577224"/>
    <w:rsid w:val="4EAB630A"/>
    <w:rsid w:val="4ECE2238"/>
    <w:rsid w:val="52290BEA"/>
    <w:rsid w:val="52B70F1D"/>
    <w:rsid w:val="537E6D0A"/>
    <w:rsid w:val="5463310B"/>
    <w:rsid w:val="561D19DF"/>
    <w:rsid w:val="5827508B"/>
    <w:rsid w:val="583A3F93"/>
    <w:rsid w:val="5AF92295"/>
    <w:rsid w:val="5C8A5A4E"/>
    <w:rsid w:val="5CD71FC4"/>
    <w:rsid w:val="5CFE7777"/>
    <w:rsid w:val="5F5702E3"/>
    <w:rsid w:val="640C5BED"/>
    <w:rsid w:val="654523B9"/>
    <w:rsid w:val="655F1D04"/>
    <w:rsid w:val="65E4576E"/>
    <w:rsid w:val="666176C6"/>
    <w:rsid w:val="67010326"/>
    <w:rsid w:val="68F47A32"/>
    <w:rsid w:val="6C4A05C8"/>
    <w:rsid w:val="6D625F0A"/>
    <w:rsid w:val="6E7E3605"/>
    <w:rsid w:val="6E8C1058"/>
    <w:rsid w:val="6E9D1E03"/>
    <w:rsid w:val="6EC30F1E"/>
    <w:rsid w:val="6FF5CC65"/>
    <w:rsid w:val="715C0E4B"/>
    <w:rsid w:val="72734D90"/>
    <w:rsid w:val="73216213"/>
    <w:rsid w:val="73AD73D5"/>
    <w:rsid w:val="73B6EB34"/>
    <w:rsid w:val="744731E5"/>
    <w:rsid w:val="74987234"/>
    <w:rsid w:val="754F7050"/>
    <w:rsid w:val="76E3355F"/>
    <w:rsid w:val="778769C8"/>
    <w:rsid w:val="79EE5BA4"/>
    <w:rsid w:val="79F77CCE"/>
    <w:rsid w:val="7A894339"/>
    <w:rsid w:val="7AA32169"/>
    <w:rsid w:val="7EEF11D3"/>
    <w:rsid w:val="7F2A6016"/>
    <w:rsid w:val="7F802513"/>
    <w:rsid w:val="7FA30C79"/>
    <w:rsid w:val="7FB7269E"/>
    <w:rsid w:val="7FC96657"/>
    <w:rsid w:val="D8D6DB89"/>
    <w:rsid w:val="DB6F4CAB"/>
    <w:rsid w:val="DF6F978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7"/>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1"/>
    <w:unhideWhenUsed/>
    <w:qFormat/>
    <w:uiPriority w:val="9"/>
    <w:pPr>
      <w:keepNext/>
      <w:keepLines/>
      <w:spacing w:before="260" w:after="260" w:line="416" w:lineRule="auto"/>
      <w:outlineLvl w:val="2"/>
    </w:pPr>
    <w:rPr>
      <w:b/>
      <w:bCs/>
      <w:sz w:val="32"/>
      <w:szCs w:val="32"/>
    </w:rPr>
  </w:style>
  <w:style w:type="character" w:default="1" w:styleId="15">
    <w:name w:val="Default Paragraph Font"/>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4"/>
    <w:qFormat/>
    <w:uiPriority w:val="99"/>
    <w:pPr>
      <w:spacing w:beforeLines="30"/>
    </w:pPr>
    <w:rPr>
      <w:rFonts w:ascii="仿宋_GB2312" w:eastAsia="仿宋_GB2312"/>
      <w:kern w:val="0"/>
      <w:sz w:val="30"/>
    </w:rPr>
  </w:style>
  <w:style w:type="paragraph" w:styleId="6">
    <w:name w:val="Body Text Indent"/>
    <w:basedOn w:val="1"/>
    <w:qFormat/>
    <w:uiPriority w:val="0"/>
    <w:pPr>
      <w:spacing w:after="120"/>
      <w:ind w:leftChars="200"/>
    </w:pPr>
    <w:rPr>
      <w:rFonts w:ascii="仿宋_GB2312"/>
      <w:szCs w:val="32"/>
    </w:rPr>
  </w:style>
  <w:style w:type="paragraph" w:styleId="7">
    <w:name w:val="toc 3"/>
    <w:basedOn w:val="1"/>
    <w:next w:val="1"/>
    <w:unhideWhenUsed/>
    <w:qFormat/>
    <w:uiPriority w:val="39"/>
    <w:pPr>
      <w:tabs>
        <w:tab w:val="right" w:leader="dot" w:pos="8296"/>
      </w:tabs>
      <w:ind w:left="840" w:leftChars="400"/>
    </w:pPr>
  </w:style>
  <w:style w:type="paragraph" w:styleId="8">
    <w:name w:val="Balloon Text"/>
    <w:basedOn w:val="1"/>
    <w:link w:val="30"/>
    <w:semiHidden/>
    <w:unhideWhenUsed/>
    <w:qFormat/>
    <w:uiPriority w:val="99"/>
    <w:rPr>
      <w:sz w:val="18"/>
      <w:szCs w:val="18"/>
    </w:rPr>
  </w:style>
  <w:style w:type="paragraph" w:styleId="9">
    <w:name w:val="footer"/>
    <w:basedOn w:val="1"/>
    <w:link w:val="22"/>
    <w:qFormat/>
    <w:uiPriority w:val="99"/>
    <w:pPr>
      <w:tabs>
        <w:tab w:val="center" w:pos="4153"/>
        <w:tab w:val="right" w:pos="8306"/>
      </w:tabs>
      <w:snapToGrid w:val="0"/>
      <w:jc w:val="left"/>
    </w:pPr>
    <w:rPr>
      <w:rFonts w:ascii="Calibri" w:hAnsi="Calibri"/>
      <w:kern w:val="0"/>
      <w:sz w:val="18"/>
      <w:szCs w:val="18"/>
    </w:rPr>
  </w:style>
  <w:style w:type="paragraph" w:styleId="10">
    <w:name w:val="header"/>
    <w:basedOn w:val="1"/>
    <w:link w:val="20"/>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2">
    <w:name w:val="toc 2"/>
    <w:basedOn w:val="1"/>
    <w:next w:val="1"/>
    <w:unhideWhenUsed/>
    <w:qFormat/>
    <w:uiPriority w:val="39"/>
    <w:pPr>
      <w:tabs>
        <w:tab w:val="right" w:leader="dot" w:pos="8296"/>
      </w:tabs>
      <w:ind w:left="420" w:leftChars="200"/>
    </w:pPr>
  </w:style>
  <w:style w:type="paragraph" w:styleId="13">
    <w:name w:val="Body Text First Indent 2"/>
    <w:basedOn w:val="6"/>
    <w:unhideWhenUsed/>
    <w:qFormat/>
    <w:uiPriority w:val="99"/>
    <w:pPr>
      <w:ind w:firstLine="420" w:firstLineChars="200"/>
    </w:pPr>
  </w:style>
  <w:style w:type="character" w:styleId="16">
    <w:name w:val="Strong"/>
    <w:basedOn w:val="15"/>
    <w:qFormat/>
    <w:uiPriority w:val="99"/>
    <w:rPr>
      <w:b/>
    </w:rPr>
  </w:style>
  <w:style w:type="character" w:styleId="17">
    <w:name w:val="Hyperlink"/>
    <w:basedOn w:val="15"/>
    <w:unhideWhenUsed/>
    <w:qFormat/>
    <w:uiPriority w:val="99"/>
    <w:rPr>
      <w:color w:val="0000FF" w:themeColor="hyperlink"/>
      <w:u w:val="single"/>
      <w14:textFill>
        <w14:solidFill>
          <w14:schemeClr w14:val="hlink"/>
        </w14:solidFill>
      </w14:textFill>
    </w:rPr>
  </w:style>
  <w:style w:type="paragraph" w:customStyle="1" w:styleId="18">
    <w:name w:val="标题 5（有编号）（绿盟科技）"/>
    <w:next w:val="1"/>
    <w:qFormat/>
    <w:uiPriority w:val="99"/>
    <w:pPr>
      <w:keepNext/>
      <w:keepLines/>
      <w:widowControl w:val="0"/>
      <w:spacing w:before="280" w:after="156" w:line="377" w:lineRule="auto"/>
      <w:jc w:val="left"/>
      <w:outlineLvl w:val="4"/>
    </w:pPr>
    <w:rPr>
      <w:rFonts w:ascii="Arial" w:hAnsi="Arial" w:eastAsia="黑体" w:cs="Times New Roman"/>
      <w:b/>
      <w:kern w:val="2"/>
      <w:sz w:val="24"/>
      <w:szCs w:val="28"/>
      <w:lang w:val="en-US" w:eastAsia="zh-CN" w:bidi="ar-SA"/>
    </w:rPr>
  </w:style>
  <w:style w:type="character" w:customStyle="1" w:styleId="19">
    <w:name w:val="Header Char"/>
    <w:basedOn w:val="15"/>
    <w:semiHidden/>
    <w:qFormat/>
    <w:uiPriority w:val="99"/>
    <w:rPr>
      <w:rFonts w:ascii="Times New Roman" w:hAnsi="Times New Roman"/>
      <w:sz w:val="18"/>
      <w:szCs w:val="18"/>
    </w:rPr>
  </w:style>
  <w:style w:type="character" w:customStyle="1" w:styleId="20">
    <w:name w:val="页眉 Char"/>
    <w:link w:val="10"/>
    <w:semiHidden/>
    <w:qFormat/>
    <w:locked/>
    <w:uiPriority w:val="99"/>
    <w:rPr>
      <w:sz w:val="18"/>
    </w:rPr>
  </w:style>
  <w:style w:type="character" w:customStyle="1" w:styleId="21">
    <w:name w:val="Footer Char"/>
    <w:basedOn w:val="15"/>
    <w:semiHidden/>
    <w:qFormat/>
    <w:uiPriority w:val="99"/>
    <w:rPr>
      <w:rFonts w:ascii="Times New Roman" w:hAnsi="Times New Roman"/>
      <w:sz w:val="18"/>
      <w:szCs w:val="18"/>
    </w:rPr>
  </w:style>
  <w:style w:type="character" w:customStyle="1" w:styleId="22">
    <w:name w:val="页脚 Char"/>
    <w:link w:val="9"/>
    <w:qFormat/>
    <w:locked/>
    <w:uiPriority w:val="99"/>
    <w:rPr>
      <w:sz w:val="18"/>
    </w:rPr>
  </w:style>
  <w:style w:type="character" w:customStyle="1" w:styleId="23">
    <w:name w:val="Body Text Char"/>
    <w:basedOn w:val="15"/>
    <w:semiHidden/>
    <w:qFormat/>
    <w:uiPriority w:val="99"/>
    <w:rPr>
      <w:rFonts w:ascii="Times New Roman" w:hAnsi="Times New Roman"/>
      <w:szCs w:val="24"/>
    </w:rPr>
  </w:style>
  <w:style w:type="character" w:customStyle="1" w:styleId="24">
    <w:name w:val="正文文本 Char"/>
    <w:link w:val="5"/>
    <w:qFormat/>
    <w:locked/>
    <w:uiPriority w:val="99"/>
    <w:rPr>
      <w:rFonts w:ascii="仿宋_GB2312" w:hAnsi="Times New Roman" w:eastAsia="仿宋_GB2312"/>
      <w:sz w:val="24"/>
    </w:rPr>
  </w:style>
  <w:style w:type="paragraph" w:customStyle="1" w:styleId="25">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6">
    <w:name w:val="List Paragraph"/>
    <w:basedOn w:val="1"/>
    <w:qFormat/>
    <w:uiPriority w:val="34"/>
    <w:pPr>
      <w:ind w:firstLine="420" w:firstLineChars="200"/>
    </w:pPr>
  </w:style>
  <w:style w:type="character" w:customStyle="1" w:styleId="27">
    <w:name w:val="标题 1 Char"/>
    <w:basedOn w:val="15"/>
    <w:link w:val="2"/>
    <w:qFormat/>
    <w:uiPriority w:val="9"/>
    <w:rPr>
      <w:rFonts w:ascii="Times New Roman" w:hAnsi="Times New Roman"/>
      <w:b/>
      <w:bCs/>
      <w:kern w:val="44"/>
      <w:sz w:val="44"/>
      <w:szCs w:val="44"/>
    </w:rPr>
  </w:style>
  <w:style w:type="character" w:customStyle="1" w:styleId="28">
    <w:name w:val="标题 2 Char"/>
    <w:basedOn w:val="15"/>
    <w:link w:val="3"/>
    <w:qFormat/>
    <w:uiPriority w:val="9"/>
    <w:rPr>
      <w:rFonts w:asciiTheme="majorHAnsi" w:hAnsiTheme="majorHAnsi" w:eastAsiaTheme="majorEastAsia" w:cstheme="majorBidi"/>
      <w:b/>
      <w:bCs/>
      <w:kern w:val="2"/>
      <w:sz w:val="32"/>
      <w:szCs w:val="32"/>
    </w:rPr>
  </w:style>
  <w:style w:type="paragraph" w:customStyle="1" w:styleId="29">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0">
    <w:name w:val="批注框文本 Char"/>
    <w:basedOn w:val="15"/>
    <w:link w:val="8"/>
    <w:semiHidden/>
    <w:qFormat/>
    <w:uiPriority w:val="99"/>
    <w:rPr>
      <w:rFonts w:ascii="Times New Roman" w:hAnsi="Times New Roman"/>
      <w:kern w:val="2"/>
      <w:sz w:val="18"/>
      <w:szCs w:val="18"/>
    </w:rPr>
  </w:style>
  <w:style w:type="character" w:customStyle="1" w:styleId="31">
    <w:name w:val="标题 3 Char"/>
    <w:basedOn w:val="15"/>
    <w:link w:val="4"/>
    <w:qFormat/>
    <w:uiPriority w:val="9"/>
    <w:rPr>
      <w:rFonts w:ascii="Times New Roman" w:hAnsi="Times New Roman"/>
      <w:b/>
      <w:bCs/>
      <w:kern w:val="2"/>
      <w:sz w:val="32"/>
      <w:szCs w:val="32"/>
    </w:rPr>
  </w:style>
  <w:style w:type="paragraph" w:customStyle="1" w:styleId="32">
    <w:name w:val="TOC Heading"/>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3">
    <w:name w:val="四号正文"/>
    <w:basedOn w:val="1"/>
    <w:qFormat/>
    <w:uiPriority w:val="0"/>
    <w:pPr>
      <w:spacing w:line="360" w:lineRule="auto"/>
    </w:pPr>
    <w:rPr>
      <w:rFonts w:ascii="??" w:hAnsi="??" w:eastAsia="宋体"/>
      <w:color w:val="000000"/>
      <w:kern w:val="0"/>
      <w:sz w:val="28"/>
      <w:szCs w:val="21"/>
      <w:lang w:val="zh-CN" w:eastAsia="zh-CN"/>
    </w:rPr>
  </w:style>
  <w:style w:type="paragraph" w:customStyle="1" w:styleId="34">
    <w:name w:val="WPSOffice手动目录 1"/>
    <w:qFormat/>
    <w:uiPriority w:val="0"/>
    <w:pPr>
      <w:ind w:leftChars="0"/>
    </w:pPr>
    <w:rPr>
      <w:rFonts w:asciiTheme="minorHAnsi" w:hAnsiTheme="minorHAnsi" w:eastAsiaTheme="minorEastAsia" w:cstheme="minorBidi"/>
      <w:sz w:val="20"/>
      <w:szCs w:val="20"/>
    </w:rPr>
  </w:style>
  <w:style w:type="paragraph" w:customStyle="1" w:styleId="35">
    <w:name w:val="WPSOffice手动目录 2"/>
    <w:qFormat/>
    <w:uiPriority w:val="0"/>
    <w:pPr>
      <w:ind w:leftChars="200"/>
    </w:pPr>
    <w:rPr>
      <w:rFonts w:asciiTheme="minorHAnsi" w:hAnsiTheme="minorHAnsi" w:eastAsiaTheme="minorEastAsia" w:cstheme="minorBidi"/>
      <w:sz w:val="20"/>
      <w:szCs w:val="20"/>
    </w:rPr>
  </w:style>
  <w:style w:type="table" w:customStyle="1" w:styleId="3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chart" Target="charts/chart7.xml"/><Relationship Id="rId17" Type="http://schemas.openxmlformats.org/officeDocument/2006/relationships/chart" Target="charts/chart6.xml"/><Relationship Id="rId16" Type="http://schemas.openxmlformats.org/officeDocument/2006/relationships/chart" Target="charts/chart5.xml"/><Relationship Id="rId15" Type="http://schemas.openxmlformats.org/officeDocument/2006/relationships/chart" Target="charts/chart4.xml"/><Relationship Id="rId14" Type="http://schemas.openxmlformats.org/officeDocument/2006/relationships/chart" Target="charts/chart3.xml"/><Relationship Id="rId13" Type="http://schemas.openxmlformats.org/officeDocument/2006/relationships/chart" Target="charts/chart2.xml"/><Relationship Id="rId12" Type="http://schemas.openxmlformats.org/officeDocument/2006/relationships/chart" Target="charts/chart1.xml"/><Relationship Id="rId11" Type="http://schemas.openxmlformats.org/officeDocument/2006/relationships/theme" Target="theme/theme1.xml"/><Relationship Id="rId10" Type="http://schemas.openxmlformats.org/officeDocument/2006/relationships/footer" Target="footer7.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oleObject" Target="&#24037;&#20316;&#31807;1"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oleObject" Target="&#24037;&#20316;&#31807;1"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24037;&#20316;&#31807;1"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24037;&#20316;&#31807;1"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24037;&#20316;&#31807;1" TargetMode="External"/></Relationships>
</file>

<file path=word/charts/_rels/chart6.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24037;&#20316;&#31807;1" TargetMode="External"/></Relationships>
</file>

<file path=word/charts/_rels/chart7.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24037;&#20316;&#31807;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dk1">
                    <a:lumMod val="75000"/>
                    <a:lumOff val="25000"/>
                  </a:schemeClr>
                </a:solidFill>
                <a:latin typeface="+mn-lt"/>
                <a:ea typeface="+mn-ea"/>
                <a:cs typeface="+mn-cs"/>
              </a:defRPr>
            </a:pPr>
            <a:r>
              <a:t>图1：收、支决算总计变动情况图</a:t>
            </a:r>
          </a:p>
        </c:rich>
      </c:tx>
      <c:layout/>
      <c:overlay val="0"/>
      <c:spPr>
        <a:noFill/>
        <a:ln>
          <a:noFill/>
        </a:ln>
        <a:effectLst/>
      </c:spPr>
    </c:title>
    <c:autoTitleDeleted val="0"/>
    <c:plotArea>
      <c:layout/>
      <c:barChart>
        <c:barDir val="col"/>
        <c:grouping val="clustered"/>
        <c:varyColors val="0"/>
        <c:ser>
          <c:idx val="0"/>
          <c:order val="0"/>
          <c:tx>
            <c:strRef>
              <c:f>"金额"</c:f>
              <c:strCache>
                <c:ptCount val="1"/>
                <c:pt idx="0">
                  <c:v>金额</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[工作簿1]Sheet1!$H$3:$I$3</c:f>
              <c:numCache>
                <c:formatCode>General</c:formatCode>
                <c:ptCount val="2"/>
                <c:pt idx="0">
                  <c:v>2021</c:v>
                </c:pt>
                <c:pt idx="1">
                  <c:v>2022</c:v>
                </c:pt>
              </c:numCache>
            </c:numRef>
          </c:cat>
          <c:val>
            <c:numRef>
              <c:f>[工作簿1]Sheet1!$H$4:$I$4</c:f>
              <c:numCache>
                <c:formatCode>General</c:formatCode>
                <c:ptCount val="2"/>
                <c:pt idx="0">
                  <c:v>460.66</c:v>
                </c:pt>
                <c:pt idx="1">
                  <c:v>473.53</c:v>
                </c:pt>
              </c:numCache>
            </c:numRef>
          </c:val>
        </c:ser>
        <c:dLbls>
          <c:showLegendKey val="0"/>
          <c:showVal val="1"/>
          <c:showCatName val="0"/>
          <c:showSerName val="0"/>
          <c:showPercent val="0"/>
          <c:showBubbleSize val="0"/>
        </c:dLbls>
        <c:gapWidth val="246"/>
        <c:overlap val="-28"/>
        <c:axId val="785472669"/>
        <c:axId val="152812917"/>
        <c:extLst>
          <c:ext xmlns:c15="http://schemas.microsoft.com/office/drawing/2012/chart" uri="{02D57815-91ED-43cb-92C2-25804820EDAC}">
            <c15:filteredBarSeries>
              <c15:ser>
                <c:idx val="1"/>
                <c:order val="1"/>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extLst>
                      <c:ext uri="{02D57815-91ED-43cb-92C2-25804820EDAC}">
                        <c15:fullRef>
                          <c15:sqref/>
                        </c15:fullRef>
                        <c15:formulaRef>
                          <c15:sqref>[工作簿1]Sheet1!$H$3:$I$3</c15:sqref>
                        </c15:formulaRef>
                      </c:ext>
                    </c:extLst>
                    <c:numCache>
                      <c:formatCode>General</c:formatCode>
                      <c:ptCount val="2"/>
                      <c:pt idx="0">
                        <c:v>2021</c:v>
                      </c:pt>
                      <c:pt idx="1">
                        <c:v>2022</c:v>
                      </c:pt>
                    </c:numCache>
                  </c:numRef>
                </c:cat>
                <c:val>
                  <c:numRef>
                    <c:extLst>
                      <c:ext uri="{02D57815-91ED-43cb-92C2-25804820EDAC}">
                        <c15:formulaRef>
                          <c15:sqref>{460.66,473.53}</c15:sqref>
                        </c15:formulaRef>
                      </c:ext>
                    </c:extLst>
                    <c:numCache>
                      <c:formatCode>General</c:formatCode>
                      <c:ptCount val="2"/>
                      <c:pt idx="0">
                        <c:v>460.66</c:v>
                      </c:pt>
                      <c:pt idx="1">
                        <c:v>473.53</c:v>
                      </c:pt>
                    </c:numCache>
                  </c:numRef>
                </c:val>
              </c15:ser>
            </c15:filteredBarSeries>
          </c:ext>
        </c:extLst>
      </c:barChart>
      <c:catAx>
        <c:axId val="785472669"/>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52812917"/>
        <c:crosses val="autoZero"/>
        <c:auto val="1"/>
        <c:lblAlgn val="ctr"/>
        <c:lblOffset val="100"/>
        <c:noMultiLvlLbl val="0"/>
      </c:catAx>
      <c:valAx>
        <c:axId val="152812917"/>
        <c:scaling>
          <c:orientation val="minMax"/>
        </c:scaling>
        <c:delete val="0"/>
        <c:axPos val="l"/>
        <c:majorGridlines>
          <c:spPr>
            <a:ln w="9525" cap="flat" cmpd="sng" algn="ctr">
              <a:solidFill>
                <a:schemeClr val="bg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85472669"/>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dk1">
                    <a:lumMod val="75000"/>
                    <a:lumOff val="25000"/>
                  </a:schemeClr>
                </a:solidFill>
                <a:latin typeface="+mn-lt"/>
                <a:ea typeface="+mn-ea"/>
                <a:cs typeface="+mn-cs"/>
              </a:defRPr>
            </a:pPr>
            <a:r>
              <a:t>图2：收入决算结构图</a:t>
            </a:r>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a:solidFill>
                  <a:schemeClr val="bg1"/>
                </a:solid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[工作簿1]Sheet1!$M$7</c:f>
              <c:numCache>
                <c:formatCode>General</c:formatCode>
                <c:ptCount val="1"/>
                <c:pt idx="0">
                  <c:v>2022</c:v>
                </c:pt>
              </c:numCache>
            </c:numRef>
          </c:cat>
          <c:val>
            <c:numRef>
              <c:f>[工作簿1]Sheet1!$M$8</c:f>
              <c:numCache>
                <c:formatCode>General</c:formatCode>
                <c:ptCount val="1"/>
                <c:pt idx="0">
                  <c:v>473.53</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dk1">
                    <a:lumMod val="75000"/>
                    <a:lumOff val="25000"/>
                  </a:schemeClr>
                </a:solidFill>
                <a:latin typeface="+mn-lt"/>
                <a:ea typeface="+mn-ea"/>
                <a:cs typeface="+mn-cs"/>
              </a:defRPr>
            </a:pPr>
            <a:r>
              <a:t>图3：支出决算结构图</a:t>
            </a:r>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[工作簿1]Sheet1!$L$13:$M$13</c:f>
              <c:strCache>
                <c:ptCount val="2"/>
                <c:pt idx="0">
                  <c:v>基本支出</c:v>
                </c:pt>
                <c:pt idx="1">
                  <c:v>项目支出</c:v>
                </c:pt>
              </c:strCache>
            </c:strRef>
          </c:cat>
          <c:val>
            <c:numRef>
              <c:f>[工作簿1]Sheet1!$L$14:$M$14</c:f>
              <c:numCache>
                <c:formatCode>General</c:formatCode>
                <c:ptCount val="2"/>
                <c:pt idx="0">
                  <c:v>353.22</c:v>
                </c:pt>
                <c:pt idx="1">
                  <c:v>120.31</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dk1">
                    <a:lumMod val="75000"/>
                    <a:lumOff val="25000"/>
                  </a:schemeClr>
                </a:solidFill>
                <a:latin typeface="+mn-lt"/>
                <a:ea typeface="+mn-ea"/>
                <a:cs typeface="+mn-cs"/>
              </a:defRPr>
            </a:pPr>
            <a:r>
              <a:t>图4：财政拨款收、支决算总计变动情况</a:t>
            </a:r>
          </a:p>
        </c:rich>
      </c:tx>
      <c:layout/>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[工作簿1]Sheet1!$H$3:$I$3</c:f>
              <c:numCache>
                <c:ptCount val="0"/>
              </c:numCache>
            </c:numRef>
          </c:cat>
          <c:val>
            <c:numRef>
              <c:f>[工作簿1]Sheet1!$H$4:$I$4</c:f>
              <c:numCache>
                <c:formatCode>General</c:formatCode>
                <c:ptCount val="2"/>
                <c:pt idx="0">
                  <c:v>460.66</c:v>
                </c:pt>
                <c:pt idx="1">
                  <c:v>473.53</c:v>
                </c:pt>
              </c:numCache>
            </c:numRef>
          </c:val>
        </c:ser>
        <c:dLbls>
          <c:showLegendKey val="0"/>
          <c:showVal val="1"/>
          <c:showCatName val="0"/>
          <c:showSerName val="0"/>
          <c:showPercent val="0"/>
          <c:showBubbleSize val="0"/>
        </c:dLbls>
        <c:gapWidth val="246"/>
        <c:overlap val="-28"/>
        <c:axId val="123248435"/>
        <c:axId val="446155355"/>
      </c:barChart>
      <c:catAx>
        <c:axId val="123248435"/>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46155355"/>
        <c:crosses val="autoZero"/>
        <c:auto val="1"/>
        <c:lblAlgn val="ctr"/>
        <c:lblOffset val="100"/>
        <c:noMultiLvlLbl val="0"/>
      </c:catAx>
      <c:valAx>
        <c:axId val="446155355"/>
        <c:scaling>
          <c:orientation val="minMax"/>
        </c:scaling>
        <c:delete val="0"/>
        <c:axPos val="l"/>
        <c:majorGridlines>
          <c:spPr>
            <a:ln w="9525" cap="flat" cmpd="sng" algn="ctr">
              <a:solidFill>
                <a:schemeClr val="bg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23248435"/>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dk1">
                    <a:lumMod val="75000"/>
                    <a:lumOff val="25000"/>
                  </a:schemeClr>
                </a:solidFill>
                <a:latin typeface="+mn-lt"/>
                <a:ea typeface="+mn-ea"/>
                <a:cs typeface="+mn-cs"/>
              </a:defRPr>
            </a:pPr>
            <a:r>
              <a:t>图5：一般公共预算财政拨款支出决算变动情况</a:t>
            </a:r>
          </a:p>
        </c:rich>
      </c:tx>
      <c:layout/>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[工作簿1]Sheet1!$H$3:$I$3</c:f>
              <c:strCache>
                <c:ptCount val="2"/>
                <c:pt idx="0">
                  <c:v>2021年</c:v>
                </c:pt>
                <c:pt idx="1">
                  <c:v>2022年</c:v>
                </c:pt>
              </c:strCache>
            </c:strRef>
          </c:cat>
          <c:val>
            <c:numRef>
              <c:f>[工作簿1]Sheet1!$H$4:$I$4</c:f>
              <c:numCache>
                <c:formatCode>General</c:formatCode>
                <c:ptCount val="2"/>
                <c:pt idx="0">
                  <c:v>460.66</c:v>
                </c:pt>
                <c:pt idx="1">
                  <c:v>473.53</c:v>
                </c:pt>
              </c:numCache>
            </c:numRef>
          </c:val>
        </c:ser>
        <c:dLbls>
          <c:showLegendKey val="0"/>
          <c:showVal val="1"/>
          <c:showCatName val="0"/>
          <c:showSerName val="0"/>
          <c:showPercent val="0"/>
          <c:showBubbleSize val="0"/>
        </c:dLbls>
        <c:gapWidth val="246"/>
        <c:overlap val="-28"/>
        <c:axId val="123248435"/>
        <c:axId val="446155355"/>
      </c:barChart>
      <c:catAx>
        <c:axId val="123248435"/>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46155355"/>
        <c:crosses val="autoZero"/>
        <c:auto val="1"/>
        <c:lblAlgn val="ctr"/>
        <c:lblOffset val="100"/>
        <c:noMultiLvlLbl val="0"/>
      </c:catAx>
      <c:valAx>
        <c:axId val="446155355"/>
        <c:scaling>
          <c:orientation val="minMax"/>
        </c:scaling>
        <c:delete val="0"/>
        <c:axPos val="l"/>
        <c:majorGridlines>
          <c:spPr>
            <a:ln w="9525" cap="flat" cmpd="sng" algn="ctr">
              <a:solidFill>
                <a:schemeClr val="bg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23248435"/>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dk1">
                    <a:lumMod val="75000"/>
                    <a:lumOff val="25000"/>
                  </a:schemeClr>
                </a:solidFill>
                <a:latin typeface="+mn-lt"/>
                <a:ea typeface="+mn-ea"/>
                <a:cs typeface="+mn-cs"/>
              </a:defRPr>
            </a:pPr>
            <a:r>
              <a:t>图6：一般公共预算财政拨款支出决算结构</a:t>
            </a:r>
          </a:p>
        </c:rich>
      </c:tx>
      <c:layout/>
      <c:overlay val="0"/>
      <c:spPr>
        <a:noFill/>
        <a:ln>
          <a:noFill/>
        </a:ln>
        <a:effectLst/>
      </c:spPr>
    </c:title>
    <c:autoTitleDeleted val="0"/>
    <c:plotArea>
      <c:layout>
        <c:manualLayout>
          <c:layoutTarget val="inner"/>
          <c:xMode val="edge"/>
          <c:yMode val="edge"/>
          <c:x val="0.358015789473684"/>
          <c:y val="0.275444444444444"/>
          <c:w val="0.333705263157895"/>
          <c:h val="0.587074074074074"/>
        </c:manualLayout>
      </c:layout>
      <c:pieChart>
        <c:varyColors val="1"/>
        <c:ser>
          <c:idx val="0"/>
          <c:order val="0"/>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[工作簿1]Sheet1!$I$19:$K$19</c:f>
              <c:strCache>
                <c:ptCount val="3"/>
                <c:pt idx="0">
                  <c:v>社会保障和就业支出</c:v>
                </c:pt>
                <c:pt idx="1">
                  <c:v>卫生健康支出</c:v>
                </c:pt>
                <c:pt idx="2">
                  <c:v>住房保障支出</c:v>
                </c:pt>
              </c:strCache>
            </c:strRef>
          </c:cat>
          <c:val>
            <c:numRef>
              <c:f>[工作簿1]Sheet1!$I$20:$K$20</c:f>
              <c:numCache>
                <c:formatCode>General</c:formatCode>
                <c:ptCount val="3"/>
                <c:pt idx="0">
                  <c:v>318.9</c:v>
                </c:pt>
                <c:pt idx="1">
                  <c:v>135.08</c:v>
                </c:pt>
                <c:pt idx="2">
                  <c:v>19.55</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dk1">
                    <a:lumMod val="75000"/>
                    <a:lumOff val="25000"/>
                  </a:schemeClr>
                </a:solidFill>
                <a:latin typeface="+mn-lt"/>
                <a:ea typeface="+mn-ea"/>
                <a:cs typeface="+mn-cs"/>
              </a:defRPr>
            </a:pPr>
            <a:r>
              <a:t>图7：“三公”经费财政拨款支出结构</a:t>
            </a:r>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[工作簿1]Sheet1!$A$1:$C$1</c:f>
              <c:strCache>
                <c:ptCount val="3"/>
                <c:pt idx="0">
                  <c:v>公务接待费支出</c:v>
                </c:pt>
                <c:pt idx="1">
                  <c:v>因公出国（境）费支出</c:v>
                </c:pt>
                <c:pt idx="2">
                  <c:v>公务用车购置及运行维护费支出</c:v>
                </c:pt>
              </c:strCache>
            </c:strRef>
          </c:cat>
          <c:val>
            <c:numRef>
              <c:f>[工作簿1]Sheet1!$A$2:$C$2</c:f>
              <c:numCache>
                <c:formatCode>General</c:formatCode>
                <c:ptCount val="3"/>
                <c:pt idx="0">
                  <c:v>0.32</c:v>
                </c:pt>
                <c:pt idx="1">
                  <c:v>0</c:v>
                </c:pt>
                <c:pt idx="2">
                  <c:v>0</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24</Pages>
  <Words>1299</Words>
  <Characters>7410</Characters>
  <Lines>61</Lines>
  <Paragraphs>17</Paragraphs>
  <TotalTime>2</TotalTime>
  <ScaleCrop>false</ScaleCrop>
  <LinksUpToDate>false</LinksUpToDate>
  <CharactersWithSpaces>8692</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你左，，我右</cp:lastModifiedBy>
  <cp:lastPrinted>2023-07-31T02:35:00Z</cp:lastPrinted>
  <dcterms:modified xsi:type="dcterms:W3CDTF">2023-09-27T04:01:11Z</dcterms:modified>
  <dc:title>四川省***</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613A0C33FFFB4C11886AC04EA9C5A07D_13</vt:lpwstr>
  </property>
</Properties>
</file>