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规划设计方案须包含内容</w:t>
      </w:r>
    </w:p>
    <w:p>
      <w:pPr>
        <w:jc w:val="center"/>
        <w:rPr>
          <w:rFonts w:hint="eastAsia"/>
          <w:sz w:val="44"/>
          <w:szCs w:val="44"/>
          <w:lang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1.单位设计资质；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用地规划设计条件</w:t>
      </w:r>
      <w:r>
        <w:rPr>
          <w:rFonts w:hint="eastAsia"/>
          <w:sz w:val="32"/>
          <w:szCs w:val="32"/>
          <w:lang w:val="en-US" w:eastAsia="zh-CN"/>
        </w:rPr>
        <w:t>；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3.区位分析；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4.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总平面布置图</w:t>
      </w:r>
      <w:r>
        <w:rPr>
          <w:rFonts w:hint="eastAsia"/>
          <w:sz w:val="32"/>
          <w:szCs w:val="32"/>
          <w:lang w:val="en-US" w:eastAsia="zh-CN"/>
        </w:rPr>
        <w:t>、经济技术指标、鸟瞰图、透视图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5.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竖向分析</w:t>
      </w:r>
      <w:r>
        <w:rPr>
          <w:rFonts w:hint="eastAsia"/>
          <w:sz w:val="32"/>
          <w:szCs w:val="32"/>
          <w:lang w:val="en-US" w:eastAsia="zh-CN"/>
        </w:rPr>
        <w:t>、交通分析、雨污管网分析</w:t>
      </w:r>
      <w:bookmarkStart w:id="0" w:name="_GoBack"/>
      <w:bookmarkEnd w:id="0"/>
    </w:p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6.技术部分：</w:t>
      </w:r>
      <w:r>
        <w:rPr>
          <w:rFonts w:hint="eastAsia"/>
          <w:b/>
          <w:bCs/>
          <w:color w:val="0000FF"/>
          <w:sz w:val="32"/>
          <w:szCs w:val="32"/>
          <w:lang w:val="en-US" w:eastAsia="zh-CN"/>
        </w:rPr>
        <w:t>建筑立面及标高、建筑立面装饰材料</w:t>
      </w:r>
    </w:p>
    <w:p>
      <w:pPr>
        <w:jc w:val="center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B3620"/>
    <w:rsid w:val="602B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fairox</cp:lastModifiedBy>
  <cp:lastPrinted>2019-08-22T07:17:48Z</cp:lastPrinted>
  <dcterms:modified xsi:type="dcterms:W3CDTF">2019-08-22T07:18:33Z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