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AA132">
      <w:pPr>
        <w:spacing w:line="600" w:lineRule="exact"/>
        <w:jc w:val="center"/>
        <w:outlineLvl w:val="0"/>
        <w:rPr>
          <w:rFonts w:ascii="方正小标宋简体" w:hAnsi="宋体" w:eastAsia="方正小标宋简体"/>
          <w:color w:val="000000"/>
          <w:sz w:val="72"/>
          <w:szCs w:val="72"/>
        </w:rPr>
      </w:pPr>
      <w:bookmarkStart w:id="0" w:name="_Toc15306267"/>
      <w:bookmarkStart w:id="76" w:name="_GoBack"/>
      <w:bookmarkEnd w:id="76"/>
    </w:p>
    <w:p w14:paraId="3211CDEB">
      <w:pPr>
        <w:spacing w:line="600" w:lineRule="exact"/>
        <w:jc w:val="center"/>
        <w:outlineLvl w:val="0"/>
        <w:rPr>
          <w:rFonts w:ascii="方正小标宋简体" w:hAnsi="宋体" w:eastAsia="方正小标宋简体"/>
          <w:color w:val="000000"/>
          <w:sz w:val="72"/>
          <w:szCs w:val="72"/>
        </w:rPr>
      </w:pPr>
    </w:p>
    <w:p w14:paraId="64DD6679">
      <w:pPr>
        <w:spacing w:line="600" w:lineRule="exact"/>
        <w:jc w:val="center"/>
        <w:outlineLvl w:val="0"/>
        <w:rPr>
          <w:rFonts w:ascii="方正小标宋简体" w:hAnsi="宋体" w:eastAsia="方正小标宋简体"/>
          <w:color w:val="000000"/>
          <w:sz w:val="72"/>
          <w:szCs w:val="72"/>
        </w:rPr>
      </w:pPr>
    </w:p>
    <w:p w14:paraId="3B2CA469">
      <w:pPr>
        <w:spacing w:line="600" w:lineRule="exact"/>
        <w:jc w:val="center"/>
        <w:outlineLvl w:val="0"/>
        <w:rPr>
          <w:rFonts w:ascii="方正小标宋简体" w:hAnsi="宋体" w:eastAsia="方正小标宋简体"/>
          <w:color w:val="000000"/>
          <w:sz w:val="72"/>
          <w:szCs w:val="72"/>
        </w:rPr>
      </w:pPr>
    </w:p>
    <w:p w14:paraId="7B662E3B">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7193"/>
      <w:bookmarkStart w:id="4" w:name="_Toc15378441"/>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4D74420B">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8442"/>
      <w:bookmarkStart w:id="8" w:name="_Toc15377194"/>
      <w:bookmarkStart w:id="9" w:name="_Toc1537742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广元市昭化</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lang w:eastAsia="zh-CN"/>
        </w:rPr>
        <w:t>区委组织部</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67D5DED2">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12B550F9">
      <w:pPr>
        <w:widowControl/>
        <w:jc w:val="center"/>
        <w:rPr>
          <w:rFonts w:ascii="黑体" w:hAnsi="黑体" w:eastAsia="黑体" w:cstheme="minorBidi"/>
          <w:sz w:val="28"/>
          <w:szCs w:val="28"/>
        </w:rPr>
      </w:pPr>
    </w:p>
    <w:p w14:paraId="2DDBD65C">
      <w:pPr>
        <w:pStyle w:val="12"/>
        <w:adjustRightInd w:val="0"/>
        <w:snapToGrid w:val="0"/>
        <w:spacing w:before="0" w:line="440" w:lineRule="exact"/>
        <w:jc w:val="left"/>
        <w:rPr>
          <w:rFonts w:hint="eastAsia" w:ascii="仿宋" w:hAnsi="仿宋" w:eastAsia="仿宋" w:cs="仿宋"/>
          <w:sz w:val="32"/>
          <w:szCs w:val="32"/>
        </w:rPr>
      </w:pPr>
      <w:r>
        <w:rPr>
          <w:rFonts w:hint="eastAsia" w:ascii="仿宋" w:hAnsi="仿宋" w:eastAsia="仿宋" w:cs="仿宋"/>
          <w:sz w:val="32"/>
          <w:szCs w:val="32"/>
        </w:rPr>
        <w:t>第一部分 部门概况</w:t>
      </w:r>
    </w:p>
    <w:p w14:paraId="5DE097E8">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一、基本职能及主要工作</w:t>
      </w:r>
    </w:p>
    <w:p w14:paraId="6B0B414C">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二、机构设置</w:t>
      </w:r>
    </w:p>
    <w:p w14:paraId="2B58A499">
      <w:pPr>
        <w:pStyle w:val="12"/>
        <w:adjustRightInd w:val="0"/>
        <w:snapToGrid w:val="0"/>
        <w:spacing w:before="0" w:line="440" w:lineRule="exact"/>
        <w:jc w:val="left"/>
        <w:rPr>
          <w:rFonts w:hint="eastAsia" w:ascii="仿宋" w:hAnsi="仿宋" w:eastAsia="仿宋" w:cs="仿宋"/>
          <w:sz w:val="32"/>
          <w:szCs w:val="32"/>
        </w:rPr>
      </w:pPr>
      <w:r>
        <w:rPr>
          <w:rFonts w:hint="eastAsia" w:ascii="仿宋" w:hAnsi="仿宋" w:eastAsia="仿宋" w:cs="仿宋"/>
          <w:sz w:val="32"/>
          <w:szCs w:val="32"/>
        </w:rPr>
        <w:t>第二部分</w:t>
      </w:r>
      <w:r>
        <w:rPr>
          <w:rFonts w:hint="eastAsia" w:cs="仿宋"/>
          <w:sz w:val="32"/>
          <w:szCs w:val="32"/>
          <w:lang w:val="en-US" w:eastAsia="zh-CN"/>
        </w:rPr>
        <w:t xml:space="preserve"> </w:t>
      </w:r>
      <w:r>
        <w:rPr>
          <w:rFonts w:hint="eastAsia" w:ascii="仿宋" w:hAnsi="仿宋" w:eastAsia="仿宋" w:cs="仿宋"/>
          <w:sz w:val="32"/>
          <w:szCs w:val="32"/>
        </w:rPr>
        <w:t>部门决算情况说明</w:t>
      </w:r>
    </w:p>
    <w:p w14:paraId="6F960437">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一、收入支出决算总体情况说明</w:t>
      </w:r>
    </w:p>
    <w:p w14:paraId="5243C812">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二、收入决算情况说明</w:t>
      </w:r>
    </w:p>
    <w:p w14:paraId="56667DFA">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三、支出决算情况说明</w:t>
      </w:r>
    </w:p>
    <w:p w14:paraId="3A02A00D">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14:paraId="3B579090">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14:paraId="77700B06">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w:t>
      </w:r>
    </w:p>
    <w:p w14:paraId="1D875C8C">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七、“三公”经费财政拨款支出决算情况说明</w:t>
      </w:r>
    </w:p>
    <w:p w14:paraId="3C21155B">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八、政府性基金预算支出决算情况说明</w:t>
      </w:r>
    </w:p>
    <w:p w14:paraId="4F3F3923">
      <w:pPr>
        <w:pStyle w:val="13"/>
        <w:adjustRightInd w:val="0"/>
        <w:snapToGrid w:val="0"/>
        <w:spacing w:line="440" w:lineRule="exact"/>
        <w:ind w:leftChars="0"/>
        <w:jc w:val="left"/>
        <w:rPr>
          <w:rFonts w:hint="eastAsia" w:ascii="仿宋" w:hAnsi="仿宋" w:eastAsia="仿宋" w:cs="仿宋"/>
          <w:sz w:val="32"/>
          <w:szCs w:val="32"/>
        </w:rPr>
      </w:pPr>
      <w:r>
        <w:rPr>
          <w:rFonts w:hint="eastAsia" w:ascii="仿宋" w:hAnsi="仿宋" w:eastAsia="仿宋" w:cs="仿宋"/>
          <w:sz w:val="32"/>
          <w:szCs w:val="32"/>
        </w:rPr>
        <w:t>九、 国有资本经营预算支出决算情况说明</w:t>
      </w:r>
    </w:p>
    <w:p w14:paraId="1B1CD63D">
      <w:pPr>
        <w:adjustRightInd w:val="0"/>
        <w:snapToGrid w:val="0"/>
        <w:spacing w:line="440" w:lineRule="exact"/>
        <w:ind w:firstLine="640" w:firstLineChars="200"/>
        <w:jc w:val="left"/>
        <w:rPr>
          <w:rFonts w:hint="eastAsia" w:ascii="仿宋" w:hAnsi="仿宋" w:eastAsia="仿宋" w:cs="仿宋"/>
          <w:sz w:val="32"/>
          <w:szCs w:val="32"/>
        </w:rPr>
      </w:pPr>
      <w:r>
        <w:rPr>
          <w:rStyle w:val="17"/>
          <w:rFonts w:hint="eastAsia" w:ascii="仿宋" w:hAnsi="仿宋" w:eastAsia="仿宋" w:cs="仿宋"/>
          <w:color w:val="000000" w:themeColor="text1"/>
          <w:sz w:val="32"/>
          <w:szCs w:val="32"/>
          <w:u w:val="none"/>
        </w:rPr>
        <w:t>十、</w:t>
      </w:r>
      <w:r>
        <w:rPr>
          <w:rFonts w:hint="eastAsia" w:ascii="仿宋" w:hAnsi="仿宋" w:eastAsia="仿宋" w:cs="仿宋"/>
          <w:sz w:val="32"/>
          <w:szCs w:val="32"/>
        </w:rPr>
        <w:t>其他重要事项的情况说明</w:t>
      </w:r>
      <w:r>
        <w:rPr>
          <w:rFonts w:hint="eastAsia" w:ascii="仿宋" w:hAnsi="仿宋" w:eastAsia="仿宋" w:cs="仿宋"/>
          <w:sz w:val="32"/>
          <w:szCs w:val="32"/>
        </w:rPr>
        <w:tab/>
      </w:r>
    </w:p>
    <w:p w14:paraId="423D2148">
      <w:pPr>
        <w:pStyle w:val="12"/>
        <w:adjustRightInd w:val="0"/>
        <w:snapToGrid w:val="0"/>
        <w:spacing w:before="0" w:line="440" w:lineRule="exact"/>
        <w:jc w:val="left"/>
        <w:rPr>
          <w:rFonts w:hint="eastAsia" w:ascii="仿宋" w:hAnsi="仿宋" w:eastAsia="仿宋" w:cs="仿宋"/>
          <w:sz w:val="32"/>
          <w:szCs w:val="32"/>
        </w:rPr>
      </w:pPr>
      <w:r>
        <w:rPr>
          <w:rFonts w:hint="eastAsia" w:ascii="仿宋" w:hAnsi="仿宋" w:eastAsia="仿宋" w:cs="仿宋"/>
          <w:sz w:val="32"/>
          <w:szCs w:val="32"/>
        </w:rPr>
        <w:t>第三部分 名词解释</w:t>
      </w:r>
    </w:p>
    <w:p w14:paraId="12924360">
      <w:pPr>
        <w:pStyle w:val="12"/>
        <w:adjustRightInd w:val="0"/>
        <w:snapToGrid w:val="0"/>
        <w:spacing w:before="0" w:line="440" w:lineRule="exact"/>
        <w:jc w:val="left"/>
        <w:rPr>
          <w:rFonts w:hint="eastAsia" w:ascii="仿宋" w:hAnsi="仿宋" w:eastAsia="仿宋" w:cs="仿宋"/>
          <w:sz w:val="32"/>
          <w:szCs w:val="32"/>
        </w:rPr>
      </w:pPr>
      <w:r>
        <w:rPr>
          <w:rFonts w:hint="eastAsia" w:ascii="仿宋" w:hAnsi="仿宋" w:eastAsia="仿宋" w:cs="仿宋"/>
          <w:sz w:val="32"/>
          <w:szCs w:val="32"/>
        </w:rPr>
        <w:t>第四部分 附件</w:t>
      </w:r>
    </w:p>
    <w:p w14:paraId="248B6602">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附件1</w:t>
      </w:r>
    </w:p>
    <w:p w14:paraId="1B881B10">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附件2</w:t>
      </w:r>
    </w:p>
    <w:p w14:paraId="1DC3ACBE">
      <w:pPr>
        <w:pStyle w:val="12"/>
        <w:adjustRightInd w:val="0"/>
        <w:snapToGrid w:val="0"/>
        <w:spacing w:before="0" w:line="440" w:lineRule="exact"/>
        <w:jc w:val="left"/>
        <w:rPr>
          <w:rFonts w:hint="eastAsia" w:ascii="仿宋" w:hAnsi="仿宋" w:eastAsia="仿宋" w:cs="仿宋"/>
          <w:sz w:val="32"/>
          <w:szCs w:val="32"/>
        </w:rPr>
      </w:pPr>
      <w:r>
        <w:rPr>
          <w:rFonts w:hint="eastAsia" w:ascii="仿宋" w:hAnsi="仿宋" w:eastAsia="仿宋" w:cs="仿宋"/>
          <w:sz w:val="32"/>
          <w:szCs w:val="32"/>
        </w:rPr>
        <w:t>第五部分 附表</w:t>
      </w:r>
    </w:p>
    <w:p w14:paraId="09A00728">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一、收入支出决算总表</w:t>
      </w:r>
    </w:p>
    <w:p w14:paraId="5BE9C7F7">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二、收入决算表</w:t>
      </w:r>
    </w:p>
    <w:p w14:paraId="5B3C47EC">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三、支出决算表</w:t>
      </w:r>
    </w:p>
    <w:p w14:paraId="2ACD9225">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四、财政拨款收入支出决算总表</w:t>
      </w:r>
    </w:p>
    <w:p w14:paraId="6AACF171">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五、财政拨款支出决算明细表</w:t>
      </w:r>
    </w:p>
    <w:p w14:paraId="454EFB5D">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六、一般公共预算财政拨款支出决算表</w:t>
      </w:r>
    </w:p>
    <w:p w14:paraId="317237DF">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七、一般公共预算财政拨款支出决算明细表</w:t>
      </w:r>
    </w:p>
    <w:p w14:paraId="6A1DA664">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八、一般公共预算财政拨款基本支出决算表</w:t>
      </w:r>
    </w:p>
    <w:p w14:paraId="2D33C8AB">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九、一般公共预算财政拨款项目支出决算表</w:t>
      </w:r>
    </w:p>
    <w:p w14:paraId="52111D58">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十、一般公共预算财政拨款“三公”经费支出决算表</w:t>
      </w:r>
    </w:p>
    <w:p w14:paraId="27BFF9E2">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十一、政府性基金预算财政拨款收入支出决算表</w:t>
      </w:r>
    </w:p>
    <w:p w14:paraId="2FDAD337">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十二、政府性基金预算财政拨款“三公”经费支出决算表</w:t>
      </w:r>
    </w:p>
    <w:p w14:paraId="5915743D">
      <w:pPr>
        <w:pStyle w:val="13"/>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十三、国有资本经营预算支出决算表</w:t>
      </w:r>
    </w:p>
    <w:p w14:paraId="0FAB5A9D">
      <w:pPr>
        <w:widowControl/>
        <w:spacing w:line="440" w:lineRule="exact"/>
        <w:jc w:val="left"/>
        <w:rPr>
          <w:rFonts w:hint="eastAsia" w:ascii="仿宋" w:hAnsi="仿宋" w:eastAsia="仿宋" w:cs="仿宋"/>
          <w:bCs/>
          <w:kern w:val="44"/>
          <w:sz w:val="32"/>
          <w:szCs w:val="32"/>
        </w:rPr>
      </w:pPr>
      <w:bookmarkStart w:id="12" w:name="_Toc15396599"/>
      <w:bookmarkStart w:id="13" w:name="_Toc15377196"/>
      <w:r>
        <w:rPr>
          <w:rFonts w:hint="eastAsia" w:ascii="仿宋" w:hAnsi="仿宋" w:eastAsia="仿宋" w:cs="仿宋"/>
          <w:b/>
          <w:sz w:val="32"/>
          <w:szCs w:val="32"/>
        </w:rPr>
        <w:br w:type="page"/>
      </w:r>
    </w:p>
    <w:p w14:paraId="37CF2BB0">
      <w:pPr>
        <w:pStyle w:val="5"/>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14:paraId="43EFA9C3">
      <w:pPr>
        <w:widowControl/>
        <w:jc w:val="left"/>
        <w:rPr>
          <w:rFonts w:ascii="黑体" w:eastAsia="黑体"/>
          <w:color w:val="000000"/>
          <w:sz w:val="32"/>
          <w:szCs w:val="32"/>
        </w:rPr>
      </w:pPr>
    </w:p>
    <w:p w14:paraId="517150C5">
      <w:pPr>
        <w:pStyle w:val="6"/>
        <w:rPr>
          <w:rStyle w:val="2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14:paraId="7B9737E5">
      <w:pPr>
        <w:pStyle w:val="4"/>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rPr>
        <w:t>（一）主要职能。</w:t>
      </w:r>
      <w:r>
        <w:rPr>
          <w:rFonts w:hint="eastAsia" w:ascii="仿宋" w:hAnsi="仿宋" w:eastAsia="仿宋"/>
          <w:bCs/>
          <w:color w:val="000000"/>
          <w:sz w:val="32"/>
          <w:szCs w:val="32"/>
          <w:lang w:eastAsia="zh-CN"/>
        </w:rPr>
        <w:t>贯彻新时代党的建设总要求和新时代党的组织路线，落实区委相关决策部署。</w:t>
      </w:r>
      <w:r>
        <w:rPr>
          <w:rFonts w:hint="eastAsia" w:ascii="仿宋" w:hAnsi="仿宋" w:eastAsia="仿宋"/>
          <w:bCs/>
          <w:color w:val="000000"/>
          <w:sz w:val="32"/>
          <w:szCs w:val="32"/>
          <w:lang w:val="en-US" w:eastAsia="zh-CN"/>
        </w:rPr>
        <w:t>1、负责全区党的组织体系、组织制度建设，负责基层党组织建设规划指导和党员队伍管理，指导开展党员教育工作。2、负责全区领导班子和干部队伍建设的总体规划和管理。3.负责管理全区公务员工作。4、负责全区人才工作的指导、组织协调和督促检查。5、负责全区干部教育培训工作的指导、政策规划、组织协调和督查检查，负责区重点培训项目的策划、实施和管理。6、负责全区干部监督工作的指导和综合协调。7.归口管理区委机构编制委员会办公室，统一管理区直属机关党建和老干部工作。8.负责全区非公有制经济组织和社会组织党建工作。承担区委党建工作领导小组、区人才工作领导小组的日常工作。</w:t>
      </w:r>
    </w:p>
    <w:p w14:paraId="2058E38E">
      <w:pPr>
        <w:spacing w:line="576" w:lineRule="exact"/>
        <w:ind w:firstLine="640" w:firstLineChars="200"/>
        <w:rPr>
          <w:rFonts w:hint="eastAsia" w:ascii="仿宋" w:hAnsi="仿宋" w:eastAsia="仿宋"/>
          <w:bCs/>
          <w:color w:val="000000"/>
          <w:sz w:val="32"/>
          <w:szCs w:val="32"/>
        </w:rPr>
      </w:pPr>
      <w:bookmarkStart w:id="16" w:name="_Toc15378446"/>
      <w:bookmarkStart w:id="17"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6"/>
      <w:bookmarkEnd w:id="17"/>
    </w:p>
    <w:p w14:paraId="15CA195B">
      <w:pPr>
        <w:numPr>
          <w:ilvl w:val="0"/>
          <w:numId w:val="0"/>
        </w:numPr>
        <w:spacing w:line="576"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突出守初心担使命，扎实推进主题教育走深走实。坚持把主题教育作为一项重大政治任务，通过真学、真听、真查、真改，不断夯实思想根基，强化责任落实。深度谋划对标对表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学习教育入脑入心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调研检视落细落小</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问题整改见行见效。</w:t>
      </w:r>
    </w:p>
    <w:p w14:paraId="385F41F8">
      <w:pPr>
        <w:numPr>
          <w:ilvl w:val="0"/>
          <w:numId w:val="0"/>
        </w:numPr>
        <w:spacing w:line="576"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聚焦高素质专业化，锻造忠诚干净担当干部队伍。认真践行新时代好干部标准，强化培训提能和日常监管，着力锻造忠诚干净担当的高素质专业化干部队伍。高效率实施区级部门机构改革和乡镇行政区划调整改革，规范化开展职务与职级并行，高标准推行干部档案数字化，大力气选用优秀年轻干部，全方位淬炼干事创业本领，多举措落实严管厚爱并重。</w:t>
      </w:r>
    </w:p>
    <w:p w14:paraId="1C3B732D">
      <w:pPr>
        <w:numPr>
          <w:ilvl w:val="0"/>
          <w:numId w:val="0"/>
        </w:numPr>
        <w:spacing w:line="576"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坚持重基层强基础，全面优化基层组织体系。坚持以提升组织力为重点，健全完善党组织领导基层治理体制机制，持续提升基层党建工作科学化水平。持续做靓农民工党建品牌，统筹推进城市基层融合党建，全域提升基层治理水平，创新党员教育管理机制。</w:t>
      </w:r>
    </w:p>
    <w:p w14:paraId="213F5F2F">
      <w:pPr>
        <w:numPr>
          <w:ilvl w:val="0"/>
          <w:numId w:val="0"/>
        </w:numPr>
        <w:spacing w:line="576"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4.聚力广引才活用才，激励引导各类人才扎根一线。坚持在人才“引、育、用、留”上同时发力，激励引导广大优秀人才流向基层、扎根一线。规模化集聚人才，精准化育用人才，多元化留住人才。</w:t>
      </w:r>
    </w:p>
    <w:p w14:paraId="66C3F798">
      <w:pPr>
        <w:numPr>
          <w:ilvl w:val="0"/>
          <w:numId w:val="0"/>
        </w:numPr>
        <w:spacing w:line="576"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5.注重抓党建强引领，持续巩固提升脱贫摘帽成效。突出强烈政治担当，充分发挥组织优势，全面提升抓党建促脱贫攻坚质量。龙昭协作全面升级，集体经济多元发展，驻村帮扶有力有效。</w:t>
      </w:r>
    </w:p>
    <w:p w14:paraId="6CC1827E">
      <w:pPr>
        <w:numPr>
          <w:ilvl w:val="0"/>
          <w:numId w:val="0"/>
        </w:numPr>
        <w:spacing w:line="576"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6.盯提能力树形象，着力打造模范过硬组织部门。坚持从严治部，着力建设“四个过硬、四个表率”模范部门。强化思想政治教育，规范运行管理机制，提升专业能力水平。</w:t>
      </w:r>
    </w:p>
    <w:p w14:paraId="7B79ED34">
      <w:pPr>
        <w:pStyle w:val="6"/>
        <w:ind w:firstLine="640" w:firstLineChars="200"/>
        <w:rPr>
          <w:rStyle w:val="27"/>
          <w:b w:val="0"/>
          <w:bCs w:val="0"/>
        </w:rPr>
      </w:pPr>
      <w:bookmarkStart w:id="18" w:name="_Toc15396601"/>
      <w:bookmarkStart w:id="19" w:name="_Toc15377200"/>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18"/>
      <w:bookmarkEnd w:id="19"/>
    </w:p>
    <w:p w14:paraId="29EC14D2">
      <w:pPr>
        <w:keepNext w:val="0"/>
        <w:keepLines w:val="0"/>
        <w:pageBreakBefore w:val="0"/>
        <w:widowControl w:val="0"/>
        <w:kinsoku/>
        <w:wordWrap/>
        <w:overflowPunct/>
        <w:topLinePunct w:val="0"/>
        <w:autoSpaceDE/>
        <w:autoSpaceDN/>
        <w:bidi w:val="0"/>
        <w:spacing w:line="576" w:lineRule="exact"/>
        <w:ind w:firstLine="800" w:firstLineChars="250"/>
        <w:textAlignment w:val="auto"/>
        <w:rPr>
          <w:rFonts w:ascii="仿宋" w:hAnsi="仿宋" w:eastAsia="仿宋"/>
          <w:sz w:val="32"/>
          <w:szCs w:val="32"/>
        </w:rPr>
      </w:pPr>
      <w:r>
        <w:rPr>
          <w:rFonts w:hint="eastAsia" w:ascii="仿宋" w:hAnsi="仿宋" w:eastAsia="仿宋"/>
          <w:sz w:val="32"/>
          <w:szCs w:val="32"/>
          <w:lang w:eastAsia="zh-CN"/>
        </w:rPr>
        <w:t>区委组织部</w:t>
      </w:r>
      <w:r>
        <w:rPr>
          <w:rFonts w:hint="eastAsia" w:ascii="仿宋" w:hAnsi="仿宋" w:eastAsia="仿宋"/>
          <w:sz w:val="32"/>
          <w:szCs w:val="32"/>
        </w:rPr>
        <w:t>下属二级单位</w:t>
      </w:r>
      <w:r>
        <w:rPr>
          <w:rFonts w:hint="eastAsia" w:ascii="仿宋" w:hAnsi="仿宋" w:eastAsia="仿宋"/>
          <w:sz w:val="32"/>
          <w:szCs w:val="32"/>
          <w:lang w:val="en-US" w:eastAsia="zh-CN"/>
        </w:rPr>
        <w:t>4</w:t>
      </w:r>
      <w:r>
        <w:rPr>
          <w:rFonts w:hint="eastAsia" w:ascii="仿宋" w:hAnsi="仿宋" w:eastAsia="仿宋"/>
          <w:sz w:val="32"/>
          <w:szCs w:val="32"/>
        </w:rPr>
        <w:t>个，其中参照公务员法管理的事业单位</w:t>
      </w:r>
      <w:r>
        <w:rPr>
          <w:rFonts w:hint="eastAsia" w:ascii="仿宋" w:hAnsi="仿宋" w:eastAsia="仿宋"/>
          <w:bCs/>
          <w:sz w:val="32"/>
          <w:szCs w:val="32"/>
          <w:lang w:val="en-US" w:eastAsia="zh-CN"/>
        </w:rPr>
        <w:t>2</w:t>
      </w:r>
      <w:r>
        <w:rPr>
          <w:rFonts w:hint="eastAsia" w:ascii="仿宋" w:hAnsi="仿宋" w:eastAsia="仿宋"/>
          <w:sz w:val="32"/>
          <w:szCs w:val="32"/>
        </w:rPr>
        <w:t>个，其他事业单位</w:t>
      </w:r>
      <w:r>
        <w:rPr>
          <w:rFonts w:hint="eastAsia" w:ascii="仿宋" w:hAnsi="仿宋" w:eastAsia="仿宋"/>
          <w:sz w:val="32"/>
          <w:szCs w:val="32"/>
          <w:lang w:val="en-US" w:eastAsia="zh-CN"/>
        </w:rPr>
        <w:t>2</w:t>
      </w:r>
      <w:r>
        <w:rPr>
          <w:rFonts w:hint="eastAsia" w:ascii="仿宋" w:hAnsi="仿宋" w:eastAsia="仿宋"/>
          <w:sz w:val="32"/>
          <w:szCs w:val="32"/>
        </w:rPr>
        <w:t>个。</w:t>
      </w:r>
    </w:p>
    <w:p w14:paraId="54F9925C">
      <w:pPr>
        <w:pStyle w:val="4"/>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区委组织部</w:t>
      </w:r>
      <w:r>
        <w:rPr>
          <w:rFonts w:hint="eastAsia" w:ascii="仿宋" w:hAnsi="仿宋" w:eastAsia="仿宋"/>
          <w:color w:val="000000"/>
          <w:sz w:val="32"/>
          <w:szCs w:val="32"/>
        </w:rPr>
        <w:t>2019年度部门决算编制范围的二级预算单位包括：</w:t>
      </w:r>
    </w:p>
    <w:p w14:paraId="28AD2AF7">
      <w:pPr>
        <w:pStyle w:val="4"/>
        <w:keepNext w:val="0"/>
        <w:keepLines w:val="0"/>
        <w:pageBreakBefore w:val="0"/>
        <w:widowControl w:val="0"/>
        <w:numPr>
          <w:ilvl w:val="0"/>
          <w:numId w:val="1"/>
        </w:numPr>
        <w:kinsoku/>
        <w:wordWrap/>
        <w:overflowPunct/>
        <w:topLinePunct w:val="0"/>
        <w:autoSpaceDE/>
        <w:autoSpaceDN/>
        <w:bidi w:val="0"/>
        <w:adjustRightInd w:val="0"/>
        <w:snapToGrid w:val="0"/>
        <w:spacing w:before="93" w:line="576" w:lineRule="exact"/>
        <w:textAlignment w:val="auto"/>
        <w:outlineLvl w:val="2"/>
        <w:rPr>
          <w:rFonts w:ascii="仿宋" w:hAnsi="仿宋" w:eastAsia="仿宋"/>
          <w:color w:val="000000"/>
          <w:sz w:val="32"/>
          <w:szCs w:val="32"/>
        </w:rPr>
      </w:pPr>
      <w:bookmarkStart w:id="20" w:name="_Toc15306276"/>
      <w:bookmarkStart w:id="21" w:name="_Toc15377433"/>
      <w:bookmarkStart w:id="22" w:name="_Toc15377202"/>
      <w:bookmarkStart w:id="23" w:name="_Toc15378449"/>
      <w:r>
        <w:rPr>
          <w:rFonts w:hint="eastAsia" w:ascii="仿宋" w:hAnsi="仿宋" w:eastAsia="仿宋"/>
          <w:color w:val="000000"/>
          <w:sz w:val="32"/>
          <w:szCs w:val="32"/>
          <w:lang w:eastAsia="zh-CN"/>
        </w:rPr>
        <w:t>区党员教育服务中心</w:t>
      </w:r>
      <w:bookmarkEnd w:id="20"/>
      <w:bookmarkEnd w:id="21"/>
      <w:bookmarkEnd w:id="22"/>
      <w:bookmarkEnd w:id="23"/>
    </w:p>
    <w:p w14:paraId="28B341C5">
      <w:pPr>
        <w:pStyle w:val="4"/>
        <w:keepNext w:val="0"/>
        <w:keepLines w:val="0"/>
        <w:pageBreakBefore w:val="0"/>
        <w:widowControl w:val="0"/>
        <w:numPr>
          <w:ilvl w:val="0"/>
          <w:numId w:val="1"/>
        </w:numPr>
        <w:kinsoku/>
        <w:wordWrap/>
        <w:overflowPunct/>
        <w:topLinePunct w:val="0"/>
        <w:autoSpaceDE/>
        <w:autoSpaceDN/>
        <w:bidi w:val="0"/>
        <w:adjustRightInd w:val="0"/>
        <w:snapToGrid w:val="0"/>
        <w:spacing w:before="93" w:line="576" w:lineRule="exact"/>
        <w:textAlignment w:val="auto"/>
        <w:outlineLvl w:val="2"/>
        <w:rPr>
          <w:rFonts w:ascii="仿宋" w:hAnsi="仿宋" w:eastAsia="仿宋"/>
          <w:color w:val="000000"/>
          <w:sz w:val="32"/>
          <w:szCs w:val="32"/>
        </w:rPr>
      </w:pPr>
      <w:r>
        <w:rPr>
          <w:rFonts w:hint="eastAsia" w:ascii="仿宋" w:hAnsi="仿宋" w:eastAsia="仿宋"/>
          <w:color w:val="000000"/>
          <w:sz w:val="32"/>
          <w:szCs w:val="32"/>
          <w:lang w:eastAsia="zh-CN"/>
        </w:rPr>
        <w:t>区直属机关党建事务中心</w:t>
      </w:r>
    </w:p>
    <w:p w14:paraId="60302A93">
      <w:pPr>
        <w:pStyle w:val="4"/>
        <w:keepNext w:val="0"/>
        <w:keepLines w:val="0"/>
        <w:pageBreakBefore w:val="0"/>
        <w:widowControl w:val="0"/>
        <w:numPr>
          <w:ilvl w:val="0"/>
          <w:numId w:val="1"/>
        </w:numPr>
        <w:kinsoku/>
        <w:wordWrap/>
        <w:overflowPunct/>
        <w:topLinePunct w:val="0"/>
        <w:autoSpaceDE/>
        <w:autoSpaceDN/>
        <w:bidi w:val="0"/>
        <w:adjustRightInd w:val="0"/>
        <w:snapToGrid w:val="0"/>
        <w:spacing w:before="93" w:line="576" w:lineRule="exact"/>
        <w:textAlignment w:val="auto"/>
        <w:outlineLvl w:val="2"/>
        <w:rPr>
          <w:rFonts w:ascii="仿宋" w:hAnsi="仿宋" w:eastAsia="仿宋"/>
          <w:color w:val="000000"/>
          <w:sz w:val="32"/>
          <w:szCs w:val="32"/>
        </w:rPr>
      </w:pPr>
      <w:r>
        <w:rPr>
          <w:rFonts w:hint="eastAsia" w:ascii="仿宋" w:hAnsi="仿宋" w:eastAsia="仿宋"/>
          <w:color w:val="000000"/>
          <w:sz w:val="32"/>
          <w:szCs w:val="32"/>
          <w:lang w:eastAsia="zh-CN"/>
        </w:rPr>
        <w:t>区干部人事档案管理中心</w:t>
      </w:r>
    </w:p>
    <w:p w14:paraId="60672130">
      <w:pPr>
        <w:pStyle w:val="4"/>
        <w:keepNext w:val="0"/>
        <w:keepLines w:val="0"/>
        <w:pageBreakBefore w:val="0"/>
        <w:widowControl w:val="0"/>
        <w:numPr>
          <w:ilvl w:val="0"/>
          <w:numId w:val="1"/>
        </w:numPr>
        <w:kinsoku/>
        <w:wordWrap/>
        <w:overflowPunct/>
        <w:topLinePunct w:val="0"/>
        <w:autoSpaceDE/>
        <w:autoSpaceDN/>
        <w:bidi w:val="0"/>
        <w:adjustRightInd w:val="0"/>
        <w:snapToGrid w:val="0"/>
        <w:spacing w:before="93" w:line="576" w:lineRule="exact"/>
        <w:textAlignment w:val="auto"/>
        <w:outlineLvl w:val="2"/>
        <w:rPr>
          <w:rFonts w:ascii="仿宋" w:hAnsi="仿宋" w:eastAsia="仿宋"/>
          <w:color w:val="000000"/>
          <w:sz w:val="32"/>
          <w:szCs w:val="32"/>
        </w:rPr>
      </w:pPr>
      <w:r>
        <w:rPr>
          <w:rFonts w:hint="eastAsia" w:ascii="仿宋" w:hAnsi="仿宋" w:eastAsia="仿宋"/>
          <w:color w:val="000000"/>
          <w:sz w:val="32"/>
          <w:szCs w:val="32"/>
          <w:lang w:eastAsia="zh-CN"/>
        </w:rPr>
        <w:t>区高层次人才服务中心</w:t>
      </w:r>
    </w:p>
    <w:p w14:paraId="7CF2561E">
      <w:pPr>
        <w:pStyle w:val="5"/>
        <w:ind w:right="440"/>
        <w:jc w:val="right"/>
        <w:rPr>
          <w:rFonts w:hint="eastAsia" w:ascii="黑体" w:hAnsi="黑体" w:eastAsia="黑体"/>
          <w:b w:val="0"/>
          <w:color w:val="000000"/>
        </w:rPr>
      </w:pPr>
      <w:bookmarkStart w:id="24" w:name="_Toc15377204"/>
      <w:bookmarkStart w:id="25" w:name="_Toc15396602"/>
    </w:p>
    <w:p w14:paraId="4E2324A4">
      <w:pPr>
        <w:pStyle w:val="5"/>
        <w:ind w:right="440"/>
        <w:jc w:val="right"/>
        <w:rPr>
          <w:rStyle w:val="26"/>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24"/>
      <w:bookmarkEnd w:id="25"/>
    </w:p>
    <w:p w14:paraId="2AED8553"/>
    <w:p w14:paraId="30D82567">
      <w:pPr>
        <w:pStyle w:val="25"/>
        <w:numPr>
          <w:ilvl w:val="0"/>
          <w:numId w:val="2"/>
        </w:numPr>
        <w:spacing w:line="600" w:lineRule="exact"/>
        <w:ind w:firstLineChars="0"/>
        <w:outlineLvl w:val="1"/>
        <w:rPr>
          <w:rStyle w:val="27"/>
          <w:rFonts w:ascii="黑体" w:hAnsi="黑体" w:eastAsia="黑体"/>
          <w:b w:val="0"/>
        </w:rPr>
      </w:pPr>
      <w:bookmarkStart w:id="26" w:name="_Toc15377205"/>
      <w:bookmarkStart w:id="27"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6"/>
      <w:bookmarkEnd w:id="27"/>
    </w:p>
    <w:p w14:paraId="053B7AA9">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eastAsia="zh-CN"/>
        </w:rPr>
        <w:t>分别为</w:t>
      </w:r>
      <w:r>
        <w:rPr>
          <w:rFonts w:hint="eastAsia" w:ascii="仿宋" w:hAnsi="仿宋" w:eastAsia="仿宋"/>
          <w:color w:val="000000"/>
          <w:sz w:val="32"/>
          <w:szCs w:val="32"/>
          <w:lang w:val="en-US" w:eastAsia="zh-CN"/>
        </w:rPr>
        <w:t>606.52万元、585.15</w:t>
      </w:r>
      <w:r>
        <w:rPr>
          <w:rFonts w:hint="eastAsia" w:ascii="仿宋" w:hAnsi="仿宋" w:eastAsia="仿宋"/>
          <w:color w:val="000000"/>
          <w:sz w:val="32"/>
          <w:szCs w:val="32"/>
        </w:rPr>
        <w:t>万元。与2018年相比，收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27.57万元，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6.2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分别</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4.7</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2019年新增大学生创新创业示范园建设项目，收入增加50万元；</w:t>
      </w:r>
      <w:r>
        <w:rPr>
          <w:rFonts w:hint="eastAsia" w:ascii="仿宋_GB2312" w:eastAsia="仿宋_GB2312"/>
          <w:color w:val="000000" w:themeColor="text1"/>
          <w:sz w:val="32"/>
          <w:szCs w:val="32"/>
          <w:lang w:eastAsia="zh-CN"/>
        </w:rPr>
        <w:t>区委“不忘初心、牢记使命”主题教育领导小组办公室设在区委组织部，由区委组织部承担日常工作。按照中央、省委、市委相关安排部署，抽调相关同志成立了办公室综合组、监督组、联络组、协调组和</w:t>
      </w:r>
      <w:r>
        <w:rPr>
          <w:rFonts w:hint="eastAsia" w:ascii="仿宋_GB2312" w:eastAsia="仿宋_GB2312"/>
          <w:color w:val="000000" w:themeColor="text1"/>
          <w:sz w:val="32"/>
          <w:szCs w:val="32"/>
          <w:lang w:val="en-US" w:eastAsia="zh-CN"/>
        </w:rPr>
        <w:t>15个巡回指导组，主题教育综合协调所产生的费用由区委组织部承担，支出总额与相比2018年有所增加</w:t>
      </w:r>
      <w:r>
        <w:rPr>
          <w:rFonts w:hint="eastAsia" w:ascii="仿宋" w:hAnsi="仿宋" w:eastAsia="仿宋"/>
          <w:color w:val="000000"/>
          <w:sz w:val="32"/>
          <w:szCs w:val="32"/>
          <w:lang w:val="en-US" w:eastAsia="zh-CN"/>
        </w:rPr>
        <w:t>。</w:t>
      </w:r>
    </w:p>
    <w:p w14:paraId="0129C69C">
      <w:pPr>
        <w:spacing w:line="600" w:lineRule="exact"/>
        <w:ind w:firstLine="640" w:firstLineChars="200"/>
        <w:jc w:val="left"/>
        <w:rPr>
          <w:rFonts w:ascii="仿宋_GB2312" w:eastAsia="仿宋_GB2312"/>
          <w:color w:val="000000"/>
          <w:sz w:val="32"/>
          <w:szCs w:val="32"/>
        </w:rPr>
      </w:pPr>
    </w:p>
    <w:p w14:paraId="430AD0A8">
      <w:pPr>
        <w:pStyle w:val="25"/>
        <w:numPr>
          <w:ilvl w:val="0"/>
          <w:numId w:val="2"/>
        </w:numPr>
        <w:spacing w:line="600" w:lineRule="exact"/>
        <w:ind w:firstLineChars="0"/>
        <w:outlineLvl w:val="1"/>
        <w:rPr>
          <w:rStyle w:val="27"/>
          <w:rFonts w:ascii="黑体" w:hAnsi="黑体" w:eastAsia="黑体"/>
          <w:b w:val="0"/>
        </w:rPr>
      </w:pPr>
      <w:bookmarkStart w:id="28" w:name="_Toc15377206"/>
      <w:bookmarkStart w:id="29"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28"/>
      <w:bookmarkEnd w:id="29"/>
    </w:p>
    <w:p w14:paraId="30F4EAAE">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606.52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606.52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7A42D33B">
      <w:pPr>
        <w:spacing w:line="600" w:lineRule="exact"/>
        <w:rPr>
          <w:rFonts w:ascii="仿宋_GB2312" w:eastAsia="仿宋_GB2312"/>
          <w:color w:val="FF0000"/>
          <w:sz w:val="32"/>
          <w:szCs w:val="32"/>
        </w:rPr>
      </w:pPr>
    </w:p>
    <w:p w14:paraId="2C0C08E4">
      <w:pPr>
        <w:pStyle w:val="25"/>
        <w:numPr>
          <w:ilvl w:val="0"/>
          <w:numId w:val="2"/>
        </w:numPr>
        <w:spacing w:line="600" w:lineRule="exact"/>
        <w:ind w:firstLineChars="0"/>
        <w:outlineLvl w:val="1"/>
        <w:rPr>
          <w:rStyle w:val="27"/>
          <w:rFonts w:ascii="黑体" w:hAnsi="黑体" w:eastAsia="黑体"/>
          <w:b w:val="0"/>
        </w:rPr>
      </w:pPr>
      <w:bookmarkStart w:id="30" w:name="_Toc15396605"/>
      <w:bookmarkStart w:id="31"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30"/>
      <w:bookmarkEnd w:id="31"/>
    </w:p>
    <w:p w14:paraId="28A5EFAC">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585.14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518.72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88.65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66.43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11.35</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59792E50">
      <w:pPr>
        <w:spacing w:line="600" w:lineRule="exact"/>
        <w:ind w:firstLine="640" w:firstLineChars="200"/>
        <w:rPr>
          <w:rFonts w:ascii="仿宋_GB2312" w:eastAsia="仿宋_GB2312"/>
          <w:color w:val="FF0000"/>
          <w:sz w:val="32"/>
          <w:szCs w:val="32"/>
        </w:rPr>
      </w:pPr>
    </w:p>
    <w:p w14:paraId="79FF95E5">
      <w:pPr>
        <w:spacing w:line="600" w:lineRule="exact"/>
        <w:ind w:firstLine="640" w:firstLineChars="200"/>
        <w:outlineLvl w:val="1"/>
        <w:rPr>
          <w:rStyle w:val="27"/>
          <w:rFonts w:ascii="黑体" w:hAnsi="黑体" w:eastAsia="黑体"/>
          <w:b w:val="0"/>
        </w:rPr>
      </w:pPr>
      <w:bookmarkStart w:id="32" w:name="_Toc15377208"/>
      <w:bookmarkStart w:id="33"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2"/>
      <w:bookmarkEnd w:id="33"/>
    </w:p>
    <w:p w14:paraId="07CEC2AF">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eastAsia="zh-CN"/>
        </w:rPr>
        <w:t>分别为</w:t>
      </w:r>
      <w:r>
        <w:rPr>
          <w:rFonts w:hint="eastAsia" w:ascii="仿宋" w:hAnsi="仿宋" w:eastAsia="仿宋"/>
          <w:color w:val="000000"/>
          <w:sz w:val="32"/>
          <w:szCs w:val="32"/>
          <w:lang w:val="en-US" w:eastAsia="zh-CN"/>
        </w:rPr>
        <w:t>606.52万元、585.15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w:t>
      </w:r>
      <w:r>
        <w:rPr>
          <w:rFonts w:hint="eastAsia" w:ascii="仿宋" w:hAnsi="仿宋" w:eastAsia="仿宋"/>
          <w:color w:val="000000"/>
          <w:sz w:val="32"/>
          <w:szCs w:val="32"/>
          <w:lang w:eastAsia="zh-CN"/>
        </w:rPr>
        <w:t>分别</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27.57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6.2万元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分别</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4.7</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2019年增加大学生创业示范园项目，收入增加50万元。</w:t>
      </w:r>
    </w:p>
    <w:p w14:paraId="44AF9D92">
      <w:pPr>
        <w:spacing w:line="600" w:lineRule="exact"/>
        <w:rPr>
          <w:rFonts w:ascii="仿宋" w:hAnsi="仿宋" w:eastAsia="仿宋"/>
          <w:b/>
          <w:color w:val="00B050"/>
          <w:sz w:val="32"/>
          <w:szCs w:val="32"/>
        </w:rPr>
      </w:pPr>
    </w:p>
    <w:p w14:paraId="5508B984">
      <w:pPr>
        <w:spacing w:line="600" w:lineRule="exact"/>
        <w:ind w:firstLine="640" w:firstLineChars="200"/>
        <w:outlineLvl w:val="1"/>
        <w:rPr>
          <w:rStyle w:val="27"/>
          <w:rFonts w:ascii="黑体" w:hAnsi="黑体" w:eastAsia="黑体"/>
          <w:b w:val="0"/>
        </w:rPr>
      </w:pPr>
      <w:bookmarkStart w:id="34" w:name="_Toc15396607"/>
      <w:bookmarkStart w:id="35"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4"/>
      <w:bookmarkEnd w:id="35"/>
    </w:p>
    <w:p w14:paraId="7878B91B">
      <w:pPr>
        <w:spacing w:line="600" w:lineRule="exact"/>
        <w:ind w:firstLine="643" w:firstLineChars="200"/>
        <w:outlineLvl w:val="2"/>
        <w:rPr>
          <w:rFonts w:ascii="仿宋" w:hAnsi="仿宋" w:eastAsia="仿宋"/>
          <w:b/>
          <w:color w:val="000000"/>
          <w:sz w:val="32"/>
          <w:szCs w:val="32"/>
        </w:rPr>
      </w:pPr>
      <w:bookmarkStart w:id="36" w:name="_Toc15377210"/>
      <w:r>
        <w:rPr>
          <w:rFonts w:hint="eastAsia" w:ascii="仿宋" w:hAnsi="仿宋" w:eastAsia="仿宋"/>
          <w:b/>
          <w:color w:val="000000"/>
          <w:sz w:val="32"/>
          <w:szCs w:val="32"/>
        </w:rPr>
        <w:t>（一）一般公共预算财政拨款支出决算总体情况</w:t>
      </w:r>
      <w:bookmarkEnd w:id="36"/>
    </w:p>
    <w:p w14:paraId="7F730C70">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585.15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w:t>
      </w:r>
      <w:r>
        <w:rPr>
          <w:rFonts w:hint="eastAsia" w:ascii="仿宋" w:hAnsi="仿宋" w:eastAsia="仿宋"/>
          <w:color w:val="000000"/>
          <w:sz w:val="32"/>
          <w:szCs w:val="32"/>
          <w:lang w:val="en-US" w:eastAsia="zh-CN"/>
        </w:rPr>
        <w:t>6.2</w:t>
      </w:r>
      <w:r>
        <w:rPr>
          <w:rFonts w:hint="eastAsia" w:ascii="仿宋" w:hAnsi="仿宋" w:eastAsia="仿宋"/>
          <w:color w:val="000000"/>
          <w:sz w:val="32"/>
          <w:szCs w:val="32"/>
        </w:rPr>
        <w:t>万元，增</w:t>
      </w:r>
      <w:r>
        <w:rPr>
          <w:rFonts w:hint="eastAsia" w:ascii="仿宋" w:hAnsi="仿宋" w:eastAsia="仿宋"/>
          <w:color w:val="000000"/>
          <w:sz w:val="32"/>
          <w:szCs w:val="32"/>
          <w:lang w:val="en-US" w:eastAsia="zh-CN"/>
        </w:rPr>
        <w:t>1</w:t>
      </w:r>
      <w:r>
        <w:rPr>
          <w:rFonts w:ascii="仿宋" w:hAnsi="仿宋" w:eastAsia="仿宋"/>
          <w:color w:val="000000"/>
          <w:sz w:val="32"/>
          <w:szCs w:val="32"/>
        </w:rPr>
        <w:t>%</w:t>
      </w:r>
      <w:r>
        <w:rPr>
          <w:rFonts w:hint="eastAsia" w:ascii="仿宋" w:hAnsi="仿宋" w:eastAsia="仿宋"/>
          <w:color w:val="000000"/>
          <w:sz w:val="32"/>
          <w:szCs w:val="32"/>
        </w:rPr>
        <w:t>。主要变动原</w:t>
      </w:r>
      <w:r>
        <w:rPr>
          <w:rFonts w:hint="eastAsia" w:ascii="仿宋" w:hAnsi="仿宋" w:eastAsia="仿宋"/>
          <w:color w:val="000000"/>
          <w:sz w:val="32"/>
          <w:szCs w:val="32"/>
          <w:lang w:val="en-US" w:eastAsia="zh-CN"/>
        </w:rPr>
        <w:t>因：</w:t>
      </w:r>
      <w:r>
        <w:rPr>
          <w:rFonts w:hint="eastAsia" w:ascii="仿宋_GB2312" w:eastAsia="仿宋_GB2312"/>
          <w:color w:val="000000" w:themeColor="text1"/>
          <w:sz w:val="32"/>
          <w:szCs w:val="32"/>
          <w:lang w:eastAsia="zh-CN"/>
        </w:rPr>
        <w:t>区委“不忘初心、牢记使命”主题教育领导小组办公室设在区委组织部，由区委组织部承担日常工作。按照中央、省委、市委相关安排部署，抽调相关同志成立了办公室综合组、监督组、联络组、协调组和</w:t>
      </w:r>
      <w:r>
        <w:rPr>
          <w:rFonts w:hint="eastAsia" w:ascii="仿宋_GB2312" w:eastAsia="仿宋_GB2312"/>
          <w:color w:val="000000" w:themeColor="text1"/>
          <w:sz w:val="32"/>
          <w:szCs w:val="32"/>
          <w:lang w:val="en-US" w:eastAsia="zh-CN"/>
        </w:rPr>
        <w:t>15个巡回指导组，主题教育综合协调所产生的费用由区委组织部承担，支出总额与相比2018年有所增加</w:t>
      </w:r>
      <w:r>
        <w:rPr>
          <w:rFonts w:hint="eastAsia" w:ascii="仿宋" w:hAnsi="仿宋" w:eastAsia="仿宋"/>
          <w:color w:val="000000"/>
          <w:sz w:val="32"/>
          <w:szCs w:val="32"/>
          <w:lang w:val="en-US" w:eastAsia="zh-CN"/>
        </w:rPr>
        <w:t>。</w:t>
      </w:r>
    </w:p>
    <w:p w14:paraId="29365F1A">
      <w:pPr>
        <w:spacing w:line="600" w:lineRule="exact"/>
        <w:ind w:firstLine="640" w:firstLineChars="200"/>
        <w:rPr>
          <w:rFonts w:hint="eastAsia" w:ascii="仿宋" w:hAnsi="仿宋" w:eastAsia="仿宋"/>
          <w:color w:val="000000"/>
          <w:sz w:val="32"/>
          <w:szCs w:val="32"/>
          <w:lang w:val="en-US" w:eastAsia="zh-CN"/>
        </w:rPr>
      </w:pPr>
    </w:p>
    <w:p w14:paraId="7A4BC2C8">
      <w:pPr>
        <w:spacing w:line="600" w:lineRule="exact"/>
        <w:rPr>
          <w:rFonts w:ascii="仿宋" w:hAnsi="仿宋" w:eastAsia="仿宋"/>
          <w:color w:val="000000" w:themeColor="text1"/>
          <w:sz w:val="32"/>
          <w:szCs w:val="32"/>
        </w:rPr>
      </w:pPr>
    </w:p>
    <w:p w14:paraId="1D7C0F61">
      <w:pPr>
        <w:spacing w:line="600" w:lineRule="exact"/>
        <w:ind w:firstLine="643" w:firstLineChars="200"/>
        <w:outlineLvl w:val="2"/>
        <w:rPr>
          <w:rFonts w:ascii="仿宋" w:hAnsi="仿宋" w:eastAsia="仿宋"/>
          <w:b/>
          <w:color w:val="000000"/>
          <w:sz w:val="32"/>
          <w:szCs w:val="32"/>
        </w:rPr>
      </w:pPr>
      <w:bookmarkStart w:id="37" w:name="_Toc15377211"/>
      <w:r>
        <w:rPr>
          <w:rFonts w:hint="eastAsia" w:ascii="仿宋" w:hAnsi="仿宋" w:eastAsia="仿宋"/>
          <w:b/>
          <w:color w:val="000000"/>
          <w:sz w:val="32"/>
          <w:szCs w:val="32"/>
        </w:rPr>
        <w:t>（二）一般公共预算财政拨款支出决算结构情况</w:t>
      </w:r>
      <w:bookmarkEnd w:id="37"/>
    </w:p>
    <w:p w14:paraId="1179E396">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585.15</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一般公共服务（类）支出</w:t>
      </w:r>
      <w:r>
        <w:rPr>
          <w:rFonts w:hint="eastAsia" w:ascii="仿宋" w:hAnsi="仿宋" w:eastAsia="仿宋"/>
          <w:color w:val="000000" w:themeColor="text1"/>
          <w:sz w:val="32"/>
          <w:szCs w:val="32"/>
          <w:lang w:val="en-US" w:eastAsia="zh-CN"/>
        </w:rPr>
        <w:t>474.07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社会保障和就业（类）支出</w:t>
      </w:r>
      <w:r>
        <w:rPr>
          <w:rFonts w:hint="eastAsia" w:ascii="仿宋" w:hAnsi="仿宋" w:eastAsia="仿宋"/>
          <w:color w:val="000000" w:themeColor="text1"/>
          <w:sz w:val="32"/>
          <w:szCs w:val="32"/>
          <w:lang w:val="en-US" w:eastAsia="zh-CN"/>
        </w:rPr>
        <w:t>23.68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18.12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住房保障支出</w:t>
      </w:r>
      <w:r>
        <w:rPr>
          <w:rFonts w:hint="eastAsia" w:ascii="仿宋" w:hAnsi="仿宋" w:eastAsia="仿宋"/>
          <w:b/>
          <w:bCs/>
          <w:color w:val="000000" w:themeColor="text1"/>
          <w:sz w:val="32"/>
          <w:szCs w:val="32"/>
          <w:lang w:val="en-US" w:eastAsia="zh-CN"/>
        </w:rPr>
        <w:t>19.05</w:t>
      </w:r>
      <w:r>
        <w:rPr>
          <w:rFonts w:hint="eastAsia" w:ascii="仿宋" w:hAnsi="仿宋" w:eastAsia="仿宋"/>
          <w:b/>
          <w:bCs/>
          <w:color w:val="000000" w:themeColor="text1"/>
          <w:sz w:val="32"/>
          <w:szCs w:val="32"/>
        </w:rPr>
        <w:t>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3.2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cs="Times New Roman"/>
          <w:b/>
          <w:bCs/>
          <w:color w:val="000000" w:themeColor="text1"/>
          <w:sz w:val="32"/>
          <w:szCs w:val="32"/>
          <w:lang w:eastAsia="zh-CN"/>
        </w:rPr>
        <w:t>农林水支出</w:t>
      </w:r>
      <w:r>
        <w:rPr>
          <w:rFonts w:hint="eastAsia" w:ascii="仿宋" w:hAnsi="仿宋" w:eastAsia="仿宋"/>
          <w:color w:val="000000" w:themeColor="text1"/>
          <w:sz w:val="32"/>
          <w:szCs w:val="32"/>
          <w:lang w:val="en-US" w:eastAsia="zh-CN"/>
        </w:rPr>
        <w:t>50.23万元，占8.7%</w:t>
      </w:r>
      <w:r>
        <w:rPr>
          <w:rFonts w:hint="eastAsia" w:ascii="仿宋" w:hAnsi="仿宋" w:eastAsia="仿宋"/>
          <w:color w:val="000000" w:themeColor="text1"/>
          <w:sz w:val="32"/>
          <w:szCs w:val="32"/>
        </w:rPr>
        <w:t>。</w:t>
      </w:r>
    </w:p>
    <w:p w14:paraId="524D9906">
      <w:pPr>
        <w:spacing w:line="600" w:lineRule="exact"/>
        <w:ind w:firstLine="640" w:firstLineChars="200"/>
        <w:rPr>
          <w:rFonts w:ascii="仿宋" w:hAnsi="仿宋" w:eastAsia="仿宋"/>
          <w:color w:val="000000"/>
          <w:sz w:val="32"/>
          <w:szCs w:val="32"/>
        </w:rPr>
      </w:pPr>
    </w:p>
    <w:p w14:paraId="451C412C">
      <w:pPr>
        <w:spacing w:line="600" w:lineRule="exact"/>
        <w:ind w:firstLine="643" w:firstLineChars="200"/>
        <w:outlineLvl w:val="2"/>
        <w:rPr>
          <w:rFonts w:ascii="仿宋" w:hAnsi="仿宋" w:eastAsia="仿宋"/>
          <w:b/>
          <w:color w:val="000000"/>
          <w:sz w:val="32"/>
          <w:szCs w:val="32"/>
        </w:rPr>
      </w:pPr>
      <w:bookmarkStart w:id="38" w:name="_Toc15377212"/>
      <w:r>
        <w:rPr>
          <w:rFonts w:hint="eastAsia" w:ascii="仿宋" w:hAnsi="仿宋" w:eastAsia="仿宋"/>
          <w:b/>
          <w:color w:val="000000"/>
          <w:sz w:val="32"/>
          <w:szCs w:val="32"/>
        </w:rPr>
        <w:t>（三）一般公共预算财政拨款支出决算具体情况</w:t>
      </w:r>
      <w:bookmarkEnd w:id="38"/>
    </w:p>
    <w:p w14:paraId="342B3E9E">
      <w:pPr>
        <w:spacing w:line="600" w:lineRule="exact"/>
        <w:ind w:firstLine="643" w:firstLineChars="200"/>
        <w:outlineLvl w:val="2"/>
        <w:rPr>
          <w:rFonts w:ascii="仿宋" w:hAnsi="仿宋" w:eastAsia="仿宋"/>
          <w:color w:val="FF0000"/>
          <w:sz w:val="32"/>
          <w:szCs w:val="32"/>
        </w:rPr>
      </w:pPr>
      <w:bookmarkStart w:id="39" w:name="_Toc15378460"/>
      <w:bookmarkStart w:id="40" w:name="_Toc15377444"/>
      <w:bookmarkStart w:id="41" w:name="_Toc15377213"/>
      <w:r>
        <w:rPr>
          <w:rFonts w:hint="eastAsia" w:ascii="仿宋" w:hAnsi="仿宋" w:eastAsia="仿宋"/>
          <w:b/>
          <w:color w:val="000000" w:themeColor="text1"/>
          <w:sz w:val="32"/>
          <w:szCs w:val="32"/>
        </w:rPr>
        <w:t>2019年般公共预算支出决算数为</w:t>
      </w:r>
      <w:r>
        <w:rPr>
          <w:rFonts w:hint="eastAsia" w:ascii="仿宋" w:hAnsi="仿宋" w:eastAsia="仿宋"/>
          <w:b/>
          <w:color w:val="000000" w:themeColor="text1"/>
          <w:sz w:val="32"/>
          <w:szCs w:val="32"/>
          <w:lang w:val="en-US" w:eastAsia="zh-CN"/>
        </w:rPr>
        <w:t>585.15万元</w:t>
      </w:r>
      <w:r>
        <w:rPr>
          <w:rFonts w:hint="eastAsia" w:ascii="仿宋" w:hAnsi="仿宋" w:eastAsia="仿宋"/>
          <w:color w:val="000000" w:themeColor="text1"/>
          <w:sz w:val="32"/>
          <w:szCs w:val="32"/>
        </w:rPr>
        <w:t>，</w:t>
      </w:r>
      <w:r>
        <w:rPr>
          <w:rStyle w:val="16"/>
          <w:rFonts w:hint="eastAsia" w:ascii="仿宋" w:hAnsi="仿宋" w:eastAsia="仿宋"/>
          <w:bCs/>
          <w:color w:val="000000" w:themeColor="text1"/>
          <w:sz w:val="32"/>
          <w:szCs w:val="32"/>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96.47</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9"/>
      <w:bookmarkEnd w:id="40"/>
      <w:bookmarkEnd w:id="41"/>
    </w:p>
    <w:p w14:paraId="513E64C5">
      <w:pPr>
        <w:numPr>
          <w:ilvl w:val="0"/>
          <w:numId w:val="0"/>
        </w:num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1.</w:t>
      </w: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组织事务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行政运行</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479.24</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96.7</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，决算数小于预算数的主要原因是</w:t>
      </w:r>
      <w:r>
        <w:rPr>
          <w:rStyle w:val="16"/>
          <w:rFonts w:hint="eastAsia" w:ascii="仿宋" w:hAnsi="仿宋" w:eastAsia="仿宋"/>
          <w:b w:val="0"/>
          <w:bCs/>
          <w:color w:val="000000"/>
          <w:sz w:val="32"/>
          <w:szCs w:val="32"/>
          <w:lang w:eastAsia="zh-CN"/>
        </w:rPr>
        <w:t>：大学生创新创业示范园区建设项目未完结，结转</w:t>
      </w:r>
      <w:r>
        <w:rPr>
          <w:rStyle w:val="16"/>
          <w:rFonts w:hint="eastAsia" w:ascii="仿宋" w:hAnsi="仿宋" w:eastAsia="仿宋"/>
          <w:b w:val="0"/>
          <w:bCs/>
          <w:color w:val="000000"/>
          <w:sz w:val="32"/>
          <w:szCs w:val="32"/>
          <w:lang w:val="en-US" w:eastAsia="zh-CN"/>
        </w:rPr>
        <w:t>2020年继续使用</w:t>
      </w:r>
      <w:r>
        <w:rPr>
          <w:rStyle w:val="16"/>
          <w:rFonts w:hint="eastAsia" w:ascii="仿宋" w:hAnsi="仿宋" w:eastAsia="仿宋"/>
          <w:b w:val="0"/>
          <w:bCs/>
          <w:color w:val="000000"/>
          <w:sz w:val="32"/>
          <w:szCs w:val="32"/>
        </w:rPr>
        <w:t>。</w:t>
      </w:r>
    </w:p>
    <w:p w14:paraId="4B305482">
      <w:pPr>
        <w:numPr>
          <w:ilvl w:val="0"/>
          <w:numId w:val="0"/>
        </w:num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2.</w:t>
      </w: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组织事务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其他组织事务支出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16.2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68F40042">
      <w:pPr>
        <w:numPr>
          <w:ilvl w:val="0"/>
          <w:numId w:val="0"/>
        </w:num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3.</w:t>
      </w:r>
      <w:r>
        <w:rPr>
          <w:rStyle w:val="16"/>
          <w:rFonts w:hint="eastAsia" w:ascii="仿宋" w:hAnsi="仿宋" w:eastAsia="仿宋"/>
          <w:bCs/>
          <w:color w:val="000000"/>
          <w:sz w:val="32"/>
          <w:szCs w:val="32"/>
        </w:rPr>
        <w:t>社会保障和就业（类）行政事业单位离退休（款）机关事业单位基本养老保险缴费支出（项）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w:t>
      </w:r>
      <w:r>
        <w:rPr>
          <w:rStyle w:val="16"/>
          <w:rFonts w:hint="eastAsia" w:ascii="仿宋" w:hAnsi="仿宋" w:eastAsia="仿宋"/>
          <w:b w:val="0"/>
          <w:bCs/>
          <w:color w:val="000000"/>
          <w:sz w:val="32"/>
          <w:szCs w:val="32"/>
          <w:lang w:val="en-US" w:eastAsia="zh-CN"/>
        </w:rPr>
        <w:t>23.22</w:t>
      </w:r>
      <w:r>
        <w:rPr>
          <w:rStyle w:val="16"/>
          <w:rFonts w:hint="eastAsia" w:ascii="仿宋" w:hAnsi="仿宋" w:eastAsia="仿宋"/>
          <w:b w:val="0"/>
          <w:bCs/>
          <w:color w:val="000000"/>
          <w:sz w:val="32"/>
          <w:szCs w:val="32"/>
        </w:rPr>
        <w:t>万元，完成预</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6F80AF5B">
      <w:pPr>
        <w:numPr>
          <w:ilvl w:val="0"/>
          <w:numId w:val="0"/>
        </w:num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4.</w:t>
      </w:r>
      <w:r>
        <w:rPr>
          <w:rStyle w:val="16"/>
          <w:rFonts w:hint="eastAsia" w:ascii="仿宋" w:hAnsi="仿宋" w:eastAsia="仿宋"/>
          <w:bCs/>
          <w:color w:val="000000"/>
          <w:sz w:val="32"/>
          <w:szCs w:val="32"/>
        </w:rPr>
        <w:t>社会保障和就业（类）行政事业单位离退休（款）机关事业单位职业年金缴费支出（项）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w:t>
      </w:r>
      <w:r>
        <w:rPr>
          <w:rStyle w:val="16"/>
          <w:rFonts w:hint="eastAsia" w:ascii="仿宋" w:hAnsi="仿宋" w:eastAsia="仿宋"/>
          <w:b w:val="0"/>
          <w:bCs/>
          <w:color w:val="000000"/>
          <w:sz w:val="32"/>
          <w:szCs w:val="32"/>
          <w:lang w:val="en-US" w:eastAsia="zh-CN"/>
        </w:rPr>
        <w:t>0.46</w:t>
      </w:r>
      <w:r>
        <w:rPr>
          <w:rStyle w:val="16"/>
          <w:rFonts w:hint="eastAsia" w:ascii="仿宋" w:hAnsi="仿宋" w:eastAsia="仿宋"/>
          <w:b w:val="0"/>
          <w:bCs/>
          <w:color w:val="000000"/>
          <w:sz w:val="32"/>
          <w:szCs w:val="32"/>
        </w:rPr>
        <w:t>万元，完成预</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698144D8">
      <w:pPr>
        <w:numPr>
          <w:ilvl w:val="0"/>
          <w:numId w:val="0"/>
        </w:numPr>
        <w:spacing w:line="600" w:lineRule="exact"/>
        <w:ind w:firstLine="643" w:firstLineChars="200"/>
        <w:rPr>
          <w:rStyle w:val="16"/>
          <w:rFonts w:hint="eastAsia" w:ascii="仿宋" w:hAnsi="仿宋" w:eastAsia="仿宋" w:cs="Times New Roman"/>
          <w:b w:val="0"/>
          <w:bCs w:val="0"/>
          <w:color w:val="000000"/>
          <w:sz w:val="32"/>
          <w:szCs w:val="32"/>
        </w:rPr>
      </w:pPr>
      <w:r>
        <w:rPr>
          <w:rStyle w:val="16"/>
          <w:rFonts w:hint="eastAsia" w:ascii="仿宋" w:hAnsi="仿宋" w:eastAsia="仿宋" w:cs="Times New Roman"/>
          <w:bCs/>
          <w:color w:val="000000"/>
          <w:sz w:val="32"/>
          <w:szCs w:val="32"/>
          <w:lang w:val="en-US" w:eastAsia="zh-CN"/>
        </w:rPr>
        <w:t>5.</w:t>
      </w:r>
      <w:r>
        <w:rPr>
          <w:rStyle w:val="16"/>
          <w:rFonts w:hint="eastAsia" w:ascii="仿宋" w:hAnsi="仿宋" w:eastAsia="仿宋" w:cs="Times New Roman"/>
          <w:bCs/>
          <w:color w:val="000000"/>
          <w:sz w:val="32"/>
          <w:szCs w:val="32"/>
        </w:rPr>
        <w:t>卫生健康（类）行政事业单位医疗（款）行政单位医疗（项）:</w:t>
      </w:r>
      <w:r>
        <w:rPr>
          <w:rStyle w:val="16"/>
          <w:rFonts w:hint="eastAsia" w:ascii="仿宋" w:hAnsi="仿宋" w:eastAsia="仿宋" w:cs="Times New Roman"/>
          <w:b w:val="0"/>
          <w:bCs w:val="0"/>
          <w:color w:val="000000"/>
          <w:sz w:val="32"/>
          <w:szCs w:val="32"/>
        </w:rPr>
        <w:t>支出决算为</w:t>
      </w:r>
      <w:r>
        <w:rPr>
          <w:rStyle w:val="16"/>
          <w:rFonts w:hint="eastAsia" w:ascii="仿宋" w:hAnsi="仿宋" w:eastAsia="仿宋" w:cs="Times New Roman"/>
          <w:b w:val="0"/>
          <w:bCs w:val="0"/>
          <w:color w:val="000000"/>
          <w:sz w:val="32"/>
          <w:szCs w:val="32"/>
          <w:lang w:val="en-US" w:eastAsia="zh-CN"/>
        </w:rPr>
        <w:t>18.12</w:t>
      </w:r>
      <w:r>
        <w:rPr>
          <w:rStyle w:val="16"/>
          <w:rFonts w:hint="eastAsia" w:ascii="仿宋" w:hAnsi="仿宋" w:eastAsia="仿宋" w:cs="Times New Roman"/>
          <w:b w:val="0"/>
          <w:bCs w:val="0"/>
          <w:color w:val="000000"/>
          <w:sz w:val="32"/>
          <w:szCs w:val="32"/>
        </w:rPr>
        <w:t>万元，完成预算</w:t>
      </w:r>
      <w:r>
        <w:rPr>
          <w:rStyle w:val="16"/>
          <w:rFonts w:hint="eastAsia" w:ascii="仿宋" w:hAnsi="仿宋" w:eastAsia="仿宋" w:cs="Times New Roman"/>
          <w:b w:val="0"/>
          <w:bCs w:val="0"/>
          <w:color w:val="000000"/>
          <w:sz w:val="32"/>
          <w:szCs w:val="32"/>
          <w:lang w:val="en-US" w:eastAsia="zh-CN"/>
        </w:rPr>
        <w:t>100</w:t>
      </w:r>
      <w:r>
        <w:rPr>
          <w:rStyle w:val="16"/>
          <w:rFonts w:hint="eastAsia" w:ascii="仿宋" w:hAnsi="仿宋" w:eastAsia="仿宋" w:cs="Times New Roman"/>
          <w:b w:val="0"/>
          <w:bCs w:val="0"/>
          <w:color w:val="000000"/>
          <w:sz w:val="32"/>
          <w:szCs w:val="32"/>
        </w:rPr>
        <w:t>%。</w:t>
      </w:r>
    </w:p>
    <w:p w14:paraId="692DBAA4">
      <w:pPr>
        <w:numPr>
          <w:ilvl w:val="0"/>
          <w:numId w:val="0"/>
        </w:numPr>
        <w:spacing w:line="600" w:lineRule="exact"/>
        <w:ind w:firstLine="643" w:firstLineChars="200"/>
        <w:rPr>
          <w:rFonts w:hint="eastAsia"/>
        </w:rPr>
      </w:pPr>
      <w:r>
        <w:rPr>
          <w:rStyle w:val="16"/>
          <w:rFonts w:hint="eastAsia" w:ascii="仿宋" w:hAnsi="仿宋" w:eastAsia="仿宋" w:cs="Times New Roman"/>
          <w:bCs/>
          <w:color w:val="000000"/>
          <w:sz w:val="32"/>
          <w:szCs w:val="32"/>
          <w:lang w:val="en-US" w:eastAsia="zh-CN"/>
        </w:rPr>
        <w:t>6.</w:t>
      </w:r>
      <w:r>
        <w:rPr>
          <w:rStyle w:val="16"/>
          <w:rFonts w:hint="eastAsia" w:ascii="仿宋" w:hAnsi="仿宋" w:eastAsia="仿宋" w:cs="Times New Roman"/>
          <w:bCs/>
          <w:color w:val="000000"/>
          <w:sz w:val="32"/>
          <w:szCs w:val="32"/>
          <w:lang w:eastAsia="zh-CN"/>
        </w:rPr>
        <w:t>农林水支出</w:t>
      </w:r>
      <w:r>
        <w:rPr>
          <w:rStyle w:val="16"/>
          <w:rFonts w:hint="eastAsia" w:ascii="仿宋" w:hAnsi="仿宋" w:eastAsia="仿宋" w:cs="Times New Roman"/>
          <w:bCs/>
          <w:color w:val="000000"/>
          <w:sz w:val="32"/>
          <w:szCs w:val="32"/>
        </w:rPr>
        <w:t>（类）</w:t>
      </w:r>
      <w:r>
        <w:rPr>
          <w:rStyle w:val="16"/>
          <w:rFonts w:hint="eastAsia" w:ascii="仿宋" w:hAnsi="仿宋" w:eastAsia="仿宋" w:cs="Times New Roman"/>
          <w:bCs/>
          <w:color w:val="000000"/>
          <w:sz w:val="32"/>
          <w:szCs w:val="32"/>
          <w:lang w:eastAsia="zh-CN"/>
        </w:rPr>
        <w:t>扶贫</w:t>
      </w:r>
      <w:r>
        <w:rPr>
          <w:rStyle w:val="16"/>
          <w:rFonts w:hint="eastAsia" w:ascii="仿宋" w:hAnsi="仿宋" w:eastAsia="仿宋" w:cs="Times New Roman"/>
          <w:bCs/>
          <w:color w:val="000000"/>
          <w:sz w:val="32"/>
          <w:szCs w:val="32"/>
        </w:rPr>
        <w:t>（款）</w:t>
      </w:r>
      <w:r>
        <w:rPr>
          <w:rStyle w:val="16"/>
          <w:rFonts w:hint="eastAsia" w:ascii="仿宋" w:hAnsi="仿宋" w:eastAsia="仿宋" w:cs="Times New Roman"/>
          <w:bCs/>
          <w:color w:val="000000"/>
          <w:sz w:val="32"/>
          <w:szCs w:val="32"/>
          <w:lang w:eastAsia="zh-CN"/>
        </w:rPr>
        <w:t>其他扶贫支出</w:t>
      </w:r>
      <w:r>
        <w:rPr>
          <w:rStyle w:val="16"/>
          <w:rFonts w:hint="eastAsia" w:ascii="仿宋" w:hAnsi="仿宋" w:eastAsia="仿宋" w:cs="Times New Roman"/>
          <w:bCs/>
          <w:color w:val="000000"/>
          <w:sz w:val="32"/>
          <w:szCs w:val="32"/>
        </w:rPr>
        <w:t>（项）:</w:t>
      </w:r>
      <w:r>
        <w:rPr>
          <w:rStyle w:val="16"/>
          <w:rFonts w:hint="eastAsia" w:ascii="仿宋" w:hAnsi="仿宋" w:eastAsia="仿宋" w:cs="Times New Roman"/>
          <w:b w:val="0"/>
          <w:bCs w:val="0"/>
          <w:color w:val="000000"/>
          <w:sz w:val="32"/>
          <w:szCs w:val="32"/>
        </w:rPr>
        <w:t>支出决算为</w:t>
      </w:r>
      <w:r>
        <w:rPr>
          <w:rStyle w:val="16"/>
          <w:rFonts w:hint="eastAsia" w:ascii="仿宋" w:hAnsi="仿宋" w:eastAsia="仿宋" w:cs="Times New Roman"/>
          <w:b w:val="0"/>
          <w:bCs w:val="0"/>
          <w:color w:val="000000"/>
          <w:sz w:val="32"/>
          <w:szCs w:val="32"/>
          <w:lang w:val="en-US" w:eastAsia="zh-CN"/>
        </w:rPr>
        <w:t>50.23</w:t>
      </w:r>
      <w:r>
        <w:rPr>
          <w:rStyle w:val="16"/>
          <w:rFonts w:hint="eastAsia" w:ascii="仿宋" w:hAnsi="仿宋" w:eastAsia="仿宋" w:cs="Times New Roman"/>
          <w:b w:val="0"/>
          <w:bCs w:val="0"/>
          <w:color w:val="000000"/>
          <w:sz w:val="32"/>
          <w:szCs w:val="32"/>
        </w:rPr>
        <w:t>万元，完成预算</w:t>
      </w:r>
      <w:r>
        <w:rPr>
          <w:rStyle w:val="16"/>
          <w:rFonts w:hint="eastAsia" w:ascii="仿宋" w:hAnsi="仿宋" w:eastAsia="仿宋" w:cs="Times New Roman"/>
          <w:b w:val="0"/>
          <w:bCs w:val="0"/>
          <w:color w:val="000000"/>
          <w:sz w:val="32"/>
          <w:szCs w:val="32"/>
          <w:lang w:val="en-US" w:eastAsia="zh-CN"/>
        </w:rPr>
        <w:t>100</w:t>
      </w:r>
      <w:r>
        <w:rPr>
          <w:rStyle w:val="16"/>
          <w:rFonts w:hint="eastAsia" w:ascii="仿宋" w:hAnsi="仿宋" w:eastAsia="仿宋" w:cs="Times New Roman"/>
          <w:b w:val="0"/>
          <w:bCs w:val="0"/>
          <w:color w:val="000000"/>
          <w:sz w:val="32"/>
          <w:szCs w:val="32"/>
        </w:rPr>
        <w:t>%。</w:t>
      </w:r>
    </w:p>
    <w:p w14:paraId="6DFA0FC7">
      <w:pPr>
        <w:numPr>
          <w:ilvl w:val="0"/>
          <w:numId w:val="0"/>
        </w:numPr>
        <w:spacing w:line="600" w:lineRule="exact"/>
        <w:ind w:firstLine="643" w:firstLineChars="200"/>
        <w:rPr>
          <w:rFonts w:hint="eastAsia"/>
        </w:rPr>
      </w:pPr>
      <w:r>
        <w:rPr>
          <w:rStyle w:val="16"/>
          <w:rFonts w:hint="eastAsia" w:ascii="仿宋" w:hAnsi="仿宋" w:eastAsia="仿宋" w:cs="Times New Roman"/>
          <w:bCs/>
          <w:color w:val="000000"/>
          <w:sz w:val="32"/>
          <w:szCs w:val="32"/>
          <w:lang w:val="en-US" w:eastAsia="zh-CN"/>
        </w:rPr>
        <w:t>7.</w:t>
      </w:r>
      <w:r>
        <w:rPr>
          <w:rStyle w:val="16"/>
          <w:rFonts w:hint="eastAsia" w:ascii="仿宋" w:hAnsi="仿宋" w:eastAsia="仿宋" w:cs="Times New Roman"/>
          <w:bCs/>
          <w:color w:val="000000"/>
          <w:sz w:val="32"/>
          <w:szCs w:val="32"/>
          <w:lang w:eastAsia="zh-CN"/>
        </w:rPr>
        <w:t>住房保障支出</w:t>
      </w:r>
      <w:r>
        <w:rPr>
          <w:rStyle w:val="16"/>
          <w:rFonts w:hint="eastAsia" w:ascii="仿宋" w:hAnsi="仿宋" w:eastAsia="仿宋" w:cs="Times New Roman"/>
          <w:bCs/>
          <w:color w:val="000000"/>
          <w:sz w:val="32"/>
          <w:szCs w:val="32"/>
        </w:rPr>
        <w:t>（类）</w:t>
      </w:r>
      <w:r>
        <w:rPr>
          <w:rStyle w:val="16"/>
          <w:rFonts w:hint="eastAsia" w:ascii="仿宋" w:hAnsi="仿宋" w:eastAsia="仿宋" w:cs="Times New Roman"/>
          <w:bCs/>
          <w:color w:val="000000"/>
          <w:sz w:val="32"/>
          <w:szCs w:val="32"/>
          <w:lang w:eastAsia="zh-CN"/>
        </w:rPr>
        <w:t>住房改革支出</w:t>
      </w:r>
      <w:r>
        <w:rPr>
          <w:rStyle w:val="16"/>
          <w:rFonts w:hint="eastAsia" w:ascii="仿宋" w:hAnsi="仿宋" w:eastAsia="仿宋" w:cs="Times New Roman"/>
          <w:bCs/>
          <w:color w:val="000000"/>
          <w:sz w:val="32"/>
          <w:szCs w:val="32"/>
        </w:rPr>
        <w:t>（款）</w:t>
      </w:r>
      <w:r>
        <w:rPr>
          <w:rStyle w:val="16"/>
          <w:rFonts w:hint="eastAsia" w:ascii="仿宋" w:hAnsi="仿宋" w:eastAsia="仿宋" w:cs="Times New Roman"/>
          <w:bCs/>
          <w:color w:val="000000"/>
          <w:sz w:val="32"/>
          <w:szCs w:val="32"/>
          <w:lang w:eastAsia="zh-CN"/>
        </w:rPr>
        <w:t>住房公积金</w:t>
      </w:r>
      <w:r>
        <w:rPr>
          <w:rStyle w:val="16"/>
          <w:rFonts w:hint="eastAsia" w:ascii="仿宋" w:hAnsi="仿宋" w:eastAsia="仿宋" w:cs="Times New Roman"/>
          <w:bCs/>
          <w:color w:val="000000"/>
          <w:sz w:val="32"/>
          <w:szCs w:val="32"/>
        </w:rPr>
        <w:t>（项）:</w:t>
      </w:r>
      <w:r>
        <w:rPr>
          <w:rStyle w:val="16"/>
          <w:rFonts w:hint="eastAsia" w:ascii="仿宋" w:hAnsi="仿宋" w:eastAsia="仿宋" w:cs="Times New Roman"/>
          <w:b w:val="0"/>
          <w:bCs w:val="0"/>
          <w:color w:val="000000"/>
          <w:sz w:val="32"/>
          <w:szCs w:val="32"/>
        </w:rPr>
        <w:t>支出决算为</w:t>
      </w:r>
      <w:r>
        <w:rPr>
          <w:rStyle w:val="16"/>
          <w:rFonts w:hint="eastAsia" w:ascii="仿宋" w:hAnsi="仿宋" w:eastAsia="仿宋" w:cs="Times New Roman"/>
          <w:b w:val="0"/>
          <w:bCs w:val="0"/>
          <w:color w:val="000000"/>
          <w:sz w:val="32"/>
          <w:szCs w:val="32"/>
          <w:lang w:val="en-US" w:eastAsia="zh-CN"/>
        </w:rPr>
        <w:t>19.05</w:t>
      </w:r>
      <w:r>
        <w:rPr>
          <w:rStyle w:val="16"/>
          <w:rFonts w:hint="eastAsia" w:ascii="仿宋" w:hAnsi="仿宋" w:eastAsia="仿宋" w:cs="Times New Roman"/>
          <w:b w:val="0"/>
          <w:bCs w:val="0"/>
          <w:color w:val="000000"/>
          <w:sz w:val="32"/>
          <w:szCs w:val="32"/>
        </w:rPr>
        <w:t>万元，完成预算</w:t>
      </w:r>
      <w:r>
        <w:rPr>
          <w:rStyle w:val="16"/>
          <w:rFonts w:hint="eastAsia" w:ascii="仿宋" w:hAnsi="仿宋" w:eastAsia="仿宋" w:cs="Times New Roman"/>
          <w:b w:val="0"/>
          <w:bCs w:val="0"/>
          <w:color w:val="000000"/>
          <w:sz w:val="32"/>
          <w:szCs w:val="32"/>
          <w:lang w:val="en-US" w:eastAsia="zh-CN"/>
        </w:rPr>
        <w:t>100</w:t>
      </w:r>
      <w:r>
        <w:rPr>
          <w:rStyle w:val="16"/>
          <w:rFonts w:hint="eastAsia" w:ascii="仿宋" w:hAnsi="仿宋" w:eastAsia="仿宋" w:cs="Times New Roman"/>
          <w:b w:val="0"/>
          <w:bCs w:val="0"/>
          <w:color w:val="000000"/>
          <w:sz w:val="32"/>
          <w:szCs w:val="32"/>
        </w:rPr>
        <w:t>%。</w:t>
      </w:r>
    </w:p>
    <w:p w14:paraId="60DAEB0C">
      <w:pPr>
        <w:pStyle w:val="4"/>
        <w:rPr>
          <w:rFonts w:ascii="仿宋" w:hAnsi="仿宋" w:eastAsia="仿宋"/>
          <w:b/>
          <w:color w:val="000000"/>
          <w:sz w:val="32"/>
          <w:szCs w:val="32"/>
        </w:rPr>
      </w:pPr>
    </w:p>
    <w:p w14:paraId="7519EC75">
      <w:pPr>
        <w:tabs>
          <w:tab w:val="right" w:pos="8306"/>
        </w:tabs>
        <w:spacing w:line="600" w:lineRule="exact"/>
        <w:ind w:firstLine="640"/>
        <w:outlineLvl w:val="1"/>
        <w:rPr>
          <w:rStyle w:val="27"/>
        </w:rPr>
      </w:pPr>
      <w:bookmarkStart w:id="42" w:name="_Toc15396608"/>
      <w:bookmarkStart w:id="43"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2"/>
      <w:bookmarkEnd w:id="43"/>
      <w:r>
        <w:rPr>
          <w:rStyle w:val="27"/>
          <w:rFonts w:ascii="黑体" w:hAnsi="黑体" w:eastAsia="黑体"/>
          <w:b w:val="0"/>
        </w:rPr>
        <w:tab/>
      </w:r>
    </w:p>
    <w:p w14:paraId="0DA24A13">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606.52</w:t>
      </w:r>
      <w:r>
        <w:rPr>
          <w:rFonts w:hint="eastAsia" w:ascii="仿宋" w:hAnsi="仿宋" w:eastAsia="仿宋"/>
          <w:color w:val="000000"/>
          <w:sz w:val="32"/>
          <w:szCs w:val="32"/>
        </w:rPr>
        <w:t>万元，其中：</w:t>
      </w:r>
    </w:p>
    <w:p w14:paraId="4C53211E">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298.62</w:t>
      </w:r>
      <w:r>
        <w:rPr>
          <w:rFonts w:hint="eastAsia" w:ascii="仿宋" w:hAnsi="仿宋" w:eastAsia="仿宋"/>
          <w:color w:val="000000"/>
          <w:sz w:val="32"/>
          <w:szCs w:val="32"/>
        </w:rPr>
        <w:t>万元，主要包括：基本工资、津贴补贴、奖金、机关事业单位基本养老保险缴费、职业年金缴费、</w:t>
      </w:r>
      <w:r>
        <w:rPr>
          <w:rFonts w:hint="eastAsia" w:ascii="仿宋" w:hAnsi="仿宋" w:eastAsia="仿宋"/>
          <w:color w:val="000000"/>
          <w:sz w:val="32"/>
          <w:szCs w:val="32"/>
          <w:lang w:eastAsia="zh-CN"/>
        </w:rPr>
        <w:t>职工基本医疗保险</w:t>
      </w:r>
      <w:r>
        <w:rPr>
          <w:rFonts w:hint="eastAsia" w:ascii="仿宋" w:hAnsi="仿宋" w:eastAsia="仿宋"/>
          <w:color w:val="000000"/>
          <w:sz w:val="32"/>
          <w:szCs w:val="32"/>
        </w:rPr>
        <w:t>缴费、其他工资福利支出、住房公积金等。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220.09</w:t>
      </w:r>
      <w:r>
        <w:rPr>
          <w:rFonts w:hint="eastAsia" w:ascii="仿宋" w:hAnsi="仿宋" w:eastAsia="仿宋"/>
          <w:color w:val="000000"/>
          <w:sz w:val="32"/>
          <w:szCs w:val="32"/>
        </w:rPr>
        <w:t>万元，主要包括：办公费、印刷费、</w:t>
      </w:r>
      <w:r>
        <w:rPr>
          <w:rFonts w:hint="eastAsia" w:ascii="仿宋" w:hAnsi="仿宋" w:eastAsia="仿宋"/>
          <w:color w:val="000000"/>
          <w:sz w:val="32"/>
          <w:szCs w:val="32"/>
          <w:lang w:eastAsia="zh-CN"/>
        </w:rPr>
        <w:t>水费、邮电费、差旅费、</w:t>
      </w:r>
      <w:r>
        <w:rPr>
          <w:rFonts w:hint="eastAsia" w:ascii="仿宋" w:hAnsi="仿宋" w:eastAsia="仿宋"/>
          <w:color w:val="000000"/>
          <w:sz w:val="32"/>
          <w:szCs w:val="32"/>
        </w:rPr>
        <w:t>维修（护）费、租赁费、会议费、培训费、公务接待费、劳务费、工会经费、其他交通费、税金及附加费用、其他商品和服务支出</w:t>
      </w:r>
      <w:r>
        <w:rPr>
          <w:rFonts w:hint="eastAsia" w:ascii="仿宋" w:hAnsi="仿宋" w:eastAsia="仿宋"/>
          <w:color w:val="000000"/>
          <w:sz w:val="32"/>
          <w:szCs w:val="32"/>
          <w:lang w:eastAsia="zh-CN"/>
        </w:rPr>
        <w:t>。</w:t>
      </w:r>
    </w:p>
    <w:p w14:paraId="76221738">
      <w:pPr>
        <w:spacing w:line="600" w:lineRule="exact"/>
        <w:ind w:firstLine="640"/>
        <w:outlineLvl w:val="1"/>
        <w:rPr>
          <w:rFonts w:hint="eastAsia" w:ascii="黑体" w:eastAsia="黑体"/>
          <w:color w:val="000000"/>
          <w:sz w:val="32"/>
          <w:szCs w:val="32"/>
        </w:rPr>
      </w:pPr>
      <w:bookmarkStart w:id="44" w:name="_Toc15396609"/>
      <w:bookmarkStart w:id="45" w:name="_Toc15377215"/>
    </w:p>
    <w:p w14:paraId="27AAE881">
      <w:pPr>
        <w:spacing w:line="600" w:lineRule="exact"/>
        <w:ind w:firstLine="640"/>
        <w:outlineLvl w:val="1"/>
        <w:rPr>
          <w:rStyle w:val="27"/>
          <w:rFonts w:ascii="黑体" w:hAnsi="黑体" w:eastAsia="黑体"/>
          <w:b w:val="0"/>
        </w:rPr>
      </w:pPr>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4"/>
      <w:bookmarkEnd w:id="45"/>
    </w:p>
    <w:p w14:paraId="1D0CA47A">
      <w:pPr>
        <w:spacing w:line="600" w:lineRule="exact"/>
        <w:ind w:firstLine="640"/>
        <w:outlineLvl w:val="2"/>
        <w:rPr>
          <w:rFonts w:ascii="仿宋" w:hAnsi="仿宋" w:eastAsia="仿宋"/>
          <w:b/>
          <w:color w:val="000000"/>
          <w:sz w:val="32"/>
          <w:szCs w:val="32"/>
        </w:rPr>
      </w:pPr>
      <w:bookmarkStart w:id="46" w:name="_Toc15377216"/>
      <w:r>
        <w:rPr>
          <w:rFonts w:hint="eastAsia" w:ascii="仿宋" w:hAnsi="仿宋" w:eastAsia="仿宋"/>
          <w:b/>
          <w:color w:val="000000"/>
          <w:sz w:val="32"/>
          <w:szCs w:val="32"/>
        </w:rPr>
        <w:t>（一）“三公”经费财政拨款支出决算总体情况说明</w:t>
      </w:r>
      <w:bookmarkEnd w:id="46"/>
    </w:p>
    <w:p w14:paraId="54131E5D">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9.45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99.5</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：厉行节约，严控“三公”经费支出</w:t>
      </w:r>
      <w:r>
        <w:rPr>
          <w:rFonts w:hint="eastAsia" w:ascii="仿宋" w:hAnsi="仿宋" w:eastAsia="仿宋"/>
          <w:color w:val="000000"/>
          <w:sz w:val="32"/>
          <w:szCs w:val="32"/>
        </w:rPr>
        <w:t>。</w:t>
      </w:r>
    </w:p>
    <w:p w14:paraId="6EA727E3">
      <w:pPr>
        <w:spacing w:line="600" w:lineRule="exact"/>
        <w:ind w:firstLine="640"/>
        <w:rPr>
          <w:rFonts w:ascii="仿宋" w:hAnsi="仿宋" w:eastAsia="仿宋"/>
          <w:b/>
          <w:color w:val="FF0000"/>
          <w:sz w:val="32"/>
          <w:szCs w:val="32"/>
        </w:rPr>
      </w:pPr>
    </w:p>
    <w:p w14:paraId="6FD4377A">
      <w:pPr>
        <w:spacing w:line="600" w:lineRule="exact"/>
        <w:ind w:firstLine="640"/>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rPr>
        <w:t>（二）“三公”经费财政拨款支出决算具体情况说明</w:t>
      </w:r>
      <w:bookmarkEnd w:id="47"/>
    </w:p>
    <w:p w14:paraId="42BB061D">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9.45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02319761">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r>
        <w:rPr>
          <w:rFonts w:hint="eastAsia" w:ascii="仿宋_GB2312" w:eastAsia="仿宋_GB2312"/>
          <w:color w:val="000000"/>
          <w:sz w:val="32"/>
          <w:szCs w:val="32"/>
          <w:lang w:eastAsia="zh-CN"/>
        </w:rPr>
        <w:t>。</w:t>
      </w:r>
    </w:p>
    <w:p w14:paraId="223A12C5">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2938294F">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14:paraId="2A84DFE2">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1FD20AB1">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9.45</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99.45</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0.05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w:t>
      </w:r>
      <w:r>
        <w:rPr>
          <w:rFonts w:hint="eastAsia" w:ascii="仿宋" w:hAnsi="仿宋" w:eastAsia="仿宋"/>
          <w:color w:val="000000"/>
          <w:sz w:val="32"/>
          <w:szCs w:val="32"/>
          <w:lang w:eastAsia="zh-CN"/>
        </w:rPr>
        <w:t>厉行节约，严控“三公”经费支出</w:t>
      </w:r>
      <w:r>
        <w:rPr>
          <w:rFonts w:hint="eastAsia" w:ascii="仿宋" w:hAnsi="仿宋" w:eastAsia="仿宋"/>
          <w:color w:val="000000"/>
          <w:sz w:val="32"/>
          <w:szCs w:val="32"/>
        </w:rPr>
        <w:t>。</w:t>
      </w:r>
      <w:r>
        <w:rPr>
          <w:rFonts w:hint="eastAsia" w:ascii="仿宋_GB2312" w:eastAsia="仿宋_GB2312"/>
          <w:color w:val="000000"/>
          <w:sz w:val="32"/>
          <w:szCs w:val="32"/>
        </w:rPr>
        <w:t>其中：</w:t>
      </w:r>
    </w:p>
    <w:p w14:paraId="2956D8EE">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9.45</w:t>
      </w:r>
      <w:r>
        <w:rPr>
          <w:rFonts w:hint="eastAsia" w:ascii="仿宋_GB2312" w:eastAsia="仿宋_GB2312"/>
          <w:color w:val="000000"/>
          <w:sz w:val="32"/>
          <w:szCs w:val="32"/>
        </w:rPr>
        <w:t>万元，主要用于开展业务活动开支的交通费、住宿费、用餐费等。国内公务接待</w:t>
      </w:r>
      <w:r>
        <w:rPr>
          <w:rFonts w:hint="eastAsia" w:ascii="仿宋_GB2312" w:eastAsia="仿宋_GB2312"/>
          <w:color w:val="000000"/>
          <w:sz w:val="32"/>
          <w:szCs w:val="32"/>
          <w:lang w:val="en-US" w:eastAsia="zh-CN"/>
        </w:rPr>
        <w:t>78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808</w:t>
      </w:r>
      <w:r>
        <w:rPr>
          <w:rFonts w:hint="eastAsia" w:ascii="仿宋_GB2312" w:eastAsia="仿宋_GB2312"/>
          <w:color w:val="000000"/>
          <w:sz w:val="32"/>
          <w:szCs w:val="32"/>
        </w:rPr>
        <w:t>人次，共计支出</w:t>
      </w:r>
      <w:r>
        <w:rPr>
          <w:rFonts w:hint="eastAsia" w:ascii="仿宋_GB2312" w:eastAsia="仿宋_GB2312"/>
          <w:color w:val="000000"/>
          <w:sz w:val="32"/>
          <w:szCs w:val="32"/>
          <w:lang w:val="en-US" w:eastAsia="zh-CN"/>
        </w:rPr>
        <w:t>9.45</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省委组织部验收干部人事档案管理中心、市委主题教育巡回指导组到昭指导主题教育，市委组织部到昭调研农民工党建工作、大英县委组织部到昭调研干部人事档案管理中心、</w:t>
      </w:r>
      <w:r>
        <w:rPr>
          <w:rFonts w:hint="eastAsia" w:ascii="仿宋_GB2312" w:eastAsia="仿宋_GB2312"/>
          <w:color w:val="000000"/>
          <w:sz w:val="32"/>
          <w:szCs w:val="32"/>
          <w:lang w:val="en-US" w:eastAsia="zh-CN"/>
        </w:rPr>
        <w:t>各乡镇领导报党统、办事等公务接待</w:t>
      </w:r>
      <w:r>
        <w:rPr>
          <w:rFonts w:hint="eastAsia" w:ascii="仿宋_GB2312" w:eastAsia="仿宋_GB2312"/>
          <w:color w:val="000000"/>
          <w:sz w:val="32"/>
          <w:szCs w:val="32"/>
          <w:lang w:eastAsia="zh-CN"/>
        </w:rPr>
        <w:t>等</w:t>
      </w:r>
      <w:r>
        <w:rPr>
          <w:rFonts w:hint="eastAsia" w:ascii="仿宋_GB2312" w:eastAsia="仿宋_GB2312"/>
          <w:color w:val="000000"/>
          <w:sz w:val="32"/>
          <w:szCs w:val="32"/>
        </w:rPr>
        <w:t>。</w:t>
      </w:r>
    </w:p>
    <w:p w14:paraId="0F129AA0">
      <w:pPr>
        <w:spacing w:line="600" w:lineRule="exact"/>
        <w:ind w:firstLine="643" w:firstLineChars="200"/>
        <w:rPr>
          <w:rFonts w:hint="eastAsia" w:ascii="仿宋_GB2312" w:eastAsia="仿宋_GB2312"/>
          <w:color w:val="000000" w:themeColor="text1"/>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p>
    <w:p w14:paraId="1D5C5284">
      <w:pPr>
        <w:spacing w:line="600" w:lineRule="exact"/>
        <w:ind w:firstLine="640"/>
        <w:outlineLvl w:val="1"/>
        <w:rPr>
          <w:rFonts w:ascii="黑体" w:eastAsia="黑体"/>
          <w:color w:val="000000"/>
          <w:sz w:val="32"/>
          <w:szCs w:val="32"/>
        </w:rPr>
      </w:pPr>
      <w:bookmarkStart w:id="48" w:name="_Toc15377218"/>
      <w:bookmarkStart w:id="49" w:name="_Toc15396610"/>
    </w:p>
    <w:p w14:paraId="0E3FEA10">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8"/>
      <w:bookmarkEnd w:id="49"/>
    </w:p>
    <w:p w14:paraId="6B7155B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4CFF612A">
      <w:pPr>
        <w:spacing w:line="600" w:lineRule="exact"/>
        <w:ind w:firstLine="640"/>
        <w:rPr>
          <w:rFonts w:ascii="仿宋_GB2312" w:eastAsia="仿宋_GB2312"/>
          <w:color w:val="000000"/>
          <w:sz w:val="32"/>
          <w:szCs w:val="32"/>
        </w:rPr>
      </w:pPr>
    </w:p>
    <w:p w14:paraId="5C005D18">
      <w:pPr>
        <w:numPr>
          <w:ilvl w:val="0"/>
          <w:numId w:val="3"/>
        </w:numPr>
        <w:spacing w:line="600" w:lineRule="exact"/>
        <w:ind w:firstLine="640"/>
        <w:outlineLvl w:val="1"/>
        <w:rPr>
          <w:rStyle w:val="27"/>
          <w:rFonts w:ascii="黑体" w:hAnsi="黑体" w:eastAsia="黑体"/>
          <w:b w:val="0"/>
        </w:rPr>
      </w:pPr>
      <w:bookmarkStart w:id="50" w:name="_Toc15396611"/>
      <w:bookmarkStart w:id="51" w:name="_Toc15377219"/>
      <w:r>
        <w:rPr>
          <w:rStyle w:val="27"/>
          <w:rFonts w:hint="eastAsia" w:ascii="黑体" w:hAnsi="黑体" w:eastAsia="黑体"/>
          <w:b w:val="0"/>
        </w:rPr>
        <w:t>国有资本经营预算支出决算情况说明</w:t>
      </w:r>
      <w:bookmarkEnd w:id="50"/>
      <w:bookmarkEnd w:id="51"/>
    </w:p>
    <w:p w14:paraId="1C31B2F9">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4EB25CFF">
      <w:pPr>
        <w:spacing w:line="580" w:lineRule="exact"/>
        <w:jc w:val="center"/>
        <w:rPr>
          <w:rFonts w:ascii="方正小标宋简体" w:hAnsi="方正小标宋简体" w:eastAsia="方正小标宋简体" w:cs="方正小标宋简体"/>
          <w:sz w:val="44"/>
          <w:szCs w:val="44"/>
        </w:rPr>
      </w:pPr>
    </w:p>
    <w:p w14:paraId="17B9E347">
      <w:pPr>
        <w:spacing w:line="600" w:lineRule="exact"/>
        <w:ind w:firstLine="800" w:firstLineChars="250"/>
        <w:outlineLvl w:val="1"/>
        <w:rPr>
          <w:rStyle w:val="27"/>
          <w:rFonts w:ascii="黑体" w:hAnsi="黑体" w:eastAsia="黑体"/>
        </w:rPr>
      </w:pPr>
      <w:bookmarkStart w:id="52" w:name="_Toc15377221"/>
      <w:bookmarkStart w:id="53" w:name="_Toc15396612"/>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2"/>
      <w:bookmarkEnd w:id="53"/>
    </w:p>
    <w:p w14:paraId="6F0918A9">
      <w:pPr>
        <w:spacing w:line="600" w:lineRule="exact"/>
        <w:ind w:firstLine="643" w:firstLineChars="200"/>
        <w:outlineLvl w:val="2"/>
        <w:rPr>
          <w:rFonts w:ascii="仿宋" w:hAnsi="仿宋" w:eastAsia="仿宋"/>
          <w:color w:val="000000"/>
          <w:sz w:val="32"/>
          <w:szCs w:val="32"/>
        </w:rPr>
      </w:pPr>
      <w:bookmarkStart w:id="54" w:name="_Toc15377222"/>
      <w:r>
        <w:rPr>
          <w:rFonts w:hint="eastAsia" w:ascii="仿宋" w:hAnsi="仿宋" w:eastAsia="仿宋"/>
          <w:b/>
          <w:color w:val="000000"/>
          <w:sz w:val="32"/>
          <w:szCs w:val="32"/>
        </w:rPr>
        <w:t>（一）机关运行经费支出情况</w:t>
      </w:r>
      <w:bookmarkEnd w:id="54"/>
    </w:p>
    <w:p w14:paraId="32D42477">
      <w:pPr>
        <w:spacing w:line="600" w:lineRule="exact"/>
        <w:ind w:firstLine="640" w:firstLineChars="200"/>
        <w:rPr>
          <w:rFonts w:hint="default" w:ascii="仿宋_GB2312" w:eastAsia="仿宋_GB2312"/>
          <w:color w:val="000000" w:themeColor="text1"/>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区委组织部</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220.09</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6.44</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：区委“不忘初心、牢记使命”主题教育领导小组办公室设在区委组织部，由区委组织部承担日常工作。按照中央、省委、市委相关安排部署，抽调相关同志成立了办公室综合组、监督组、联络组、协调组和</w:t>
      </w:r>
      <w:r>
        <w:rPr>
          <w:rFonts w:hint="eastAsia" w:ascii="仿宋_GB2312" w:eastAsia="仿宋_GB2312"/>
          <w:color w:val="000000" w:themeColor="text1"/>
          <w:sz w:val="32"/>
          <w:szCs w:val="32"/>
          <w:lang w:val="en-US" w:eastAsia="zh-CN"/>
        </w:rPr>
        <w:t>15个巡回指导组，主题教育综合协调所产生的费用由区委组织部承担。</w:t>
      </w:r>
    </w:p>
    <w:p w14:paraId="58DC3757">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3"/>
      <w:r>
        <w:rPr>
          <w:rFonts w:hint="eastAsia" w:ascii="仿宋" w:hAnsi="仿宋" w:eastAsia="仿宋"/>
          <w:b/>
          <w:color w:val="000000"/>
          <w:sz w:val="32"/>
          <w:szCs w:val="32"/>
        </w:rPr>
        <w:t>（二）政府采购支出情况</w:t>
      </w:r>
      <w:bookmarkEnd w:id="55"/>
    </w:p>
    <w:p w14:paraId="66E9AF78">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区委组织部</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13697CB5">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6" w:name="_Toc15377224"/>
      <w:r>
        <w:rPr>
          <w:rFonts w:hint="eastAsia" w:ascii="仿宋" w:hAnsi="仿宋" w:eastAsia="仿宋"/>
          <w:b/>
          <w:color w:val="000000"/>
          <w:sz w:val="32"/>
          <w:szCs w:val="32"/>
        </w:rPr>
        <w:t>（三）国有资产占有使用情况</w:t>
      </w:r>
      <w:bookmarkEnd w:id="56"/>
    </w:p>
    <w:p w14:paraId="280A69CC">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区委组织部</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5AA3324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5B666C9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东西部扶贫协作人才交流</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14:paraId="75C56AC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，严格按照预算执行，绩效目标完成较好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，按照预定目标，严格按预算执行，绩效目标完成较好</w:t>
      </w:r>
      <w:r>
        <w:rPr>
          <w:rFonts w:hint="eastAsia" w:ascii="仿宋_GB2312" w:hAnsi="仿宋_GB2312" w:eastAsia="仿宋_GB2312" w:cs="仿宋_GB2312"/>
          <w:sz w:val="32"/>
          <w:szCs w:val="32"/>
        </w:rPr>
        <w:t>。</w:t>
      </w:r>
    </w:p>
    <w:p w14:paraId="0B887F36">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东西部扶贫协作项目人才交流经费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w:t>
      </w:r>
    </w:p>
    <w:p w14:paraId="32B4E71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东西部扶贫协作人才交流</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eastAsia="仿宋_GB2312"/>
          <w:b w:val="0"/>
          <w:bCs w:val="0"/>
          <w:sz w:val="32"/>
          <w:szCs w:val="32"/>
        </w:rPr>
        <w:t>以提升基层干部综合能力为着力点，</w:t>
      </w:r>
      <w:r>
        <w:rPr>
          <w:rFonts w:hint="eastAsia" w:ascii="仿宋_GB2312" w:eastAsia="仿宋_GB2312"/>
          <w:b w:val="0"/>
          <w:bCs w:val="0"/>
          <w:sz w:val="32"/>
          <w:szCs w:val="32"/>
          <w:lang w:eastAsia="zh-CN"/>
        </w:rPr>
        <w:t>重点围绕基层组织建设、基层治理、乡村振兴、乡村旅游发展等内容，</w:t>
      </w:r>
      <w:r>
        <w:rPr>
          <w:rFonts w:ascii="Times New Roman" w:hAnsi="Times New Roman" w:eastAsia="仿宋_GB2312"/>
          <w:b w:val="0"/>
          <w:bCs w:val="0"/>
          <w:sz w:val="32"/>
          <w:szCs w:val="32"/>
        </w:rPr>
        <w:t>提升基层干部综合能力，带动群众脱贫奔康</w:t>
      </w:r>
      <w:r>
        <w:rPr>
          <w:rFonts w:hint="eastAsia" w:eastAsia="仿宋_GB2312"/>
          <w:b w:val="0"/>
          <w:bCs w:val="0"/>
          <w:sz w:val="32"/>
          <w:szCs w:val="32"/>
          <w:lang w:eastAsia="zh-CN"/>
        </w:rPr>
        <w:t>。</w:t>
      </w:r>
      <w:r>
        <w:rPr>
          <w:rFonts w:hint="eastAsia" w:ascii="仿宋_GB2312" w:hAnsi="仿宋_GB2312" w:eastAsia="仿宋_GB2312" w:cs="仿宋_GB2312"/>
          <w:sz w:val="32"/>
          <w:szCs w:val="32"/>
        </w:rPr>
        <w:t>下一步改进措施：结合本年度工作开展效益，广泛征求相关单位意见，提前商议2020年工作计划，持续加强干部人才交流、人才平台建设、党员干部人才培训提能等工作。</w:t>
      </w:r>
    </w:p>
    <w:p w14:paraId="323B0878">
      <w:pPr>
        <w:pStyle w:val="4"/>
        <w:rPr>
          <w:rFonts w:hint="eastAsia" w:ascii="仿宋_GB2312" w:hAnsi="仿宋_GB2312" w:eastAsia="仿宋_GB2312" w:cs="仿宋_GB2312"/>
          <w:sz w:val="32"/>
          <w:szCs w:val="32"/>
        </w:rPr>
      </w:pPr>
    </w:p>
    <w:p w14:paraId="240202BA">
      <w:pPr>
        <w:pStyle w:val="4"/>
        <w:rPr>
          <w:rFonts w:hint="eastAsia" w:ascii="仿宋_GB2312" w:hAnsi="仿宋_GB2312" w:eastAsia="仿宋_GB2312" w:cs="仿宋_GB2312"/>
          <w:sz w:val="32"/>
          <w:szCs w:val="32"/>
        </w:rPr>
      </w:pPr>
    </w:p>
    <w:p w14:paraId="433310AE">
      <w:pPr>
        <w:pStyle w:val="4"/>
        <w:rPr>
          <w:rFonts w:hint="eastAsia" w:ascii="仿宋_GB2312" w:hAnsi="仿宋_GB2312" w:eastAsia="仿宋_GB2312" w:cs="仿宋_GB2312"/>
          <w:sz w:val="32"/>
          <w:szCs w:val="32"/>
        </w:rPr>
      </w:pPr>
    </w:p>
    <w:p w14:paraId="7DACE405">
      <w:pPr>
        <w:pStyle w:val="4"/>
        <w:rPr>
          <w:rFonts w:hint="eastAsia" w:ascii="仿宋_GB2312" w:hAnsi="仿宋_GB2312" w:eastAsia="仿宋_GB2312" w:cs="仿宋_GB2312"/>
          <w:sz w:val="32"/>
          <w:szCs w:val="32"/>
        </w:rPr>
      </w:pPr>
    </w:p>
    <w:p w14:paraId="0F2F21CA">
      <w:pPr>
        <w:pStyle w:val="4"/>
        <w:rPr>
          <w:rFonts w:hint="eastAsia" w:ascii="仿宋_GB2312" w:hAnsi="仿宋_GB2312" w:eastAsia="仿宋_GB2312" w:cs="仿宋_GB2312"/>
          <w:sz w:val="32"/>
          <w:szCs w:val="32"/>
        </w:rPr>
      </w:pPr>
    </w:p>
    <w:p w14:paraId="0E7E392D">
      <w:pPr>
        <w:pStyle w:val="4"/>
        <w:rPr>
          <w:rFonts w:hint="eastAsia"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4DC0FD2F">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029DC3DA">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799C289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B235F">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CE9BF">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东西部扶贫协作人才交流项目</w:t>
            </w:r>
          </w:p>
        </w:tc>
      </w:tr>
      <w:tr w14:paraId="7C750091">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8F64A">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C6F0F">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区位组织部</w:t>
            </w:r>
          </w:p>
        </w:tc>
      </w:tr>
      <w:tr w14:paraId="2E2CBA99">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61C73">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90C71">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FF6A3">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7FE1D">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DB9F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32万元</w:t>
            </w:r>
          </w:p>
        </w:tc>
      </w:tr>
      <w:tr w14:paraId="519E6C10">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52791">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D7AB2">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449D7">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68496">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BC4C5">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32万元</w:t>
            </w:r>
          </w:p>
        </w:tc>
      </w:tr>
      <w:tr w14:paraId="40CD34E7">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5B8C7">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7059F">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917F7">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0C25F">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6B386">
            <w:pPr>
              <w:jc w:val="center"/>
              <w:rPr>
                <w:rFonts w:ascii="宋体" w:hAnsi="宋体" w:cs="宋体"/>
                <w:color w:val="000000"/>
                <w:sz w:val="24"/>
              </w:rPr>
            </w:pPr>
            <w:r>
              <w:rPr>
                <w:rFonts w:hint="eastAsia" w:ascii="宋体" w:hAnsi="宋体" w:cs="宋体"/>
                <w:color w:val="000000"/>
                <w:sz w:val="24"/>
                <w:lang w:val="en-US" w:eastAsia="zh-CN"/>
              </w:rPr>
              <w:t>0万元</w:t>
            </w:r>
          </w:p>
        </w:tc>
      </w:tr>
      <w:tr w14:paraId="435CB469">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84F89">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75084">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8746C">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03D4B2E">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9382F">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C74B5">
            <w:pPr>
              <w:widowControl/>
              <w:jc w:val="both"/>
              <w:textAlignment w:val="center"/>
              <w:rPr>
                <w:rFonts w:ascii="宋体" w:hAnsi="宋体" w:cs="宋体"/>
                <w:color w:val="000000"/>
                <w:sz w:val="24"/>
              </w:rPr>
            </w:pPr>
            <w:r>
              <w:rPr>
                <w:rFonts w:hint="eastAsia" w:ascii="宋体" w:hAnsi="宋体" w:cs="宋体"/>
                <w:color w:val="000000"/>
                <w:kern w:val="0"/>
                <w:sz w:val="24"/>
                <w:lang w:val="en-US" w:eastAsia="zh-CN"/>
              </w:rPr>
              <w:t>选派乡科级干部30人、村干部50人，赴龙泉市跟班学习1—2周。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09C7E">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lang w:val="en-US" w:eastAsia="zh-CN"/>
              </w:rPr>
              <w:t>选派11个学习小组的31名乡科级干部、80名村社干部及后备干部到龙泉市相关乡镇（街道）开展跟班学习</w:t>
            </w:r>
            <w:r>
              <w:rPr>
                <w:rFonts w:hint="eastAsia" w:ascii="宋体" w:hAnsi="宋体" w:cs="宋体"/>
                <w:color w:val="000000"/>
                <w:kern w:val="0"/>
                <w:sz w:val="24"/>
              </w:rPr>
              <w:t>，提升基层干部综合能力，带动群众脱贫奔康。</w:t>
            </w:r>
          </w:p>
          <w:p w14:paraId="4C437292">
            <w:pPr>
              <w:widowControl/>
              <w:jc w:val="center"/>
              <w:textAlignment w:val="center"/>
              <w:rPr>
                <w:rFonts w:ascii="宋体" w:hAnsi="宋体" w:cs="宋体"/>
                <w:color w:val="000000"/>
                <w:sz w:val="24"/>
              </w:rPr>
            </w:pPr>
          </w:p>
        </w:tc>
      </w:tr>
      <w:tr w14:paraId="6AF045E5">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14B6259">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257DA">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20A5C">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ADC7A">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519E2">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B6B54">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6AF403E1">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3C9109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9DC3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52EFB">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DD973">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乡镇干部跟班学习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B881B">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66F9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31人</w:t>
            </w:r>
          </w:p>
        </w:tc>
      </w:tr>
      <w:tr w14:paraId="45BF62F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0ABF02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F92C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BB462">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21058">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村社干部跟班学习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1124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2165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80人</w:t>
            </w:r>
          </w:p>
        </w:tc>
      </w:tr>
      <w:tr w14:paraId="4228BD28">
        <w:tblPrEx>
          <w:tblCellMar>
            <w:top w:w="0" w:type="dxa"/>
            <w:left w:w="0" w:type="dxa"/>
            <w:bottom w:w="0" w:type="dxa"/>
            <w:right w:w="0" w:type="dxa"/>
          </w:tblCellMar>
        </w:tblPrEx>
        <w:trPr>
          <w:trHeight w:val="17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674A82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BEC16">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3CA51">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322D4">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0B817">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增强基层干部综合能力，开拓视野和眼界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68203">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增强基层干部综合能力，开拓视野和眼界</w:t>
            </w:r>
          </w:p>
        </w:tc>
      </w:tr>
      <w:tr w14:paraId="0D6AC2B5">
        <w:tblPrEx>
          <w:tblCellMar>
            <w:top w:w="0" w:type="dxa"/>
            <w:left w:w="0" w:type="dxa"/>
            <w:bottom w:w="0" w:type="dxa"/>
            <w:right w:w="0" w:type="dxa"/>
          </w:tblCellMar>
        </w:tblPrEx>
        <w:trPr>
          <w:trHeight w:val="1675"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614D50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620BC">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4DDF5">
            <w:pPr>
              <w:widowControl/>
              <w:jc w:val="both"/>
              <w:textAlignment w:val="center"/>
              <w:rPr>
                <w:rFonts w:hint="eastAsia" w:ascii="宋体" w:hAns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90D0F">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B4AE3">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基层干部、群众满意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E6278">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基层干部综合能力和素质全面提升。</w:t>
            </w:r>
          </w:p>
        </w:tc>
      </w:tr>
    </w:tbl>
    <w:p w14:paraId="397180D7">
      <w:pPr>
        <w:spacing w:line="580" w:lineRule="exact"/>
        <w:ind w:left="630"/>
        <w:rPr>
          <w:rFonts w:ascii="仿宋_GB2312" w:hAnsi="仿宋_GB2312" w:eastAsia="仿宋_GB2312" w:cs="仿宋_GB2312"/>
          <w:sz w:val="32"/>
          <w:szCs w:val="32"/>
        </w:rPr>
      </w:pPr>
    </w:p>
    <w:p w14:paraId="180DD395">
      <w:pPr>
        <w:spacing w:line="580" w:lineRule="exact"/>
        <w:ind w:left="630"/>
        <w:rPr>
          <w:rFonts w:ascii="仿宋_GB2312" w:hAnsi="仿宋_GB2312" w:eastAsia="仿宋_GB2312" w:cs="仿宋_GB2312"/>
          <w:sz w:val="32"/>
          <w:szCs w:val="32"/>
        </w:rPr>
      </w:pPr>
    </w:p>
    <w:p w14:paraId="26021CA7">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7955161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中共广元市昭化区委组织部</w:t>
      </w:r>
      <w:r>
        <w:rPr>
          <w:rFonts w:hint="eastAsia" w:ascii="仿宋_GB2312" w:hAnsi="仿宋_GB2312" w:eastAsia="仿宋_GB2312" w:cs="仿宋_GB2312"/>
          <w:sz w:val="32"/>
          <w:szCs w:val="32"/>
        </w:rPr>
        <w:t>部门2019年部门整体支出绩效评价报告》见附件（附件1）。</w:t>
      </w:r>
    </w:p>
    <w:p w14:paraId="2A798A2C">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东西部扶贫协作人才交流项目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“东西部扶贫协作人才交流</w:t>
      </w:r>
      <w:r>
        <w:rPr>
          <w:rFonts w:hint="eastAsia" w:ascii="仿宋_GB2312" w:hAnsi="仿宋_GB2312" w:eastAsia="仿宋_GB2312" w:cs="仿宋_GB2312"/>
          <w:sz w:val="32"/>
          <w:szCs w:val="32"/>
        </w:rPr>
        <w:t>项目2019年绩效评价报告》见附件（附件2）。</w:t>
      </w:r>
    </w:p>
    <w:p w14:paraId="3F2C1B83">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453F0DC9">
      <w:pPr>
        <w:numPr>
          <w:ilvl w:val="0"/>
          <w:numId w:val="4"/>
        </w:numPr>
        <w:spacing w:line="600" w:lineRule="exact"/>
        <w:ind w:firstLine="660" w:firstLineChars="150"/>
        <w:jc w:val="center"/>
        <w:outlineLvl w:val="0"/>
        <w:rPr>
          <w:rStyle w:val="26"/>
          <w:rFonts w:ascii="黑体" w:hAnsi="黑体" w:eastAsia="黑体"/>
          <w:b w:val="0"/>
        </w:rPr>
      </w:pPr>
      <w:bookmarkStart w:id="57" w:name="_Toc15396613"/>
      <w:bookmarkStart w:id="58" w:name="_Toc15377225"/>
      <w:r>
        <w:rPr>
          <w:rFonts w:hint="eastAsia" w:ascii="黑体" w:hAnsi="黑体" w:eastAsia="黑体"/>
          <w:color w:val="000000"/>
          <w:sz w:val="44"/>
          <w:szCs w:val="44"/>
        </w:rPr>
        <w:t>名</w:t>
      </w:r>
      <w:r>
        <w:rPr>
          <w:rStyle w:val="26"/>
          <w:rFonts w:hint="eastAsia" w:ascii="黑体" w:hAnsi="黑体" w:eastAsia="黑体"/>
          <w:b w:val="0"/>
        </w:rPr>
        <w:t>词解释</w:t>
      </w:r>
      <w:bookmarkEnd w:id="57"/>
      <w:bookmarkEnd w:id="58"/>
    </w:p>
    <w:p w14:paraId="5E650A81">
      <w:pPr>
        <w:spacing w:line="600" w:lineRule="exact"/>
        <w:jc w:val="left"/>
        <w:rPr>
          <w:rFonts w:ascii="宋体"/>
          <w:b/>
          <w:color w:val="000000"/>
          <w:sz w:val="44"/>
          <w:szCs w:val="44"/>
        </w:rPr>
      </w:pPr>
    </w:p>
    <w:p w14:paraId="711F9748">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6E60ABB7">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3853AECB">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36CC8BF2">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352E50C7">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1356C40E">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34645174">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49C33FCC">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3153951D">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14:paraId="47C0BF2D">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14:paraId="6F0347F9">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14:paraId="6567C728">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14:paraId="2754FA55">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14:paraId="0C30E036">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14:paraId="2CB99BCB">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14:paraId="37A65D44">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14:paraId="2EC75BA5">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14:paraId="1955BC0B">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14:paraId="03579CC5">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14:paraId="6A45CA9C">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14:paraId="599EB9EA">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14:paraId="72E83336">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14:paraId="79B50875">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14:paraId="7A85A812">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14:paraId="5C136A6A">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14:paraId="0F339355">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14:paraId="28E830FD">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4111CCDB">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6133EF6B">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6692C06D">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14:paraId="7DFD7D19">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6ED792FC">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1F8D3E57">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1CC910A1">
      <w:pPr>
        <w:pStyle w:val="24"/>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8468D40">
      <w:pPr>
        <w:pStyle w:val="24"/>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813E7B5">
      <w:pPr>
        <w:pStyle w:val="24"/>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14:paraId="7F3555B5">
      <w:pPr>
        <w:pStyle w:val="24"/>
        <w:spacing w:line="560" w:lineRule="exact"/>
        <w:ind w:firstLine="640" w:firstLineChars="200"/>
        <w:rPr>
          <w:rFonts w:ascii="仿宋_GB2312" w:eastAsia="仿宋_GB2312" w:cs="黑体"/>
          <w:sz w:val="32"/>
          <w:szCs w:val="32"/>
        </w:rPr>
      </w:pPr>
    </w:p>
    <w:p w14:paraId="0AD0DAA3">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3C71A6CB">
      <w:pPr>
        <w:spacing w:line="600" w:lineRule="exact"/>
        <w:jc w:val="center"/>
        <w:outlineLvl w:val="0"/>
        <w:rPr>
          <w:rStyle w:val="26"/>
          <w:rFonts w:ascii="黑体" w:hAnsi="黑体" w:eastAsia="黑体"/>
          <w:b w:val="0"/>
        </w:rPr>
      </w:pPr>
      <w:bookmarkStart w:id="59" w:name="_Toc15377226"/>
      <w:r>
        <w:rPr>
          <w:rFonts w:ascii="宋体"/>
          <w:b/>
          <w:color w:val="000000"/>
          <w:sz w:val="44"/>
          <w:szCs w:val="44"/>
        </w:rPr>
        <w:br w:type="page"/>
      </w:r>
      <w:bookmarkStart w:id="60"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60"/>
    </w:p>
    <w:p w14:paraId="52B07E4A">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14:paraId="66F2E515">
      <w:pPr>
        <w:spacing w:line="580" w:lineRule="exact"/>
        <w:jc w:val="center"/>
        <w:rPr>
          <w:rFonts w:ascii="方正小标宋简体" w:hAnsi="方正小标宋简体" w:eastAsia="方正小标宋简体" w:cs="方正小标宋简体"/>
          <w:sz w:val="44"/>
          <w:szCs w:val="44"/>
        </w:rPr>
      </w:pPr>
    </w:p>
    <w:p w14:paraId="61126336">
      <w:pPr>
        <w:spacing w:line="600" w:lineRule="exact"/>
        <w:jc w:val="center"/>
        <w:outlineLvl w:val="0"/>
        <w:rPr>
          <w:rFonts w:ascii="黑体" w:hAnsi="黑体" w:eastAsia="黑体" w:cs="方正小标宋简体"/>
          <w:sz w:val="36"/>
          <w:szCs w:val="36"/>
        </w:rPr>
      </w:pPr>
      <w:bookmarkStart w:id="61" w:name="_Toc15396616"/>
      <w:r>
        <w:rPr>
          <w:rFonts w:hint="eastAsia" w:ascii="黑体" w:hAnsi="黑体" w:eastAsia="黑体" w:cs="方正小标宋简体"/>
          <w:sz w:val="36"/>
          <w:szCs w:val="36"/>
          <w:lang w:eastAsia="zh-CN"/>
        </w:rPr>
        <w:t>中共广元市昭化区委组织部</w:t>
      </w:r>
      <w:r>
        <w:rPr>
          <w:rFonts w:hint="eastAsia" w:ascii="黑体" w:hAnsi="黑体" w:eastAsia="黑体" w:cs="方正小标宋简体"/>
          <w:sz w:val="36"/>
          <w:szCs w:val="36"/>
        </w:rPr>
        <w:t>部门201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w:t>
      </w:r>
      <w:r>
        <w:rPr>
          <w:rFonts w:hint="eastAsia" w:ascii="黑体" w:hAnsi="黑体" w:eastAsia="黑体" w:cs="方正小标宋简体"/>
          <w:sz w:val="36"/>
          <w:szCs w:val="36"/>
          <w:lang w:val="en-US" w:eastAsia="zh-CN"/>
        </w:rPr>
        <w:t xml:space="preserve">      </w:t>
      </w:r>
      <w:r>
        <w:rPr>
          <w:rFonts w:hint="eastAsia" w:ascii="黑体" w:hAnsi="黑体" w:eastAsia="黑体" w:cs="方正小标宋简体"/>
          <w:sz w:val="36"/>
          <w:szCs w:val="36"/>
        </w:rPr>
        <w:t>整体支出绩效评价报告</w:t>
      </w:r>
      <w:bookmarkEnd w:id="61"/>
    </w:p>
    <w:p w14:paraId="075FE1E8">
      <w:pPr>
        <w:spacing w:line="580" w:lineRule="exact"/>
        <w:ind w:firstLine="640" w:firstLineChars="200"/>
        <w:rPr>
          <w:rFonts w:ascii="黑体" w:hAnsi="黑体" w:eastAsia="黑体" w:cs="黑体"/>
          <w:sz w:val="32"/>
          <w:szCs w:val="32"/>
        </w:rPr>
      </w:pPr>
    </w:p>
    <w:p w14:paraId="1BE22641">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3A82C750">
      <w:pPr>
        <w:ind w:firstLine="800" w:firstLineChars="250"/>
        <w:rPr>
          <w:rFonts w:hint="default" w:ascii="仿宋" w:hAnsi="仿宋" w:eastAsia="仿宋" w:cs="仿宋_GB2312"/>
          <w:sz w:val="32"/>
          <w:szCs w:val="32"/>
          <w:lang w:val="en-US"/>
        </w:rPr>
      </w:pPr>
      <w:r>
        <w:rPr>
          <w:rFonts w:ascii="仿宋" w:hAnsi="仿宋" w:eastAsia="仿宋" w:cs="仿宋_GB2312"/>
          <w:sz w:val="32"/>
          <w:szCs w:val="32"/>
        </w:rPr>
        <w:t>（一）机构组成。</w:t>
      </w:r>
      <w:r>
        <w:rPr>
          <w:rFonts w:hint="eastAsia" w:ascii="仿宋" w:hAnsi="仿宋" w:eastAsia="仿宋"/>
          <w:sz w:val="32"/>
          <w:szCs w:val="32"/>
          <w:lang w:eastAsia="zh-CN"/>
        </w:rPr>
        <w:t>组织部</w:t>
      </w:r>
      <w:r>
        <w:rPr>
          <w:rFonts w:hint="eastAsia" w:ascii="仿宋" w:hAnsi="仿宋" w:eastAsia="仿宋"/>
          <w:sz w:val="32"/>
          <w:szCs w:val="32"/>
        </w:rPr>
        <w:t>下属二级单位</w:t>
      </w:r>
      <w:r>
        <w:rPr>
          <w:rFonts w:hint="eastAsia" w:ascii="仿宋" w:hAnsi="仿宋" w:eastAsia="仿宋"/>
          <w:sz w:val="32"/>
          <w:szCs w:val="32"/>
          <w:lang w:val="en-US" w:eastAsia="zh-CN"/>
        </w:rPr>
        <w:t>4</w:t>
      </w:r>
      <w:r>
        <w:rPr>
          <w:rFonts w:hint="eastAsia" w:ascii="仿宋" w:hAnsi="仿宋" w:eastAsia="仿宋"/>
          <w:sz w:val="32"/>
          <w:szCs w:val="32"/>
        </w:rPr>
        <w:t>个，</w:t>
      </w:r>
      <w:r>
        <w:rPr>
          <w:rFonts w:hint="eastAsia" w:ascii="仿宋" w:hAnsi="仿宋" w:eastAsia="仿宋"/>
          <w:sz w:val="32"/>
          <w:szCs w:val="32"/>
          <w:lang w:eastAsia="zh-CN"/>
        </w:rPr>
        <w:t>其中：</w:t>
      </w:r>
      <w:r>
        <w:rPr>
          <w:rFonts w:hint="eastAsia" w:ascii="仿宋" w:hAnsi="仿宋" w:eastAsia="仿宋"/>
          <w:sz w:val="32"/>
          <w:szCs w:val="32"/>
        </w:rPr>
        <w:t>参照公务员法管理的事业单位</w:t>
      </w:r>
      <w:r>
        <w:rPr>
          <w:rFonts w:hint="eastAsia" w:ascii="仿宋" w:hAnsi="仿宋" w:eastAsia="仿宋"/>
          <w:bCs/>
          <w:sz w:val="32"/>
          <w:szCs w:val="32"/>
          <w:lang w:val="en-US" w:eastAsia="zh-CN"/>
        </w:rPr>
        <w:t>2</w:t>
      </w:r>
      <w:r>
        <w:rPr>
          <w:rFonts w:hint="eastAsia" w:ascii="仿宋" w:hAnsi="仿宋" w:eastAsia="仿宋"/>
          <w:sz w:val="32"/>
          <w:szCs w:val="32"/>
        </w:rPr>
        <w:t>个，其他事业单位</w:t>
      </w:r>
      <w:r>
        <w:rPr>
          <w:rFonts w:hint="eastAsia" w:ascii="仿宋" w:hAnsi="仿宋" w:eastAsia="仿宋"/>
          <w:sz w:val="32"/>
          <w:szCs w:val="32"/>
          <w:lang w:val="en-US" w:eastAsia="zh-CN"/>
        </w:rPr>
        <w:t>2</w:t>
      </w:r>
      <w:r>
        <w:rPr>
          <w:rFonts w:hint="eastAsia" w:ascii="仿宋" w:hAnsi="仿宋" w:eastAsia="仿宋"/>
          <w:sz w:val="32"/>
          <w:szCs w:val="32"/>
        </w:rPr>
        <w:t>个。</w:t>
      </w:r>
      <w:r>
        <w:rPr>
          <w:rFonts w:hint="eastAsia" w:ascii="仿宋" w:hAnsi="仿宋" w:eastAsia="仿宋"/>
          <w:sz w:val="32"/>
          <w:szCs w:val="32"/>
          <w:lang w:eastAsia="zh-CN"/>
        </w:rPr>
        <w:t>二级单位包括</w:t>
      </w:r>
      <w:r>
        <w:rPr>
          <w:rFonts w:hint="eastAsia" w:ascii="仿宋" w:hAnsi="仿宋" w:eastAsia="仿宋"/>
          <w:color w:val="000000"/>
          <w:sz w:val="32"/>
          <w:szCs w:val="32"/>
          <w:lang w:eastAsia="zh-CN"/>
        </w:rPr>
        <w:t>广元市昭化区党员教育服务中心、广元市昭化区直属机关党建事务中心、广元市昭化区干部人事档案管理中心和广元市昭化区高层次人次服务中心</w:t>
      </w:r>
      <w:r>
        <w:rPr>
          <w:rFonts w:hint="eastAsia" w:ascii="仿宋" w:hAnsi="仿宋" w:eastAsia="仿宋"/>
          <w:color w:val="000000"/>
          <w:sz w:val="32"/>
          <w:szCs w:val="32"/>
          <w:lang w:val="en-US" w:eastAsia="zh-CN"/>
        </w:rPr>
        <w:t>。</w:t>
      </w:r>
    </w:p>
    <w:p w14:paraId="3D7FF4A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bCs/>
          <w:color w:val="000000"/>
          <w:sz w:val="32"/>
          <w:szCs w:val="32"/>
          <w:lang w:eastAsia="zh-CN"/>
        </w:rPr>
        <w:t>贯彻新时代党的建设总要求和新时代党的组织路线，落实区委相关决策部署。</w:t>
      </w:r>
    </w:p>
    <w:p w14:paraId="1E7B53C1">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（三）人员概况。</w:t>
      </w:r>
      <w:r>
        <w:rPr>
          <w:rFonts w:hint="eastAsia" w:ascii="仿宋" w:hAnsi="仿宋" w:eastAsia="仿宋" w:cs="仿宋_GB2312"/>
          <w:sz w:val="32"/>
          <w:szCs w:val="32"/>
          <w:lang w:eastAsia="zh-CN"/>
        </w:rPr>
        <w:t>行政人员</w:t>
      </w:r>
      <w:r>
        <w:rPr>
          <w:rFonts w:hint="eastAsia" w:ascii="仿宋" w:hAnsi="仿宋" w:eastAsia="仿宋" w:cs="仿宋_GB2312"/>
          <w:sz w:val="32"/>
          <w:szCs w:val="32"/>
          <w:lang w:val="en-US" w:eastAsia="zh-CN"/>
        </w:rPr>
        <w:t>16人，参照公务员法管理人员8人，事业人员3人，财政补助人员5人。</w:t>
      </w:r>
    </w:p>
    <w:p w14:paraId="125A5637">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14:paraId="3AC7D3E3">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（一）部门财政资金收入情况。</w:t>
      </w:r>
      <w:r>
        <w:rPr>
          <w:rFonts w:hint="eastAsia" w:ascii="仿宋" w:hAnsi="仿宋" w:eastAsia="仿宋" w:cs="仿宋_GB2312"/>
          <w:sz w:val="32"/>
          <w:szCs w:val="32"/>
          <w:lang w:eastAsia="zh-CN"/>
        </w:rPr>
        <w:t>区委组织部</w:t>
      </w:r>
      <w:r>
        <w:rPr>
          <w:rFonts w:hint="eastAsia" w:ascii="仿宋" w:hAnsi="仿宋" w:eastAsia="仿宋" w:cs="仿宋_GB2312"/>
          <w:sz w:val="32"/>
          <w:szCs w:val="32"/>
          <w:lang w:val="en-US" w:eastAsia="zh-CN"/>
        </w:rPr>
        <w:t>2019年财政资金收入606.52万元。</w:t>
      </w:r>
    </w:p>
    <w:p w14:paraId="7F570222">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（二）部门财政资金支出情况。</w:t>
      </w:r>
      <w:r>
        <w:rPr>
          <w:rFonts w:hint="eastAsia" w:ascii="仿宋" w:hAnsi="仿宋" w:eastAsia="仿宋" w:cs="仿宋_GB2312"/>
          <w:sz w:val="32"/>
          <w:szCs w:val="32"/>
          <w:lang w:eastAsia="zh-CN"/>
        </w:rPr>
        <w:t>区委组织部</w:t>
      </w:r>
      <w:r>
        <w:rPr>
          <w:rFonts w:hint="eastAsia" w:ascii="仿宋" w:hAnsi="仿宋" w:eastAsia="仿宋" w:cs="仿宋_GB2312"/>
          <w:sz w:val="32"/>
          <w:szCs w:val="32"/>
          <w:lang w:val="en-US" w:eastAsia="zh-CN"/>
        </w:rPr>
        <w:t>2019年财政资金支出585.15万元。</w:t>
      </w:r>
    </w:p>
    <w:p w14:paraId="54F2BEE3">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14:paraId="14A64BB6">
      <w:pPr>
        <w:ind w:firstLine="800" w:firstLineChars="250"/>
        <w:rPr>
          <w:rFonts w:hint="eastAsia" w:ascii="仿宋" w:hAnsi="仿宋" w:eastAsia="仿宋"/>
          <w:sz w:val="32"/>
          <w:szCs w:val="32"/>
        </w:rPr>
      </w:pPr>
      <w:r>
        <w:rPr>
          <w:rFonts w:hint="eastAsia" w:ascii="仿宋" w:hAnsi="仿宋" w:eastAsia="仿宋"/>
          <w:sz w:val="32"/>
          <w:szCs w:val="32"/>
        </w:rPr>
        <w:t>（一）部门预算管理。</w:t>
      </w:r>
    </w:p>
    <w:p w14:paraId="6CED9058">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1、预算管理</w:t>
      </w:r>
    </w:p>
    <w:p w14:paraId="05C92B01">
      <w:p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（1）目标制定。区委组织部209年部门预算项目绩效目标主要围绕当年工作要点制定，包括完成指标、效益指标和满意度指标。</w:t>
      </w:r>
    </w:p>
    <w:p w14:paraId="6EE41E2C">
      <w:p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（2）目标完成情况。根据工作完成情况来看，职能目标、部门预决算编制、预算执行和综合管理完成较好。</w:t>
      </w:r>
    </w:p>
    <w:p w14:paraId="7BF6D067">
      <w:p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部门预算编制情况。我</w:t>
      </w:r>
      <w:r>
        <w:rPr>
          <w:rFonts w:hint="eastAsia" w:ascii="仿宋" w:hAnsi="仿宋" w:eastAsia="仿宋"/>
          <w:sz w:val="32"/>
          <w:szCs w:val="32"/>
          <w:lang w:eastAsia="zh-CN"/>
        </w:rPr>
        <w:t>部</w:t>
      </w:r>
      <w:r>
        <w:rPr>
          <w:rFonts w:hint="eastAsia" w:ascii="仿宋" w:hAnsi="仿宋" w:eastAsia="仿宋"/>
          <w:sz w:val="32"/>
          <w:szCs w:val="32"/>
        </w:rPr>
        <w:t>严格按照规定编制收入预算、支出预算、三公经费预算等。正确使用功能科目和经济科目、准确编列资金性质和资金级次、按政府审定的方案规范编制项目支出，</w:t>
      </w:r>
      <w:r>
        <w:rPr>
          <w:rFonts w:hint="eastAsia" w:ascii="仿宋" w:hAnsi="仿宋" w:eastAsia="仿宋"/>
          <w:sz w:val="32"/>
          <w:szCs w:val="32"/>
          <w:lang w:eastAsia="zh-CN"/>
        </w:rPr>
        <w:t>综合绩效目标编制完整、合理，项目支出绩效目标编制明确、量化。按要求的时间报送部门预算及编制说明。</w:t>
      </w:r>
    </w:p>
    <w:p w14:paraId="508A12E9">
      <w:pPr>
        <w:ind w:left="0" w:leftChars="0"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）支出控制。单位收支执行进度与时间进度同步，严控现金支付，支付范围比例逐年下降，提高公务卡结算比例。</w:t>
      </w:r>
      <w:r>
        <w:rPr>
          <w:rFonts w:hint="eastAsia" w:ascii="仿宋" w:hAnsi="仿宋" w:eastAsia="仿宋"/>
          <w:sz w:val="32"/>
          <w:szCs w:val="32"/>
        </w:rPr>
        <w:t>按规定对财政拨付的专项资金进行自检自查，做好资金的项目和资金使用效益工作，充分发挥各项资金的使用效益，财政各项专项工作按时高质量的完成。</w:t>
      </w:r>
    </w:p>
    <w:p w14:paraId="4ABEB97F">
      <w:pPr>
        <w:ind w:firstLine="800" w:firstLineChars="250"/>
        <w:rPr>
          <w:rFonts w:hint="eastAsia" w:ascii="仿宋" w:hAnsi="仿宋" w:eastAsia="仿宋"/>
          <w:sz w:val="32"/>
          <w:szCs w:val="32"/>
          <w:lang w:eastAsia="zh-CN"/>
        </w:rPr>
      </w:pPr>
    </w:p>
    <w:p w14:paraId="5E2EE426">
      <w:pPr>
        <w:ind w:left="0" w:leftChars="0"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）预算完成情况。区委组织部</w:t>
      </w:r>
      <w:r>
        <w:rPr>
          <w:rFonts w:hint="eastAsia" w:ascii="仿宋" w:hAnsi="仿宋" w:eastAsia="仿宋"/>
          <w:sz w:val="32"/>
          <w:szCs w:val="32"/>
          <w:lang w:val="en-US" w:eastAsia="zh-CN"/>
        </w:rPr>
        <w:t>2019年一般公共预算财政拨款收入606.52万元，一般公共预算财政拨款支出585.15万元，预算完成率96.47%.</w:t>
      </w:r>
    </w:p>
    <w:p w14:paraId="09408C39">
      <w:pPr>
        <w:ind w:left="0" w:leftChars="0" w:firstLine="640" w:firstLineChars="200"/>
        <w:rPr>
          <w:rFonts w:hint="eastAsia" w:ascii="仿宋" w:hAnsi="仿宋" w:eastAsia="仿宋"/>
          <w:sz w:val="32"/>
          <w:szCs w:val="32"/>
        </w:rPr>
      </w:pPr>
      <w:r>
        <w:rPr>
          <w:rFonts w:hint="eastAsia" w:ascii="仿宋" w:hAnsi="仿宋" w:eastAsia="仿宋"/>
          <w:sz w:val="32"/>
          <w:szCs w:val="32"/>
        </w:rPr>
        <w:t>（二）专项预算管理。</w:t>
      </w:r>
    </w:p>
    <w:p w14:paraId="12D2ADB7">
      <w:p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rPr>
        <w:t>我</w:t>
      </w:r>
      <w:r>
        <w:rPr>
          <w:rFonts w:hint="eastAsia" w:ascii="仿宋" w:hAnsi="仿宋" w:eastAsia="仿宋"/>
          <w:sz w:val="32"/>
          <w:szCs w:val="32"/>
          <w:lang w:eastAsia="zh-CN"/>
        </w:rPr>
        <w:t>部</w:t>
      </w:r>
      <w:r>
        <w:rPr>
          <w:rFonts w:hint="eastAsia" w:ascii="仿宋" w:hAnsi="仿宋" w:eastAsia="仿宋"/>
          <w:sz w:val="32"/>
          <w:szCs w:val="32"/>
          <w:lang w:val="en-US" w:eastAsia="zh-CN"/>
        </w:rPr>
        <w:t>2019年东西部扶贫协作人才交流经费32万元,针对项目资金，严控</w:t>
      </w:r>
      <w:r>
        <w:rPr>
          <w:rFonts w:hint="eastAsia" w:ascii="仿宋" w:hAnsi="仿宋" w:eastAsia="仿宋"/>
          <w:sz w:val="32"/>
          <w:szCs w:val="32"/>
        </w:rPr>
        <w:t>使用和管理，以不断增强经费保障</w:t>
      </w:r>
      <w:r>
        <w:rPr>
          <w:rFonts w:hint="eastAsia" w:ascii="仿宋" w:hAnsi="仿宋" w:eastAsia="仿宋"/>
          <w:sz w:val="32"/>
          <w:szCs w:val="32"/>
          <w:lang w:eastAsia="zh-CN"/>
        </w:rPr>
        <w:t>扎实开展基层干部异地培训</w:t>
      </w:r>
      <w:r>
        <w:rPr>
          <w:rFonts w:hint="eastAsia" w:ascii="仿宋" w:hAnsi="仿宋" w:eastAsia="仿宋"/>
          <w:sz w:val="32"/>
          <w:szCs w:val="32"/>
        </w:rPr>
        <w:t>，</w:t>
      </w:r>
      <w:r>
        <w:rPr>
          <w:rFonts w:hint="eastAsia" w:ascii="仿宋" w:hAnsi="仿宋" w:eastAsia="仿宋"/>
          <w:sz w:val="32"/>
          <w:szCs w:val="32"/>
          <w:lang w:eastAsia="zh-CN"/>
        </w:rPr>
        <w:t>提升了基层干部综合能力，</w:t>
      </w:r>
      <w:r>
        <w:rPr>
          <w:rFonts w:hint="eastAsia" w:ascii="仿宋" w:hAnsi="仿宋" w:eastAsia="仿宋"/>
          <w:sz w:val="32"/>
          <w:szCs w:val="32"/>
        </w:rPr>
        <w:t>做到了专款专用，管好用好，充分发挥资金的使用效益</w:t>
      </w:r>
      <w:r>
        <w:rPr>
          <w:rFonts w:hint="eastAsia" w:ascii="仿宋" w:hAnsi="仿宋" w:eastAsia="仿宋"/>
          <w:sz w:val="32"/>
          <w:szCs w:val="32"/>
          <w:lang w:val="en-US" w:eastAsia="zh-CN"/>
        </w:rPr>
        <w:t>。</w:t>
      </w:r>
    </w:p>
    <w:p w14:paraId="2D5DCB3C">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69ECE425">
      <w:p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（一）评价结论。</w:t>
      </w:r>
    </w:p>
    <w:p w14:paraId="47D0D861">
      <w:pPr>
        <w:ind w:firstLine="800" w:firstLineChars="250"/>
        <w:rPr>
          <w:rFonts w:hint="default" w:ascii="仿宋" w:hAnsi="仿宋" w:eastAsia="仿宋"/>
          <w:sz w:val="32"/>
          <w:szCs w:val="32"/>
          <w:lang w:val="en-US" w:eastAsia="zh-CN"/>
        </w:rPr>
      </w:pPr>
      <w:r>
        <w:rPr>
          <w:rFonts w:hint="eastAsia" w:ascii="仿宋" w:hAnsi="仿宋" w:eastAsia="仿宋"/>
          <w:sz w:val="32"/>
          <w:szCs w:val="32"/>
          <w:lang w:val="en-US" w:eastAsia="zh-CN"/>
        </w:rPr>
        <w:t>总体来看，区委组织部较好完成了年度总体绩效目标，部门综合管理有效，专项项目规划合理，项目实施效果明显。</w:t>
      </w:r>
    </w:p>
    <w:p w14:paraId="2A885243">
      <w:p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（二）存在问题。</w:t>
      </w:r>
    </w:p>
    <w:p w14:paraId="0A20C2BC">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1、经济科目支出和收入不匹配；</w:t>
      </w:r>
    </w:p>
    <w:p w14:paraId="40FEB0B1">
      <w:pPr>
        <w:ind w:firstLine="800" w:firstLineChars="250"/>
        <w:rPr>
          <w:rFonts w:hint="default" w:ascii="仿宋" w:hAnsi="仿宋" w:eastAsia="仿宋"/>
          <w:sz w:val="32"/>
          <w:szCs w:val="32"/>
          <w:lang w:val="en-US" w:eastAsia="zh-CN"/>
        </w:rPr>
      </w:pPr>
      <w:r>
        <w:rPr>
          <w:rFonts w:hint="eastAsia" w:ascii="仿宋" w:hAnsi="仿宋" w:eastAsia="仿宋"/>
          <w:sz w:val="32"/>
          <w:szCs w:val="32"/>
          <w:lang w:val="en-US" w:eastAsia="zh-CN"/>
        </w:rPr>
        <w:t>2、公务卡使用不达标；</w:t>
      </w:r>
    </w:p>
    <w:p w14:paraId="270727F8">
      <w:pPr>
        <w:ind w:firstLine="800" w:firstLineChars="250"/>
        <w:rPr>
          <w:rFonts w:hint="eastAsia" w:ascii="仿宋" w:hAnsi="仿宋" w:eastAsia="仿宋"/>
          <w:sz w:val="32"/>
          <w:szCs w:val="32"/>
          <w:lang w:eastAsia="zh-CN"/>
        </w:rPr>
      </w:pPr>
      <w:r>
        <w:rPr>
          <w:rFonts w:hint="eastAsia" w:ascii="仿宋" w:hAnsi="仿宋" w:eastAsia="仿宋"/>
          <w:sz w:val="32"/>
          <w:szCs w:val="32"/>
          <w:lang w:eastAsia="zh-CN"/>
        </w:rPr>
        <w:t>（三）改进建议。</w:t>
      </w:r>
    </w:p>
    <w:p w14:paraId="3404053E">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1、加强预算收入和支付管理，严格实施绩效目标管理，将绩效目标作为编制预算的必要前提，提高预算编制准确性。</w:t>
      </w:r>
    </w:p>
    <w:p w14:paraId="4DC657D1">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2、加强公务卡的使用，能够使用公务卡支付的尽量使用公务卡支付。</w:t>
      </w:r>
    </w:p>
    <w:p w14:paraId="23CF651D">
      <w:pPr>
        <w:pStyle w:val="2"/>
      </w:pPr>
    </w:p>
    <w:p w14:paraId="11D4773F">
      <w:pPr>
        <w:spacing w:line="580" w:lineRule="exact"/>
        <w:ind w:firstLine="640" w:firstLineChars="200"/>
        <w:rPr>
          <w:rFonts w:ascii="仿宋_GB2312" w:hAnsi="仿宋_GB2312" w:eastAsia="仿宋_GB2312" w:cs="仿宋_GB2312"/>
          <w:sz w:val="32"/>
          <w:szCs w:val="32"/>
        </w:rPr>
      </w:pPr>
    </w:p>
    <w:p w14:paraId="224084BE">
      <w:pPr>
        <w:spacing w:line="580" w:lineRule="exact"/>
        <w:ind w:firstLine="640" w:firstLineChars="200"/>
        <w:rPr>
          <w:rFonts w:ascii="仿宋_GB2312" w:hAnsi="仿宋_GB2312" w:eastAsia="仿宋_GB2312" w:cs="仿宋_GB2312"/>
          <w:sz w:val="32"/>
          <w:szCs w:val="32"/>
        </w:rPr>
      </w:pPr>
    </w:p>
    <w:p w14:paraId="5C5A06F4">
      <w:pPr>
        <w:spacing w:line="580" w:lineRule="exact"/>
        <w:rPr>
          <w:rFonts w:hint="eastAsia" w:ascii="黑体" w:hAnsi="黑体" w:eastAsia="黑体" w:cs="黑体"/>
          <w:sz w:val="32"/>
          <w:szCs w:val="32"/>
        </w:rPr>
      </w:pPr>
    </w:p>
    <w:p w14:paraId="1BF1FAE7">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14:paraId="25111AED">
      <w:pPr>
        <w:spacing w:line="580" w:lineRule="exact"/>
        <w:ind w:firstLine="640" w:firstLineChars="200"/>
        <w:rPr>
          <w:rFonts w:ascii="仿宋_GB2312" w:hAnsi="仿宋_GB2312" w:eastAsia="仿宋_GB2312" w:cs="仿宋_GB2312"/>
          <w:sz w:val="32"/>
          <w:szCs w:val="32"/>
        </w:rPr>
      </w:pPr>
    </w:p>
    <w:p w14:paraId="542C00BC">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东西部扶贫协作人才交流</w:t>
      </w:r>
      <w:r>
        <w:rPr>
          <w:rFonts w:hint="eastAsia" w:ascii="方正小标宋简体" w:hAnsi="宋体" w:eastAsia="方正小标宋简体"/>
          <w:color w:val="000000"/>
          <w:kern w:val="0"/>
          <w:sz w:val="44"/>
          <w:szCs w:val="44"/>
          <w:lang w:val="zh-CN"/>
        </w:rPr>
        <w:t>项目</w:t>
      </w:r>
    </w:p>
    <w:p w14:paraId="34FFD25F">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14:paraId="68EBAFB6">
      <w:pPr>
        <w:spacing w:line="600" w:lineRule="exact"/>
        <w:rPr>
          <w:rFonts w:ascii="宋体" w:hAnsi="宋体"/>
          <w:sz w:val="32"/>
          <w:szCs w:val="32"/>
          <w:lang w:val="zh-CN"/>
        </w:rPr>
      </w:pPr>
    </w:p>
    <w:p w14:paraId="11E2FE3E">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14:paraId="5390C8EC">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（一）项目基本情况。</w:t>
      </w:r>
    </w:p>
    <w:p w14:paraId="1927C0A3">
      <w:pPr>
        <w:adjustRightInd w:val="0"/>
        <w:snapToGrid w:val="0"/>
        <w:spacing w:line="600"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1.项目主管单位：广元市昭化区委组织部。职能：负责项目方案编制、组织项目实施、资金拨付、培训资料收集等。</w:t>
      </w:r>
    </w:p>
    <w:p w14:paraId="6B0A129E">
      <w:pPr>
        <w:adjustRightInd w:val="0"/>
        <w:snapToGrid w:val="0"/>
        <w:spacing w:line="600"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2.项目立项、资金申报的依据：根据昭浙广扶贫办[2019]5号文件实施内容，选派乡干部30人，村干部50人赴龙泉市跟班学习。</w:t>
      </w:r>
    </w:p>
    <w:p w14:paraId="4183985C">
      <w:pPr>
        <w:adjustRightInd w:val="0"/>
        <w:snapToGrid w:val="0"/>
        <w:spacing w:line="600" w:lineRule="exact"/>
        <w:ind w:firstLine="720"/>
        <w:rPr>
          <w:rFonts w:hint="eastAsia" w:ascii="仿宋" w:hAnsi="仿宋" w:eastAsia="仿宋" w:cs="仿宋"/>
          <w:b w:val="0"/>
          <w:bCs/>
          <w:color w:val="auto"/>
          <w:sz w:val="32"/>
          <w:szCs w:val="32"/>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3.资金管理办法制定情况，资金支持具体项目的条件、范围与支持方式概况：主要</w:t>
      </w:r>
      <w:r>
        <w:rPr>
          <w:rFonts w:hint="eastAsia" w:ascii="仿宋" w:hAnsi="仿宋" w:eastAsia="仿宋" w:cs="仿宋"/>
          <w:b w:val="0"/>
          <w:bCs/>
          <w:color w:val="auto"/>
          <w:sz w:val="32"/>
          <w:szCs w:val="32"/>
        </w:rPr>
        <w:t>组织</w:t>
      </w:r>
      <w:r>
        <w:rPr>
          <w:rFonts w:hint="eastAsia" w:ascii="仿宋" w:hAnsi="仿宋" w:eastAsia="仿宋" w:cs="仿宋"/>
          <w:b w:val="0"/>
          <w:bCs/>
          <w:color w:val="auto"/>
          <w:sz w:val="32"/>
          <w:szCs w:val="32"/>
          <w:lang w:val="en-US" w:eastAsia="zh-CN"/>
        </w:rPr>
        <w:t>各村（社区）党组织书记（主任）、村级后备干部</w:t>
      </w:r>
      <w:r>
        <w:rPr>
          <w:rFonts w:hint="eastAsia" w:ascii="仿宋" w:hAnsi="仿宋" w:eastAsia="仿宋" w:cs="仿宋"/>
          <w:b w:val="0"/>
          <w:bCs/>
          <w:color w:val="auto"/>
          <w:sz w:val="32"/>
          <w:szCs w:val="32"/>
        </w:rPr>
        <w:t>，赴龙泉市跟班学习</w:t>
      </w:r>
      <w:r>
        <w:rPr>
          <w:rFonts w:hint="eastAsia" w:ascii="仿宋" w:hAnsi="仿宋" w:eastAsia="仿宋" w:cs="仿宋"/>
          <w:b w:val="0"/>
          <w:bCs/>
          <w:color w:val="auto"/>
          <w:sz w:val="32"/>
          <w:szCs w:val="32"/>
          <w:lang w:val="en-US" w:eastAsia="zh-CN"/>
        </w:rPr>
        <w:t>1—2</w:t>
      </w:r>
      <w:r>
        <w:rPr>
          <w:rFonts w:hint="eastAsia" w:ascii="仿宋" w:hAnsi="仿宋" w:eastAsia="仿宋" w:cs="仿宋"/>
          <w:b w:val="0"/>
          <w:bCs/>
          <w:color w:val="auto"/>
          <w:sz w:val="32"/>
          <w:szCs w:val="32"/>
        </w:rPr>
        <w:t>周</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资金用于基层干部人才生活补助及交通补助。</w:t>
      </w:r>
    </w:p>
    <w:p w14:paraId="681E70D2">
      <w:pPr>
        <w:adjustRightInd w:val="0"/>
        <w:snapToGrid w:val="0"/>
        <w:spacing w:line="600"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4.资金分配原则及考虑因素：结合往返交通费实际，项目资金按照人头进行补助，补助标准：生活补助标准按照每人1000元，差旅费补助标准按照每人3000元。</w:t>
      </w:r>
    </w:p>
    <w:p w14:paraId="2E7C48A5">
      <w:pPr>
        <w:adjustRightInd w:val="0"/>
        <w:snapToGrid w:val="0"/>
        <w:spacing w:line="600" w:lineRule="exact"/>
        <w:ind w:firstLine="72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zh-CN"/>
        </w:rPr>
        <w:t>（二）项目绩效目标。</w:t>
      </w:r>
    </w:p>
    <w:p w14:paraId="58F82DE6">
      <w:pPr>
        <w:adjustRightInd w:val="0"/>
        <w:snapToGrid w:val="0"/>
        <w:spacing w:line="600"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1.项目主要内容：用于基层干部人才赴龙泉跟班学习过程中交通、生活等费用保障。</w:t>
      </w:r>
    </w:p>
    <w:p w14:paraId="04C5B90D">
      <w:pPr>
        <w:adjustRightInd w:val="0"/>
        <w:snapToGrid w:val="0"/>
        <w:spacing w:line="600"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2.项目应实现的具体绩效目标，包括目标的量化、细化情况以及项目实施进度计划等：项目实施保证全区各村（社区）党组织书记（主任）到龙泉乡镇（街道）相关村（社区）进行全覆盖跟班学习。</w:t>
      </w:r>
    </w:p>
    <w:p w14:paraId="2E2E6E75">
      <w:pPr>
        <w:adjustRightInd w:val="0"/>
        <w:snapToGrid w:val="0"/>
        <w:spacing w:line="600" w:lineRule="exact"/>
        <w:ind w:firstLine="720"/>
        <w:rPr>
          <w:rFonts w:hint="eastAsia" w:ascii="仿宋" w:hAnsi="仿宋" w:eastAsia="仿宋" w:cs="仿宋"/>
          <w:b w:val="0"/>
          <w:bCs/>
          <w:lang w:val="en-US" w:eastAsia="zh-CN"/>
        </w:rPr>
      </w:pPr>
      <w:r>
        <w:rPr>
          <w:rFonts w:hint="eastAsia" w:ascii="仿宋" w:hAnsi="仿宋" w:eastAsia="仿宋" w:cs="仿宋"/>
          <w:b w:val="0"/>
          <w:bCs/>
          <w:i w:val="0"/>
          <w:caps w:val="0"/>
          <w:color w:val="auto"/>
          <w:spacing w:val="0"/>
          <w:kern w:val="2"/>
          <w:sz w:val="32"/>
          <w:szCs w:val="32"/>
          <w:shd w:val="clear" w:color="auto" w:fill="FFFFFF"/>
          <w:lang w:val="en-US" w:eastAsia="zh-CN" w:bidi="ar-SA"/>
        </w:rPr>
        <w:t>3.分析评价申报内容是否与实际相符，申报目标是否合理可行：申报内容与实际相符，申报目标合理可行。</w:t>
      </w:r>
    </w:p>
    <w:p w14:paraId="712CA9FC">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（三）项目自评步骤及方法。</w:t>
      </w:r>
    </w:p>
    <w:p w14:paraId="71677E20">
      <w:pPr>
        <w:adjustRightInd w:val="0"/>
        <w:snapToGrid w:val="0"/>
        <w:spacing w:line="600" w:lineRule="exact"/>
        <w:ind w:firstLine="720"/>
        <w:rPr>
          <w:rFonts w:hint="eastAsia" w:ascii="仿宋" w:hAnsi="仿宋" w:eastAsia="仿宋" w:cs="仿宋"/>
          <w:b w:val="0"/>
          <w:bCs/>
          <w:sz w:val="32"/>
          <w:szCs w:val="32"/>
          <w:lang w:val="en-US" w:eastAsia="zh-CN"/>
        </w:rPr>
      </w:pPr>
      <w:r>
        <w:rPr>
          <w:rFonts w:hint="eastAsia" w:ascii="仿宋" w:hAnsi="仿宋" w:eastAsia="仿宋" w:cs="仿宋"/>
          <w:b w:val="0"/>
          <w:bCs/>
          <w:i w:val="0"/>
          <w:caps w:val="0"/>
          <w:color w:val="auto"/>
          <w:spacing w:val="0"/>
          <w:kern w:val="2"/>
          <w:sz w:val="32"/>
          <w:szCs w:val="32"/>
          <w:shd w:val="clear" w:color="auto" w:fill="FFFFFF"/>
          <w:lang w:val="en-US" w:eastAsia="zh-CN" w:bidi="ar-SA"/>
        </w:rPr>
        <w:t>首先由相关股室草拟自评报告，分别报分管领导、主要领导审阅后再报送。我部自评分数为98分。</w:t>
      </w:r>
    </w:p>
    <w:p w14:paraId="6B28F99E">
      <w:pPr>
        <w:adjustRightInd w:val="0"/>
        <w:snapToGrid w:val="0"/>
        <w:spacing w:line="600" w:lineRule="exact"/>
        <w:ind w:firstLine="720"/>
        <w:rPr>
          <w:rFonts w:hint="eastAsia" w:ascii="仿宋" w:hAnsi="仿宋" w:eastAsia="仿宋" w:cs="仿宋"/>
          <w:b w:val="0"/>
          <w:bCs/>
          <w:sz w:val="32"/>
          <w:szCs w:val="32"/>
        </w:rPr>
      </w:pPr>
      <w:r>
        <w:rPr>
          <w:rFonts w:hint="eastAsia" w:ascii="仿宋" w:hAnsi="仿宋" w:eastAsia="仿宋" w:cs="仿宋"/>
          <w:b w:val="0"/>
          <w:bCs/>
          <w:sz w:val="32"/>
          <w:szCs w:val="32"/>
        </w:rPr>
        <w:t>二、项目资金申报及使用情况</w:t>
      </w:r>
    </w:p>
    <w:p w14:paraId="3180F8DC">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（一）项目资金申报及批复情况。</w:t>
      </w:r>
    </w:p>
    <w:p w14:paraId="7F02C722">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此项目为东西部扶贫协作干部人才交流项目，资金来源为东西部扶贫协作资金。</w:t>
      </w:r>
    </w:p>
    <w:p w14:paraId="7B084EEF">
      <w:pPr>
        <w:adjustRightInd w:val="0"/>
        <w:snapToGrid w:val="0"/>
        <w:spacing w:line="600" w:lineRule="exact"/>
        <w:ind w:firstLine="72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（二）资金计划、到位及使用情况（可用表格形式反映）。</w:t>
      </w:r>
    </w:p>
    <w:p w14:paraId="6AD718D3">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zh-CN" w:eastAsia="zh-CN" w:bidi="ar-SA"/>
        </w:rPr>
        <w:t>1．资金计划。</w:t>
      </w:r>
      <w:r>
        <w:rPr>
          <w:rFonts w:hint="eastAsia" w:ascii="仿宋" w:hAnsi="仿宋" w:eastAsia="仿宋" w:cs="仿宋"/>
          <w:b w:val="0"/>
          <w:bCs/>
          <w:i w:val="0"/>
          <w:caps w:val="0"/>
          <w:color w:val="auto"/>
          <w:spacing w:val="0"/>
          <w:kern w:val="2"/>
          <w:sz w:val="32"/>
          <w:szCs w:val="32"/>
          <w:shd w:val="clear" w:color="auto" w:fill="FFFFFF"/>
          <w:lang w:val="en-US" w:eastAsia="zh-CN" w:bidi="ar-SA"/>
        </w:rPr>
        <w:t>2019年项目计划资金50万元。</w:t>
      </w:r>
    </w:p>
    <w:p w14:paraId="0A1C7081">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zh-CN" w:eastAsia="zh-CN" w:bidi="ar-SA"/>
        </w:rPr>
        <w:t>2．资金到位。</w:t>
      </w:r>
      <w:r>
        <w:rPr>
          <w:rFonts w:hint="eastAsia" w:ascii="仿宋" w:hAnsi="仿宋" w:eastAsia="仿宋" w:cs="仿宋"/>
          <w:b w:val="0"/>
          <w:bCs/>
          <w:i w:val="0"/>
          <w:caps w:val="0"/>
          <w:color w:val="auto"/>
          <w:spacing w:val="0"/>
          <w:kern w:val="2"/>
          <w:sz w:val="32"/>
          <w:szCs w:val="32"/>
          <w:shd w:val="clear" w:color="auto" w:fill="FFFFFF"/>
          <w:lang w:val="en-US" w:eastAsia="zh-CN" w:bidi="ar-SA"/>
        </w:rPr>
        <w:t>全部资金按时到位。</w:t>
      </w:r>
    </w:p>
    <w:p w14:paraId="10ED1E8A">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zh-CN" w:eastAsia="zh-CN" w:bidi="ar-SA"/>
        </w:rPr>
        <w:t>3．资金使用。</w:t>
      </w:r>
      <w:r>
        <w:rPr>
          <w:rFonts w:hint="eastAsia" w:ascii="仿宋" w:hAnsi="仿宋" w:eastAsia="仿宋" w:cs="仿宋"/>
          <w:b w:val="0"/>
          <w:bCs/>
          <w:i w:val="0"/>
          <w:caps w:val="0"/>
          <w:color w:val="auto"/>
          <w:spacing w:val="0"/>
          <w:kern w:val="2"/>
          <w:sz w:val="32"/>
          <w:szCs w:val="32"/>
          <w:shd w:val="clear" w:color="auto" w:fill="FFFFFF"/>
          <w:lang w:val="en-US" w:eastAsia="zh-CN" w:bidi="ar-SA"/>
        </w:rPr>
        <w:t>附件2-1</w:t>
      </w:r>
    </w:p>
    <w:p w14:paraId="58DF9A5E">
      <w:pPr>
        <w:adjustRightInd w:val="0"/>
        <w:snapToGrid w:val="0"/>
        <w:spacing w:line="600" w:lineRule="exact"/>
        <w:ind w:firstLine="72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（三）项目财务管理情况。</w:t>
      </w:r>
    </w:p>
    <w:p w14:paraId="304A7390">
      <w:pPr>
        <w:adjustRightInd w:val="0"/>
        <w:snapToGrid w:val="0"/>
        <w:spacing w:line="600" w:lineRule="exact"/>
        <w:ind w:firstLine="720"/>
        <w:rPr>
          <w:rFonts w:hint="eastAsia" w:ascii="仿宋" w:hAnsi="仿宋" w:eastAsia="仿宋" w:cs="仿宋"/>
          <w:b w:val="0"/>
          <w:bCs/>
          <w:sz w:val="32"/>
          <w:szCs w:val="32"/>
          <w:lang w:val="en-US" w:eastAsia="zh-CN"/>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根据项目预算制定项目实施方案，按照项目资金预算开展项目，项目完成后，根据项目方案和实施的结果进行审核、审批。资金拨付严格按照财务管理制度进行，发放复查由财务人员按照财务制度进行资金审核、支付和核算，所有支出均通过财政直接支付方式拨付给基层干部，做到专款专用，拨付及时，入账及时，核算规范。</w:t>
      </w:r>
    </w:p>
    <w:p w14:paraId="791EA362">
      <w:pPr>
        <w:adjustRightInd w:val="0"/>
        <w:snapToGrid w:val="0"/>
        <w:spacing w:line="600" w:lineRule="exact"/>
        <w:ind w:firstLine="720"/>
        <w:rPr>
          <w:rFonts w:hint="eastAsia" w:ascii="仿宋" w:hAnsi="仿宋" w:eastAsia="仿宋" w:cs="仿宋"/>
          <w:b w:val="0"/>
          <w:bCs/>
          <w:sz w:val="32"/>
          <w:szCs w:val="32"/>
        </w:rPr>
      </w:pPr>
      <w:r>
        <w:rPr>
          <w:rFonts w:hint="eastAsia" w:ascii="仿宋" w:hAnsi="仿宋" w:eastAsia="仿宋" w:cs="仿宋"/>
          <w:b w:val="0"/>
          <w:bCs/>
          <w:sz w:val="32"/>
          <w:szCs w:val="32"/>
        </w:rPr>
        <w:t>三、项目实施及管理情况</w:t>
      </w:r>
    </w:p>
    <w:p w14:paraId="75893321">
      <w:pPr>
        <w:adjustRightInd w:val="0"/>
        <w:snapToGrid w:val="0"/>
        <w:spacing w:line="600" w:lineRule="exact"/>
        <w:ind w:firstLine="72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（一）项目组织架构及实施流程。</w:t>
      </w:r>
    </w:p>
    <w:p w14:paraId="166045D5">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1.项目业务由区委组织部根据项目申报和经费下达情况进行项目方案编制。</w:t>
      </w:r>
    </w:p>
    <w:p w14:paraId="0D9E38CB">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2.区委组织部与龙泉市委组织部及相关乡镇对接，并选派我区赴龙泉跟班学习人员。</w:t>
      </w:r>
    </w:p>
    <w:p w14:paraId="254537C3">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3.区委组织部收集相关发票等材料，按相关要求的进度拨付资金。</w:t>
      </w:r>
    </w:p>
    <w:p w14:paraId="1DB900E4">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（二）项目管理情况。</w:t>
      </w:r>
    </w:p>
    <w:p w14:paraId="012547B2">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此项目为东西部扶贫协作干部人才交流项目，主要为我区基层干部人才提供学习交流平台，全面增强基层干部综合能力，开拓视野和眼界。各镇党委根据实际情况，拟定学习内容，制定具体方案，并报区委组织部审核。</w:t>
      </w:r>
    </w:p>
    <w:p w14:paraId="5C33873C">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（三）项目监管情况。</w:t>
      </w:r>
    </w:p>
    <w:p w14:paraId="42028997">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zh-CN"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各镇抽派分管领导进行带队管理，区委组织部对跟班学习纪律等进行监督，对学习资料进行收集。各镇要对跟班学习情况形成专题报告，于跟班学习结束后5个工作日内报区委组织部。</w:t>
      </w:r>
    </w:p>
    <w:p w14:paraId="015640E3">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rPr>
        <w:t>四、项目绩效情况</w:t>
      </w:r>
      <w:r>
        <w:rPr>
          <w:rFonts w:hint="eastAsia" w:ascii="仿宋" w:hAnsi="仿宋" w:eastAsia="仿宋" w:cs="仿宋"/>
          <w:b w:val="0"/>
          <w:bCs/>
          <w:sz w:val="32"/>
          <w:szCs w:val="32"/>
          <w:lang w:val="zh-CN"/>
        </w:rPr>
        <w:tab/>
      </w:r>
    </w:p>
    <w:p w14:paraId="7316588E">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（一）项目完成情况。</w:t>
      </w:r>
    </w:p>
    <w:p w14:paraId="30DB439D">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对我区80名村（社区）党组织书记（主任）实现基层跟班学习，并按时按质完成项目计划目标。</w:t>
      </w:r>
    </w:p>
    <w:p w14:paraId="039829B8">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（二）项目效益情况。</w:t>
      </w:r>
    </w:p>
    <w:p w14:paraId="79611C43">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基层干部人才赴龙泉跟班学习项目实施达到了预期的社会效益、可持续效益。通过交流合作，促进观念互通、思路互动、技术互学、作风互鉴，有力保障了基层干部人才锻炼成长进步的目的，并为我区提供了坚强的人才保障和智力保障。</w:t>
      </w:r>
    </w:p>
    <w:p w14:paraId="7C1D1A9A">
      <w:pPr>
        <w:adjustRightInd w:val="0"/>
        <w:snapToGrid w:val="0"/>
        <w:spacing w:line="600" w:lineRule="exact"/>
        <w:ind w:firstLine="720"/>
        <w:rPr>
          <w:rFonts w:hint="eastAsia" w:ascii="仿宋" w:hAnsi="仿宋" w:eastAsia="仿宋" w:cs="仿宋"/>
          <w:b w:val="0"/>
          <w:bCs/>
          <w:sz w:val="32"/>
          <w:szCs w:val="32"/>
        </w:rPr>
      </w:pPr>
      <w:r>
        <w:rPr>
          <w:rFonts w:hint="eastAsia" w:ascii="仿宋" w:hAnsi="仿宋" w:eastAsia="仿宋" w:cs="仿宋"/>
          <w:b w:val="0"/>
          <w:bCs/>
          <w:sz w:val="32"/>
          <w:szCs w:val="32"/>
        </w:rPr>
        <w:t>五、评价结论及建议</w:t>
      </w:r>
    </w:p>
    <w:p w14:paraId="744252F2">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（一）评价结论。</w:t>
      </w:r>
    </w:p>
    <w:p w14:paraId="72C7D3B7">
      <w:pPr>
        <w:adjustRightInd w:val="0"/>
        <w:snapToGrid w:val="0"/>
        <w:spacing w:line="600" w:lineRule="exact"/>
        <w:ind w:firstLine="720"/>
        <w:rPr>
          <w:rFonts w:hint="eastAsia" w:ascii="仿宋" w:hAnsi="仿宋" w:eastAsia="仿宋" w:cs="仿宋"/>
          <w:b w:val="0"/>
          <w:bCs/>
          <w:lang w:val="en-US" w:eastAsia="zh-CN"/>
        </w:rPr>
      </w:pPr>
      <w:r>
        <w:rPr>
          <w:rFonts w:hint="eastAsia" w:ascii="仿宋" w:hAnsi="仿宋" w:eastAsia="仿宋" w:cs="仿宋"/>
          <w:b w:val="0"/>
          <w:bCs/>
          <w:i w:val="0"/>
          <w:caps w:val="0"/>
          <w:color w:val="auto"/>
          <w:spacing w:val="0"/>
          <w:kern w:val="2"/>
          <w:sz w:val="32"/>
          <w:szCs w:val="32"/>
          <w:shd w:val="clear" w:color="auto" w:fill="FFFFFF"/>
          <w:lang w:val="en-US" w:eastAsia="zh-CN" w:bidi="ar-SA"/>
        </w:rPr>
        <w:t>项目决策符合国家政策方针、符合东西部扶贫协作要求，管理符合相关制度，严格完成项目任务，项目的实施达到了预期的社会效益、可持续效益，有力保障了基层干部人才锻炼成长进步的目的，并为我区提供了坚强的人才保障。</w:t>
      </w:r>
    </w:p>
    <w:p w14:paraId="158ED152">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（二）存在的问题。</w:t>
      </w:r>
    </w:p>
    <w:p w14:paraId="608809F9">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zh-CN"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无</w:t>
      </w:r>
      <w:r>
        <w:rPr>
          <w:rFonts w:hint="eastAsia" w:ascii="仿宋" w:hAnsi="仿宋" w:eastAsia="仿宋" w:cs="仿宋"/>
          <w:b w:val="0"/>
          <w:bCs/>
          <w:i w:val="0"/>
          <w:caps w:val="0"/>
          <w:color w:val="auto"/>
          <w:spacing w:val="0"/>
          <w:kern w:val="2"/>
          <w:sz w:val="32"/>
          <w:szCs w:val="32"/>
          <w:shd w:val="clear" w:color="auto" w:fill="FFFFFF"/>
          <w:lang w:val="zh-CN" w:eastAsia="zh-CN" w:bidi="ar-SA"/>
        </w:rPr>
        <w:tab/>
      </w:r>
    </w:p>
    <w:p w14:paraId="0C111353">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（三）相关建议。</w:t>
      </w:r>
    </w:p>
    <w:p w14:paraId="13EE6D84">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无</w:t>
      </w:r>
    </w:p>
    <w:p w14:paraId="2AD0B1A9">
      <w:pPr>
        <w:pStyle w:val="2"/>
        <w:rPr>
          <w:rFonts w:hint="eastAsia" w:ascii="仿宋" w:hAnsi="仿宋" w:eastAsia="仿宋" w:cs="仿宋"/>
          <w:b w:val="0"/>
          <w:bCs/>
          <w:i w:val="0"/>
          <w:caps w:val="0"/>
          <w:color w:val="auto"/>
          <w:spacing w:val="0"/>
          <w:kern w:val="2"/>
          <w:sz w:val="32"/>
          <w:szCs w:val="32"/>
          <w:shd w:val="clear" w:color="auto" w:fill="FFFFFF"/>
          <w:lang w:val="en-US" w:eastAsia="zh-CN" w:bidi="ar-SA"/>
        </w:rPr>
      </w:pPr>
    </w:p>
    <w:p w14:paraId="4D69E62E">
      <w:pPr>
        <w:pStyle w:val="3"/>
        <w:rPr>
          <w:rFonts w:hint="eastAsia" w:ascii="仿宋" w:hAnsi="仿宋" w:eastAsia="仿宋" w:cs="仿宋"/>
          <w:b w:val="0"/>
          <w:bCs/>
          <w:lang w:val="en-US" w:eastAsia="zh-CN"/>
        </w:rPr>
      </w:pPr>
    </w:p>
    <w:p w14:paraId="1F96A237">
      <w:pPr>
        <w:pStyle w:val="3"/>
        <w:rPr>
          <w:rFonts w:hint="eastAsia" w:ascii="仿宋" w:hAnsi="仿宋" w:eastAsia="仿宋" w:cs="仿宋"/>
          <w:b w:val="0"/>
          <w:bCs/>
          <w:i w:val="0"/>
          <w:caps w:val="0"/>
          <w:color w:val="auto"/>
          <w:spacing w:val="0"/>
          <w:kern w:val="2"/>
          <w:sz w:val="32"/>
          <w:szCs w:val="32"/>
          <w:shd w:val="clear" w:color="auto" w:fill="FFFFFF"/>
          <w:lang w:val="en-US" w:eastAsia="zh-CN" w:bidi="ar-SA"/>
        </w:rPr>
      </w:pPr>
    </w:p>
    <w:p w14:paraId="73CB816A">
      <w:pPr>
        <w:pStyle w:val="3"/>
        <w:rPr>
          <w:rFonts w:hint="eastAsia" w:ascii="仿宋" w:hAnsi="仿宋" w:eastAsia="仿宋" w:cs="仿宋"/>
          <w:b w:val="0"/>
          <w:bCs/>
          <w:i w:val="0"/>
          <w:caps w:val="0"/>
          <w:color w:val="auto"/>
          <w:spacing w:val="0"/>
          <w:kern w:val="2"/>
          <w:sz w:val="32"/>
          <w:szCs w:val="32"/>
          <w:shd w:val="clear" w:color="auto" w:fill="FFFFFF"/>
          <w:lang w:val="en-US" w:eastAsia="zh-CN" w:bidi="ar-SA"/>
        </w:rPr>
      </w:pPr>
    </w:p>
    <w:p w14:paraId="2EDBB319">
      <w:pPr>
        <w:pStyle w:val="3"/>
        <w:rPr>
          <w:rFonts w:hint="eastAsia" w:ascii="仿宋" w:hAnsi="仿宋" w:eastAsia="仿宋" w:cs="仿宋"/>
          <w:b w:val="0"/>
          <w:bCs/>
          <w:i w:val="0"/>
          <w:caps w:val="0"/>
          <w:color w:val="auto"/>
          <w:spacing w:val="0"/>
          <w:kern w:val="2"/>
          <w:sz w:val="32"/>
          <w:szCs w:val="32"/>
          <w:shd w:val="clear" w:color="auto" w:fill="FFFFFF"/>
          <w:lang w:val="en-US" w:eastAsia="zh-CN" w:bidi="ar-SA"/>
        </w:rPr>
      </w:pPr>
    </w:p>
    <w:p w14:paraId="1E8626F2">
      <w:pPr>
        <w:pStyle w:val="3"/>
        <w:ind w:left="0" w:leftChars="0" w:firstLine="0" w:firstLineChars="0"/>
        <w:rPr>
          <w:rFonts w:hint="eastAsia" w:ascii="仿宋" w:hAnsi="仿宋" w:eastAsia="仿宋" w:cs="仿宋"/>
          <w:b w:val="0"/>
          <w:bCs/>
          <w:i w:val="0"/>
          <w:caps w:val="0"/>
          <w:color w:val="auto"/>
          <w:spacing w:val="0"/>
          <w:kern w:val="2"/>
          <w:sz w:val="32"/>
          <w:szCs w:val="32"/>
          <w:shd w:val="clear" w:color="auto" w:fill="FFFFFF"/>
          <w:lang w:val="en-US" w:eastAsia="zh-CN" w:bidi="ar-SA"/>
        </w:rPr>
      </w:pPr>
    </w:p>
    <w:p w14:paraId="7A5447B9">
      <w:pPr>
        <w:spacing w:line="600" w:lineRule="exact"/>
        <w:jc w:val="center"/>
        <w:outlineLvl w:val="0"/>
        <w:rPr>
          <w:rStyle w:val="26"/>
          <w:rFonts w:ascii="黑体" w:hAnsi="黑体" w:eastAsia="黑体"/>
          <w:b w:val="0"/>
        </w:rPr>
      </w:pPr>
    </w:p>
    <w:p w14:paraId="1500249E">
      <w:pPr>
        <w:spacing w:line="600" w:lineRule="exact"/>
        <w:jc w:val="center"/>
        <w:outlineLvl w:val="0"/>
        <w:rPr>
          <w:rStyle w:val="26"/>
          <w:rFonts w:ascii="黑体" w:hAnsi="黑体" w:eastAsia="黑体"/>
          <w:b w:val="0"/>
        </w:rPr>
      </w:pPr>
      <w:bookmarkStart w:id="62"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9"/>
      <w:bookmarkEnd w:id="62"/>
    </w:p>
    <w:p w14:paraId="32F3C707">
      <w:pPr>
        <w:spacing w:line="600" w:lineRule="exact"/>
        <w:jc w:val="center"/>
        <w:outlineLvl w:val="0"/>
        <w:rPr>
          <w:rFonts w:ascii="仿宋" w:hAnsi="仿宋" w:eastAsia="仿宋"/>
          <w:b/>
          <w:color w:val="000000"/>
          <w:sz w:val="44"/>
          <w:szCs w:val="44"/>
        </w:rPr>
      </w:pPr>
    </w:p>
    <w:p w14:paraId="64FBC260">
      <w:pPr>
        <w:pStyle w:val="6"/>
        <w:rPr>
          <w:rFonts w:ascii="仿宋" w:hAnsi="仿宋" w:eastAsia="仿宋"/>
          <w:color w:val="000000"/>
        </w:rPr>
      </w:pPr>
      <w:bookmarkStart w:id="63"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3"/>
    </w:p>
    <w:p w14:paraId="7DADEB29">
      <w:pPr>
        <w:pStyle w:val="6"/>
        <w:rPr>
          <w:rFonts w:ascii="仿宋" w:hAnsi="仿宋" w:eastAsia="仿宋"/>
          <w:color w:val="000000"/>
        </w:rPr>
      </w:pPr>
      <w:bookmarkStart w:id="64"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4"/>
    </w:p>
    <w:p w14:paraId="4165A39F">
      <w:pPr>
        <w:pStyle w:val="6"/>
        <w:rPr>
          <w:rFonts w:ascii="仿宋" w:hAnsi="仿宋" w:eastAsia="仿宋"/>
          <w:color w:val="000000"/>
        </w:rPr>
      </w:pPr>
      <w:bookmarkStart w:id="65"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5"/>
    </w:p>
    <w:p w14:paraId="425553C4">
      <w:pPr>
        <w:pStyle w:val="6"/>
        <w:rPr>
          <w:rFonts w:ascii="仿宋" w:hAnsi="仿宋" w:eastAsia="仿宋"/>
          <w:b w:val="0"/>
          <w:color w:val="000000"/>
        </w:rPr>
      </w:pPr>
      <w:bookmarkStart w:id="66"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6"/>
    </w:p>
    <w:p w14:paraId="709D78CC">
      <w:pPr>
        <w:pStyle w:val="6"/>
        <w:rPr>
          <w:rStyle w:val="27"/>
          <w:rFonts w:ascii="仿宋" w:hAnsi="仿宋" w:eastAsia="仿宋"/>
          <w:b w:val="0"/>
          <w:bCs w:val="0"/>
        </w:rPr>
      </w:pPr>
      <w:bookmarkStart w:id="67"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7"/>
      <w:bookmarkStart w:id="68" w:name="_Toc15396624"/>
    </w:p>
    <w:p w14:paraId="16E90975">
      <w:pPr>
        <w:pStyle w:val="6"/>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8"/>
    </w:p>
    <w:p w14:paraId="68FAE5E2">
      <w:pPr>
        <w:pStyle w:val="6"/>
        <w:rPr>
          <w:rFonts w:ascii="仿宋" w:hAnsi="仿宋" w:eastAsia="仿宋"/>
          <w:color w:val="000000"/>
        </w:rPr>
      </w:pPr>
      <w:bookmarkStart w:id="69"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9"/>
    </w:p>
    <w:p w14:paraId="7B10D402">
      <w:pPr>
        <w:pStyle w:val="6"/>
        <w:rPr>
          <w:rFonts w:ascii="仿宋" w:hAnsi="仿宋" w:eastAsia="仿宋"/>
          <w:color w:val="000000"/>
        </w:rPr>
      </w:pPr>
      <w:bookmarkStart w:id="70"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70"/>
    </w:p>
    <w:p w14:paraId="2E0DDBC2">
      <w:pPr>
        <w:pStyle w:val="6"/>
        <w:rPr>
          <w:rFonts w:ascii="仿宋" w:hAnsi="仿宋" w:eastAsia="仿宋"/>
          <w:color w:val="000000"/>
        </w:rPr>
      </w:pPr>
      <w:bookmarkStart w:id="71"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71"/>
    </w:p>
    <w:p w14:paraId="1113D9CE">
      <w:pPr>
        <w:pStyle w:val="6"/>
        <w:rPr>
          <w:rFonts w:ascii="仿宋" w:hAnsi="仿宋" w:eastAsia="仿宋"/>
          <w:color w:val="000000"/>
        </w:rPr>
      </w:pPr>
      <w:bookmarkStart w:id="72"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2"/>
    </w:p>
    <w:p w14:paraId="32976402">
      <w:pPr>
        <w:pStyle w:val="6"/>
        <w:rPr>
          <w:rFonts w:ascii="仿宋" w:hAnsi="仿宋" w:eastAsia="仿宋"/>
          <w:color w:val="000000"/>
        </w:rPr>
      </w:pPr>
      <w:bookmarkStart w:id="73"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3"/>
    </w:p>
    <w:p w14:paraId="4671BFD2">
      <w:pPr>
        <w:pStyle w:val="6"/>
        <w:rPr>
          <w:rFonts w:ascii="仿宋" w:hAnsi="仿宋" w:eastAsia="仿宋"/>
          <w:color w:val="000000"/>
        </w:rPr>
      </w:pPr>
      <w:bookmarkStart w:id="74"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4"/>
    </w:p>
    <w:p w14:paraId="099F1EF2">
      <w:pPr>
        <w:pStyle w:val="6"/>
        <w:rPr>
          <w:rFonts w:ascii="仿宋" w:hAnsi="仿宋" w:eastAsia="仿宋"/>
          <w:color w:val="000000" w:themeColor="text1"/>
        </w:rPr>
      </w:pPr>
      <w:bookmarkStart w:id="75"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2D31E0-9D99-4567-9F35-CC029830E1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F4B5BCB9-1AFD-40FF-8E7A-9E7BE37DCA99}"/>
  </w:font>
  <w:font w:name="仿宋_GB2312">
    <w:altName w:val="仿宋"/>
    <w:panose1 w:val="02010609030101010101"/>
    <w:charset w:val="86"/>
    <w:family w:val="modern"/>
    <w:pitch w:val="default"/>
    <w:sig w:usb0="00000000" w:usb1="00000000" w:usb2="00000000" w:usb3="00000000" w:csb0="00040000" w:csb1="00000000"/>
    <w:embedRegular r:id="rId3" w:fontKey="{A82A505E-34D1-4197-9B5E-3610E82BEE65}"/>
  </w:font>
  <w:font w:name="仿宋">
    <w:panose1 w:val="02010609060101010101"/>
    <w:charset w:val="86"/>
    <w:family w:val="modern"/>
    <w:pitch w:val="default"/>
    <w:sig w:usb0="800002BF" w:usb1="38CF7CFA" w:usb2="00000016" w:usb3="00000000" w:csb0="00040001" w:csb1="00000000"/>
    <w:embedRegular r:id="rId4" w:fontKey="{C49CE656-2240-47F4-85D2-61EA5BF83AF9}"/>
  </w:font>
  <w:font w:name="方正小标宋简体">
    <w:panose1 w:val="02000000000000000000"/>
    <w:charset w:val="86"/>
    <w:family w:val="script"/>
    <w:pitch w:val="default"/>
    <w:sig w:usb0="00000001" w:usb1="08000000" w:usb2="00000000" w:usb3="00000000" w:csb0="00040000" w:csb1="00000000"/>
    <w:embedRegular r:id="rId5" w:fontKey="{D7D9940C-85D5-4C93-A6AF-D585930CD5AC}"/>
  </w:font>
  <w:font w:name="楷体_GB2312">
    <w:panose1 w:val="02010609030101010101"/>
    <w:charset w:val="86"/>
    <w:family w:val="modern"/>
    <w:pitch w:val="default"/>
    <w:sig w:usb0="00000001" w:usb1="080E0000" w:usb2="00000000" w:usb3="00000000" w:csb0="00040000" w:csb1="00000000"/>
    <w:embedRegular r:id="rId6" w:fontKey="{8DD98F69-CD97-476F-97F2-EB5AD8B0FB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17E1FF2">
        <w:pPr>
          <w:pStyle w:val="10"/>
          <w:jc w:val="center"/>
        </w:pPr>
        <w:r>
          <w:fldChar w:fldCharType="begin"/>
        </w:r>
        <w:r>
          <w:instrText xml:space="preserve">PAGE   \* MERGEFORMAT</w:instrText>
        </w:r>
        <w:r>
          <w:fldChar w:fldCharType="separate"/>
        </w:r>
        <w:r>
          <w:rPr>
            <w:lang w:val="zh-CN"/>
          </w:rPr>
          <w:t>24</w:t>
        </w:r>
        <w:r>
          <w:fldChar w:fldCharType="end"/>
        </w:r>
      </w:p>
    </w:sdtContent>
  </w:sdt>
  <w:p w14:paraId="6A5EDBA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56DE">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C2B5322"/>
    <w:rsid w:val="10C055FF"/>
    <w:rsid w:val="12E5726C"/>
    <w:rsid w:val="16BB723D"/>
    <w:rsid w:val="240371BF"/>
    <w:rsid w:val="29FD04D3"/>
    <w:rsid w:val="319F7F4E"/>
    <w:rsid w:val="3D6F7A7E"/>
    <w:rsid w:val="42CB6AF7"/>
    <w:rsid w:val="44817291"/>
    <w:rsid w:val="4C62457E"/>
    <w:rsid w:val="4ECE2238"/>
    <w:rsid w:val="7030763F"/>
    <w:rsid w:val="72734D90"/>
    <w:rsid w:val="765D33C2"/>
    <w:rsid w:val="77163F52"/>
    <w:rsid w:val="77B62632"/>
    <w:rsid w:val="7A0A6B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Web)"/>
    <w:basedOn w:val="1"/>
    <w:next w:val="3"/>
    <w:qFormat/>
    <w:uiPriority w:val="0"/>
    <w:pPr>
      <w:spacing w:before="100" w:beforeAutospacing="1" w:after="100" w:afterAutospacing="1"/>
      <w:ind w:left="0" w:right="0"/>
      <w:jc w:val="left"/>
    </w:pPr>
    <w:rPr>
      <w:kern w:val="0"/>
      <w:sz w:val="24"/>
      <w:lang w:val="en-US" w:eastAsia="zh-CN" w:bidi="ar"/>
    </w:rPr>
  </w:style>
  <w:style w:type="paragraph" w:styleId="3">
    <w:name w:val="Body Text First Indent"/>
    <w:basedOn w:val="4"/>
    <w:qFormat/>
    <w:uiPriority w:val="0"/>
    <w:pPr>
      <w:ind w:firstLine="420" w:firstLineChars="100"/>
    </w:pPr>
  </w:style>
  <w:style w:type="paragraph" w:styleId="4">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4"/>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5"/>
    <w:qFormat/>
    <w:uiPriority w:val="9"/>
    <w:rPr>
      <w:rFonts w:ascii="Times New Roman" w:hAnsi="Times New Roman"/>
      <w:b/>
      <w:bCs/>
      <w:kern w:val="44"/>
      <w:sz w:val="44"/>
      <w:szCs w:val="44"/>
    </w:rPr>
  </w:style>
  <w:style w:type="character" w:customStyle="1" w:styleId="27">
    <w:name w:val="标题 2 Char"/>
    <w:basedOn w:val="15"/>
    <w:link w:val="6"/>
    <w:qFormat/>
    <w:uiPriority w:val="9"/>
    <w:rPr>
      <w:rFonts w:asciiTheme="majorHAnsi" w:hAnsiTheme="majorHAnsi" w:eastAsiaTheme="majorEastAsia" w:cstheme="majorBidi"/>
      <w:b/>
      <w:bCs/>
      <w:kern w:val="2"/>
      <w:sz w:val="32"/>
      <w:szCs w:val="32"/>
    </w:rPr>
  </w:style>
  <w:style w:type="paragraph" w:customStyle="1" w:styleId="28">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7"/>
    <w:qFormat/>
    <w:uiPriority w:val="9"/>
    <w:rPr>
      <w:rFonts w:ascii="Times New Roman" w:hAnsi="Times New Roman"/>
      <w:b/>
      <w:bCs/>
      <w:kern w:val="2"/>
      <w:sz w:val="32"/>
      <w:szCs w:val="32"/>
    </w:rPr>
  </w:style>
  <w:style w:type="paragraph" w:customStyle="1" w:styleId="31">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26</Pages>
  <Words>9340</Words>
  <Characters>9901</Characters>
  <Lines>7</Lines>
  <Paragraphs>17</Paragraphs>
  <TotalTime>59</TotalTime>
  <ScaleCrop>false</ScaleCrop>
  <LinksUpToDate>false</LinksUpToDate>
  <CharactersWithSpaces>9943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2020-07-23T02:58:00Z</cp:lastPrinted>
  <dcterms:modified xsi:type="dcterms:W3CDTF">2024-12-27T08:16:51Z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eyJoZGlkIjoiMGVhYTg4NGNkZWJkODFjNzcyZDRjM2M4Y2UzNjI5ZmUiLCJ1c2VySWQiOiI2MTE2MzEwMDYifQ==</vt:lpwstr>
  </property>
  <property fmtid="{D5CDD505-2E9C-101B-9397-08002B2CF9AE}" pid="4" name="ICV">
    <vt:lpwstr>703391FA5A9C458BB84C83B1C792B3CF_12</vt:lpwstr>
  </property>
</Properties>
</file>