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56C65">
      <w:pPr>
        <w:spacing w:line="600" w:lineRule="exact"/>
        <w:jc w:val="center"/>
        <w:outlineLvl w:val="0"/>
        <w:rPr>
          <w:rFonts w:ascii="方正小标宋简体" w:hAnsi="宋体" w:eastAsia="方正小标宋简体"/>
          <w:color w:val="000000"/>
          <w:sz w:val="72"/>
          <w:szCs w:val="72"/>
        </w:rPr>
      </w:pPr>
      <w:bookmarkStart w:id="0" w:name="_Toc15306267"/>
    </w:p>
    <w:p w14:paraId="3AFA4213">
      <w:pPr>
        <w:spacing w:line="600" w:lineRule="exact"/>
        <w:jc w:val="center"/>
        <w:outlineLvl w:val="0"/>
        <w:rPr>
          <w:rFonts w:ascii="方正小标宋简体" w:hAnsi="宋体" w:eastAsia="方正小标宋简体"/>
          <w:color w:val="000000"/>
          <w:sz w:val="72"/>
          <w:szCs w:val="72"/>
        </w:rPr>
      </w:pPr>
    </w:p>
    <w:p w14:paraId="1354F94F">
      <w:pPr>
        <w:spacing w:line="600" w:lineRule="exact"/>
        <w:jc w:val="center"/>
        <w:outlineLvl w:val="0"/>
        <w:rPr>
          <w:rFonts w:ascii="方正小标宋简体" w:hAnsi="宋体" w:eastAsia="方正小标宋简体"/>
          <w:color w:val="000000"/>
          <w:sz w:val="72"/>
          <w:szCs w:val="72"/>
        </w:rPr>
      </w:pPr>
    </w:p>
    <w:p w14:paraId="3C7C4A2B">
      <w:pPr>
        <w:spacing w:line="600" w:lineRule="exact"/>
        <w:jc w:val="center"/>
        <w:outlineLvl w:val="0"/>
        <w:rPr>
          <w:rFonts w:ascii="方正小标宋简体" w:hAnsi="宋体" w:eastAsia="方正小标宋简体"/>
          <w:color w:val="000000"/>
          <w:sz w:val="72"/>
          <w:szCs w:val="72"/>
        </w:rPr>
      </w:pPr>
    </w:p>
    <w:bookmarkEnd w:id="0"/>
    <w:p w14:paraId="460703D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2"/>
      <w:bookmarkStart w:id="2" w:name="_Toc15377426"/>
      <w:bookmarkStart w:id="3" w:name="_Toc15306268"/>
      <w:bookmarkStart w:id="4" w:name="_Toc15377194"/>
      <w:bookmarkStart w:id="5" w:name="_Toc15396598"/>
      <w:bookmarkStart w:id="6" w:name="_Toc15396476"/>
      <w:r>
        <w:rPr>
          <w:rFonts w:hint="eastAsia" w:ascii="方正小标宋简体" w:hAnsi="宋体" w:eastAsia="方正小标宋简体"/>
          <w:color w:val="000000"/>
          <w:sz w:val="72"/>
          <w:szCs w:val="72"/>
        </w:rPr>
        <w:t>中共广元市昭化</w:t>
      </w:r>
    </w:p>
    <w:p w14:paraId="2A135B25">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区委组织部</w:t>
      </w:r>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年部门</w:t>
      </w:r>
    </w:p>
    <w:p w14:paraId="2F6E12DF">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1"/>
      <w:bookmarkEnd w:id="2"/>
      <w:bookmarkEnd w:id="3"/>
      <w:bookmarkEnd w:id="4"/>
      <w:bookmarkEnd w:id="5"/>
      <w:bookmarkEnd w:id="6"/>
      <w:r>
        <w:rPr>
          <w:rFonts w:hint="eastAsia" w:ascii="方正小标宋简体" w:hAnsi="宋体" w:eastAsia="方正小标宋简体"/>
          <w:color w:val="000000"/>
          <w:sz w:val="72"/>
          <w:szCs w:val="72"/>
        </w:rPr>
        <w:t>公开</w:t>
      </w:r>
    </w:p>
    <w:p w14:paraId="4CD72C8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B8FD7AB">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3CF0F57"/>
    <w:p w14:paraId="1F739ADF">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14:paraId="36D582BF">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16BD530C">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F94AFAB">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5D5CCC45">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B7E196E">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3197E18">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03176A2">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2B3FD21">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1F8D2B45">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2D41885">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6292299">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503B976">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4EFB84FD">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4E435EE2">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1ACF2343">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6B3AF082">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288E394A">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4EFB4B89">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6BFE1B36">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C912D36">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9B1CE5F">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044BB50">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AD01149">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FCCE4A9">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7E6C621">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FEDB955">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A8AB066">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757D648">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2EC8E74">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609409E">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C9D5882">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82283F6">
      <w:pPr>
        <w:widowControl/>
        <w:jc w:val="left"/>
        <w:rPr>
          <w:rFonts w:ascii="仿宋" w:hAnsi="仿宋" w:eastAsia="仿宋"/>
          <w:color w:val="000000"/>
          <w:sz w:val="24"/>
        </w:rPr>
      </w:pPr>
      <w:r>
        <w:rPr>
          <w:rFonts w:ascii="仿宋" w:hAnsi="仿宋" w:eastAsia="仿宋"/>
          <w:color w:val="000000"/>
          <w:sz w:val="24"/>
        </w:rPr>
        <w:fldChar w:fldCharType="end"/>
      </w:r>
    </w:p>
    <w:p w14:paraId="61E20D33">
      <w:pPr>
        <w:widowControl/>
        <w:jc w:val="left"/>
        <w:rPr>
          <w:rFonts w:ascii="黑体" w:hAnsi="黑体" w:eastAsia="黑体"/>
          <w:bCs/>
          <w:kern w:val="44"/>
          <w:sz w:val="44"/>
          <w:szCs w:val="44"/>
        </w:rPr>
      </w:pPr>
      <w:bookmarkStart w:id="7" w:name="_Toc15377196"/>
      <w:bookmarkStart w:id="8" w:name="_Toc15396599"/>
      <w:r>
        <w:rPr>
          <w:rFonts w:ascii="黑体" w:hAnsi="黑体" w:eastAsia="黑体"/>
          <w:b/>
        </w:rPr>
        <w:br w:type="page"/>
      </w:r>
    </w:p>
    <w:p w14:paraId="187E1ABC">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14:paraId="29A3193A">
      <w:pPr>
        <w:widowControl/>
        <w:jc w:val="left"/>
        <w:rPr>
          <w:rFonts w:ascii="黑体" w:eastAsia="黑体"/>
          <w:color w:val="000000"/>
          <w:sz w:val="32"/>
          <w:szCs w:val="32"/>
        </w:rPr>
      </w:pPr>
    </w:p>
    <w:p w14:paraId="1DDE1F95">
      <w:pPr>
        <w:pStyle w:val="4"/>
        <w:rPr>
          <w:rStyle w:val="26"/>
          <w:rFonts w:ascii="仿宋" w:hAnsi="仿宋" w:eastAsia="仿宋"/>
          <w:b w:val="0"/>
          <w:bCs w:val="0"/>
        </w:rPr>
      </w:pPr>
      <w:bookmarkStart w:id="9" w:name="_Toc15377197"/>
      <w:bookmarkStart w:id="10"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9"/>
      <w:bookmarkEnd w:id="10"/>
    </w:p>
    <w:p w14:paraId="1A55EF54">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1" w:name="_Toc15377198"/>
      <w:bookmarkStart w:id="12" w:name="_Toc15378445"/>
      <w:r>
        <w:rPr>
          <w:rFonts w:hint="eastAsia" w:ascii="仿宋" w:hAnsi="仿宋" w:eastAsia="仿宋"/>
          <w:bCs/>
          <w:color w:val="000000"/>
          <w:sz w:val="32"/>
          <w:szCs w:val="32"/>
        </w:rPr>
        <w:t>（一）主要职能。</w:t>
      </w:r>
      <w:bookmarkEnd w:id="11"/>
      <w:bookmarkEnd w:id="12"/>
      <w:r>
        <w:rPr>
          <w:rFonts w:hint="eastAsia" w:ascii="仿宋" w:hAnsi="仿宋" w:eastAsia="仿宋"/>
          <w:bCs/>
          <w:color w:val="000000"/>
          <w:sz w:val="32"/>
          <w:szCs w:val="32"/>
        </w:rPr>
        <w:t>贯彻新时代党的建设总要求和新时代党的组织路线，落实区委相关决策部署。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w:t>
      </w:r>
    </w:p>
    <w:p w14:paraId="186B3915">
      <w:pPr>
        <w:pStyle w:val="2"/>
        <w:spacing w:before="0" w:beforeAutospacing="0" w:after="0" w:afterAutospacing="0" w:line="576" w:lineRule="exact"/>
        <w:ind w:firstLine="640" w:firstLineChars="200"/>
        <w:rPr>
          <w:rFonts w:ascii="仿宋" w:hAnsi="仿宋" w:eastAsia="仿宋"/>
          <w:bCs/>
          <w:color w:val="000000"/>
          <w:sz w:val="32"/>
          <w:szCs w:val="32"/>
        </w:rPr>
      </w:pPr>
      <w:bookmarkStart w:id="13" w:name="_Toc15378446"/>
      <w:bookmarkStart w:id="14"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3"/>
      <w:bookmarkEnd w:id="14"/>
    </w:p>
    <w:p w14:paraId="3055A1FC">
      <w:pPr>
        <w:pStyle w:val="2"/>
        <w:spacing w:before="0" w:beforeAutospacing="0" w:after="0" w:afterAutospacing="0"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1.坚持以两个坚决维护为出发点，持续加强领导班子思想政治建设。始终坚持把深入学习贯彻习近平新时代中国特色社会主义思想、党的十九大精神和习近平总书记对四川工作系列重要指示精神作为首要政治任务，大力加强思想政治建设。一是强化思想理论武装。二是规范领导班子运行。三是从严党内政治生活。</w:t>
      </w:r>
    </w:p>
    <w:p w14:paraId="6C286F86">
      <w:pPr>
        <w:pStyle w:val="2"/>
        <w:spacing w:before="0" w:beforeAutospacing="0" w:after="0" w:afterAutospacing="0"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2、坚持以忠诚干净担当为着力点，大力锻造高素质专业化干部队伍。鲜明正确选人用人导向，突出培训提能和日常监管，着力铸造高素质专业化干部队伍。大规模开展干部培训，高质量打造专业队伍，全方位强化干部监管，高标准推进示范创建。</w:t>
      </w:r>
    </w:p>
    <w:p w14:paraId="7C93CC92">
      <w:pPr>
        <w:pStyle w:val="2"/>
        <w:spacing w:before="0" w:beforeAutospacing="0" w:after="0" w:afterAutospacing="0"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3、坚持以组织力大提升为着重点，切实推动基层党建全面进步过硬。牢固树立大抓基层鲜明导向，突出政治功能，切实把各领域基层党组织建设得更加坚强有力。一是深入实施党组织规范化建设，二是全面推动城市党建融合发展，三是持续优化村干部专职化管理，四是着力提升基层社会治理水平，五是创新开展农民工党建工作，六是常态长效开展“两学一做”。</w:t>
      </w:r>
    </w:p>
    <w:p w14:paraId="2D6AB5B5">
      <w:pPr>
        <w:pStyle w:val="2"/>
        <w:spacing w:before="0" w:beforeAutospacing="0" w:after="0" w:afterAutospacing="0"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4、坚持以激发创新活力为落脚点，努力构建人才优先发展试验区。始终坚持把人才工作放在全区大局中谋划推进，持续深化人才发展体制机制改革，创新人才工作载体，努力提升人才服务质量。深化改革激活力，重点推进促实效。多方共建强平台，精准服务优环境。</w:t>
      </w:r>
    </w:p>
    <w:p w14:paraId="6A2D46CB">
      <w:pPr>
        <w:spacing w:line="576" w:lineRule="exact"/>
        <w:ind w:firstLine="640" w:firstLineChars="200"/>
        <w:rPr>
          <w:rFonts w:ascii="仿宋" w:hAnsi="仿宋" w:eastAsia="仿宋"/>
          <w:bCs/>
          <w:color w:val="000000"/>
          <w:kern w:val="0"/>
          <w:sz w:val="32"/>
          <w:szCs w:val="32"/>
          <w:lang w:val="zh-CN"/>
        </w:rPr>
      </w:pPr>
      <w:r>
        <w:rPr>
          <w:rFonts w:hint="eastAsia" w:ascii="仿宋" w:hAnsi="仿宋" w:eastAsia="仿宋"/>
          <w:bCs/>
          <w:color w:val="000000"/>
          <w:kern w:val="0"/>
          <w:sz w:val="32"/>
          <w:szCs w:val="32"/>
        </w:rPr>
        <w:t>5、坚持以发挥组织优势为突破点，统筹推进抓党建促扶贫纵深发展。</w:t>
      </w:r>
      <w:r>
        <w:rPr>
          <w:rFonts w:hint="eastAsia" w:ascii="仿宋" w:hAnsi="仿宋" w:eastAsia="仿宋"/>
          <w:bCs/>
          <w:color w:val="000000"/>
          <w:kern w:val="0"/>
          <w:sz w:val="32"/>
          <w:szCs w:val="32"/>
          <w:lang w:val="zh-CN"/>
        </w:rPr>
        <w:t>充分发挥党的政治优势和组织优势，组织动员党员干部群众决胜脱贫攻坚、助力乡村振兴。抓紧抓实党建扶贫示范，做优做强村级集体经济，统筹调配加强帮扶力量，求真求实提升帮扶质效，培树典型激发内生动力。</w:t>
      </w:r>
    </w:p>
    <w:p w14:paraId="24B6A788">
      <w:pPr>
        <w:spacing w:line="576"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6、坚持以精心服务保障为立足点，扎实做好新形势下老干部工作。始终坚持服务为先、用心用情，全面落实老干部政治生活待遇，积极引导老干部凝聚和释放正能量。切实加强“三项建设”，扎实开展“四大活动”，用心用情服务管理。</w:t>
      </w:r>
    </w:p>
    <w:p w14:paraId="10BBE677">
      <w:pPr>
        <w:spacing w:line="576"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7、坚持以建设模范部门为切入点，全力打造新时代过硬组工铁军。坚持从严治部，模范践行“讲政治、重公道、业务精、作风好”组工精神，着力建设“四个过硬、四个表率”模范部门和适应新时代组工铁军。强化思想教育，规范运行机制，提升专业能力，抓牢作风建设。</w:t>
      </w:r>
    </w:p>
    <w:p w14:paraId="71E6E542">
      <w:pPr>
        <w:pStyle w:val="4"/>
        <w:rPr>
          <w:rStyle w:val="26"/>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5"/>
      <w:bookmarkEnd w:id="16"/>
    </w:p>
    <w:p w14:paraId="1BE59D3E">
      <w:pPr>
        <w:ind w:firstLine="800" w:firstLineChars="250"/>
        <w:rPr>
          <w:rFonts w:ascii="仿宋" w:hAnsi="仿宋" w:eastAsia="仿宋"/>
          <w:sz w:val="32"/>
          <w:szCs w:val="32"/>
        </w:rPr>
      </w:pPr>
      <w:r>
        <w:rPr>
          <w:rFonts w:hint="eastAsia" w:ascii="仿宋" w:hAnsi="仿宋" w:eastAsia="仿宋"/>
          <w:sz w:val="32"/>
          <w:szCs w:val="32"/>
        </w:rPr>
        <w:t>组织部下属二级单位3个，其中行政单位0个，参照公务员法管理的事业单位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个，其他事业单位2个。</w:t>
      </w:r>
    </w:p>
    <w:p w14:paraId="64B636AE">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纳入组织部2018年度部门决算编制范围的二级预算单位0个。</w:t>
      </w:r>
    </w:p>
    <w:p w14:paraId="3D55935E">
      <w:pPr>
        <w:pStyle w:val="6"/>
        <w:adjustRightInd w:val="0"/>
        <w:snapToGrid w:val="0"/>
        <w:spacing w:before="93" w:line="600" w:lineRule="exact"/>
        <w:ind w:firstLine="672" w:firstLineChars="210"/>
        <w:rPr>
          <w:rFonts w:ascii="仿宋" w:hAnsi="仿宋" w:eastAsia="仿宋"/>
          <w:color w:val="000000"/>
          <w:sz w:val="32"/>
          <w:szCs w:val="32"/>
        </w:rPr>
      </w:pPr>
    </w:p>
    <w:p w14:paraId="04D96697">
      <w:pPr>
        <w:pStyle w:val="6"/>
        <w:adjustRightInd w:val="0"/>
        <w:snapToGrid w:val="0"/>
        <w:spacing w:before="93" w:line="600" w:lineRule="exact"/>
        <w:ind w:firstLine="672" w:firstLineChars="210"/>
        <w:rPr>
          <w:rFonts w:ascii="仿宋" w:hAnsi="仿宋" w:eastAsia="仿宋"/>
          <w:color w:val="000000"/>
          <w:sz w:val="32"/>
          <w:szCs w:val="32"/>
        </w:rPr>
      </w:pPr>
    </w:p>
    <w:p w14:paraId="6CDD58CA">
      <w:pPr>
        <w:pStyle w:val="6"/>
        <w:adjustRightInd w:val="0"/>
        <w:snapToGrid w:val="0"/>
        <w:spacing w:before="93" w:line="600" w:lineRule="exact"/>
        <w:ind w:firstLine="672" w:firstLineChars="210"/>
        <w:rPr>
          <w:rFonts w:ascii="仿宋" w:hAnsi="仿宋" w:eastAsia="仿宋"/>
          <w:color w:val="000000"/>
          <w:sz w:val="32"/>
          <w:szCs w:val="32"/>
        </w:rPr>
      </w:pPr>
    </w:p>
    <w:p w14:paraId="744C6A1E">
      <w:pPr>
        <w:pStyle w:val="6"/>
        <w:adjustRightInd w:val="0"/>
        <w:snapToGrid w:val="0"/>
        <w:spacing w:before="93" w:line="600" w:lineRule="exact"/>
        <w:ind w:firstLine="672" w:firstLineChars="210"/>
        <w:rPr>
          <w:rFonts w:ascii="仿宋" w:hAnsi="仿宋" w:eastAsia="仿宋"/>
          <w:color w:val="000000"/>
          <w:sz w:val="32"/>
          <w:szCs w:val="32"/>
        </w:rPr>
      </w:pPr>
    </w:p>
    <w:p w14:paraId="691BB7F6">
      <w:pPr>
        <w:pStyle w:val="6"/>
        <w:adjustRightInd w:val="0"/>
        <w:snapToGrid w:val="0"/>
        <w:spacing w:before="93" w:line="600" w:lineRule="exact"/>
        <w:ind w:firstLine="672" w:firstLineChars="210"/>
        <w:rPr>
          <w:rFonts w:ascii="仿宋" w:hAnsi="仿宋" w:eastAsia="仿宋"/>
          <w:color w:val="000000"/>
          <w:sz w:val="32"/>
          <w:szCs w:val="32"/>
        </w:rPr>
      </w:pPr>
    </w:p>
    <w:p w14:paraId="558AAC73">
      <w:pPr>
        <w:pStyle w:val="3"/>
        <w:ind w:right="440"/>
        <w:jc w:val="right"/>
        <w:rPr>
          <w:rStyle w:val="25"/>
          <w:rFonts w:ascii="黑体" w:hAnsi="黑体" w:eastAsia="黑体"/>
          <w:b w:val="0"/>
          <w:bCs w:val="0"/>
        </w:rPr>
      </w:pPr>
      <w:bookmarkStart w:id="17" w:name="_Toc15396602"/>
      <w:bookmarkStart w:id="18"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17"/>
      <w:bookmarkEnd w:id="18"/>
    </w:p>
    <w:p w14:paraId="62C5B68A"/>
    <w:p w14:paraId="16B33B4B">
      <w:pPr>
        <w:pStyle w:val="24"/>
        <w:numPr>
          <w:ilvl w:val="0"/>
          <w:numId w:val="1"/>
        </w:numPr>
        <w:spacing w:line="600" w:lineRule="exact"/>
        <w:ind w:firstLineChars="0"/>
        <w:outlineLvl w:val="1"/>
        <w:rPr>
          <w:rStyle w:val="26"/>
          <w:rFonts w:ascii="黑体" w:hAnsi="黑体" w:eastAsia="黑体"/>
          <w:b w:val="0"/>
        </w:rPr>
      </w:pPr>
      <w:bookmarkStart w:id="19" w:name="_Toc15377205"/>
      <w:bookmarkStart w:id="20"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9"/>
      <w:bookmarkEnd w:id="20"/>
    </w:p>
    <w:p w14:paraId="6D558471">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2018年度收、支总计578.95万元。与2017年相比，收、支总计各减少了991.76万元、1062.63万元，分别下降了63.1</w:t>
      </w:r>
      <w:r>
        <w:rPr>
          <w:rFonts w:ascii="仿宋" w:hAnsi="仿宋" w:eastAsia="仿宋"/>
          <w:color w:val="000000"/>
          <w:sz w:val="32"/>
          <w:szCs w:val="32"/>
        </w:rPr>
        <w:t>%</w:t>
      </w:r>
      <w:r>
        <w:rPr>
          <w:rFonts w:hint="eastAsia" w:ascii="仿宋" w:hAnsi="仿宋" w:eastAsia="仿宋"/>
          <w:color w:val="000000"/>
          <w:sz w:val="32"/>
          <w:szCs w:val="32"/>
        </w:rPr>
        <w:t>和64.7%。主要变动原因是项目收入支出的减少。</w:t>
      </w:r>
    </w:p>
    <w:p w14:paraId="077ABF20">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1"/>
      <w:bookmarkEnd w:id="22"/>
    </w:p>
    <w:p w14:paraId="2A029796">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8年本年收入合计578.95万元，其中：一般公共预算财政拨款收入578.95万元，占100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45A8DA19">
      <w:pPr>
        <w:pStyle w:val="24"/>
        <w:numPr>
          <w:ilvl w:val="0"/>
          <w:numId w:val="1"/>
        </w:numPr>
        <w:spacing w:line="600" w:lineRule="exact"/>
        <w:ind w:firstLineChars="0"/>
        <w:outlineLvl w:val="1"/>
        <w:rPr>
          <w:rStyle w:val="26"/>
          <w:rFonts w:ascii="黑体" w:hAnsi="黑体" w:eastAsia="黑体"/>
          <w:b w:val="0"/>
        </w:rPr>
      </w:pPr>
      <w:bookmarkStart w:id="23" w:name="_Toc15396605"/>
      <w:bookmarkStart w:id="24"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3"/>
      <w:bookmarkEnd w:id="24"/>
    </w:p>
    <w:p w14:paraId="1F40C719">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8年本年支出合计578.95万元，其中：基本支出478.75万元，占82.7</w:t>
      </w:r>
      <w:r>
        <w:rPr>
          <w:rFonts w:ascii="仿宋" w:hAnsi="仿宋" w:eastAsia="仿宋"/>
          <w:color w:val="000000"/>
          <w:sz w:val="32"/>
          <w:szCs w:val="32"/>
        </w:rPr>
        <w:t>%</w:t>
      </w:r>
      <w:r>
        <w:rPr>
          <w:rFonts w:hint="eastAsia" w:ascii="仿宋" w:hAnsi="仿宋" w:eastAsia="仿宋"/>
          <w:color w:val="000000"/>
          <w:sz w:val="32"/>
          <w:szCs w:val="32"/>
        </w:rPr>
        <w:t>；项目支出100.2万元，占17.3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182EA39D">
      <w:pPr>
        <w:spacing w:line="600" w:lineRule="exact"/>
        <w:ind w:firstLine="640" w:firstLineChars="200"/>
        <w:outlineLvl w:val="1"/>
        <w:rPr>
          <w:rStyle w:val="26"/>
          <w:rFonts w:ascii="黑体" w:hAnsi="黑体" w:eastAsia="黑体"/>
          <w:b w:val="0"/>
        </w:rPr>
      </w:pPr>
      <w:bookmarkStart w:id="25" w:name="_Toc15377208"/>
      <w:bookmarkStart w:id="26"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5"/>
      <w:bookmarkEnd w:id="26"/>
    </w:p>
    <w:p w14:paraId="29150E5E">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8年财政拨款收、支总计578.95万元。与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7年相比，财政拨款收入总计减少991.76万元、支出总计减少1062.63万元，分别下降了63.1</w:t>
      </w:r>
      <w:r>
        <w:rPr>
          <w:rFonts w:ascii="仿宋" w:hAnsi="仿宋" w:eastAsia="仿宋"/>
          <w:color w:val="000000"/>
          <w:sz w:val="32"/>
          <w:szCs w:val="32"/>
        </w:rPr>
        <w:t>%</w:t>
      </w:r>
      <w:r>
        <w:rPr>
          <w:rFonts w:hint="eastAsia" w:ascii="仿宋" w:hAnsi="仿宋" w:eastAsia="仿宋"/>
          <w:color w:val="000000"/>
          <w:sz w:val="32"/>
          <w:szCs w:val="32"/>
        </w:rPr>
        <w:t>和64.7%。主要变动原因是项目收入支出的减少。</w:t>
      </w:r>
    </w:p>
    <w:p w14:paraId="3829388F">
      <w:pPr>
        <w:spacing w:line="600" w:lineRule="exact"/>
        <w:ind w:firstLine="640" w:firstLineChars="200"/>
        <w:outlineLvl w:val="1"/>
        <w:rPr>
          <w:rStyle w:val="26"/>
          <w:rFonts w:ascii="黑体" w:hAnsi="黑体" w:eastAsia="黑体"/>
          <w:b w:val="0"/>
        </w:rPr>
      </w:pPr>
      <w:bookmarkStart w:id="27" w:name="_Toc15396607"/>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7"/>
      <w:bookmarkEnd w:id="28"/>
    </w:p>
    <w:p w14:paraId="14D9FCC1">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14:paraId="4EC4224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8年一般公共预算财政拨款支出578.95万元，占本年支出合计的100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7年相比，一般公共预算财政拨款减少1062.63万元，下降64.7%。主要变动原因是项目收入支出的减少。</w:t>
      </w:r>
    </w:p>
    <w:p w14:paraId="3CA70D64">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14:paraId="2F65FAD6">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政拨款支出578.95万元，主要用于以下方面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支出513.29万元，占88.66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支出31.2万元，占5.4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医疗卫生</w:t>
      </w:r>
      <w:r>
        <w:rPr>
          <w:rFonts w:hint="eastAsia" w:ascii="仿宋" w:hAnsi="仿宋" w:eastAsia="仿宋"/>
          <w:color w:val="000000" w:themeColor="text1"/>
          <w:sz w:val="32"/>
          <w:szCs w:val="32"/>
        </w:rPr>
        <w:t>支出11.54万元，占2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color w:val="000000" w:themeColor="text1"/>
          <w:sz w:val="32"/>
          <w:szCs w:val="32"/>
        </w:rPr>
        <w:t>支出17.92万元，占3.1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农林水</w:t>
      </w:r>
      <w:r>
        <w:rPr>
          <w:rFonts w:hint="eastAsia" w:ascii="仿宋" w:hAnsi="仿宋" w:eastAsia="仿宋"/>
          <w:color w:val="000000" w:themeColor="text1"/>
          <w:sz w:val="32"/>
          <w:szCs w:val="32"/>
        </w:rPr>
        <w:t>支出5万元，占0.84%。</w:t>
      </w:r>
    </w:p>
    <w:p w14:paraId="707F949E">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14:paraId="376A9D8D">
      <w:pPr>
        <w:spacing w:line="600" w:lineRule="exact"/>
        <w:ind w:firstLine="643" w:firstLineChars="200"/>
        <w:outlineLvl w:val="2"/>
        <w:rPr>
          <w:rFonts w:ascii="仿宋" w:hAnsi="仿宋" w:eastAsia="仿宋"/>
          <w:color w:val="FF0000"/>
          <w:sz w:val="32"/>
          <w:szCs w:val="32"/>
        </w:rPr>
      </w:pPr>
      <w:bookmarkStart w:id="32" w:name="_Toc15377213"/>
      <w:bookmarkStart w:id="33" w:name="_Toc15378460"/>
      <w:bookmarkStart w:id="34" w:name="_Toc15377444"/>
      <w:r>
        <w:rPr>
          <w:rFonts w:hint="eastAsia" w:ascii="仿宋" w:hAnsi="仿宋" w:eastAsia="仿宋"/>
          <w:b/>
          <w:color w:val="000000" w:themeColor="text1"/>
          <w:sz w:val="32"/>
          <w:szCs w:val="32"/>
        </w:rPr>
        <w:t>2018年一般公共预算支出决算数为</w:t>
      </w:r>
      <w:r>
        <w:rPr>
          <w:rFonts w:hint="eastAsia" w:ascii="仿宋" w:hAnsi="仿宋" w:eastAsia="仿宋"/>
          <w:bCs/>
          <w:color w:val="000000" w:themeColor="text1"/>
          <w:sz w:val="32"/>
          <w:szCs w:val="32"/>
        </w:rPr>
        <w:t>578.95万元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2"/>
      <w:bookmarkEnd w:id="33"/>
      <w:bookmarkEnd w:id="34"/>
    </w:p>
    <w:p w14:paraId="6D0F9B96">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一般公共服务（类）组织事务（款）行政运行（项）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支出决算为418.09万元，完成预算100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626EFBED">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2</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一般公共服务（类）组织事务（款）其他组织事务支出（项）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支出决算为95.2万元，完成预算100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621A3846">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支出决算为26万元，完成预算100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ECE43A1">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4.</w:t>
      </w:r>
      <w:r>
        <w:rPr>
          <w:rStyle w:val="15"/>
          <w:rFonts w:hint="eastAsia" w:ascii="仿宋" w:hAnsi="仿宋" w:eastAsia="仿宋"/>
          <w:bCs/>
          <w:color w:val="000000"/>
          <w:sz w:val="32"/>
          <w:szCs w:val="32"/>
        </w:rPr>
        <w:t>社会保障和就业（类）行政事业单位离退休（款）机关事业单位职业年金缴费支出（项）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支出决算为5.2万元，完成预算100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6AE9196">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支出决算为11.54万元，完成预算100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77CD4A8B">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6.农林水（类）扶贫（款）其他扶贫支出（项）</w:t>
      </w:r>
      <w:r>
        <w:rPr>
          <w:rStyle w:val="15"/>
          <w:rFonts w:hint="eastAsia" w:ascii="仿宋" w:hAnsi="仿宋" w:eastAsia="仿宋"/>
          <w:b w:val="0"/>
          <w:bCs/>
          <w:color w:val="000000"/>
          <w:sz w:val="32"/>
          <w:szCs w:val="32"/>
        </w:rPr>
        <w:t>：支出决算为5万元，完成预算100%。</w:t>
      </w:r>
    </w:p>
    <w:p w14:paraId="59EE6359">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color w:val="000000"/>
          <w:sz w:val="32"/>
          <w:szCs w:val="32"/>
        </w:rPr>
        <w:t>7.住房保障支出（类）住房改革支出（款）住房公积金（项）</w:t>
      </w:r>
      <w:r>
        <w:rPr>
          <w:rStyle w:val="15"/>
          <w:rFonts w:hint="eastAsia" w:ascii="仿宋" w:hAnsi="仿宋" w:eastAsia="仿宋"/>
          <w:b w:val="0"/>
          <w:bCs/>
          <w:color w:val="000000"/>
          <w:sz w:val="32"/>
          <w:szCs w:val="32"/>
        </w:rPr>
        <w:t>：支出决算为17.92万元，完成预算100%。</w:t>
      </w:r>
    </w:p>
    <w:p w14:paraId="7B14880B">
      <w:pPr>
        <w:tabs>
          <w:tab w:val="right" w:pos="8306"/>
        </w:tabs>
        <w:spacing w:line="600" w:lineRule="exact"/>
        <w:ind w:firstLine="640"/>
        <w:outlineLvl w:val="1"/>
        <w:rPr>
          <w:rStyle w:val="26"/>
        </w:rPr>
      </w:pPr>
      <w:bookmarkStart w:id="35" w:name="_Toc15377214"/>
      <w:bookmarkStart w:id="3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14:paraId="598C4C90">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8年一般公共预算财政拨款基本支出478.75万元，其中：</w:t>
      </w:r>
    </w:p>
    <w:p w14:paraId="2EB89856">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人员经费265.1万元，主要包括：基本工资、津贴补贴、奖金、绩效工资、机关事业单位基本养老保险缴费、职业年金缴费、其他社会保障缴费、其他工资福利支出、奖励金、住房公积金。</w:t>
      </w:r>
      <w:r>
        <w:rPr>
          <w:rFonts w:ascii="仿宋" w:hAnsi="仿宋" w:eastAsia="仿宋"/>
          <w:color w:val="000000"/>
          <w:sz w:val="32"/>
          <w:szCs w:val="32"/>
        </w:rPr>
        <w:br w:type="textWrapping"/>
      </w:r>
      <w:r>
        <w:rPr>
          <w:rFonts w:hint="eastAsia" w:ascii="仿宋" w:hAnsi="仿宋" w:eastAsia="仿宋"/>
          <w:color w:val="000000"/>
          <w:sz w:val="32"/>
          <w:szCs w:val="32"/>
        </w:rPr>
        <w:t>　　公用经费213.65万元，主要包括：办公费、印刷费、手续费、邮电费、差旅费、维修（护）费、租赁费、会议费、培训费、公务接待费、工会经费、其他交通费、办公设备购置。</w:t>
      </w:r>
    </w:p>
    <w:p w14:paraId="13C21A0B">
      <w:pPr>
        <w:spacing w:line="600" w:lineRule="exact"/>
        <w:ind w:firstLine="640"/>
        <w:outlineLvl w:val="1"/>
        <w:rPr>
          <w:rStyle w:val="26"/>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14:paraId="68A64DFD">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14:paraId="02688F5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8年“三公”经费财政拨款支出决算为9.5万元，完成预算100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，决算数与预算数持平的原因是严格执行预算，厉行节约。</w:t>
      </w:r>
    </w:p>
    <w:p w14:paraId="4B8194C8">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14:paraId="2064973B">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；公务接待费支出决算9.5万元，占100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D51338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7年增加0万元，增长0</w:t>
      </w:r>
      <w:r>
        <w:rPr>
          <w:rFonts w:ascii="仿宋_GB2312" w:eastAsia="仿宋_GB2312"/>
          <w:color w:val="000000"/>
          <w:sz w:val="32"/>
          <w:szCs w:val="32"/>
        </w:rPr>
        <w:t>%</w:t>
      </w:r>
      <w:r>
        <w:rPr>
          <w:rFonts w:hint="eastAsia" w:ascii="仿宋_GB2312" w:eastAsia="仿宋_GB2312"/>
          <w:color w:val="000000"/>
          <w:sz w:val="32"/>
          <w:szCs w:val="32"/>
        </w:rPr>
        <w:t>。</w:t>
      </w:r>
    </w:p>
    <w:p w14:paraId="388CB5B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7年增加0万元，增长0</w:t>
      </w:r>
      <w:r>
        <w:rPr>
          <w:rFonts w:ascii="仿宋_GB2312" w:eastAsia="仿宋_GB2312"/>
          <w:color w:val="000000"/>
          <w:sz w:val="32"/>
          <w:szCs w:val="32"/>
        </w:rPr>
        <w:t>%</w:t>
      </w:r>
      <w:r>
        <w:rPr>
          <w:rFonts w:hint="eastAsia" w:ascii="仿宋_GB2312" w:eastAsia="仿宋_GB2312"/>
          <w:color w:val="000000"/>
          <w:sz w:val="32"/>
          <w:szCs w:val="32"/>
        </w:rPr>
        <w:t>。</w:t>
      </w:r>
    </w:p>
    <w:p w14:paraId="78276232">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14:paraId="7CA73AB0">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14:paraId="412D472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9.5万元，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7年减少3.33万元，下降26</w:t>
      </w:r>
      <w:r>
        <w:rPr>
          <w:rFonts w:ascii="仿宋_GB2312" w:eastAsia="仿宋_GB2312"/>
          <w:color w:val="000000"/>
          <w:sz w:val="32"/>
          <w:szCs w:val="32"/>
        </w:rPr>
        <w:t>%</w:t>
      </w:r>
      <w:r>
        <w:rPr>
          <w:rFonts w:hint="eastAsia" w:ascii="仿宋_GB2312" w:eastAsia="仿宋_GB2312"/>
          <w:color w:val="000000"/>
          <w:sz w:val="32"/>
          <w:szCs w:val="32"/>
        </w:rPr>
        <w:t>。主要原因是我部贯彻落实</w:t>
      </w:r>
      <w:r>
        <w:rPr>
          <w:rFonts w:hint="eastAsia" w:ascii="仿宋_GB2312" w:eastAsia="仿宋_GB2312"/>
          <w:color w:val="000000"/>
          <w:sz w:val="32"/>
          <w:szCs w:val="32"/>
          <w:lang w:eastAsia="zh-CN"/>
        </w:rPr>
        <w:t>中央八项规定</w:t>
      </w:r>
      <w:r>
        <w:rPr>
          <w:rFonts w:hint="eastAsia" w:ascii="仿宋_GB2312" w:eastAsia="仿宋_GB2312"/>
          <w:color w:val="000000"/>
          <w:sz w:val="32"/>
          <w:szCs w:val="32"/>
        </w:rPr>
        <w:t>精神，坚持厉行节约的原则，节省了公务接待支出。</w:t>
      </w:r>
    </w:p>
    <w:p w14:paraId="51F61CD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240批次，2800人次（不包括陪同人员），共计支出9.5万元，具体内容包括：省市委组织部领导调研党建扶贫、农民工党建、城市融合党建接待6.3万元，全市党建扶贫现场会等会议接待费0.7万元，各乡镇领导报党统、办事等接待2.5万元。其中：</w:t>
      </w:r>
    </w:p>
    <w:p w14:paraId="23E05EDF">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14:paraId="0B36900D">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9.5</w:t>
      </w:r>
      <w:r>
        <w:rPr>
          <w:rFonts w:hint="eastAsia" w:ascii="仿宋_GB2312" w:eastAsia="仿宋_GB2312"/>
          <w:color w:val="000000"/>
          <w:sz w:val="32"/>
          <w:szCs w:val="32"/>
        </w:rPr>
        <w:t>万元，主要用于省市委组织部领导调研党建扶贫、农民工党建、城市融合党建等接待，全市党建扶贫现场会等会议接待，各乡镇领导报党统、办事等接待。</w:t>
      </w:r>
      <w:bookmarkStart w:id="41" w:name="_Toc15377218"/>
      <w:bookmarkStart w:id="42" w:name="_Toc15396610"/>
    </w:p>
    <w:p w14:paraId="4F65C817">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1"/>
      <w:bookmarkEnd w:id="42"/>
    </w:p>
    <w:p w14:paraId="353C250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14:paraId="6A6DEF65">
      <w:pPr>
        <w:numPr>
          <w:ilvl w:val="0"/>
          <w:numId w:val="2"/>
        </w:numPr>
        <w:spacing w:line="600" w:lineRule="exact"/>
        <w:ind w:firstLine="640"/>
        <w:outlineLvl w:val="1"/>
        <w:rPr>
          <w:rStyle w:val="26"/>
          <w:rFonts w:ascii="黑体" w:hAnsi="黑体" w:eastAsia="黑体"/>
          <w:b w:val="0"/>
        </w:rPr>
      </w:pPr>
      <w:bookmarkStart w:id="43" w:name="_Toc15377219"/>
      <w:bookmarkStart w:id="44" w:name="_Toc15396611"/>
      <w:r>
        <w:rPr>
          <w:rStyle w:val="26"/>
          <w:rFonts w:hint="eastAsia" w:ascii="黑体" w:hAnsi="黑体" w:eastAsia="黑体"/>
          <w:b w:val="0"/>
        </w:rPr>
        <w:t>国有资本经营预算支出决算情况说明</w:t>
      </w:r>
      <w:bookmarkEnd w:id="43"/>
      <w:bookmarkEnd w:id="44"/>
    </w:p>
    <w:p w14:paraId="57F908F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33E443A2">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14:paraId="6EDAD83A">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479EAA4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1个项目开展了预算事前绩效评估，对1个项目编制了绩效目标，预算执行过程中，选取1个项目开展绩效监控，年终执行完毕后，对1个项目开展了绩效目标完成情况梳理填报。</w:t>
      </w:r>
    </w:p>
    <w:p w14:paraId="6A53A5A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本部门按要求对2018年部门整体支出开展绩效自评，从评价情况来看，严格按照预算执行，绩效目标完成较好。本部门还自行组织了1个项目绩效评价，从评价情况来看严格按照预算执行，绩效目标完成较好。</w:t>
      </w:r>
    </w:p>
    <w:p w14:paraId="1DC53667">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本部门在2018年度部门决算中反映“东西部扶贫人才交流项目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1个项目绩效目标实际完成情况。</w:t>
      </w:r>
    </w:p>
    <w:p w14:paraId="767B40E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东西部扶贫人才交流项目绩效目</w:t>
      </w:r>
      <w:bookmarkStart w:id="71" w:name="_GoBack"/>
      <w:bookmarkEnd w:id="71"/>
      <w:r>
        <w:rPr>
          <w:rFonts w:hint="eastAsia" w:ascii="仿宋_GB2312" w:hAnsi="仿宋_GB2312" w:eastAsia="仿宋_GB2312" w:cs="仿宋_GB2312"/>
          <w:sz w:val="32"/>
          <w:szCs w:val="32"/>
        </w:rPr>
        <w:t>标完成情况综述。项目全年预算数50万元，执行数为50万元，完成预算的100%。通过项目实施，建立互派干部人才挂职锻炼和交流合作机制，促进观念互通、思路互动、技术互学、作风互鉴，达到干部人才锻炼成长进步、各领域交流合作事业蓬勃发展(按照项目总体目标简要描述项目成效），发现的主要问题：</w:t>
      </w:r>
      <w:r>
        <w:rPr>
          <w:rFonts w:hint="eastAsia" w:ascii="仿宋_GB2312" w:eastAsia="仿宋_GB2312"/>
          <w:b/>
          <w:sz w:val="32"/>
          <w:szCs w:val="32"/>
        </w:rPr>
        <w:t>一</w:t>
      </w:r>
      <w:r>
        <w:rPr>
          <w:rFonts w:hint="eastAsia" w:ascii="仿宋_GB2312" w:eastAsia="仿宋_GB2312"/>
          <w:bCs/>
          <w:sz w:val="32"/>
          <w:szCs w:val="32"/>
        </w:rPr>
        <w:t>是脱贫摘帽期间，党员干部工学矛盾较为突出；二是干部人才交流专项资金较少</w:t>
      </w:r>
      <w:r>
        <w:rPr>
          <w:rFonts w:hint="eastAsia" w:ascii="仿宋_GB2312" w:hAnsi="仿宋_GB2312" w:eastAsia="仿宋_GB2312" w:cs="仿宋_GB2312"/>
          <w:sz w:val="32"/>
          <w:szCs w:val="32"/>
        </w:rPr>
        <w:t>。下一步改进措施：</w:t>
      </w:r>
      <w:r>
        <w:rPr>
          <w:rFonts w:hint="eastAsia" w:ascii="仿宋_GB2312" w:eastAsia="仿宋_GB2312"/>
          <w:bCs/>
          <w:sz w:val="32"/>
          <w:szCs w:val="32"/>
        </w:rPr>
        <w:t>提前谋划来年工作。结合本年度工作开展效益，广泛征求相关单位意见，提前商议明年工作计划，要进一步加强干部人才交流、人才平台建设和党员干部人才培训提能。</w:t>
      </w:r>
    </w:p>
    <w:p w14:paraId="192C9DEE">
      <w:pPr>
        <w:rPr>
          <w:rFonts w:ascii="Calibri" w:hAnsi="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2500BD4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443579A">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1660AEB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14DF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7BED1">
            <w:pPr>
              <w:widowControl/>
              <w:jc w:val="center"/>
              <w:textAlignment w:val="center"/>
              <w:rPr>
                <w:rFonts w:ascii="宋体" w:hAnsi="宋体" w:cs="宋体"/>
                <w:color w:val="000000"/>
                <w:sz w:val="24"/>
              </w:rPr>
            </w:pPr>
            <w:r>
              <w:rPr>
                <w:rFonts w:hint="eastAsia" w:ascii="宋体" w:hAnsi="宋体" w:cs="宋体"/>
                <w:color w:val="000000"/>
                <w:sz w:val="24"/>
              </w:rPr>
              <w:t>东西部扶贫协作人才交流经费</w:t>
            </w:r>
          </w:p>
        </w:tc>
      </w:tr>
      <w:tr w14:paraId="14E3837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29D49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850FD">
            <w:pPr>
              <w:widowControl/>
              <w:jc w:val="center"/>
              <w:textAlignment w:val="center"/>
              <w:rPr>
                <w:rFonts w:ascii="宋体" w:hAnsi="宋体" w:cs="宋体"/>
                <w:color w:val="000000"/>
                <w:sz w:val="24"/>
              </w:rPr>
            </w:pPr>
            <w:r>
              <w:rPr>
                <w:rFonts w:hint="eastAsia" w:ascii="宋体" w:hAnsi="宋体" w:cs="宋体"/>
                <w:color w:val="000000"/>
                <w:sz w:val="24"/>
              </w:rPr>
              <w:t>中共广元市昭化区委组织部</w:t>
            </w:r>
          </w:p>
        </w:tc>
      </w:tr>
      <w:tr w14:paraId="346CB31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5C1132">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40AA3">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5BE2E">
            <w:pPr>
              <w:widowControl/>
              <w:jc w:val="center"/>
              <w:textAlignment w:val="center"/>
              <w:rPr>
                <w:rFonts w:ascii="宋体" w:hAnsi="宋体" w:cs="宋体"/>
                <w:color w:val="000000"/>
                <w:sz w:val="24"/>
              </w:rPr>
            </w:pPr>
            <w:r>
              <w:rPr>
                <w:rFonts w:hint="eastAsia" w:ascii="宋体" w:hAnsi="宋体" w:cs="宋体"/>
                <w:color w:val="000000"/>
                <w:sz w:val="24"/>
              </w:rPr>
              <w:t>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B3FB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EC148F">
            <w:pPr>
              <w:widowControl/>
              <w:jc w:val="center"/>
              <w:textAlignment w:val="center"/>
              <w:rPr>
                <w:rFonts w:ascii="宋体" w:hAnsi="宋体" w:cs="宋体"/>
                <w:color w:val="000000"/>
                <w:sz w:val="24"/>
              </w:rPr>
            </w:pPr>
            <w:r>
              <w:rPr>
                <w:rFonts w:hint="eastAsia" w:ascii="宋体" w:hAnsi="宋体" w:cs="宋体"/>
                <w:color w:val="000000"/>
                <w:sz w:val="24"/>
              </w:rPr>
              <w:t>50万</w:t>
            </w:r>
          </w:p>
        </w:tc>
      </w:tr>
      <w:tr w14:paraId="08895D2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339F85">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11113">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D2D05E">
            <w:pPr>
              <w:widowControl/>
              <w:jc w:val="center"/>
              <w:textAlignment w:val="center"/>
              <w:rPr>
                <w:rFonts w:ascii="宋体" w:hAnsi="宋体" w:cs="宋体"/>
                <w:color w:val="000000"/>
                <w:sz w:val="24"/>
              </w:rPr>
            </w:pPr>
            <w:r>
              <w:rPr>
                <w:rFonts w:hint="eastAsia" w:ascii="宋体" w:hAnsi="宋体" w:cs="宋体"/>
                <w:color w:val="000000"/>
                <w:sz w:val="24"/>
              </w:rPr>
              <w:t>50万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72035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44E91">
            <w:pPr>
              <w:widowControl/>
              <w:jc w:val="center"/>
              <w:textAlignment w:val="center"/>
              <w:rPr>
                <w:rFonts w:ascii="宋体" w:hAnsi="宋体" w:cs="宋体"/>
                <w:color w:val="000000"/>
                <w:sz w:val="24"/>
              </w:rPr>
            </w:pPr>
            <w:r>
              <w:rPr>
                <w:rFonts w:hint="eastAsia" w:ascii="宋体" w:hAnsi="宋体" w:cs="宋体"/>
                <w:color w:val="000000"/>
                <w:sz w:val="24"/>
              </w:rPr>
              <w:t>50万</w:t>
            </w:r>
          </w:p>
        </w:tc>
      </w:tr>
      <w:tr w14:paraId="01F2632B">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BA0208">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92251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89108">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2034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A8A5EA">
            <w:pPr>
              <w:jc w:val="center"/>
              <w:rPr>
                <w:rFonts w:ascii="宋体" w:hAnsi="宋体" w:cs="宋体"/>
                <w:color w:val="000000"/>
                <w:sz w:val="24"/>
              </w:rPr>
            </w:pPr>
          </w:p>
        </w:tc>
      </w:tr>
      <w:tr w14:paraId="769FBA1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228C9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B937F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C8187">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76C70688">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C7294A0">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7C70E0">
            <w:pPr>
              <w:widowControl/>
              <w:tabs>
                <w:tab w:val="left" w:pos="1658"/>
              </w:tabs>
              <w:jc w:val="left"/>
              <w:textAlignment w:val="center"/>
              <w:rPr>
                <w:rFonts w:ascii="宋体" w:hAnsi="宋体" w:cs="宋体"/>
                <w:color w:val="000000"/>
                <w:sz w:val="24"/>
              </w:rPr>
            </w:pPr>
            <w:r>
              <w:rPr>
                <w:rFonts w:hint="eastAsia" w:ascii="宋体" w:hAnsi="宋体" w:cs="宋体"/>
                <w:color w:val="000000"/>
                <w:sz w:val="24"/>
              </w:rPr>
              <w:t>通过建立互派干部人才挂职锻炼和交流合作机制，促进观念互通、思路互动、技术互学、作风互鉴，达到干部人才锻炼成长进步、各领域交流合作事业蓬勃发展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4A0FB2">
            <w:pPr>
              <w:widowControl/>
              <w:jc w:val="left"/>
              <w:textAlignment w:val="center"/>
              <w:rPr>
                <w:rFonts w:ascii="宋体" w:hAnsi="宋体" w:cs="宋体"/>
                <w:color w:val="000000"/>
                <w:sz w:val="24"/>
              </w:rPr>
            </w:pPr>
            <w:r>
              <w:rPr>
                <w:rFonts w:hint="eastAsia" w:ascii="宋体" w:hAnsi="宋体" w:cs="宋体"/>
                <w:color w:val="000000"/>
                <w:sz w:val="24"/>
              </w:rPr>
              <w:t>通过建立互派干部人才挂职锻炼和交流合作机制，促进观念互通、思路互动、技术互学、作风互鉴，达到干部人才锻炼成长进步、各领域交流合作事业蓬勃发展</w:t>
            </w:r>
          </w:p>
        </w:tc>
      </w:tr>
      <w:tr w14:paraId="1CF9A271">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487A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926B09">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FDF1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58AEF">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AD516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7D076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041B2BE">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4DAC7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6452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5657A2">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479524">
            <w:pPr>
              <w:widowControl/>
              <w:jc w:val="center"/>
              <w:textAlignment w:val="center"/>
              <w:rPr>
                <w:rFonts w:ascii="宋体" w:hAnsi="宋体" w:cs="宋体"/>
                <w:color w:val="000000"/>
                <w:sz w:val="24"/>
              </w:rPr>
            </w:pPr>
            <w:r>
              <w:rPr>
                <w:rFonts w:hint="eastAsia" w:ascii="宋体" w:hAnsi="宋体" w:cs="宋体"/>
                <w:color w:val="000000"/>
                <w:sz w:val="24"/>
              </w:rPr>
              <w:t>挂职锻炼人数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334150">
            <w:pPr>
              <w:widowControl/>
              <w:jc w:val="center"/>
              <w:textAlignment w:val="center"/>
              <w:rPr>
                <w:rFonts w:ascii="宋体" w:hAnsi="宋体" w:cs="宋体"/>
                <w:color w:val="000000"/>
                <w:sz w:val="24"/>
              </w:rPr>
            </w:pPr>
            <w:r>
              <w:rPr>
                <w:rFonts w:hint="eastAsia" w:ascii="宋体" w:hAnsi="宋体" w:cs="宋体"/>
                <w:color w:val="000000"/>
                <w:sz w:val="24"/>
              </w:rPr>
              <w:t>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CCE37A">
            <w:pPr>
              <w:widowControl/>
              <w:jc w:val="center"/>
              <w:textAlignment w:val="center"/>
              <w:rPr>
                <w:rFonts w:ascii="宋体" w:hAnsi="宋体" w:cs="宋体"/>
                <w:color w:val="000000"/>
                <w:sz w:val="24"/>
              </w:rPr>
            </w:pPr>
            <w:r>
              <w:rPr>
                <w:rFonts w:hint="eastAsia" w:ascii="宋体" w:hAnsi="宋体" w:cs="宋体"/>
                <w:color w:val="000000"/>
                <w:sz w:val="24"/>
              </w:rPr>
              <w:t>7人</w:t>
            </w:r>
          </w:p>
        </w:tc>
      </w:tr>
      <w:tr w14:paraId="0B6CF67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AC9B6D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C8206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797C3">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AB11B3">
            <w:pPr>
              <w:widowControl/>
              <w:jc w:val="center"/>
              <w:textAlignment w:val="center"/>
              <w:rPr>
                <w:rFonts w:ascii="宋体" w:hAnsi="宋体" w:cs="宋体"/>
                <w:color w:val="000000"/>
                <w:sz w:val="24"/>
              </w:rPr>
            </w:pPr>
            <w:r>
              <w:rPr>
                <w:rFonts w:hint="eastAsia" w:ascii="宋体" w:hAnsi="宋体" w:cs="宋体"/>
                <w:color w:val="000000"/>
                <w:sz w:val="24"/>
              </w:rPr>
              <w:t>举办干部人才培训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B4CD9F">
            <w:pPr>
              <w:widowControl/>
              <w:jc w:val="center"/>
              <w:textAlignment w:val="center"/>
              <w:rPr>
                <w:rFonts w:ascii="宋体" w:hAnsi="宋体" w:cs="宋体"/>
                <w:color w:val="000000"/>
                <w:sz w:val="24"/>
              </w:rPr>
            </w:pPr>
            <w:r>
              <w:rPr>
                <w:rFonts w:hint="eastAsia" w:ascii="宋体" w:hAnsi="宋体" w:cs="宋体"/>
                <w:color w:val="000000"/>
                <w:sz w:val="24"/>
              </w:rPr>
              <w:t>专题培训班等8期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8A358">
            <w:pPr>
              <w:widowControl/>
              <w:jc w:val="center"/>
              <w:textAlignment w:val="center"/>
              <w:rPr>
                <w:rFonts w:ascii="宋体" w:hAnsi="宋体" w:cs="宋体"/>
                <w:color w:val="000000"/>
                <w:sz w:val="24"/>
              </w:rPr>
            </w:pPr>
            <w:r>
              <w:rPr>
                <w:rFonts w:hint="eastAsia" w:ascii="宋体" w:hAnsi="宋体" w:cs="宋体"/>
                <w:color w:val="000000"/>
                <w:sz w:val="24"/>
              </w:rPr>
              <w:t>专题培训班等8期</w:t>
            </w:r>
          </w:p>
        </w:tc>
      </w:tr>
      <w:tr w14:paraId="1386960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CA5E3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AD131A">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7AFE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3E6E8B">
            <w:pPr>
              <w:widowControl/>
              <w:jc w:val="center"/>
              <w:textAlignment w:val="center"/>
              <w:rPr>
                <w:rFonts w:ascii="宋体" w:hAnsi="宋体" w:cs="宋体"/>
                <w:color w:val="000000"/>
                <w:sz w:val="24"/>
              </w:rPr>
            </w:pPr>
            <w:r>
              <w:rPr>
                <w:rFonts w:hint="eastAsia" w:ascii="宋体" w:hAnsi="宋体" w:cs="宋体"/>
                <w:color w:val="000000"/>
                <w:sz w:val="24"/>
              </w:rPr>
              <w:t>科技人才交流合作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4856B">
            <w:pPr>
              <w:widowControl/>
              <w:jc w:val="center"/>
              <w:textAlignment w:val="center"/>
              <w:rPr>
                <w:rFonts w:ascii="宋体" w:hAnsi="宋体" w:cs="宋体"/>
                <w:color w:val="000000"/>
                <w:sz w:val="24"/>
              </w:rPr>
            </w:pPr>
            <w:r>
              <w:rPr>
                <w:rFonts w:hint="eastAsia" w:ascii="宋体" w:hAnsi="宋体" w:cs="宋体"/>
                <w:color w:val="000000"/>
                <w:sz w:val="24"/>
              </w:rPr>
              <w:t>10名浙江专家赴昭化开展决策咨询服务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887BBB">
            <w:pPr>
              <w:widowControl/>
              <w:jc w:val="center"/>
              <w:textAlignment w:val="center"/>
              <w:rPr>
                <w:rFonts w:ascii="宋体" w:hAnsi="宋体" w:cs="宋体"/>
                <w:color w:val="000000"/>
                <w:sz w:val="24"/>
              </w:rPr>
            </w:pPr>
            <w:r>
              <w:rPr>
                <w:rFonts w:hint="eastAsia" w:ascii="宋体" w:hAnsi="宋体" w:cs="宋体"/>
                <w:color w:val="000000"/>
                <w:sz w:val="24"/>
              </w:rPr>
              <w:t>10名浙江专家赴昭化开展决策咨询服务</w:t>
            </w:r>
          </w:p>
        </w:tc>
      </w:tr>
      <w:tr w14:paraId="09E1C4D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63E3F3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87922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B2655">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B7AE1A">
            <w:pPr>
              <w:widowControl/>
              <w:jc w:val="center"/>
              <w:textAlignment w:val="center"/>
              <w:rPr>
                <w:rFonts w:ascii="宋体" w:hAnsi="宋体" w:cs="宋体"/>
                <w:color w:val="000000"/>
                <w:sz w:val="24"/>
              </w:rPr>
            </w:pPr>
            <w:r>
              <w:rPr>
                <w:rFonts w:hint="eastAsia" w:ascii="宋体" w:hAnsi="宋体" w:cs="宋体"/>
                <w:color w:val="000000"/>
                <w:sz w:val="24"/>
              </w:rPr>
              <w:t>基本干部跟班学习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E72467">
            <w:pPr>
              <w:widowControl/>
              <w:jc w:val="center"/>
              <w:textAlignment w:val="center"/>
              <w:rPr>
                <w:rFonts w:ascii="宋体" w:hAnsi="宋体" w:cs="宋体"/>
                <w:color w:val="000000"/>
                <w:sz w:val="24"/>
              </w:rPr>
            </w:pPr>
            <w:r>
              <w:rPr>
                <w:rFonts w:hint="eastAsia" w:ascii="宋体" w:hAnsi="宋体" w:cs="宋体"/>
                <w:color w:val="000000"/>
                <w:sz w:val="24"/>
              </w:rPr>
              <w:t>6人赴龙泉学习1-2周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9F943">
            <w:pPr>
              <w:widowControl/>
              <w:jc w:val="center"/>
              <w:textAlignment w:val="center"/>
              <w:rPr>
                <w:rFonts w:ascii="宋体" w:hAnsi="宋体" w:cs="宋体"/>
                <w:color w:val="000000"/>
                <w:sz w:val="24"/>
              </w:rPr>
            </w:pPr>
            <w:r>
              <w:rPr>
                <w:rFonts w:hint="eastAsia" w:ascii="宋体" w:hAnsi="宋体" w:cs="宋体"/>
                <w:color w:val="000000"/>
                <w:sz w:val="24"/>
              </w:rPr>
              <w:t>6人赴龙泉学习1-2周</w:t>
            </w:r>
          </w:p>
        </w:tc>
      </w:tr>
    </w:tbl>
    <w:p w14:paraId="66CE977B">
      <w:pPr>
        <w:rPr>
          <w:rFonts w:ascii="Calibri" w:hAnsi="Calibri"/>
        </w:rPr>
      </w:pPr>
    </w:p>
    <w:p w14:paraId="20EBEE5F">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1B5782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本部门按要求对2018年部门整体支出绩效评价情况开展自评，《中共广元市昭化区委组织部2018年部门整体支出绩效评价报告》见附件。</w:t>
      </w:r>
    </w:p>
    <w:p w14:paraId="543160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本部门自行组织对东西部扶贫协作人才交流经费项目开展了绩效评价，《中共广元市昭化区委组织部东西部扶贫协作交流经费项目2018年绩效评价报告》见附件。</w:t>
      </w:r>
    </w:p>
    <w:p w14:paraId="28BB360A">
      <w:pPr>
        <w:spacing w:line="580" w:lineRule="exact"/>
        <w:jc w:val="center"/>
        <w:rPr>
          <w:rFonts w:ascii="方正小标宋简体" w:hAnsi="方正小标宋简体" w:eastAsia="方正小标宋简体" w:cs="方正小标宋简体"/>
          <w:sz w:val="44"/>
          <w:szCs w:val="44"/>
        </w:rPr>
      </w:pPr>
    </w:p>
    <w:p w14:paraId="69D5DCCD">
      <w:pPr>
        <w:spacing w:line="600" w:lineRule="exact"/>
        <w:ind w:firstLine="800" w:firstLineChars="250"/>
        <w:outlineLvl w:val="1"/>
        <w:rPr>
          <w:rStyle w:val="26"/>
          <w:rFonts w:ascii="黑体" w:hAnsi="黑体" w:eastAsia="黑体"/>
        </w:rPr>
      </w:pPr>
      <w:bookmarkStart w:id="45" w:name="_Toc15377221"/>
      <w:bookmarkStart w:id="46"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14:paraId="3B1B2124">
      <w:pPr>
        <w:spacing w:line="600" w:lineRule="exact"/>
        <w:ind w:firstLine="643" w:firstLineChars="200"/>
        <w:outlineLvl w:val="2"/>
        <w:rPr>
          <w:rFonts w:ascii="仿宋" w:hAnsi="仿宋" w:eastAsia="仿宋"/>
          <w:color w:val="000000"/>
          <w:sz w:val="32"/>
          <w:szCs w:val="32"/>
        </w:rPr>
      </w:pPr>
      <w:bookmarkStart w:id="47" w:name="_Toc15377222"/>
      <w:r>
        <w:rPr>
          <w:rFonts w:hint="eastAsia" w:ascii="仿宋" w:hAnsi="仿宋" w:eastAsia="仿宋"/>
          <w:b/>
          <w:color w:val="000000"/>
          <w:sz w:val="32"/>
          <w:szCs w:val="32"/>
        </w:rPr>
        <w:t>（一）机关运行经费支出情况</w:t>
      </w:r>
      <w:bookmarkEnd w:id="47"/>
    </w:p>
    <w:p w14:paraId="64E3E45E">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8年，组织部关运行经费支出213.65万元，比</w:t>
      </w:r>
      <w:r>
        <w:rPr>
          <w:rFonts w:ascii="仿宋_GB2312" w:eastAsia="仿宋_GB2312"/>
          <w:color w:val="000000"/>
          <w:sz w:val="32"/>
          <w:szCs w:val="32"/>
        </w:rPr>
        <w:t>201</w:t>
      </w:r>
      <w:r>
        <w:rPr>
          <w:rFonts w:hint="eastAsia" w:ascii="仿宋_GB2312" w:eastAsia="仿宋_GB2312"/>
          <w:color w:val="000000"/>
          <w:sz w:val="32"/>
          <w:szCs w:val="32"/>
        </w:rPr>
        <w:t>7年减少46.04万元，下降17.7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主要原因是厉行节约，压缩开支。</w:t>
      </w:r>
    </w:p>
    <w:p w14:paraId="42D4DD6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8" w:name="_Toc15377223"/>
      <w:r>
        <w:rPr>
          <w:rFonts w:hint="eastAsia" w:ascii="仿宋" w:hAnsi="仿宋" w:eastAsia="仿宋"/>
          <w:b/>
          <w:color w:val="000000"/>
          <w:sz w:val="32"/>
          <w:szCs w:val="32"/>
        </w:rPr>
        <w:t>（二）政府采购支出情况</w:t>
      </w:r>
      <w:bookmarkEnd w:id="48"/>
    </w:p>
    <w:p w14:paraId="740B76F4">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8年，组织部政府采购支出总额0万元，</w:t>
      </w:r>
    </w:p>
    <w:p w14:paraId="5EA1456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4"/>
      <w:r>
        <w:rPr>
          <w:rFonts w:hint="eastAsia" w:ascii="仿宋" w:hAnsi="仿宋" w:eastAsia="仿宋"/>
          <w:b/>
          <w:color w:val="000000"/>
          <w:sz w:val="32"/>
          <w:szCs w:val="32"/>
        </w:rPr>
        <w:t>（三）国有资产占有使用情况</w:t>
      </w:r>
      <w:bookmarkEnd w:id="49"/>
    </w:p>
    <w:p w14:paraId="61E3D7ED">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日，组织部共有车辆0辆。</w:t>
      </w:r>
    </w:p>
    <w:p w14:paraId="19466F12">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127217F">
      <w:pPr>
        <w:numPr>
          <w:ilvl w:val="0"/>
          <w:numId w:val="5"/>
        </w:numPr>
        <w:spacing w:line="600" w:lineRule="exact"/>
        <w:ind w:firstLine="663" w:firstLineChars="150"/>
        <w:jc w:val="center"/>
        <w:outlineLvl w:val="0"/>
        <w:rPr>
          <w:rStyle w:val="25"/>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14:paraId="2532A5C8">
      <w:pPr>
        <w:spacing w:line="600" w:lineRule="exact"/>
        <w:jc w:val="left"/>
        <w:rPr>
          <w:rFonts w:ascii="宋体"/>
          <w:b/>
          <w:color w:val="000000"/>
          <w:sz w:val="44"/>
          <w:szCs w:val="44"/>
        </w:rPr>
      </w:pPr>
    </w:p>
    <w:p w14:paraId="5D31518B">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9054339">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Style w:val="15"/>
          <w:rFonts w:hint="eastAsia" w:ascii="仿宋" w:hAnsi="仿宋" w:eastAsia="仿宋"/>
          <w:b w:val="0"/>
          <w:color w:val="000000"/>
          <w:sz w:val="32"/>
          <w:szCs w:val="32"/>
        </w:rPr>
        <w:t>一般公共服务（类）组织事务（款）行政运行（项）</w:t>
      </w:r>
      <w:r>
        <w:rPr>
          <w:rFonts w:hint="eastAsia" w:ascii="仿宋_GB2312" w:eastAsia="仿宋_GB2312"/>
          <w:color w:val="000000"/>
          <w:sz w:val="32"/>
          <w:szCs w:val="32"/>
        </w:rPr>
        <w:t>：指行政单位（包括实行公务员管理的事业单位）的基本支出。</w:t>
      </w:r>
    </w:p>
    <w:p w14:paraId="0E395A8B">
      <w:pPr>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Style w:val="15"/>
          <w:rFonts w:hint="eastAsia" w:ascii="仿宋" w:hAnsi="仿宋" w:eastAsia="仿宋"/>
          <w:bCs/>
          <w:color w:val="000000"/>
          <w:sz w:val="32"/>
          <w:szCs w:val="32"/>
        </w:rPr>
        <w:t>一</w:t>
      </w:r>
      <w:r>
        <w:rPr>
          <w:rStyle w:val="15"/>
          <w:rFonts w:hint="eastAsia" w:ascii="仿宋" w:hAnsi="仿宋" w:eastAsia="仿宋"/>
          <w:b w:val="0"/>
          <w:color w:val="000000"/>
          <w:sz w:val="32"/>
          <w:szCs w:val="32"/>
        </w:rPr>
        <w:t>般公共服务（类）组织事务（款）其他组织事务支出（项）</w:t>
      </w:r>
      <w:r>
        <w:rPr>
          <w:rFonts w:hint="eastAsia" w:ascii="仿宋_GB2312" w:eastAsia="仿宋_GB2312"/>
          <w:color w:val="000000"/>
          <w:sz w:val="32"/>
          <w:szCs w:val="32"/>
        </w:rPr>
        <w:t>：指其他用于中国共产党组织部门的事务支出。</w:t>
      </w:r>
    </w:p>
    <w:p w14:paraId="22DDDD43">
      <w:pPr>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社会保障和就业（类）行政事业单位离退休（款）行政事业单位基本养老保险缴费（项）：指机关事业单位实施养老保险制度由单位缴纳的基本养老保险费支出。</w:t>
      </w:r>
    </w:p>
    <w:p w14:paraId="237A0374">
      <w:pPr>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指财政部门安排的行政单位基本医疗保险缴费经费，未参加医疗保险的行政单位的公费医疗经费，按国家规定享受离休人员、红军老战士待遇人员的医疗经费。</w:t>
      </w:r>
    </w:p>
    <w:p w14:paraId="19E7EF94">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Style w:val="15"/>
          <w:rFonts w:hint="eastAsia" w:ascii="仿宋" w:hAnsi="仿宋" w:eastAsia="仿宋"/>
          <w:b w:val="0"/>
          <w:bCs/>
          <w:color w:val="000000"/>
          <w:sz w:val="32"/>
          <w:szCs w:val="32"/>
        </w:rPr>
        <w:t>农林水（类）扶贫（款）其他扶贫支出（项）</w:t>
      </w:r>
      <w:r>
        <w:rPr>
          <w:rFonts w:hint="eastAsia" w:ascii="仿宋_GB2312" w:eastAsia="仿宋_GB2312"/>
          <w:color w:val="000000"/>
          <w:sz w:val="32"/>
          <w:szCs w:val="32"/>
        </w:rPr>
        <w:t>：指其他用于扶贫方面的支出。。</w:t>
      </w:r>
    </w:p>
    <w:p w14:paraId="20620FB4">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14:paraId="62E391F6">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727615D6">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6E11B904">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9A4B401">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944C69">
      <w:pPr>
        <w:spacing w:line="600" w:lineRule="exact"/>
        <w:jc w:val="center"/>
        <w:outlineLvl w:val="0"/>
        <w:rPr>
          <w:rStyle w:val="25"/>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3"/>
    </w:p>
    <w:p w14:paraId="76719911">
      <w:pPr>
        <w:spacing w:line="600" w:lineRule="exact"/>
        <w:jc w:val="center"/>
        <w:outlineLvl w:val="0"/>
        <w:rPr>
          <w:rStyle w:val="25"/>
        </w:rPr>
      </w:pPr>
    </w:p>
    <w:p w14:paraId="19BB4F08">
      <w:pPr>
        <w:pStyle w:val="4"/>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14:paraId="63A04479">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中共广元市昭化区委组织部部门2018年部门      整体支出绩效评价报告</w:t>
      </w:r>
      <w:bookmarkEnd w:id="55"/>
    </w:p>
    <w:p w14:paraId="4ED99B0A">
      <w:pPr>
        <w:spacing w:line="580" w:lineRule="exact"/>
        <w:ind w:firstLine="640" w:firstLineChars="200"/>
        <w:rPr>
          <w:rFonts w:ascii="黑体" w:hAnsi="黑体" w:eastAsia="黑体" w:cs="黑体"/>
          <w:sz w:val="32"/>
          <w:szCs w:val="32"/>
        </w:rPr>
      </w:pPr>
    </w:p>
    <w:p w14:paraId="023A7760">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8808D46">
      <w:pPr>
        <w:ind w:firstLine="800" w:firstLineChars="25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sz w:val="32"/>
          <w:szCs w:val="32"/>
        </w:rPr>
        <w:t>组织部下属二级单位3个，其中行政单位0个，参照公务员法管理的事业单位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个，其他事业单位2个。二级单位包括</w:t>
      </w:r>
      <w:r>
        <w:rPr>
          <w:rFonts w:hint="eastAsia" w:ascii="仿宋" w:hAnsi="仿宋" w:eastAsia="仿宋"/>
          <w:color w:val="000000"/>
          <w:sz w:val="32"/>
          <w:szCs w:val="32"/>
        </w:rPr>
        <w:t>广元市昭化区党员教育管理服务中心、中共广元市昭化区委老干部服务中心和广元市昭化区高层次人次服务中心。</w:t>
      </w:r>
    </w:p>
    <w:p w14:paraId="588AF57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bCs/>
          <w:color w:val="000000"/>
          <w:sz w:val="32"/>
          <w:szCs w:val="32"/>
        </w:rPr>
        <w:t>贯彻新时代党的建设总要求和新时代党的组织路线，落实区委相关决策部署。</w:t>
      </w:r>
    </w:p>
    <w:p w14:paraId="3D12FF2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行政人员15人，参照公务员法管理人员5人，财政补助人员4人。</w:t>
      </w:r>
    </w:p>
    <w:p w14:paraId="6C7913E4">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1923152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 w:hAnsi="仿宋" w:eastAsia="仿宋" w:cs="仿宋_GB2312"/>
          <w:sz w:val="32"/>
          <w:szCs w:val="32"/>
        </w:rPr>
        <w:t>组织部2018年财政资金收入578.95万元。</w:t>
      </w:r>
    </w:p>
    <w:p w14:paraId="434F78E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 w:hAnsi="仿宋" w:eastAsia="仿宋" w:cs="仿宋_GB2312"/>
          <w:sz w:val="32"/>
          <w:szCs w:val="32"/>
        </w:rPr>
        <w:t>组织部2018年财政资金支出578.95万元。</w:t>
      </w:r>
    </w:p>
    <w:p w14:paraId="7579D51A">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7441FB48">
      <w:pPr>
        <w:ind w:firstLine="800" w:firstLineChars="250"/>
        <w:rPr>
          <w:rFonts w:ascii="仿宋" w:hAnsi="仿宋" w:eastAsia="仿宋"/>
          <w:sz w:val="32"/>
          <w:szCs w:val="32"/>
        </w:rPr>
      </w:pPr>
      <w:r>
        <w:rPr>
          <w:rFonts w:hint="eastAsia" w:ascii="仿宋" w:hAnsi="仿宋" w:eastAsia="仿宋"/>
          <w:sz w:val="32"/>
          <w:szCs w:val="32"/>
        </w:rPr>
        <w:t>（一）部门预算管理。</w:t>
      </w:r>
    </w:p>
    <w:p w14:paraId="73A2A0FB">
      <w:pPr>
        <w:ind w:firstLine="800" w:firstLineChars="250"/>
        <w:rPr>
          <w:rFonts w:ascii="仿宋" w:hAnsi="仿宋" w:eastAsia="仿宋"/>
          <w:sz w:val="32"/>
          <w:szCs w:val="32"/>
        </w:rPr>
      </w:pPr>
      <w:r>
        <w:rPr>
          <w:rFonts w:hint="eastAsia" w:ascii="仿宋" w:hAnsi="仿宋" w:eastAsia="仿宋"/>
          <w:sz w:val="32"/>
          <w:szCs w:val="32"/>
        </w:rPr>
        <w:t>1、预算管理</w:t>
      </w:r>
    </w:p>
    <w:p w14:paraId="02195980">
      <w:pPr>
        <w:ind w:firstLine="640" w:firstLineChars="200"/>
        <w:rPr>
          <w:rFonts w:ascii="仿宋" w:hAnsi="仿宋" w:eastAsia="仿宋"/>
          <w:sz w:val="32"/>
          <w:szCs w:val="32"/>
        </w:rPr>
      </w:pPr>
      <w:r>
        <w:rPr>
          <w:rFonts w:hint="eastAsia" w:ascii="仿宋" w:hAnsi="仿宋" w:eastAsia="仿宋"/>
          <w:sz w:val="32"/>
          <w:szCs w:val="32"/>
        </w:rPr>
        <w:t>（1）目标制定。区委组织部2018年部门预算项目绩效目标主要围绕当年工作要点制定，包括完成指标、效益指标和满意度指标。</w:t>
      </w:r>
    </w:p>
    <w:p w14:paraId="78D6AA83">
      <w:pPr>
        <w:ind w:firstLine="640" w:firstLineChars="200"/>
        <w:rPr>
          <w:rFonts w:ascii="仿宋" w:hAnsi="仿宋" w:eastAsia="仿宋"/>
          <w:sz w:val="32"/>
          <w:szCs w:val="32"/>
        </w:rPr>
      </w:pPr>
      <w:r>
        <w:rPr>
          <w:rFonts w:hint="eastAsia" w:ascii="仿宋" w:hAnsi="仿宋" w:eastAsia="仿宋"/>
          <w:sz w:val="32"/>
          <w:szCs w:val="32"/>
        </w:rPr>
        <w:t>（2）目标完成情况。根据工作完成情况来看，职能目标、社会治理、部门预决算编制、预算执行和综合管理完成较好。</w:t>
      </w:r>
    </w:p>
    <w:p w14:paraId="20BB6E95">
      <w:pPr>
        <w:ind w:firstLine="640" w:firstLineChars="200"/>
        <w:rPr>
          <w:rFonts w:ascii="仿宋" w:hAnsi="仿宋" w:eastAsia="仿宋"/>
          <w:sz w:val="32"/>
          <w:szCs w:val="32"/>
        </w:rPr>
      </w:pPr>
      <w:r>
        <w:rPr>
          <w:rFonts w:hint="eastAsia" w:ascii="仿宋" w:hAnsi="仿宋" w:eastAsia="仿宋"/>
          <w:sz w:val="32"/>
          <w:szCs w:val="32"/>
        </w:rPr>
        <w:t>（3）部门预算编制情况。我部严格按照规定编制收入预算、支出预算、三公经费预算等。正确使用功能科目和经济科目、准确编列资金性质和资金级次、按政府审定的方案规范编制项目支出，综合绩效目标编制完整、合理，项目支出绩效目标编制明确、量化。按要求的时间报送部门预算及编制说明。</w:t>
      </w:r>
    </w:p>
    <w:p w14:paraId="49A56493">
      <w:pPr>
        <w:ind w:firstLine="640" w:firstLineChars="200"/>
        <w:rPr>
          <w:rFonts w:ascii="仿宋" w:hAnsi="仿宋" w:eastAsia="仿宋"/>
          <w:sz w:val="32"/>
          <w:szCs w:val="32"/>
        </w:rPr>
      </w:pPr>
      <w:r>
        <w:rPr>
          <w:rFonts w:hint="eastAsia" w:ascii="仿宋" w:hAnsi="仿宋" w:eastAsia="仿宋"/>
          <w:sz w:val="32"/>
          <w:szCs w:val="32"/>
        </w:rPr>
        <w:t>（4）支出控制。单位收支执行进度与时间进度同步，严控现金支付，支付范围比例逐年下降，提高公务卡结算比例。按规定对财政拨付的专项资金进行自检自查，做好资金的项目和资金使用效益工作，充分发挥各项资金的使用效益，财政各项专项工作按时高质量的完成。</w:t>
      </w:r>
    </w:p>
    <w:p w14:paraId="7D8EC929">
      <w:pPr>
        <w:ind w:firstLine="800" w:firstLineChars="250"/>
        <w:rPr>
          <w:rFonts w:ascii="仿宋" w:hAnsi="仿宋" w:eastAsia="仿宋"/>
          <w:sz w:val="32"/>
          <w:szCs w:val="32"/>
        </w:rPr>
      </w:pPr>
    </w:p>
    <w:p w14:paraId="25F1F045">
      <w:pPr>
        <w:ind w:firstLine="640" w:firstLineChars="200"/>
        <w:rPr>
          <w:rFonts w:ascii="仿宋" w:hAnsi="仿宋" w:eastAsia="仿宋"/>
          <w:sz w:val="32"/>
          <w:szCs w:val="32"/>
        </w:rPr>
      </w:pPr>
      <w:r>
        <w:rPr>
          <w:rFonts w:hint="eastAsia" w:ascii="仿宋" w:hAnsi="仿宋" w:eastAsia="仿宋"/>
          <w:sz w:val="32"/>
          <w:szCs w:val="32"/>
        </w:rPr>
        <w:t>（5）预算完成情况。区委组织部2018年一般公共预算财政拨款收入578.95万元，一般公共预算财政拨款支出578.95万元，预算完成率100%.</w:t>
      </w:r>
    </w:p>
    <w:p w14:paraId="3C6C729F">
      <w:pPr>
        <w:ind w:firstLine="640" w:firstLineChars="200"/>
        <w:rPr>
          <w:rFonts w:ascii="仿宋" w:hAnsi="仿宋" w:eastAsia="仿宋"/>
          <w:sz w:val="32"/>
          <w:szCs w:val="32"/>
        </w:rPr>
      </w:pPr>
      <w:r>
        <w:rPr>
          <w:rFonts w:hint="eastAsia" w:ascii="仿宋" w:hAnsi="仿宋" w:eastAsia="仿宋"/>
          <w:sz w:val="32"/>
          <w:szCs w:val="32"/>
        </w:rPr>
        <w:t>（二）专项预算管理。</w:t>
      </w:r>
    </w:p>
    <w:p w14:paraId="1CF3BC6C">
      <w:pPr>
        <w:ind w:firstLine="640" w:firstLineChars="200"/>
        <w:rPr>
          <w:rFonts w:ascii="仿宋" w:hAnsi="仿宋" w:eastAsia="仿宋"/>
          <w:sz w:val="32"/>
          <w:szCs w:val="32"/>
        </w:rPr>
      </w:pPr>
      <w:r>
        <w:rPr>
          <w:rFonts w:hint="eastAsia" w:ascii="仿宋" w:hAnsi="仿宋" w:eastAsia="仿宋"/>
          <w:sz w:val="32"/>
          <w:szCs w:val="32"/>
        </w:rPr>
        <w:t>我部2018年东西部扶贫协作人才交流经费50万元，针对该专项资金，加强了使用和管理，以不断增强经费保障和装备实力，做到了专款专用，管好用好，充分发挥资金的使用效益。</w:t>
      </w:r>
    </w:p>
    <w:p w14:paraId="458A5BD8">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72D5B1B8">
      <w:pPr>
        <w:ind w:firstLine="640" w:firstLineChars="200"/>
        <w:rPr>
          <w:rFonts w:ascii="仿宋" w:hAnsi="仿宋" w:eastAsia="仿宋"/>
          <w:sz w:val="32"/>
          <w:szCs w:val="32"/>
        </w:rPr>
      </w:pPr>
      <w:r>
        <w:rPr>
          <w:rFonts w:hint="eastAsia" w:ascii="仿宋" w:hAnsi="仿宋" w:eastAsia="仿宋"/>
          <w:sz w:val="32"/>
          <w:szCs w:val="32"/>
        </w:rPr>
        <w:t>（一）评价结论。</w:t>
      </w:r>
    </w:p>
    <w:p w14:paraId="1108FD11">
      <w:pPr>
        <w:ind w:firstLine="800" w:firstLineChars="250"/>
        <w:rPr>
          <w:rFonts w:ascii="仿宋" w:hAnsi="仿宋" w:eastAsia="仿宋"/>
          <w:sz w:val="32"/>
          <w:szCs w:val="32"/>
        </w:rPr>
      </w:pPr>
      <w:r>
        <w:rPr>
          <w:rFonts w:hint="eastAsia" w:ascii="仿宋" w:hAnsi="仿宋" w:eastAsia="仿宋"/>
          <w:sz w:val="32"/>
          <w:szCs w:val="32"/>
        </w:rPr>
        <w:t>总体来看，区委组织部较好完成了年度总体绩效目标，部门综合管理有效，专项项目规划合理，项目实施效果明显。</w:t>
      </w:r>
    </w:p>
    <w:p w14:paraId="3C36B054">
      <w:pPr>
        <w:ind w:firstLine="640" w:firstLineChars="200"/>
        <w:rPr>
          <w:rFonts w:ascii="仿宋" w:hAnsi="仿宋" w:eastAsia="仿宋"/>
          <w:sz w:val="32"/>
          <w:szCs w:val="32"/>
        </w:rPr>
      </w:pPr>
      <w:r>
        <w:rPr>
          <w:rFonts w:hint="eastAsia" w:ascii="仿宋" w:hAnsi="仿宋" w:eastAsia="仿宋"/>
          <w:sz w:val="32"/>
          <w:szCs w:val="32"/>
        </w:rPr>
        <w:t>（二）存在问题。</w:t>
      </w:r>
    </w:p>
    <w:p w14:paraId="006B49C4">
      <w:pPr>
        <w:ind w:firstLine="800" w:firstLineChars="250"/>
        <w:rPr>
          <w:rFonts w:ascii="仿宋" w:hAnsi="仿宋" w:eastAsia="仿宋"/>
          <w:sz w:val="32"/>
          <w:szCs w:val="32"/>
        </w:rPr>
      </w:pPr>
      <w:r>
        <w:rPr>
          <w:rFonts w:hint="eastAsia" w:ascii="仿宋" w:hAnsi="仿宋" w:eastAsia="仿宋"/>
          <w:sz w:val="32"/>
          <w:szCs w:val="32"/>
        </w:rPr>
        <w:t>1、经济科目支出和收入不匹配；</w:t>
      </w:r>
    </w:p>
    <w:p w14:paraId="6799B17E">
      <w:pPr>
        <w:ind w:firstLine="800" w:firstLineChars="250"/>
        <w:rPr>
          <w:rFonts w:ascii="仿宋" w:hAnsi="仿宋" w:eastAsia="仿宋"/>
          <w:sz w:val="32"/>
          <w:szCs w:val="32"/>
        </w:rPr>
      </w:pPr>
      <w:r>
        <w:rPr>
          <w:rFonts w:hint="eastAsia" w:ascii="仿宋" w:hAnsi="仿宋" w:eastAsia="仿宋"/>
          <w:sz w:val="32"/>
          <w:szCs w:val="32"/>
        </w:rPr>
        <w:t>2、公务卡使用不达标；</w:t>
      </w:r>
    </w:p>
    <w:p w14:paraId="65EB630A">
      <w:pPr>
        <w:ind w:firstLine="800" w:firstLineChars="250"/>
        <w:rPr>
          <w:rFonts w:ascii="仿宋" w:hAnsi="仿宋" w:eastAsia="仿宋"/>
          <w:sz w:val="32"/>
          <w:szCs w:val="32"/>
        </w:rPr>
      </w:pPr>
      <w:r>
        <w:rPr>
          <w:rFonts w:hint="eastAsia" w:ascii="仿宋" w:hAnsi="仿宋" w:eastAsia="仿宋"/>
          <w:sz w:val="32"/>
          <w:szCs w:val="32"/>
        </w:rPr>
        <w:t>（三）改进建议。</w:t>
      </w:r>
    </w:p>
    <w:p w14:paraId="5B306D8F">
      <w:pPr>
        <w:ind w:firstLine="800" w:firstLineChars="250"/>
        <w:rPr>
          <w:rFonts w:ascii="仿宋" w:hAnsi="仿宋" w:eastAsia="仿宋"/>
          <w:sz w:val="32"/>
          <w:szCs w:val="32"/>
        </w:rPr>
      </w:pPr>
      <w:r>
        <w:rPr>
          <w:rFonts w:hint="eastAsia" w:ascii="仿宋" w:hAnsi="仿宋" w:eastAsia="仿宋"/>
          <w:sz w:val="32"/>
          <w:szCs w:val="32"/>
        </w:rPr>
        <w:t>1、加强预算收入和支付管理，严格实施绩效目标管理，将绩效目标作为编制预算的必要前提，提高预算编制准确性。</w:t>
      </w:r>
    </w:p>
    <w:p w14:paraId="09B849AD">
      <w:pPr>
        <w:ind w:firstLine="800" w:firstLineChars="250"/>
        <w:rPr>
          <w:rFonts w:ascii="仿宋" w:hAnsi="仿宋" w:eastAsia="仿宋"/>
          <w:sz w:val="32"/>
          <w:szCs w:val="32"/>
        </w:rPr>
      </w:pPr>
      <w:r>
        <w:rPr>
          <w:rFonts w:hint="eastAsia" w:ascii="仿宋" w:hAnsi="仿宋" w:eastAsia="仿宋"/>
          <w:sz w:val="32"/>
          <w:szCs w:val="32"/>
        </w:rPr>
        <w:t>2、加强公务卡的使用，能够使用公务卡支付的尽量使用公务卡支付。</w:t>
      </w:r>
    </w:p>
    <w:p w14:paraId="5C81A098">
      <w:pPr>
        <w:ind w:firstLine="800" w:firstLineChars="250"/>
        <w:rPr>
          <w:rFonts w:ascii="仿宋" w:hAnsi="仿宋" w:eastAsia="仿宋"/>
          <w:sz w:val="32"/>
          <w:szCs w:val="32"/>
        </w:rPr>
      </w:pPr>
    </w:p>
    <w:p w14:paraId="27002E38">
      <w:pPr>
        <w:spacing w:line="580" w:lineRule="exact"/>
        <w:ind w:firstLine="640" w:firstLineChars="200"/>
        <w:rPr>
          <w:rFonts w:ascii="仿宋_GB2312" w:hAnsi="仿宋_GB2312" w:eastAsia="仿宋_GB2312" w:cs="仿宋_GB2312"/>
          <w:sz w:val="32"/>
          <w:szCs w:val="32"/>
        </w:rPr>
      </w:pPr>
    </w:p>
    <w:p w14:paraId="5996DBBB">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20B7E5EB">
      <w:pPr>
        <w:pStyle w:val="4"/>
        <w:rPr>
          <w:rStyle w:val="25"/>
          <w:rFonts w:ascii="仿宋" w:hAnsi="仿宋" w:eastAsia="仿宋"/>
          <w:b w:val="0"/>
          <w:bCs w:val="0"/>
          <w:sz w:val="32"/>
          <w:szCs w:val="32"/>
        </w:rPr>
      </w:pPr>
      <w:bookmarkStart w:id="56" w:name="_Toc15396617"/>
      <w:r>
        <w:rPr>
          <w:rStyle w:val="25"/>
          <w:rFonts w:hint="eastAsia" w:ascii="仿宋" w:hAnsi="仿宋" w:eastAsia="仿宋"/>
          <w:b w:val="0"/>
          <w:bCs w:val="0"/>
          <w:sz w:val="32"/>
          <w:szCs w:val="32"/>
        </w:rPr>
        <w:t>附件2</w:t>
      </w:r>
      <w:bookmarkEnd w:id="56"/>
    </w:p>
    <w:p w14:paraId="67BD99CE">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2018年东西部扶贫协作人才交流项目支出绩效评价报告</w:t>
      </w:r>
    </w:p>
    <w:p w14:paraId="38B2031F">
      <w:pPr>
        <w:spacing w:line="580" w:lineRule="exact"/>
        <w:ind w:firstLine="640" w:firstLineChars="200"/>
        <w:rPr>
          <w:rFonts w:ascii="仿宋_GB2312" w:hAnsi="仿宋_GB2312" w:eastAsia="仿宋_GB2312" w:cs="仿宋_GB2312"/>
          <w:sz w:val="32"/>
          <w:szCs w:val="32"/>
        </w:rPr>
      </w:pPr>
    </w:p>
    <w:p w14:paraId="27CB512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011A2571">
      <w:pPr>
        <w:spacing w:line="576" w:lineRule="exact"/>
        <w:ind w:firstLine="627" w:firstLineChars="196"/>
        <w:rPr>
          <w:rFonts w:ascii="仿宋_GB2312" w:hAnsi="仿宋_GB2312" w:eastAsia="仿宋_GB2312"/>
          <w:sz w:val="32"/>
          <w:szCs w:val="32"/>
        </w:rPr>
      </w:pPr>
      <w:r>
        <w:rPr>
          <w:rFonts w:hint="eastAsia" w:ascii="仿宋_GB2312" w:hAnsi="仿宋_GB2312" w:eastAsia="仿宋_GB2312"/>
          <w:sz w:val="32"/>
          <w:szCs w:val="32"/>
        </w:rPr>
        <w:t>根据中组部</w:t>
      </w:r>
      <w:r>
        <w:rPr>
          <w:rFonts w:ascii="仿宋_GB2312" w:hAnsi="仿宋_GB2312" w:eastAsia="仿宋_GB2312"/>
          <w:sz w:val="32"/>
          <w:szCs w:val="32"/>
        </w:rPr>
        <w:t>《关于进一步加强和完善东西部扶贫协作干部人才选派管理工作的通知》（组通字〔2017〕8号）文件</w:t>
      </w:r>
      <w:r>
        <w:rPr>
          <w:rFonts w:hint="eastAsia" w:ascii="仿宋_GB2312" w:hAnsi="仿宋_GB2312" w:eastAsia="仿宋_GB2312"/>
          <w:sz w:val="32"/>
          <w:szCs w:val="32"/>
        </w:rPr>
        <w:t>有关要求和市委要求</w:t>
      </w:r>
      <w:r>
        <w:rPr>
          <w:rFonts w:ascii="仿宋_GB2312" w:hAnsi="仿宋_GB2312" w:eastAsia="仿宋_GB2312"/>
          <w:sz w:val="32"/>
          <w:szCs w:val="32"/>
        </w:rPr>
        <w:t>，</w:t>
      </w:r>
      <w:r>
        <w:rPr>
          <w:rFonts w:hint="eastAsia" w:ascii="仿宋_GB2312" w:hAnsi="仿宋_GB2312" w:eastAsia="仿宋_GB2312"/>
          <w:sz w:val="32"/>
          <w:szCs w:val="32"/>
        </w:rPr>
        <w:t>启动实施了昭化区浙广东西部扶贫协作干部人才培养和交流合作计划。</w:t>
      </w:r>
    </w:p>
    <w:p w14:paraId="016A84DB">
      <w:pPr>
        <w:spacing w:line="576"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558F124D">
      <w:pPr>
        <w:spacing w:line="576" w:lineRule="exact"/>
        <w:ind w:firstLine="627" w:firstLineChars="196"/>
        <w:rPr>
          <w:rFonts w:ascii="仿宋_GB2312" w:hAnsi="仿宋_GB2312" w:eastAsia="仿宋_GB2312"/>
          <w:sz w:val="32"/>
          <w:szCs w:val="32"/>
        </w:rPr>
      </w:pPr>
      <w:r>
        <w:rPr>
          <w:rFonts w:hint="eastAsia" w:ascii="仿宋_GB2312" w:hAnsi="仿宋_GB2312" w:eastAsia="仿宋_GB2312"/>
          <w:sz w:val="32"/>
          <w:szCs w:val="32"/>
        </w:rPr>
        <w:t>（一）评价结论</w:t>
      </w:r>
    </w:p>
    <w:p w14:paraId="4685B5B6">
      <w:pPr>
        <w:spacing w:line="576" w:lineRule="exact"/>
        <w:ind w:firstLine="627" w:firstLineChars="196"/>
        <w:rPr>
          <w:rFonts w:ascii="仿宋_GB2312" w:hAnsi="仿宋_GB2312" w:eastAsia="仿宋_GB2312"/>
          <w:sz w:val="32"/>
          <w:szCs w:val="32"/>
        </w:rPr>
      </w:pPr>
      <w:r>
        <w:rPr>
          <w:rFonts w:hint="eastAsia" w:ascii="仿宋_GB2312" w:hAnsi="仿宋_GB2312" w:eastAsia="仿宋_GB2312"/>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480C96C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3A502C2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2375C6C2">
      <w:pPr>
        <w:spacing w:line="580" w:lineRule="exact"/>
        <w:ind w:firstLine="640" w:firstLineChars="200"/>
        <w:rPr>
          <w:rFonts w:eastAsia="仿宋"/>
        </w:rPr>
      </w:pPr>
      <w:r>
        <w:rPr>
          <w:rFonts w:hint="eastAsia" w:ascii="仿宋" w:hAnsi="仿宋" w:eastAsia="仿宋" w:cs="仿宋_GB2312"/>
          <w:sz w:val="32"/>
          <w:szCs w:val="32"/>
        </w:rPr>
        <w:t>全面落实习近平总书记扶贫开发战略思想，进一步抢发展抓机遇，确保扶贫协作工作机制更加健全，项目实施更加高效、开放合作更加深化，工作成效更加显著。</w:t>
      </w:r>
    </w:p>
    <w:p w14:paraId="5A15111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0DA5AA11">
      <w:pPr>
        <w:spacing w:line="576" w:lineRule="exact"/>
        <w:ind w:firstLine="627" w:firstLineChars="196"/>
        <w:rPr>
          <w:rFonts w:ascii="仿宋" w:hAnsi="仿宋" w:eastAsia="仿宋" w:cs="仿宋_GB2312"/>
          <w:sz w:val="32"/>
          <w:szCs w:val="32"/>
        </w:rPr>
      </w:pPr>
      <w:r>
        <w:rPr>
          <w:rFonts w:hint="eastAsia" w:ascii="仿宋_GB2312" w:hAnsi="仿宋_GB2312" w:eastAsia="仿宋_GB2312"/>
          <w:sz w:val="32"/>
          <w:szCs w:val="32"/>
        </w:rPr>
        <w:t>资金支出范围包含</w:t>
      </w:r>
      <w:r>
        <w:rPr>
          <w:rFonts w:hint="eastAsia" w:ascii="仿宋_GB2312" w:eastAsia="仿宋_GB2312"/>
          <w:bCs/>
          <w:sz w:val="32"/>
          <w:szCs w:val="32"/>
        </w:rPr>
        <w:t>选派干部人才赴龙泉市挂职锻炼、跟班学习费用、举办昭化大讲坛及相关培训班费用、浙江省龙泉市专家服务团精准扶贫昭化行活动费用。</w:t>
      </w:r>
    </w:p>
    <w:p w14:paraId="42EC747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3A8C22BF">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一是集中培训补短板。围绕特色果蔬、优质畜禽等五大产业集群，邀请浙江大学、电商专家、乡村振兴带头人等5名教授专家，分类举办专题讲座、培训班，并通过微信、QQ等平台共享录播微视频和教学课件，线上线下参学人数达3000余人，切实解决“知其然而不知其所以然”等问题。二是专家一线攻难关。</w:t>
      </w:r>
      <w:r>
        <w:rPr>
          <w:rFonts w:hint="eastAsia" w:ascii="仿宋_GB2312" w:eastAsia="仿宋_GB2312"/>
          <w:sz w:val="32"/>
          <w:szCs w:val="32"/>
        </w:rPr>
        <w:t>创新开展浙江专家精准扶贫昭化行活动</w:t>
      </w:r>
      <w:r>
        <w:rPr>
          <w:rFonts w:hint="eastAsia" w:ascii="仿宋_GB2312" w:hAnsi="仿宋_GB2312" w:eastAsia="仿宋_GB2312" w:cs="仿宋_GB2312"/>
          <w:kern w:val="0"/>
          <w:sz w:val="32"/>
          <w:szCs w:val="32"/>
        </w:rPr>
        <w:t>，浙江大学、浙江农林大学等专家教授赴昭化，定向技术指导、科研攻关，通过“理论+实践”等现场教学手段，手把手培训“田秀才”“土专家”420余人次。三是</w:t>
      </w:r>
      <w:r>
        <w:rPr>
          <w:rFonts w:hint="eastAsia" w:ascii="仿宋_GB2312" w:hAnsi="仿宋_GB2312" w:eastAsia="仿宋_GB2312" w:cs="仿宋_GB2312"/>
          <w:sz w:val="32"/>
          <w:szCs w:val="32"/>
        </w:rPr>
        <w:t>搭建平台优服务。深化与浙江大学等高等院校合作，按照“一产业一高校”发展模式，聘任10名专家教授为产业发展“首席顾问”，采取“首席顾问+专业技术人才+乡土人才”等方式，以产学研平台和专家服务基地为载体，分类组建乡村振兴“人才联盟”8个，着力构建人才“5公里”服务圈。</w:t>
      </w:r>
    </w:p>
    <w:p w14:paraId="7D6ED7B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、相关措施建议</w:t>
      </w:r>
    </w:p>
    <w:p w14:paraId="750B3A3D">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（一）完善资料收集归档。根据省市考核要求，收集各项工作实施方案、图文信息、经费审批等佐证资料，规范归档。开展挂职干部人才、培训学员满意度调查，进行学习培训成果总结，展现人才支援项目实效。</w:t>
      </w:r>
    </w:p>
    <w:p w14:paraId="495E7964">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（二）提前谋划来年工作。结合本年度工作开展效益，广泛征求相关单位意见，提前商议明年工作计划，要进一步加强干部人才交流、人才平台建设和党员干部人才培训提能。</w:t>
      </w:r>
    </w:p>
    <w:p w14:paraId="4DF1F3FA">
      <w:pPr>
        <w:pStyle w:val="2"/>
      </w:pPr>
    </w:p>
    <w:p w14:paraId="063E707C">
      <w:pPr>
        <w:spacing w:line="600" w:lineRule="exact"/>
        <w:jc w:val="center"/>
        <w:outlineLvl w:val="0"/>
        <w:rPr>
          <w:rStyle w:val="25"/>
          <w:rFonts w:ascii="黑体" w:hAnsi="黑体" w:eastAsia="黑体"/>
          <w:b w:val="0"/>
        </w:rPr>
      </w:pPr>
      <w:bookmarkStart w:id="57"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2"/>
      <w:bookmarkEnd w:id="57"/>
    </w:p>
    <w:p w14:paraId="280AD797">
      <w:pPr>
        <w:spacing w:line="600" w:lineRule="exact"/>
        <w:jc w:val="center"/>
        <w:outlineLvl w:val="0"/>
        <w:rPr>
          <w:rFonts w:ascii="仿宋" w:hAnsi="仿宋" w:eastAsia="仿宋"/>
          <w:b/>
          <w:color w:val="000000"/>
          <w:sz w:val="44"/>
          <w:szCs w:val="44"/>
        </w:rPr>
      </w:pPr>
    </w:p>
    <w:p w14:paraId="6114127B">
      <w:pPr>
        <w:pStyle w:val="4"/>
        <w:rPr>
          <w:rFonts w:ascii="仿宋" w:hAnsi="仿宋" w:eastAsia="仿宋"/>
          <w:color w:val="000000"/>
        </w:rPr>
      </w:pPr>
      <w:bookmarkStart w:id="58"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8"/>
    </w:p>
    <w:p w14:paraId="3DC8CF30">
      <w:pPr>
        <w:pStyle w:val="4"/>
        <w:rPr>
          <w:rFonts w:ascii="仿宋" w:hAnsi="仿宋" w:eastAsia="仿宋"/>
          <w:color w:val="000000"/>
        </w:rPr>
      </w:pPr>
      <w:bookmarkStart w:id="59"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59"/>
    </w:p>
    <w:p w14:paraId="64C3B471">
      <w:pPr>
        <w:pStyle w:val="4"/>
        <w:rPr>
          <w:rFonts w:ascii="仿宋" w:hAnsi="仿宋" w:eastAsia="仿宋"/>
          <w:color w:val="000000"/>
        </w:rPr>
      </w:pPr>
      <w:bookmarkStart w:id="60"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0"/>
    </w:p>
    <w:p w14:paraId="23D3692C">
      <w:pPr>
        <w:pStyle w:val="4"/>
        <w:rPr>
          <w:rFonts w:ascii="仿宋" w:hAnsi="仿宋" w:eastAsia="仿宋"/>
          <w:b w:val="0"/>
          <w:color w:val="000000"/>
        </w:rPr>
      </w:pPr>
      <w:bookmarkStart w:id="61"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1"/>
    </w:p>
    <w:p w14:paraId="15AECF0B">
      <w:pPr>
        <w:pStyle w:val="4"/>
        <w:rPr>
          <w:rFonts w:ascii="仿宋" w:hAnsi="仿宋" w:eastAsia="仿宋"/>
          <w:color w:val="000000"/>
        </w:rPr>
      </w:pPr>
      <w:bookmarkStart w:id="62"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2"/>
    </w:p>
    <w:p w14:paraId="303FF264">
      <w:pPr>
        <w:pStyle w:val="4"/>
        <w:rPr>
          <w:rFonts w:ascii="仿宋" w:hAnsi="仿宋" w:eastAsia="仿宋"/>
          <w:color w:val="000000"/>
        </w:rPr>
      </w:pPr>
      <w:bookmarkStart w:id="63"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3"/>
    </w:p>
    <w:p w14:paraId="7040C093">
      <w:pPr>
        <w:pStyle w:val="4"/>
        <w:rPr>
          <w:rFonts w:ascii="仿宋" w:hAnsi="仿宋" w:eastAsia="仿宋"/>
          <w:color w:val="000000"/>
        </w:rPr>
      </w:pPr>
      <w:bookmarkStart w:id="64"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4"/>
    </w:p>
    <w:p w14:paraId="00B4609A">
      <w:pPr>
        <w:pStyle w:val="4"/>
        <w:rPr>
          <w:rFonts w:ascii="仿宋" w:hAnsi="仿宋" w:eastAsia="仿宋"/>
          <w:color w:val="000000"/>
        </w:rPr>
      </w:pPr>
      <w:bookmarkStart w:id="65"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5"/>
    </w:p>
    <w:p w14:paraId="2B95CFDD">
      <w:pPr>
        <w:pStyle w:val="4"/>
        <w:rPr>
          <w:rFonts w:ascii="仿宋" w:hAnsi="仿宋" w:eastAsia="仿宋"/>
          <w:color w:val="000000"/>
        </w:rPr>
      </w:pPr>
      <w:bookmarkStart w:id="66"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6"/>
    </w:p>
    <w:p w14:paraId="74EA9981">
      <w:pPr>
        <w:pStyle w:val="4"/>
        <w:rPr>
          <w:rFonts w:ascii="仿宋" w:hAnsi="仿宋" w:eastAsia="仿宋"/>
          <w:color w:val="000000"/>
        </w:rPr>
      </w:pPr>
      <w:bookmarkStart w:id="67"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7"/>
    </w:p>
    <w:p w14:paraId="40B8688C">
      <w:pPr>
        <w:pStyle w:val="4"/>
        <w:rPr>
          <w:rFonts w:ascii="仿宋" w:hAnsi="仿宋" w:eastAsia="仿宋"/>
          <w:color w:val="000000"/>
        </w:rPr>
      </w:pPr>
      <w:bookmarkStart w:id="68"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8"/>
    </w:p>
    <w:p w14:paraId="7EFED21F">
      <w:pPr>
        <w:pStyle w:val="4"/>
        <w:rPr>
          <w:rFonts w:ascii="仿宋" w:hAnsi="仿宋" w:eastAsia="仿宋"/>
          <w:color w:val="000000"/>
        </w:rPr>
      </w:pPr>
      <w:bookmarkStart w:id="69"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9"/>
    </w:p>
    <w:p w14:paraId="1889140D">
      <w:pPr>
        <w:pStyle w:val="4"/>
        <w:rPr>
          <w:rFonts w:ascii="仿宋" w:hAnsi="仿宋" w:eastAsia="仿宋"/>
          <w:color w:val="000000" w:themeColor="text1"/>
        </w:rPr>
      </w:pPr>
      <w:bookmarkStart w:id="70"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4DB807-B446-4E0F-B676-44DD0BADFC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5E599B-E911-423A-9717-95298E146E70}"/>
  </w:font>
  <w:font w:name="Cambria">
    <w:panose1 w:val="02040503050406030204"/>
    <w:charset w:val="00"/>
    <w:family w:val="roman"/>
    <w:pitch w:val="default"/>
    <w:sig w:usb0="E00006FF" w:usb1="420024FF" w:usb2="02000000" w:usb3="00000000" w:csb0="2000019F" w:csb1="00000000"/>
    <w:embedRegular r:id="rId3" w:fontKey="{437CB0EC-0D2A-4991-963A-8A9787F8D43E}"/>
  </w:font>
  <w:font w:name="仿宋_GB2312">
    <w:altName w:val="仿宋"/>
    <w:panose1 w:val="02010609030101010101"/>
    <w:charset w:val="86"/>
    <w:family w:val="modern"/>
    <w:pitch w:val="default"/>
    <w:sig w:usb0="00000000" w:usb1="00000000" w:usb2="00000010" w:usb3="00000000" w:csb0="00040000" w:csb1="00000000"/>
    <w:embedRegular r:id="rId4" w:fontKey="{7413C1AF-D1A0-4F60-8582-D0F4ED888FD5}"/>
  </w:font>
  <w:font w:name="仿宋">
    <w:panose1 w:val="02010609060101010101"/>
    <w:charset w:val="86"/>
    <w:family w:val="modern"/>
    <w:pitch w:val="default"/>
    <w:sig w:usb0="800002BF" w:usb1="38CF7CFA" w:usb2="00000016" w:usb3="00000000" w:csb0="00040001" w:csb1="00000000"/>
    <w:embedRegular r:id="rId5" w:fontKey="{1639F37C-279F-49FB-9C0A-3F4B019A6AB4}"/>
  </w:font>
  <w:font w:name="方正小标宋简体">
    <w:panose1 w:val="02000000000000000000"/>
    <w:charset w:val="86"/>
    <w:family w:val="auto"/>
    <w:pitch w:val="default"/>
    <w:sig w:usb0="00000001" w:usb1="08000000" w:usb2="00000000" w:usb3="00000000" w:csb0="00040000" w:csb1="00000000"/>
    <w:embedRegular r:id="rId6" w:fontKey="{3D8531A0-4DFD-4DDA-A7EB-670AAC9D8A75}"/>
  </w:font>
  <w:font w:name="楷体_GB2312">
    <w:panose1 w:val="02010609030101010101"/>
    <w:charset w:val="86"/>
    <w:family w:val="modern"/>
    <w:pitch w:val="default"/>
    <w:sig w:usb0="00000001" w:usb1="080E0000" w:usb2="00000000" w:usb3="00000000" w:csb0="00040000" w:csb1="00000000"/>
    <w:embedRegular r:id="rId7" w:fontKey="{AC4B9A61-7EDB-4812-90D1-5227D04CAB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4D4E154">
        <w:pPr>
          <w:pStyle w:val="9"/>
          <w:jc w:val="center"/>
        </w:pPr>
        <w:r>
          <w:fldChar w:fldCharType="begin"/>
        </w:r>
        <w:r>
          <w:instrText xml:space="preserve">PAGE   \* MERGEFORMAT</w:instrText>
        </w:r>
        <w:r>
          <w:fldChar w:fldCharType="separate"/>
        </w:r>
        <w:r>
          <w:rPr>
            <w:lang w:val="zh-CN"/>
          </w:rPr>
          <w:t>2</w:t>
        </w:r>
        <w:r>
          <w:fldChar w:fldCharType="end"/>
        </w:r>
      </w:p>
    </w:sdtContent>
  </w:sdt>
  <w:p w14:paraId="70D1F8C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E77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hYTg4NGNkZWJkODFjNzcyZDRjM2M4Y2UzNjI5ZmUifQ=="/>
  </w:docVars>
  <w:rsids>
    <w:rsidRoot w:val="00F1361C"/>
    <w:rsid w:val="00013740"/>
    <w:rsid w:val="000222C6"/>
    <w:rsid w:val="0002549F"/>
    <w:rsid w:val="00047836"/>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5AB2"/>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A92D63"/>
    <w:rsid w:val="01B26252"/>
    <w:rsid w:val="0221318C"/>
    <w:rsid w:val="06303BAE"/>
    <w:rsid w:val="08E00A9C"/>
    <w:rsid w:val="0A780BFF"/>
    <w:rsid w:val="10C055FF"/>
    <w:rsid w:val="10FB5880"/>
    <w:rsid w:val="16BB723D"/>
    <w:rsid w:val="240371BF"/>
    <w:rsid w:val="29B574E5"/>
    <w:rsid w:val="29FD04D3"/>
    <w:rsid w:val="313939F2"/>
    <w:rsid w:val="319F7F4E"/>
    <w:rsid w:val="35FA3FE5"/>
    <w:rsid w:val="39E3233E"/>
    <w:rsid w:val="3B6F6C3C"/>
    <w:rsid w:val="3C3F25E6"/>
    <w:rsid w:val="3C9F2C61"/>
    <w:rsid w:val="402E715A"/>
    <w:rsid w:val="43C817D9"/>
    <w:rsid w:val="4D335180"/>
    <w:rsid w:val="53431A7D"/>
    <w:rsid w:val="5AE05BCA"/>
    <w:rsid w:val="6D29182B"/>
    <w:rsid w:val="71526114"/>
    <w:rsid w:val="729345A7"/>
    <w:rsid w:val="730B3074"/>
    <w:rsid w:val="73467BA4"/>
    <w:rsid w:val="749964D4"/>
    <w:rsid w:val="74A4493D"/>
    <w:rsid w:val="74BD41E2"/>
    <w:rsid w:val="74F953CE"/>
    <w:rsid w:val="76F31FC2"/>
    <w:rsid w:val="77656C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390D-55A9-4960-93A9-EC9BFD0F4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8121</Words>
  <Characters>8612</Characters>
  <Lines>77</Lines>
  <Paragraphs>21</Paragraphs>
  <TotalTime>1</TotalTime>
  <ScaleCrop>false</ScaleCrop>
  <LinksUpToDate>false</LinksUpToDate>
  <CharactersWithSpaces>8672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2024-08-02T06:27:42Z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6257383BAB2542CBA610A89B58E3A2BE_12</vt:lpwstr>
  </property>
</Properties>
</file>