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A5AF92">
      <w:pPr>
        <w:keepNext w:val="0"/>
        <w:keepLines w:val="0"/>
        <w:pageBreakBefore w:val="0"/>
        <w:kinsoku/>
        <w:wordWrap/>
        <w:overflowPunct/>
        <w:topLinePunct w:val="0"/>
        <w:autoSpaceDE/>
        <w:autoSpaceDN/>
        <w:bidi w:val="0"/>
        <w:adjustRightInd/>
        <w:spacing w:line="576" w:lineRule="exact"/>
        <w:ind w:left="0" w:leftChars="0" w:right="0" w:rightChars="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rPr>
        <w:t>附件1</w:t>
      </w:r>
    </w:p>
    <w:p w14:paraId="6DF46866">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default" w:ascii="Times New Roman" w:hAnsi="Times New Roman" w:eastAsia="方正小标宋简体" w:cs="Times New Roman"/>
          <w:color w:val="auto"/>
          <w:kern w:val="0"/>
          <w:sz w:val="44"/>
          <w:szCs w:val="52"/>
        </w:rPr>
      </w:pPr>
      <w:r>
        <w:rPr>
          <w:rFonts w:hint="default" w:ascii="Times New Roman" w:hAnsi="Times New Roman" w:eastAsia="方正小标宋简体" w:cs="Times New Roman"/>
          <w:color w:val="auto"/>
          <w:kern w:val="0"/>
          <w:sz w:val="44"/>
          <w:szCs w:val="52"/>
        </w:rPr>
        <w:t>广元市昭化区发展和改革局</w:t>
      </w:r>
    </w:p>
    <w:p w14:paraId="1820C26F">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default" w:ascii="Times New Roman" w:hAnsi="Times New Roman" w:eastAsia="方正小标宋简体" w:cs="Times New Roman"/>
          <w:color w:val="auto"/>
          <w:kern w:val="0"/>
          <w:sz w:val="44"/>
          <w:szCs w:val="52"/>
        </w:rPr>
      </w:pPr>
      <w:r>
        <w:rPr>
          <w:rFonts w:hint="default" w:ascii="Times New Roman" w:hAnsi="Times New Roman" w:eastAsia="方正小标宋简体" w:cs="Times New Roman"/>
          <w:color w:val="auto"/>
          <w:kern w:val="0"/>
          <w:sz w:val="44"/>
          <w:szCs w:val="52"/>
        </w:rPr>
        <w:t>行政执法主体</w:t>
      </w:r>
      <w:r>
        <w:rPr>
          <w:rFonts w:hint="default" w:ascii="Times New Roman" w:hAnsi="Times New Roman" w:eastAsia="方正小标宋简体" w:cs="Times New Roman"/>
          <w:color w:val="auto"/>
          <w:kern w:val="0"/>
          <w:sz w:val="44"/>
          <w:szCs w:val="52"/>
          <w:lang w:eastAsia="zh-CN"/>
        </w:rPr>
        <w:t>资格清理</w:t>
      </w:r>
      <w:r>
        <w:rPr>
          <w:rFonts w:hint="default" w:ascii="Times New Roman" w:hAnsi="Times New Roman" w:eastAsia="方正小标宋简体" w:cs="Times New Roman"/>
          <w:color w:val="auto"/>
          <w:kern w:val="0"/>
          <w:sz w:val="44"/>
          <w:szCs w:val="52"/>
        </w:rPr>
        <w:t>表</w:t>
      </w:r>
    </w:p>
    <w:p w14:paraId="68D31F2E">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default" w:ascii="Times New Roman" w:hAnsi="Times New Roman" w:eastAsia="仿宋_GB2312" w:cs="Times New Roman"/>
          <w:color w:val="auto"/>
          <w:kern w:val="0"/>
          <w:sz w:val="24"/>
          <w:szCs w:val="24"/>
          <w:lang w:eastAsia="zh-CN"/>
        </w:rPr>
      </w:pPr>
    </w:p>
    <w:tbl>
      <w:tblPr>
        <w:tblStyle w:val="4"/>
        <w:tblW w:w="9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1"/>
        <w:gridCol w:w="5476"/>
        <w:gridCol w:w="654"/>
        <w:gridCol w:w="1910"/>
      </w:tblGrid>
      <w:tr w14:paraId="1E4FB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exact"/>
          <w:jc w:val="center"/>
        </w:trPr>
        <w:tc>
          <w:tcPr>
            <w:tcW w:w="1381" w:type="dxa"/>
            <w:tcBorders>
              <w:top w:val="single" w:color="auto" w:sz="8" w:space="0"/>
              <w:left w:val="single" w:color="auto" w:sz="8" w:space="0"/>
              <w:bottom w:val="single" w:color="000000" w:sz="6" w:space="0"/>
              <w:right w:val="single" w:color="000000" w:sz="6" w:space="0"/>
            </w:tcBorders>
            <w:noWrap w:val="0"/>
            <w:vAlign w:val="center"/>
          </w:tcPr>
          <w:p w14:paraId="6497A8B4">
            <w:pPr>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单位全称</w:t>
            </w:r>
          </w:p>
        </w:tc>
        <w:tc>
          <w:tcPr>
            <w:tcW w:w="8040" w:type="dxa"/>
            <w:gridSpan w:val="3"/>
            <w:tcBorders>
              <w:top w:val="single" w:color="auto" w:sz="8" w:space="0"/>
              <w:left w:val="single" w:color="000000" w:sz="6" w:space="0"/>
              <w:bottom w:val="single" w:color="000000" w:sz="6" w:space="0"/>
              <w:right w:val="single" w:color="auto" w:sz="8" w:space="0"/>
            </w:tcBorders>
            <w:noWrap w:val="0"/>
            <w:vAlign w:val="center"/>
          </w:tcPr>
          <w:p w14:paraId="308831E7">
            <w:pPr>
              <w:spacing w:line="260" w:lineRule="exact"/>
              <w:jc w:val="center"/>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lang w:val="en-US" w:eastAsia="zh-CN"/>
              </w:rPr>
              <w:t>广元市昭化区发展和改革局</w:t>
            </w:r>
          </w:p>
        </w:tc>
      </w:tr>
      <w:tr w14:paraId="251CB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exac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6C57421E">
            <w:pPr>
              <w:spacing w:line="260" w:lineRule="exact"/>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办公地址</w:t>
            </w:r>
          </w:p>
        </w:tc>
        <w:tc>
          <w:tcPr>
            <w:tcW w:w="5476" w:type="dxa"/>
            <w:tcBorders>
              <w:top w:val="single" w:color="000000" w:sz="6" w:space="0"/>
              <w:left w:val="single" w:color="000000" w:sz="6" w:space="0"/>
              <w:bottom w:val="single" w:color="000000" w:sz="6" w:space="0"/>
              <w:right w:val="single" w:color="000000" w:sz="6" w:space="0"/>
            </w:tcBorders>
            <w:noWrap w:val="0"/>
            <w:vAlign w:val="center"/>
          </w:tcPr>
          <w:p w14:paraId="71441175">
            <w:pPr>
              <w:spacing w:line="260" w:lineRule="exact"/>
              <w:jc w:val="center"/>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lang w:val="en-US" w:eastAsia="zh-CN"/>
              </w:rPr>
              <w:t>广元市昭化区元坝镇京兆路78号</w:t>
            </w:r>
          </w:p>
        </w:tc>
        <w:tc>
          <w:tcPr>
            <w:tcW w:w="654" w:type="dxa"/>
            <w:tcBorders>
              <w:top w:val="single" w:color="000000" w:sz="6" w:space="0"/>
              <w:left w:val="single" w:color="000000" w:sz="6" w:space="0"/>
              <w:bottom w:val="single" w:color="000000" w:sz="6" w:space="0"/>
              <w:right w:val="single" w:color="000000" w:sz="6" w:space="0"/>
            </w:tcBorders>
            <w:noWrap w:val="0"/>
            <w:vAlign w:val="center"/>
          </w:tcPr>
          <w:p w14:paraId="0C4F9B10">
            <w:pPr>
              <w:spacing w:line="260" w:lineRule="exact"/>
              <w:rPr>
                <w:rFonts w:hint="default" w:ascii="Times New Roman" w:hAnsi="Times New Roman" w:eastAsia="仿宋_GB2312" w:cs="Times New Roman"/>
                <w:color w:val="auto"/>
              </w:rPr>
            </w:pPr>
            <w:r>
              <w:rPr>
                <w:rFonts w:hint="default" w:ascii="Times New Roman" w:hAnsi="Times New Roman" w:eastAsia="仿宋_GB2312" w:cs="Times New Roman"/>
                <w:color w:val="auto"/>
              </w:rPr>
              <w:t>邮编</w:t>
            </w:r>
          </w:p>
        </w:tc>
        <w:tc>
          <w:tcPr>
            <w:tcW w:w="1910" w:type="dxa"/>
            <w:tcBorders>
              <w:top w:val="single" w:color="000000" w:sz="6" w:space="0"/>
              <w:left w:val="single" w:color="000000" w:sz="6" w:space="0"/>
              <w:bottom w:val="single" w:color="000000" w:sz="6" w:space="0"/>
              <w:right w:val="single" w:color="auto" w:sz="8" w:space="0"/>
            </w:tcBorders>
            <w:noWrap w:val="0"/>
            <w:vAlign w:val="center"/>
          </w:tcPr>
          <w:p w14:paraId="375E6483">
            <w:pPr>
              <w:spacing w:line="260" w:lineRule="exact"/>
              <w:jc w:val="center"/>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lang w:val="en-US" w:eastAsia="zh-CN"/>
              </w:rPr>
              <w:t>628000</w:t>
            </w:r>
          </w:p>
        </w:tc>
      </w:tr>
      <w:tr w14:paraId="15C88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exac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1FBFED9D">
            <w:pPr>
              <w:spacing w:line="260" w:lineRule="exact"/>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机构性质</w:t>
            </w:r>
          </w:p>
        </w:tc>
        <w:tc>
          <w:tcPr>
            <w:tcW w:w="8040" w:type="dxa"/>
            <w:gridSpan w:val="3"/>
            <w:tcBorders>
              <w:top w:val="single" w:color="000000" w:sz="6" w:space="0"/>
              <w:left w:val="single" w:color="000000" w:sz="6" w:space="0"/>
              <w:bottom w:val="single" w:color="000000" w:sz="6" w:space="0"/>
              <w:right w:val="single" w:color="auto" w:sz="8" w:space="0"/>
            </w:tcBorders>
            <w:noWrap w:val="0"/>
            <w:vAlign w:val="center"/>
          </w:tcPr>
          <w:p w14:paraId="2DF1A262">
            <w:pPr>
              <w:spacing w:line="440" w:lineRule="exact"/>
              <w:ind w:firstLine="420" w:firstLineChars="200"/>
              <w:rPr>
                <w:rFonts w:hint="default" w:ascii="Times New Roman" w:hAnsi="Times New Roman" w:eastAsia="仿宋_GB2312" w:cs="Times New Roman"/>
                <w:color w:val="auto"/>
              </w:rPr>
            </w:pP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rPr>
              <w:t xml:space="preserve">行政机关  </w:t>
            </w:r>
            <w:r>
              <w:rPr>
                <w:rFonts w:hint="default" w:ascii="Times New Roman" w:hAnsi="Times New Roman" w:eastAsia="仿宋_GB2312" w:cs="Times New Roman"/>
                <w:color w:val="auto"/>
                <w:szCs w:val="32"/>
              </w:rPr>
              <w:t xml:space="preserve"> □</w:t>
            </w:r>
            <w:r>
              <w:rPr>
                <w:rFonts w:hint="default" w:ascii="Times New Roman" w:hAnsi="Times New Roman" w:eastAsia="仿宋_GB2312" w:cs="Times New Roman"/>
                <w:color w:val="auto"/>
              </w:rPr>
              <w:t xml:space="preserve">事业单位 </w:t>
            </w:r>
            <w:r>
              <w:rPr>
                <w:rFonts w:hint="default" w:ascii="Times New Roman" w:hAnsi="Times New Roman" w:eastAsia="仿宋_GB2312" w:cs="Times New Roman"/>
                <w:color w:val="auto"/>
                <w:szCs w:val="32"/>
              </w:rPr>
              <w:t xml:space="preserve"> </w:t>
            </w:r>
            <w:r>
              <w:rPr>
                <w:rFonts w:hint="default" w:ascii="Times New Roman" w:hAnsi="Times New Roman" w:eastAsia="仿宋_GB2312" w:cs="Times New Roman"/>
                <w:color w:val="auto"/>
              </w:rPr>
              <w:t xml:space="preserve">   </w:t>
            </w:r>
            <w:r>
              <w:rPr>
                <w:rFonts w:hint="default" w:ascii="Times New Roman" w:hAnsi="Times New Roman" w:eastAsia="仿宋_GB2312" w:cs="Times New Roman"/>
                <w:color w:val="auto"/>
                <w:szCs w:val="32"/>
              </w:rPr>
              <w:sym w:font="Wingdings 2" w:char="00A3"/>
            </w:r>
            <w:r>
              <w:rPr>
                <w:rFonts w:hint="default" w:ascii="Times New Roman" w:hAnsi="Times New Roman" w:eastAsia="仿宋_GB2312" w:cs="Times New Roman"/>
                <w:color w:val="auto"/>
              </w:rPr>
              <w:t xml:space="preserve">内设机构  </w:t>
            </w:r>
            <w:r>
              <w:rPr>
                <w:rFonts w:hint="default" w:ascii="Times New Roman" w:hAnsi="Times New Roman" w:eastAsia="仿宋_GB2312" w:cs="Times New Roman"/>
                <w:color w:val="auto"/>
                <w:szCs w:val="36"/>
              </w:rPr>
              <w:t xml:space="preserve"> </w:t>
            </w:r>
            <w:r>
              <w:rPr>
                <w:rFonts w:hint="default" w:ascii="Times New Roman" w:hAnsi="Times New Roman" w:eastAsia="仿宋_GB2312" w:cs="Times New Roman"/>
                <w:color w:val="auto"/>
                <w:szCs w:val="32"/>
              </w:rPr>
              <w:t>□</w:t>
            </w:r>
            <w:r>
              <w:rPr>
                <w:rFonts w:hint="default" w:ascii="Times New Roman" w:hAnsi="Times New Roman" w:eastAsia="仿宋_GB2312" w:cs="Times New Roman"/>
                <w:color w:val="auto"/>
              </w:rPr>
              <w:t xml:space="preserve">临时机构     </w:t>
            </w:r>
            <w:r>
              <w:rPr>
                <w:rFonts w:hint="default" w:ascii="Times New Roman" w:hAnsi="Times New Roman" w:eastAsia="仿宋_GB2312" w:cs="Times New Roman"/>
                <w:color w:val="auto"/>
                <w:szCs w:val="32"/>
              </w:rPr>
              <w:t>□</w:t>
            </w:r>
            <w:r>
              <w:rPr>
                <w:rFonts w:hint="default" w:ascii="Times New Roman" w:hAnsi="Times New Roman" w:eastAsia="仿宋_GB2312" w:cs="Times New Roman"/>
                <w:color w:val="auto"/>
              </w:rPr>
              <w:t>其他</w:t>
            </w:r>
          </w:p>
        </w:tc>
      </w:tr>
      <w:tr w14:paraId="0D96D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4" w:hRule="exact"/>
          <w:jc w:val="center"/>
        </w:trPr>
        <w:tc>
          <w:tcPr>
            <w:tcW w:w="1381" w:type="dxa"/>
            <w:tcBorders>
              <w:top w:val="single" w:color="000000" w:sz="6" w:space="0"/>
              <w:left w:val="single" w:color="auto" w:sz="8" w:space="0"/>
              <w:bottom w:val="single" w:color="auto" w:sz="4" w:space="0"/>
              <w:right w:val="single" w:color="auto" w:sz="8" w:space="0"/>
            </w:tcBorders>
            <w:noWrap w:val="0"/>
            <w:vAlign w:val="center"/>
          </w:tcPr>
          <w:p w14:paraId="15795D5E">
            <w:pPr>
              <w:spacing w:line="260" w:lineRule="exact"/>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执法主体</w:t>
            </w:r>
          </w:p>
          <w:p w14:paraId="11AD312A">
            <w:pPr>
              <w:spacing w:line="260" w:lineRule="exact"/>
              <w:jc w:val="center"/>
              <w:rPr>
                <w:rFonts w:hint="default" w:ascii="Times New Roman" w:hAnsi="Times New Roman" w:eastAsia="仿宋_GB2312" w:cs="Times New Roman"/>
                <w:color w:val="auto"/>
                <w:szCs w:val="21"/>
              </w:rPr>
            </w:pPr>
            <w:r>
              <w:rPr>
                <w:rFonts w:hint="default" w:ascii="Times New Roman" w:hAnsi="Times New Roman" w:eastAsia="仿宋_GB2312" w:cs="Times New Roman"/>
                <w:color w:val="auto"/>
              </w:rPr>
              <w:t>类别</w:t>
            </w:r>
          </w:p>
        </w:tc>
        <w:tc>
          <w:tcPr>
            <w:tcW w:w="8040" w:type="dxa"/>
            <w:gridSpan w:val="3"/>
            <w:tcBorders>
              <w:top w:val="single" w:color="000000" w:sz="6" w:space="0"/>
              <w:left w:val="single" w:color="000000" w:sz="6" w:space="0"/>
              <w:bottom w:val="single" w:color="auto" w:sz="4" w:space="0"/>
              <w:right w:val="single" w:color="auto" w:sz="8" w:space="0"/>
            </w:tcBorders>
            <w:noWrap w:val="0"/>
            <w:vAlign w:val="center"/>
          </w:tcPr>
          <w:p w14:paraId="414DE6B8">
            <w:pPr>
              <w:spacing w:line="260" w:lineRule="exact"/>
              <w:rPr>
                <w:rFonts w:hint="default" w:ascii="Times New Roman" w:hAnsi="Times New Roman" w:eastAsia="仿宋_GB2312" w:cs="Times New Roman"/>
                <w:color w:val="auto"/>
                <w:szCs w:val="21"/>
                <w:lang w:eastAsia="zh-CN"/>
              </w:rPr>
            </w:pPr>
            <w:r>
              <w:rPr>
                <w:rFonts w:hint="default" w:ascii="Times New Roman" w:hAnsi="Times New Roman" w:eastAsia="仿宋_GB2312" w:cs="Times New Roman"/>
                <w:color w:val="auto"/>
                <w:kern w:val="0"/>
                <w:szCs w:val="21"/>
              </w:rPr>
              <w:t xml:space="preserve">    </w:t>
            </w:r>
            <w:r>
              <w:rPr>
                <w:rFonts w:hint="default" w:ascii="Times New Roman" w:hAnsi="Times New Roman" w:eastAsia="仿宋_GB2312" w:cs="Times New Roman"/>
                <w:color w:val="auto"/>
                <w:kern w:val="0"/>
                <w:szCs w:val="21"/>
                <w:lang w:eastAsia="zh-CN"/>
              </w:rPr>
              <w:t>☑</w:t>
            </w:r>
            <w:r>
              <w:rPr>
                <w:rFonts w:hint="default" w:ascii="Times New Roman" w:hAnsi="Times New Roman" w:eastAsia="仿宋_GB2312" w:cs="Times New Roman"/>
                <w:color w:val="auto"/>
                <w:kern w:val="0"/>
                <w:szCs w:val="21"/>
              </w:rPr>
              <w:t>法定行政机关   □法律法规</w:t>
            </w:r>
            <w:r>
              <w:rPr>
                <w:rFonts w:hint="default" w:ascii="Times New Roman" w:hAnsi="Times New Roman" w:eastAsia="仿宋_GB2312" w:cs="Times New Roman"/>
                <w:color w:val="auto"/>
                <w:kern w:val="0"/>
                <w:szCs w:val="21"/>
                <w:lang w:eastAsia="zh-CN"/>
              </w:rPr>
              <w:t>规章</w:t>
            </w:r>
            <w:r>
              <w:rPr>
                <w:rFonts w:hint="default" w:ascii="Times New Roman" w:hAnsi="Times New Roman" w:eastAsia="仿宋_GB2312" w:cs="Times New Roman"/>
                <w:color w:val="auto"/>
                <w:kern w:val="0"/>
                <w:szCs w:val="21"/>
              </w:rPr>
              <w:t>授权的组织 □</w:t>
            </w:r>
            <w:r>
              <w:rPr>
                <w:rFonts w:hint="default" w:ascii="Times New Roman" w:hAnsi="Times New Roman" w:eastAsia="仿宋_GB2312" w:cs="Times New Roman"/>
                <w:color w:val="auto"/>
                <w:kern w:val="0"/>
                <w:szCs w:val="21"/>
                <w:lang w:eastAsia="zh-CN"/>
              </w:rPr>
              <w:t>受委托</w:t>
            </w:r>
            <w:r>
              <w:rPr>
                <w:rFonts w:hint="default" w:ascii="Times New Roman" w:hAnsi="Times New Roman" w:eastAsia="仿宋_GB2312" w:cs="Times New Roman"/>
                <w:color w:val="auto"/>
                <w:kern w:val="0"/>
                <w:szCs w:val="21"/>
              </w:rPr>
              <w:t>的</w:t>
            </w:r>
            <w:r>
              <w:rPr>
                <w:rFonts w:hint="default" w:ascii="Times New Roman" w:hAnsi="Times New Roman" w:eastAsia="仿宋_GB2312" w:cs="Times New Roman"/>
                <w:color w:val="auto"/>
                <w:kern w:val="0"/>
                <w:szCs w:val="21"/>
                <w:lang w:eastAsia="zh-CN"/>
              </w:rPr>
              <w:t>机关或</w:t>
            </w:r>
            <w:r>
              <w:rPr>
                <w:rFonts w:hint="default" w:ascii="Times New Roman" w:hAnsi="Times New Roman" w:eastAsia="仿宋_GB2312" w:cs="Times New Roman"/>
                <w:color w:val="auto"/>
                <w:kern w:val="0"/>
                <w:szCs w:val="21"/>
              </w:rPr>
              <w:t>组织 □</w:t>
            </w:r>
            <w:r>
              <w:rPr>
                <w:rFonts w:hint="default" w:ascii="Times New Roman" w:hAnsi="Times New Roman" w:eastAsia="仿宋_GB2312" w:cs="Times New Roman"/>
                <w:color w:val="auto"/>
                <w:kern w:val="0"/>
                <w:szCs w:val="21"/>
                <w:lang w:eastAsia="zh-CN"/>
              </w:rPr>
              <w:t>行使相对集中行政执法权的机关</w:t>
            </w:r>
          </w:p>
        </w:tc>
      </w:tr>
      <w:tr w14:paraId="6BA88B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71" w:hRule="atLeas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443764AE">
            <w:pPr>
              <w:spacing w:line="260" w:lineRule="exact"/>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执法职权</w:t>
            </w:r>
          </w:p>
          <w:p w14:paraId="79494BAB">
            <w:pPr>
              <w:spacing w:line="260" w:lineRule="exact"/>
              <w:jc w:val="center"/>
              <w:rPr>
                <w:rFonts w:hint="default" w:ascii="Times New Roman" w:hAnsi="Times New Roman" w:eastAsia="仿宋_GB2312" w:cs="Times New Roman"/>
                <w:color w:val="auto"/>
              </w:rPr>
            </w:pPr>
            <w:r>
              <w:rPr>
                <w:rFonts w:hint="default" w:ascii="Times New Roman" w:hAnsi="Times New Roman" w:eastAsia="仿宋_GB2312" w:cs="Times New Roman"/>
                <w:color w:val="auto"/>
              </w:rPr>
              <w:t>类型</w:t>
            </w:r>
          </w:p>
        </w:tc>
        <w:tc>
          <w:tcPr>
            <w:tcW w:w="8040" w:type="dxa"/>
            <w:gridSpan w:val="3"/>
            <w:tcBorders>
              <w:top w:val="single" w:color="000000" w:sz="6" w:space="0"/>
              <w:left w:val="single" w:color="000000" w:sz="6" w:space="0"/>
              <w:right w:val="single" w:color="auto" w:sz="8" w:space="0"/>
            </w:tcBorders>
            <w:noWrap w:val="0"/>
            <w:vAlign w:val="center"/>
          </w:tcPr>
          <w:p w14:paraId="3A5933FD">
            <w:pPr>
              <w:spacing w:line="260" w:lineRule="exact"/>
              <w:rPr>
                <w:rFonts w:hint="default" w:ascii="Times New Roman" w:hAnsi="Times New Roman" w:eastAsia="仿宋_GB2312" w:cs="Times New Roman"/>
                <w:color w:val="auto"/>
                <w:szCs w:val="32"/>
              </w:rPr>
            </w:pPr>
            <w:r>
              <w:rPr>
                <w:rFonts w:hint="default" w:ascii="Times New Roman" w:hAnsi="Times New Roman" w:eastAsia="仿宋_GB2312" w:cs="Times New Roman"/>
                <w:color w:val="auto"/>
                <w:szCs w:val="32"/>
              </w:rPr>
              <w:t xml:space="preserve">    </w:t>
            </w: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szCs w:val="32"/>
              </w:rPr>
              <w:t xml:space="preserve">行政许可  </w:t>
            </w: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szCs w:val="32"/>
              </w:rPr>
              <w:t xml:space="preserve">行政处罚  </w:t>
            </w: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szCs w:val="32"/>
              </w:rPr>
              <w:t>行政强制  □行政征收</w:t>
            </w:r>
          </w:p>
          <w:p w14:paraId="14A79D49">
            <w:pPr>
              <w:spacing w:line="260" w:lineRule="exact"/>
              <w:rPr>
                <w:rFonts w:hint="default" w:ascii="Times New Roman" w:hAnsi="Times New Roman" w:eastAsia="仿宋_GB2312" w:cs="Times New Roman"/>
                <w:color w:val="auto"/>
              </w:rPr>
            </w:pPr>
            <w:r>
              <w:rPr>
                <w:rFonts w:hint="default" w:ascii="Times New Roman" w:hAnsi="Times New Roman" w:eastAsia="仿宋_GB2312" w:cs="Times New Roman"/>
                <w:color w:val="auto"/>
                <w:szCs w:val="32"/>
              </w:rPr>
              <w:t xml:space="preserve">    □行政征用  </w:t>
            </w: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szCs w:val="32"/>
              </w:rPr>
              <w:t xml:space="preserve">行政检查  </w:t>
            </w:r>
            <w:r>
              <w:rPr>
                <w:rFonts w:hint="default" w:ascii="Times New Roman" w:hAnsi="Times New Roman" w:eastAsia="仿宋_GB2312" w:cs="Times New Roman"/>
                <w:color w:val="auto"/>
                <w:szCs w:val="32"/>
                <w:lang w:eastAsia="zh-CN"/>
              </w:rPr>
              <w:t>☑</w:t>
            </w:r>
            <w:r>
              <w:rPr>
                <w:rFonts w:hint="default" w:ascii="Times New Roman" w:hAnsi="Times New Roman" w:eastAsia="仿宋_GB2312" w:cs="Times New Roman"/>
                <w:color w:val="auto"/>
                <w:szCs w:val="32"/>
              </w:rPr>
              <w:t>其他行政执法行为</w:t>
            </w:r>
            <w:r>
              <w:rPr>
                <w:rFonts w:hint="eastAsia" w:ascii="仿宋_GB2312" w:hAnsi="仿宋_GB2312" w:eastAsia="仿宋_GB2312" w:cs="仿宋_GB2312"/>
                <w:color w:val="auto"/>
                <w:szCs w:val="21"/>
                <w:u w:val="single"/>
              </w:rPr>
              <w:t xml:space="preserve"> </w:t>
            </w:r>
            <w:r>
              <w:rPr>
                <w:rFonts w:hint="eastAsia" w:ascii="仿宋_GB2312" w:hAnsi="仿宋_GB2312" w:eastAsia="仿宋_GB2312" w:cs="仿宋_GB2312"/>
                <w:color w:val="auto"/>
                <w:szCs w:val="21"/>
                <w:u w:val="single"/>
                <w:lang w:val="en-US" w:eastAsia="zh-CN"/>
              </w:rPr>
              <w:t>行政许可、行政奖励等</w:t>
            </w:r>
            <w:r>
              <w:rPr>
                <w:rFonts w:hint="eastAsia" w:ascii="仿宋_GB2312" w:hAnsi="仿宋_GB2312" w:eastAsia="仿宋_GB2312" w:cs="仿宋_GB2312"/>
                <w:color w:val="auto"/>
                <w:szCs w:val="21"/>
                <w:u w:val="single"/>
              </w:rPr>
              <w:t xml:space="preserve">         </w:t>
            </w:r>
            <w:r>
              <w:rPr>
                <w:rFonts w:hint="default" w:ascii="Times New Roman" w:hAnsi="Times New Roman" w:eastAsia="仿宋_GB2312" w:cs="Times New Roman"/>
                <w:color w:val="auto"/>
                <w:szCs w:val="21"/>
                <w:u w:val="single"/>
              </w:rPr>
              <w:t xml:space="preserve">        </w:t>
            </w:r>
          </w:p>
        </w:tc>
      </w:tr>
      <w:tr w14:paraId="4B6FE8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2" w:hRule="exact"/>
          <w:jc w:val="center"/>
        </w:trPr>
        <w:tc>
          <w:tcPr>
            <w:tcW w:w="1381" w:type="dxa"/>
            <w:tcBorders>
              <w:top w:val="single" w:color="000000" w:sz="6" w:space="0"/>
              <w:left w:val="single" w:color="auto" w:sz="8" w:space="0"/>
              <w:bottom w:val="single" w:color="auto" w:sz="4" w:space="0"/>
              <w:right w:val="single" w:color="000000" w:sz="6" w:space="0"/>
            </w:tcBorders>
            <w:noWrap w:val="0"/>
            <w:vAlign w:val="center"/>
          </w:tcPr>
          <w:p w14:paraId="37E5A972">
            <w:pPr>
              <w:spacing w:line="260" w:lineRule="exact"/>
              <w:ind w:firstLine="105" w:firstLineChars="50"/>
              <w:rPr>
                <w:rFonts w:hint="default" w:ascii="Times New Roman" w:hAnsi="Times New Roman" w:eastAsia="仿宋_GB2312" w:cs="Times New Roman"/>
                <w:color w:val="auto"/>
                <w:szCs w:val="21"/>
              </w:rPr>
            </w:pPr>
            <w:r>
              <w:rPr>
                <w:rFonts w:hint="default" w:ascii="Times New Roman" w:hAnsi="Times New Roman" w:eastAsia="仿宋_GB2312" w:cs="Times New Roman"/>
                <w:color w:val="auto"/>
                <w:szCs w:val="21"/>
              </w:rPr>
              <w:t>经费来源</w:t>
            </w:r>
          </w:p>
        </w:tc>
        <w:tc>
          <w:tcPr>
            <w:tcW w:w="8040" w:type="dxa"/>
            <w:gridSpan w:val="3"/>
            <w:tcBorders>
              <w:top w:val="single" w:color="000000" w:sz="6" w:space="0"/>
              <w:left w:val="single" w:color="000000" w:sz="6" w:space="0"/>
              <w:bottom w:val="single" w:color="auto" w:sz="4" w:space="0"/>
              <w:right w:val="single" w:color="auto" w:sz="8" w:space="0"/>
            </w:tcBorders>
            <w:noWrap w:val="0"/>
            <w:vAlign w:val="center"/>
          </w:tcPr>
          <w:p w14:paraId="3BD9D804">
            <w:pPr>
              <w:spacing w:line="260" w:lineRule="exact"/>
              <w:rPr>
                <w:rFonts w:hint="default" w:ascii="Times New Roman" w:hAnsi="Times New Roman" w:eastAsia="仿宋_GB2312" w:cs="Times New Roman"/>
                <w:color w:val="auto"/>
                <w:szCs w:val="21"/>
              </w:rPr>
            </w:pPr>
            <w:r>
              <w:rPr>
                <w:rFonts w:hint="default" w:ascii="Times New Roman" w:hAnsi="Times New Roman" w:eastAsia="仿宋_GB2312" w:cs="Times New Roman"/>
                <w:color w:val="auto"/>
                <w:szCs w:val="21"/>
              </w:rPr>
              <w:t xml:space="preserve">    </w:t>
            </w:r>
            <w:r>
              <w:rPr>
                <w:rFonts w:hint="default" w:ascii="Times New Roman" w:hAnsi="Times New Roman" w:eastAsia="仿宋_GB2312" w:cs="Times New Roman"/>
                <w:color w:val="auto"/>
                <w:szCs w:val="21"/>
                <w:lang w:eastAsia="zh-CN"/>
              </w:rPr>
              <w:t>☑</w:t>
            </w:r>
            <w:r>
              <w:rPr>
                <w:rFonts w:hint="default" w:ascii="Times New Roman" w:hAnsi="Times New Roman" w:eastAsia="仿宋_GB2312" w:cs="Times New Roman"/>
                <w:color w:val="auto"/>
                <w:szCs w:val="21"/>
              </w:rPr>
              <w:t>财政全额拨款   □财政差额拨款   □自收自支   □其他</w:t>
            </w:r>
            <w:r>
              <w:rPr>
                <w:rFonts w:hint="default" w:ascii="Times New Roman" w:hAnsi="Times New Roman" w:eastAsia="仿宋_GB2312" w:cs="Times New Roman"/>
                <w:color w:val="auto"/>
                <w:szCs w:val="21"/>
                <w:u w:val="single"/>
              </w:rPr>
              <w:t xml:space="preserve">        </w:t>
            </w:r>
          </w:p>
        </w:tc>
      </w:tr>
      <w:tr w14:paraId="699B4C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3" w:hRule="atLeast"/>
          <w:jc w:val="center"/>
        </w:trPr>
        <w:tc>
          <w:tcPr>
            <w:tcW w:w="1381" w:type="dxa"/>
            <w:tcBorders>
              <w:top w:val="single" w:color="auto" w:sz="4" w:space="0"/>
              <w:left w:val="single" w:color="auto" w:sz="8" w:space="0"/>
              <w:right w:val="single" w:color="000000" w:sz="6" w:space="0"/>
            </w:tcBorders>
            <w:noWrap w:val="0"/>
            <w:vAlign w:val="center"/>
          </w:tcPr>
          <w:p w14:paraId="06B1A9AE">
            <w:pPr>
              <w:spacing w:line="4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执法依据</w:t>
            </w:r>
          </w:p>
        </w:tc>
        <w:tc>
          <w:tcPr>
            <w:tcW w:w="8040" w:type="dxa"/>
            <w:gridSpan w:val="3"/>
            <w:tcBorders>
              <w:top w:val="single" w:color="auto" w:sz="4" w:space="0"/>
              <w:left w:val="single" w:color="000000" w:sz="6" w:space="0"/>
              <w:right w:val="single" w:color="auto" w:sz="8" w:space="0"/>
            </w:tcBorders>
            <w:noWrap w:val="0"/>
            <w:vAlign w:val="center"/>
          </w:tcPr>
          <w:p w14:paraId="1A6DF003">
            <w:pPr>
              <w:wordWrap w:val="0"/>
              <w:spacing w:line="400" w:lineRule="exact"/>
              <w:ind w:right="240"/>
              <w:jc w:val="both"/>
              <w:rPr>
                <w:rFonts w:hint="eastAsia"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1.行政许可：《中华人民共和国石油天然气管道保护法》第十三条</w:t>
            </w:r>
            <w:r>
              <w:rPr>
                <w:rFonts w:hint="eastAsia" w:eastAsia="仿宋_GB2312" w:cs="Times New Roman"/>
                <w:color w:val="auto"/>
                <w:sz w:val="24"/>
                <w:lang w:val="en-US" w:eastAsia="zh-CN"/>
              </w:rPr>
              <w:t>“管道建设的选线应当避开地震活动断层和容易发生洪灾、地质灾害的区域，与建筑物、构筑物、铁路、公路、航道、港口、市政设施、军事设施、电缆、光缆等保持本法和有关法律、行政法规以及国家技术规范的强制性要求规定的保护距离。 新建管道通过的区域受地理条件限制，不能满足前款规定的管道保护要求的，管道企业应当提出防护方案，经管道保护方面的专家评审论证，并经管道所在地县级以上地方人民政府主管管道保护工作的部门批准后，方可建设。”，第三十五条“进行下列施工作业，施工单位应当向管道所在地县级人民政府主管管道保护工作的部门提出申请：</w:t>
            </w:r>
          </w:p>
          <w:p w14:paraId="2360029B">
            <w:pPr>
              <w:wordWrap w:val="0"/>
              <w:spacing w:line="400" w:lineRule="exact"/>
              <w:ind w:right="240"/>
              <w:jc w:val="both"/>
              <w:rPr>
                <w:rFonts w:hint="eastAsia" w:eastAsia="仿宋_GB2312" w:cs="Times New Roman"/>
                <w:color w:val="auto"/>
                <w:sz w:val="24"/>
                <w:lang w:val="en-US" w:eastAsia="zh-CN"/>
              </w:rPr>
            </w:pPr>
            <w:r>
              <w:rPr>
                <w:rFonts w:hint="eastAsia" w:eastAsia="仿宋_GB2312" w:cs="Times New Roman"/>
                <w:color w:val="auto"/>
                <w:sz w:val="24"/>
                <w:lang w:val="en-US" w:eastAsia="zh-CN"/>
              </w:rPr>
              <w:t>（一）穿跨越管道的施工作业；</w:t>
            </w:r>
          </w:p>
          <w:p w14:paraId="0040570F">
            <w:pPr>
              <w:wordWrap w:val="0"/>
              <w:spacing w:line="400" w:lineRule="exact"/>
              <w:ind w:right="240"/>
              <w:jc w:val="both"/>
              <w:rPr>
                <w:rFonts w:hint="eastAsia" w:eastAsia="仿宋_GB2312" w:cs="Times New Roman"/>
                <w:color w:val="auto"/>
                <w:sz w:val="24"/>
                <w:lang w:val="en-US" w:eastAsia="zh-CN"/>
              </w:rPr>
            </w:pPr>
            <w:r>
              <w:rPr>
                <w:rFonts w:hint="eastAsia" w:eastAsia="仿宋_GB2312" w:cs="Times New Roman"/>
                <w:color w:val="auto"/>
                <w:sz w:val="24"/>
                <w:lang w:val="en-US" w:eastAsia="zh-CN"/>
              </w:rPr>
              <w:t>（二）在管道线路中心线两侧各五米至五十米和本法第五十八条第一项所列管道附属设施周边一百米地域范围内，新建、改建、扩建铁路、公路、河渠，架设电力线路，埋设地下电缆、光缆，设置安全接地体、避雷接地体；</w:t>
            </w:r>
          </w:p>
          <w:p w14:paraId="57A36A72">
            <w:pPr>
              <w:wordWrap w:val="0"/>
              <w:spacing w:line="400" w:lineRule="exact"/>
              <w:ind w:right="240"/>
              <w:jc w:val="both"/>
              <w:rPr>
                <w:rFonts w:hint="eastAsia" w:eastAsia="仿宋_GB2312" w:cs="Times New Roman"/>
                <w:color w:val="auto"/>
                <w:sz w:val="24"/>
                <w:lang w:val="en-US" w:eastAsia="zh-CN"/>
              </w:rPr>
            </w:pPr>
            <w:r>
              <w:rPr>
                <w:rFonts w:hint="eastAsia" w:eastAsia="仿宋_GB2312" w:cs="Times New Roman"/>
                <w:color w:val="auto"/>
                <w:sz w:val="24"/>
                <w:lang w:val="en-US" w:eastAsia="zh-CN"/>
              </w:rPr>
              <w:t>（三）在管道线路中心线两侧各二百米和本法第五十八条第一项所列管道附属设施周边五百米地域范围内，进行爆破、地震法勘探或者工程挖掘、工程钻探、采矿。</w:t>
            </w:r>
          </w:p>
          <w:p w14:paraId="7E811CF6">
            <w:pPr>
              <w:wordWrap w:val="0"/>
              <w:spacing w:line="400" w:lineRule="exact"/>
              <w:ind w:right="240"/>
              <w:jc w:val="both"/>
              <w:rPr>
                <w:rFonts w:hint="default" w:ascii="Times New Roman" w:hAnsi="Times New Roman" w:eastAsia="仿宋_GB2312" w:cs="Times New Roman"/>
                <w:color w:val="auto"/>
                <w:sz w:val="24"/>
                <w:lang w:val="en-US" w:eastAsia="zh-CN"/>
              </w:rPr>
            </w:pPr>
            <w:r>
              <w:rPr>
                <w:rFonts w:hint="eastAsia" w:eastAsia="仿宋_GB2312" w:cs="Times New Roman"/>
                <w:color w:val="auto"/>
                <w:sz w:val="24"/>
                <w:lang w:val="en-US" w:eastAsia="zh-CN"/>
              </w:rPr>
              <w:t>县级人民政府主管管道保护工作的部门接到申请后，应当组织施工单位与管道企业协商确定施工作业方案，并签订安全防护协议；协商不成的，主管管道保护工作的部门应当组织进行安全评审，作出是否批准作业的决定。”</w:t>
            </w:r>
            <w:r>
              <w:rPr>
                <w:rFonts w:hint="default" w:ascii="Times New Roman" w:hAnsi="Times New Roman" w:eastAsia="仿宋_GB2312" w:cs="Times New Roman"/>
                <w:color w:val="auto"/>
                <w:sz w:val="24"/>
                <w:lang w:val="en-US" w:eastAsia="zh-CN"/>
              </w:rPr>
              <w:t>。</w:t>
            </w:r>
          </w:p>
          <w:p w14:paraId="2DCA0210">
            <w:pPr>
              <w:wordWrap w:val="0"/>
              <w:spacing w:line="400" w:lineRule="exact"/>
              <w:ind w:right="240"/>
              <w:jc w:val="both"/>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2.行政处罚：</w:t>
            </w:r>
            <w:r>
              <w:rPr>
                <w:rFonts w:hint="eastAsia" w:eastAsia="仿宋_GB2312" w:cs="Times New Roman"/>
                <w:color w:val="auto"/>
                <w:sz w:val="24"/>
                <w:lang w:val="en-US" w:eastAsia="zh-CN"/>
              </w:rPr>
              <w:t>《企业投资项目核准和备案管理条例》第十九条、第二十条；</w:t>
            </w:r>
            <w:r>
              <w:rPr>
                <w:rFonts w:hint="default" w:ascii="Times New Roman" w:hAnsi="Times New Roman" w:eastAsia="仿宋_GB2312" w:cs="Times New Roman"/>
                <w:color w:val="auto"/>
                <w:sz w:val="24"/>
                <w:lang w:val="en-US" w:eastAsia="zh-CN"/>
              </w:rPr>
              <w:t>《中华人民共和国招标投标法》</w:t>
            </w:r>
            <w:r>
              <w:rPr>
                <w:rFonts w:hint="eastAsia" w:eastAsia="仿宋_GB2312" w:cs="Times New Roman"/>
                <w:color w:val="auto"/>
                <w:sz w:val="24"/>
                <w:lang w:val="en-US" w:eastAsia="zh-CN"/>
              </w:rPr>
              <w:t>第四十九条、第五十一条、第五十二条等；</w:t>
            </w:r>
            <w:r>
              <w:rPr>
                <w:rFonts w:hint="default" w:ascii="Times New Roman" w:hAnsi="Times New Roman" w:eastAsia="仿宋_GB2312" w:cs="Times New Roman"/>
                <w:color w:val="auto"/>
                <w:sz w:val="24"/>
                <w:lang w:val="en-US" w:eastAsia="zh-CN"/>
              </w:rPr>
              <w:t>《粮食流通管理条例》第九条</w:t>
            </w:r>
            <w:r>
              <w:rPr>
                <w:rFonts w:hint="eastAsia" w:eastAsia="仿宋_GB2312" w:cs="Times New Roman"/>
                <w:color w:val="auto"/>
                <w:sz w:val="24"/>
                <w:lang w:val="en-US" w:eastAsia="zh-CN"/>
              </w:rPr>
              <w:t>、第十条、第十七条</w:t>
            </w:r>
            <w:r>
              <w:rPr>
                <w:rFonts w:hint="default" w:ascii="Times New Roman" w:hAnsi="Times New Roman" w:eastAsia="仿宋_GB2312" w:cs="Times New Roman"/>
                <w:color w:val="auto"/>
                <w:sz w:val="24"/>
                <w:lang w:val="en-US" w:eastAsia="zh-CN"/>
              </w:rPr>
              <w:t>等。</w:t>
            </w:r>
          </w:p>
          <w:p w14:paraId="2CB6C630">
            <w:pPr>
              <w:wordWrap w:val="0"/>
              <w:spacing w:line="400" w:lineRule="exact"/>
              <w:ind w:right="240"/>
              <w:jc w:val="both"/>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3.行政强制：《粮食流通管理条例》第三十八条</w:t>
            </w:r>
            <w:r>
              <w:rPr>
                <w:rFonts w:hint="eastAsia" w:eastAsia="仿宋_GB2312" w:cs="Times New Roman"/>
                <w:color w:val="auto"/>
                <w:sz w:val="24"/>
                <w:lang w:val="en-US" w:eastAsia="zh-CN"/>
              </w:rPr>
              <w:t>，</w:t>
            </w:r>
            <w:r>
              <w:rPr>
                <w:rFonts w:hint="default" w:ascii="Times New Roman" w:hAnsi="Times New Roman" w:eastAsia="仿宋_GB2312" w:cs="Times New Roman"/>
                <w:color w:val="auto"/>
                <w:sz w:val="24"/>
                <w:lang w:val="en-US" w:eastAsia="zh-CN"/>
              </w:rPr>
              <w:t>《中华人民共和国石油天然气管道保护法》第五十二条。</w:t>
            </w:r>
          </w:p>
          <w:p w14:paraId="706112A5">
            <w:pPr>
              <w:wordWrap w:val="0"/>
              <w:spacing w:line="400" w:lineRule="exact"/>
              <w:ind w:right="240"/>
              <w:jc w:val="both"/>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4.行政检查：《节能监察办法》第三条</w:t>
            </w:r>
            <w:r>
              <w:rPr>
                <w:rFonts w:hint="eastAsia" w:eastAsia="仿宋_GB2312" w:cs="Times New Roman"/>
                <w:color w:val="auto"/>
                <w:sz w:val="24"/>
                <w:lang w:val="en-US" w:eastAsia="zh-CN"/>
              </w:rPr>
              <w:t>；《粮食流通管理条例》第三十八条</w:t>
            </w:r>
            <w:r>
              <w:rPr>
                <w:rFonts w:hint="default" w:ascii="Times New Roman" w:hAnsi="Times New Roman" w:eastAsia="仿宋_GB2312" w:cs="Times New Roman"/>
                <w:color w:val="auto"/>
                <w:sz w:val="24"/>
                <w:lang w:val="en-US" w:eastAsia="zh-CN"/>
              </w:rPr>
              <w:t>。</w:t>
            </w:r>
          </w:p>
          <w:p w14:paraId="6DD08842">
            <w:pPr>
              <w:wordWrap w:val="0"/>
              <w:spacing w:line="400" w:lineRule="exact"/>
              <w:ind w:right="240"/>
              <w:jc w:val="both"/>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5.其他行政执法行为：《中华人民共和国价格法》</w:t>
            </w:r>
            <w:r>
              <w:rPr>
                <w:rFonts w:hint="eastAsia" w:eastAsia="仿宋_GB2312" w:cs="Times New Roman"/>
                <w:color w:val="auto"/>
                <w:sz w:val="24"/>
                <w:lang w:val="en-US" w:eastAsia="zh-CN"/>
              </w:rPr>
              <w:t>第五条、第六条、第十八条；《企业投资项目核准和备案管理条例》第三条，《企业投资项目核准和备案管理办法》第四条；</w:t>
            </w:r>
            <w:r>
              <w:rPr>
                <w:rFonts w:hint="default" w:ascii="Times New Roman" w:hAnsi="Times New Roman" w:eastAsia="仿宋_GB2312" w:cs="Times New Roman"/>
                <w:color w:val="auto"/>
                <w:sz w:val="24"/>
                <w:lang w:val="en-US" w:eastAsia="zh-CN"/>
              </w:rPr>
              <w:t>《中华人民共和国循环经济促进法》第四十八条</w:t>
            </w:r>
            <w:r>
              <w:rPr>
                <w:rFonts w:hint="eastAsia" w:eastAsia="仿宋_GB2312" w:cs="Times New Roman"/>
                <w:color w:val="auto"/>
                <w:sz w:val="24"/>
                <w:lang w:val="en-US" w:eastAsia="zh-CN"/>
              </w:rPr>
              <w:t>等</w:t>
            </w:r>
            <w:r>
              <w:rPr>
                <w:rFonts w:hint="default" w:ascii="Times New Roman" w:hAnsi="Times New Roman" w:eastAsia="仿宋_GB2312" w:cs="Times New Roman"/>
                <w:color w:val="auto"/>
                <w:sz w:val="24"/>
                <w:lang w:val="en-US" w:eastAsia="zh-CN"/>
              </w:rPr>
              <w:t>。</w:t>
            </w:r>
          </w:p>
        </w:tc>
      </w:tr>
      <w:tr w14:paraId="3E3E3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1" w:hRule="exact"/>
          <w:jc w:val="center"/>
        </w:trPr>
        <w:tc>
          <w:tcPr>
            <w:tcW w:w="1381" w:type="dxa"/>
            <w:tcBorders>
              <w:top w:val="single" w:color="auto" w:sz="4" w:space="0"/>
              <w:left w:val="single" w:color="auto" w:sz="8" w:space="0"/>
              <w:bottom w:val="single" w:color="auto" w:sz="8" w:space="0"/>
              <w:right w:val="single" w:color="000000" w:sz="6" w:space="0"/>
            </w:tcBorders>
            <w:noWrap w:val="0"/>
            <w:vAlign w:val="center"/>
          </w:tcPr>
          <w:p w14:paraId="2835D3E5">
            <w:pPr>
              <w:spacing w:line="4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备注</w:t>
            </w:r>
          </w:p>
        </w:tc>
        <w:tc>
          <w:tcPr>
            <w:tcW w:w="8040" w:type="dxa"/>
            <w:gridSpan w:val="3"/>
            <w:tcBorders>
              <w:top w:val="single" w:color="auto" w:sz="4" w:space="0"/>
              <w:left w:val="single" w:color="000000" w:sz="6" w:space="0"/>
              <w:bottom w:val="single" w:color="auto" w:sz="8" w:space="0"/>
              <w:right w:val="single" w:color="auto" w:sz="8" w:space="0"/>
            </w:tcBorders>
            <w:noWrap w:val="0"/>
            <w:vAlign w:val="center"/>
          </w:tcPr>
          <w:p w14:paraId="3D71563B">
            <w:pPr>
              <w:wordWrap w:val="0"/>
              <w:spacing w:line="400" w:lineRule="exact"/>
              <w:ind w:right="840"/>
              <w:rPr>
                <w:rFonts w:hint="default" w:ascii="Times New Roman" w:hAnsi="Times New Roman" w:eastAsia="仿宋_GB2312" w:cs="Times New Roman"/>
                <w:color w:val="auto"/>
                <w:sz w:val="24"/>
              </w:rPr>
            </w:pPr>
          </w:p>
        </w:tc>
      </w:tr>
    </w:tbl>
    <w:p w14:paraId="3FF3AF01">
      <w:pPr>
        <w:spacing w:line="300" w:lineRule="exact"/>
        <w:ind w:firstLine="422" w:firstLineChars="200"/>
        <w:rPr>
          <w:rFonts w:hint="default" w:ascii="Times New Roman" w:hAnsi="Times New Roman" w:eastAsia="仿宋_GB2312" w:cs="Times New Roman"/>
          <w:b/>
          <w:bCs/>
          <w:color w:val="auto"/>
        </w:rPr>
      </w:pPr>
      <w:r>
        <w:rPr>
          <w:rFonts w:hint="default" w:ascii="Times New Roman" w:hAnsi="Times New Roman" w:eastAsia="仿宋_GB2312" w:cs="Times New Roman"/>
          <w:b/>
          <w:bCs/>
          <w:color w:val="auto"/>
        </w:rPr>
        <w:t>填表说明：</w:t>
      </w:r>
    </w:p>
    <w:p w14:paraId="62A9389E">
      <w:pPr>
        <w:spacing w:line="300" w:lineRule="exact"/>
        <w:ind w:firstLine="420" w:firstLineChars="200"/>
        <w:rPr>
          <w:rFonts w:hint="default" w:ascii="Times New Roman" w:hAnsi="Times New Roman" w:eastAsia="仿宋_GB2312" w:cs="Times New Roman"/>
          <w:color w:val="auto"/>
        </w:rPr>
      </w:pPr>
      <w:r>
        <w:rPr>
          <w:rFonts w:hint="default" w:ascii="Times New Roman" w:hAnsi="Times New Roman" w:eastAsia="仿宋_GB2312" w:cs="Times New Roman"/>
          <w:color w:val="auto"/>
        </w:rPr>
        <w:t>1.执法职权类型按照本单位实际行使的行政执法权类别填写，没有的在备注栏填无。有本表未列明的其他执法职权类型的，写明实际执法类型名称。</w:t>
      </w:r>
    </w:p>
    <w:p w14:paraId="1411C875">
      <w:pPr>
        <w:spacing w:line="300" w:lineRule="exact"/>
        <w:ind w:firstLine="420" w:firstLineChars="200"/>
        <w:rPr>
          <w:rFonts w:hint="default" w:ascii="Times New Roman" w:hAnsi="Times New Roman" w:cs="Times New Roman"/>
          <w:color w:val="auto"/>
        </w:rPr>
      </w:pPr>
      <w:r>
        <w:rPr>
          <w:rFonts w:hint="default" w:ascii="Times New Roman" w:hAnsi="Times New Roman" w:eastAsia="仿宋_GB2312" w:cs="Times New Roman"/>
          <w:color w:val="auto"/>
        </w:rPr>
        <w:t>2.执法依据应当根据执法职权类型，分别填写相关依据。依据应当为规章以上的依据，</w:t>
      </w:r>
      <w:r>
        <w:rPr>
          <w:rFonts w:hint="default" w:ascii="Times New Roman" w:hAnsi="Times New Roman" w:eastAsia="仿宋_GB2312" w:cs="Times New Roman"/>
          <w:b/>
          <w:bCs/>
          <w:color w:val="auto"/>
        </w:rPr>
        <w:t>列明至少一项</w:t>
      </w:r>
      <w:r>
        <w:rPr>
          <w:rFonts w:hint="default" w:ascii="Times New Roman" w:hAnsi="Times New Roman" w:eastAsia="仿宋_GB2312" w:cs="Times New Roman"/>
          <w:color w:val="auto"/>
        </w:rPr>
        <w:t>依据名称和具体条款内容。</w:t>
      </w:r>
    </w:p>
    <w:p w14:paraId="34880EE5">
      <w:bookmarkStart w:id="0" w:name="_GoBack"/>
      <w:bookmarkEnd w:id="0"/>
    </w:p>
    <w:sectPr>
      <w:headerReference r:id="rId3" w:type="default"/>
      <w:footerReference r:id="rId4" w:type="default"/>
      <w:pgSz w:w="11906" w:h="16838"/>
      <w:pgMar w:top="2098" w:right="1474" w:bottom="1984" w:left="1587" w:header="851" w:footer="1587"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Kingsoft Symbol">
    <w:panose1 w:val="0500010001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4841B">
    <w:pPr>
      <w:pStyle w:val="2"/>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704CD0">
                          <w:pPr>
                            <w:pStyle w:val="2"/>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14</w:t>
                          </w:r>
                          <w:r>
                            <w:rPr>
                              <w:sz w:val="28"/>
                              <w:szCs w:val="28"/>
                            </w:rPr>
                            <w:fldChar w:fldCharType="end"/>
                          </w:r>
                          <w:r>
                            <w:rPr>
                              <w:sz w:val="28"/>
                              <w:szCs w:val="28"/>
                            </w:rPr>
                            <w:t xml:space="preserve"> —</w:t>
                          </w:r>
                          <w:r>
                            <w:rPr>
                              <w:rFonts w:hint="eastAsia"/>
                              <w:sz w:val="28"/>
                              <w:szCs w:val="28"/>
                              <w:lang w:val="en-US" w:eastAsia="zh-CN"/>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04704CD0">
                    <w:pPr>
                      <w:pStyle w:val="2"/>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14</w:t>
                    </w:r>
                    <w:r>
                      <w:rPr>
                        <w:sz w:val="28"/>
                        <w:szCs w:val="28"/>
                      </w:rPr>
                      <w:fldChar w:fldCharType="end"/>
                    </w:r>
                    <w:r>
                      <w:rPr>
                        <w:sz w:val="28"/>
                        <w:szCs w:val="28"/>
                      </w:rPr>
                      <w:t xml:space="preserve"> —</w:t>
                    </w:r>
                    <w:r>
                      <w:rPr>
                        <w:rFonts w:hint="eastAsia"/>
                        <w:sz w:val="28"/>
                        <w:szCs w:val="28"/>
                        <w:lang w:val="en-US"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9CD6F">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4NTI1NmJjZjc2ZTk3NTM2MDZlMTg1M2UyM2NjZWEifQ=="/>
  </w:docVars>
  <w:rsids>
    <w:rsidRoot w:val="00000000"/>
    <w:rsid w:val="3E774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2025-06-24T08:47:14Z</dcterms:created>
  <dc:creator>Administrator</dc:creator>
  <cp:lastModifiedBy>区级部门:区发展改革局</cp:lastModifiedBy>
  <dcterms:modified xsi:type="dcterms:W3CDTF">2025-06-24T08:47:20Z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879753FCA2DB48BFAB96AE646D88C8FF_12</vt:lpwstr>
  </property>
</Properties>
</file>