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1C7C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ind w:left="0" w:leftChars="0" w:right="0" w:rightChars="0"/>
        <w:jc w:val="center"/>
        <w:textAlignment w:val="auto"/>
        <w:rPr>
          <w:rFonts w:hint="eastAsia" w:ascii="方正小标宋简体" w:hAnsi="宋体" w:eastAsia="方正小标宋简体" w:cs="宋体"/>
          <w:color w:val="auto"/>
          <w:kern w:val="0"/>
          <w:sz w:val="44"/>
          <w:szCs w:val="52"/>
        </w:rPr>
      </w:pPr>
      <w:r>
        <w:rPr>
          <w:rFonts w:hint="eastAsia" w:ascii="方正小标宋简体" w:hAnsi="宋体" w:eastAsia="方正小标宋简体" w:cs="宋体"/>
          <w:color w:val="auto"/>
          <w:kern w:val="0"/>
          <w:sz w:val="44"/>
          <w:szCs w:val="52"/>
        </w:rPr>
        <w:t>行政执法主体</w:t>
      </w:r>
      <w:r>
        <w:rPr>
          <w:rFonts w:hint="eastAsia" w:ascii="方正小标宋简体" w:hAnsi="宋体" w:eastAsia="方正小标宋简体" w:cs="宋体"/>
          <w:color w:val="auto"/>
          <w:kern w:val="0"/>
          <w:sz w:val="44"/>
          <w:szCs w:val="52"/>
          <w:lang w:eastAsia="zh-CN"/>
        </w:rPr>
        <w:t>资格清理</w:t>
      </w:r>
      <w:r>
        <w:rPr>
          <w:rFonts w:hint="eastAsia" w:ascii="方正小标宋简体" w:hAnsi="宋体" w:eastAsia="方正小标宋简体" w:cs="宋体"/>
          <w:color w:val="auto"/>
          <w:kern w:val="0"/>
          <w:sz w:val="44"/>
          <w:szCs w:val="52"/>
        </w:rPr>
        <w:t>表</w:t>
      </w:r>
    </w:p>
    <w:p w14:paraId="1988139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6" w:lineRule="exact"/>
        <w:ind w:left="0" w:leftChars="0" w:right="0" w:rightChars="0"/>
        <w:jc w:val="center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lang w:eastAsia="zh-CN"/>
        </w:rPr>
        <w:t>（此表由各级行政执法主体填写）</w:t>
      </w:r>
    </w:p>
    <w:p w14:paraId="7828FAB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6" w:lineRule="exact"/>
        <w:ind w:left="0" w:leftChars="0" w:right="0" w:rightChars="0" w:firstLine="0" w:firstLineChars="0"/>
        <w:jc w:val="left"/>
        <w:textAlignment w:val="auto"/>
        <w:rPr>
          <w:rFonts w:hint="eastAsia" w:ascii="宋体" w:hAnsi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单位（公章）：</w:t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广元市昭化区元坝镇人民政府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 xml:space="preserve">        </w:t>
      </w:r>
    </w:p>
    <w:p w14:paraId="7A51273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6" w:lineRule="exact"/>
        <w:ind w:left="0" w:leftChars="0" w:right="0" w:rightChars="0" w:firstLine="0" w:firstLineChars="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填表人：</w:t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张桂芳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联系电话：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13981289642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填表时间：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2025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年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月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17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日</w:t>
      </w:r>
    </w:p>
    <w:tbl>
      <w:tblPr>
        <w:tblStyle w:val="2"/>
        <w:tblW w:w="942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1"/>
        <w:gridCol w:w="5476"/>
        <w:gridCol w:w="654"/>
        <w:gridCol w:w="1910"/>
      </w:tblGrid>
      <w:tr w14:paraId="026CD7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  <w:jc w:val="center"/>
        </w:trPr>
        <w:tc>
          <w:tcPr>
            <w:tcW w:w="1381" w:type="dxa"/>
            <w:tcBorders>
              <w:top w:val="single" w:color="auto" w:sz="8" w:space="0"/>
              <w:left w:val="single" w:color="auto" w:sz="8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4BE0B3F">
            <w:pPr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单位全称</w:t>
            </w:r>
          </w:p>
        </w:tc>
        <w:tc>
          <w:tcPr>
            <w:tcW w:w="8040" w:type="dxa"/>
            <w:gridSpan w:val="3"/>
            <w:tcBorders>
              <w:top w:val="single" w:color="auto" w:sz="8" w:space="0"/>
              <w:left w:val="single" w:color="000000" w:sz="6" w:space="0"/>
              <w:bottom w:val="single" w:color="000000" w:sz="6" w:space="0"/>
              <w:right w:val="single" w:color="auto" w:sz="8" w:space="0"/>
            </w:tcBorders>
            <w:noWrap w:val="0"/>
            <w:vAlign w:val="center"/>
          </w:tcPr>
          <w:p w14:paraId="73D433A3">
            <w:pPr>
              <w:spacing w:line="26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  <w:lang w:eastAsia="zh-CN"/>
              </w:rPr>
              <w:t>广元市昭化区元坝镇人民政府</w:t>
            </w:r>
          </w:p>
        </w:tc>
      </w:tr>
      <w:tr w14:paraId="6A00E5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exact"/>
          <w:jc w:val="center"/>
        </w:trPr>
        <w:tc>
          <w:tcPr>
            <w:tcW w:w="1381" w:type="dxa"/>
            <w:tcBorders>
              <w:top w:val="single" w:color="000000" w:sz="6" w:space="0"/>
              <w:left w:val="single" w:color="auto" w:sz="8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FED5717">
            <w:pPr>
              <w:spacing w:line="26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办公地址</w:t>
            </w:r>
          </w:p>
        </w:tc>
        <w:tc>
          <w:tcPr>
            <w:tcW w:w="54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E853446">
            <w:pPr>
              <w:spacing w:line="26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  <w:lang w:eastAsia="zh-CN"/>
              </w:rPr>
              <w:t>广元市昭化区元坝镇晋寿路</w:t>
            </w:r>
            <w:r>
              <w:rPr>
                <w:rFonts w:hint="eastAsia" w:ascii="仿宋_GB2312" w:hAnsi="宋体" w:eastAsia="仿宋_GB2312"/>
                <w:color w:val="auto"/>
                <w:lang w:val="en-US" w:eastAsia="zh-CN"/>
              </w:rPr>
              <w:t>135号</w:t>
            </w:r>
          </w:p>
        </w:tc>
        <w:tc>
          <w:tcPr>
            <w:tcW w:w="65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20C5678">
            <w:pPr>
              <w:spacing w:line="260" w:lineRule="exact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邮编</w:t>
            </w:r>
          </w:p>
        </w:tc>
        <w:tc>
          <w:tcPr>
            <w:tcW w:w="19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8" w:space="0"/>
            </w:tcBorders>
            <w:noWrap w:val="0"/>
            <w:vAlign w:val="center"/>
          </w:tcPr>
          <w:p w14:paraId="769DB0D6">
            <w:pPr>
              <w:spacing w:line="26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  <w:lang w:val="en-US" w:eastAsia="zh-CN"/>
              </w:rPr>
              <w:t>628021</w:t>
            </w:r>
          </w:p>
        </w:tc>
      </w:tr>
      <w:tr w14:paraId="1834E9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exact"/>
          <w:jc w:val="center"/>
        </w:trPr>
        <w:tc>
          <w:tcPr>
            <w:tcW w:w="1381" w:type="dxa"/>
            <w:tcBorders>
              <w:top w:val="single" w:color="000000" w:sz="6" w:space="0"/>
              <w:left w:val="single" w:color="auto" w:sz="8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8E417C8">
            <w:pPr>
              <w:spacing w:line="26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机构性质</w:t>
            </w:r>
          </w:p>
        </w:tc>
        <w:tc>
          <w:tcPr>
            <w:tcW w:w="804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8" w:space="0"/>
            </w:tcBorders>
            <w:noWrap w:val="0"/>
            <w:vAlign w:val="center"/>
          </w:tcPr>
          <w:p w14:paraId="3C474B7F">
            <w:pPr>
              <w:spacing w:line="440" w:lineRule="exact"/>
              <w:ind w:firstLine="420" w:firstLineChars="200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  <w:szCs w:val="32"/>
                <w:lang w:eastAsia="zh-CN"/>
              </w:rPr>
              <w:t>☑</w:t>
            </w:r>
            <w:r>
              <w:rPr>
                <w:rFonts w:hint="eastAsia" w:ascii="仿宋_GB2312" w:hAnsi="宋体" w:eastAsia="仿宋_GB2312"/>
                <w:color w:val="auto"/>
              </w:rPr>
              <w:t xml:space="preserve">行政机关  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 □</w:t>
            </w:r>
            <w:r>
              <w:rPr>
                <w:rFonts w:hint="eastAsia" w:ascii="仿宋_GB2312" w:hAnsi="宋体" w:eastAsia="仿宋_GB2312"/>
                <w:color w:val="auto"/>
              </w:rPr>
              <w:t xml:space="preserve">事业单位 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 </w:t>
            </w:r>
            <w:r>
              <w:rPr>
                <w:rFonts w:hint="eastAsia" w:ascii="仿宋_GB2312" w:hAnsi="宋体" w:eastAsia="仿宋_GB2312"/>
                <w:color w:val="auto"/>
              </w:rPr>
              <w:t xml:space="preserve">   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sym w:font="Wingdings 2" w:char="00A3"/>
            </w:r>
            <w:r>
              <w:rPr>
                <w:rFonts w:hint="eastAsia" w:ascii="仿宋_GB2312" w:hAnsi="宋体" w:eastAsia="仿宋_GB2312"/>
                <w:color w:val="auto"/>
              </w:rPr>
              <w:t xml:space="preserve">内设机构  </w:t>
            </w:r>
            <w:r>
              <w:rPr>
                <w:rFonts w:hint="eastAsia" w:ascii="仿宋_GB2312" w:hAnsi="宋体" w:eastAsia="仿宋_GB2312"/>
                <w:color w:val="auto"/>
                <w:szCs w:val="36"/>
              </w:rPr>
              <w:t xml:space="preserve"> 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>□</w:t>
            </w:r>
            <w:r>
              <w:rPr>
                <w:rFonts w:hint="eastAsia" w:ascii="仿宋_GB2312" w:hAnsi="宋体" w:eastAsia="仿宋_GB2312"/>
                <w:color w:val="auto"/>
              </w:rPr>
              <w:t xml:space="preserve">临时机构     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>□</w:t>
            </w:r>
            <w:r>
              <w:rPr>
                <w:rFonts w:hint="eastAsia" w:ascii="仿宋_GB2312" w:hAnsi="宋体" w:eastAsia="仿宋_GB2312"/>
                <w:color w:val="auto"/>
              </w:rPr>
              <w:t>其他</w:t>
            </w:r>
          </w:p>
        </w:tc>
      </w:tr>
      <w:tr w14:paraId="296374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1381" w:type="dxa"/>
            <w:tcBorders>
              <w:top w:val="single" w:color="000000" w:sz="6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01961A80">
            <w:pPr>
              <w:spacing w:line="26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执法主体</w:t>
            </w:r>
          </w:p>
          <w:p w14:paraId="7B4D2820">
            <w:pPr>
              <w:spacing w:line="260" w:lineRule="exact"/>
              <w:jc w:val="center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类别</w:t>
            </w:r>
          </w:p>
        </w:tc>
        <w:tc>
          <w:tcPr>
            <w:tcW w:w="804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29373F8E">
            <w:pPr>
              <w:spacing w:line="260" w:lineRule="exact"/>
              <w:rPr>
                <w:rFonts w:hint="eastAsia" w:ascii="仿宋_GB2312" w:hAnsi="宋体" w:eastAsia="仿宋_GB2312"/>
                <w:color w:val="auto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 xml:space="preserve">    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  <w:lang w:eastAsia="zh-CN"/>
              </w:rPr>
              <w:t>☑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 xml:space="preserve">法定行政机关   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  <w:lang w:eastAsia="zh-CN"/>
              </w:rPr>
              <w:t>☑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>法律法规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  <w:lang w:eastAsia="zh-CN"/>
              </w:rPr>
              <w:t>规章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>授权的组织 □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  <w:lang w:eastAsia="zh-CN"/>
              </w:rPr>
              <w:t>受委托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>的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  <w:lang w:eastAsia="zh-CN"/>
              </w:rPr>
              <w:t>机关或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>组织 □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  <w:lang w:eastAsia="zh-CN"/>
              </w:rPr>
              <w:t>行使相对集中行政执法权的机关</w:t>
            </w:r>
          </w:p>
        </w:tc>
      </w:tr>
      <w:tr w14:paraId="05A22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1" w:hRule="atLeast"/>
          <w:jc w:val="center"/>
        </w:trPr>
        <w:tc>
          <w:tcPr>
            <w:tcW w:w="1381" w:type="dxa"/>
            <w:tcBorders>
              <w:top w:val="single" w:color="000000" w:sz="6" w:space="0"/>
              <w:left w:val="single" w:color="auto" w:sz="8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0DCFD54">
            <w:pPr>
              <w:spacing w:line="260" w:lineRule="exact"/>
              <w:jc w:val="center"/>
              <w:rPr>
                <w:rFonts w:hint="eastAsia"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执法职权</w:t>
            </w:r>
          </w:p>
          <w:p w14:paraId="20FDEE25">
            <w:pPr>
              <w:spacing w:line="260" w:lineRule="exact"/>
              <w:jc w:val="center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</w:rPr>
              <w:t>类型</w:t>
            </w:r>
          </w:p>
        </w:tc>
        <w:tc>
          <w:tcPr>
            <w:tcW w:w="8040" w:type="dxa"/>
            <w:gridSpan w:val="3"/>
            <w:tcBorders>
              <w:top w:val="single" w:color="000000" w:sz="6" w:space="0"/>
              <w:left w:val="single" w:color="000000" w:sz="6" w:space="0"/>
              <w:right w:val="single" w:color="auto" w:sz="8" w:space="0"/>
            </w:tcBorders>
            <w:noWrap w:val="0"/>
            <w:vAlign w:val="center"/>
          </w:tcPr>
          <w:p w14:paraId="0AA13A74">
            <w:pPr>
              <w:spacing w:line="260" w:lineRule="exact"/>
              <w:rPr>
                <w:rFonts w:ascii="仿宋_GB2312" w:hAnsi="宋体" w:eastAsia="仿宋_GB2312"/>
                <w:color w:val="auto"/>
                <w:szCs w:val="32"/>
              </w:rPr>
            </w:pP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    </w:t>
            </w:r>
            <w:r>
              <w:rPr>
                <w:rFonts w:hint="eastAsia" w:ascii="仿宋_GB2312" w:hAnsi="宋体" w:eastAsia="仿宋_GB2312"/>
                <w:color w:val="auto"/>
                <w:szCs w:val="32"/>
                <w:lang w:eastAsia="zh-CN"/>
              </w:rPr>
              <w:t>☑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行政许可  </w:t>
            </w:r>
            <w:r>
              <w:rPr>
                <w:rFonts w:hint="eastAsia" w:ascii="仿宋_GB2312" w:hAnsi="宋体" w:eastAsia="仿宋_GB2312"/>
                <w:color w:val="auto"/>
                <w:szCs w:val="32"/>
                <w:lang w:eastAsia="zh-CN"/>
              </w:rPr>
              <w:t>☑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行政处罚  </w:t>
            </w:r>
            <w:r>
              <w:rPr>
                <w:rFonts w:hint="eastAsia" w:ascii="仿宋_GB2312" w:hAnsi="宋体" w:eastAsia="仿宋_GB2312"/>
                <w:color w:val="auto"/>
                <w:szCs w:val="32"/>
                <w:lang w:eastAsia="zh-CN"/>
              </w:rPr>
              <w:t>☑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行政强制  </w:t>
            </w:r>
            <w:r>
              <w:rPr>
                <w:rFonts w:hint="eastAsia" w:ascii="仿宋_GB2312" w:hAnsi="宋体" w:eastAsia="仿宋_GB2312"/>
                <w:color w:val="auto"/>
                <w:szCs w:val="32"/>
                <w:lang w:eastAsia="zh-CN"/>
              </w:rPr>
              <w:t>☑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>行政征收</w:t>
            </w:r>
          </w:p>
          <w:p w14:paraId="534DEC15">
            <w:pPr>
              <w:spacing w:line="260" w:lineRule="exact"/>
              <w:rPr>
                <w:rFonts w:ascii="仿宋_GB2312" w:hAnsi="宋体" w:eastAsia="仿宋_GB2312"/>
                <w:color w:val="auto"/>
              </w:rPr>
            </w:pP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    </w:t>
            </w:r>
            <w:r>
              <w:rPr>
                <w:rFonts w:hint="eastAsia" w:ascii="仿宋_GB2312" w:hAnsi="宋体" w:eastAsia="仿宋_GB2312"/>
                <w:color w:val="auto"/>
                <w:szCs w:val="32"/>
                <w:lang w:eastAsia="zh-CN"/>
              </w:rPr>
              <w:t>□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行政征用  </w:t>
            </w:r>
            <w:r>
              <w:rPr>
                <w:rFonts w:hint="eastAsia" w:ascii="仿宋_GB2312" w:hAnsi="宋体" w:eastAsia="仿宋_GB2312"/>
                <w:color w:val="auto"/>
                <w:szCs w:val="32"/>
                <w:lang w:eastAsia="zh-CN"/>
              </w:rPr>
              <w:t>☑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 xml:space="preserve">行政检查  </w:t>
            </w:r>
            <w:r>
              <w:rPr>
                <w:rFonts w:hint="eastAsia" w:ascii="仿宋_GB2312" w:hAnsi="宋体" w:eastAsia="仿宋_GB2312"/>
                <w:color w:val="auto"/>
                <w:szCs w:val="32"/>
                <w:lang w:eastAsia="zh-CN"/>
              </w:rPr>
              <w:t>☑</w:t>
            </w:r>
            <w:r>
              <w:rPr>
                <w:rFonts w:hint="eastAsia" w:ascii="仿宋_GB2312" w:hAnsi="宋体" w:eastAsia="仿宋_GB2312"/>
                <w:color w:val="auto"/>
                <w:szCs w:val="32"/>
              </w:rPr>
              <w:t>其他行政执法行为</w:t>
            </w:r>
            <w:r>
              <w:rPr>
                <w:rFonts w:hint="eastAsia" w:ascii="仿宋_GB2312" w:hAnsi="宋体" w:eastAsia="仿宋_GB2312"/>
                <w:color w:val="auto"/>
                <w:szCs w:val="21"/>
                <w:u w:val="single"/>
              </w:rPr>
              <w:t xml:space="preserve">                  </w:t>
            </w:r>
          </w:p>
        </w:tc>
      </w:tr>
      <w:tr w14:paraId="426972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exact"/>
          <w:jc w:val="center"/>
        </w:trPr>
        <w:tc>
          <w:tcPr>
            <w:tcW w:w="1381" w:type="dxa"/>
            <w:tcBorders>
              <w:top w:val="single" w:color="000000" w:sz="6" w:space="0"/>
              <w:left w:val="single" w:color="auto" w:sz="8" w:space="0"/>
              <w:bottom w:val="single" w:color="auto" w:sz="4" w:space="0"/>
              <w:right w:val="single" w:color="000000" w:sz="6" w:space="0"/>
            </w:tcBorders>
            <w:noWrap w:val="0"/>
            <w:vAlign w:val="center"/>
          </w:tcPr>
          <w:p w14:paraId="6517DFF2">
            <w:pPr>
              <w:spacing w:line="260" w:lineRule="exact"/>
              <w:ind w:firstLine="105" w:firstLineChars="50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  <w:szCs w:val="21"/>
              </w:rPr>
              <w:t>经费来源</w:t>
            </w:r>
          </w:p>
        </w:tc>
        <w:tc>
          <w:tcPr>
            <w:tcW w:w="804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3E3FBC25">
            <w:pPr>
              <w:spacing w:line="260" w:lineRule="exact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  <w:szCs w:val="21"/>
              </w:rPr>
              <w:t xml:space="preserve">    </w:t>
            </w:r>
            <w:r>
              <w:rPr>
                <w:rFonts w:hint="eastAsia" w:ascii="仿宋_GB2312" w:hAnsi="宋体" w:eastAsia="仿宋_GB2312"/>
                <w:color w:val="auto"/>
                <w:szCs w:val="21"/>
                <w:lang w:eastAsia="zh-CN"/>
              </w:rPr>
              <w:t>☑</w:t>
            </w:r>
            <w:r>
              <w:rPr>
                <w:rFonts w:hint="eastAsia" w:ascii="仿宋_GB2312" w:hAnsi="宋体" w:eastAsia="仿宋_GB2312"/>
                <w:color w:val="auto"/>
                <w:szCs w:val="21"/>
              </w:rPr>
              <w:t>财政全额拨款</w:t>
            </w:r>
            <w:r>
              <w:rPr>
                <w:rFonts w:hint="eastAsia" w:ascii="仿宋_GB2312" w:hAnsi="Arial" w:eastAsia="仿宋_GB2312" w:cs="Arial"/>
                <w:color w:val="auto"/>
                <w:szCs w:val="21"/>
              </w:rPr>
              <w:t xml:space="preserve">   </w:t>
            </w:r>
            <w:r>
              <w:rPr>
                <w:rFonts w:hint="eastAsia" w:ascii="仿宋_GB2312" w:hAnsi="宋体" w:eastAsia="仿宋_GB2312"/>
                <w:color w:val="auto"/>
                <w:szCs w:val="21"/>
              </w:rPr>
              <w:t>□财政差额拨款   □自收自支   □其他</w:t>
            </w:r>
            <w:r>
              <w:rPr>
                <w:rFonts w:hint="eastAsia" w:ascii="仿宋_GB2312" w:hAnsi="宋体" w:eastAsia="仿宋_GB2312"/>
                <w:color w:val="auto"/>
                <w:szCs w:val="21"/>
                <w:u w:val="single"/>
              </w:rPr>
              <w:t xml:space="preserve">        </w:t>
            </w:r>
          </w:p>
        </w:tc>
      </w:tr>
      <w:tr w14:paraId="1DDB6C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381" w:type="dxa"/>
            <w:tcBorders>
              <w:top w:val="single" w:color="auto" w:sz="4" w:space="0"/>
              <w:left w:val="single" w:color="auto" w:sz="8" w:space="0"/>
              <w:right w:val="single" w:color="000000" w:sz="6" w:space="0"/>
            </w:tcBorders>
            <w:noWrap w:val="0"/>
            <w:vAlign w:val="center"/>
          </w:tcPr>
          <w:p w14:paraId="60C7939D">
            <w:pPr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hAnsi="Calibri" w:eastAsia="仿宋_GB2312"/>
                <w:color w:val="auto"/>
                <w:sz w:val="24"/>
              </w:rPr>
              <w:t>执法依据</w:t>
            </w:r>
          </w:p>
        </w:tc>
        <w:tc>
          <w:tcPr>
            <w:tcW w:w="8040" w:type="dxa"/>
            <w:gridSpan w:val="3"/>
            <w:tcBorders>
              <w:top w:val="single" w:color="auto" w:sz="4" w:space="0"/>
              <w:left w:val="single" w:color="000000" w:sz="6" w:space="0"/>
              <w:right w:val="single" w:color="auto" w:sz="8" w:space="0"/>
            </w:tcBorders>
            <w:noWrap w:val="0"/>
            <w:vAlign w:val="center"/>
          </w:tcPr>
          <w:p w14:paraId="62385161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一、行政处罚</w:t>
            </w:r>
          </w:p>
          <w:p w14:paraId="026097FB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《中华人民共和国森林法》第七十四条第二款  违反本法规定，在幼林地砍柴、毁苗、放牧造成林木毁坏的，由县级以上人民政府林业主管部门责令停止违法行为，限期在原地或者异地补种毁坏株数一倍以上三倍以下的树木。</w:t>
            </w:r>
          </w:p>
          <w:p w14:paraId="26486231">
            <w:pPr>
              <w:tabs>
                <w:tab w:val="left" w:pos="1880"/>
              </w:tabs>
              <w:wordWrap w:val="0"/>
              <w:spacing w:line="400" w:lineRule="exact"/>
              <w:ind w:right="24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《村庄和集镇规划建设管理条例》《四川省村镇规划建设管理条例》《中华人民共和国城乡规划法》等</w:t>
            </w:r>
          </w:p>
          <w:p w14:paraId="5328E1F9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二、行政许可</w:t>
            </w:r>
          </w:p>
          <w:p w14:paraId="41C8B005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《四川省&lt;中华人民共和国土地管理法&gt;实施办法》《中华人民共和国土地管理法》《中华人民共和国农村土地承包法》等</w:t>
            </w:r>
          </w:p>
          <w:p w14:paraId="68C66607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三、行政强制</w:t>
            </w:r>
          </w:p>
          <w:p w14:paraId="09708787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《中华人民共和国禁毒法》《地质灾害防治条例》《中华人民共和国城乡规划法》</w:t>
            </w:r>
          </w:p>
          <w:p w14:paraId="2A6AB1AE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四、行政检查</w:t>
            </w:r>
          </w:p>
          <w:p w14:paraId="08ADB469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《中华人民共和国消防法》《中华人民共和国土壤污染防治法》《城镇燃气管理条例》</w:t>
            </w:r>
          </w:p>
          <w:p w14:paraId="7C91B2D7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五、行政征收</w:t>
            </w:r>
          </w:p>
          <w:p w14:paraId="1B3D486D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《中华人民共和国突发事件应对法》《城镇排水与污水处理条例》《城市生活垃圾管理办法》</w:t>
            </w:r>
          </w:p>
          <w:p w14:paraId="18D322A9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六、其他行政执法行为</w:t>
            </w:r>
          </w:p>
          <w:p w14:paraId="748BD66B">
            <w:pPr>
              <w:tabs>
                <w:tab w:val="left" w:pos="1880"/>
              </w:tabs>
              <w:wordWrap w:val="0"/>
              <w:spacing w:line="400" w:lineRule="exact"/>
              <w:ind w:right="240" w:firstLine="420" w:firstLineChars="200"/>
              <w:jc w:val="both"/>
              <w:rPr>
                <w:rFonts w:hint="eastAsia" w:ascii="仿宋_GB2312" w:hAnsi="宋体" w:eastAsia="仿宋_GB2312"/>
                <w:color w:val="auto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color w:val="auto"/>
                <w:szCs w:val="21"/>
                <w:lang w:val="en-US" w:eastAsia="zh-CN"/>
              </w:rPr>
              <w:t>《中华人民共和国土地管理法实施条例》《征兵工作条例》《中华人民共和国禁毒法》《中华人民共和国妇女权益保障法》</w:t>
            </w:r>
          </w:p>
        </w:tc>
      </w:tr>
      <w:tr w14:paraId="7959D5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3" w:hRule="exact"/>
          <w:jc w:val="center"/>
        </w:trPr>
        <w:tc>
          <w:tcPr>
            <w:tcW w:w="1381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6" w:space="0"/>
            </w:tcBorders>
            <w:noWrap w:val="0"/>
            <w:vAlign w:val="center"/>
          </w:tcPr>
          <w:p w14:paraId="7510C25B">
            <w:pPr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hAnsi="Calibri" w:eastAsia="仿宋_GB2312"/>
                <w:color w:val="auto"/>
                <w:sz w:val="24"/>
              </w:rPr>
              <w:t>部门</w:t>
            </w:r>
          </w:p>
          <w:p w14:paraId="2F5734FD">
            <w:pPr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hAnsi="Calibri" w:eastAsia="仿宋_GB2312"/>
                <w:color w:val="auto"/>
                <w:sz w:val="24"/>
              </w:rPr>
              <w:t>（单位）</w:t>
            </w:r>
          </w:p>
          <w:p w14:paraId="2B04DF55">
            <w:pPr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hAnsi="Calibri" w:eastAsia="仿宋_GB2312"/>
                <w:color w:val="auto"/>
                <w:sz w:val="24"/>
              </w:rPr>
              <w:t>意见</w:t>
            </w:r>
          </w:p>
        </w:tc>
        <w:tc>
          <w:tcPr>
            <w:tcW w:w="8040" w:type="dxa"/>
            <w:gridSpan w:val="3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04E5D387">
            <w:pPr>
              <w:wordWrap w:val="0"/>
              <w:spacing w:line="400" w:lineRule="exact"/>
              <w:ind w:right="840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hAnsi="Calibri" w:eastAsia="仿宋_GB2312"/>
                <w:color w:val="auto"/>
                <w:sz w:val="24"/>
              </w:rPr>
              <w:t xml:space="preserve"> </w:t>
            </w:r>
          </w:p>
          <w:p w14:paraId="6AFBC7DB">
            <w:pPr>
              <w:wordWrap w:val="0"/>
              <w:spacing w:line="400" w:lineRule="exact"/>
              <w:ind w:right="840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hAnsi="Calibri" w:eastAsia="仿宋_GB2312"/>
                <w:color w:val="auto"/>
                <w:sz w:val="24"/>
              </w:rPr>
              <w:t xml:space="preserve"> </w:t>
            </w:r>
          </w:p>
          <w:p w14:paraId="6DB17562">
            <w:pPr>
              <w:wordWrap w:val="0"/>
              <w:spacing w:line="400" w:lineRule="exact"/>
              <w:ind w:right="840" w:firstLine="240" w:firstLineChars="100"/>
              <w:rPr>
                <w:rFonts w:hint="eastAsia" w:ascii="仿宋_GB2312" w:hAnsi="Calibri" w:eastAsia="仿宋_GB2312"/>
                <w:color w:val="auto"/>
                <w:sz w:val="24"/>
              </w:rPr>
            </w:pPr>
          </w:p>
          <w:p w14:paraId="70AB1068">
            <w:pPr>
              <w:wordWrap w:val="0"/>
              <w:spacing w:line="400" w:lineRule="exact"/>
              <w:ind w:right="840" w:firstLine="240" w:firstLineChars="100"/>
              <w:rPr>
                <w:rFonts w:hint="eastAsia" w:ascii="仿宋_GB2312" w:hAnsi="Calibri" w:eastAsia="仿宋_GB2312"/>
                <w:color w:val="auto"/>
                <w:sz w:val="24"/>
              </w:rPr>
            </w:pPr>
          </w:p>
          <w:p w14:paraId="278FC145">
            <w:pPr>
              <w:wordWrap w:val="0"/>
              <w:spacing w:line="400" w:lineRule="exact"/>
              <w:ind w:right="840" w:firstLine="240" w:firstLineChars="100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hAnsi="Calibri" w:eastAsia="仿宋_GB2312"/>
                <w:color w:val="auto"/>
                <w:sz w:val="24"/>
              </w:rPr>
              <w:t xml:space="preserve">负责人签字：                                  （盖章）                                              </w:t>
            </w:r>
            <w:r>
              <w:rPr>
                <w:rFonts w:hint="eastAsia" w:ascii="仿宋_GB2312" w:eastAsia="仿宋_GB2312"/>
                <w:color w:val="auto"/>
                <w:sz w:val="24"/>
              </w:rPr>
              <w:t xml:space="preserve">   </w:t>
            </w:r>
            <w:r>
              <w:rPr>
                <w:rFonts w:hint="eastAsia" w:ascii="仿宋_GB2312" w:hAnsi="Calibri" w:eastAsia="仿宋_GB2312"/>
                <w:color w:val="auto"/>
                <w:sz w:val="24"/>
              </w:rPr>
              <w:t xml:space="preserve">年 </w:t>
            </w:r>
            <w:r>
              <w:rPr>
                <w:rFonts w:hint="eastAsia" w:ascii="仿宋_GB2312" w:eastAsia="仿宋_GB2312"/>
                <w:color w:val="auto"/>
                <w:sz w:val="24"/>
              </w:rPr>
              <w:t xml:space="preserve"> </w:t>
            </w:r>
            <w:r>
              <w:rPr>
                <w:rFonts w:hint="eastAsia" w:ascii="仿宋_GB2312" w:hAnsi="Calibri" w:eastAsia="仿宋_GB2312"/>
                <w:color w:val="auto"/>
                <w:sz w:val="24"/>
              </w:rPr>
              <w:t xml:space="preserve"> 月 </w:t>
            </w:r>
            <w:r>
              <w:rPr>
                <w:rFonts w:hint="eastAsia" w:ascii="仿宋_GB2312" w:eastAsia="仿宋_GB2312"/>
                <w:color w:val="auto"/>
                <w:sz w:val="24"/>
              </w:rPr>
              <w:t xml:space="preserve"> </w:t>
            </w:r>
            <w:r>
              <w:rPr>
                <w:rFonts w:hint="eastAsia" w:ascii="仿宋_GB2312" w:hAnsi="Calibri" w:eastAsia="仿宋_GB2312"/>
                <w:color w:val="auto"/>
                <w:sz w:val="24"/>
              </w:rPr>
              <w:t xml:space="preserve"> 日</w:t>
            </w:r>
          </w:p>
        </w:tc>
      </w:tr>
      <w:tr w14:paraId="75C7F3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1" w:hRule="exact"/>
          <w:jc w:val="center"/>
        </w:trPr>
        <w:tc>
          <w:tcPr>
            <w:tcW w:w="1381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6" w:space="0"/>
            </w:tcBorders>
            <w:noWrap w:val="0"/>
            <w:vAlign w:val="center"/>
          </w:tcPr>
          <w:p w14:paraId="40CF4717">
            <w:pPr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hAnsi="Calibri" w:eastAsia="仿宋_GB2312"/>
                <w:color w:val="auto"/>
                <w:sz w:val="24"/>
              </w:rPr>
              <w:t>备注</w:t>
            </w:r>
          </w:p>
        </w:tc>
        <w:tc>
          <w:tcPr>
            <w:tcW w:w="8040" w:type="dxa"/>
            <w:gridSpan w:val="3"/>
            <w:tcBorders>
              <w:top w:val="single" w:color="auto" w:sz="4" w:space="0"/>
              <w:left w:val="single" w:color="000000" w:sz="6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82F9F88">
            <w:pPr>
              <w:wordWrap w:val="0"/>
              <w:spacing w:line="400" w:lineRule="exact"/>
              <w:ind w:right="840"/>
              <w:rPr>
                <w:rFonts w:ascii="仿宋_GB2312" w:eastAsia="仿宋_GB2312"/>
                <w:color w:val="auto"/>
                <w:sz w:val="24"/>
              </w:rPr>
            </w:pPr>
          </w:p>
        </w:tc>
      </w:tr>
    </w:tbl>
    <w:p w14:paraId="581D1F2A">
      <w:pPr>
        <w:spacing w:line="300" w:lineRule="exact"/>
        <w:ind w:firstLine="422" w:firstLineChars="200"/>
        <w:rPr>
          <w:rFonts w:hint="eastAsia" w:ascii="仿宋_GB2312" w:hAnsi="仿宋_GB2312" w:eastAsia="仿宋_GB2312" w:cs="仿宋_GB2312"/>
          <w:b/>
          <w:bCs/>
          <w:color w:val="auto"/>
        </w:rPr>
      </w:pPr>
      <w:r>
        <w:rPr>
          <w:rFonts w:hint="eastAsia" w:ascii="仿宋_GB2312" w:hAnsi="仿宋_GB2312" w:eastAsia="仿宋_GB2312" w:cs="仿宋_GB2312"/>
          <w:b/>
          <w:bCs/>
          <w:color w:val="auto"/>
        </w:rPr>
        <w:t>填表说明：</w:t>
      </w:r>
    </w:p>
    <w:p w14:paraId="7ABFA822">
      <w:pPr>
        <w:spacing w:line="300" w:lineRule="exact"/>
        <w:ind w:firstLine="420" w:firstLineChars="200"/>
        <w:rPr>
          <w:rFonts w:hint="eastAsia" w:ascii="仿宋_GB2312" w:hAnsi="仿宋_GB2312" w:eastAsia="仿宋_GB2312" w:cs="仿宋_GB2312"/>
          <w:color w:val="auto"/>
        </w:rPr>
      </w:pPr>
      <w:r>
        <w:rPr>
          <w:rFonts w:hint="eastAsia" w:ascii="仿宋_GB2312" w:hAnsi="仿宋_GB2312" w:eastAsia="仿宋_GB2312" w:cs="仿宋_GB2312"/>
          <w:color w:val="auto"/>
        </w:rPr>
        <w:t>1.执法职权类型按照本单位实际行使的行政执法权类别填写，没有的在备注栏填无。有本表未列明的其他执法职权类型的，写明实际执法类型名称。</w:t>
      </w:r>
    </w:p>
    <w:p w14:paraId="3741A052">
      <w:pPr>
        <w:ind w:firstLine="420" w:firstLineChars="200"/>
      </w:pP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</w:rPr>
        <w:t>2.执法依据应当根据执法职权类型，分别填写相关依据。依据应当为规章以上的依据，</w:t>
      </w:r>
      <w:r>
        <w:rPr>
          <w:rFonts w:hint="eastAsia" w:ascii="仿宋_GB2312" w:hAnsi="仿宋_GB2312" w:eastAsia="仿宋_GB2312" w:cs="仿宋_GB2312"/>
          <w:b/>
          <w:bCs/>
          <w:color w:val="auto"/>
        </w:rPr>
        <w:t>列明至少一项</w:t>
      </w:r>
      <w:r>
        <w:rPr>
          <w:rFonts w:hint="eastAsia" w:ascii="仿宋_GB2312" w:hAnsi="仿宋_GB2312" w:eastAsia="仿宋_GB2312" w:cs="仿宋_GB2312"/>
          <w:color w:val="auto"/>
        </w:rPr>
        <w:t>依据名称和具体条款内容。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Kingsoft 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F50AE6"/>
    <w:rsid w:val="16140DA4"/>
    <w:rsid w:val="16826719"/>
    <w:rsid w:val="168E3310"/>
    <w:rsid w:val="20E372F0"/>
    <w:rsid w:val="284B1061"/>
    <w:rsid w:val="295F1152"/>
    <w:rsid w:val="3BBF16F2"/>
    <w:rsid w:val="3E2672FA"/>
    <w:rsid w:val="492B6619"/>
    <w:rsid w:val="4FE33B09"/>
    <w:rsid w:val="504A7CCC"/>
    <w:rsid w:val="53F02939"/>
    <w:rsid w:val="57923D07"/>
    <w:rsid w:val="5C6C2D78"/>
    <w:rsid w:val="5CB2382F"/>
    <w:rsid w:val="61D360D5"/>
    <w:rsid w:val="67C47541"/>
    <w:rsid w:val="7B252618"/>
    <w:rsid w:val="7FC9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ascii="宋体" w:hAnsi="宋体" w:eastAsia="宋体" w:cs="宋体"/>
      <w:color w:val="000000"/>
      <w:sz w:val="21"/>
      <w:szCs w:val="21"/>
      <w:u w:val="none"/>
    </w:rPr>
  </w:style>
  <w:style w:type="character" w:customStyle="1" w:styleId="5">
    <w:name w:val="font31"/>
    <w:basedOn w:val="3"/>
    <w:qFormat/>
    <w:uiPriority w:val="0"/>
    <w:rPr>
      <w:rFonts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815</Words>
  <Characters>838</Characters>
  <Lines>0</Lines>
  <Paragraphs>0</Paragraphs>
  <TotalTime>3</TotalTime>
  <ScaleCrop>false</ScaleCrop>
  <LinksUpToDate>false</LinksUpToDate>
  <CharactersWithSpaces>1036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2025-03-07T03:06:00Z</dcterms:created>
  <dc:creator>Administrator</dc:creator>
  <cp:lastModifiedBy>人生如梦</cp:lastModifiedBy>
  <cp:lastPrinted>2025-03-13T07:17:00Z</cp:lastPrinted>
  <dcterms:modified xsi:type="dcterms:W3CDTF">2025-04-16T02:09:36Z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eyJoZGlkIjoiNzEzYzE5ZDFjNDNlMjJkYzBhNGQ3Mjk1Y2U4YzU5MjgiLCJ1c2VySWQiOiI3NDc4NDI0NzIifQ==</vt:lpwstr>
  </property>
  <property fmtid="{D5CDD505-2E9C-101B-9397-08002B2CF9AE}" pid="4" name="ICV">
    <vt:lpwstr>1B28D3669180438481F1815CE7F63D2A_12</vt:lpwstr>
  </property>
</Properties>
</file>