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line="576" w:lineRule="exact"/>
        <w:ind w:firstLine="1440" w:firstLineChars="200"/>
        <w:jc w:val="center"/>
        <w:rPr>
          <w:rFonts w:ascii="方正小标宋简体" w:eastAsia="方正小标宋简体" w:cs="方正小标宋简体" w:hAnsiTheme="minorHAnsi"/>
          <w:color w:val="000000"/>
          <w:kern w:val="2"/>
          <w:sz w:val="72"/>
          <w:szCs w:val="72"/>
        </w:rPr>
      </w:pPr>
    </w:p>
    <w:p>
      <w:pPr>
        <w:widowControl w:val="0"/>
        <w:autoSpaceDE w:val="0"/>
        <w:autoSpaceDN w:val="0"/>
        <w:snapToGrid/>
        <w:spacing w:after="0" w:line="576" w:lineRule="exact"/>
        <w:ind w:firstLine="1440" w:firstLineChars="200"/>
        <w:jc w:val="center"/>
        <w:rPr>
          <w:rFonts w:ascii="方正小标宋简体" w:eastAsia="方正小标宋简体" w:cs="方正小标宋简体" w:hAnsiTheme="minorHAnsi"/>
          <w:color w:val="000000"/>
          <w:kern w:val="2"/>
          <w:sz w:val="72"/>
          <w:szCs w:val="72"/>
        </w:rPr>
      </w:pPr>
    </w:p>
    <w:p>
      <w:pPr>
        <w:widowControl w:val="0"/>
        <w:autoSpaceDE w:val="0"/>
        <w:autoSpaceDN w:val="0"/>
        <w:snapToGrid/>
        <w:spacing w:after="0" w:line="360" w:lineRule="auto"/>
        <w:ind w:firstLine="1440" w:firstLineChars="200"/>
        <w:jc w:val="center"/>
        <w:rPr>
          <w:rFonts w:ascii="方正小标宋简体" w:eastAsia="方正小标宋简体" w:cs="方正小标宋简体" w:hAnsiTheme="minorHAnsi"/>
          <w:color w:val="000000"/>
          <w:kern w:val="2"/>
          <w:sz w:val="72"/>
          <w:szCs w:val="72"/>
        </w:rPr>
      </w:pPr>
    </w:p>
    <w:p>
      <w:pPr>
        <w:widowControl w:val="0"/>
        <w:autoSpaceDE w:val="0"/>
        <w:autoSpaceDN w:val="0"/>
        <w:snapToGrid/>
        <w:spacing w:after="0" w:line="360" w:lineRule="auto"/>
        <w:ind w:firstLine="1440" w:firstLineChars="200"/>
        <w:jc w:val="center"/>
        <w:rPr>
          <w:rFonts w:ascii="方正小标宋简体" w:eastAsia="方正小标宋简体" w:cs="方正小标宋简体" w:hAnsiTheme="minorHAnsi"/>
          <w:color w:val="000000"/>
          <w:kern w:val="2"/>
          <w:sz w:val="72"/>
          <w:szCs w:val="72"/>
        </w:rPr>
      </w:pPr>
      <w:r>
        <w:rPr>
          <w:rFonts w:ascii="方正小标宋简体" w:eastAsia="方正小标宋简体" w:cs="方正小标宋简体" w:hAnsiTheme="minorHAnsi"/>
          <w:color w:val="000000"/>
          <w:kern w:val="2"/>
          <w:sz w:val="72"/>
          <w:szCs w:val="72"/>
        </w:rPr>
        <w:t>2023</w:t>
      </w:r>
      <w:r>
        <w:rPr>
          <w:rFonts w:hint="eastAsia" w:ascii="方正小标宋简体" w:eastAsia="方正小标宋简体" w:cs="方正小标宋简体" w:hAnsiTheme="minorHAnsi"/>
          <w:color w:val="000000"/>
          <w:kern w:val="2"/>
          <w:sz w:val="72"/>
          <w:szCs w:val="72"/>
        </w:rPr>
        <w:t>年度</w:t>
      </w:r>
    </w:p>
    <w:p>
      <w:pPr>
        <w:widowControl w:val="0"/>
        <w:autoSpaceDE w:val="0"/>
        <w:autoSpaceDN w:val="0"/>
        <w:snapToGrid/>
        <w:spacing w:after="0" w:line="360" w:lineRule="auto"/>
        <w:ind w:firstLine="1440" w:firstLineChars="200"/>
        <w:jc w:val="center"/>
        <w:rPr>
          <w:rFonts w:ascii="方正小标宋简体" w:eastAsia="方正小标宋简体" w:cs="方正小标宋简体" w:hAnsiTheme="minorHAnsi"/>
          <w:sz w:val="72"/>
          <w:szCs w:val="72"/>
        </w:rPr>
      </w:pPr>
      <w:r>
        <w:rPr>
          <w:rFonts w:hint="eastAsia" w:ascii="方正小标宋简体" w:eastAsia="方正小标宋简体" w:cs="方正小标宋简体" w:hAnsiTheme="minorHAnsi"/>
          <w:sz w:val="72"/>
          <w:szCs w:val="72"/>
        </w:rPr>
        <w:t>广元市昭化区王家镇</w:t>
      </w:r>
    </w:p>
    <w:p>
      <w:pPr>
        <w:widowControl w:val="0"/>
        <w:autoSpaceDE w:val="0"/>
        <w:autoSpaceDN w:val="0"/>
        <w:snapToGrid/>
        <w:spacing w:after="0" w:line="360" w:lineRule="auto"/>
        <w:ind w:firstLine="1440" w:firstLineChars="200"/>
        <w:jc w:val="center"/>
        <w:rPr>
          <w:rFonts w:ascii="方正小标宋简体" w:eastAsia="方正小标宋简体" w:cs="方正小标宋简体" w:hAnsiTheme="minorHAnsi"/>
          <w:color w:val="000000"/>
          <w:kern w:val="2"/>
          <w:sz w:val="72"/>
          <w:szCs w:val="72"/>
        </w:rPr>
      </w:pPr>
      <w:r>
        <w:rPr>
          <w:rFonts w:hint="eastAsia" w:ascii="方正小标宋简体" w:eastAsia="方正小标宋简体" w:cs="方正小标宋简体" w:hAnsiTheme="minorHAnsi"/>
          <w:sz w:val="72"/>
          <w:szCs w:val="72"/>
        </w:rPr>
        <w:t>人民政府</w:t>
      </w:r>
      <w:r>
        <w:rPr>
          <w:rFonts w:hint="eastAsia" w:ascii="方正小标宋简体" w:eastAsia="方正小标宋简体" w:cs="方正小标宋简体" w:hAnsiTheme="minorHAnsi"/>
          <w:color w:val="000000"/>
          <w:kern w:val="2"/>
          <w:sz w:val="72"/>
          <w:szCs w:val="72"/>
        </w:rPr>
        <w:t>部门决算</w:t>
      </w:r>
    </w:p>
    <w:p>
      <w:pPr>
        <w:widowControl w:val="0"/>
        <w:autoSpaceDE w:val="0"/>
        <w:autoSpaceDN w:val="0"/>
        <w:snapToGrid/>
        <w:spacing w:after="0" w:line="360" w:lineRule="auto"/>
        <w:ind w:firstLine="1440" w:firstLineChars="200"/>
        <w:jc w:val="center"/>
        <w:rPr>
          <w:rFonts w:ascii="黑体" w:eastAsia="黑体" w:cs="黑体" w:hAnsiTheme="minorHAnsi"/>
          <w:color w:val="000000"/>
          <w:kern w:val="2"/>
          <w:sz w:val="72"/>
          <w:szCs w:val="72"/>
        </w:rPr>
      </w:pPr>
    </w:p>
    <w:p>
      <w:pPr>
        <w:widowControl w:val="0"/>
        <w:autoSpaceDE w:val="0"/>
        <w:autoSpaceDN w:val="0"/>
        <w:snapToGrid/>
        <w:spacing w:after="0" w:line="576" w:lineRule="exact"/>
        <w:ind w:firstLine="1040" w:firstLineChars="200"/>
        <w:jc w:val="center"/>
        <w:rPr>
          <w:rFonts w:ascii="方正小标宋简体" w:eastAsia="方正小标宋简体" w:cs="方正小标宋简体" w:hAnsiTheme="minorHAnsi"/>
          <w:sz w:val="52"/>
          <w:szCs w:val="52"/>
        </w:rPr>
      </w:pPr>
    </w:p>
    <w:p>
      <w:pPr>
        <w:widowControl w:val="0"/>
        <w:autoSpaceDE w:val="0"/>
        <w:autoSpaceDN w:val="0"/>
        <w:snapToGrid/>
        <w:spacing w:after="0" w:line="576" w:lineRule="exact"/>
        <w:ind w:firstLine="600" w:firstLineChars="200"/>
        <w:rPr>
          <w:rFonts w:ascii="仿宋_GB2312" w:eastAsia="仿宋_GB2312" w:cs="仿宋_GB2312" w:hAnsiTheme="minorHAnsi"/>
          <w:sz w:val="30"/>
          <w:szCs w:val="30"/>
        </w:rPr>
      </w:pPr>
    </w:p>
    <w:p>
      <w:pPr>
        <w:keepNext/>
        <w:keepLines/>
        <w:pageBreakBefore/>
        <w:widowControl w:val="0"/>
        <w:autoSpaceDE w:val="0"/>
        <w:autoSpaceDN w:val="0"/>
        <w:snapToGrid/>
        <w:spacing w:after="0" w:line="576" w:lineRule="exact"/>
        <w:ind w:firstLine="960" w:firstLineChars="200"/>
        <w:jc w:val="center"/>
        <w:rPr>
          <w:rFonts w:hint="eastAsia" w:ascii="黑体" w:eastAsia="黑体" w:cs="黑体" w:hAnsiTheme="minorHAnsi"/>
          <w:kern w:val="2"/>
          <w:sz w:val="48"/>
          <w:szCs w:val="48"/>
        </w:rPr>
        <w:sectPr>
          <w:pgSz w:w="12240" w:h="15840"/>
          <w:pgMar w:top="2098" w:right="1474" w:bottom="1985" w:left="1588" w:header="720" w:footer="720" w:gutter="0"/>
          <w:pgNumType w:fmt="numberInDash"/>
          <w:cols w:space="720" w:num="1"/>
        </w:sectPr>
      </w:pPr>
    </w:p>
    <w:p>
      <w:pPr>
        <w:keepNext/>
        <w:keepLines/>
        <w:pageBreakBefore/>
        <w:widowControl w:val="0"/>
        <w:autoSpaceDE w:val="0"/>
        <w:autoSpaceDN w:val="0"/>
        <w:snapToGrid/>
        <w:spacing w:after="0" w:line="576" w:lineRule="exact"/>
        <w:ind w:firstLine="960" w:firstLineChars="200"/>
        <w:jc w:val="center"/>
        <w:rPr>
          <w:rFonts w:ascii="黑体" w:eastAsia="黑体" w:cs="黑体" w:hAnsiTheme="minorHAnsi"/>
          <w:kern w:val="2"/>
          <w:sz w:val="48"/>
          <w:szCs w:val="48"/>
        </w:rPr>
      </w:pPr>
      <w:r>
        <w:rPr>
          <w:rFonts w:hint="eastAsia" w:ascii="黑体" w:eastAsia="黑体" w:cs="黑体" w:hAnsiTheme="minorHAnsi"/>
          <w:kern w:val="2"/>
          <w:sz w:val="48"/>
          <w:szCs w:val="48"/>
        </w:rPr>
        <w:t>目</w:t>
      </w:r>
      <w:r>
        <w:rPr>
          <w:rFonts w:ascii="黑体" w:eastAsia="黑体" w:cs="黑体" w:hAnsiTheme="minorHAnsi"/>
          <w:kern w:val="2"/>
          <w:sz w:val="48"/>
          <w:szCs w:val="48"/>
        </w:rPr>
        <w:t xml:space="preserve">   </w:t>
      </w:r>
      <w:r>
        <w:rPr>
          <w:rFonts w:hint="eastAsia" w:ascii="黑体" w:eastAsia="黑体" w:cs="黑体" w:hAnsiTheme="minorHAnsi"/>
          <w:kern w:val="2"/>
          <w:sz w:val="48"/>
          <w:szCs w:val="48"/>
        </w:rPr>
        <w:t>录</w:t>
      </w:r>
      <w:bookmarkStart w:id="0" w:name="_GoBack"/>
      <w:bookmarkEnd w:id="0"/>
    </w:p>
    <w:p>
      <w:pPr>
        <w:widowControl w:val="0"/>
        <w:autoSpaceDE w:val="0"/>
        <w:autoSpaceDN w:val="0"/>
        <w:snapToGrid/>
        <w:spacing w:after="0" w:line="576" w:lineRule="exact"/>
        <w:ind w:firstLine="640" w:firstLineChars="200"/>
        <w:jc w:val="center"/>
        <w:rPr>
          <w:rFonts w:ascii="楷体_GB2312" w:eastAsia="楷体_GB2312" w:cs="楷体_GB2312" w:hAnsiTheme="minorHAnsi"/>
          <w:sz w:val="32"/>
          <w:szCs w:val="32"/>
          <w:highlight w:val="yellow"/>
        </w:rPr>
      </w:pPr>
      <w:r>
        <w:rPr>
          <w:rFonts w:hint="eastAsia" w:ascii="楷体_GB2312" w:eastAsia="楷体_GB2312" w:cs="楷体_GB2312" w:hAnsiTheme="minorHAnsi"/>
          <w:sz w:val="32"/>
          <w:szCs w:val="32"/>
        </w:rPr>
        <w:t>公开时间：</w:t>
      </w:r>
      <w:r>
        <w:rPr>
          <w:rFonts w:ascii="楷体_GB2312" w:eastAsia="楷体_GB2312" w:cs="楷体_GB2312" w:hAnsiTheme="minorHAnsi"/>
          <w:sz w:val="32"/>
          <w:szCs w:val="32"/>
        </w:rPr>
        <w:t>2024</w:t>
      </w:r>
      <w:r>
        <w:rPr>
          <w:rFonts w:hint="eastAsia" w:ascii="楷体_GB2312" w:eastAsia="楷体_GB2312" w:cs="楷体_GB2312" w:hAnsiTheme="minorHAnsi"/>
          <w:sz w:val="32"/>
          <w:szCs w:val="32"/>
        </w:rPr>
        <w:t>年9月2</w:t>
      </w:r>
      <w:r>
        <w:rPr>
          <w:rFonts w:hint="eastAsia" w:ascii="楷体_GB2312" w:eastAsia="楷体_GB2312" w:cs="楷体_GB2312" w:hAnsiTheme="minorHAnsi"/>
          <w:sz w:val="32"/>
          <w:szCs w:val="32"/>
          <w:lang w:val="en-US" w:eastAsia="zh-CN"/>
        </w:rPr>
        <w:t>6</w:t>
      </w:r>
      <w:r>
        <w:rPr>
          <w:rFonts w:hint="eastAsia" w:ascii="楷体_GB2312" w:eastAsia="楷体_GB2312" w:cs="楷体_GB2312" w:hAnsiTheme="minorHAnsi"/>
          <w:sz w:val="32"/>
          <w:szCs w:val="32"/>
        </w:rPr>
        <w:t>日</w:t>
      </w:r>
    </w:p>
    <w:p>
      <w:pPr>
        <w:widowControl w:val="0"/>
        <w:tabs>
          <w:tab w:val="right" w:leader="dot" w:pos="8505"/>
        </w:tabs>
        <w:autoSpaceDE w:val="0"/>
        <w:autoSpaceDN w:val="0"/>
        <w:snapToGrid/>
        <w:spacing w:after="0" w:line="576" w:lineRule="exact"/>
        <w:ind w:firstLine="640" w:firstLineChars="200"/>
        <w:rPr>
          <w:rFonts w:hint="eastAsia" w:ascii="仿宋_GB2312" w:eastAsia="仿宋_GB2312" w:cs="仿宋_GB2312" w:hAnsiTheme="minorHAnsi"/>
          <w:sz w:val="32"/>
          <w:szCs w:val="32"/>
          <w:lang w:eastAsia="zh-CN"/>
        </w:rPr>
      </w:pPr>
      <w:r>
        <w:rPr>
          <w:rFonts w:hint="eastAsia" w:ascii="仿宋_GB2312" w:eastAsia="仿宋_GB2312" w:cs="仿宋_GB2312" w:hAnsiTheme="minorHAnsi"/>
          <w:sz w:val="32"/>
          <w:szCs w:val="32"/>
        </w:rPr>
        <w:t>第一部分</w:t>
      </w:r>
      <w:r>
        <w:rPr>
          <w:rFonts w:ascii="仿宋_GB2312" w:eastAsia="仿宋_GB2312" w:cs="仿宋_GB2312" w:hAnsiTheme="minorHAnsi"/>
          <w:sz w:val="32"/>
          <w:szCs w:val="32"/>
        </w:rPr>
        <w:t xml:space="preserve"> </w:t>
      </w:r>
      <w:r>
        <w:rPr>
          <w:rFonts w:hint="eastAsia" w:ascii="仿宋_GB2312" w:eastAsia="仿宋_GB2312" w:cs="仿宋_GB2312" w:hAnsiTheme="minorHAnsi"/>
          <w:sz w:val="32"/>
          <w:szCs w:val="32"/>
        </w:rPr>
        <w:t>部门概况</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4</w:t>
      </w:r>
    </w:p>
    <w:p>
      <w:pPr>
        <w:widowControl w:val="0"/>
        <w:tabs>
          <w:tab w:val="right" w:leader="dot" w:pos="8505"/>
        </w:tabs>
        <w:autoSpaceDE w:val="0"/>
        <w:autoSpaceDN w:val="0"/>
        <w:snapToGrid/>
        <w:spacing w:after="0" w:line="576" w:lineRule="exact"/>
        <w:ind w:firstLine="640" w:firstLineChars="200"/>
        <w:rPr>
          <w:rFonts w:hint="eastAsia" w:ascii="仿宋_GB2312" w:eastAsia="仿宋_GB2312" w:cs="仿宋_GB2312" w:hAnsiTheme="minorHAnsi"/>
          <w:sz w:val="32"/>
          <w:szCs w:val="32"/>
          <w:lang w:eastAsia="zh-CN"/>
        </w:rPr>
      </w:pPr>
      <w:r>
        <w:rPr>
          <w:rFonts w:hint="eastAsia" w:ascii="仿宋_GB2312" w:eastAsia="仿宋_GB2312" w:cs="仿宋_GB2312" w:hAnsiTheme="minorHAnsi"/>
          <w:sz w:val="32"/>
          <w:szCs w:val="32"/>
        </w:rPr>
        <w:t>一、部门职责</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4</w:t>
      </w:r>
    </w:p>
    <w:p>
      <w:pPr>
        <w:widowControl w:val="0"/>
        <w:tabs>
          <w:tab w:val="right" w:leader="dot" w:pos="8505"/>
        </w:tabs>
        <w:autoSpaceDE w:val="0"/>
        <w:autoSpaceDN w:val="0"/>
        <w:snapToGrid/>
        <w:spacing w:after="0" w:line="576" w:lineRule="exact"/>
        <w:ind w:firstLine="640" w:firstLineChars="200"/>
        <w:rPr>
          <w:rFonts w:hint="eastAsia"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二、机构设置</w:t>
      </w:r>
      <w:r>
        <w:rPr>
          <w:rFonts w:ascii="仿宋_GB2312" w:eastAsia="仿宋_GB2312" w:cs="仿宋_GB2312" w:hAnsiTheme="minorHAnsi"/>
          <w:sz w:val="32"/>
          <w:szCs w:val="32"/>
        </w:rPr>
        <w:tab/>
      </w:r>
      <w:r>
        <w:rPr>
          <w:rFonts w:ascii="仿宋_GB2312" w:eastAsia="仿宋_GB2312" w:cs="仿宋_GB2312" w:hAnsiTheme="minorHAnsi"/>
          <w:sz w:val="32"/>
          <w:szCs w:val="32"/>
        </w:rPr>
        <w:t>1</w:t>
      </w:r>
      <w:r>
        <w:rPr>
          <w:rFonts w:hint="eastAsia" w:ascii="仿宋_GB2312" w:eastAsia="仿宋_GB2312" w:cs="仿宋_GB2312" w:hAnsiTheme="minorHAnsi"/>
          <w:sz w:val="32"/>
          <w:szCs w:val="32"/>
          <w:lang w:val="en-US" w:eastAsia="zh-CN"/>
        </w:rPr>
        <w:t>2</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第二部分</w:t>
      </w:r>
      <w:r>
        <w:rPr>
          <w:rFonts w:ascii="仿宋_GB2312" w:eastAsia="仿宋_GB2312" w:cs="仿宋_GB2312" w:hAnsiTheme="minorHAnsi"/>
          <w:sz w:val="32"/>
          <w:szCs w:val="32"/>
        </w:rPr>
        <w:t xml:space="preserve"> 2023</w:t>
      </w:r>
      <w:r>
        <w:rPr>
          <w:rFonts w:hint="eastAsia" w:ascii="仿宋_GB2312" w:eastAsia="仿宋_GB2312" w:cs="仿宋_GB2312" w:hAnsiTheme="minorHAnsi"/>
          <w:sz w:val="32"/>
          <w:szCs w:val="32"/>
        </w:rPr>
        <w:t>年度部门决算情况说明</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13</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一、收入支出决算总体情况说明</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13</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二、收入决算情况说明</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13</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三、支出决算情况说明</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14</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四、财政拨款收入支出决算总体情况说明</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15</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五、一般公共预算财政拨款支出决算情况说明</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16</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六、一般公共预算财政拨款基本支出决算情况说明</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19</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七、财政拨款</w:t>
      </w:r>
      <w:r>
        <w:rPr>
          <w:rFonts w:ascii="仿宋_GB2312" w:eastAsia="仿宋_GB2312" w:cs="仿宋_GB2312" w:hAnsiTheme="minorHAnsi"/>
          <w:sz w:val="32"/>
          <w:szCs w:val="32"/>
        </w:rPr>
        <w:t>“</w:t>
      </w:r>
      <w:r>
        <w:rPr>
          <w:rFonts w:hint="eastAsia" w:ascii="仿宋_GB2312" w:eastAsia="仿宋_GB2312" w:cs="仿宋_GB2312" w:hAnsiTheme="minorHAnsi"/>
          <w:sz w:val="32"/>
          <w:szCs w:val="32"/>
        </w:rPr>
        <w:t>三公</w:t>
      </w:r>
      <w:r>
        <w:rPr>
          <w:rFonts w:ascii="仿宋_GB2312" w:eastAsia="仿宋_GB2312" w:cs="仿宋_GB2312" w:hAnsiTheme="minorHAnsi"/>
          <w:sz w:val="32"/>
          <w:szCs w:val="32"/>
        </w:rPr>
        <w:t>”</w:t>
      </w:r>
      <w:r>
        <w:rPr>
          <w:rFonts w:hint="eastAsia" w:ascii="仿宋_GB2312" w:eastAsia="仿宋_GB2312" w:cs="仿宋_GB2312" w:hAnsiTheme="minorHAnsi"/>
          <w:sz w:val="32"/>
          <w:szCs w:val="32"/>
        </w:rPr>
        <w:t>经费支出决算情况说明</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20</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八、政府性基金预算支出决算情况说明</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22</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九、国有资本经营预算支出决算情况说明</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22</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十、其他重要事项的情况说明</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22</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第三部分</w:t>
      </w:r>
      <w:r>
        <w:rPr>
          <w:rFonts w:ascii="仿宋_GB2312" w:eastAsia="仿宋_GB2312" w:cs="仿宋_GB2312" w:hAnsiTheme="minorHAnsi"/>
          <w:sz w:val="32"/>
          <w:szCs w:val="32"/>
        </w:rPr>
        <w:t xml:space="preserve"> </w:t>
      </w:r>
      <w:r>
        <w:rPr>
          <w:rFonts w:hint="eastAsia" w:ascii="仿宋_GB2312" w:eastAsia="仿宋_GB2312" w:cs="仿宋_GB2312" w:hAnsiTheme="minorHAnsi"/>
          <w:sz w:val="32"/>
          <w:szCs w:val="32"/>
        </w:rPr>
        <w:t>名词解释</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25</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第四部分</w:t>
      </w:r>
      <w:r>
        <w:rPr>
          <w:rFonts w:ascii="仿宋_GB2312" w:eastAsia="仿宋_GB2312" w:cs="仿宋_GB2312" w:hAnsiTheme="minorHAnsi"/>
          <w:sz w:val="32"/>
          <w:szCs w:val="32"/>
        </w:rPr>
        <w:t xml:space="preserve"> </w:t>
      </w:r>
      <w:r>
        <w:rPr>
          <w:rFonts w:hint="eastAsia" w:ascii="仿宋_GB2312" w:eastAsia="仿宋_GB2312" w:cs="仿宋_GB2312" w:hAnsiTheme="minorHAnsi"/>
          <w:sz w:val="32"/>
          <w:szCs w:val="32"/>
        </w:rPr>
        <w:t>附件</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29</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附件</w:t>
      </w:r>
      <w:r>
        <w:rPr>
          <w:rFonts w:ascii="仿宋_GB2312" w:eastAsia="仿宋_GB2312" w:cs="仿宋_GB2312" w:hAnsiTheme="minorHAnsi"/>
          <w:sz w:val="32"/>
          <w:szCs w:val="32"/>
        </w:rPr>
        <w:t>1</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29</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附件</w:t>
      </w:r>
      <w:r>
        <w:rPr>
          <w:rFonts w:ascii="仿宋_GB2312" w:eastAsia="仿宋_GB2312" w:cs="仿宋_GB2312" w:hAnsiTheme="minorHAnsi"/>
          <w:sz w:val="32"/>
          <w:szCs w:val="32"/>
        </w:rPr>
        <w:t>2</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40</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第五部分</w:t>
      </w:r>
      <w:r>
        <w:rPr>
          <w:rFonts w:ascii="仿宋_GB2312" w:eastAsia="仿宋_GB2312" w:cs="仿宋_GB2312" w:hAnsiTheme="minorHAnsi"/>
          <w:sz w:val="32"/>
          <w:szCs w:val="32"/>
        </w:rPr>
        <w:t xml:space="preserve"> </w:t>
      </w:r>
      <w:r>
        <w:rPr>
          <w:rFonts w:hint="eastAsia" w:ascii="仿宋_GB2312" w:eastAsia="仿宋_GB2312" w:cs="仿宋_GB2312" w:hAnsiTheme="minorHAnsi"/>
          <w:sz w:val="32"/>
          <w:szCs w:val="32"/>
        </w:rPr>
        <w:t>附表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一、收入支出决算总表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二、收入决算表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hint="default" w:ascii="仿宋_GB2312" w:eastAsia="仿宋_GB2312" w:cs="仿宋_GB2312" w:hAnsiTheme="minorHAnsi"/>
          <w:sz w:val="32"/>
          <w:szCs w:val="32"/>
          <w:lang w:val="en-US" w:eastAsia="zh-CN"/>
        </w:rPr>
      </w:pPr>
      <w:r>
        <w:rPr>
          <w:rFonts w:hint="eastAsia" w:ascii="仿宋_GB2312" w:eastAsia="仿宋_GB2312" w:cs="仿宋_GB2312" w:hAnsiTheme="minorHAnsi"/>
          <w:sz w:val="32"/>
          <w:szCs w:val="32"/>
        </w:rPr>
        <w:t>三、支出决算表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ascii="仿宋_GB2312" w:eastAsia="仿宋_GB2312" w:cs="仿宋_GB2312" w:hAnsiTheme="minorHAnsi"/>
          <w:sz w:val="32"/>
          <w:szCs w:val="32"/>
        </w:rPr>
      </w:pPr>
      <w:r>
        <w:rPr>
          <w:rFonts w:hint="eastAsia" w:ascii="仿宋_GB2312" w:eastAsia="仿宋_GB2312" w:cs="仿宋_GB2312" w:hAnsiTheme="minorHAnsi"/>
          <w:sz w:val="32"/>
          <w:szCs w:val="32"/>
        </w:rPr>
        <w:t>四、财政拨款收入支出决算总表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ascii="仿宋_GB2312" w:eastAsia="仿宋_GB2312" w:cs="仿宋_GB2312" w:hAnsiTheme="minorHAnsi"/>
          <w:sz w:val="32"/>
          <w:szCs w:val="32"/>
        </w:rPr>
      </w:pPr>
      <w:r>
        <w:rPr>
          <w:rFonts w:hint="eastAsia" w:ascii="仿宋_GB2312" w:eastAsia="仿宋_GB2312" w:cs="仿宋_GB2312" w:hAnsiTheme="minorHAnsi"/>
          <w:sz w:val="32"/>
          <w:szCs w:val="32"/>
        </w:rPr>
        <w:t>五、财政拨款支出决算明细表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ascii="仿宋_GB2312" w:eastAsia="仿宋_GB2312" w:cs="仿宋_GB2312" w:hAnsiTheme="minorHAnsi"/>
          <w:sz w:val="32"/>
          <w:szCs w:val="32"/>
        </w:rPr>
      </w:pPr>
      <w:r>
        <w:rPr>
          <w:rFonts w:hint="eastAsia" w:ascii="仿宋_GB2312" w:eastAsia="仿宋_GB2312" w:cs="仿宋_GB2312" w:hAnsiTheme="minorHAnsi"/>
          <w:sz w:val="32"/>
          <w:szCs w:val="32"/>
        </w:rPr>
        <w:t>六、一般公共预算财政拨款支出决算表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ascii="仿宋_GB2312" w:eastAsia="仿宋_GB2312" w:cs="仿宋_GB2312" w:hAnsiTheme="minorHAnsi"/>
          <w:sz w:val="32"/>
          <w:szCs w:val="32"/>
        </w:rPr>
      </w:pPr>
      <w:r>
        <w:rPr>
          <w:rFonts w:hint="eastAsia" w:ascii="仿宋_GB2312" w:eastAsia="仿宋_GB2312" w:cs="仿宋_GB2312" w:hAnsiTheme="minorHAnsi"/>
          <w:sz w:val="32"/>
          <w:szCs w:val="32"/>
        </w:rPr>
        <w:t>七、一般公共预算财政拨款支出决算明细表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ascii="仿宋_GB2312" w:eastAsia="仿宋_GB2312" w:cs="仿宋_GB2312" w:hAnsiTheme="minorHAnsi"/>
          <w:sz w:val="32"/>
          <w:szCs w:val="32"/>
        </w:rPr>
      </w:pPr>
      <w:r>
        <w:rPr>
          <w:rFonts w:hint="eastAsia" w:ascii="仿宋_GB2312" w:eastAsia="仿宋_GB2312" w:cs="仿宋_GB2312" w:hAnsiTheme="minorHAnsi"/>
          <w:sz w:val="32"/>
          <w:szCs w:val="32"/>
        </w:rPr>
        <w:t>八、一般公共预算财政拨款基本支出决算表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ascii="仿宋_GB2312" w:eastAsia="仿宋_GB2312" w:cs="仿宋_GB2312" w:hAnsiTheme="minorHAnsi"/>
          <w:sz w:val="32"/>
          <w:szCs w:val="32"/>
        </w:rPr>
      </w:pPr>
      <w:r>
        <w:rPr>
          <w:rFonts w:hint="eastAsia" w:ascii="仿宋_GB2312" w:eastAsia="仿宋_GB2312" w:cs="仿宋_GB2312" w:hAnsiTheme="minorHAnsi"/>
          <w:sz w:val="32"/>
          <w:szCs w:val="32"/>
        </w:rPr>
        <w:t>九、一般公共预算财政拨款项目支出决算表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ascii="仿宋_GB2312" w:eastAsia="仿宋_GB2312" w:cs="仿宋_GB2312" w:hAnsiTheme="minorHAnsi"/>
          <w:sz w:val="32"/>
          <w:szCs w:val="32"/>
        </w:rPr>
      </w:pPr>
      <w:r>
        <w:rPr>
          <w:rFonts w:hint="eastAsia" w:ascii="仿宋_GB2312" w:eastAsia="仿宋_GB2312" w:cs="仿宋_GB2312" w:hAnsiTheme="minorHAnsi"/>
          <w:sz w:val="32"/>
          <w:szCs w:val="32"/>
        </w:rPr>
        <w:t>十、政府性基金预算财政拨款收入支出决算表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ascii="仿宋_GB2312" w:eastAsia="仿宋_GB2312" w:cs="仿宋_GB2312" w:hAnsiTheme="minorHAnsi"/>
          <w:sz w:val="32"/>
          <w:szCs w:val="32"/>
        </w:rPr>
      </w:pPr>
      <w:r>
        <w:rPr>
          <w:rFonts w:hint="eastAsia" w:ascii="仿宋_GB2312" w:eastAsia="仿宋_GB2312" w:cs="仿宋_GB2312" w:hAnsiTheme="minorHAnsi"/>
          <w:sz w:val="32"/>
          <w:szCs w:val="32"/>
        </w:rPr>
        <w:t>十一、国有资本经营预算财政拨款收入支出决算表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ascii="仿宋_GB2312" w:eastAsia="仿宋_GB2312" w:cs="仿宋_GB2312" w:hAnsiTheme="minorHAnsi"/>
          <w:sz w:val="32"/>
          <w:szCs w:val="32"/>
        </w:rPr>
      </w:pPr>
      <w:r>
        <w:rPr>
          <w:rFonts w:hint="eastAsia" w:ascii="仿宋_GB2312" w:eastAsia="仿宋_GB2312" w:cs="仿宋_GB2312" w:hAnsiTheme="minorHAnsi"/>
          <w:sz w:val="32"/>
          <w:szCs w:val="32"/>
        </w:rPr>
        <w:t>十二、国有资本经营预算财政拨款支出决算表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tabs>
          <w:tab w:val="right" w:leader="dot" w:pos="8505"/>
        </w:tabs>
        <w:autoSpaceDE w:val="0"/>
        <w:autoSpaceDN w:val="0"/>
        <w:snapToGrid/>
        <w:spacing w:after="0" w:line="576" w:lineRule="exact"/>
        <w:ind w:firstLine="640" w:firstLineChars="200"/>
        <w:rPr>
          <w:rFonts w:ascii="仿宋_GB2312" w:eastAsia="仿宋_GB2312" w:cs="仿宋_GB2312" w:hAnsiTheme="minorHAnsi"/>
          <w:sz w:val="32"/>
          <w:szCs w:val="32"/>
        </w:rPr>
      </w:pPr>
      <w:r>
        <w:rPr>
          <w:rFonts w:hint="eastAsia" w:ascii="仿宋_GB2312" w:eastAsia="仿宋_GB2312" w:cs="仿宋_GB2312" w:hAnsiTheme="minorHAnsi"/>
          <w:sz w:val="32"/>
          <w:szCs w:val="32"/>
        </w:rPr>
        <w:t>十三、财政拨款</w:t>
      </w:r>
      <w:r>
        <w:rPr>
          <w:rFonts w:ascii="仿宋_GB2312" w:eastAsia="仿宋_GB2312" w:cs="仿宋_GB2312" w:hAnsiTheme="minorHAnsi"/>
          <w:sz w:val="32"/>
          <w:szCs w:val="32"/>
        </w:rPr>
        <w:t>“</w:t>
      </w:r>
      <w:r>
        <w:rPr>
          <w:rFonts w:hint="eastAsia" w:ascii="仿宋_GB2312" w:eastAsia="仿宋_GB2312" w:cs="仿宋_GB2312" w:hAnsiTheme="minorHAnsi"/>
          <w:sz w:val="32"/>
          <w:szCs w:val="32"/>
        </w:rPr>
        <w:t>三公</w:t>
      </w:r>
      <w:r>
        <w:rPr>
          <w:rFonts w:ascii="仿宋_GB2312" w:eastAsia="仿宋_GB2312" w:cs="仿宋_GB2312" w:hAnsiTheme="minorHAnsi"/>
          <w:sz w:val="32"/>
          <w:szCs w:val="32"/>
        </w:rPr>
        <w:t>”</w:t>
      </w:r>
      <w:r>
        <w:rPr>
          <w:rFonts w:hint="eastAsia" w:ascii="仿宋_GB2312" w:eastAsia="仿宋_GB2312" w:cs="仿宋_GB2312" w:hAnsiTheme="minorHAnsi"/>
          <w:sz w:val="32"/>
          <w:szCs w:val="32"/>
        </w:rPr>
        <w:t>经费支出决算表</w:t>
      </w:r>
      <w:r>
        <w:rPr>
          <w:rFonts w:ascii="仿宋_GB2312" w:eastAsia="仿宋_GB2312" w:cs="仿宋_GB2312" w:hAnsiTheme="minorHAnsi"/>
          <w:sz w:val="32"/>
          <w:szCs w:val="32"/>
        </w:rPr>
        <w:tab/>
      </w:r>
      <w:r>
        <w:rPr>
          <w:rFonts w:hint="eastAsia" w:ascii="仿宋_GB2312" w:eastAsia="仿宋_GB2312" w:cs="仿宋_GB2312" w:hAnsiTheme="minorHAnsi"/>
          <w:sz w:val="32"/>
          <w:szCs w:val="32"/>
          <w:lang w:val="en-US" w:eastAsia="zh-CN"/>
        </w:rPr>
        <w:t>62</w:t>
      </w:r>
    </w:p>
    <w:p>
      <w:pPr>
        <w:widowControl w:val="0"/>
        <w:autoSpaceDE w:val="0"/>
        <w:autoSpaceDN w:val="0"/>
        <w:snapToGrid/>
        <w:spacing w:after="0" w:line="576" w:lineRule="exact"/>
        <w:ind w:firstLine="480" w:firstLineChars="200"/>
        <w:rPr>
          <w:rFonts w:ascii="Times New Roman" w:hAnsi="Times New Roman" w:eastAsia="宋体" w:cs="Times New Roman"/>
          <w:sz w:val="24"/>
          <w:szCs w:val="24"/>
        </w:rPr>
      </w:pPr>
    </w:p>
    <w:p>
      <w:pPr>
        <w:pStyle w:val="3"/>
        <w:keepNext/>
        <w:keepLines/>
        <w:pageBreakBefore/>
        <w:spacing w:after="313" w:line="576" w:lineRule="exact"/>
        <w:jc w:val="center"/>
        <w:rPr>
          <w:rFonts w:ascii="黑体" w:hAnsi="黑体" w:eastAsia="黑体" w:cs="黑体"/>
          <w:b/>
          <w:bCs/>
          <w:kern w:val="44"/>
          <w:sz w:val="44"/>
          <w:szCs w:val="44"/>
        </w:rPr>
      </w:pPr>
      <w:r>
        <w:rPr>
          <w:rFonts w:hint="eastAsia" w:ascii="黑体" w:hAnsi="黑体" w:eastAsia="黑体" w:cs="黑体"/>
          <w:kern w:val="44"/>
          <w:sz w:val="44"/>
          <w:szCs w:val="44"/>
        </w:rPr>
        <w:t>第一部分</w:t>
      </w:r>
      <w:r>
        <w:rPr>
          <w:rFonts w:ascii="黑体" w:hAnsi="黑体" w:eastAsia="黑体" w:cs="黑体"/>
          <w:kern w:val="44"/>
          <w:sz w:val="44"/>
          <w:szCs w:val="44"/>
        </w:rPr>
        <w:t xml:space="preserve"> </w:t>
      </w:r>
      <w:r>
        <w:rPr>
          <w:rFonts w:hint="eastAsia" w:ascii="黑体" w:hAnsi="黑体" w:eastAsia="黑体" w:cs="黑体"/>
          <w:kern w:val="44"/>
          <w:sz w:val="44"/>
          <w:szCs w:val="44"/>
        </w:rPr>
        <w:t>部门概况</w:t>
      </w:r>
    </w:p>
    <w:p>
      <w:pPr>
        <w:pStyle w:val="4"/>
        <w:keepNext/>
        <w:keepLines/>
        <w:spacing w:line="576" w:lineRule="exact"/>
        <w:ind w:firstLine="640"/>
        <w:jc w:val="both"/>
        <w:rPr>
          <w:rFonts w:ascii="黑体" w:hAnsi="黑体" w:eastAsia="黑体" w:cs="黑体"/>
          <w:kern w:val="2"/>
          <w:sz w:val="32"/>
          <w:szCs w:val="32"/>
        </w:rPr>
      </w:pPr>
      <w:r>
        <w:rPr>
          <w:rFonts w:hint="eastAsia" w:ascii="黑体" w:hAnsi="黑体" w:eastAsia="黑体" w:cs="黑体"/>
          <w:color w:val="000000"/>
          <w:kern w:val="2"/>
          <w:sz w:val="32"/>
          <w:szCs w:val="32"/>
        </w:rPr>
        <w:t>一、部门职责</w:t>
      </w:r>
    </w:p>
    <w:p>
      <w:pPr>
        <w:widowControl w:val="0"/>
        <w:autoSpaceDE w:val="0"/>
        <w:autoSpaceDN w:val="0"/>
        <w:snapToGrid/>
        <w:spacing w:after="0" w:line="576" w:lineRule="exact"/>
        <w:ind w:firstLine="640" w:firstLineChars="200"/>
        <w:jc w:val="both"/>
        <w:rPr>
          <w:rFonts w:ascii="仿宋_GB2312" w:hAnsi="Times New Roman" w:eastAsia="仿宋_GB2312" w:cs="仿宋_GB2312"/>
          <w:kern w:val="2"/>
          <w:sz w:val="32"/>
          <w:szCs w:val="32"/>
          <w:lang w:val="zh-CN"/>
        </w:rPr>
      </w:pPr>
      <w:r>
        <w:rPr>
          <w:rFonts w:hint="eastAsia" w:ascii="仿宋_GB2312" w:hAnsi="Times New Roman" w:eastAsia="仿宋_GB2312" w:cs="仿宋_GB2312"/>
          <w:kern w:val="2"/>
          <w:sz w:val="32"/>
          <w:szCs w:val="32"/>
          <w:lang w:val="zh-CN"/>
        </w:rPr>
        <w:t>（一）主要职能。</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2.制定并组织实施村镇建设规划，部署重点工程建设，地方道路建设及公共设施，水利设施的管理，负责土地、林木、水等自然资源和生态环境的保护，做好护林防火工作。</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4.按计划组织本级财政收入和地方税的征收，完成国家财政计划，不断培植税源，管好财政资金，增强财政实力。</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5.抓好精神文明建设，丰富群众文化生活，提倡移风易俗，反对封建迷信，破除陈规陋习，树立社会主义新风尚。</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6.执行本级人民代表大会的决议和上级国家行政机关的决定和命令，发布决定和命令。</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7.执行本行政区域内的经济和社会发展计划、预算。管理本行政区域内的经济、教育、科学、文化、卫生、体育事业和财政、民政、公安、司法行政、计划生育等行政工作。</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8.保护好社会主义全民所有的财产和劳动群众集体所有财产，保护公民私有的合法财产，维护社会秩序，保障公民的人身权利、民主权利和其他权利。</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9.保障农村集体经济组织应有的自主权。</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10.保障少数民族的权利和尊重少数民族的风俗习惯。</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11.保障宪法和法律赋予妇女的男女平等、同工同酬和婚姻自由平等各项权利。</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12.完成和办理上级人民政府交办的其他事项。</w:t>
      </w:r>
    </w:p>
    <w:p>
      <w:pPr>
        <w:widowControl w:val="0"/>
        <w:autoSpaceDE w:val="0"/>
        <w:autoSpaceDN w:val="0"/>
        <w:snapToGrid/>
        <w:spacing w:after="0" w:line="576" w:lineRule="exact"/>
        <w:ind w:firstLine="640" w:firstLineChars="200"/>
        <w:jc w:val="both"/>
        <w:rPr>
          <w:rFonts w:ascii="仿宋_GB2312" w:hAnsi="Times New Roman" w:eastAsia="仿宋_GB2312" w:cs="仿宋_GB2312"/>
          <w:kern w:val="2"/>
          <w:sz w:val="32"/>
          <w:szCs w:val="32"/>
          <w:lang w:val="zh-CN"/>
        </w:rPr>
      </w:pPr>
      <w:r>
        <w:rPr>
          <w:rFonts w:hint="eastAsia" w:ascii="仿宋_GB2312" w:hAnsi="Times New Roman" w:eastAsia="仿宋_GB2312" w:cs="仿宋_GB2312"/>
          <w:kern w:val="2"/>
          <w:sz w:val="32"/>
          <w:szCs w:val="32"/>
          <w:lang w:val="zh-CN"/>
        </w:rPr>
        <w:t>（二）</w:t>
      </w:r>
      <w:r>
        <w:rPr>
          <w:rFonts w:ascii="仿宋_GB2312" w:hAnsi="Times New Roman" w:eastAsia="仿宋_GB2312" w:cs="仿宋_GB2312"/>
          <w:kern w:val="2"/>
          <w:sz w:val="32"/>
          <w:szCs w:val="32"/>
          <w:lang w:val="zh-CN"/>
        </w:rPr>
        <w:t>2023</w:t>
      </w:r>
      <w:r>
        <w:rPr>
          <w:rFonts w:hint="eastAsia" w:ascii="仿宋_GB2312" w:hAnsi="Times New Roman" w:eastAsia="仿宋_GB2312" w:cs="仿宋_GB2312"/>
          <w:kern w:val="2"/>
          <w:sz w:val="32"/>
          <w:szCs w:val="32"/>
          <w:lang w:val="zh-CN"/>
        </w:rPr>
        <w:t>年重点工作完成情况。</w:t>
      </w:r>
    </w:p>
    <w:p>
      <w:pPr>
        <w:widowControl w:val="0"/>
        <w:spacing w:after="0" w:line="576" w:lineRule="exact"/>
        <w:ind w:firstLine="640" w:firstLineChars="200"/>
        <w:rPr>
          <w:rFonts w:ascii="仿宋_GB2312" w:hAnsi="Times New Roman" w:eastAsia="仿宋_GB2312"/>
          <w:kern w:val="2"/>
          <w:sz w:val="32"/>
          <w:szCs w:val="32"/>
        </w:rPr>
      </w:pPr>
      <w:r>
        <w:rPr>
          <w:rFonts w:hint="eastAsia" w:ascii="仿宋_GB2312" w:hAnsi="Times New Roman" w:eastAsia="仿宋_GB2312" w:cs="Times New Roman"/>
          <w:sz w:val="32"/>
          <w:szCs w:val="32"/>
        </w:rPr>
        <w:t>1.聚焦发展要务，镇域经济稳中求进。</w:t>
      </w:r>
      <w:r>
        <w:rPr>
          <w:rFonts w:hint="eastAsia" w:ascii="仿宋_GB2312" w:hAnsi="仿宋_GB2312" w:eastAsia="仿宋_GB2312" w:cs="仿宋_GB2312"/>
          <w:sz w:val="32"/>
          <w:szCs w:val="32"/>
        </w:rPr>
        <w:t>始终坚持发展为第一要务，坚持统筹疫情防控和经济社会发展，主动适应发展新常态，坚持目标引领，聚焦重点突破，实现镇域经济指标高位突破。2022年，全镇GDP达2.82亿元，同比增长10.3%，其中线下批、零、住、餐产值达1.32亿元，同比增长10.1%，社消零经营总额达1.2亿元，同比增长10%，人均可支配收入达1.75万元，同比增长12.2%。完成固投1.31亿元，完成招商引资1.44亿元，新签约项目3个，引进社会资金5377万元。</w:t>
      </w:r>
    </w:p>
    <w:p>
      <w:pPr>
        <w:widowControl w:val="0"/>
        <w:spacing w:after="0" w:line="576"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2.紧盯目标任务，切实巩固脱贫成果。</w:t>
      </w:r>
      <w:r>
        <w:rPr>
          <w:rFonts w:hint="eastAsia" w:ascii="仿宋_GB2312" w:hAnsi="仿宋_GB2312" w:eastAsia="仿宋_GB2312" w:cs="仿宋_GB2312"/>
          <w:sz w:val="32"/>
          <w:szCs w:val="32"/>
        </w:rPr>
        <w:t>全面巩固拓展脱贫攻坚成果同乡村振兴有效衔接，严格执行“四不摘”要求，健全防止返贫致贫动态监测和帮扶机制，抓好常态监测和动态清零。今年区级各相关行业部门共反馈预警消息约440条，经过镇村两级摸排走访，上报监测对象4户12人，建立帮扶台账，制定帮扶措施42条，坚决守住全镇不发生规模性返贫的底线。同时统筹帮扶力量，在全镇7个村第一书记和驻村工作队的帮扶基础上，调整充实联村领导干部力量，通过走村入户、细化目标、硬化措施，全覆盖帮扶我镇脱贫户769户、监测户31户，驻村帮扶工作取得明显成效。2023年，晋贤村被评为“2022年度广元市乡村振兴示范村”。</w:t>
      </w:r>
    </w:p>
    <w:p>
      <w:pPr>
        <w:widowControl w:val="0"/>
        <w:spacing w:after="0" w:line="576" w:lineRule="exact"/>
        <w:ind w:firstLine="640" w:firstLineChars="200"/>
        <w:rPr>
          <w:rFonts w:ascii="仿宋_GB2312" w:hAnsi="Times New Roman" w:eastAsia="仿宋_GB2312"/>
          <w:sz w:val="32"/>
          <w:szCs w:val="32"/>
        </w:rPr>
      </w:pPr>
      <w:r>
        <w:rPr>
          <w:rFonts w:hint="eastAsia" w:ascii="仿宋_GB2312" w:hAnsi="Times New Roman" w:eastAsia="仿宋_GB2312" w:cs="Times New Roman"/>
          <w:sz w:val="32"/>
          <w:szCs w:val="32"/>
        </w:rPr>
        <w:t>3.抢抓发展机遇，引资兴商再上台阶。</w:t>
      </w:r>
      <w:r>
        <w:rPr>
          <w:rFonts w:hint="eastAsia" w:ascii="仿宋_GB2312" w:hAnsi="仿宋_GB2312" w:eastAsia="仿宋_GB2312" w:cs="仿宋_GB2312"/>
          <w:sz w:val="32"/>
          <w:szCs w:val="32"/>
        </w:rPr>
        <w:t>始终把项目建设作为重中之重，全力以赴抓项目、促投资，依托重大项目工程，始终将招商引资、项目建设作为全镇发展的重要支撑，形成谋划一批、储备一批、开工一批、建成一批的滚动发展格局。2023年，我们按照生态农业、精品农业的相关要求，积极争取新华村香菇产业园区改造提升，引进广元晋贤食用菌基地建设项目；围绕肉牛羊产业抓招商，狠抓业主示范带动，新建规模牛厂2家，成功引进四川鹄坤农牧肉牛养殖项目、广元牧昇肉牛养殖项目、广元赫稼旺肉牛养殖项目，新增存栏肉牛1500头。</w:t>
      </w:r>
    </w:p>
    <w:p>
      <w:pPr>
        <w:widowControl w:val="0"/>
        <w:spacing w:after="0" w:line="576" w:lineRule="exact"/>
        <w:ind w:firstLine="640" w:firstLineChars="200"/>
        <w:rPr>
          <w:rFonts w:ascii="仿宋_GB2312" w:hAnsi="Times New Roman" w:eastAsia="仿宋_GB2312"/>
          <w:sz w:val="32"/>
          <w:szCs w:val="32"/>
        </w:rPr>
      </w:pPr>
      <w:r>
        <w:rPr>
          <w:rFonts w:hint="eastAsia" w:ascii="仿宋_GB2312" w:hAnsi="Times New Roman" w:eastAsia="仿宋_GB2312" w:cs="Times New Roman"/>
          <w:sz w:val="32"/>
          <w:szCs w:val="32"/>
        </w:rPr>
        <w:t>4.优化产业结构，特色产业提质增效。</w:t>
      </w:r>
      <w:r>
        <w:rPr>
          <w:rFonts w:hint="eastAsia" w:ascii="仿宋_GB2312" w:hAnsi="仿宋_GB2312" w:eastAsia="仿宋_GB2312" w:cs="仿宋_GB2312"/>
          <w:sz w:val="32"/>
          <w:szCs w:val="32"/>
        </w:rPr>
        <w:t>围绕“现代粮油示范片”总布局</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牢牢守住粮食安全，坚持撂荒地整治动态清零，扩面提质发展优质粮油产业、大豆玉米带状复合种植，努力实现特色粮油、优质烤烟、绿色香菇、畜禽养殖产业发展更高质量、更好效益。2023年，完成2000亩高标准农田建设，实现撂荒地复垦1200余亩，同时建成400亩标准“稻鱼”综合种养基地，完成“王家贡米”订单农业播种面积6515亩，种植大豆玉米带状复合种植4600亩，完成大春粮油播面3万亩以上。烤烟种植2390亩，实现产量5900余担，同比增长19%，完成产值840余万元，同比增长31%，实现创税180余万元，带动就近务工5万余人次，烤烟面积、产量、产值、税收四项指标持续三年均位居全区第一。依托王家林业资源丰富优势，今年共完成50万袋的香菇菌袋制作，菌袋成活率在98%以上，产量450吨，实现产值400万元；中药材种植1315亩，其中茯苓种植674亩，实现产值640万元，其余中药材种植641亩，实现产值110余万元。充分发挥养殖产业传统优势，按照稳生猪、大力发展小家禽、突破性发展肉牛羊产业的产业发展思路，持续推动养殖规模化、科学化，全年新建规模牛场2家，全年畜禽良种率达98%。</w:t>
      </w:r>
    </w:p>
    <w:p>
      <w:pPr>
        <w:widowControl w:val="0"/>
        <w:spacing w:after="0" w:line="576"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5.完善基础设施，加快推进乡村振兴。</w:t>
      </w:r>
      <w:r>
        <w:rPr>
          <w:rFonts w:hint="eastAsia" w:ascii="仿宋_GB2312" w:hAnsi="仿宋_GB2312" w:eastAsia="仿宋_GB2312" w:cs="仿宋_GB2312"/>
          <w:sz w:val="32"/>
          <w:szCs w:val="32"/>
        </w:rPr>
        <w:t>大力实施2023年撤并建制村畅通工程，用好通组道路补助资金224.1万元，总里程9.56公里，涉及文星村、银鱼村、五马村，目前正在有序推进；</w:t>
      </w:r>
      <w:r>
        <w:rPr>
          <w:rFonts w:hint="eastAsia" w:ascii="仿宋_GB2312" w:hAnsi="仿宋_GB2312" w:eastAsia="仿宋_GB2312" w:cs="仿宋_GB2312"/>
          <w:sz w:val="32"/>
          <w:szCs w:val="32"/>
          <w:lang w:val="zh-CN"/>
        </w:rPr>
        <w:t>全</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zh-CN"/>
        </w:rPr>
        <w:t>共</w:t>
      </w:r>
      <w:r>
        <w:rPr>
          <w:rFonts w:hint="eastAsia" w:ascii="仿宋_GB2312" w:hAnsi="仿宋_GB2312" w:eastAsia="仿宋_GB2312" w:cs="仿宋_GB2312"/>
          <w:sz w:val="32"/>
          <w:szCs w:val="32"/>
        </w:rPr>
        <w:t>铺设人饮用水管网7.8公里，饮水池5口，整治山坪塘55口、整治渠系5.8公里；通过省水利学院、有事来协商和涉农整合等单位和平台争取，化解了新华村、荣华村和安平村三个传统旱山村（社）147户生活用水难题。开展全域供电线路安全隐患治理24次，清理森林防火单塔下易燃物30余处，新改建农村低压线路30公里，新增变压器50台，充分保障群众出行、用水、用电的安全性和便利性。</w:t>
      </w:r>
    </w:p>
    <w:p>
      <w:pPr>
        <w:spacing w:after="0" w:line="576"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6.持续改善民生，群众福祉不断增进。</w:t>
      </w:r>
      <w:r>
        <w:rPr>
          <w:rFonts w:hint="eastAsia" w:ascii="仿宋_GB2312" w:hAnsi="仿宋_GB2312" w:eastAsia="仿宋_GB2312" w:cs="仿宋_GB2312"/>
          <w:sz w:val="32"/>
          <w:szCs w:val="32"/>
        </w:rPr>
        <w:t>强化乡村教育保障。认真贯彻《义务教育法》，健全落实学校家庭社会协同育人机制，促进学生健康成长、全面发展。全面提升学前教育普及水平和保教质量，2023学年度王家学生入学率达100%，巩固率达到100%，辍学率为0。充分保障就医质量，对11个村卫生室进行全面提档升级，村医制度更加完善，11个村卫生站医务人员、设施设备全部配齐，群众就近就医更加便捷。镇卫生院认真贯彻医改制度，配强配齐卫生技术人员，保证老百姓“小病不出村，大病不出镇”。持续完善公共服务。规范便民服务中心建设和审批服务印章管理，完善省市区一体化政务服务平台使用，持续优化网格化服务管理体系、制度机制和队伍建设，不断完善11个村级便民服务代办场所，增设“村能办”设备15台，确保“小事不出村、大事不出镇，矛盾不上交”，让老百姓在家门口就能办成事。深入实施全民参保计划，进一步完善最低生活保障和社会救助体系，城乡居民养老保险、城乡居民医疗保险基本实现全覆盖，农村小额人身保险参保率达22%，最低生活保障和社会救助体系更加完善，做到应保尽保、应救尽救。2023年我镇完成养老保险认证2491人，医保成功缴费14566人，完成率达96.4%，低保户、优抚对象、80岁高龄老人、特困对象等所有民政补贴资金按时发放。积极推进新时代文明实践志愿服务，大力开展诚信教育、普法宣传等志愿服务活动15次，努力形成良好的社会秩序和健康的乡村风尚。</w:t>
      </w:r>
    </w:p>
    <w:p>
      <w:pPr>
        <w:pStyle w:val="17"/>
        <w:spacing w:line="576" w:lineRule="exact"/>
        <w:ind w:firstLine="640" w:firstLineChars="200"/>
        <w:rPr>
          <w:rFonts w:ascii="仿宋_GB2312" w:eastAsia="仿宋_GB2312"/>
          <w:sz w:val="32"/>
          <w:szCs w:val="32"/>
        </w:rPr>
      </w:pPr>
      <w:r>
        <w:rPr>
          <w:rFonts w:hint="eastAsia" w:ascii="仿宋_GB2312" w:hAnsi="Times New Roman" w:eastAsia="仿宋_GB2312" w:cs="Times New Roman"/>
          <w:color w:val="auto"/>
          <w:sz w:val="32"/>
          <w:szCs w:val="32"/>
        </w:rPr>
        <w:t>7.合理规划布局，场镇建设提档升级。</w:t>
      </w:r>
      <w:r>
        <w:rPr>
          <w:rFonts w:hint="eastAsia" w:ascii="仿宋_GB2312" w:hAnsi="Times New Roman" w:eastAsia="仿宋_GB2312" w:cs="Times New Roman"/>
          <w:sz w:val="32"/>
          <w:szCs w:val="32"/>
        </w:rPr>
        <w:t>始终把场镇建设作为全镇的中心工作，</w:t>
      </w:r>
      <w:r>
        <w:rPr>
          <w:rFonts w:hint="eastAsia" w:ascii="仿宋_GB2312" w:hAnsi="Times New Roman" w:eastAsia="仿宋_GB2312" w:cs="Times New Roman"/>
          <w:color w:val="auto"/>
          <w:kern w:val="2"/>
          <w:sz w:val="32"/>
          <w:szCs w:val="32"/>
        </w:rPr>
        <w:t>高标准规划集镇空间功能布局</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auto"/>
          <w:sz w:val="32"/>
          <w:szCs w:val="32"/>
        </w:rPr>
        <w:t>全面完成棚改还房工</w:t>
      </w:r>
      <w:r>
        <w:rPr>
          <w:rFonts w:hint="eastAsia" w:ascii="仿宋_GB2312" w:hAnsi="仿宋_GB2312" w:eastAsia="仿宋_GB2312" w:cs="仿宋_GB2312"/>
          <w:color w:val="auto"/>
          <w:sz w:val="32"/>
          <w:szCs w:val="32"/>
        </w:rPr>
        <w:t>作，以“高压逼抢”式的工作方式开展还房意愿调查、宣讲还房政策、征求安置户意见等工作，目前，红庙片区选房工作实现两个百分百（既群众参会率100%和选房率100%），最大限度减少政府在货币补偿上的投入，全面化解镇级层面群众还房信访问题。建立党政班子成员“街长”负责制，进一步制定完善集镇秩序管理七条措施，在场镇西北部建成生态康养步道1.3公里，建设临时停车点3处，完善协调通讯行业大厅改扩建2处，全面完成新建农贸市场搬迁工作，持续推动行商归市、坐商归店、商</w:t>
      </w:r>
      <w:r>
        <w:rPr>
          <w:rFonts w:hint="eastAsia" w:ascii="仿宋_GB2312" w:hAnsi="Times New Roman" w:eastAsia="仿宋_GB2312" w:cs="Times New Roman"/>
          <w:color w:val="auto"/>
          <w:sz w:val="32"/>
          <w:szCs w:val="32"/>
        </w:rPr>
        <w:t>品归区、车辆归位，</w:t>
      </w:r>
      <w:r>
        <w:rPr>
          <w:rFonts w:hint="eastAsia" w:ascii="仿宋_GB2312" w:hAnsi="Times New Roman" w:eastAsia="仿宋_GB2312" w:cs="Times New Roman"/>
          <w:sz w:val="32"/>
          <w:szCs w:val="32"/>
        </w:rPr>
        <w:t>实现场镇面貌持续改善、管理水平不断提升。后期将</w:t>
      </w:r>
      <w:r>
        <w:rPr>
          <w:rFonts w:hint="eastAsia" w:ascii="仿宋_GB2312" w:hAnsi="Times New Roman" w:eastAsia="仿宋_GB2312" w:cs="Times New Roman"/>
          <w:bCs/>
          <w:color w:val="auto"/>
          <w:sz w:val="32"/>
          <w:szCs w:val="32"/>
        </w:rPr>
        <w:t>持续完善集镇道路、管网、照明、绿化等功能配套</w:t>
      </w:r>
      <w:r>
        <w:rPr>
          <w:rFonts w:hint="eastAsia" w:ascii="仿宋_GB2312" w:hAnsi="Times New Roman" w:eastAsia="仿宋_GB2312" w:cs="Times New Roman"/>
          <w:sz w:val="32"/>
          <w:szCs w:val="32"/>
        </w:rPr>
        <w:t>。</w:t>
      </w:r>
    </w:p>
    <w:p>
      <w:pPr>
        <w:widowControl w:val="0"/>
        <w:spacing w:after="0" w:line="576"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8.擦亮生态底色，生态屏障更加坚实。</w:t>
      </w:r>
      <w:r>
        <w:rPr>
          <w:rFonts w:hint="eastAsia" w:ascii="仿宋_GB2312" w:hAnsi="仿宋_GB2312" w:eastAsia="仿宋_GB2312" w:cs="仿宋_GB2312"/>
          <w:sz w:val="32"/>
          <w:szCs w:val="32"/>
        </w:rPr>
        <w:t>全面落实林长制。镇党委、政府压紧压实各级林长制责任，严格按照省15条和区11条林长制工作要点，目前累计巡林450余次，排查安全隐患17处已全面整改，对全镇52株古树名木完成重新挂牌保护工作。严格落实河（湖）长制。切实加强畜禽面源污染治理和集中式水源保护，抓好饮用水源地保护，定期清理镇域内“两江一河”及7座水库，保证水库干净，河道畅通，扎实筑牢嘉陵江上游生态屏障。严格落实河（湖）长制。切实加强畜禽面源污染治理和集中式水源保护，抓好饮用水源地保护，建立完善河长制相关组织机构、制度、台账、及时上报各类信息。2023年镇级河段长巡河280余次，村级河段长巡河1150余次，集中组织河道清理20次，累计清理河道漂浮物1.3吨，解决河道垃圾清理、公示牌维护、水上安全等隐患15处。扎实筑牢嘉陵江上游生态屏障，以实际行动守护好昭化的绿水青山。</w:t>
      </w:r>
    </w:p>
    <w:p>
      <w:pPr>
        <w:pStyle w:val="11"/>
        <w:widowControl w:val="0"/>
        <w:spacing w:line="576" w:lineRule="exact"/>
        <w:ind w:left="0" w:leftChars="0" w:firstLine="640"/>
        <w:rPr>
          <w:rFonts w:ascii="仿宋_GB2312" w:hAnsi="Times New Roman" w:eastAsia="仿宋_GB2312"/>
          <w:sz w:val="32"/>
          <w:szCs w:val="32"/>
        </w:rPr>
      </w:pPr>
      <w:r>
        <w:rPr>
          <w:rFonts w:hint="eastAsia" w:ascii="仿宋_GB2312" w:hAnsi="Times New Roman" w:eastAsia="仿宋_GB2312"/>
          <w:sz w:val="32"/>
          <w:szCs w:val="32"/>
        </w:rPr>
        <w:t>9.开展环境整治，人居环境更加和美。</w:t>
      </w:r>
      <w:r>
        <w:rPr>
          <w:rFonts w:hint="eastAsia" w:ascii="仿宋_GB2312" w:hAnsi="仿宋_GB2312" w:eastAsia="仿宋_GB2312" w:cs="仿宋_GB2312"/>
          <w:sz w:val="32"/>
          <w:szCs w:val="32"/>
        </w:rPr>
        <w:t>用好用活公益性岗位人员，加强对场镇、村组道路的清扫和维护，开展党员志愿服务活动12次，进行场镇人居环境治理。持续推进“户分类、村收集、镇转运、市（区）处理”的四级生活垃圾一体化处理模式，集中收集农村、场镇生活垃圾，常态化开展农村生活污水治理工作。今年共采购垃圾清运车1辆、洒水车1辆，在全镇安装定点垃圾桶25个，在各村组布建垃圾池39个。大力实施“美丽四川•宜居乡村”建设行动，持续推进“厕所革命”，今年完成8个村共289户的户厕改造，创建安平村为2023年厕所革命整村推进示范村，目前已全面通过区级部门初级验收。严格执行耕地和基本农田保护政策，坚守红线，严格项目及新建房违规占用耕地，加大对新建房户拆除旧户恢复耕地力度，完成人居环境综合整治206户，危旧房屋改造20户。大力推进污染土壤修复治理，积极开展畜禽粪污、废弃农膜等专项整治，全年组织各规模养殖厂及其村上散养户参加污染防治培训13次。</w:t>
      </w:r>
    </w:p>
    <w:p>
      <w:pPr>
        <w:widowControl w:val="0"/>
        <w:spacing w:after="0" w:line="576" w:lineRule="exact"/>
        <w:ind w:firstLine="640" w:firstLineChars="200"/>
        <w:rPr>
          <w:rFonts w:ascii="仿宋_GB2312" w:hAnsi="Times New Roman" w:eastAsia="仿宋_GB2312"/>
          <w:sz w:val="32"/>
          <w:szCs w:val="32"/>
        </w:rPr>
      </w:pPr>
      <w:r>
        <w:rPr>
          <w:rFonts w:hint="eastAsia" w:ascii="仿宋_GB2312" w:hAnsi="Times New Roman" w:eastAsia="仿宋_GB2312" w:cs="Times New Roman"/>
          <w:sz w:val="32"/>
          <w:szCs w:val="32"/>
        </w:rPr>
        <w:t>10.坚持依法治理，社会大局和谐稳定。</w:t>
      </w:r>
      <w:r>
        <w:rPr>
          <w:rFonts w:hint="eastAsia" w:ascii="仿宋_GB2312" w:hAnsi="仿宋_GB2312" w:eastAsia="仿宋_GB2312" w:cs="仿宋_GB2312"/>
          <w:sz w:val="32"/>
          <w:szCs w:val="32"/>
        </w:rPr>
        <w:t>坚持以平安建设为根本，凝心聚力补短板、求实效，优化服务，真情履职，扎实推进基层治理取得实效。安全生产态势平稳，坚决落实“党政同责、一岗双责”，深化重点领域的安全生产专项整治和隐患排查，排查整治安全隐患300余处，全年无重大森林火灾、重大安全事故、重大食品卫生事件发生。治安防控体系更加完善，深化实施社会治理十百千万工程，管好用好“雪亮工程”，保持高压态势，全方位的监控震慑违法犯罪事件，坚持“有黑扫黑、无黑除恶、无恶治乱”的原则，深入排查，实行全方位治理，全年来开展场镇乱象治理5次，排查禁毒种毒26次、场所510余处。全力做好治重化积，主动化</w:t>
      </w:r>
      <w:r>
        <w:rPr>
          <w:rFonts w:hint="eastAsia" w:ascii="仿宋_GB2312" w:hAnsi="Times New Roman" w:eastAsia="仿宋_GB2312" w:cs="Times New Roman"/>
          <w:sz w:val="32"/>
          <w:szCs w:val="32"/>
        </w:rPr>
        <w:t>解</w:t>
      </w:r>
      <w:r>
        <w:rPr>
          <w:rFonts w:hint="eastAsia" w:ascii="仿宋_GB2312" w:hAnsi="仿宋_GB2312" w:eastAsia="仿宋_GB2312" w:cs="仿宋_GB2312"/>
          <w:sz w:val="32"/>
          <w:szCs w:val="32"/>
        </w:rPr>
        <w:t>群众诉求、调解群众矛盾，办理各类信访事件201件次，其中广元12345热线160件，到镇来访32件，网上信访系统9件。</w:t>
      </w:r>
    </w:p>
    <w:p>
      <w:pPr>
        <w:keepNext/>
        <w:keepLines/>
        <w:widowControl w:val="0"/>
        <w:autoSpaceDE w:val="0"/>
        <w:autoSpaceDN w:val="0"/>
        <w:snapToGrid/>
        <w:spacing w:after="0" w:line="576" w:lineRule="exact"/>
        <w:ind w:firstLine="640" w:firstLineChars="200"/>
        <w:jc w:val="both"/>
        <w:outlineLvl w:val="1"/>
        <w:rPr>
          <w:rFonts w:ascii="Cambria" w:hAnsi="Cambria" w:eastAsia="黑体" w:cs="Cambria"/>
          <w:kern w:val="2"/>
          <w:sz w:val="32"/>
          <w:szCs w:val="32"/>
        </w:rPr>
      </w:pPr>
      <w:r>
        <w:rPr>
          <w:rFonts w:hint="eastAsia" w:ascii="黑体" w:hAnsi="Times New Roman" w:eastAsia="黑体" w:cs="黑体"/>
          <w:color w:val="000000"/>
          <w:kern w:val="2"/>
          <w:sz w:val="32"/>
          <w:szCs w:val="32"/>
          <w:lang w:val="zh-CN"/>
        </w:rPr>
        <w:t>二、机</w:t>
      </w:r>
      <w:r>
        <w:rPr>
          <w:rFonts w:hint="eastAsia" w:ascii="黑体" w:hAnsi="Times New Roman" w:eastAsia="黑体" w:cs="黑体"/>
          <w:kern w:val="2"/>
          <w:sz w:val="32"/>
          <w:szCs w:val="32"/>
          <w:lang w:val="zh-CN"/>
        </w:rPr>
        <w:t>构设置</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Cambria" w:eastAsia="仿宋_GB2312" w:cs="仿宋_GB2312"/>
          <w:kern w:val="2"/>
          <w:sz w:val="32"/>
          <w:szCs w:val="32"/>
          <w:lang w:val="zh-CN"/>
        </w:rPr>
        <w:t>广元市昭化区王家镇人民政府部门属于一级预算单位,</w:t>
      </w:r>
      <w:r>
        <w:rPr>
          <w:rFonts w:hint="eastAsia" w:ascii="仿宋_GB2312" w:hAnsi="仿宋_GB2312" w:eastAsia="仿宋_GB2312"/>
          <w:kern w:val="2"/>
          <w:sz w:val="32"/>
          <w:szCs w:val="24"/>
        </w:rPr>
        <w:t>下属预算单位</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w:t>
      </w:r>
      <w:r>
        <w:rPr>
          <w:rFonts w:hint="eastAsia" w:ascii="仿宋_GB2312" w:hAnsi="仿宋_GB2312" w:eastAsia="仿宋_GB2312"/>
          <w:kern w:val="2"/>
          <w:sz w:val="32"/>
          <w:szCs w:val="24"/>
          <w:lang w:eastAsia="zh-CN"/>
        </w:rPr>
        <w:t>，</w:t>
      </w:r>
      <w:r>
        <w:rPr>
          <w:rFonts w:hint="eastAsia" w:ascii="仿宋_GB2312" w:hAnsi="仿宋_GB2312" w:eastAsia="仿宋_GB2312" w:cs="仿宋_GB2312"/>
          <w:color w:val="000000" w:themeColor="text1"/>
          <w:sz w:val="32"/>
          <w:szCs w:val="32"/>
        </w:rPr>
        <w:t>其中行政单位</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个，参照公务员法管理的事业单位0个，其他事业单位0个。</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纳入2023年度部门决算编制范围的预算单位包括：</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1.广元市昭化区王家镇人民政府</w:t>
      </w:r>
    </w:p>
    <w:p>
      <w:pPr>
        <w:keepNext/>
        <w:keepLines/>
        <w:pageBreakBefore/>
        <w:widowControl w:val="0"/>
        <w:autoSpaceDE w:val="0"/>
        <w:autoSpaceDN w:val="0"/>
        <w:snapToGrid/>
        <w:spacing w:after="313" w:line="576" w:lineRule="exact"/>
        <w:jc w:val="center"/>
        <w:rPr>
          <w:rFonts w:ascii="Times New Roman" w:hAnsi="Times New Roman" w:eastAsia="黑体" w:cs="Times New Roman"/>
          <w:kern w:val="2"/>
          <w:sz w:val="21"/>
          <w:szCs w:val="21"/>
        </w:rPr>
      </w:pPr>
      <w:r>
        <w:rPr>
          <w:rFonts w:hint="eastAsia" w:ascii="黑体" w:eastAsia="黑体" w:cs="黑体" w:hAnsiTheme="minorHAnsi"/>
          <w:bCs/>
          <w:kern w:val="44"/>
          <w:sz w:val="44"/>
          <w:szCs w:val="44"/>
        </w:rPr>
        <w:t>第二部分</w:t>
      </w:r>
      <w:r>
        <w:rPr>
          <w:rFonts w:ascii="黑体" w:eastAsia="黑体" w:cs="黑体" w:hAnsiTheme="minorHAnsi"/>
          <w:bCs/>
          <w:kern w:val="44"/>
          <w:sz w:val="44"/>
          <w:szCs w:val="44"/>
        </w:rPr>
        <w:t xml:space="preserve">  2023</w:t>
      </w:r>
      <w:r>
        <w:rPr>
          <w:rFonts w:hint="eastAsia" w:ascii="黑体" w:eastAsia="黑体" w:cs="黑体" w:hAnsiTheme="minorHAnsi"/>
          <w:bCs/>
          <w:kern w:val="44"/>
          <w:sz w:val="44"/>
          <w:szCs w:val="44"/>
        </w:rPr>
        <w:t>年度部门决算情况说明</w:t>
      </w:r>
    </w:p>
    <w:p>
      <w:pPr>
        <w:widowControl w:val="0"/>
        <w:autoSpaceDE w:val="0"/>
        <w:autoSpaceDN w:val="0"/>
        <w:snapToGrid/>
        <w:spacing w:after="0" w:line="576" w:lineRule="exact"/>
        <w:ind w:firstLine="640"/>
        <w:jc w:val="both"/>
        <w:rPr>
          <w:rFonts w:ascii="黑体" w:hAnsi="Times New Roman" w:eastAsia="黑体" w:cs="黑体"/>
          <w:kern w:val="2"/>
          <w:sz w:val="32"/>
          <w:szCs w:val="32"/>
          <w:lang w:val="zh-CN"/>
        </w:rPr>
      </w:pPr>
      <w:r>
        <w:rPr>
          <w:rFonts w:hint="eastAsia" w:ascii="黑体" w:hAnsi="Times New Roman" w:eastAsia="黑体" w:cs="黑体"/>
          <w:color w:val="000000"/>
          <w:kern w:val="2"/>
          <w:sz w:val="32"/>
          <w:szCs w:val="32"/>
          <w:lang w:val="zh-CN"/>
        </w:rPr>
        <w:t>一、收</w:t>
      </w:r>
      <w:r>
        <w:rPr>
          <w:rFonts w:hint="eastAsia" w:ascii="黑体" w:hAnsi="Times New Roman" w:eastAsia="黑体" w:cs="黑体"/>
          <w:kern w:val="2"/>
          <w:sz w:val="32"/>
          <w:szCs w:val="32"/>
          <w:lang w:val="zh-CN"/>
        </w:rPr>
        <w:t>入支出决算总体情况说明</w:t>
      </w:r>
    </w:p>
    <w:p>
      <w:pPr>
        <w:pBdr>
          <w:bottom w:val="single" w:color="FFFFFF" w:sz="8" w:space="31"/>
        </w:pBdr>
        <w:shd w:val="clear" w:color="auto" w:fill="FFFFFF"/>
        <w:adjustRightInd/>
        <w:snapToGrid/>
        <w:spacing w:after="0" w:line="576" w:lineRule="exact"/>
        <w:ind w:firstLine="640" w:firstLineChars="200"/>
        <w:jc w:val="both"/>
        <w:rPr>
          <w:rFonts w:ascii="仿宋_GB2312" w:hAnsi="Times New Roman" w:eastAsia="仿宋_GB2312" w:cs="仿宋_GB2312"/>
          <w:color w:val="000000" w:themeColor="text1"/>
          <w:kern w:val="2"/>
          <w:sz w:val="32"/>
          <w:szCs w:val="32"/>
          <w:highlight w:val="yellow"/>
          <w:lang w:val="zh-CN"/>
        </w:rPr>
      </w:pPr>
      <w:r>
        <w:rPr>
          <w:rFonts w:ascii="仿宋_GB2312" w:hAnsi="Times New Roman" w:eastAsia="仿宋_GB2312" w:cs="仿宋_GB2312"/>
          <w:color w:val="000000"/>
          <w:kern w:val="2"/>
          <w:sz w:val="32"/>
          <w:szCs w:val="32"/>
          <w:lang w:val="zh-CN"/>
        </w:rPr>
        <w:t>2023</w:t>
      </w:r>
      <w:r>
        <w:rPr>
          <w:rFonts w:hint="eastAsia" w:ascii="仿宋_GB2312" w:hAnsi="Times New Roman" w:eastAsia="仿宋_GB2312" w:cs="仿宋_GB2312"/>
          <w:color w:val="000000"/>
          <w:kern w:val="2"/>
          <w:sz w:val="32"/>
          <w:szCs w:val="32"/>
          <w:lang w:val="zh-CN"/>
        </w:rPr>
        <w:t>年度收、支总计均为1550.56万元。与</w:t>
      </w: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年度相比，收、支总计各增加156.63万元，增长11.2</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themeColor="text1"/>
          <w:kern w:val="2"/>
          <w:sz w:val="32"/>
          <w:szCs w:val="32"/>
          <w:lang w:val="zh-CN"/>
        </w:rPr>
        <w:t>主要变动原因是</w:t>
      </w:r>
      <w:r>
        <w:rPr>
          <w:rFonts w:hint="eastAsia" w:ascii="Times New Roman" w:hAnsi="Times New Roman" w:eastAsia="仿宋_GB2312" w:cs="Times New Roman"/>
          <w:color w:val="000000" w:themeColor="text1"/>
          <w:sz w:val="32"/>
          <w:szCs w:val="32"/>
          <w:shd w:val="clear" w:color="auto" w:fill="FFFFFF"/>
        </w:rPr>
        <w:t>烤烟产业发展良好，烟叶发展资金大幅增长及增加了人大阵地建设经费、临聘人员经费和园区建设经费等项目</w:t>
      </w:r>
      <w:r>
        <w:rPr>
          <w:rFonts w:hint="eastAsia" w:ascii="仿宋_GB2312" w:hAnsi="Times New Roman" w:eastAsia="仿宋_GB2312" w:cs="仿宋_GB2312"/>
          <w:color w:val="000000" w:themeColor="text1"/>
          <w:kern w:val="2"/>
          <w:sz w:val="32"/>
          <w:szCs w:val="32"/>
          <w:lang w:val="zh-CN"/>
        </w:rPr>
        <w:t>。</w:t>
      </w:r>
    </w:p>
    <w:p>
      <w:pPr>
        <w:pBdr>
          <w:bottom w:val="single" w:color="FFFFFF" w:sz="8" w:space="31"/>
        </w:pBdr>
        <w:shd w:val="clear" w:color="auto" w:fill="FFFFFF"/>
        <w:adjustRightInd/>
        <w:snapToGrid/>
        <w:spacing w:after="0" w:line="576" w:lineRule="exact"/>
        <w:jc w:val="center"/>
      </w:pPr>
      <w:r>
        <w:rPr>
          <w:rFonts w:hint="eastAsia" w:ascii="仿宋_GB2312" w:hAnsi="Times New Roman" w:eastAsia="仿宋_GB2312" w:cs="仿宋_GB2312"/>
          <w:color w:val="000000"/>
          <w:kern w:val="2"/>
          <w:sz w:val="32"/>
          <w:szCs w:val="32"/>
        </w:rPr>
        <w:drawing>
          <wp:anchor distT="0" distB="0" distL="114300" distR="114300" simplePos="0" relativeHeight="251659264" behindDoc="1" locked="0" layoutInCell="1" allowOverlap="1">
            <wp:simplePos x="0" y="0"/>
            <wp:positionH relativeFrom="column">
              <wp:posOffset>439420</wp:posOffset>
            </wp:positionH>
            <wp:positionV relativeFrom="paragraph">
              <wp:posOffset>332105</wp:posOffset>
            </wp:positionV>
            <wp:extent cx="5306695" cy="3636010"/>
            <wp:effectExtent l="19050" t="0" r="27305" b="254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Times New Roman" w:eastAsia="仿宋_GB2312" w:cs="仿宋_GB2312"/>
          <w:color w:val="000000"/>
          <w:kern w:val="2"/>
          <w:sz w:val="32"/>
          <w:szCs w:val="32"/>
          <w:lang w:val="zh-CN"/>
        </w:rPr>
        <w:t>图</w:t>
      </w:r>
      <w:r>
        <w:rPr>
          <w:rFonts w:ascii="仿宋_GB2312" w:hAnsi="Times New Roman" w:eastAsia="仿宋_GB2312" w:cs="仿宋_GB2312"/>
          <w:color w:val="000000"/>
          <w:kern w:val="2"/>
          <w:sz w:val="32"/>
          <w:szCs w:val="32"/>
          <w:lang w:val="zh-CN"/>
        </w:rPr>
        <w:t>1</w:t>
      </w:r>
      <w:r>
        <w:rPr>
          <w:rFonts w:hint="eastAsia" w:ascii="仿宋_GB2312" w:hAnsi="Times New Roman" w:eastAsia="仿宋_GB2312" w:cs="仿宋_GB2312"/>
          <w:color w:val="000000"/>
          <w:kern w:val="2"/>
          <w:sz w:val="32"/>
          <w:szCs w:val="32"/>
          <w:lang w:val="zh-CN"/>
        </w:rPr>
        <w:t>：</w:t>
      </w:r>
      <w:r>
        <w:rPr>
          <w:rFonts w:ascii="仿宋_GB2312" w:hAnsi="Times New Roman" w:eastAsia="仿宋_GB2312" w:cs="仿宋_GB2312"/>
          <w:color w:val="000000"/>
          <w:kern w:val="2"/>
          <w:sz w:val="32"/>
          <w:szCs w:val="32"/>
        </w:rPr>
        <w:t>收、支决算总计变动情况图</w:t>
      </w:r>
    </w:p>
    <w:p>
      <w:pPr>
        <w:pBdr>
          <w:bottom w:val="single" w:color="FFFFFF" w:sz="8" w:space="31"/>
        </w:pBdr>
        <w:shd w:val="clear" w:color="auto" w:fill="FFFFFF"/>
        <w:adjustRightInd/>
        <w:snapToGrid/>
        <w:spacing w:after="0" w:line="576" w:lineRule="exact"/>
        <w:ind w:firstLine="640" w:firstLineChars="200"/>
        <w:rPr>
          <w:rFonts w:ascii="黑体" w:hAnsi="Times New Roman" w:eastAsia="黑体" w:cs="黑体"/>
          <w:kern w:val="2"/>
          <w:sz w:val="32"/>
          <w:szCs w:val="32"/>
          <w:lang w:val="zh-CN"/>
        </w:rPr>
      </w:pPr>
      <w:r>
        <w:rPr>
          <w:rFonts w:hint="eastAsia" w:ascii="黑体" w:hAnsi="Times New Roman" w:eastAsia="黑体" w:cs="黑体"/>
          <w:color w:val="000000"/>
          <w:kern w:val="2"/>
          <w:sz w:val="32"/>
          <w:szCs w:val="32"/>
          <w:lang w:val="zh-CN"/>
        </w:rPr>
        <w:t>二、收</w:t>
      </w:r>
      <w:r>
        <w:rPr>
          <w:rFonts w:hint="eastAsia" w:ascii="黑体" w:hAnsi="Times New Roman" w:eastAsia="黑体" w:cs="黑体"/>
          <w:kern w:val="2"/>
          <w:sz w:val="32"/>
          <w:szCs w:val="32"/>
          <w:lang w:val="zh-CN"/>
        </w:rPr>
        <w:t>入决算情况说明</w:t>
      </w:r>
    </w:p>
    <w:p>
      <w:pPr>
        <w:pBdr>
          <w:bottom w:val="single" w:color="FFFFFF" w:sz="8" w:space="31"/>
        </w:pBdr>
        <w:shd w:val="clear" w:color="auto" w:fill="FFFFFF"/>
        <w:adjustRightInd/>
        <w:snapToGrid/>
        <w:spacing w:after="0" w:line="576" w:lineRule="exact"/>
        <w:ind w:firstLine="640" w:firstLineChars="200"/>
      </w:pPr>
      <w:r>
        <w:rPr>
          <w:rFonts w:ascii="仿宋_GB2312" w:hAnsi="Times New Roman" w:eastAsia="仿宋_GB2312" w:cs="仿宋_GB2312"/>
          <w:color w:val="000000"/>
          <w:kern w:val="2"/>
          <w:sz w:val="32"/>
          <w:szCs w:val="32"/>
        </w:rPr>
        <w:drawing>
          <wp:anchor distT="0" distB="0" distL="114300" distR="114300" simplePos="0" relativeHeight="251660288" behindDoc="0" locked="0" layoutInCell="1" allowOverlap="1">
            <wp:simplePos x="0" y="0"/>
            <wp:positionH relativeFrom="column">
              <wp:posOffset>496570</wp:posOffset>
            </wp:positionH>
            <wp:positionV relativeFrom="paragraph">
              <wp:posOffset>807085</wp:posOffset>
            </wp:positionV>
            <wp:extent cx="5227320" cy="2966085"/>
            <wp:effectExtent l="19050" t="0" r="11430" b="5715"/>
            <wp:wrapTopAndBottom/>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_GB2312" w:hAnsi="Times New Roman" w:eastAsia="仿宋_GB2312" w:cs="仿宋_GB2312"/>
          <w:color w:val="000000"/>
          <w:kern w:val="2"/>
          <w:sz w:val="32"/>
          <w:szCs w:val="32"/>
          <w:lang w:val="zh-CN"/>
        </w:rPr>
        <w:t>2023</w:t>
      </w:r>
      <w:r>
        <w:rPr>
          <w:rFonts w:hint="eastAsia" w:ascii="仿宋_GB2312" w:hAnsi="Times New Roman" w:eastAsia="仿宋_GB2312" w:cs="仿宋_GB2312"/>
          <w:color w:val="000000"/>
          <w:kern w:val="2"/>
          <w:sz w:val="32"/>
          <w:szCs w:val="32"/>
          <w:lang w:val="zh-CN"/>
        </w:rPr>
        <w:t>年本年收入合计1550.56万元，其中：一般公共预算财政拨款收入1550.56万元，占100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pBdr>
          <w:bottom w:val="single" w:color="FFFFFF" w:sz="8" w:space="31"/>
        </w:pBdr>
        <w:shd w:val="clear" w:color="auto" w:fill="FFFFFF"/>
        <w:adjustRightInd/>
        <w:snapToGrid/>
        <w:spacing w:after="0" w:line="576" w:lineRule="exact"/>
        <w:ind w:firstLine="640" w:firstLineChars="200"/>
        <w:jc w:val="center"/>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图</w:t>
      </w:r>
      <w:r>
        <w:rPr>
          <w:rFonts w:ascii="仿宋_GB2312" w:hAnsi="Times New Roman" w:eastAsia="仿宋_GB2312" w:cs="仿宋_GB2312"/>
          <w:color w:val="000000"/>
          <w:kern w:val="2"/>
          <w:sz w:val="32"/>
          <w:szCs w:val="32"/>
          <w:lang w:val="zh-CN"/>
        </w:rPr>
        <w:t>2</w:t>
      </w:r>
      <w:r>
        <w:rPr>
          <w:rFonts w:hint="eastAsia" w:ascii="仿宋_GB2312" w:hAnsi="Times New Roman" w:eastAsia="仿宋_GB2312" w:cs="仿宋_GB2312"/>
          <w:color w:val="000000"/>
          <w:kern w:val="2"/>
          <w:sz w:val="32"/>
          <w:szCs w:val="32"/>
          <w:lang w:val="zh-CN"/>
        </w:rPr>
        <w:t>：收入决算结构图</w:t>
      </w:r>
    </w:p>
    <w:p>
      <w:pPr>
        <w:widowControl w:val="0"/>
        <w:autoSpaceDE w:val="0"/>
        <w:autoSpaceDN w:val="0"/>
        <w:snapToGrid/>
        <w:spacing w:after="0" w:line="576" w:lineRule="exact"/>
        <w:ind w:firstLine="640" w:firstLineChars="200"/>
        <w:jc w:val="both"/>
        <w:rPr>
          <w:rFonts w:ascii="黑体" w:hAnsi="Times New Roman" w:eastAsia="黑体" w:cs="黑体"/>
          <w:kern w:val="2"/>
          <w:sz w:val="32"/>
          <w:szCs w:val="32"/>
          <w:lang w:val="zh-CN"/>
        </w:rPr>
      </w:pPr>
      <w:r>
        <w:rPr>
          <w:rFonts w:hint="eastAsia" w:ascii="黑体" w:hAnsi="Times New Roman" w:eastAsia="黑体" w:cs="黑体"/>
          <w:color w:val="000000"/>
          <w:kern w:val="2"/>
          <w:sz w:val="32"/>
          <w:szCs w:val="32"/>
          <w:lang w:val="zh-CN"/>
        </w:rPr>
        <w:t>三、支</w:t>
      </w:r>
      <w:r>
        <w:rPr>
          <w:rFonts w:hint="eastAsia" w:ascii="黑体" w:hAnsi="Times New Roman" w:eastAsia="黑体" w:cs="黑体"/>
          <w:kern w:val="2"/>
          <w:sz w:val="32"/>
          <w:szCs w:val="32"/>
          <w:lang w:val="zh-CN"/>
        </w:rPr>
        <w:t>出决算情况说明</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ascii="仿宋_GB2312" w:hAnsi="Times New Roman" w:eastAsia="仿宋_GB2312" w:cs="仿宋_GB2312"/>
          <w:color w:val="000000"/>
          <w:kern w:val="2"/>
          <w:sz w:val="32"/>
          <w:szCs w:val="32"/>
          <w:lang w:val="zh-CN"/>
        </w:rPr>
        <w:t>2023</w:t>
      </w:r>
      <w:r>
        <w:rPr>
          <w:rFonts w:hint="eastAsia" w:ascii="仿宋_GB2312" w:hAnsi="Times New Roman" w:eastAsia="仿宋_GB2312" w:cs="仿宋_GB2312"/>
          <w:color w:val="000000"/>
          <w:kern w:val="2"/>
          <w:sz w:val="32"/>
          <w:szCs w:val="32"/>
          <w:lang w:val="zh-CN"/>
        </w:rPr>
        <w:t>年本年支出合计1550.56万元，其中：基本支出1392.05万元，占89.8</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；项目支出158.51万元，占10.2</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0" w:firstLineChars="200"/>
        <w:jc w:val="center"/>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rPr>
        <w:drawing>
          <wp:anchor distT="0" distB="0" distL="114300" distR="114300" simplePos="0" relativeHeight="251661312" behindDoc="0" locked="0" layoutInCell="1" allowOverlap="1">
            <wp:simplePos x="0" y="0"/>
            <wp:positionH relativeFrom="column">
              <wp:posOffset>496570</wp:posOffset>
            </wp:positionH>
            <wp:positionV relativeFrom="paragraph">
              <wp:posOffset>191770</wp:posOffset>
            </wp:positionV>
            <wp:extent cx="5181600" cy="2361565"/>
            <wp:effectExtent l="5080" t="4445" r="13970" b="15240"/>
            <wp:wrapTopAndBottom/>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Times New Roman" w:eastAsia="仿宋_GB2312" w:cs="仿宋_GB2312"/>
          <w:color w:val="000000"/>
          <w:kern w:val="2"/>
          <w:sz w:val="32"/>
          <w:szCs w:val="32"/>
          <w:lang w:val="zh-CN"/>
        </w:rPr>
        <w:t>图3：支出决算结构图</w:t>
      </w:r>
    </w:p>
    <w:p>
      <w:pPr>
        <w:widowControl w:val="0"/>
        <w:autoSpaceDE w:val="0"/>
        <w:autoSpaceDN w:val="0"/>
        <w:snapToGrid/>
        <w:spacing w:after="0" w:line="576" w:lineRule="exact"/>
        <w:ind w:firstLine="640" w:firstLineChars="200"/>
        <w:jc w:val="both"/>
        <w:rPr>
          <w:rFonts w:ascii="黑体" w:hAnsi="Times New Roman" w:eastAsia="黑体" w:cs="黑体"/>
          <w:kern w:val="2"/>
          <w:sz w:val="32"/>
          <w:szCs w:val="32"/>
          <w:lang w:val="zh-CN"/>
        </w:rPr>
      </w:pPr>
      <w:r>
        <w:rPr>
          <w:rFonts w:hint="eastAsia" w:ascii="黑体" w:hAnsi="Times New Roman" w:eastAsia="黑体" w:cs="黑体"/>
          <w:color w:val="000000"/>
          <w:kern w:val="2"/>
          <w:sz w:val="32"/>
          <w:szCs w:val="32"/>
          <w:lang w:val="zh-CN"/>
        </w:rPr>
        <w:t>四、财</w:t>
      </w:r>
      <w:r>
        <w:rPr>
          <w:rFonts w:hint="eastAsia" w:ascii="黑体" w:hAnsi="Times New Roman" w:eastAsia="黑体" w:cs="黑体"/>
          <w:kern w:val="2"/>
          <w:sz w:val="32"/>
          <w:szCs w:val="32"/>
          <w:lang w:val="zh-CN"/>
        </w:rPr>
        <w:t>政拨款收入支出决算总体情况说明</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themeColor="text1"/>
          <w:kern w:val="2"/>
          <w:sz w:val="32"/>
          <w:szCs w:val="32"/>
          <w:lang w:val="zh-CN"/>
        </w:rPr>
      </w:pPr>
      <w:r>
        <w:rPr>
          <w:rFonts w:ascii="仿宋_GB2312" w:hAnsi="Times New Roman" w:eastAsia="仿宋_GB2312" w:cs="仿宋_GB2312"/>
          <w:color w:val="000000"/>
          <w:kern w:val="2"/>
          <w:sz w:val="32"/>
          <w:szCs w:val="32"/>
          <w:lang w:val="zh-CN"/>
        </w:rPr>
        <w:t>2023</w:t>
      </w:r>
      <w:r>
        <w:rPr>
          <w:rFonts w:hint="eastAsia" w:ascii="仿宋_GB2312" w:hAnsi="Times New Roman" w:eastAsia="仿宋_GB2312" w:cs="仿宋_GB2312"/>
          <w:color w:val="000000"/>
          <w:kern w:val="2"/>
          <w:sz w:val="32"/>
          <w:szCs w:val="32"/>
          <w:lang w:val="zh-CN"/>
        </w:rPr>
        <w:t>年度财政拨款收、支总计均为1550.56万元。与</w:t>
      </w: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年度相比，财政拨款收、支总计各增加156.63万元，增长11.2</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themeColor="text1"/>
          <w:kern w:val="2"/>
          <w:sz w:val="32"/>
          <w:szCs w:val="32"/>
          <w:lang w:val="zh-CN"/>
        </w:rPr>
        <w:t>主要变动原因是</w:t>
      </w:r>
      <w:r>
        <w:rPr>
          <w:rFonts w:hint="eastAsia" w:ascii="Times New Roman" w:hAnsi="Times New Roman" w:eastAsia="仿宋_GB2312" w:cs="Times New Roman"/>
          <w:color w:val="000000" w:themeColor="text1"/>
          <w:sz w:val="32"/>
          <w:szCs w:val="32"/>
          <w:shd w:val="clear" w:color="auto" w:fill="FFFFFF"/>
        </w:rPr>
        <w:t>烤烟产业发展良好，烟叶发展资金大幅增长及增加了人大阵地建设经费、临聘人员经费和园区建设经费等项目</w:t>
      </w:r>
      <w:r>
        <w:rPr>
          <w:rFonts w:hint="eastAsia" w:ascii="仿宋_GB2312" w:hAnsi="Times New Roman" w:eastAsia="仿宋_GB2312" w:cs="仿宋_GB2312"/>
          <w:color w:val="000000" w:themeColor="text1"/>
          <w:kern w:val="2"/>
          <w:sz w:val="32"/>
          <w:szCs w:val="32"/>
          <w:lang w:val="zh-CN"/>
        </w:rPr>
        <w:t>。</w:t>
      </w:r>
    </w:p>
    <w:p>
      <w:pPr>
        <w:widowControl w:val="0"/>
        <w:autoSpaceDE w:val="0"/>
        <w:autoSpaceDN w:val="0"/>
        <w:snapToGrid/>
        <w:spacing w:after="0" w:line="576" w:lineRule="exact"/>
        <w:jc w:val="both"/>
        <w:rPr>
          <w:rFonts w:ascii="仿宋_GB2312" w:hAnsi="Times New Roman" w:eastAsia="仿宋_GB2312" w:cs="仿宋_GB2312"/>
          <w:bCs/>
          <w:color w:val="000000"/>
          <w:kern w:val="2"/>
          <w:sz w:val="32"/>
          <w:szCs w:val="32"/>
          <w:lang w:val="zh-CN"/>
        </w:rPr>
      </w:pPr>
      <w:r>
        <w:rPr>
          <w:rFonts w:hint="eastAsia" w:ascii="仿宋_GB2312" w:hAnsi="Times New Roman" w:eastAsia="仿宋_GB2312" w:cs="仿宋_GB2312"/>
          <w:bCs/>
          <w:color w:val="000000"/>
          <w:kern w:val="2"/>
          <w:sz w:val="32"/>
          <w:szCs w:val="32"/>
        </w:rPr>
        <w:drawing>
          <wp:anchor distT="0" distB="0" distL="114300" distR="114300" simplePos="0" relativeHeight="251662336" behindDoc="0" locked="0" layoutInCell="1" allowOverlap="1">
            <wp:simplePos x="0" y="0"/>
            <wp:positionH relativeFrom="column">
              <wp:posOffset>371475</wp:posOffset>
            </wp:positionH>
            <wp:positionV relativeFrom="paragraph">
              <wp:posOffset>370840</wp:posOffset>
            </wp:positionV>
            <wp:extent cx="5013960" cy="1865630"/>
            <wp:effectExtent l="5080" t="4445" r="10160" b="15875"/>
            <wp:wrapTopAndBottom/>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val="0"/>
        <w:autoSpaceDE w:val="0"/>
        <w:autoSpaceDN w:val="0"/>
        <w:snapToGrid/>
        <w:spacing w:after="0" w:line="576" w:lineRule="exact"/>
        <w:ind w:firstLine="640" w:firstLineChars="200"/>
        <w:jc w:val="center"/>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图</w:t>
      </w:r>
      <w:r>
        <w:rPr>
          <w:rFonts w:ascii="仿宋_GB2312" w:hAnsi="Times New Roman" w:eastAsia="仿宋_GB2312" w:cs="仿宋_GB2312"/>
          <w:color w:val="000000"/>
          <w:kern w:val="2"/>
          <w:sz w:val="32"/>
          <w:szCs w:val="32"/>
          <w:lang w:val="zh-CN"/>
        </w:rPr>
        <w:t>4</w:t>
      </w:r>
      <w:r>
        <w:rPr>
          <w:rFonts w:hint="eastAsia" w:ascii="仿宋_GB2312" w:hAnsi="Times New Roman" w:eastAsia="仿宋_GB2312" w:cs="仿宋_GB2312"/>
          <w:color w:val="000000"/>
          <w:kern w:val="2"/>
          <w:sz w:val="32"/>
          <w:szCs w:val="32"/>
          <w:lang w:val="zh-CN"/>
        </w:rPr>
        <w:t>：财政拨款收、支决算总计变动情况</w:t>
      </w:r>
    </w:p>
    <w:p>
      <w:pPr>
        <w:widowControl w:val="0"/>
        <w:autoSpaceDE w:val="0"/>
        <w:autoSpaceDN w:val="0"/>
        <w:snapToGrid/>
        <w:spacing w:after="0" w:line="576" w:lineRule="exact"/>
        <w:ind w:firstLine="640" w:firstLineChars="200"/>
        <w:jc w:val="both"/>
        <w:rPr>
          <w:rFonts w:ascii="黑体" w:hAnsi="Times New Roman" w:eastAsia="黑体" w:cs="黑体"/>
          <w:kern w:val="2"/>
          <w:sz w:val="32"/>
          <w:szCs w:val="32"/>
          <w:lang w:val="zh-CN"/>
        </w:rPr>
      </w:pPr>
      <w:r>
        <w:rPr>
          <w:rFonts w:hint="eastAsia" w:ascii="黑体" w:hAnsi="Times New Roman" w:eastAsia="黑体" w:cs="黑体"/>
          <w:color w:val="000000"/>
          <w:kern w:val="2"/>
          <w:sz w:val="32"/>
          <w:szCs w:val="32"/>
          <w:lang w:val="zh-CN"/>
        </w:rPr>
        <w:t>五、</w:t>
      </w:r>
      <w:r>
        <w:rPr>
          <w:rFonts w:hint="eastAsia" w:ascii="黑体" w:hAnsi="Times New Roman" w:eastAsia="黑体" w:cs="黑体"/>
          <w:b/>
          <w:bCs/>
          <w:color w:val="000000"/>
          <w:kern w:val="2"/>
          <w:sz w:val="32"/>
          <w:szCs w:val="32"/>
          <w:lang w:val="zh-CN"/>
        </w:rPr>
        <w:t>一</w:t>
      </w:r>
      <w:r>
        <w:rPr>
          <w:rFonts w:hint="eastAsia" w:ascii="黑体" w:hAnsi="Times New Roman" w:eastAsia="黑体" w:cs="黑体"/>
          <w:kern w:val="2"/>
          <w:sz w:val="32"/>
          <w:szCs w:val="32"/>
          <w:lang w:val="zh-CN"/>
        </w:rPr>
        <w:t>般公共预算财政拨款支出决算情况说明</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（一）一般公共预算财政拨款支出决算总体情况</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themeColor="text1"/>
          <w:kern w:val="2"/>
          <w:sz w:val="32"/>
          <w:szCs w:val="32"/>
          <w:lang w:val="zh-CN"/>
        </w:rPr>
      </w:pPr>
      <w:r>
        <w:rPr>
          <w:rFonts w:ascii="仿宋_GB2312" w:hAnsi="Times New Roman" w:eastAsia="仿宋_GB2312" w:cs="仿宋_GB2312"/>
          <w:color w:val="000000"/>
          <w:kern w:val="2"/>
          <w:sz w:val="32"/>
          <w:szCs w:val="32"/>
        </w:rPr>
        <w:drawing>
          <wp:anchor distT="0" distB="0" distL="114300" distR="114300" simplePos="0" relativeHeight="251663360" behindDoc="0" locked="0" layoutInCell="1" allowOverlap="1">
            <wp:simplePos x="0" y="0"/>
            <wp:positionH relativeFrom="column">
              <wp:posOffset>349885</wp:posOffset>
            </wp:positionH>
            <wp:positionV relativeFrom="paragraph">
              <wp:posOffset>2046605</wp:posOffset>
            </wp:positionV>
            <wp:extent cx="5287645" cy="2009140"/>
            <wp:effectExtent l="19050" t="0" r="27305" b="0"/>
            <wp:wrapTopAndBottom/>
            <wp:docPr id="1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hAnsi="Times New Roman" w:eastAsia="仿宋_GB2312" w:cs="仿宋_GB2312"/>
          <w:color w:val="000000"/>
          <w:kern w:val="2"/>
          <w:sz w:val="32"/>
          <w:szCs w:val="32"/>
          <w:lang w:val="zh-CN"/>
        </w:rPr>
        <w:t>2023</w:t>
      </w:r>
      <w:r>
        <w:rPr>
          <w:rFonts w:hint="eastAsia" w:ascii="仿宋_GB2312" w:hAnsi="Times New Roman" w:eastAsia="仿宋_GB2312" w:cs="仿宋_GB2312"/>
          <w:color w:val="000000"/>
          <w:kern w:val="2"/>
          <w:sz w:val="32"/>
          <w:szCs w:val="32"/>
          <w:lang w:val="zh-CN"/>
        </w:rPr>
        <w:t>年度一般公共预算财政拨款支出1550.56万元，占本年支出合计的100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。与</w:t>
      </w: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年度相比，一般公共预算财政拨款支出增加156.63万元，增长11.2</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themeColor="text1"/>
          <w:kern w:val="2"/>
          <w:sz w:val="32"/>
          <w:szCs w:val="32"/>
          <w:lang w:val="zh-CN"/>
        </w:rPr>
        <w:t>主要变动原因是是</w:t>
      </w:r>
      <w:r>
        <w:rPr>
          <w:rFonts w:hint="eastAsia" w:ascii="Times New Roman" w:hAnsi="Times New Roman" w:eastAsia="仿宋_GB2312" w:cs="Times New Roman"/>
          <w:color w:val="000000" w:themeColor="text1"/>
          <w:sz w:val="32"/>
          <w:szCs w:val="32"/>
          <w:shd w:val="clear" w:color="auto" w:fill="FFFFFF"/>
        </w:rPr>
        <w:t>烤烟产业发展良好，烟叶发展资金大幅增长及增加了人大阵地建设经费、临聘人员经费和园区建设经费等项目</w:t>
      </w:r>
      <w:r>
        <w:rPr>
          <w:rFonts w:hint="eastAsia" w:ascii="仿宋_GB2312" w:hAnsi="Times New Roman" w:eastAsia="仿宋_GB2312" w:cs="仿宋_GB2312"/>
          <w:color w:val="000000" w:themeColor="text1"/>
          <w:kern w:val="2"/>
          <w:sz w:val="32"/>
          <w:szCs w:val="32"/>
          <w:lang w:val="zh-CN"/>
        </w:rPr>
        <w:t>。</w:t>
      </w:r>
    </w:p>
    <w:p>
      <w:pPr>
        <w:widowControl w:val="0"/>
        <w:autoSpaceDE w:val="0"/>
        <w:autoSpaceDN w:val="0"/>
        <w:snapToGrid/>
        <w:spacing w:after="0" w:line="576" w:lineRule="exact"/>
        <w:ind w:firstLine="640" w:firstLineChars="200"/>
        <w:jc w:val="center"/>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图</w:t>
      </w:r>
      <w:r>
        <w:rPr>
          <w:rFonts w:ascii="仿宋_GB2312" w:hAnsi="Times New Roman" w:eastAsia="仿宋_GB2312" w:cs="仿宋_GB2312"/>
          <w:color w:val="000000"/>
          <w:kern w:val="2"/>
          <w:sz w:val="32"/>
          <w:szCs w:val="32"/>
          <w:lang w:val="zh-CN"/>
        </w:rPr>
        <w:t>5</w:t>
      </w:r>
      <w:r>
        <w:rPr>
          <w:rFonts w:hint="eastAsia" w:ascii="仿宋_GB2312" w:hAnsi="Times New Roman" w:eastAsia="仿宋_GB2312" w:cs="仿宋_GB2312"/>
          <w:color w:val="000000"/>
          <w:kern w:val="2"/>
          <w:sz w:val="32"/>
          <w:szCs w:val="32"/>
          <w:lang w:val="zh-CN"/>
        </w:rPr>
        <w:t>：一般公共预算财政拨款支出决算变动情况</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（二）一般公共预算财政拨款支出决算结构情况</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ascii="仿宋_GB2312" w:hAnsi="Times New Roman" w:eastAsia="仿宋_GB2312" w:cs="仿宋_GB2312"/>
          <w:color w:val="000000"/>
          <w:kern w:val="2"/>
          <w:sz w:val="32"/>
          <w:szCs w:val="32"/>
          <w:lang w:val="zh-CN"/>
        </w:rPr>
        <w:t>2023</w:t>
      </w:r>
      <w:r>
        <w:rPr>
          <w:rFonts w:hint="eastAsia" w:ascii="仿宋_GB2312" w:hAnsi="Times New Roman" w:eastAsia="仿宋_GB2312" w:cs="仿宋_GB2312"/>
          <w:color w:val="000000"/>
          <w:kern w:val="2"/>
          <w:sz w:val="32"/>
          <w:szCs w:val="32"/>
          <w:lang w:val="zh-CN"/>
        </w:rPr>
        <w:t>年度一般公共预算财政拨款支出1550.56万元，主要用于以下方面</w:t>
      </w:r>
      <w:r>
        <w:rPr>
          <w:rFonts w:ascii="仿宋_GB2312" w:hAnsi="Times New Roman" w:eastAsia="仿宋_GB2312" w:cs="仿宋_GB2312"/>
          <w:color w:val="000000"/>
          <w:kern w:val="2"/>
          <w:sz w:val="32"/>
          <w:szCs w:val="32"/>
          <w:lang w:val="zh-CN"/>
        </w:rPr>
        <w:t xml:space="preserve">: </w:t>
      </w:r>
      <w:r>
        <w:rPr>
          <w:rFonts w:hint="eastAsia" w:ascii="仿宋_GB2312" w:hAnsi="Times New Roman" w:eastAsia="仿宋_GB2312" w:cs="仿宋_GB2312"/>
          <w:color w:val="000000"/>
          <w:kern w:val="2"/>
          <w:sz w:val="32"/>
          <w:szCs w:val="32"/>
          <w:lang w:val="zh-CN"/>
        </w:rPr>
        <w:t>一般公共服务支出822.65万元，占53.1</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；社会保障和就业支出119.42万元，占7.7</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；卫生健康支出29.85万元，占1.9</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；城乡社区支出11万元，占0.7</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；农林水支出509.33万元，占32.8</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；住房保障支出58.3万元，占3.8</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0" w:firstLineChars="200"/>
        <w:jc w:val="center"/>
        <w:rPr>
          <w:rFonts w:ascii="仿宋_GB2312" w:hAnsi="Times New Roman" w:eastAsia="仿宋_GB2312" w:cs="仿宋_GB2312"/>
          <w:i/>
          <w:iCs/>
          <w:color w:val="000000"/>
          <w:kern w:val="2"/>
          <w:sz w:val="32"/>
          <w:szCs w:val="32"/>
          <w:lang w:val="zh-CN"/>
        </w:rPr>
      </w:pPr>
      <w:r>
        <w:rPr>
          <w:rFonts w:hint="eastAsia" w:ascii="仿宋_GB2312" w:hAnsi="Times New Roman" w:eastAsia="仿宋_GB2312" w:cs="仿宋_GB2312"/>
          <w:color w:val="000000"/>
          <w:kern w:val="2"/>
          <w:sz w:val="32"/>
          <w:szCs w:val="32"/>
        </w:rPr>
        <w:drawing>
          <wp:anchor distT="0" distB="0" distL="114300" distR="114300" simplePos="0" relativeHeight="251664384" behindDoc="0" locked="0" layoutInCell="1" allowOverlap="1">
            <wp:simplePos x="0" y="0"/>
            <wp:positionH relativeFrom="column">
              <wp:posOffset>414020</wp:posOffset>
            </wp:positionH>
            <wp:positionV relativeFrom="paragraph">
              <wp:posOffset>273685</wp:posOffset>
            </wp:positionV>
            <wp:extent cx="5227320" cy="2243455"/>
            <wp:effectExtent l="19050" t="0" r="11430" b="4445"/>
            <wp:wrapTopAndBottom/>
            <wp:docPr id="1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Times New Roman" w:eastAsia="仿宋_GB2312" w:cs="仿宋_GB2312"/>
          <w:color w:val="000000"/>
          <w:kern w:val="2"/>
          <w:sz w:val="32"/>
          <w:szCs w:val="32"/>
          <w:lang w:val="zh-CN"/>
        </w:rPr>
        <w:t>图</w:t>
      </w:r>
      <w:r>
        <w:rPr>
          <w:rFonts w:ascii="仿宋_GB2312" w:hAnsi="Times New Roman" w:eastAsia="仿宋_GB2312" w:cs="仿宋_GB2312"/>
          <w:color w:val="000000"/>
          <w:kern w:val="2"/>
          <w:sz w:val="32"/>
          <w:szCs w:val="32"/>
          <w:lang w:val="zh-CN"/>
        </w:rPr>
        <w:t>6</w:t>
      </w:r>
      <w:r>
        <w:rPr>
          <w:rFonts w:hint="eastAsia" w:ascii="仿宋_GB2312" w:hAnsi="Times New Roman" w:eastAsia="仿宋_GB2312" w:cs="仿宋_GB2312"/>
          <w:color w:val="000000"/>
          <w:kern w:val="2"/>
          <w:sz w:val="32"/>
          <w:szCs w:val="32"/>
          <w:lang w:val="zh-CN"/>
        </w:rPr>
        <w:t>：一般公共预算财政拨款支出决算结构</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（三）一般公共预算财政拨款支出决算具体情况</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ascii="仿宋_GB2312" w:hAnsi="Times New Roman" w:eastAsia="仿宋_GB2312" w:cs="仿宋_GB2312"/>
          <w:b/>
          <w:bCs/>
          <w:color w:val="000000"/>
          <w:kern w:val="2"/>
          <w:sz w:val="32"/>
          <w:szCs w:val="32"/>
          <w:lang w:val="zh-CN"/>
        </w:rPr>
        <w:t>2023</w:t>
      </w:r>
      <w:r>
        <w:rPr>
          <w:rFonts w:hint="eastAsia" w:ascii="仿宋_GB2312" w:hAnsi="Times New Roman" w:eastAsia="仿宋_GB2312" w:cs="仿宋_GB2312"/>
          <w:b/>
          <w:bCs/>
          <w:color w:val="000000"/>
          <w:kern w:val="2"/>
          <w:sz w:val="32"/>
          <w:szCs w:val="32"/>
          <w:lang w:val="zh-CN"/>
        </w:rPr>
        <w:t>年度一般公共预算支出全年预算数为1550.56万元，支出决算数为1550.56万元</w:t>
      </w:r>
      <w:r>
        <w:rPr>
          <w:rFonts w:hint="eastAsia" w:ascii="仿宋_GB2312" w:hAnsi="Times New Roman" w:eastAsia="仿宋_GB2312" w:cs="仿宋_GB2312"/>
          <w:color w:val="000000"/>
          <w:kern w:val="2"/>
          <w:sz w:val="32"/>
          <w:szCs w:val="32"/>
          <w:lang w:val="zh-CN"/>
        </w:rPr>
        <w:t>，</w:t>
      </w:r>
      <w:r>
        <w:rPr>
          <w:rFonts w:hint="eastAsia" w:ascii="仿宋_GB2312" w:hAnsi="Times New Roman" w:eastAsia="仿宋_GB2312" w:cs="仿宋_GB2312"/>
          <w:b/>
          <w:bCs/>
          <w:color w:val="000000"/>
          <w:kern w:val="2"/>
          <w:sz w:val="32"/>
          <w:szCs w:val="32"/>
          <w:lang w:val="zh-CN"/>
        </w:rPr>
        <w:t>完成全年预算数的100</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。其中：</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ascii="仿宋_GB2312" w:hAnsi="Times New Roman" w:eastAsia="仿宋_GB2312" w:cs="仿宋_GB2312"/>
          <w:b/>
          <w:bCs/>
          <w:color w:val="000000"/>
          <w:kern w:val="2"/>
          <w:sz w:val="32"/>
          <w:szCs w:val="32"/>
          <w:lang w:val="zh-CN"/>
        </w:rPr>
        <w:t>1.</w:t>
      </w:r>
      <w:r>
        <w:rPr>
          <w:rFonts w:hint="eastAsia" w:ascii="仿宋_GB2312" w:hAnsi="Times New Roman" w:eastAsia="仿宋_GB2312" w:cs="仿宋_GB2312"/>
          <w:b/>
          <w:bCs/>
          <w:color w:val="000000"/>
          <w:kern w:val="2"/>
          <w:sz w:val="32"/>
          <w:szCs w:val="32"/>
          <w:lang w:val="zh-CN"/>
        </w:rPr>
        <w:t>一般公共服务支出（类）人大事务（款）代表工作（项）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全年预算为1.56万元，支出决算为1.56万元，完成全年预算的100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b/>
          <w:bCs/>
          <w:color w:val="000000"/>
          <w:kern w:val="2"/>
          <w:sz w:val="32"/>
          <w:szCs w:val="32"/>
          <w:lang w:val="zh-CN"/>
        </w:rPr>
        <w:t>2</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一般公共服务支出（类）人大事务（款）其他人大事务支出（项）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全年预算为5万元，支出决算为5万元，完成全年预算的100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3</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一般公共服务支出（类）政府办公厅（室）及相关机构事务（款）行政运行（项）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全年预算为758.99万元，支出决算为758.99万元，完成全年预算的100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b/>
          <w:bCs/>
          <w:color w:val="000000"/>
          <w:kern w:val="2"/>
          <w:sz w:val="32"/>
          <w:szCs w:val="32"/>
          <w:lang w:val="zh-CN"/>
        </w:rPr>
        <w:t>4</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一般公共服务支出（类）政府办公厅（室）及相关机构事务（款）事业运行（项）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全年预算为57.1万元，支出决算为57.1万元，完成全年预算的100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5</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社会保障和就业支出（类）行政事业单位养老支出（款）行政单位离退休（项）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全年预算为44万元，支出决算为44万元，完成全年预算的100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6</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 xml:space="preserve"> 社会保障和就业支出（类）行政事业单位养老支出（款）机关事业单位基本养老保险缴费支出（项）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全年预算为75.42万元，支出决算为75.42万元，完成全年预算的100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b/>
          <w:bCs/>
          <w:color w:val="000000"/>
          <w:kern w:val="2"/>
          <w:sz w:val="32"/>
          <w:szCs w:val="32"/>
          <w:lang w:val="zh-CN"/>
        </w:rPr>
        <w:t>7</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卫生健康支出（类）行政事业单位医疗（款）行政单位医疗（项）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全年预算为29.85万元，支出决算为29.85万元，完成全年预算的100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8</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城乡社区支出（类）城乡社区管理事务（款）行政运行（项）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全年预算为11万元，支出决算为11万元，完成全年预算的100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9</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农林水支出（类）农业农村（款）行政运行（项）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全年预算为18.71万元，支出决算为18.71万元，完成全年预算的100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10</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农林水支出（类）农业农村（款）防灾救灾（项）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全年预算为9万元，支出决算为9万元，完成全年预算的100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11</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农林水支出（类）巩固脱贫攻坚成果衔接乡村振兴（款）其他巩固脱贫攻坚成果衔接乡村振兴支出（项）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全年预算为77.51万元，支出决算为77.51万元，完成全年预算的100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12</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农林水支出（类）农村综合改革（款）对村民委员会和村党支部的补助（项）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全年预算为404.11万元，支出决算为404.11万元，完成全年预算的100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13</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住房保障支出（类）住房改革支出（款）住房公积金（项）</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color w:val="000000"/>
          <w:kern w:val="2"/>
          <w:sz w:val="32"/>
          <w:szCs w:val="32"/>
          <w:lang w:val="zh-CN"/>
        </w:rPr>
        <w:t>全年预算为58.3万元，支出决算为58.3万元，完成全年预算的100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w:t>
      </w:r>
    </w:p>
    <w:p>
      <w:pPr>
        <w:widowControl w:val="0"/>
        <w:tabs>
          <w:tab w:val="right" w:pos="8306"/>
        </w:tabs>
        <w:autoSpaceDE w:val="0"/>
        <w:autoSpaceDN w:val="0"/>
        <w:snapToGrid/>
        <w:spacing w:after="0" w:line="576" w:lineRule="exact"/>
        <w:ind w:firstLine="640" w:firstLineChars="200"/>
        <w:jc w:val="both"/>
        <w:rPr>
          <w:rFonts w:ascii="Cambria" w:hAnsi="Cambria" w:eastAsia="黑体" w:cs="Cambria"/>
          <w:b/>
          <w:bCs/>
          <w:kern w:val="2"/>
          <w:sz w:val="32"/>
          <w:szCs w:val="32"/>
        </w:rPr>
      </w:pPr>
      <w:r>
        <w:rPr>
          <w:rFonts w:hint="eastAsia" w:ascii="黑体" w:hAnsi="Times New Roman" w:eastAsia="黑体" w:cs="黑体"/>
          <w:color w:val="000000"/>
          <w:kern w:val="2"/>
          <w:sz w:val="32"/>
          <w:szCs w:val="32"/>
          <w:lang w:val="zh-CN"/>
        </w:rPr>
        <w:t>六</w:t>
      </w:r>
      <w:r>
        <w:rPr>
          <w:rFonts w:hint="eastAsia" w:ascii="黑体" w:hAnsi="Times New Roman" w:eastAsia="黑体" w:cs="黑体"/>
          <w:b/>
          <w:bCs/>
          <w:color w:val="000000"/>
          <w:kern w:val="2"/>
          <w:sz w:val="32"/>
          <w:szCs w:val="32"/>
          <w:lang w:val="zh-CN"/>
        </w:rPr>
        <w:t>、一</w:t>
      </w:r>
      <w:r>
        <w:rPr>
          <w:rFonts w:hint="eastAsia" w:ascii="黑体" w:hAnsi="Times New Roman" w:eastAsia="黑体" w:cs="黑体"/>
          <w:kern w:val="2"/>
          <w:sz w:val="32"/>
          <w:szCs w:val="32"/>
          <w:lang w:val="zh-CN"/>
        </w:rPr>
        <w:t>般公共预算财政拨款基本支出决算情况说明</w:t>
      </w:r>
      <w:r>
        <w:rPr>
          <w:rFonts w:ascii="黑体" w:hAnsi="Times New Roman" w:eastAsia="黑体" w:cs="黑体"/>
          <w:kern w:val="2"/>
          <w:sz w:val="32"/>
          <w:szCs w:val="32"/>
          <w:lang w:val="zh-CN"/>
        </w:rPr>
        <w:tab/>
      </w:r>
    </w:p>
    <w:p>
      <w:pPr>
        <w:widowControl w:val="0"/>
        <w:autoSpaceDE w:val="0"/>
        <w:autoSpaceDN w:val="0"/>
        <w:snapToGrid/>
        <w:spacing w:after="0" w:line="576" w:lineRule="exact"/>
        <w:ind w:firstLine="640" w:firstLineChars="200"/>
        <w:jc w:val="both"/>
        <w:rPr>
          <w:rFonts w:ascii="仿宋_GB2312" w:hAnsi="Cambria" w:eastAsia="仿宋_GB2312" w:cs="仿宋_GB2312"/>
          <w:color w:val="000000"/>
          <w:kern w:val="2"/>
          <w:sz w:val="32"/>
          <w:szCs w:val="32"/>
          <w:lang w:val="zh-CN"/>
        </w:rPr>
      </w:pPr>
      <w:r>
        <w:rPr>
          <w:rFonts w:ascii="仿宋_GB2312" w:hAnsi="Cambria" w:eastAsia="仿宋_GB2312" w:cs="仿宋_GB2312"/>
          <w:color w:val="000000"/>
          <w:kern w:val="2"/>
          <w:sz w:val="32"/>
          <w:szCs w:val="32"/>
          <w:lang w:val="zh-CN"/>
        </w:rPr>
        <w:t>2023</w:t>
      </w:r>
      <w:r>
        <w:rPr>
          <w:rFonts w:hint="eastAsia" w:ascii="仿宋_GB2312" w:hAnsi="Cambria" w:eastAsia="仿宋_GB2312" w:cs="仿宋_GB2312"/>
          <w:color w:val="000000"/>
          <w:kern w:val="2"/>
          <w:sz w:val="32"/>
          <w:szCs w:val="32"/>
          <w:lang w:val="zh-CN"/>
        </w:rPr>
        <w:t>年度一般公共预算财政拨款基本支出1392.05万元，其中：</w:t>
      </w:r>
    </w:p>
    <w:p>
      <w:pPr>
        <w:widowControl w:val="0"/>
        <w:autoSpaceDE w:val="0"/>
        <w:autoSpaceDN w:val="0"/>
        <w:snapToGrid/>
        <w:spacing w:after="0" w:line="576" w:lineRule="exact"/>
        <w:ind w:firstLine="642" w:firstLineChars="200"/>
        <w:jc w:val="both"/>
        <w:rPr>
          <w:rFonts w:ascii="仿宋_GB2312" w:hAnsi="Cambria" w:eastAsia="仿宋_GB2312" w:cs="仿宋_GB2312"/>
          <w:color w:val="000000"/>
          <w:kern w:val="2"/>
          <w:sz w:val="32"/>
          <w:szCs w:val="32"/>
          <w:lang w:val="zh-CN"/>
        </w:rPr>
      </w:pPr>
      <w:r>
        <w:rPr>
          <w:rFonts w:hint="eastAsia" w:ascii="仿宋_GB2312" w:hAnsi="Cambria" w:eastAsia="仿宋_GB2312" w:cs="仿宋_GB2312"/>
          <w:b/>
          <w:bCs/>
          <w:color w:val="000000"/>
          <w:kern w:val="2"/>
          <w:sz w:val="32"/>
          <w:szCs w:val="32"/>
          <w:lang w:val="zh-CN"/>
        </w:rPr>
        <w:t>人员经费</w:t>
      </w:r>
      <w:r>
        <w:rPr>
          <w:rFonts w:hint="eastAsia" w:ascii="仿宋_GB2312" w:hAnsi="Cambria" w:eastAsia="仿宋_GB2312" w:cs="仿宋_GB2312"/>
          <w:color w:val="000000"/>
          <w:kern w:val="2"/>
          <w:sz w:val="32"/>
          <w:szCs w:val="32"/>
          <w:lang w:val="zh-CN"/>
        </w:rPr>
        <w:t>1128.49万元，主要包括：基本工资260.56万元、津贴补贴79.72万元、奖金145.31万元、绩效工资57.1万元、机关事业单位基本养老保险缴费75.42万元、职工基本医疗保险缴费29.85万元、住房公积金58.3万元、其他工资福利支出39.39万元、生活补助365.46万元、奖励金0.01万元、其他个人和家庭的补助支出17.36万元。</w:t>
      </w:r>
    </w:p>
    <w:p>
      <w:pPr>
        <w:widowControl w:val="0"/>
        <w:autoSpaceDE w:val="0"/>
        <w:autoSpaceDN w:val="0"/>
        <w:snapToGrid/>
        <w:spacing w:after="0" w:line="576" w:lineRule="exact"/>
        <w:ind w:firstLine="642" w:firstLineChars="200"/>
        <w:jc w:val="both"/>
        <w:rPr>
          <w:rFonts w:ascii="仿宋_GB2312" w:hAnsi="Cambria" w:eastAsia="仿宋_GB2312" w:cs="仿宋_GB2312"/>
          <w:color w:val="000000"/>
          <w:kern w:val="2"/>
          <w:sz w:val="32"/>
          <w:szCs w:val="32"/>
          <w:lang w:val="zh-CN"/>
        </w:rPr>
      </w:pPr>
      <w:r>
        <w:rPr>
          <w:rFonts w:hint="eastAsia" w:ascii="仿宋_GB2312" w:hAnsi="Cambria" w:eastAsia="仿宋_GB2312" w:cs="仿宋_GB2312"/>
          <w:b/>
          <w:bCs/>
          <w:color w:val="000000"/>
          <w:kern w:val="2"/>
          <w:sz w:val="32"/>
          <w:szCs w:val="32"/>
          <w:lang w:val="zh-CN"/>
        </w:rPr>
        <w:t>公用经费</w:t>
      </w:r>
      <w:r>
        <w:rPr>
          <w:rFonts w:hint="eastAsia" w:ascii="仿宋_GB2312" w:hAnsi="Cambria" w:eastAsia="仿宋_GB2312" w:cs="仿宋_GB2312"/>
          <w:color w:val="000000"/>
          <w:kern w:val="2"/>
          <w:sz w:val="32"/>
          <w:szCs w:val="32"/>
          <w:lang w:val="zh-CN"/>
        </w:rPr>
        <w:t>263.56万元，主要包括：办公费38.06万元、水费0.6万元、电费1.1万元、差旅费53.5万元、维修（护）费63.86万元、会议费1万元、培训费2万元、公务接待费9万元、工会经费12万元、其他交通费20.8万元、其他商品和服务支出61.64万元。</w:t>
      </w:r>
    </w:p>
    <w:p>
      <w:pPr>
        <w:widowControl w:val="0"/>
        <w:autoSpaceDE w:val="0"/>
        <w:autoSpaceDN w:val="0"/>
        <w:snapToGrid/>
        <w:spacing w:after="0" w:line="576" w:lineRule="exact"/>
        <w:ind w:firstLine="640" w:firstLineChars="200"/>
        <w:jc w:val="both"/>
        <w:rPr>
          <w:rFonts w:ascii="黑体" w:hAnsi="Cambria" w:eastAsia="黑体" w:cs="黑体"/>
          <w:kern w:val="2"/>
          <w:sz w:val="32"/>
          <w:szCs w:val="32"/>
          <w:lang w:val="zh-CN"/>
        </w:rPr>
      </w:pPr>
      <w:r>
        <w:rPr>
          <w:rFonts w:hint="eastAsia" w:ascii="黑体" w:hAnsi="Cambria" w:eastAsia="黑体" w:cs="黑体"/>
          <w:color w:val="000000"/>
          <w:kern w:val="2"/>
          <w:sz w:val="32"/>
          <w:szCs w:val="32"/>
          <w:lang w:val="zh-CN"/>
        </w:rPr>
        <w:t>七、财政拨款</w:t>
      </w:r>
      <w:r>
        <w:rPr>
          <w:rFonts w:ascii="黑体" w:hAnsi="Cambria" w:eastAsia="黑体" w:cs="黑体"/>
          <w:b/>
          <w:bCs/>
          <w:kern w:val="2"/>
          <w:sz w:val="32"/>
          <w:szCs w:val="32"/>
          <w:lang w:val="zh-CN"/>
        </w:rPr>
        <w:t>“</w:t>
      </w:r>
      <w:r>
        <w:rPr>
          <w:rFonts w:hint="eastAsia" w:ascii="黑体" w:hAnsi="Cambria" w:eastAsia="黑体" w:cs="黑体"/>
          <w:kern w:val="2"/>
          <w:sz w:val="32"/>
          <w:szCs w:val="32"/>
          <w:lang w:val="zh-CN"/>
        </w:rPr>
        <w:t>三公</w:t>
      </w:r>
      <w:r>
        <w:rPr>
          <w:rFonts w:ascii="黑体" w:hAnsi="Cambria" w:eastAsia="黑体" w:cs="黑体"/>
          <w:kern w:val="2"/>
          <w:sz w:val="32"/>
          <w:szCs w:val="32"/>
          <w:lang w:val="zh-CN"/>
        </w:rPr>
        <w:t>”</w:t>
      </w:r>
      <w:r>
        <w:rPr>
          <w:rFonts w:hint="eastAsia" w:ascii="黑体" w:hAnsi="Cambria" w:eastAsia="黑体" w:cs="黑体"/>
          <w:kern w:val="2"/>
          <w:sz w:val="32"/>
          <w:szCs w:val="32"/>
          <w:lang w:val="zh-CN"/>
        </w:rPr>
        <w:t>经费支出决算情况说明</w:t>
      </w:r>
    </w:p>
    <w:p>
      <w:pPr>
        <w:widowControl w:val="0"/>
        <w:autoSpaceDE w:val="0"/>
        <w:autoSpaceDN w:val="0"/>
        <w:snapToGrid/>
        <w:spacing w:after="0" w:line="576" w:lineRule="exact"/>
        <w:ind w:firstLine="642" w:firstLineChars="200"/>
        <w:jc w:val="both"/>
        <w:rPr>
          <w:rFonts w:ascii="仿宋_GB2312" w:hAnsi="Cambria" w:eastAsia="仿宋_GB2312" w:cs="仿宋_GB2312"/>
          <w:b/>
          <w:bCs/>
          <w:color w:val="000000"/>
          <w:kern w:val="2"/>
          <w:sz w:val="32"/>
          <w:szCs w:val="32"/>
          <w:lang w:val="zh-CN"/>
        </w:rPr>
      </w:pPr>
      <w:r>
        <w:rPr>
          <w:rFonts w:hint="eastAsia" w:ascii="仿宋_GB2312" w:hAnsi="Cambria" w:eastAsia="仿宋_GB2312" w:cs="仿宋_GB2312"/>
          <w:b/>
          <w:bCs/>
          <w:color w:val="000000"/>
          <w:kern w:val="2"/>
          <w:sz w:val="32"/>
          <w:szCs w:val="32"/>
          <w:lang w:val="zh-CN"/>
        </w:rPr>
        <w:t>（一）</w:t>
      </w:r>
      <w:r>
        <w:rPr>
          <w:rFonts w:ascii="仿宋_GB2312" w:hAnsi="Cambria" w:eastAsia="仿宋_GB2312" w:cs="仿宋_GB2312"/>
          <w:b/>
          <w:bCs/>
          <w:color w:val="000000"/>
          <w:kern w:val="2"/>
          <w:sz w:val="32"/>
          <w:szCs w:val="32"/>
          <w:lang w:val="zh-CN"/>
        </w:rPr>
        <w:t>“</w:t>
      </w:r>
      <w:r>
        <w:rPr>
          <w:rFonts w:hint="eastAsia" w:ascii="仿宋_GB2312" w:hAnsi="Cambria" w:eastAsia="仿宋_GB2312" w:cs="仿宋_GB2312"/>
          <w:b/>
          <w:bCs/>
          <w:color w:val="000000"/>
          <w:kern w:val="2"/>
          <w:sz w:val="32"/>
          <w:szCs w:val="32"/>
          <w:lang w:val="zh-CN"/>
        </w:rPr>
        <w:t>三公</w:t>
      </w:r>
      <w:r>
        <w:rPr>
          <w:rFonts w:ascii="仿宋_GB2312" w:hAnsi="Cambria" w:eastAsia="仿宋_GB2312" w:cs="仿宋_GB2312"/>
          <w:b/>
          <w:bCs/>
          <w:color w:val="000000"/>
          <w:kern w:val="2"/>
          <w:sz w:val="32"/>
          <w:szCs w:val="32"/>
          <w:lang w:val="zh-CN"/>
        </w:rPr>
        <w:t>”</w:t>
      </w:r>
      <w:r>
        <w:rPr>
          <w:rFonts w:hint="eastAsia" w:ascii="仿宋_GB2312" w:hAnsi="Cambria" w:eastAsia="仿宋_GB2312" w:cs="仿宋_GB2312"/>
          <w:b/>
          <w:bCs/>
          <w:color w:val="000000"/>
          <w:kern w:val="2"/>
          <w:sz w:val="32"/>
          <w:szCs w:val="32"/>
          <w:lang w:val="zh-CN"/>
        </w:rPr>
        <w:t>经费财政拨款支出决算总体情况说明</w:t>
      </w:r>
    </w:p>
    <w:p>
      <w:pPr>
        <w:widowControl w:val="0"/>
        <w:autoSpaceDE w:val="0"/>
        <w:autoSpaceDN w:val="0"/>
        <w:snapToGrid/>
        <w:spacing w:after="0" w:line="576" w:lineRule="exact"/>
        <w:ind w:firstLine="640" w:firstLineChars="200"/>
        <w:jc w:val="both"/>
        <w:rPr>
          <w:rFonts w:ascii="仿宋_GB2312" w:hAnsi="Cambria" w:eastAsia="仿宋_GB2312" w:cs="仿宋_GB2312"/>
          <w:b/>
          <w:bCs/>
          <w:color w:val="FF0000"/>
          <w:kern w:val="2"/>
          <w:sz w:val="32"/>
          <w:szCs w:val="32"/>
          <w:lang w:val="zh-CN"/>
        </w:rPr>
      </w:pPr>
      <w:r>
        <w:rPr>
          <w:rFonts w:ascii="仿宋_GB2312" w:hAnsi="Cambria" w:eastAsia="仿宋_GB2312" w:cs="仿宋_GB2312"/>
          <w:color w:val="000000"/>
          <w:kern w:val="2"/>
          <w:sz w:val="32"/>
          <w:szCs w:val="32"/>
          <w:lang w:val="zh-CN"/>
        </w:rPr>
        <w:t>2023</w:t>
      </w:r>
      <w:r>
        <w:rPr>
          <w:rFonts w:hint="eastAsia" w:ascii="仿宋_GB2312" w:hAnsi="Cambria" w:eastAsia="仿宋_GB2312" w:cs="仿宋_GB2312"/>
          <w:color w:val="000000"/>
          <w:kern w:val="2"/>
          <w:sz w:val="32"/>
          <w:szCs w:val="32"/>
          <w:lang w:val="zh-CN"/>
        </w:rPr>
        <w:t>年度</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三公</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经费财政拨款支出预算为9万元，支出决算为9万元，完成预算的100</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；决算数与预算数持平，原因是科学合理编制预算并严格按照预算安排列支。决算数较上年减少2.78万元，下降23.6</w:t>
      </w:r>
      <w:r>
        <w:rPr>
          <w:rFonts w:ascii="仿宋_GB2312" w:hAnsi="Cambria" w:eastAsia="仿宋_GB2312" w:cs="仿宋_GB2312"/>
          <w:color w:val="000000"/>
          <w:kern w:val="2"/>
          <w:sz w:val="32"/>
          <w:szCs w:val="32"/>
          <w:lang w:val="zh-CN"/>
        </w:rPr>
        <w:t xml:space="preserve"> %</w:t>
      </w:r>
      <w:r>
        <w:rPr>
          <w:rFonts w:hint="eastAsia" w:ascii="仿宋_GB2312" w:hAnsi="Cambria" w:eastAsia="仿宋_GB2312" w:cs="仿宋_GB2312"/>
          <w:color w:val="000000"/>
          <w:kern w:val="2"/>
          <w:sz w:val="32"/>
          <w:szCs w:val="32"/>
          <w:lang w:val="zh-CN"/>
        </w:rPr>
        <w:t>，主要原因是贯彻落实关于厉行节约、反对浪费的要求，严格控制“三公”经费支出。</w:t>
      </w:r>
    </w:p>
    <w:p>
      <w:pPr>
        <w:widowControl w:val="0"/>
        <w:autoSpaceDE w:val="0"/>
        <w:autoSpaceDN w:val="0"/>
        <w:snapToGrid/>
        <w:spacing w:after="0" w:line="576" w:lineRule="exact"/>
        <w:ind w:firstLine="642" w:firstLineChars="200"/>
        <w:jc w:val="both"/>
        <w:rPr>
          <w:rFonts w:ascii="仿宋_GB2312" w:hAnsi="Cambria" w:eastAsia="仿宋_GB2312" w:cs="仿宋_GB2312"/>
          <w:b/>
          <w:bCs/>
          <w:color w:val="000000"/>
          <w:kern w:val="2"/>
          <w:sz w:val="32"/>
          <w:szCs w:val="32"/>
          <w:lang w:val="zh-CN"/>
        </w:rPr>
      </w:pPr>
      <w:r>
        <w:rPr>
          <w:rFonts w:hint="eastAsia" w:ascii="仿宋_GB2312" w:hAnsi="Cambria" w:eastAsia="仿宋_GB2312" w:cs="仿宋_GB2312"/>
          <w:b/>
          <w:bCs/>
          <w:color w:val="000000"/>
          <w:kern w:val="2"/>
          <w:sz w:val="32"/>
          <w:szCs w:val="32"/>
          <w:lang w:val="zh-CN"/>
        </w:rPr>
        <w:t>（二）</w:t>
      </w:r>
      <w:r>
        <w:rPr>
          <w:rFonts w:ascii="仿宋_GB2312" w:hAnsi="Cambria" w:eastAsia="仿宋_GB2312" w:cs="仿宋_GB2312"/>
          <w:b/>
          <w:bCs/>
          <w:color w:val="000000"/>
          <w:kern w:val="2"/>
          <w:sz w:val="32"/>
          <w:szCs w:val="32"/>
          <w:lang w:val="zh-CN"/>
        </w:rPr>
        <w:t>“</w:t>
      </w:r>
      <w:r>
        <w:rPr>
          <w:rFonts w:hint="eastAsia" w:ascii="仿宋_GB2312" w:hAnsi="Cambria" w:eastAsia="仿宋_GB2312" w:cs="仿宋_GB2312"/>
          <w:b/>
          <w:bCs/>
          <w:color w:val="000000"/>
          <w:kern w:val="2"/>
          <w:sz w:val="32"/>
          <w:szCs w:val="32"/>
          <w:lang w:val="zh-CN"/>
        </w:rPr>
        <w:t>三公</w:t>
      </w:r>
      <w:r>
        <w:rPr>
          <w:rFonts w:ascii="仿宋_GB2312" w:hAnsi="Cambria" w:eastAsia="仿宋_GB2312" w:cs="仿宋_GB2312"/>
          <w:b/>
          <w:bCs/>
          <w:color w:val="000000"/>
          <w:kern w:val="2"/>
          <w:sz w:val="32"/>
          <w:szCs w:val="32"/>
          <w:lang w:val="zh-CN"/>
        </w:rPr>
        <w:t>”</w:t>
      </w:r>
      <w:r>
        <w:rPr>
          <w:rFonts w:hint="eastAsia" w:ascii="仿宋_GB2312" w:hAnsi="Cambria" w:eastAsia="仿宋_GB2312" w:cs="仿宋_GB2312"/>
          <w:b/>
          <w:bCs/>
          <w:color w:val="000000"/>
          <w:kern w:val="2"/>
          <w:sz w:val="32"/>
          <w:szCs w:val="32"/>
          <w:lang w:val="zh-CN"/>
        </w:rPr>
        <w:t>经费财政拨款支出决算具体情况说明</w:t>
      </w:r>
    </w:p>
    <w:p>
      <w:pPr>
        <w:widowControl w:val="0"/>
        <w:autoSpaceDE w:val="0"/>
        <w:autoSpaceDN w:val="0"/>
        <w:snapToGrid/>
        <w:spacing w:after="0" w:line="576" w:lineRule="exact"/>
        <w:ind w:firstLine="640" w:firstLineChars="200"/>
        <w:jc w:val="both"/>
        <w:rPr>
          <w:rFonts w:ascii="仿宋_GB2312" w:hAnsi="Cambria" w:eastAsia="仿宋_GB2312" w:cs="仿宋_GB2312"/>
          <w:color w:val="000000"/>
          <w:kern w:val="2"/>
          <w:sz w:val="32"/>
          <w:szCs w:val="32"/>
          <w:lang w:val="zh-CN"/>
        </w:rPr>
      </w:pPr>
      <w:r>
        <w:rPr>
          <w:rFonts w:ascii="仿宋_GB2312" w:hAnsi="Cambria" w:eastAsia="仿宋_GB2312" w:cs="仿宋_GB2312"/>
          <w:color w:val="000000"/>
          <w:kern w:val="2"/>
          <w:sz w:val="32"/>
          <w:szCs w:val="32"/>
        </w:rPr>
        <w:drawing>
          <wp:anchor distT="0" distB="0" distL="114300" distR="114300" simplePos="0" relativeHeight="251665408" behindDoc="0" locked="0" layoutInCell="1" allowOverlap="1">
            <wp:simplePos x="0" y="0"/>
            <wp:positionH relativeFrom="column">
              <wp:posOffset>647700</wp:posOffset>
            </wp:positionH>
            <wp:positionV relativeFrom="paragraph">
              <wp:posOffset>1621155</wp:posOffset>
            </wp:positionV>
            <wp:extent cx="4749165" cy="2349500"/>
            <wp:effectExtent l="19050" t="0" r="13335" b="0"/>
            <wp:wrapTopAndBottom/>
            <wp:docPr id="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_GB2312" w:hAnsi="Cambria" w:eastAsia="仿宋_GB2312" w:cs="仿宋_GB2312"/>
          <w:color w:val="000000"/>
          <w:kern w:val="2"/>
          <w:sz w:val="32"/>
          <w:szCs w:val="32"/>
          <w:lang w:val="zh-CN"/>
        </w:rPr>
        <w:t>2023</w:t>
      </w:r>
      <w:r>
        <w:rPr>
          <w:rFonts w:hint="eastAsia" w:ascii="仿宋_GB2312" w:hAnsi="Cambria" w:eastAsia="仿宋_GB2312" w:cs="仿宋_GB2312"/>
          <w:color w:val="000000"/>
          <w:kern w:val="2"/>
          <w:sz w:val="32"/>
          <w:szCs w:val="32"/>
          <w:lang w:val="zh-CN"/>
        </w:rPr>
        <w:t>年度</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三公</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经费财政拨款支出决算中，因公出国（境）费支出决算</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万元，占</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；公务用车购置及运行维护费支出决算0万元，占0</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；公务接待费支出决算10万元，占100</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。具体情况如下：</w:t>
      </w:r>
    </w:p>
    <w:p>
      <w:pPr>
        <w:widowControl w:val="0"/>
        <w:autoSpaceDE w:val="0"/>
        <w:autoSpaceDN w:val="0"/>
        <w:snapToGrid/>
        <w:spacing w:after="0" w:line="576" w:lineRule="exact"/>
        <w:ind w:firstLine="640" w:firstLineChars="200"/>
        <w:jc w:val="center"/>
        <w:rPr>
          <w:rFonts w:ascii="仿宋_GB2312" w:hAnsi="Cambria" w:eastAsia="仿宋_GB2312" w:cs="仿宋_GB2312"/>
          <w:color w:val="000000"/>
          <w:kern w:val="2"/>
          <w:sz w:val="32"/>
          <w:szCs w:val="32"/>
          <w:lang w:val="zh-CN"/>
        </w:rPr>
      </w:pPr>
      <w:r>
        <w:rPr>
          <w:rFonts w:hint="eastAsia" w:ascii="仿宋_GB2312" w:hAnsi="Cambria" w:eastAsia="仿宋_GB2312" w:cs="仿宋_GB2312"/>
          <w:color w:val="000000"/>
          <w:kern w:val="2"/>
          <w:sz w:val="32"/>
          <w:szCs w:val="32"/>
          <w:lang w:val="zh-CN"/>
        </w:rPr>
        <w:t>图</w:t>
      </w:r>
      <w:r>
        <w:rPr>
          <w:rFonts w:ascii="仿宋_GB2312" w:hAnsi="Cambria" w:eastAsia="仿宋_GB2312" w:cs="仿宋_GB2312"/>
          <w:color w:val="000000"/>
          <w:kern w:val="2"/>
          <w:sz w:val="32"/>
          <w:szCs w:val="32"/>
          <w:lang w:val="zh-CN"/>
        </w:rPr>
        <w:t>7</w:t>
      </w:r>
      <w:r>
        <w:rPr>
          <w:rFonts w:hint="eastAsia" w:ascii="仿宋_GB2312" w:hAnsi="Cambria" w:eastAsia="仿宋_GB2312" w:cs="仿宋_GB2312"/>
          <w:color w:val="000000"/>
          <w:kern w:val="2"/>
          <w:sz w:val="32"/>
          <w:szCs w:val="32"/>
          <w:lang w:val="zh-CN"/>
        </w:rPr>
        <w:t>：</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三公</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经费财政拨款支出结构</w:t>
      </w:r>
    </w:p>
    <w:p>
      <w:pPr>
        <w:widowControl w:val="0"/>
        <w:autoSpaceDE w:val="0"/>
        <w:autoSpaceDN w:val="0"/>
        <w:snapToGrid/>
        <w:spacing w:after="0" w:line="576" w:lineRule="exact"/>
        <w:ind w:firstLine="642" w:firstLineChars="200"/>
        <w:jc w:val="both"/>
        <w:rPr>
          <w:rFonts w:ascii="仿宋_GB2312" w:hAnsi="Cambria" w:eastAsia="仿宋_GB2312" w:cs="仿宋_GB2312"/>
          <w:b/>
          <w:bCs/>
          <w:color w:val="000000"/>
          <w:kern w:val="2"/>
          <w:sz w:val="32"/>
          <w:szCs w:val="32"/>
          <w:lang w:val="zh-CN"/>
        </w:rPr>
      </w:pPr>
      <w:r>
        <w:rPr>
          <w:rFonts w:ascii="仿宋_GB2312" w:hAnsi="Cambria" w:eastAsia="仿宋_GB2312" w:cs="仿宋_GB2312"/>
          <w:b/>
          <w:bCs/>
          <w:color w:val="000000"/>
          <w:kern w:val="2"/>
          <w:sz w:val="32"/>
          <w:szCs w:val="32"/>
          <w:lang w:val="zh-CN"/>
        </w:rPr>
        <w:t>1.</w:t>
      </w:r>
      <w:r>
        <w:rPr>
          <w:rFonts w:hint="eastAsia" w:ascii="仿宋_GB2312" w:hAnsi="Cambria" w:eastAsia="仿宋_GB2312" w:cs="仿宋_GB2312"/>
          <w:b/>
          <w:bCs/>
          <w:color w:val="000000"/>
          <w:kern w:val="2"/>
          <w:sz w:val="32"/>
          <w:szCs w:val="32"/>
          <w:lang w:val="zh-CN"/>
        </w:rPr>
        <w:t>因公出国（境）经费</w:t>
      </w:r>
      <w:r>
        <w:rPr>
          <w:rFonts w:hint="eastAsia" w:ascii="仿宋_GB2312" w:hAnsi="Cambria" w:eastAsia="仿宋_GB2312" w:cs="仿宋_GB2312"/>
          <w:color w:val="000000"/>
          <w:kern w:val="2"/>
          <w:sz w:val="32"/>
          <w:szCs w:val="32"/>
          <w:lang w:val="zh-CN"/>
        </w:rPr>
        <w:t>预算为</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w:t>
      </w:r>
      <w:r>
        <w:rPr>
          <w:rFonts w:hint="eastAsia" w:ascii="仿宋_GB2312" w:hAnsi="仿宋_GB2312" w:eastAsia="仿宋_GB2312" w:cs="仿宋_GB2312"/>
          <w:color w:val="000000" w:themeColor="text1"/>
          <w:sz w:val="32"/>
          <w:szCs w:val="32"/>
        </w:rPr>
        <w:t>年初未安排预算。</w:t>
      </w:r>
      <w:r>
        <w:rPr>
          <w:rFonts w:hint="eastAsia" w:ascii="仿宋_GB2312" w:hAnsi="Cambria" w:eastAsia="仿宋_GB2312" w:cs="仿宋_GB2312"/>
          <w:color w:val="000000"/>
          <w:kern w:val="2"/>
          <w:sz w:val="32"/>
          <w:szCs w:val="32"/>
          <w:lang w:val="zh-CN"/>
        </w:rPr>
        <w:t>全年安排因公出国（境）团组</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个，出国（境）</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人。因公出国（境）支出决算较</w:t>
      </w:r>
      <w:r>
        <w:rPr>
          <w:rFonts w:ascii="仿宋_GB2312" w:hAnsi="Cambria" w:eastAsia="仿宋_GB2312" w:cs="仿宋_GB2312"/>
          <w:color w:val="000000"/>
          <w:kern w:val="2"/>
          <w:sz w:val="32"/>
          <w:szCs w:val="32"/>
          <w:lang w:val="zh-CN"/>
        </w:rPr>
        <w:t>2022</w:t>
      </w:r>
      <w:r>
        <w:rPr>
          <w:rFonts w:hint="eastAsia" w:ascii="仿宋_GB2312" w:hAnsi="Cambria" w:eastAsia="仿宋_GB2312" w:cs="仿宋_GB2312"/>
          <w:color w:val="000000"/>
          <w:kern w:val="2"/>
          <w:sz w:val="32"/>
          <w:szCs w:val="32"/>
          <w:lang w:val="zh-CN"/>
        </w:rPr>
        <w:t>年度无变化。</w:t>
      </w:r>
    </w:p>
    <w:p>
      <w:pPr>
        <w:spacing w:after="0" w:line="576" w:lineRule="exact"/>
        <w:ind w:firstLine="642" w:firstLineChars="200"/>
        <w:rPr>
          <w:rFonts w:ascii="仿宋_GB2312" w:hAnsi="仿宋_GB2312" w:eastAsia="仿宋_GB2312" w:cs="仿宋_GB2312"/>
          <w:color w:val="000000" w:themeColor="text1"/>
          <w:sz w:val="32"/>
          <w:szCs w:val="32"/>
        </w:rPr>
      </w:pPr>
      <w:r>
        <w:rPr>
          <w:rFonts w:ascii="仿宋_GB2312" w:hAnsi="Times New Roman" w:eastAsia="仿宋_GB2312" w:cs="仿宋_GB2312"/>
          <w:b/>
          <w:bCs/>
          <w:color w:val="000000"/>
          <w:kern w:val="2"/>
          <w:sz w:val="32"/>
          <w:szCs w:val="32"/>
          <w:lang w:val="zh-CN"/>
        </w:rPr>
        <w:t>2.</w:t>
      </w:r>
      <w:r>
        <w:rPr>
          <w:rFonts w:hint="eastAsia" w:ascii="仿宋_GB2312" w:hAnsi="Times New Roman" w:eastAsia="仿宋_GB2312" w:cs="仿宋_GB2312"/>
          <w:b/>
          <w:bCs/>
          <w:color w:val="000000"/>
          <w:kern w:val="2"/>
          <w:sz w:val="32"/>
          <w:szCs w:val="32"/>
          <w:lang w:val="zh-CN"/>
        </w:rPr>
        <w:t>公务用车购置及运行维护费</w:t>
      </w:r>
      <w:r>
        <w:rPr>
          <w:rFonts w:hint="eastAsia" w:ascii="仿宋_GB2312" w:hAnsi="Times New Roman" w:eastAsia="仿宋_GB2312" w:cs="仿宋_GB2312"/>
          <w:color w:val="000000"/>
          <w:kern w:val="2"/>
          <w:sz w:val="32"/>
          <w:szCs w:val="32"/>
          <w:lang w:val="zh-CN"/>
        </w:rPr>
        <w:t>预算为0万元</w:t>
      </w:r>
      <w:r>
        <w:rPr>
          <w:rFonts w:ascii="仿宋_GB2312" w:hAnsi="Times New Roman" w:eastAsia="仿宋_GB2312" w:cs="仿宋_GB2312"/>
          <w:color w:val="000000"/>
          <w:kern w:val="2"/>
          <w:sz w:val="32"/>
          <w:szCs w:val="32"/>
          <w:lang w:val="zh-CN"/>
        </w:rPr>
        <w:t>,</w:t>
      </w:r>
      <w:r>
        <w:rPr>
          <w:rFonts w:hint="eastAsia" w:ascii="仿宋_GB2312" w:hAnsi="仿宋_GB2312" w:eastAsia="仿宋_GB2312" w:cs="仿宋_GB2312"/>
          <w:color w:val="000000" w:themeColor="text1"/>
          <w:sz w:val="32"/>
          <w:szCs w:val="32"/>
        </w:rPr>
        <w:t xml:space="preserve"> 年初未安排预算。公务用车购置及运行维护费支出决算较2022年无变化。</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其中：</w:t>
      </w:r>
      <w:r>
        <w:rPr>
          <w:rFonts w:hint="eastAsia" w:ascii="仿宋_GB2312" w:hAnsi="Times New Roman" w:eastAsia="仿宋_GB2312" w:cs="仿宋_GB2312"/>
          <w:b/>
          <w:bCs/>
          <w:color w:val="000000"/>
          <w:kern w:val="2"/>
          <w:sz w:val="32"/>
          <w:szCs w:val="32"/>
          <w:lang w:val="zh-CN"/>
        </w:rPr>
        <w:t>公务用车购置费</w:t>
      </w:r>
      <w:r>
        <w:rPr>
          <w:rFonts w:hint="eastAsia" w:ascii="仿宋_GB2312" w:hAnsi="Times New Roman" w:eastAsia="仿宋_GB2312" w:cs="仿宋_GB2312"/>
          <w:color w:val="000000"/>
          <w:kern w:val="2"/>
          <w:sz w:val="32"/>
          <w:szCs w:val="32"/>
          <w:lang w:val="zh-CN"/>
        </w:rPr>
        <w:t>支出0万元。全年按规定更新购置公务用车</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辆，其中：轿车0辆、金额0万元，越野车0辆、金额0万元，小型客车0辆、金额0万元，中型客车和大型客车0辆、金额0万元，其他车型0辆、金额0万元。截至</w:t>
      </w:r>
      <w:r>
        <w:rPr>
          <w:rFonts w:ascii="仿宋_GB2312" w:hAnsi="Times New Roman" w:eastAsia="仿宋_GB2312" w:cs="仿宋_GB2312"/>
          <w:color w:val="000000"/>
          <w:kern w:val="2"/>
          <w:sz w:val="32"/>
          <w:szCs w:val="32"/>
          <w:lang w:val="zh-CN"/>
        </w:rPr>
        <w:t>2023</w:t>
      </w:r>
      <w:r>
        <w:rPr>
          <w:rFonts w:hint="eastAsia" w:ascii="仿宋_GB2312" w:hAnsi="Times New Roman" w:eastAsia="仿宋_GB2312" w:cs="仿宋_GB2312"/>
          <w:color w:val="000000"/>
          <w:kern w:val="2"/>
          <w:sz w:val="32"/>
          <w:szCs w:val="32"/>
          <w:lang w:val="zh-CN"/>
        </w:rPr>
        <w:t>年</w:t>
      </w:r>
      <w:r>
        <w:rPr>
          <w:rFonts w:ascii="仿宋_GB2312" w:hAnsi="Times New Roman" w:eastAsia="仿宋_GB2312" w:cs="仿宋_GB2312"/>
          <w:color w:val="000000"/>
          <w:kern w:val="2"/>
          <w:sz w:val="32"/>
          <w:szCs w:val="32"/>
          <w:lang w:val="zh-CN"/>
        </w:rPr>
        <w:t>12</w:t>
      </w:r>
      <w:r>
        <w:rPr>
          <w:rFonts w:hint="eastAsia" w:ascii="仿宋_GB2312" w:hAnsi="Times New Roman" w:eastAsia="仿宋_GB2312" w:cs="仿宋_GB2312"/>
          <w:color w:val="000000"/>
          <w:kern w:val="2"/>
          <w:sz w:val="32"/>
          <w:szCs w:val="32"/>
          <w:lang w:val="zh-CN"/>
        </w:rPr>
        <w:t>月</w:t>
      </w:r>
      <w:r>
        <w:rPr>
          <w:rFonts w:ascii="仿宋_GB2312" w:hAnsi="Times New Roman" w:eastAsia="仿宋_GB2312" w:cs="仿宋_GB2312"/>
          <w:color w:val="000000"/>
          <w:kern w:val="2"/>
          <w:sz w:val="32"/>
          <w:szCs w:val="32"/>
          <w:lang w:val="zh-CN"/>
        </w:rPr>
        <w:t>31</w:t>
      </w:r>
      <w:r>
        <w:rPr>
          <w:rFonts w:hint="eastAsia" w:ascii="仿宋_GB2312" w:hAnsi="Times New Roman" w:eastAsia="仿宋_GB2312" w:cs="仿宋_GB2312"/>
          <w:color w:val="000000"/>
          <w:kern w:val="2"/>
          <w:sz w:val="32"/>
          <w:szCs w:val="32"/>
          <w:lang w:val="zh-CN"/>
        </w:rPr>
        <w:t>日，本部门共有公务用车0辆，其中：轿车</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辆、越野车0辆、小型客车0辆、中型客车和大型客车0辆、其他车型</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辆。</w:t>
      </w:r>
    </w:p>
    <w:p>
      <w:pPr>
        <w:widowControl w:val="0"/>
        <w:autoSpaceDE w:val="0"/>
        <w:autoSpaceDN w:val="0"/>
        <w:snapToGrid/>
        <w:spacing w:after="0" w:line="576" w:lineRule="exact"/>
        <w:ind w:firstLine="642" w:firstLineChars="200"/>
        <w:jc w:val="both"/>
        <w:rPr>
          <w:rFonts w:ascii="仿宋_GB2312" w:hAnsi="Times New Roman" w:eastAsia="仿宋_GB2312" w:cs="仿宋_GB2312"/>
          <w:color w:val="000000"/>
          <w:kern w:val="2"/>
          <w:sz w:val="32"/>
          <w:szCs w:val="32"/>
          <w:highlight w:val="yellow"/>
          <w:lang w:val="zh-CN"/>
        </w:rPr>
      </w:pPr>
      <w:r>
        <w:rPr>
          <w:rFonts w:hint="eastAsia" w:ascii="仿宋_GB2312" w:hAnsi="Times New Roman" w:eastAsia="仿宋_GB2312" w:cs="仿宋_GB2312"/>
          <w:b/>
          <w:bCs/>
          <w:color w:val="000000"/>
          <w:kern w:val="2"/>
          <w:sz w:val="32"/>
          <w:szCs w:val="32"/>
          <w:lang w:val="zh-CN"/>
        </w:rPr>
        <w:t>公务用车运行维护费</w:t>
      </w:r>
      <w:r>
        <w:rPr>
          <w:rFonts w:hint="eastAsia" w:ascii="仿宋_GB2312" w:hAnsi="Times New Roman" w:eastAsia="仿宋_GB2312" w:cs="仿宋_GB2312"/>
          <w:color w:val="000000"/>
          <w:kern w:val="2"/>
          <w:sz w:val="32"/>
          <w:szCs w:val="32"/>
          <w:lang w:val="zh-CN"/>
        </w:rPr>
        <w:t>支出0万元。</w:t>
      </w:r>
    </w:p>
    <w:p>
      <w:pPr>
        <w:widowControl w:val="0"/>
        <w:autoSpaceDE w:val="0"/>
        <w:autoSpaceDN w:val="0"/>
        <w:snapToGrid/>
        <w:spacing w:after="0" w:line="576" w:lineRule="exact"/>
        <w:ind w:firstLine="642" w:firstLineChars="200"/>
        <w:jc w:val="both"/>
        <w:rPr>
          <w:rFonts w:ascii="仿宋_GB2312" w:hAnsi="Cambria" w:eastAsia="仿宋_GB2312" w:cs="仿宋_GB2312"/>
          <w:b/>
          <w:bCs/>
          <w:color w:val="FF0000"/>
          <w:kern w:val="2"/>
          <w:sz w:val="32"/>
          <w:szCs w:val="32"/>
          <w:lang w:val="zh-CN"/>
        </w:rPr>
      </w:pPr>
      <w:r>
        <w:rPr>
          <w:rFonts w:ascii="仿宋_GB2312" w:hAnsi="Times New Roman" w:eastAsia="仿宋_GB2312" w:cs="仿宋_GB2312"/>
          <w:b/>
          <w:bCs/>
          <w:color w:val="000000"/>
          <w:kern w:val="2"/>
          <w:sz w:val="32"/>
          <w:szCs w:val="32"/>
          <w:lang w:val="zh-CN"/>
        </w:rPr>
        <w:t>3.</w:t>
      </w:r>
      <w:r>
        <w:rPr>
          <w:rFonts w:hint="eastAsia" w:ascii="仿宋_GB2312" w:hAnsi="Times New Roman" w:eastAsia="仿宋_GB2312" w:cs="仿宋_GB2312"/>
          <w:b/>
          <w:bCs/>
          <w:color w:val="000000"/>
          <w:kern w:val="2"/>
          <w:sz w:val="32"/>
          <w:szCs w:val="32"/>
          <w:lang w:val="zh-CN"/>
        </w:rPr>
        <w:t>公务接待费</w:t>
      </w:r>
      <w:r>
        <w:rPr>
          <w:rFonts w:hint="eastAsia" w:ascii="仿宋_GB2312" w:hAnsi="Times New Roman" w:eastAsia="仿宋_GB2312" w:cs="仿宋_GB2312"/>
          <w:color w:val="000000"/>
          <w:kern w:val="2"/>
          <w:sz w:val="32"/>
          <w:szCs w:val="32"/>
          <w:lang w:val="zh-CN"/>
        </w:rPr>
        <w:t>预算为9万元，支出决算为9万元，完成预算的100</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。公务接待费支出决算比</w:t>
      </w: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年度减少2.78万元，</w:t>
      </w:r>
      <w:r>
        <w:rPr>
          <w:rFonts w:hint="eastAsia" w:ascii="仿宋_GB2312" w:hAnsi="Cambria" w:eastAsia="仿宋_GB2312" w:cs="仿宋_GB2312"/>
          <w:color w:val="000000"/>
          <w:kern w:val="2"/>
          <w:sz w:val="32"/>
          <w:szCs w:val="32"/>
          <w:lang w:val="zh-CN"/>
        </w:rPr>
        <w:t>下降23.6</w:t>
      </w:r>
      <w:r>
        <w:rPr>
          <w:rFonts w:ascii="仿宋_GB2312" w:hAnsi="Cambria" w:eastAsia="仿宋_GB2312" w:cs="仿宋_GB2312"/>
          <w:color w:val="000000"/>
          <w:kern w:val="2"/>
          <w:sz w:val="32"/>
          <w:szCs w:val="32"/>
          <w:lang w:val="zh-CN"/>
        </w:rPr>
        <w:t xml:space="preserve"> %</w:t>
      </w:r>
      <w:r>
        <w:rPr>
          <w:rFonts w:hint="eastAsia" w:ascii="仿宋_GB2312" w:hAnsi="Cambria" w:eastAsia="仿宋_GB2312" w:cs="仿宋_GB2312"/>
          <w:color w:val="000000"/>
          <w:kern w:val="2"/>
          <w:sz w:val="32"/>
          <w:szCs w:val="32"/>
          <w:lang w:val="zh-CN"/>
        </w:rPr>
        <w:t>，主要原因是贯彻落实关于厉行节约、反对浪费的要求，严格控制“三公”经费支出。</w:t>
      </w:r>
      <w:r>
        <w:rPr>
          <w:rFonts w:hint="eastAsia" w:ascii="仿宋_GB2312" w:hAnsi="Times New Roman" w:eastAsia="仿宋_GB2312" w:cs="仿宋_GB2312"/>
          <w:color w:val="000000"/>
          <w:kern w:val="2"/>
          <w:sz w:val="32"/>
          <w:szCs w:val="32"/>
          <w:lang w:val="zh-CN"/>
        </w:rPr>
        <w:t>其中：</w:t>
      </w:r>
    </w:p>
    <w:p>
      <w:pPr>
        <w:spacing w:after="0" w:line="576" w:lineRule="exact"/>
        <w:ind w:firstLine="642" w:firstLineChars="200"/>
        <w:rPr>
          <w:rFonts w:ascii="仿宋_GB2312" w:hAnsi="仿宋_GB2312" w:eastAsia="仿宋_GB2312" w:cs="仿宋_GB2312"/>
          <w:color w:val="000000" w:themeColor="text1"/>
          <w:sz w:val="32"/>
          <w:szCs w:val="32"/>
        </w:rPr>
      </w:pPr>
      <w:r>
        <w:rPr>
          <w:rFonts w:hint="eastAsia" w:ascii="仿宋_GB2312" w:hAnsi="Times New Roman" w:eastAsia="仿宋_GB2312" w:cs="仿宋_GB2312"/>
          <w:b/>
          <w:bCs/>
          <w:color w:val="000000"/>
          <w:kern w:val="2"/>
          <w:sz w:val="32"/>
          <w:szCs w:val="32"/>
          <w:lang w:val="zh-CN"/>
        </w:rPr>
        <w:t>国内公务接待</w:t>
      </w:r>
      <w:r>
        <w:rPr>
          <w:rFonts w:hint="eastAsia" w:ascii="仿宋_GB2312" w:hAnsi="Times New Roman" w:eastAsia="仿宋_GB2312" w:cs="仿宋_GB2312"/>
          <w:color w:val="000000"/>
          <w:kern w:val="2"/>
          <w:sz w:val="32"/>
          <w:szCs w:val="32"/>
          <w:lang w:val="zh-CN"/>
        </w:rPr>
        <w:t>支出9万元。主要用于</w:t>
      </w:r>
      <w:r>
        <w:rPr>
          <w:rFonts w:hint="eastAsia" w:ascii="仿宋_GB2312" w:hAnsi="仿宋_GB2312" w:eastAsia="仿宋_GB2312" w:cs="仿宋_GB2312"/>
          <w:color w:val="000000" w:themeColor="text1"/>
          <w:sz w:val="32"/>
          <w:szCs w:val="32"/>
        </w:rPr>
        <w:t>执行</w:t>
      </w:r>
      <w:r>
        <w:rPr>
          <w:rFonts w:hint="eastAsia" w:ascii="仿宋_GB2312" w:hAnsi="Times New Roman" w:eastAsia="仿宋_GB2312" w:cs="仿宋_GB2312"/>
          <w:color w:val="000000"/>
          <w:kern w:val="2"/>
          <w:sz w:val="32"/>
          <w:szCs w:val="32"/>
          <w:lang w:val="zh-CN"/>
        </w:rPr>
        <w:t>公务、开展</w:t>
      </w:r>
      <w:r>
        <w:rPr>
          <w:rFonts w:hint="eastAsia" w:ascii="仿宋_GB2312" w:hAnsi="仿宋_GB2312" w:eastAsia="仿宋_GB2312" w:cs="仿宋_GB2312"/>
          <w:color w:val="000000" w:themeColor="text1"/>
          <w:sz w:val="32"/>
          <w:szCs w:val="32"/>
        </w:rPr>
        <w:t>各项</w:t>
      </w:r>
      <w:r>
        <w:rPr>
          <w:rFonts w:hint="eastAsia" w:ascii="仿宋_GB2312" w:hAnsi="Times New Roman" w:eastAsia="仿宋_GB2312" w:cs="仿宋_GB2312"/>
          <w:color w:val="000000"/>
          <w:kern w:val="2"/>
          <w:sz w:val="32"/>
          <w:szCs w:val="32"/>
          <w:lang w:val="zh-CN"/>
        </w:rPr>
        <w:t>业务活动开支的交通费、住宿费及用餐费等。国内公务接待378批次2360人次，共计支出9万元，具体内容包括：</w:t>
      </w:r>
      <w:r>
        <w:rPr>
          <w:rFonts w:hint="eastAsia" w:ascii="仿宋_GB2312" w:hAnsi="仿宋_GB2312" w:eastAsia="仿宋_GB2312" w:cs="仿宋_GB2312"/>
          <w:color w:val="000000" w:themeColor="text1"/>
          <w:sz w:val="32"/>
          <w:szCs w:val="32"/>
        </w:rPr>
        <w:t>用于接待来镇检查指导、考察调研等开展业务活动的住宿及用餐费9万元。</w:t>
      </w:r>
    </w:p>
    <w:p>
      <w:pPr>
        <w:widowControl w:val="0"/>
        <w:autoSpaceDE w:val="0"/>
        <w:autoSpaceDN w:val="0"/>
        <w:snapToGrid/>
        <w:spacing w:after="0" w:line="576" w:lineRule="exact"/>
        <w:ind w:firstLine="642" w:firstLineChars="200"/>
        <w:jc w:val="both"/>
        <w:rPr>
          <w:rFonts w:ascii="黑体" w:hAnsi="Times New Roman" w:eastAsia="黑体" w:cs="黑体"/>
          <w:sz w:val="32"/>
          <w:szCs w:val="32"/>
          <w:lang w:val="zh-CN"/>
        </w:rPr>
      </w:pPr>
      <w:r>
        <w:rPr>
          <w:rFonts w:hint="eastAsia" w:ascii="仿宋_GB2312" w:hAnsi="Times New Roman" w:eastAsia="仿宋_GB2312" w:cs="仿宋_GB2312"/>
          <w:b/>
          <w:bCs/>
          <w:color w:val="000000"/>
          <w:kern w:val="2"/>
          <w:sz w:val="32"/>
          <w:szCs w:val="32"/>
          <w:lang w:val="zh-CN"/>
        </w:rPr>
        <w:t>外事接待</w:t>
      </w:r>
      <w:r>
        <w:rPr>
          <w:rFonts w:hint="eastAsia" w:ascii="仿宋_GB2312" w:hAnsi="Times New Roman" w:eastAsia="仿宋_GB2312" w:cs="仿宋_GB2312"/>
          <w:color w:val="000000"/>
          <w:kern w:val="2"/>
          <w:sz w:val="32"/>
          <w:szCs w:val="32"/>
          <w:lang w:val="zh-CN"/>
        </w:rPr>
        <w:t>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万元，外事接待</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批次，</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人，共计支出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w:t>
      </w:r>
    </w:p>
    <w:p>
      <w:pPr>
        <w:widowControl w:val="0"/>
        <w:autoSpaceDE w:val="0"/>
        <w:autoSpaceDN w:val="0"/>
        <w:snapToGrid/>
        <w:spacing w:after="0" w:line="576" w:lineRule="exact"/>
        <w:ind w:firstLine="640" w:firstLineChars="200"/>
        <w:jc w:val="both"/>
        <w:rPr>
          <w:rFonts w:ascii="黑体" w:hAnsi="Times New Roman" w:eastAsia="黑体" w:cs="黑体"/>
          <w:b/>
          <w:bCs/>
          <w:kern w:val="2"/>
          <w:sz w:val="32"/>
          <w:szCs w:val="32"/>
          <w:lang w:val="zh-CN"/>
        </w:rPr>
      </w:pPr>
      <w:r>
        <w:rPr>
          <w:rFonts w:hint="eastAsia" w:ascii="黑体" w:hAnsi="Times New Roman" w:eastAsia="黑体" w:cs="黑体"/>
          <w:color w:val="000000"/>
          <w:kern w:val="2"/>
          <w:sz w:val="32"/>
          <w:szCs w:val="32"/>
          <w:lang w:val="zh-CN"/>
        </w:rPr>
        <w:t>八、</w:t>
      </w:r>
      <w:r>
        <w:rPr>
          <w:rFonts w:hint="eastAsia" w:ascii="黑体" w:hAnsi="Times New Roman" w:eastAsia="黑体" w:cs="黑体"/>
          <w:kern w:val="2"/>
          <w:sz w:val="32"/>
          <w:szCs w:val="32"/>
          <w:lang w:val="zh-CN"/>
        </w:rPr>
        <w:t>政府性基金预算支出决算情况说明</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ascii="仿宋_GB2312" w:hAnsi="Times New Roman" w:eastAsia="仿宋_GB2312" w:cs="仿宋_GB2312"/>
          <w:color w:val="000000"/>
          <w:kern w:val="2"/>
          <w:sz w:val="32"/>
          <w:szCs w:val="32"/>
          <w:lang w:val="zh-CN"/>
        </w:rPr>
        <w:t>2023</w:t>
      </w:r>
      <w:r>
        <w:rPr>
          <w:rFonts w:hint="eastAsia" w:ascii="仿宋_GB2312" w:hAnsi="Times New Roman" w:eastAsia="仿宋_GB2312" w:cs="仿宋_GB2312"/>
          <w:color w:val="000000"/>
          <w:kern w:val="2"/>
          <w:sz w:val="32"/>
          <w:szCs w:val="32"/>
          <w:lang w:val="zh-CN"/>
        </w:rPr>
        <w:t>年度政府性基金预算拨款支出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w:t>
      </w:r>
    </w:p>
    <w:p>
      <w:pPr>
        <w:widowControl w:val="0"/>
        <w:autoSpaceDE w:val="0"/>
        <w:autoSpaceDN w:val="0"/>
        <w:snapToGrid/>
        <w:spacing w:after="0" w:line="576" w:lineRule="exact"/>
        <w:ind w:firstLine="640" w:firstLineChars="200"/>
        <w:jc w:val="both"/>
        <w:rPr>
          <w:rFonts w:ascii="黑体" w:hAnsi="Times New Roman" w:eastAsia="黑体" w:cs="黑体"/>
          <w:kern w:val="2"/>
          <w:sz w:val="32"/>
          <w:szCs w:val="32"/>
          <w:lang w:val="zh-CN"/>
        </w:rPr>
      </w:pPr>
      <w:r>
        <w:rPr>
          <w:rFonts w:hint="eastAsia" w:ascii="黑体" w:hAnsi="Times New Roman" w:eastAsia="黑体" w:cs="黑体"/>
          <w:kern w:val="2"/>
          <w:sz w:val="32"/>
          <w:szCs w:val="32"/>
          <w:lang w:val="zh-CN"/>
        </w:rPr>
        <w:t>九、国有资本经营预算支出决算情况说明</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ascii="仿宋_GB2312" w:hAnsi="Times New Roman" w:eastAsia="仿宋_GB2312" w:cs="仿宋_GB2312"/>
          <w:color w:val="000000"/>
          <w:kern w:val="2"/>
          <w:sz w:val="32"/>
          <w:szCs w:val="32"/>
          <w:lang w:val="zh-CN"/>
        </w:rPr>
        <w:t>2023</w:t>
      </w:r>
      <w:r>
        <w:rPr>
          <w:rFonts w:hint="eastAsia" w:ascii="仿宋_GB2312" w:hAnsi="Times New Roman" w:eastAsia="仿宋_GB2312" w:cs="仿宋_GB2312"/>
          <w:color w:val="000000"/>
          <w:kern w:val="2"/>
          <w:sz w:val="32"/>
          <w:szCs w:val="32"/>
          <w:lang w:val="zh-CN"/>
        </w:rPr>
        <w:t>年度国有资本经营预算拨款支出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w:t>
      </w:r>
    </w:p>
    <w:p>
      <w:pPr>
        <w:widowControl w:val="0"/>
        <w:autoSpaceDE w:val="0"/>
        <w:autoSpaceDN w:val="0"/>
        <w:snapToGrid/>
        <w:spacing w:after="0" w:line="576" w:lineRule="exact"/>
        <w:ind w:firstLine="640" w:firstLineChars="200"/>
        <w:jc w:val="both"/>
        <w:rPr>
          <w:rFonts w:ascii="黑体" w:hAnsi="Times New Roman" w:eastAsia="黑体" w:cs="黑体"/>
          <w:b/>
          <w:bCs/>
          <w:kern w:val="2"/>
          <w:sz w:val="32"/>
          <w:szCs w:val="32"/>
          <w:lang w:val="zh-CN"/>
        </w:rPr>
      </w:pPr>
      <w:r>
        <w:rPr>
          <w:rFonts w:hint="eastAsia" w:ascii="黑体" w:hAnsi="Times New Roman" w:eastAsia="黑体" w:cs="黑体"/>
          <w:color w:val="000000"/>
          <w:kern w:val="2"/>
          <w:sz w:val="32"/>
          <w:szCs w:val="32"/>
          <w:lang w:val="zh-CN"/>
        </w:rPr>
        <w:t>十</w:t>
      </w:r>
      <w:r>
        <w:rPr>
          <w:rFonts w:hint="eastAsia" w:ascii="黑体" w:hAnsi="Times New Roman" w:eastAsia="黑体" w:cs="黑体"/>
          <w:b/>
          <w:bCs/>
          <w:kern w:val="2"/>
          <w:sz w:val="32"/>
          <w:szCs w:val="32"/>
          <w:lang w:val="zh-CN"/>
        </w:rPr>
        <w:t>、</w:t>
      </w:r>
      <w:r>
        <w:rPr>
          <w:rFonts w:hint="eastAsia" w:ascii="黑体" w:hAnsi="Times New Roman" w:eastAsia="黑体" w:cs="黑体"/>
          <w:kern w:val="2"/>
          <w:sz w:val="32"/>
          <w:szCs w:val="32"/>
          <w:lang w:val="zh-CN"/>
        </w:rPr>
        <w:t>其他重要事项的情况说明</w:t>
      </w:r>
    </w:p>
    <w:p>
      <w:pPr>
        <w:widowControl w:val="0"/>
        <w:autoSpaceDE w:val="0"/>
        <w:autoSpaceDN w:val="0"/>
        <w:snapToGrid/>
        <w:spacing w:after="0" w:line="576" w:lineRule="exact"/>
        <w:ind w:firstLine="642"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b/>
          <w:bCs/>
          <w:color w:val="000000"/>
          <w:kern w:val="2"/>
          <w:sz w:val="32"/>
          <w:szCs w:val="32"/>
          <w:lang w:val="zh-CN"/>
        </w:rPr>
        <w:t>（一）机关运行经费支出情况</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ascii="仿宋_GB2312" w:hAnsi="Times New Roman" w:eastAsia="仿宋_GB2312" w:cs="仿宋_GB2312"/>
          <w:color w:val="000000"/>
          <w:kern w:val="2"/>
          <w:sz w:val="32"/>
          <w:szCs w:val="32"/>
          <w:lang w:val="zh-CN"/>
        </w:rPr>
        <w:t>2023</w:t>
      </w:r>
      <w:r>
        <w:rPr>
          <w:rFonts w:hint="eastAsia" w:ascii="仿宋_GB2312" w:hAnsi="Times New Roman" w:eastAsia="仿宋_GB2312" w:cs="仿宋_GB2312"/>
          <w:color w:val="000000"/>
          <w:kern w:val="2"/>
          <w:sz w:val="32"/>
          <w:szCs w:val="32"/>
          <w:lang w:val="zh-CN"/>
        </w:rPr>
        <w:t>年，</w:t>
      </w:r>
      <w:r>
        <w:rPr>
          <w:rFonts w:hint="eastAsia" w:ascii="仿宋_GB2312" w:hAnsi="仿宋_GB2312" w:eastAsia="仿宋_GB2312" w:cs="仿宋_GB2312"/>
          <w:color w:val="000000" w:themeColor="text1"/>
          <w:sz w:val="32"/>
          <w:szCs w:val="32"/>
        </w:rPr>
        <w:t>广元市昭化区王家镇人民政府</w:t>
      </w:r>
      <w:r>
        <w:rPr>
          <w:rFonts w:hint="eastAsia" w:ascii="仿宋_GB2312" w:hAnsi="Times New Roman" w:eastAsia="仿宋_GB2312" w:cs="仿宋_GB2312"/>
          <w:color w:val="000000"/>
          <w:kern w:val="2"/>
          <w:sz w:val="32"/>
          <w:szCs w:val="32"/>
          <w:lang w:val="zh-CN"/>
        </w:rPr>
        <w:t>运行经费支出263.56万元，比</w:t>
      </w: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年度增加52.17万元，增长24.7</w:t>
      </w:r>
      <w:r>
        <w:rPr>
          <w:rFonts w:ascii="仿宋_GB2312" w:hAnsi="Times New Roman" w:eastAsia="仿宋_GB2312" w:cs="仿宋_GB2312"/>
          <w:color w:val="000000"/>
          <w:kern w:val="2"/>
          <w:sz w:val="32"/>
          <w:szCs w:val="32"/>
          <w:lang w:val="zh-CN"/>
        </w:rPr>
        <w:t>%</w:t>
      </w:r>
      <w:r>
        <w:rPr>
          <w:rFonts w:hint="eastAsia" w:ascii="仿宋_GB2312" w:hAnsi="Times New Roman" w:eastAsia="仿宋_GB2312" w:cs="仿宋_GB2312"/>
          <w:color w:val="000000"/>
          <w:kern w:val="2"/>
          <w:sz w:val="32"/>
          <w:szCs w:val="32"/>
          <w:lang w:val="zh-CN"/>
        </w:rPr>
        <w:t>。主要原因是行政区划调整改革后办公楼维修维护费增加,一般公共服务支出中行政运行费用增加。</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（二）政府采购支出情况</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hint="eastAsia" w:ascii="仿宋_GB2312" w:hAnsi="仿宋_GB2312" w:eastAsia="仿宋_GB2312" w:cs="仿宋_GB2312"/>
          <w:color w:val="000000" w:themeColor="text1"/>
          <w:sz w:val="32"/>
          <w:szCs w:val="32"/>
        </w:rPr>
        <w:t>广元市昭化区王家镇人民政府2023年未发生</w:t>
      </w:r>
      <w:r>
        <w:rPr>
          <w:rFonts w:hint="eastAsia" w:ascii="仿宋_GB2312" w:hAnsi="Times New Roman" w:eastAsia="仿宋_GB2312" w:cs="仿宋_GB2312"/>
          <w:color w:val="000000"/>
          <w:kern w:val="2"/>
          <w:sz w:val="32"/>
          <w:szCs w:val="32"/>
          <w:lang w:val="zh-CN"/>
        </w:rPr>
        <w:t>政府采购。</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（三）国有资产占有使用情况</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截至</w:t>
      </w:r>
      <w:r>
        <w:rPr>
          <w:rFonts w:ascii="仿宋_GB2312" w:hAnsi="Times New Roman" w:eastAsia="仿宋_GB2312" w:cs="仿宋_GB2312"/>
          <w:color w:val="000000"/>
          <w:kern w:val="2"/>
          <w:sz w:val="32"/>
          <w:szCs w:val="32"/>
          <w:lang w:val="zh-CN"/>
        </w:rPr>
        <w:t>2023</w:t>
      </w:r>
      <w:r>
        <w:rPr>
          <w:rFonts w:hint="eastAsia" w:ascii="仿宋_GB2312" w:hAnsi="Times New Roman" w:eastAsia="仿宋_GB2312" w:cs="仿宋_GB2312"/>
          <w:color w:val="000000"/>
          <w:kern w:val="2"/>
          <w:sz w:val="32"/>
          <w:szCs w:val="32"/>
          <w:lang w:val="zh-CN"/>
        </w:rPr>
        <w:t>年</w:t>
      </w:r>
      <w:r>
        <w:rPr>
          <w:rFonts w:ascii="仿宋_GB2312" w:hAnsi="Times New Roman" w:eastAsia="仿宋_GB2312" w:cs="仿宋_GB2312"/>
          <w:color w:val="000000"/>
          <w:kern w:val="2"/>
          <w:sz w:val="32"/>
          <w:szCs w:val="32"/>
          <w:lang w:val="zh-CN"/>
        </w:rPr>
        <w:t>12</w:t>
      </w:r>
      <w:r>
        <w:rPr>
          <w:rFonts w:hint="eastAsia" w:ascii="仿宋_GB2312" w:hAnsi="Times New Roman" w:eastAsia="仿宋_GB2312" w:cs="仿宋_GB2312"/>
          <w:color w:val="000000"/>
          <w:kern w:val="2"/>
          <w:sz w:val="32"/>
          <w:szCs w:val="32"/>
          <w:lang w:val="zh-CN"/>
        </w:rPr>
        <w:t>月</w:t>
      </w:r>
      <w:r>
        <w:rPr>
          <w:rFonts w:ascii="仿宋_GB2312" w:hAnsi="Times New Roman" w:eastAsia="仿宋_GB2312" w:cs="仿宋_GB2312"/>
          <w:color w:val="000000"/>
          <w:kern w:val="2"/>
          <w:sz w:val="32"/>
          <w:szCs w:val="32"/>
          <w:lang w:val="zh-CN"/>
        </w:rPr>
        <w:t>31</w:t>
      </w:r>
      <w:r>
        <w:rPr>
          <w:rFonts w:hint="eastAsia" w:ascii="仿宋_GB2312" w:hAnsi="Times New Roman" w:eastAsia="仿宋_GB2312" w:cs="仿宋_GB2312"/>
          <w:color w:val="000000"/>
          <w:kern w:val="2"/>
          <w:sz w:val="32"/>
          <w:szCs w:val="32"/>
          <w:lang w:val="zh-CN"/>
        </w:rPr>
        <w:t>日，本单位无公务用车辆。</w:t>
      </w:r>
    </w:p>
    <w:p>
      <w:pPr>
        <w:widowControl w:val="0"/>
        <w:autoSpaceDE w:val="0"/>
        <w:autoSpaceDN w:val="0"/>
        <w:snapToGrid/>
        <w:spacing w:after="0" w:line="576" w:lineRule="exact"/>
        <w:ind w:firstLine="640" w:firstLineChars="200"/>
        <w:jc w:val="both"/>
        <w:rPr>
          <w:rFonts w:ascii="仿宋_GB2312" w:hAnsi="Times New Roman" w:eastAsia="仿宋_GB2312" w:cs="仿宋_GB2312"/>
          <w:b/>
          <w:bCs/>
          <w:color w:val="FF0000"/>
          <w:kern w:val="2"/>
          <w:sz w:val="32"/>
          <w:szCs w:val="32"/>
          <w:lang w:val="zh-CN"/>
        </w:rPr>
      </w:pPr>
      <w:r>
        <w:rPr>
          <w:rFonts w:hint="eastAsia" w:ascii="仿宋_GB2312" w:hAnsi="Times New Roman" w:eastAsia="仿宋_GB2312" w:cs="仿宋_GB2312"/>
          <w:color w:val="000000"/>
          <w:kern w:val="2"/>
          <w:sz w:val="32"/>
          <w:szCs w:val="32"/>
          <w:lang w:val="zh-CN"/>
        </w:rPr>
        <w:t>单价</w:t>
      </w:r>
      <w:r>
        <w:rPr>
          <w:rFonts w:ascii="仿宋_GB2312" w:hAnsi="Times New Roman" w:eastAsia="仿宋_GB2312" w:cs="仿宋_GB2312"/>
          <w:color w:val="000000"/>
          <w:kern w:val="2"/>
          <w:sz w:val="32"/>
          <w:szCs w:val="32"/>
          <w:lang w:val="zh-CN"/>
        </w:rPr>
        <w:t>100</w:t>
      </w:r>
      <w:r>
        <w:rPr>
          <w:rFonts w:hint="eastAsia" w:ascii="仿宋_GB2312" w:hAnsi="Times New Roman" w:eastAsia="仿宋_GB2312" w:cs="仿宋_GB2312"/>
          <w:color w:val="000000"/>
          <w:kern w:val="2"/>
          <w:sz w:val="32"/>
          <w:szCs w:val="32"/>
          <w:lang w:val="zh-CN"/>
        </w:rPr>
        <w:t>万元（含）以上设备</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台（套）。</w:t>
      </w:r>
    </w:p>
    <w:p>
      <w:pPr>
        <w:widowControl w:val="0"/>
        <w:autoSpaceDE w:val="0"/>
        <w:autoSpaceDN w:val="0"/>
        <w:snapToGrid/>
        <w:spacing w:after="0" w:line="576" w:lineRule="exact"/>
        <w:ind w:firstLine="642" w:firstLineChars="200"/>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（四）预算绩效管理情况。</w:t>
      </w:r>
    </w:p>
    <w:p>
      <w:pPr>
        <w:widowControl w:val="0"/>
        <w:autoSpaceDE w:val="0"/>
        <w:autoSpaceDN w:val="0"/>
        <w:snapToGrid/>
        <w:spacing w:after="0" w:line="576" w:lineRule="exact"/>
        <w:ind w:firstLine="640" w:firstLineChars="200"/>
        <w:jc w:val="both"/>
        <w:rPr>
          <w:rFonts w:ascii="仿宋_GB2312" w:hAnsi="Times New Roman" w:eastAsia="仿宋_GB2312" w:cs="仿宋_GB2312"/>
          <w:kern w:val="2"/>
          <w:sz w:val="32"/>
          <w:szCs w:val="32"/>
          <w:lang w:val="zh-CN"/>
        </w:rPr>
      </w:pPr>
      <w:r>
        <w:rPr>
          <w:rFonts w:hint="eastAsia" w:ascii="仿宋_GB2312" w:hAnsi="Times New Roman" w:eastAsia="仿宋_GB2312" w:cs="仿宋_GB2312"/>
          <w:kern w:val="2"/>
          <w:sz w:val="32"/>
          <w:szCs w:val="32"/>
          <w:lang w:val="zh-CN"/>
        </w:rPr>
        <w:t>根据预算绩效管理要求，本部门在</w:t>
      </w:r>
      <w:r>
        <w:rPr>
          <w:rFonts w:ascii="仿宋_GB2312" w:hAnsi="Times New Roman" w:eastAsia="仿宋_GB2312" w:cs="仿宋_GB2312"/>
          <w:kern w:val="2"/>
          <w:sz w:val="32"/>
          <w:szCs w:val="32"/>
          <w:lang w:val="zh-CN"/>
        </w:rPr>
        <w:t>2023</w:t>
      </w:r>
      <w:r>
        <w:rPr>
          <w:rFonts w:hint="eastAsia" w:ascii="仿宋_GB2312" w:hAnsi="Times New Roman" w:eastAsia="仿宋_GB2312" w:cs="仿宋_GB2312"/>
          <w:kern w:val="2"/>
          <w:sz w:val="32"/>
          <w:szCs w:val="32"/>
          <w:lang w:val="zh-CN"/>
        </w:rPr>
        <w:t>年度预算编制阶段，组织对</w:t>
      </w:r>
      <w:r>
        <w:rPr>
          <w:rFonts w:hint="eastAsia" w:ascii="仿宋_GB2312" w:hAnsi="仿宋_GB2312" w:eastAsia="仿宋_GB2312" w:cs="仿宋_GB2312"/>
          <w:color w:val="000000" w:themeColor="text1"/>
          <w:sz w:val="32"/>
          <w:szCs w:val="32"/>
        </w:rPr>
        <w:t>基层组织活动和公共运行维护经费</w:t>
      </w:r>
      <w:r>
        <w:rPr>
          <w:rFonts w:hint="eastAsia" w:ascii="仿宋_GB2312" w:hAnsi="Times New Roman" w:eastAsia="仿宋_GB2312" w:cs="仿宋_GB2312"/>
          <w:kern w:val="2"/>
          <w:sz w:val="32"/>
          <w:szCs w:val="32"/>
          <w:lang w:val="zh-CN"/>
        </w:rPr>
        <w:t>项目等2个项目开展了预算事前绩效评估，对2个项目编制了绩效目标，预算执行过程中，选取2个项目开展绩效监控。</w:t>
      </w:r>
    </w:p>
    <w:p>
      <w:pPr>
        <w:pStyle w:val="10"/>
        <w:spacing w:before="0" w:beforeAutospacing="0" w:after="0" w:afterAutospacing="0" w:line="576" w:lineRule="exact"/>
        <w:ind w:firstLine="640" w:firstLineChars="200"/>
        <w:jc w:val="both"/>
        <w:rPr>
          <w:rFonts w:ascii="仿宋_GB2312" w:hAnsi="仿宋_GB2312" w:eastAsia="仿宋_GB2312" w:cs="仿宋_GB2312"/>
          <w:color w:val="000000" w:themeColor="text1"/>
          <w:sz w:val="32"/>
          <w:szCs w:val="32"/>
        </w:rPr>
      </w:pPr>
      <w:r>
        <w:rPr>
          <w:rFonts w:ascii="仿宋_GB2312" w:hAnsi="Times New Roman" w:eastAsia="仿宋_GB2312" w:cs="仿宋_GB2312"/>
          <w:kern w:val="2"/>
          <w:sz w:val="32"/>
          <w:szCs w:val="32"/>
          <w:lang w:val="zh-CN"/>
        </w:rPr>
        <w:t>2023</w:t>
      </w:r>
      <w:r>
        <w:rPr>
          <w:rFonts w:hint="eastAsia" w:ascii="仿宋_GB2312" w:hAnsi="Times New Roman" w:eastAsia="仿宋_GB2312" w:cs="仿宋_GB2312"/>
          <w:kern w:val="2"/>
          <w:sz w:val="32"/>
          <w:szCs w:val="32"/>
          <w:lang w:val="zh-CN"/>
        </w:rPr>
        <w:t>年度组织</w:t>
      </w:r>
      <w:r>
        <w:rPr>
          <w:rFonts w:hint="eastAsia" w:ascii="仿宋_GB2312" w:hAnsi="Times New Roman" w:eastAsia="仿宋_GB2312" w:cs="仿宋_GB2312"/>
          <w:color w:val="000000" w:themeColor="text1"/>
          <w:kern w:val="2"/>
          <w:sz w:val="32"/>
          <w:szCs w:val="32"/>
          <w:lang w:val="zh-CN"/>
        </w:rPr>
        <w:t>一般公共预算、政府性基金预算、国有资本经营预算以及资本资产、债券资金等全面开展绩效自评，形成</w:t>
      </w:r>
      <w:r>
        <w:rPr>
          <w:rFonts w:ascii="仿宋_GB2312" w:hAnsi="Times New Roman" w:eastAsia="仿宋_GB2312" w:cs="仿宋_GB2312"/>
          <w:color w:val="000000" w:themeColor="text1"/>
          <w:kern w:val="2"/>
          <w:sz w:val="32"/>
          <w:szCs w:val="32"/>
          <w:lang w:val="zh-CN"/>
        </w:rPr>
        <w:t>202</w:t>
      </w:r>
      <w:r>
        <w:rPr>
          <w:rFonts w:hint="eastAsia" w:ascii="仿宋_GB2312" w:hAnsi="Times New Roman" w:eastAsia="仿宋_GB2312" w:cs="仿宋_GB2312"/>
          <w:color w:val="000000" w:themeColor="text1"/>
          <w:kern w:val="2"/>
          <w:sz w:val="32"/>
          <w:szCs w:val="32"/>
          <w:lang w:val="zh-CN"/>
        </w:rPr>
        <w:t>3年广元市昭化区王家镇人民政府部门整体（含部门预算</w:t>
      </w:r>
      <w:r>
        <w:rPr>
          <w:rFonts w:hint="eastAsia" w:ascii="仿宋_GB2312" w:hAnsi="Times New Roman" w:eastAsia="仿宋_GB2312" w:cs="仿宋_GB2312"/>
          <w:kern w:val="2"/>
          <w:sz w:val="32"/>
          <w:szCs w:val="32"/>
          <w:lang w:val="zh-CN"/>
        </w:rPr>
        <w:t>项目）绩效自评报告、2023年基层组织活动和公共服务运行经费等专项预算项目绩效自评报告等，</w:t>
      </w:r>
      <w:r>
        <w:rPr>
          <w:rFonts w:hint="eastAsia" w:ascii="仿宋_GB2312" w:hAnsi="Times New Roman" w:eastAsia="仿宋_GB2312" w:cs="仿宋_GB2312"/>
          <w:sz w:val="32"/>
          <w:szCs w:val="32"/>
          <w:lang w:val="zh-CN"/>
        </w:rPr>
        <w:t>其中，</w:t>
      </w:r>
      <w:r>
        <w:rPr>
          <w:rFonts w:hint="eastAsia" w:ascii="仿宋_GB2312" w:hAnsi="Times New Roman" w:eastAsia="仿宋_GB2312" w:cs="仿宋_GB2312"/>
          <w:kern w:val="2"/>
          <w:sz w:val="32"/>
          <w:szCs w:val="32"/>
          <w:lang w:val="zh-CN"/>
        </w:rPr>
        <w:t>广元市昭化区王家镇人民政府</w:t>
      </w:r>
      <w:r>
        <w:rPr>
          <w:rFonts w:hint="eastAsia" w:ascii="仿宋_GB2312" w:hAnsi="Times New Roman" w:eastAsia="仿宋_GB2312" w:cs="仿宋_GB2312"/>
          <w:sz w:val="32"/>
          <w:szCs w:val="32"/>
          <w:lang w:val="zh-CN"/>
        </w:rPr>
        <w:t>部门整体（含部门预算项目）绩效自评得分为94.5分，绩效自评综述：</w:t>
      </w:r>
      <w:r>
        <w:rPr>
          <w:rFonts w:hint="eastAsia" w:ascii="仿宋_GB2312" w:hAnsi="仿宋_GB2312" w:eastAsia="仿宋_GB2312" w:cs="仿宋_GB2312"/>
          <w:color w:val="000000" w:themeColor="text1"/>
          <w:sz w:val="32"/>
          <w:szCs w:val="32"/>
        </w:rPr>
        <w:t>2023年王家镇部门整体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2023年基本完成，在保障机关运转、履行职能职责上整体情况良好；基层组织活动和公共服务运行经费绩效自评得分为96分，绩效自评综述：</w:t>
      </w:r>
      <w:r>
        <w:rPr>
          <w:rFonts w:hint="eastAsia" w:ascii="仿宋_GB2312" w:eastAsia="仿宋_GB2312"/>
          <w:sz w:val="32"/>
          <w:szCs w:val="32"/>
          <w:lang w:val="zh-CN"/>
        </w:rPr>
        <w:t>2023年我镇基层组织活动和公共服务运行经费项目：完成了垃圾清运600余次、村社道路维修6.4公里，护林631次，涵洞维修4处，山坪塘整治2处，水毁道路建设4处，堡坎建设维护5处，污水管网维护1处。项目于2022年12月31日前全部实施完工。项目规划符合省委、区委、省政府、区政府重大决策部署，项目绩效目标合理、明确，与项目年度目标一致；2023年烤烟产业发展资金支出的绩效自评得分97分，绩效自评综述：</w:t>
      </w:r>
      <w:r>
        <w:rPr>
          <w:rFonts w:hint="eastAsia" w:ascii="仿宋_GB2312" w:hAnsi="仿宋_GB2312" w:eastAsia="仿宋_GB2312" w:cs="仿宋_GB2312"/>
          <w:color w:val="000000" w:themeColor="text1"/>
          <w:sz w:val="32"/>
          <w:szCs w:val="32"/>
          <w:shd w:val="clear" w:color="auto" w:fill="FFFFFF"/>
        </w:rPr>
        <w:t>2023年购烟叶5919.51担；实现烟叶税收185.46万元；烟叶质量等级合格率94.91%；烤烟总产值843.01万元，均价28.48元/公斤。烤烟生产的烟叶发展补助资金的投入为我镇财政增税、农民增收起到了显著成效。</w:t>
      </w:r>
      <w:r>
        <w:rPr>
          <w:rFonts w:hint="eastAsia" w:ascii="仿宋_GB2312" w:hAnsi="仿宋_GB2312" w:eastAsia="仿宋_GB2312" w:cs="仿宋_GB2312"/>
          <w:sz w:val="32"/>
          <w:szCs w:val="32"/>
          <w:shd w:val="clear" w:color="auto" w:fill="FFFFFF"/>
        </w:rPr>
        <w:t>该项目建设紧抓以促进烤烟产业持续稳定发展和让烟农得实惠为出发点；以提升烟叶质量和市场竞争力为关键点；以完善基础设施为保障点；真正使财政资金实现令人民满意和取得最大绩效。</w:t>
      </w:r>
      <w:r>
        <w:rPr>
          <w:rFonts w:hint="eastAsia" w:ascii="仿宋_GB2312" w:eastAsia="仿宋_GB2312"/>
          <w:sz w:val="32"/>
          <w:szCs w:val="32"/>
          <w:lang w:val="zh-CN"/>
        </w:rPr>
        <w:t>绩效自评报告及自评表详见附件。</w:t>
      </w:r>
    </w:p>
    <w:p>
      <w:pPr>
        <w:widowControl w:val="0"/>
        <w:autoSpaceDE w:val="0"/>
        <w:autoSpaceDN w:val="0"/>
        <w:snapToGrid/>
        <w:spacing w:after="0" w:line="576" w:lineRule="exact"/>
        <w:ind w:firstLine="640" w:firstLineChars="200"/>
        <w:jc w:val="both"/>
        <w:rPr>
          <w:rFonts w:ascii="仿宋_GB2312" w:hAnsi="Times New Roman" w:eastAsia="仿宋_GB2312" w:cs="仿宋_GB2312"/>
          <w:kern w:val="2"/>
          <w:sz w:val="32"/>
          <w:szCs w:val="32"/>
          <w:highlight w:val="yellow"/>
          <w:lang w:val="zh-CN"/>
        </w:rPr>
      </w:pPr>
    </w:p>
    <w:p>
      <w:pPr>
        <w:keepNext/>
        <w:keepLines/>
        <w:pageBreakBefore/>
        <w:widowControl w:val="0"/>
        <w:autoSpaceDE w:val="0"/>
        <w:autoSpaceDN w:val="0"/>
        <w:snapToGrid/>
        <w:spacing w:after="313" w:line="576" w:lineRule="exact"/>
        <w:jc w:val="center"/>
        <w:rPr>
          <w:rFonts w:ascii="黑体" w:eastAsia="黑体" w:cs="黑体" w:hAnsiTheme="minorHAnsi"/>
          <w:bCs/>
          <w:kern w:val="44"/>
          <w:sz w:val="44"/>
          <w:szCs w:val="44"/>
        </w:rPr>
      </w:pPr>
      <w:r>
        <w:rPr>
          <w:rFonts w:hint="eastAsia" w:ascii="黑体" w:eastAsia="黑体" w:cs="黑体" w:hAnsiTheme="minorHAnsi"/>
          <w:bCs/>
          <w:kern w:val="44"/>
          <w:sz w:val="44"/>
          <w:szCs w:val="44"/>
        </w:rPr>
        <w:t>第三部分</w:t>
      </w:r>
      <w:r>
        <w:rPr>
          <w:rFonts w:ascii="黑体" w:eastAsia="黑体" w:cs="黑体" w:hAnsiTheme="minorHAnsi"/>
          <w:bCs/>
          <w:kern w:val="44"/>
          <w:sz w:val="44"/>
          <w:szCs w:val="44"/>
        </w:rPr>
        <w:t xml:space="preserve">  </w:t>
      </w:r>
      <w:r>
        <w:rPr>
          <w:rFonts w:hint="eastAsia" w:ascii="黑体" w:eastAsia="黑体" w:cs="黑体" w:hAnsiTheme="minorHAnsi"/>
          <w:bCs/>
          <w:kern w:val="44"/>
          <w:sz w:val="44"/>
          <w:szCs w:val="44"/>
        </w:rPr>
        <w:t>名词解释</w:t>
      </w:r>
    </w:p>
    <w:p>
      <w:pPr>
        <w:widowControl w:val="0"/>
        <w:autoSpaceDE w:val="0"/>
        <w:autoSpaceDN w:val="0"/>
        <w:snapToGrid/>
        <w:spacing w:after="0" w:line="576" w:lineRule="exact"/>
        <w:ind w:firstLine="640" w:firstLineChars="200"/>
        <w:rPr>
          <w:rFonts w:ascii="仿宋_GB2312" w:hAnsi="Times New Roman" w:eastAsia="仿宋_GB2312" w:cs="仿宋_GB2312"/>
          <w:color w:val="000000"/>
          <w:sz w:val="32"/>
          <w:szCs w:val="32"/>
          <w:lang w:val="zh-CN"/>
        </w:rPr>
      </w:pPr>
      <w:r>
        <w:rPr>
          <w:rFonts w:hint="eastAsia" w:ascii="仿宋_GB2312" w:hAnsi="Times New Roman" w:eastAsia="仿宋_GB2312" w:cs="仿宋_GB2312"/>
          <w:color w:val="000000"/>
          <w:sz w:val="32"/>
          <w:szCs w:val="32"/>
          <w:lang w:val="zh-CN"/>
        </w:rPr>
        <w:t>一、财政拨款收入：指单位从同级财政部门取得的财政预算资金。</w:t>
      </w:r>
    </w:p>
    <w:p>
      <w:pPr>
        <w:widowControl w:val="0"/>
        <w:autoSpaceDE w:val="0"/>
        <w:autoSpaceDN w:val="0"/>
        <w:snapToGrid/>
        <w:spacing w:after="0" w:line="576" w:lineRule="exact"/>
        <w:ind w:firstLine="640" w:firstLineChars="200"/>
        <w:rPr>
          <w:rFonts w:ascii="仿宋_GB2312" w:hAnsi="Times New Roman" w:eastAsia="仿宋_GB2312" w:cs="仿宋_GB2312"/>
          <w:color w:val="000000"/>
          <w:sz w:val="32"/>
          <w:szCs w:val="32"/>
          <w:lang w:val="zh-CN"/>
        </w:rPr>
      </w:pPr>
      <w:r>
        <w:rPr>
          <w:rFonts w:hint="eastAsia" w:ascii="仿宋_GB2312" w:hAnsi="Times New Roman" w:eastAsia="仿宋_GB2312" w:cs="仿宋_GB2312"/>
          <w:color w:val="000000"/>
          <w:sz w:val="32"/>
          <w:szCs w:val="32"/>
          <w:lang w:val="zh-CN"/>
        </w:rPr>
        <w:t>二、事业收入：指事业单位开展专业业务活动及辅助活动取得的收入。</w:t>
      </w:r>
    </w:p>
    <w:p>
      <w:pPr>
        <w:widowControl w:val="0"/>
        <w:autoSpaceDE w:val="0"/>
        <w:autoSpaceDN w:val="0"/>
        <w:snapToGrid/>
        <w:spacing w:after="0" w:line="576" w:lineRule="exact"/>
        <w:ind w:firstLine="640" w:firstLineChars="200"/>
        <w:rPr>
          <w:rFonts w:ascii="仿宋_GB2312" w:hAnsi="Times New Roman" w:eastAsia="仿宋_GB2312" w:cs="仿宋_GB2312"/>
          <w:color w:val="000000"/>
          <w:sz w:val="32"/>
          <w:szCs w:val="32"/>
          <w:lang w:val="zh-CN"/>
        </w:rPr>
      </w:pPr>
      <w:r>
        <w:rPr>
          <w:rFonts w:hint="eastAsia" w:ascii="仿宋_GB2312" w:hAnsi="Times New Roman" w:eastAsia="仿宋_GB2312" w:cs="仿宋_GB2312"/>
          <w:color w:val="000000"/>
          <w:sz w:val="32"/>
          <w:szCs w:val="32"/>
          <w:lang w:val="zh-CN"/>
        </w:rPr>
        <w:t>三、经营收入：指事业单位在专业业务活动及其辅助活动之外开展非独立核算经营活动取得的收入。</w:t>
      </w:r>
    </w:p>
    <w:p>
      <w:pPr>
        <w:widowControl w:val="0"/>
        <w:autoSpaceDE w:val="0"/>
        <w:autoSpaceDN w:val="0"/>
        <w:snapToGrid/>
        <w:spacing w:after="0" w:line="576" w:lineRule="exact"/>
        <w:ind w:firstLine="640" w:firstLineChars="200"/>
        <w:rPr>
          <w:rFonts w:ascii="仿宋_GB2312" w:hAnsi="Times New Roman" w:eastAsia="仿宋_GB2312" w:cs="仿宋_GB2312"/>
          <w:color w:val="000000"/>
          <w:sz w:val="32"/>
          <w:szCs w:val="32"/>
          <w:lang w:val="zh-CN"/>
        </w:rPr>
      </w:pPr>
      <w:r>
        <w:rPr>
          <w:rFonts w:hint="eastAsia" w:ascii="仿宋_GB2312" w:hAnsi="Times New Roman" w:eastAsia="仿宋_GB2312" w:cs="仿宋_GB2312"/>
          <w:color w:val="000000"/>
          <w:sz w:val="32"/>
          <w:szCs w:val="32"/>
          <w:lang w:val="zh-CN"/>
        </w:rPr>
        <w:t>四、其他收入：指单位取得的除上述收入以外的各项收入。</w:t>
      </w:r>
      <w:r>
        <w:rPr>
          <w:rFonts w:ascii="仿宋_GB2312" w:hAnsi="Times New Roman" w:eastAsia="仿宋_GB2312" w:cs="仿宋_GB2312"/>
          <w:color w:val="000000"/>
          <w:sz w:val="32"/>
          <w:szCs w:val="32"/>
          <w:lang w:val="zh-CN"/>
        </w:rPr>
        <w:t xml:space="preserve"> </w:t>
      </w:r>
    </w:p>
    <w:p>
      <w:pPr>
        <w:widowControl w:val="0"/>
        <w:autoSpaceDE w:val="0"/>
        <w:autoSpaceDN w:val="0"/>
        <w:snapToGrid/>
        <w:spacing w:after="0" w:line="576" w:lineRule="exact"/>
        <w:ind w:firstLine="640" w:firstLineChars="200"/>
        <w:rPr>
          <w:rFonts w:ascii="仿宋_GB2312" w:hAnsi="Times New Roman" w:eastAsia="仿宋_GB2312" w:cs="仿宋_GB2312"/>
          <w:sz w:val="32"/>
          <w:szCs w:val="32"/>
          <w:lang w:val="zh-CN"/>
        </w:rPr>
      </w:pPr>
      <w:r>
        <w:rPr>
          <w:rFonts w:hint="eastAsia" w:ascii="仿宋_GB2312" w:hAnsi="Times New Roman" w:eastAsia="仿宋_GB2312" w:cs="仿宋_GB2312"/>
          <w:color w:val="000000"/>
          <w:kern w:val="2"/>
          <w:sz w:val="32"/>
          <w:szCs w:val="32"/>
          <w:lang w:val="zh-CN"/>
        </w:rPr>
        <w:t>五、</w:t>
      </w:r>
      <w:r>
        <w:rPr>
          <w:rFonts w:hint="eastAsia" w:ascii="仿宋_GB2312" w:hAnsi="Times New Roman" w:eastAsia="仿宋_GB2312" w:cs="仿宋_GB2312"/>
          <w:color w:val="000000"/>
          <w:sz w:val="32"/>
          <w:szCs w:val="32"/>
          <w:lang w:val="zh-CN"/>
        </w:rPr>
        <w:t>使用非财政拨款结余（含专用结余）</w:t>
      </w:r>
      <w:r>
        <w:rPr>
          <w:rFonts w:hint="eastAsia" w:ascii="仿宋_GB2312" w:hAnsi="Times New Roman" w:eastAsia="仿宋_GB2312" w:cs="仿宋_GB2312"/>
          <w:sz w:val="32"/>
          <w:szCs w:val="32"/>
          <w:lang w:val="zh-CN"/>
        </w:rPr>
        <w:t>：指事业单位使用以前年度积累的非财政拨款结余弥补当年收支差额的金额。</w:t>
      </w:r>
      <w:r>
        <w:rPr>
          <w:rFonts w:ascii="仿宋_GB2312" w:hAnsi="Times New Roman" w:eastAsia="仿宋_GB2312" w:cs="仿宋_GB2312"/>
          <w:sz w:val="32"/>
          <w:szCs w:val="32"/>
          <w:lang w:val="zh-CN"/>
        </w:rPr>
        <w:t xml:space="preserve"> </w:t>
      </w:r>
    </w:p>
    <w:p>
      <w:pPr>
        <w:widowControl w:val="0"/>
        <w:autoSpaceDE w:val="0"/>
        <w:autoSpaceDN w:val="0"/>
        <w:snapToGrid/>
        <w:spacing w:after="0" w:line="576" w:lineRule="exact"/>
        <w:ind w:firstLine="640" w:firstLineChars="200"/>
        <w:rPr>
          <w:rFonts w:ascii="仿宋_GB2312" w:hAnsi="Times New Roman" w:eastAsia="仿宋_GB2312" w:cs="仿宋_GB2312"/>
          <w:color w:val="000000"/>
          <w:sz w:val="32"/>
          <w:szCs w:val="32"/>
          <w:lang w:val="zh-CN"/>
        </w:rPr>
      </w:pPr>
      <w:r>
        <w:rPr>
          <w:rFonts w:hint="eastAsia" w:ascii="仿宋_GB2312" w:hAnsi="Times New Roman" w:eastAsia="仿宋_GB2312" w:cs="仿宋_GB2312"/>
          <w:color w:val="000000"/>
          <w:sz w:val="32"/>
          <w:szCs w:val="32"/>
          <w:lang w:val="zh-CN"/>
        </w:rPr>
        <w:t>六、年初结转和结余：指以前年度尚未完成、结转到本年按有关规定继续使用的资金。</w:t>
      </w:r>
      <w:r>
        <w:rPr>
          <w:rFonts w:ascii="仿宋_GB2312" w:hAnsi="Times New Roman" w:eastAsia="仿宋_GB2312" w:cs="仿宋_GB2312"/>
          <w:color w:val="000000"/>
          <w:sz w:val="32"/>
          <w:szCs w:val="32"/>
          <w:lang w:val="zh-CN"/>
        </w:rPr>
        <w:t xml:space="preserve"> </w:t>
      </w:r>
    </w:p>
    <w:p>
      <w:pPr>
        <w:widowControl w:val="0"/>
        <w:autoSpaceDE w:val="0"/>
        <w:autoSpaceDN w:val="0"/>
        <w:snapToGrid/>
        <w:spacing w:after="0" w:line="576" w:lineRule="exact"/>
        <w:ind w:firstLine="640" w:firstLineChars="200"/>
        <w:rPr>
          <w:rFonts w:ascii="仿宋_GB2312" w:hAnsi="Times New Roman" w:eastAsia="仿宋_GB2312" w:cs="仿宋_GB2312"/>
          <w:color w:val="000000"/>
          <w:sz w:val="32"/>
          <w:szCs w:val="32"/>
          <w:lang w:val="zh-CN"/>
        </w:rPr>
      </w:pPr>
      <w:r>
        <w:rPr>
          <w:rFonts w:hint="eastAsia" w:ascii="仿宋_GB2312" w:hAnsi="Times New Roman" w:eastAsia="仿宋_GB2312" w:cs="仿宋_GB2312"/>
          <w:color w:val="000000"/>
          <w:sz w:val="32"/>
          <w:szCs w:val="32"/>
          <w:lang w:val="zh-CN"/>
        </w:rPr>
        <w:t>七、结余分配：指事业单位按照会计制度规定缴纳的所得税、提取的专用结余以及转入非财政拨款结余的金额等。</w:t>
      </w:r>
    </w:p>
    <w:p>
      <w:pPr>
        <w:widowControl w:val="0"/>
        <w:autoSpaceDE w:val="0"/>
        <w:autoSpaceDN w:val="0"/>
        <w:snapToGrid/>
        <w:spacing w:after="0" w:line="576" w:lineRule="exact"/>
        <w:ind w:firstLine="640" w:firstLineChars="200"/>
        <w:rPr>
          <w:rFonts w:ascii="仿宋_GB2312" w:hAnsi="Times New Roman" w:eastAsia="仿宋_GB2312" w:cs="仿宋_GB2312"/>
          <w:color w:val="000000"/>
          <w:sz w:val="32"/>
          <w:szCs w:val="32"/>
          <w:lang w:val="zh-CN"/>
        </w:rPr>
      </w:pPr>
      <w:r>
        <w:rPr>
          <w:rFonts w:hint="eastAsia" w:ascii="仿宋_GB2312" w:hAnsi="Times New Roman" w:eastAsia="仿宋_GB2312" w:cs="仿宋_GB2312"/>
          <w:color w:val="000000"/>
          <w:sz w:val="32"/>
          <w:szCs w:val="32"/>
          <w:lang w:val="zh-CN"/>
        </w:rPr>
        <w:t>八、年末结转和结余：指单位按有关规定结转到下年或以后年度继续使用的资金。</w:t>
      </w:r>
    </w:p>
    <w:p>
      <w:pPr>
        <w:widowControl w:val="0"/>
        <w:autoSpaceDE w:val="0"/>
        <w:autoSpaceDN w:val="0"/>
        <w:snapToGrid/>
        <w:spacing w:after="0" w:line="576" w:lineRule="exact"/>
        <w:ind w:firstLine="640" w:firstLineChars="200"/>
        <w:jc w:val="both"/>
        <w:rPr>
          <w:rFonts w:ascii="楷体_GB2312" w:hAnsi="楷体_GB2312" w:eastAsia="楷体_GB2312" w:cs="楷体_GB2312"/>
          <w:color w:val="000000" w:themeColor="text1"/>
          <w:sz w:val="32"/>
          <w:szCs w:val="32"/>
          <w:shd w:val="clear" w:color="auto" w:fill="FFFFFF"/>
        </w:rPr>
      </w:pPr>
      <w:r>
        <w:rPr>
          <w:rFonts w:hint="eastAsia" w:ascii="仿宋_GB2312" w:hAnsi="Times New Roman" w:eastAsia="仿宋_GB2312" w:cs="仿宋_GB2312"/>
          <w:color w:val="000000"/>
          <w:kern w:val="2"/>
          <w:sz w:val="32"/>
          <w:szCs w:val="32"/>
          <w:lang w:val="zh-CN"/>
        </w:rPr>
        <w:t>九、一般公共服务支出（类）人大事务（款）代表工作（项）：指用于保障代表工作正常运行的基本支出</w:t>
      </w:r>
      <w:r>
        <w:rPr>
          <w:rFonts w:hint="eastAsia" w:ascii="楷体_GB2312" w:hAnsi="楷体_GB2312" w:eastAsia="楷体_GB2312" w:cs="楷体_GB2312"/>
          <w:color w:val="000000" w:themeColor="text1"/>
          <w:sz w:val="32"/>
          <w:szCs w:val="32"/>
          <w:shd w:val="clear" w:color="auto" w:fill="FFFFFF"/>
        </w:rPr>
        <w:t>。</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hint="eastAsia" w:ascii="楷体_GB2312" w:hAnsi="楷体_GB2312" w:eastAsia="楷体_GB2312" w:cs="楷体_GB2312"/>
          <w:color w:val="000000" w:themeColor="text1"/>
          <w:sz w:val="32"/>
          <w:szCs w:val="32"/>
          <w:shd w:val="clear" w:color="auto" w:fill="FFFFFF"/>
        </w:rPr>
        <w:t>十、</w:t>
      </w:r>
      <w:r>
        <w:rPr>
          <w:rFonts w:hint="eastAsia" w:ascii="仿宋_GB2312" w:hAnsi="Times New Roman" w:eastAsia="仿宋_GB2312" w:cs="仿宋_GB2312"/>
          <w:color w:val="000000"/>
          <w:kern w:val="2"/>
          <w:sz w:val="32"/>
          <w:szCs w:val="32"/>
          <w:lang w:val="zh-CN"/>
        </w:rPr>
        <w:t>一般公共服务支出（类）人大事务（款）其他人大事务支出（项）：指机关单位开展人大事务管理工作的日常支出。</w:t>
      </w:r>
    </w:p>
    <w:p>
      <w:pPr>
        <w:pStyle w:val="17"/>
        <w:spacing w:line="576" w:lineRule="exact"/>
        <w:ind w:firstLine="640" w:firstLineChars="200"/>
        <w:rPr>
          <w:rFonts w:ascii="仿宋_GB2312" w:hAnsi="楷体_GB2312" w:eastAsia="仿宋_GB2312" w:cs="楷体_GB2312"/>
          <w:color w:val="000000" w:themeColor="text1"/>
          <w:sz w:val="32"/>
          <w:szCs w:val="32"/>
        </w:rPr>
      </w:pPr>
      <w:r>
        <w:rPr>
          <w:rFonts w:hint="eastAsia" w:ascii="仿宋_GB2312" w:hAnsi="Times New Roman" w:eastAsia="仿宋_GB2312" w:cs="仿宋_GB2312"/>
          <w:kern w:val="2"/>
          <w:sz w:val="32"/>
          <w:szCs w:val="32"/>
          <w:lang w:val="zh-CN"/>
        </w:rPr>
        <w:t>十一、</w:t>
      </w:r>
      <w:r>
        <w:rPr>
          <w:rFonts w:hint="eastAsia" w:ascii="仿宋_GB2312" w:eastAsia="仿宋_GB2312" w:cs="仿宋_GB2312"/>
          <w:bCs/>
          <w:sz w:val="32"/>
          <w:szCs w:val="32"/>
          <w:lang w:val="zh-CN"/>
        </w:rPr>
        <w:t>一般公共服务支出（类）政府办公厅（室）及相关机构事务（款）行政运行</w:t>
      </w:r>
      <w:r>
        <w:rPr>
          <w:rFonts w:hint="eastAsia" w:ascii="仿宋_GB2312" w:hAnsi="Times New Roman" w:eastAsia="仿宋_GB2312" w:cs="仿宋_GB2312"/>
          <w:kern w:val="2"/>
          <w:sz w:val="32"/>
          <w:szCs w:val="32"/>
          <w:lang w:val="zh-CN"/>
        </w:rPr>
        <w:t>（项）：</w:t>
      </w:r>
      <w:r>
        <w:rPr>
          <w:rFonts w:hint="eastAsia" w:ascii="仿宋_GB2312" w:hAnsi="楷体_GB2312" w:eastAsia="仿宋_GB2312" w:cs="楷体_GB2312"/>
          <w:color w:val="000000" w:themeColor="text1"/>
          <w:sz w:val="32"/>
          <w:szCs w:val="32"/>
          <w:shd w:val="clear" w:color="auto" w:fill="FFFFFF"/>
        </w:rPr>
        <w:t>指</w:t>
      </w:r>
      <w:r>
        <w:rPr>
          <w:rFonts w:hint="eastAsia" w:ascii="仿宋_GB2312" w:hAnsi="楷体_GB2312" w:eastAsia="仿宋_GB2312" w:cs="楷体_GB2312"/>
          <w:color w:val="000000" w:themeColor="text1"/>
          <w:sz w:val="32"/>
          <w:szCs w:val="32"/>
        </w:rPr>
        <w:t>行政单位的基本支出。</w:t>
      </w:r>
    </w:p>
    <w:p>
      <w:pPr>
        <w:pStyle w:val="17"/>
        <w:spacing w:line="576" w:lineRule="exact"/>
        <w:ind w:firstLine="640" w:firstLineChars="200"/>
        <w:rPr>
          <w:rFonts w:ascii="仿宋_GB2312" w:hAnsi="楷体_GB2312" w:eastAsia="仿宋_GB2312" w:cs="楷体_GB2312"/>
          <w:color w:val="000000" w:themeColor="text1"/>
          <w:sz w:val="32"/>
          <w:szCs w:val="32"/>
        </w:rPr>
      </w:pPr>
      <w:r>
        <w:rPr>
          <w:rFonts w:hint="eastAsia" w:ascii="仿宋_GB2312" w:hAnsi="Times New Roman" w:eastAsia="仿宋_GB2312" w:cs="仿宋_GB2312"/>
          <w:kern w:val="2"/>
          <w:sz w:val="32"/>
          <w:szCs w:val="32"/>
          <w:lang w:val="zh-CN"/>
        </w:rPr>
        <w:t>十二、</w:t>
      </w:r>
      <w:r>
        <w:rPr>
          <w:rFonts w:hint="eastAsia" w:ascii="仿宋_GB2312" w:eastAsia="仿宋_GB2312" w:cs="仿宋_GB2312"/>
          <w:bCs/>
          <w:sz w:val="32"/>
          <w:szCs w:val="32"/>
          <w:lang w:val="zh-CN"/>
        </w:rPr>
        <w:t>一般公共服务支出（类）政府办公厅（室）及相关机构事务（款）事业运行</w:t>
      </w:r>
      <w:r>
        <w:rPr>
          <w:rFonts w:hint="eastAsia" w:ascii="仿宋_GB2312" w:hAnsi="Times New Roman" w:eastAsia="仿宋_GB2312" w:cs="仿宋_GB2312"/>
          <w:kern w:val="2"/>
          <w:sz w:val="32"/>
          <w:szCs w:val="32"/>
          <w:lang w:val="zh-CN"/>
        </w:rPr>
        <w:t>（项）：</w:t>
      </w:r>
      <w:r>
        <w:rPr>
          <w:rFonts w:hint="eastAsia" w:ascii="仿宋_GB2312" w:hAnsi="楷体_GB2312" w:eastAsia="仿宋_GB2312" w:cs="楷体_GB2312"/>
          <w:color w:val="000000" w:themeColor="text1"/>
          <w:sz w:val="32"/>
          <w:szCs w:val="32"/>
          <w:shd w:val="clear" w:color="auto" w:fill="FFFFFF"/>
        </w:rPr>
        <w:t>指</w:t>
      </w:r>
      <w:r>
        <w:rPr>
          <w:rFonts w:hint="eastAsia" w:ascii="仿宋_GB2312" w:hAnsi="楷体_GB2312" w:eastAsia="仿宋_GB2312" w:cs="楷体_GB2312"/>
          <w:color w:val="000000" w:themeColor="text1"/>
          <w:sz w:val="32"/>
          <w:szCs w:val="32"/>
        </w:rPr>
        <w:t>用于保障机构正常运行、开展日常工作的基本支出。</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十三、社会保障和就业支出（类）行政事业单位养老支出（款）行政单位离退休（项）：指</w:t>
      </w:r>
      <w:r>
        <w:rPr>
          <w:rFonts w:hint="eastAsia" w:ascii="仿宋_GB2312" w:hAnsi="楷体_GB2312" w:eastAsia="仿宋_GB2312" w:cs="楷体_GB2312"/>
          <w:color w:val="000000" w:themeColor="text1"/>
          <w:sz w:val="32"/>
          <w:szCs w:val="32"/>
          <w:shd w:val="clear" w:color="auto" w:fill="FFFFFF"/>
        </w:rPr>
        <w:t>部门离退休人员的养老支出</w:t>
      </w:r>
      <w:r>
        <w:rPr>
          <w:rFonts w:hint="eastAsia" w:ascii="仿宋_GB2312" w:hAnsi="Times New Roman" w:eastAsia="仿宋_GB2312" w:cs="仿宋_GB2312"/>
          <w:color w:val="000000"/>
          <w:kern w:val="2"/>
          <w:sz w:val="32"/>
          <w:szCs w:val="32"/>
          <w:lang w:val="zh-CN"/>
        </w:rPr>
        <w:t>。</w:t>
      </w:r>
    </w:p>
    <w:p>
      <w:pPr>
        <w:spacing w:after="0" w:line="576" w:lineRule="exact"/>
        <w:ind w:firstLine="640" w:firstLineChars="200"/>
        <w:rPr>
          <w:rFonts w:ascii="楷体_GB2312" w:hAnsi="楷体_GB2312" w:eastAsia="楷体_GB2312" w:cs="楷体_GB2312"/>
          <w:color w:val="000000" w:themeColor="text1"/>
          <w:sz w:val="32"/>
          <w:szCs w:val="32"/>
          <w:shd w:val="clear" w:color="auto" w:fill="FFFFFF"/>
        </w:rPr>
      </w:pPr>
      <w:r>
        <w:rPr>
          <w:rFonts w:hint="eastAsia" w:ascii="仿宋_GB2312" w:hAnsi="Times New Roman" w:eastAsia="仿宋_GB2312" w:cs="仿宋_GB2312"/>
          <w:color w:val="000000"/>
          <w:kern w:val="2"/>
          <w:sz w:val="32"/>
          <w:szCs w:val="32"/>
          <w:lang w:val="zh-CN"/>
        </w:rPr>
        <w:t>十四、社会保障和就业支出（类）行政事业单位养老支出（款）机关事业单位基本养老保险缴费支出（项）：</w:t>
      </w:r>
      <w:r>
        <w:rPr>
          <w:rFonts w:hint="eastAsia" w:ascii="仿宋_GB2312" w:hAnsi="楷体_GB2312" w:eastAsia="仿宋_GB2312" w:cs="楷体_GB2312"/>
          <w:color w:val="000000" w:themeColor="text1"/>
          <w:sz w:val="32"/>
          <w:szCs w:val="32"/>
          <w:shd w:val="clear" w:color="auto" w:fill="FFFFFF"/>
        </w:rPr>
        <w:t>指部门实施养老保险制度由单位缴纳的养老保险的支出</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十五、卫生健康支出（类）行政事业单位医疗（款）行政单位医疗（项）：指机关及参公管理事业单位用于单位应缴纳基本医疗保险支出。</w:t>
      </w:r>
    </w:p>
    <w:p>
      <w:pPr>
        <w:pStyle w:val="11"/>
        <w:spacing w:line="576" w:lineRule="exact"/>
        <w:ind w:left="0" w:leftChars="0" w:firstLine="640"/>
        <w:rPr>
          <w:rFonts w:ascii="楷体_GB2312" w:hAnsi="楷体_GB2312" w:eastAsia="楷体_GB2312" w:cs="楷体_GB2312"/>
          <w:color w:val="000000" w:themeColor="text1"/>
          <w:sz w:val="32"/>
        </w:rPr>
      </w:pPr>
      <w:r>
        <w:rPr>
          <w:rFonts w:hint="eastAsia" w:ascii="仿宋_GB2312" w:hAnsi="Times New Roman" w:eastAsia="仿宋_GB2312" w:cs="仿宋_GB2312"/>
          <w:color w:val="000000"/>
          <w:kern w:val="2"/>
          <w:sz w:val="32"/>
          <w:szCs w:val="32"/>
          <w:lang w:val="zh-CN"/>
        </w:rPr>
        <w:t>十六、城乡社区支出（类）城乡社区管理事务（款）行政运行（项）：</w:t>
      </w:r>
      <w:r>
        <w:rPr>
          <w:rStyle w:val="14"/>
          <w:rFonts w:hint="eastAsia" w:ascii="楷体_GB2312" w:hAnsi="楷体_GB2312" w:eastAsia="楷体_GB2312" w:cs="楷体_GB2312"/>
          <w:b w:val="0"/>
          <w:color w:val="000000" w:themeColor="text1"/>
          <w:sz w:val="32"/>
        </w:rPr>
        <w:t>反映行政单位城乡社区管理事务的基本支出</w:t>
      </w:r>
      <w:r>
        <w:rPr>
          <w:rFonts w:hint="eastAsia" w:ascii="仿宋_GB2312" w:hAnsi="Times New Roman" w:eastAsia="仿宋_GB2312" w:cs="仿宋_GB2312"/>
          <w:color w:val="000000"/>
          <w:kern w:val="2"/>
          <w:sz w:val="32"/>
          <w:szCs w:val="32"/>
          <w:lang w:val="zh-CN"/>
        </w:rPr>
        <w:t>。</w:t>
      </w:r>
    </w:p>
    <w:p>
      <w:pPr>
        <w:spacing w:line="576" w:lineRule="exact"/>
        <w:ind w:firstLine="640" w:firstLineChars="200"/>
        <w:rPr>
          <w:rFonts w:ascii="仿宋_GB2312" w:hAnsi="楷体_GB2312" w:eastAsia="仿宋_GB2312" w:cs="楷体_GB2312"/>
          <w:color w:val="000000" w:themeColor="text1"/>
          <w:sz w:val="32"/>
          <w:szCs w:val="32"/>
          <w:shd w:val="clear" w:color="auto" w:fill="FFFFFF"/>
        </w:rPr>
      </w:pPr>
      <w:r>
        <w:rPr>
          <w:rFonts w:hint="eastAsia" w:ascii="仿宋_GB2312" w:hAnsi="Times New Roman" w:eastAsia="仿宋_GB2312" w:cs="仿宋_GB2312"/>
          <w:color w:val="000000"/>
          <w:kern w:val="2"/>
          <w:sz w:val="32"/>
          <w:szCs w:val="32"/>
          <w:lang w:val="zh-CN"/>
        </w:rPr>
        <w:t>十七、农林水支出（类）农业农村（款）行政运行（项）：指</w:t>
      </w:r>
      <w:r>
        <w:rPr>
          <w:rFonts w:hint="eastAsia" w:ascii="仿宋_GB2312" w:hAnsi="楷体_GB2312" w:eastAsia="仿宋_GB2312" w:cs="楷体_GB2312"/>
          <w:color w:val="000000" w:themeColor="text1"/>
          <w:sz w:val="32"/>
          <w:szCs w:val="32"/>
          <w:shd w:val="clear" w:color="auto" w:fill="FFFFFF"/>
        </w:rPr>
        <w:t>财政用于种植业、畜牧业、渔业、兽医、农机、农垦、农场、农业产业化经营组织、农村和垦区公益事业、农产品加工等方面的基本支出。</w:t>
      </w:r>
    </w:p>
    <w:p>
      <w:pPr>
        <w:spacing w:after="0" w:line="576" w:lineRule="exact"/>
        <w:ind w:firstLine="640" w:firstLineChars="200"/>
        <w:rPr>
          <w:rFonts w:ascii="楷体_GB2312" w:hAnsi="楷体_GB2312" w:eastAsia="楷体_GB2312" w:cs="楷体_GB2312"/>
          <w:color w:val="000000" w:themeColor="text1"/>
          <w:sz w:val="32"/>
          <w:szCs w:val="32"/>
          <w:shd w:val="clear" w:color="auto" w:fill="FFFFFF"/>
        </w:rPr>
      </w:pPr>
      <w:r>
        <w:rPr>
          <w:rFonts w:hint="eastAsia" w:ascii="仿宋_GB2312" w:hAnsi="Times New Roman" w:eastAsia="仿宋_GB2312" w:cs="仿宋_GB2312"/>
          <w:color w:val="000000"/>
          <w:kern w:val="2"/>
          <w:sz w:val="32"/>
          <w:szCs w:val="32"/>
          <w:lang w:val="zh-CN"/>
        </w:rPr>
        <w:t>十八、农林水支出（类）农业农村（款）防灾救灾（项）：指对农业生产因遭受自然、生物灾害损失给予的补助，促进农业防灾增产措施补助，海难救助补助，因其他灾害导致农牧渔业生产者损失给予的补助。</w:t>
      </w:r>
    </w:p>
    <w:p>
      <w:pPr>
        <w:spacing w:after="0" w:line="576" w:lineRule="exact"/>
        <w:ind w:firstLine="640" w:firstLineChars="200"/>
        <w:rPr>
          <w:rFonts w:ascii="仿宋_GB2312" w:hAnsi="楷体_GB2312" w:eastAsia="仿宋_GB2312" w:cs="楷体_GB2312"/>
          <w:color w:val="000000" w:themeColor="text1"/>
          <w:sz w:val="32"/>
          <w:szCs w:val="32"/>
          <w:shd w:val="clear" w:color="auto" w:fill="FFFFFF"/>
        </w:rPr>
      </w:pPr>
      <w:r>
        <w:rPr>
          <w:rFonts w:hint="eastAsia" w:ascii="仿宋_GB2312" w:hAnsi="Times New Roman" w:eastAsia="仿宋_GB2312" w:cs="仿宋_GB2312"/>
          <w:color w:val="000000"/>
          <w:kern w:val="2"/>
          <w:sz w:val="32"/>
          <w:szCs w:val="32"/>
          <w:lang w:val="zh-CN"/>
        </w:rPr>
        <w:t>十九、农林水支出（类）巩固脱贫攻坚成果衔接乡村振兴（款）其他巩固脱贫攻坚成果衔接乡村振兴支出（项）：指</w:t>
      </w:r>
      <w:r>
        <w:rPr>
          <w:rFonts w:hint="eastAsia" w:ascii="仿宋_GB2312" w:hAnsi="楷体_GB2312" w:eastAsia="仿宋_GB2312" w:cs="楷体_GB2312"/>
          <w:color w:val="000000" w:themeColor="text1"/>
          <w:sz w:val="32"/>
          <w:szCs w:val="32"/>
          <w:shd w:val="clear" w:color="auto" w:fill="FFFFFF"/>
        </w:rPr>
        <w:t>政府用于</w:t>
      </w:r>
      <w:r>
        <w:rPr>
          <w:rStyle w:val="14"/>
          <w:rFonts w:hint="eastAsia" w:ascii="仿宋_GB2312" w:hAnsi="楷体_GB2312" w:eastAsia="仿宋_GB2312" w:cs="楷体_GB2312"/>
          <w:b w:val="0"/>
          <w:color w:val="000000" w:themeColor="text1"/>
          <w:sz w:val="32"/>
          <w:szCs w:val="32"/>
        </w:rPr>
        <w:t>巩固脱贫衔接乡村振兴</w:t>
      </w:r>
      <w:r>
        <w:rPr>
          <w:rFonts w:hint="eastAsia" w:ascii="仿宋_GB2312" w:hAnsi="楷体_GB2312" w:eastAsia="仿宋_GB2312" w:cs="楷体_GB2312"/>
          <w:color w:val="000000" w:themeColor="text1"/>
          <w:sz w:val="32"/>
          <w:szCs w:val="32"/>
          <w:shd w:val="clear" w:color="auto" w:fill="FFFFFF"/>
        </w:rPr>
        <w:t>方面的其他支出。</w:t>
      </w:r>
    </w:p>
    <w:p>
      <w:pPr>
        <w:spacing w:after="0" w:line="576" w:lineRule="exact"/>
        <w:ind w:firstLine="640" w:firstLineChars="200"/>
        <w:rPr>
          <w:rFonts w:ascii="仿宋_GB2312" w:hAnsi="楷体_GB2312" w:eastAsia="仿宋_GB2312" w:cs="楷体_GB2312"/>
          <w:color w:val="000000" w:themeColor="text1"/>
          <w:sz w:val="32"/>
          <w:szCs w:val="32"/>
          <w:shd w:val="clear" w:color="auto" w:fill="FFFFFF"/>
        </w:rPr>
      </w:pPr>
      <w:r>
        <w:rPr>
          <w:rFonts w:hint="eastAsia" w:ascii="仿宋_GB2312" w:hAnsi="Times New Roman" w:eastAsia="仿宋_GB2312" w:cs="仿宋_GB2312"/>
          <w:color w:val="000000"/>
          <w:kern w:val="2"/>
          <w:sz w:val="32"/>
          <w:szCs w:val="32"/>
          <w:lang w:val="zh-CN"/>
        </w:rPr>
        <w:t>二十、农林水支出（类）农村综合改革（款）对村民委员会和村党支部的补助（项）：</w:t>
      </w:r>
      <w:r>
        <w:rPr>
          <w:rFonts w:hint="eastAsia" w:ascii="仿宋_GB2312" w:hAnsi="楷体_GB2312" w:eastAsia="仿宋_GB2312" w:cs="楷体_GB2312"/>
          <w:color w:val="000000" w:themeColor="text1"/>
          <w:sz w:val="32"/>
          <w:szCs w:val="32"/>
          <w:shd w:val="clear" w:color="auto" w:fill="FFFFFF"/>
        </w:rPr>
        <w:t>指对村民委员会和村党支部的补助支出，以及建立县级基本财力保障机制安排的村级组织运转奖补资金</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二十一、住房保障支出（类）住房改革支出（款）住房公积金（项）：</w:t>
      </w:r>
      <w:r>
        <w:rPr>
          <w:rFonts w:hint="eastAsia" w:ascii="仿宋_GB2312" w:hAnsi="楷体_GB2312" w:eastAsia="仿宋_GB2312" w:cs="楷体_GB2312"/>
          <w:color w:val="000000" w:themeColor="text1"/>
          <w:sz w:val="32"/>
          <w:szCs w:val="32"/>
          <w:shd w:val="clear" w:color="auto" w:fill="FFFFFF"/>
        </w:rPr>
        <w:t>指按照《住房公积金管理条例》的规定，由单位及其在职职工缴存的长期住房储金</w:t>
      </w:r>
      <w:r>
        <w:rPr>
          <w:rFonts w:hint="eastAsia" w:ascii="仿宋_GB2312" w:hAnsi="Times New Roman" w:eastAsia="仿宋_GB2312" w:cs="仿宋_GB2312"/>
          <w:color w:val="000000"/>
          <w:kern w:val="2"/>
          <w:sz w:val="32"/>
          <w:szCs w:val="32"/>
          <w:lang w:val="zh-CN"/>
        </w:rPr>
        <w:t>。</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二十二、基本支出：指为保障机构正常运转、完成日常工作任务而发生的人员支出和公用支出。</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二十三、项目支出：指在基本支出之外为完成特定行政任务和事业发展目标所发生的支出。</w:t>
      </w:r>
      <w:r>
        <w:rPr>
          <w:rFonts w:ascii="仿宋_GB2312" w:hAnsi="Times New Roman" w:eastAsia="仿宋_GB2312" w:cs="仿宋_GB2312"/>
          <w:color w:val="000000"/>
          <w:kern w:val="2"/>
          <w:sz w:val="32"/>
          <w:szCs w:val="32"/>
          <w:lang w:val="zh-CN"/>
        </w:rPr>
        <w:t xml:space="preserve"> </w:t>
      </w:r>
    </w:p>
    <w:p>
      <w:pPr>
        <w:widowControl w:val="0"/>
        <w:autoSpaceDE w:val="0"/>
        <w:autoSpaceDN w:val="0"/>
        <w:snapToGrid/>
        <w:spacing w:after="0" w:line="576" w:lineRule="exact"/>
        <w:ind w:firstLine="640" w:firstLineChars="200"/>
        <w:jc w:val="both"/>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二十四、经营支出：指事业单位在专业业务活动及其辅助活动之外开展非独立核算经营活动发生的支出。</w:t>
      </w:r>
    </w:p>
    <w:p>
      <w:pPr>
        <w:widowControl w:val="0"/>
        <w:autoSpaceDE w:val="0"/>
        <w:autoSpaceDN w:val="0"/>
        <w:snapToGrid/>
        <w:spacing w:after="0" w:line="576" w:lineRule="exact"/>
        <w:ind w:firstLine="640" w:firstLineChars="200"/>
        <w:rPr>
          <w:rFonts w:ascii="仿宋_GB2312" w:hAnsi="Times New Roman" w:eastAsia="仿宋_GB2312" w:cs="仿宋_GB2312"/>
          <w:color w:val="000000"/>
          <w:sz w:val="32"/>
          <w:szCs w:val="32"/>
          <w:lang w:val="zh-CN"/>
        </w:rPr>
      </w:pPr>
      <w:r>
        <w:rPr>
          <w:rFonts w:hint="eastAsia" w:ascii="仿宋_GB2312" w:hAnsi="Times New Roman" w:eastAsia="仿宋_GB2312" w:cs="仿宋_GB2312"/>
          <w:color w:val="000000"/>
          <w:sz w:val="32"/>
          <w:szCs w:val="32"/>
          <w:lang w:val="zh-CN"/>
        </w:rPr>
        <w:t>二十五、</w:t>
      </w:r>
      <w:r>
        <w:rPr>
          <w:rFonts w:ascii="仿宋_GB2312" w:hAnsi="Times New Roman" w:eastAsia="仿宋_GB2312" w:cs="仿宋_GB2312"/>
          <w:color w:val="000000"/>
          <w:sz w:val="32"/>
          <w:szCs w:val="32"/>
          <w:lang w:val="zh-CN"/>
        </w:rPr>
        <w:t>“</w:t>
      </w:r>
      <w:r>
        <w:rPr>
          <w:rFonts w:hint="eastAsia" w:ascii="仿宋_GB2312" w:hAnsi="Times New Roman" w:eastAsia="仿宋_GB2312" w:cs="仿宋_GB2312"/>
          <w:color w:val="000000"/>
          <w:sz w:val="32"/>
          <w:szCs w:val="32"/>
          <w:lang w:val="zh-CN"/>
        </w:rPr>
        <w:t>三公</w:t>
      </w:r>
      <w:r>
        <w:rPr>
          <w:rFonts w:ascii="仿宋_GB2312" w:hAnsi="Times New Roman" w:eastAsia="仿宋_GB2312" w:cs="仿宋_GB2312"/>
          <w:color w:val="000000"/>
          <w:sz w:val="32"/>
          <w:szCs w:val="32"/>
          <w:lang w:val="zh-CN"/>
        </w:rPr>
        <w:t>”</w:t>
      </w:r>
      <w:r>
        <w:rPr>
          <w:rFonts w:hint="eastAsia" w:ascii="仿宋_GB2312" w:hAnsi="Times New Roman" w:eastAsia="仿宋_GB2312" w:cs="仿宋_GB2312"/>
          <w:color w:val="000000"/>
          <w:sz w:val="32"/>
          <w:szCs w:val="32"/>
          <w:lang w:val="zh-CN"/>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val="0"/>
        <w:autoSpaceDE w:val="0"/>
        <w:autoSpaceDN w:val="0"/>
        <w:snapToGrid/>
        <w:spacing w:after="0" w:line="576" w:lineRule="exact"/>
        <w:ind w:firstLine="640" w:firstLineChars="200"/>
        <w:rPr>
          <w:rFonts w:ascii="仿宋_GB2312" w:hAnsi="Times New Roman" w:eastAsia="仿宋_GB2312" w:cs="仿宋_GB2312"/>
          <w:color w:val="000000"/>
          <w:sz w:val="32"/>
          <w:szCs w:val="32"/>
          <w:lang w:val="zh-CN"/>
        </w:rPr>
      </w:pPr>
      <w:r>
        <w:rPr>
          <w:rFonts w:hint="eastAsia" w:ascii="仿宋_GB2312" w:hAnsi="Times New Roman" w:eastAsia="仿宋_GB2312" w:cs="仿宋_GB2312"/>
          <w:color w:val="000000"/>
          <w:sz w:val="32"/>
          <w:szCs w:val="32"/>
          <w:lang w:val="zh-CN"/>
        </w:rPr>
        <w:t>二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pageBreakBefore/>
        <w:widowControl w:val="0"/>
        <w:autoSpaceDE w:val="0"/>
        <w:autoSpaceDN w:val="0"/>
        <w:snapToGrid/>
        <w:spacing w:after="0" w:line="576" w:lineRule="exact"/>
        <w:ind w:firstLine="880" w:firstLineChars="200"/>
        <w:jc w:val="center"/>
        <w:rPr>
          <w:rFonts w:ascii="黑体" w:hAnsi="Times New Roman" w:eastAsia="黑体" w:cs="黑体"/>
          <w:kern w:val="44"/>
          <w:sz w:val="44"/>
          <w:szCs w:val="44"/>
          <w:lang w:val="zh-CN"/>
        </w:rPr>
      </w:pPr>
      <w:r>
        <w:rPr>
          <w:rFonts w:hint="eastAsia" w:ascii="黑体" w:hAnsi="Times New Roman" w:eastAsia="黑体" w:cs="黑体"/>
          <w:color w:val="000000"/>
          <w:kern w:val="2"/>
          <w:sz w:val="44"/>
          <w:szCs w:val="44"/>
          <w:lang w:val="zh-CN"/>
        </w:rPr>
        <w:t>第</w:t>
      </w:r>
      <w:r>
        <w:rPr>
          <w:rFonts w:hint="eastAsia" w:ascii="黑体" w:hAnsi="Times New Roman" w:eastAsia="黑体" w:cs="黑体"/>
          <w:kern w:val="44"/>
          <w:sz w:val="44"/>
          <w:szCs w:val="44"/>
          <w:lang w:val="zh-CN"/>
        </w:rPr>
        <w:t>四部分</w:t>
      </w:r>
      <w:r>
        <w:rPr>
          <w:rFonts w:ascii="黑体" w:hAnsi="Times New Roman" w:eastAsia="黑体" w:cs="黑体"/>
          <w:kern w:val="44"/>
          <w:sz w:val="44"/>
          <w:szCs w:val="44"/>
          <w:lang w:val="zh-CN"/>
        </w:rPr>
        <w:t xml:space="preserve">  </w:t>
      </w:r>
      <w:r>
        <w:rPr>
          <w:rFonts w:hint="eastAsia" w:ascii="黑体" w:hAnsi="Times New Roman" w:eastAsia="黑体" w:cs="黑体"/>
          <w:kern w:val="44"/>
          <w:sz w:val="44"/>
          <w:szCs w:val="44"/>
          <w:lang w:val="zh-CN"/>
        </w:rPr>
        <w:t>附件</w:t>
      </w:r>
    </w:p>
    <w:p>
      <w:pPr>
        <w:keepNext/>
        <w:keepLines/>
        <w:widowControl w:val="0"/>
        <w:autoSpaceDE w:val="0"/>
        <w:autoSpaceDN w:val="0"/>
        <w:snapToGrid/>
        <w:spacing w:after="0" w:line="576" w:lineRule="exact"/>
        <w:ind w:firstLine="640" w:firstLineChars="200"/>
        <w:rPr>
          <w:rFonts w:ascii="方正小标宋简体" w:hAnsi="Times New Roman" w:eastAsia="方正小标宋简体" w:cs="方正小标宋简体"/>
          <w:kern w:val="2"/>
          <w:sz w:val="44"/>
          <w:szCs w:val="44"/>
          <w:lang w:val="zh-CN"/>
        </w:rPr>
      </w:pPr>
      <w:r>
        <w:rPr>
          <w:rFonts w:hint="eastAsia" w:ascii="黑体" w:hAnsi="Times New Roman" w:eastAsia="黑体" w:cs="黑体"/>
          <w:kern w:val="2"/>
          <w:sz w:val="32"/>
          <w:szCs w:val="32"/>
          <w:lang w:val="zh-CN"/>
        </w:rPr>
        <w:t>附件</w:t>
      </w:r>
      <w:r>
        <w:rPr>
          <w:rFonts w:ascii="黑体" w:hAnsi="Times New Roman" w:eastAsia="黑体" w:cs="黑体"/>
          <w:kern w:val="2"/>
          <w:sz w:val="32"/>
          <w:szCs w:val="32"/>
          <w:lang w:val="zh-CN"/>
        </w:rPr>
        <w:t>1</w:t>
      </w:r>
    </w:p>
    <w:p>
      <w:pPr>
        <w:spacing w:after="0"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广元市昭化区王家镇人民政府</w:t>
      </w:r>
    </w:p>
    <w:p>
      <w:pPr>
        <w:spacing w:after="0" w:line="580" w:lineRule="exact"/>
        <w:jc w:val="center"/>
        <w:rPr>
          <w:rFonts w:eastAsia="方正小标宋简体"/>
          <w:sz w:val="24"/>
        </w:rPr>
      </w:pPr>
      <w:r>
        <w:rPr>
          <w:rFonts w:hint="eastAsia" w:ascii="方正小标宋简体" w:hAnsi="方正小标宋简体" w:eastAsia="方正小标宋简体" w:cs="方正小标宋简体"/>
          <w:sz w:val="44"/>
          <w:szCs w:val="44"/>
        </w:rPr>
        <w:t>关于2023年部门整体支出绩效自评的报告</w:t>
      </w:r>
    </w:p>
    <w:p>
      <w:pPr>
        <w:keepNext/>
        <w:keepLines/>
        <w:widowControl w:val="0"/>
        <w:autoSpaceDE w:val="0"/>
        <w:autoSpaceDN w:val="0"/>
        <w:snapToGrid/>
        <w:spacing w:after="0" w:line="576" w:lineRule="exact"/>
        <w:ind w:firstLine="640" w:firstLineChars="200"/>
        <w:rPr>
          <w:rFonts w:ascii="黑体" w:hAnsi="Times New Roman" w:eastAsia="黑体" w:cs="黑体"/>
          <w:color w:val="000000"/>
          <w:sz w:val="32"/>
          <w:szCs w:val="32"/>
          <w:lang w:val="zh-CN"/>
        </w:rPr>
      </w:pPr>
    </w:p>
    <w:p>
      <w:pPr>
        <w:keepNext/>
        <w:keepLines/>
        <w:widowControl w:val="0"/>
        <w:autoSpaceDE w:val="0"/>
        <w:autoSpaceDN w:val="0"/>
        <w:snapToGrid/>
        <w:spacing w:after="0" w:line="576" w:lineRule="exact"/>
        <w:ind w:firstLine="640" w:firstLineChars="200"/>
        <w:rPr>
          <w:rFonts w:ascii="黑体" w:hAnsi="Times New Roman" w:eastAsia="黑体" w:cs="黑体"/>
          <w:color w:val="000000"/>
          <w:sz w:val="32"/>
          <w:szCs w:val="32"/>
          <w:lang w:val="zh-CN"/>
        </w:rPr>
      </w:pPr>
      <w:r>
        <w:rPr>
          <w:rFonts w:hint="eastAsia" w:ascii="黑体" w:hAnsi="Times New Roman" w:eastAsia="黑体" w:cs="黑体"/>
          <w:color w:val="000000"/>
          <w:sz w:val="32"/>
          <w:szCs w:val="32"/>
          <w:lang w:val="zh-CN"/>
        </w:rPr>
        <w:t>一、部门基本情况</w:t>
      </w:r>
    </w:p>
    <w:p>
      <w:pPr>
        <w:keepNext/>
        <w:keepLines/>
        <w:widowControl w:val="0"/>
        <w:autoSpaceDE w:val="0"/>
        <w:autoSpaceDN w:val="0"/>
        <w:snapToGrid/>
        <w:spacing w:after="0" w:line="576" w:lineRule="exact"/>
        <w:ind w:firstLine="640" w:firstLineChars="200"/>
        <w:rPr>
          <w:rFonts w:ascii="楷体_GB2312" w:hAnsi="Times New Roman" w:eastAsia="楷体_GB2312" w:cs="仿宋_GB2312"/>
          <w:bCs/>
          <w:i/>
          <w:iCs/>
          <w:color w:val="000000"/>
          <w:sz w:val="32"/>
          <w:szCs w:val="32"/>
          <w:highlight w:val="white"/>
          <w:lang w:val="zh-CN"/>
        </w:rPr>
      </w:pPr>
      <w:r>
        <w:rPr>
          <w:rFonts w:hint="eastAsia" w:ascii="楷体_GB2312" w:hAnsi="Times New Roman" w:eastAsia="楷体_GB2312" w:cs="仿宋_GB2312"/>
          <w:bCs/>
          <w:color w:val="000000"/>
          <w:sz w:val="32"/>
          <w:szCs w:val="32"/>
          <w:lang w:val="zh-CN"/>
        </w:rPr>
        <w:t>（一）机构组成</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王家镇人民政府属一级预算单位，乡镇行政区划调整改革后，王家镇机构编制按两类设置。分别为第一类党政综合办事机构，基本构架为“七办”（党政综合办公室，党建工作办公室，经济发展办公室、社会事务办公室、社会治理工作办公室、应急管理办公室、综合行政执法办公室）；第二类直属公益一类事业机构，基本构架为“四中心”（便民服务中心，农业综合服务中心，乡村建设和文化旅游服务中心，社会治安综合治理中心）。</w:t>
      </w:r>
    </w:p>
    <w:p>
      <w:pPr>
        <w:keepNext/>
        <w:keepLines/>
        <w:widowControl w:val="0"/>
        <w:autoSpaceDE w:val="0"/>
        <w:autoSpaceDN w:val="0"/>
        <w:snapToGrid/>
        <w:spacing w:after="0" w:line="576" w:lineRule="exact"/>
        <w:ind w:firstLine="640" w:firstLineChars="200"/>
        <w:rPr>
          <w:rFonts w:ascii="楷体" w:hAnsi="楷体" w:eastAsia="楷体" w:cs="仿宋_GB2312"/>
          <w:bCs/>
          <w:color w:val="000000"/>
          <w:sz w:val="32"/>
          <w:szCs w:val="32"/>
          <w:lang w:val="zh-CN"/>
        </w:rPr>
      </w:pPr>
      <w:r>
        <w:rPr>
          <w:rFonts w:hint="eastAsia" w:ascii="楷体" w:hAnsi="楷体" w:eastAsia="楷体" w:cs="仿宋_GB2312"/>
          <w:bCs/>
          <w:color w:val="000000"/>
          <w:sz w:val="32"/>
          <w:szCs w:val="32"/>
          <w:lang w:val="zh-CN"/>
        </w:rPr>
        <w:t>（二）机构职能</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2.制定并组织实施村镇建设规划，部署重点工程建设，地方道路建设及公共设施，水利设施的管理，负责土地、林木、水等自然资源和生态环境的保护，做好护林防火工作。</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4.按计划组织本级财政收入和地方税的征收，完成国家财政计划，不断培植税源，管好财政资金，增强财政实力。</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5.抓好精神文明建设，丰富群众文化生活，提倡移风易俗，反对封建迷信，破除陈规陋习，树立社会主义新风尚。</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6.执行本级人民代表大会的决议和上级国家行政机关的决定和命令，发布决定和命令。</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7.执行本行政区域内的经济和社会发展计划、预算。管理本行政区域内的经济、教育、科学、文化、卫生、体育事业和财政、民政、公安、司法行政、计划生育等行政工作。</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8.保护好社会主义全民所有的财产和劳动群众集体所有财产，保护公民私有的合法财产，维护社会秩序，保障公民的人身权利、民主权利和其他权利。</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9.保障农村集体经济组织应有的自主权。</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10.保障少数民族的权利和尊重少数民族的风俗习惯。</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11.保障宪法和法律赋予妇女的男女平等、同工同酬和婚姻自由平等各项权利。</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12.完成和办理上级人民政府交办的其他事项。</w:t>
      </w:r>
    </w:p>
    <w:p>
      <w:pPr>
        <w:keepNext/>
        <w:keepLines/>
        <w:widowControl w:val="0"/>
        <w:autoSpaceDE w:val="0"/>
        <w:autoSpaceDN w:val="0"/>
        <w:snapToGrid/>
        <w:spacing w:after="0" w:line="576" w:lineRule="exact"/>
        <w:ind w:firstLine="640" w:firstLineChars="200"/>
        <w:rPr>
          <w:rFonts w:ascii="仿宋_GB2312" w:hAnsi="Times New Roman" w:eastAsia="仿宋_GB2312" w:cs="仿宋_GB2312"/>
          <w:bCs/>
          <w:color w:val="000000"/>
          <w:sz w:val="32"/>
          <w:szCs w:val="32"/>
          <w:lang w:val="zh-CN"/>
        </w:rPr>
      </w:pPr>
      <w:r>
        <w:rPr>
          <w:rFonts w:hint="eastAsia" w:ascii="仿宋_GB2312" w:hAnsi="Times New Roman" w:eastAsia="仿宋_GB2312" w:cs="仿宋_GB2312"/>
          <w:bCs/>
          <w:color w:val="000000"/>
          <w:sz w:val="32"/>
          <w:szCs w:val="32"/>
          <w:lang w:val="zh-CN"/>
        </w:rPr>
        <w:t>（三）人员概况</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王家镇人民政府共有编制总数52名，其中行政编制26名，事业编制23名，工勤编制3名。</w:t>
      </w:r>
      <w:r>
        <w:rPr>
          <w:rFonts w:ascii="仿宋_GB2312" w:hAnsi="仿宋_GB2312" w:eastAsia="仿宋_GB2312" w:cs="仿宋_GB2312"/>
          <w:color w:val="000000" w:themeColor="text1"/>
          <w:sz w:val="32"/>
          <w:szCs w:val="32"/>
        </w:rPr>
        <w:t>按财政供给率分，</w:t>
      </w:r>
      <w:r>
        <w:rPr>
          <w:rFonts w:hint="eastAsia" w:ascii="仿宋_GB2312" w:hAnsi="仿宋_GB2312" w:eastAsia="仿宋_GB2312" w:cs="仿宋_GB2312"/>
          <w:color w:val="000000" w:themeColor="text1"/>
          <w:sz w:val="32"/>
          <w:szCs w:val="32"/>
        </w:rPr>
        <w:t>均为</w:t>
      </w:r>
      <w:r>
        <w:rPr>
          <w:rFonts w:ascii="仿宋_GB2312" w:hAnsi="仿宋_GB2312" w:eastAsia="仿宋_GB2312" w:cs="仿宋_GB2312"/>
          <w:color w:val="000000" w:themeColor="text1"/>
          <w:sz w:val="32"/>
          <w:szCs w:val="32"/>
        </w:rPr>
        <w:t>财政全额供给</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本单位退休人员</w:t>
      </w:r>
      <w:r>
        <w:rPr>
          <w:rFonts w:hint="eastAsia" w:ascii="仿宋_GB2312" w:hAnsi="仿宋_GB2312" w:eastAsia="仿宋_GB2312" w:cs="仿宋_GB2312"/>
          <w:color w:val="000000" w:themeColor="text1"/>
          <w:sz w:val="32"/>
          <w:szCs w:val="32"/>
        </w:rPr>
        <w:t>23</w:t>
      </w:r>
      <w:r>
        <w:rPr>
          <w:rFonts w:ascii="仿宋_GB2312" w:hAnsi="仿宋_GB2312" w:eastAsia="仿宋_GB2312" w:cs="仿宋_GB2312"/>
          <w:color w:val="000000" w:themeColor="text1"/>
          <w:sz w:val="32"/>
          <w:szCs w:val="32"/>
        </w:rPr>
        <w:t>人，其中：公务员</w:t>
      </w:r>
      <w:r>
        <w:rPr>
          <w:rFonts w:hint="eastAsia" w:ascii="仿宋_GB2312" w:hAnsi="仿宋_GB2312" w:eastAsia="仿宋_GB2312" w:cs="仿宋_GB2312"/>
          <w:color w:val="000000" w:themeColor="text1"/>
          <w:sz w:val="32"/>
          <w:szCs w:val="32"/>
        </w:rPr>
        <w:t>9</w:t>
      </w:r>
      <w:r>
        <w:rPr>
          <w:rFonts w:ascii="仿宋_GB2312" w:hAnsi="仿宋_GB2312" w:eastAsia="仿宋_GB2312" w:cs="仿宋_GB2312"/>
          <w:color w:val="000000" w:themeColor="text1"/>
          <w:sz w:val="32"/>
          <w:szCs w:val="32"/>
        </w:rPr>
        <w:t>人，事业人员</w:t>
      </w:r>
      <w:r>
        <w:rPr>
          <w:rFonts w:hint="eastAsia" w:ascii="仿宋_GB2312" w:hAnsi="仿宋_GB2312" w:eastAsia="仿宋_GB2312" w:cs="仿宋_GB2312"/>
          <w:color w:val="000000" w:themeColor="text1"/>
          <w:sz w:val="32"/>
          <w:szCs w:val="32"/>
        </w:rPr>
        <w:t>12</w:t>
      </w:r>
      <w:r>
        <w:rPr>
          <w:rFonts w:ascii="仿宋_GB2312" w:hAnsi="仿宋_GB2312" w:eastAsia="仿宋_GB2312" w:cs="仿宋_GB2312"/>
          <w:color w:val="000000" w:themeColor="text1"/>
          <w:sz w:val="32"/>
          <w:szCs w:val="32"/>
        </w:rPr>
        <w:t>人</w:t>
      </w:r>
      <w:r>
        <w:rPr>
          <w:rFonts w:hint="eastAsia" w:ascii="仿宋_GB2312" w:hAnsi="仿宋_GB2312" w:eastAsia="仿宋_GB2312" w:cs="仿宋_GB2312"/>
          <w:color w:val="000000" w:themeColor="text1"/>
          <w:sz w:val="32"/>
          <w:szCs w:val="32"/>
        </w:rPr>
        <w:t>，工勤人员2人</w:t>
      </w:r>
      <w:r>
        <w:rPr>
          <w:rFonts w:ascii="仿宋_GB2312" w:hAnsi="仿宋_GB2312" w:eastAsia="仿宋_GB2312" w:cs="仿宋_GB2312"/>
          <w:color w:val="000000" w:themeColor="text1"/>
          <w:sz w:val="32"/>
          <w:szCs w:val="32"/>
        </w:rPr>
        <w:t>。其他人员有</w:t>
      </w:r>
      <w:r>
        <w:rPr>
          <w:rFonts w:hint="eastAsia" w:ascii="仿宋_GB2312" w:hAnsi="仿宋_GB2312" w:eastAsia="仿宋_GB2312" w:cs="仿宋_GB2312"/>
          <w:color w:val="000000" w:themeColor="text1"/>
          <w:sz w:val="32"/>
          <w:szCs w:val="32"/>
        </w:rPr>
        <w:t>14</w:t>
      </w:r>
      <w:r>
        <w:rPr>
          <w:rFonts w:ascii="仿宋_GB2312" w:hAnsi="仿宋_GB2312" w:eastAsia="仿宋_GB2312" w:cs="仿宋_GB2312"/>
          <w:color w:val="000000" w:themeColor="text1"/>
          <w:sz w:val="32"/>
          <w:szCs w:val="32"/>
        </w:rPr>
        <w:t>人，其中：三支一扶</w:t>
      </w:r>
      <w:r>
        <w:rPr>
          <w:rFonts w:hint="eastAsia" w:ascii="仿宋_GB2312" w:hAnsi="仿宋_GB2312" w:eastAsia="仿宋_GB2312" w:cs="仿宋_GB2312"/>
          <w:color w:val="000000" w:themeColor="text1"/>
          <w:sz w:val="32"/>
          <w:szCs w:val="32"/>
        </w:rPr>
        <w:t>2</w:t>
      </w:r>
      <w:r>
        <w:rPr>
          <w:rFonts w:ascii="仿宋_GB2312" w:hAnsi="仿宋_GB2312" w:eastAsia="仿宋_GB2312" w:cs="仿宋_GB2312"/>
          <w:color w:val="000000" w:themeColor="text1"/>
          <w:sz w:val="32"/>
          <w:szCs w:val="32"/>
        </w:rPr>
        <w:t>人，</w:t>
      </w:r>
      <w:r>
        <w:rPr>
          <w:rFonts w:hint="eastAsia" w:ascii="仿宋_GB2312" w:hAnsi="仿宋_GB2312" w:eastAsia="仿宋_GB2312" w:cs="仿宋_GB2312"/>
          <w:color w:val="000000" w:themeColor="text1"/>
          <w:sz w:val="32"/>
          <w:szCs w:val="32"/>
        </w:rPr>
        <w:t>西部志愿者2人，社工1人，</w:t>
      </w:r>
      <w:r>
        <w:rPr>
          <w:rFonts w:ascii="仿宋_GB2312" w:hAnsi="仿宋_GB2312" w:eastAsia="仿宋_GB2312" w:cs="仿宋_GB2312"/>
          <w:color w:val="000000" w:themeColor="text1"/>
          <w:sz w:val="32"/>
          <w:szCs w:val="32"/>
        </w:rPr>
        <w:t>遗属</w:t>
      </w:r>
      <w:r>
        <w:rPr>
          <w:rFonts w:hint="eastAsia" w:ascii="仿宋_GB2312" w:hAnsi="仿宋_GB2312" w:eastAsia="仿宋_GB2312" w:cs="仿宋_GB2312"/>
          <w:color w:val="000000" w:themeColor="text1"/>
          <w:sz w:val="32"/>
          <w:szCs w:val="32"/>
        </w:rPr>
        <w:t>9</w:t>
      </w:r>
      <w:r>
        <w:rPr>
          <w:rFonts w:ascii="仿宋_GB2312" w:hAnsi="仿宋_GB2312" w:eastAsia="仿宋_GB2312" w:cs="仿宋_GB2312"/>
          <w:color w:val="000000" w:themeColor="text1"/>
          <w:sz w:val="32"/>
          <w:szCs w:val="32"/>
        </w:rPr>
        <w:t>人，临时炊事员1人。</w:t>
      </w:r>
    </w:p>
    <w:p>
      <w:pPr>
        <w:pBdr>
          <w:bottom w:val="single" w:color="FFFFFF" w:sz="8" w:space="31"/>
        </w:pBdr>
        <w:shd w:val="clear" w:color="auto" w:fill="FFFFFF"/>
        <w:spacing w:after="0" w:line="576" w:lineRule="exact"/>
        <w:ind w:firstLine="640" w:firstLineChars="200"/>
        <w:rPr>
          <w:rFonts w:ascii="黑体" w:hAnsi="Times New Roman" w:eastAsia="黑体" w:cs="黑体"/>
          <w:color w:val="000000"/>
          <w:sz w:val="32"/>
          <w:szCs w:val="32"/>
          <w:lang w:val="zh-CN"/>
        </w:rPr>
      </w:pPr>
      <w:r>
        <w:rPr>
          <w:rFonts w:hint="eastAsia" w:ascii="黑体" w:hAnsi="Times New Roman" w:eastAsia="黑体" w:cs="黑体"/>
          <w:color w:val="000000"/>
          <w:sz w:val="32"/>
          <w:szCs w:val="32"/>
          <w:lang w:val="zh-CN"/>
        </w:rPr>
        <w:t>二、部门资金收支情况</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楷体_GB2312" w:hAnsi="Times New Roman" w:eastAsia="楷体_GB2312" w:cs="楷体_GB2312"/>
          <w:bCs/>
          <w:color w:val="000000"/>
          <w:sz w:val="32"/>
          <w:szCs w:val="32"/>
          <w:lang w:val="zh-CN"/>
        </w:rPr>
        <w:t>（一）收入情况</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王家镇人民政府2023年年初预算1320.76万元，其中：一般公共预算1320.76万元； 2023年全年预算数1550.56万元，其中：一般公共预算拨款收入1550.56万元。</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楷体_GB2312" w:hAnsi="Times New Roman" w:eastAsia="楷体_GB2312" w:cs="楷体_GB2312"/>
          <w:bCs/>
          <w:color w:val="000000"/>
          <w:sz w:val="32"/>
          <w:szCs w:val="32"/>
          <w:lang w:val="zh-CN"/>
        </w:rPr>
        <w:t>（二）支出情况</w:t>
      </w:r>
    </w:p>
    <w:p>
      <w:pPr>
        <w:pBdr>
          <w:bottom w:val="single" w:color="FFFFFF" w:sz="8" w:space="31"/>
        </w:pBdr>
        <w:shd w:val="clear" w:color="auto" w:fill="FFFFFF"/>
        <w:spacing w:after="0" w:line="576" w:lineRule="exact"/>
        <w:ind w:firstLine="640" w:firstLineChars="200"/>
        <w:rPr>
          <w:rFonts w:hint="eastAsia" w:ascii="仿宋_GB2312" w:eastAsia="仿宋_GB2312" w:cs="仿宋_GB2312"/>
          <w:color w:val="333333"/>
          <w:sz w:val="32"/>
          <w:szCs w:val="32"/>
          <w:shd w:val="clear" w:color="auto" w:fill="FFFFFF"/>
        </w:rPr>
      </w:pPr>
      <w:r>
        <w:rPr>
          <w:rFonts w:hint="eastAsia" w:ascii="仿宋_GB2312" w:eastAsia="仿宋_GB2312" w:cs="仿宋_GB2312"/>
          <w:color w:val="000000" w:themeColor="text1"/>
          <w:sz w:val="32"/>
          <w:szCs w:val="32"/>
          <w:shd w:val="clear" w:color="auto" w:fill="FFFFFF"/>
        </w:rPr>
        <w:t>王家镇人民政府2023年支出预算其中：一般公共预算支出1402.79万元，预算内小计1402.79万， 2023年全年执行数： 一般公共预算支出1402.79万元</w:t>
      </w:r>
      <w:r>
        <w:rPr>
          <w:rFonts w:hint="eastAsia" w:ascii="仿宋_GB2312" w:eastAsia="仿宋_GB2312" w:cs="仿宋_GB2312"/>
          <w:color w:val="333333"/>
          <w:sz w:val="32"/>
          <w:szCs w:val="32"/>
          <w:shd w:val="clear" w:color="auto" w:fill="FFFFFF"/>
        </w:rPr>
        <w:t>。</w:t>
      </w:r>
    </w:p>
    <w:p>
      <w:pPr>
        <w:pBdr>
          <w:bottom w:val="single" w:color="FFFFFF" w:sz="8" w:space="31"/>
        </w:pBdr>
        <w:shd w:val="clear" w:color="auto" w:fill="FFFFFF"/>
        <w:spacing w:after="0" w:line="576" w:lineRule="exact"/>
        <w:ind w:firstLine="640" w:firstLineChars="200"/>
        <w:rPr>
          <w:rFonts w:ascii="仿宋_GB2312" w:eastAsia="仿宋_GB2312" w:cs="仿宋_GB2312"/>
          <w:color w:val="333333"/>
          <w:sz w:val="32"/>
          <w:szCs w:val="32"/>
          <w:shd w:val="clear" w:color="auto" w:fill="FFFFFF"/>
        </w:rPr>
      </w:pPr>
      <w:r>
        <w:rPr>
          <w:rFonts w:hint="eastAsia" w:ascii="黑体" w:hAnsi="Times New Roman" w:eastAsia="黑体" w:cs="黑体"/>
          <w:color w:val="000000"/>
          <w:sz w:val="32"/>
          <w:szCs w:val="32"/>
          <w:lang w:val="zh-CN"/>
        </w:rPr>
        <w:t>三、部门预算绩效分析</w:t>
      </w:r>
    </w:p>
    <w:p>
      <w:pPr>
        <w:pBdr>
          <w:bottom w:val="single" w:color="FFFFFF" w:sz="8" w:space="31"/>
        </w:pBdr>
        <w:shd w:val="clear" w:color="auto" w:fill="FFFFFF"/>
        <w:spacing w:after="0" w:line="576" w:lineRule="exact"/>
        <w:ind w:firstLine="640" w:firstLineChars="200"/>
        <w:jc w:val="both"/>
        <w:rPr>
          <w:rFonts w:hint="eastAsia" w:ascii="楷体_GB2312" w:hAnsi="Times New Roman" w:eastAsia="楷体_GB2312" w:cs="楷体_GB2312"/>
          <w:b/>
          <w:bCs/>
          <w:color w:val="000000"/>
          <w:sz w:val="32"/>
          <w:szCs w:val="32"/>
          <w:lang w:val="zh-CN"/>
        </w:rPr>
      </w:pPr>
      <w:r>
        <w:rPr>
          <w:rFonts w:hint="eastAsia" w:ascii="楷体_GB2312" w:hAnsi="Times New Roman" w:eastAsia="楷体_GB2312" w:cs="楷体_GB2312"/>
          <w:bCs/>
          <w:color w:val="000000"/>
          <w:sz w:val="32"/>
          <w:szCs w:val="32"/>
          <w:lang w:val="zh-CN"/>
        </w:rPr>
        <w:t>（一）部门预算总体绩效分析</w:t>
      </w:r>
      <w:r>
        <w:rPr>
          <w:rFonts w:hint="eastAsia" w:ascii="楷体_GB2312" w:hAnsi="Times New Roman" w:eastAsia="楷体_GB2312" w:cs="楷体_GB2312"/>
          <w:b/>
          <w:bCs/>
          <w:color w:val="000000"/>
          <w:sz w:val="32"/>
          <w:szCs w:val="32"/>
          <w:lang w:val="zh-CN"/>
        </w:rPr>
        <w:t>。</w:t>
      </w:r>
    </w:p>
    <w:p>
      <w:pPr>
        <w:pBdr>
          <w:bottom w:val="single" w:color="FFFFFF" w:sz="8" w:space="31"/>
        </w:pBdr>
        <w:shd w:val="clear" w:color="auto" w:fill="FFFFFF"/>
        <w:spacing w:after="0" w:line="576"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目标管理。一是目标制定情况。绩效目标是预算编制的前提和基础，按照“费随事定”的原则，2023王家镇人民政府垃圾清运费、村级办公经费，按要求编制了绩效目标,从项目完成、项目效益、满意度等方面设置了绩效指标，综合反映项目预期完成的数量、成本、时效、质量，预期达到的社会效益、经济效益、生态效益、可持续影响以及服务对象满意度等情况。二是目标实现情况。全年人员类资金支出725.05万元，主要用于：人员基本工资、津贴补贴、奖金、机关事业单位养老保险、医疗保险，其他社会保障缴费、住房公积金、其他工资福利等。公用经费91.2万元，主要包括：办公费、印刷费、水费、电费、邮电费、物业管理费、差旅费、维修（护）费、会议费、培训费、公务接待费、劳务费、工会经费、福利费、公务用车运行维护费、其他交通费用等支出。全年运转类资金支出575.8万元，主要用于：办公费、印刷费、水电费、差旅费、维修费、会议费、培训费、公务接待支出等。全年特定目标类项目资金支出158.51万元，主要用于农村公共运行服务费及烤烟资金支出。</w:t>
      </w:r>
    </w:p>
    <w:p>
      <w:pPr>
        <w:pBdr>
          <w:bottom w:val="single" w:color="FFFFFF" w:sz="8" w:space="31"/>
        </w:pBdr>
        <w:shd w:val="clear" w:color="auto" w:fill="FFFFFF"/>
        <w:spacing w:line="576" w:lineRule="exact"/>
        <w:ind w:firstLine="640" w:firstLineChars="200"/>
        <w:rPr>
          <w:rFonts w:hint="eastAsia" w:ascii="仿宋_GB2312" w:eastAsia="仿宋_GB2312"/>
          <w:sz w:val="32"/>
          <w:szCs w:val="32"/>
        </w:rPr>
      </w:pPr>
      <w:r>
        <w:rPr>
          <w:rFonts w:hint="eastAsia" w:ascii="仿宋_GB2312" w:hAnsi="仿宋_GB2312" w:eastAsia="仿宋_GB2312" w:cs="仿宋_GB2312"/>
          <w:color w:val="000000" w:themeColor="text1"/>
          <w:sz w:val="32"/>
          <w:szCs w:val="32"/>
        </w:rPr>
        <w:t>2.过程管控。支出控制：本单位严格按照预算编制数执行，全年度未超预算支出。及时处置：本单位根据各项目完成进度情况，及时足额拨付相关资金。执行进度：</w:t>
      </w:r>
      <w:r>
        <w:rPr>
          <w:rFonts w:hint="eastAsia" w:ascii="仿宋_GB2312" w:eastAsia="仿宋_GB2312" w:cs="仿宋_GB2312"/>
          <w:color w:val="333333"/>
          <w:sz w:val="32"/>
          <w:szCs w:val="32"/>
          <w:shd w:val="clear" w:color="auto" w:fill="FFFFFF"/>
        </w:rPr>
        <w:t>王家镇人民政府2023年全年预算</w:t>
      </w:r>
      <w:r>
        <w:rPr>
          <w:rFonts w:hint="eastAsia" w:ascii="仿宋_GB2312" w:eastAsia="仿宋_GB2312"/>
          <w:sz w:val="32"/>
          <w:szCs w:val="32"/>
        </w:rPr>
        <w:t>1550.56</w:t>
      </w:r>
      <w:r>
        <w:rPr>
          <w:rFonts w:hint="eastAsia" w:ascii="仿宋_GB2312" w:eastAsia="仿宋_GB2312" w:cs="仿宋_GB2312"/>
          <w:color w:val="333333"/>
          <w:sz w:val="32"/>
          <w:szCs w:val="32"/>
          <w:shd w:val="clear" w:color="auto" w:fill="FFFFFF"/>
        </w:rPr>
        <w:t>万元，全年预算执行1402.79万元，136.91万元未支付。</w:t>
      </w:r>
    </w:p>
    <w:p>
      <w:pPr>
        <w:pBdr>
          <w:bottom w:val="single" w:color="FFFFFF" w:sz="8" w:space="31"/>
        </w:pBdr>
        <w:shd w:val="clear" w:color="auto" w:fill="FFFFFF"/>
        <w:spacing w:after="0" w:line="576" w:lineRule="exact"/>
        <w:ind w:firstLine="640" w:firstLineChars="200"/>
        <w:rPr>
          <w:rFonts w:hint="eastAsia" w:ascii="仿宋_GB2312" w:eastAsia="仿宋_GB2312"/>
          <w:sz w:val="32"/>
          <w:szCs w:val="32"/>
        </w:rPr>
      </w:pPr>
      <w:r>
        <w:rPr>
          <w:rFonts w:hint="eastAsia" w:ascii="仿宋_GB2312" w:hAnsi="仿宋_GB2312" w:eastAsia="仿宋_GB2312" w:cs="仿宋_GB2312"/>
          <w:color w:val="000000" w:themeColor="text1"/>
          <w:sz w:val="32"/>
          <w:szCs w:val="32"/>
        </w:rPr>
        <w:t>3.完成（效率）结果。预算完成情况：</w:t>
      </w:r>
      <w:r>
        <w:rPr>
          <w:rFonts w:hint="eastAsia" w:ascii="仿宋_GB2312" w:eastAsia="仿宋_GB2312"/>
          <w:sz w:val="32"/>
          <w:szCs w:val="32"/>
        </w:rPr>
        <w:t>截止2023年12月31日，</w:t>
      </w:r>
      <w:r>
        <w:rPr>
          <w:rFonts w:hint="eastAsia" w:ascii="仿宋_GB2312" w:eastAsia="仿宋_GB2312" w:cs="仿宋_GB2312"/>
          <w:color w:val="333333"/>
          <w:sz w:val="32"/>
          <w:szCs w:val="32"/>
          <w:shd w:val="clear" w:color="auto" w:fill="FFFFFF"/>
        </w:rPr>
        <w:t>王家镇人民政府2023年全年预算</w:t>
      </w:r>
      <w:r>
        <w:rPr>
          <w:rFonts w:hint="eastAsia" w:ascii="仿宋_GB2312" w:eastAsia="仿宋_GB2312" w:cs="仿宋_GB2312"/>
          <w:color w:val="000000" w:themeColor="text1"/>
          <w:sz w:val="32"/>
          <w:szCs w:val="32"/>
          <w:shd w:val="clear" w:color="auto" w:fill="FFFFFF"/>
        </w:rPr>
        <w:t>1550.06万元，全年预算执行1402.79万</w:t>
      </w:r>
      <w:r>
        <w:rPr>
          <w:rFonts w:hint="eastAsia" w:ascii="仿宋_GB2312" w:eastAsia="仿宋_GB2312" w:cs="仿宋_GB2312"/>
          <w:color w:val="333333"/>
          <w:sz w:val="32"/>
          <w:szCs w:val="32"/>
          <w:shd w:val="clear" w:color="auto" w:fill="FFFFFF"/>
        </w:rPr>
        <w:t>元。</w:t>
      </w:r>
      <w:r>
        <w:rPr>
          <w:rFonts w:hint="eastAsia" w:ascii="仿宋_GB2312" w:eastAsia="仿宋_GB2312"/>
          <w:sz w:val="32"/>
          <w:szCs w:val="32"/>
        </w:rPr>
        <w:t>资金结余金额：136.91万元，其中：行政运行经费53.43万元，路灯经费3.44万元，园区建设经费10万元，对村民委员会和村党支部的补助23.13万元，烤烟发展资金46.91万元，本单位无违法违纪使用资金情况。</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楷体_GB2312" w:hAnsi="Times New Roman" w:eastAsia="楷体_GB2312" w:cs="楷体_GB2312"/>
          <w:bCs/>
          <w:color w:val="000000"/>
          <w:sz w:val="32"/>
          <w:szCs w:val="32"/>
          <w:lang w:val="zh-CN"/>
        </w:rPr>
        <w:t>（二）部门预算</w:t>
      </w:r>
      <w:r>
        <w:rPr>
          <w:rFonts w:hint="eastAsia" w:ascii="楷体_GB2312" w:hAnsi="Times New Roman" w:eastAsia="楷体_GB2312" w:cs="楷体_GB2312"/>
          <w:bCs/>
          <w:sz w:val="32"/>
          <w:szCs w:val="32"/>
          <w:lang w:val="zh-CN"/>
        </w:rPr>
        <w:t>项目绩效分析</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部门预算项目绩效情况。坚持以习近平新时代中国特色社会主义思想为指导，深入学习贯彻党的二十大精神,全面贯彻落实区委区政府的决策部署，紧紧围绕加快建设社会主义现代化“四城新区”目标任务，立足“王磨特色粮油示范片”区域定位，全力以赴拼经济、搞建设，坚持强产业、推项目、重执行，全面完成各项目标任务，奋力推动全镇经济社会发展再上新台阶。一是完成区级各项目标任务；二是保障在职干部、临聘人员、退休干部、村（社区）干部的工资、保险、目标奖、生活补助和日常正常运转；三是做好基层组织活动和公共运行维护工作；四是做好烤烟生产发展工作；五是园区建设工作；六是做好预备役征兵保障及道安、消防安全工作；七是做好交通、接待及临聘人员工作；八是做好场镇环境卫生、路灯管理、人大等相关工作。服务对象覆盖镇域内所有村社区，群众满意度达到95%以上。</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2.专项预算绩效情况。</w:t>
      </w:r>
      <w:r>
        <w:rPr>
          <w:rFonts w:ascii="仿宋_GB2312" w:hAnsi="仿宋_GB2312" w:eastAsia="仿宋_GB2312" w:cs="仿宋_GB2312"/>
          <w:color w:val="000000" w:themeColor="text1"/>
          <w:sz w:val="32"/>
          <w:szCs w:val="32"/>
        </w:rPr>
        <w:t>通过探索粮烟轮作和烟豆套种模式，统筹设施配套投入和集约产业用地，2023年种植烤烟2</w:t>
      </w:r>
      <w:r>
        <w:rPr>
          <w:rFonts w:hint="eastAsia" w:ascii="仿宋_GB2312" w:hAnsi="仿宋_GB2312" w:eastAsia="仿宋_GB2312" w:cs="仿宋_GB2312"/>
          <w:color w:val="000000" w:themeColor="text1"/>
          <w:sz w:val="32"/>
          <w:szCs w:val="32"/>
        </w:rPr>
        <w:t>830</w:t>
      </w:r>
      <w:r>
        <w:rPr>
          <w:rFonts w:ascii="仿宋_GB2312" w:hAnsi="仿宋_GB2312" w:eastAsia="仿宋_GB2312" w:cs="仿宋_GB2312"/>
          <w:color w:val="000000" w:themeColor="text1"/>
          <w:sz w:val="32"/>
          <w:szCs w:val="32"/>
        </w:rPr>
        <w:t>亩，位居全区第一</w:t>
      </w:r>
      <w:r>
        <w:rPr>
          <w:rFonts w:hint="eastAsia" w:ascii="仿宋_GB2312" w:hAnsi="仿宋_GB2312" w:eastAsia="仿宋_GB2312" w:cs="仿宋_GB2312"/>
          <w:color w:val="000000" w:themeColor="text1"/>
          <w:sz w:val="32"/>
          <w:szCs w:val="32"/>
        </w:rPr>
        <w:t>，实现烟叶创税185.46万元，烟农满意度达98%。</w:t>
      </w:r>
      <w:r>
        <w:rPr>
          <w:rFonts w:ascii="仿宋_GB2312" w:hAnsi="仿宋_GB2312" w:eastAsia="仿宋_GB2312" w:cs="仿宋_GB2312"/>
          <w:color w:val="000000" w:themeColor="text1"/>
          <w:sz w:val="32"/>
          <w:szCs w:val="32"/>
        </w:rPr>
        <w:t>4月14日全市烟叶工作现场会在王家镇金星村召开，王家镇被评为全市现代烟草农业发展工作表现突出集体。</w:t>
      </w:r>
    </w:p>
    <w:p>
      <w:pPr>
        <w:pBdr>
          <w:bottom w:val="single" w:color="FFFFFF" w:sz="8" w:space="31"/>
        </w:pBdr>
        <w:shd w:val="clear" w:color="auto" w:fill="FFFFFF"/>
        <w:spacing w:after="0" w:line="576" w:lineRule="exact"/>
        <w:ind w:firstLine="640" w:firstLineChars="200"/>
        <w:rPr>
          <w:rFonts w:ascii="楷体_GB2312" w:hAnsi="Times New Roman" w:eastAsia="楷体_GB2312" w:cs="楷体_GB2312"/>
          <w:bCs/>
          <w:sz w:val="32"/>
          <w:szCs w:val="32"/>
          <w:lang w:val="zh-CN"/>
        </w:rPr>
      </w:pPr>
      <w:r>
        <w:rPr>
          <w:rFonts w:hint="eastAsia" w:ascii="楷体_GB2312" w:hAnsi="Times New Roman" w:eastAsia="楷体_GB2312" w:cs="楷体_GB2312"/>
          <w:bCs/>
          <w:sz w:val="32"/>
          <w:szCs w:val="32"/>
          <w:lang w:val="zh-CN"/>
        </w:rPr>
        <w:t>（三）绩效结果应用</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内部应用：一是成立了以镇长为组长，副书记为副组长，纪委书记、镇财政所所长、镇农经站负责人、镇办公室负责人为成员的预算绩效管理工作领导小组，为进一步做好我镇年度预算绩效管理工作，开展年度预算绩效等财务相关工作；二是将站所、村（社区）相关工作纳入年度考核中。三是建立内部财务制度。</w:t>
      </w:r>
      <w:r>
        <w:rPr>
          <w:rFonts w:ascii="仿宋_GB2312" w:hAnsi="仿宋_GB2312" w:eastAsia="仿宋_GB2312" w:cs="仿宋_GB2312"/>
          <w:color w:val="000000" w:themeColor="text1"/>
          <w:sz w:val="32"/>
          <w:szCs w:val="32"/>
        </w:rPr>
        <w:t>所长、会计、出纳岗位职责明确，会计管账不管钱，出纳管钱不管账。所有支出都是以正规发票入账，并有经办人、分管领导等签字，然后由镇长审批支付。出纳负责按月将原始票据分类汇总并及时交会计按月记账，并按月与银行核对银行存款余额、与出纳核对现金余额，并将其分类汇总装订成册归档。所有支出都有财务初核，从最大程度上杜绝了不合规原始票据入账。印章管理实行会计出纳分管，会计管理财务公章、会计印章，出纳管理镇长印章、出纳印章。现金、存款支票均由出纳管理，使用时由会计人员填制，然后由出纳人员复核、加密、盖章。</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自评公开：</w:t>
      </w:r>
      <w:r>
        <w:rPr>
          <w:rFonts w:ascii="仿宋_GB2312" w:hAnsi="仿宋_GB2312" w:eastAsia="仿宋_GB2312" w:cs="仿宋_GB2312"/>
          <w:color w:val="000000" w:themeColor="text1"/>
          <w:sz w:val="32"/>
          <w:szCs w:val="32"/>
        </w:rPr>
        <w:t>按</w:t>
      </w:r>
      <w:r>
        <w:rPr>
          <w:rFonts w:hint="eastAsia" w:ascii="仿宋_GB2312" w:hAnsi="仿宋_GB2312" w:eastAsia="仿宋_GB2312" w:cs="仿宋_GB2312"/>
          <w:color w:val="000000" w:themeColor="text1"/>
          <w:sz w:val="32"/>
          <w:szCs w:val="32"/>
        </w:rPr>
        <w:t>上级要求</w:t>
      </w:r>
      <w:r>
        <w:rPr>
          <w:rFonts w:ascii="仿宋_GB2312" w:hAnsi="仿宋_GB2312" w:eastAsia="仿宋_GB2312" w:cs="仿宋_GB2312"/>
          <w:color w:val="000000" w:themeColor="text1"/>
          <w:sz w:val="32"/>
          <w:szCs w:val="32"/>
        </w:rPr>
        <w:t>公开公示制度要求，对各项资金的收支余管理情况进行了公开公示，对机关人员经费及公用经费开支情况定期不定期的上传机关微信、QQ工作群公示等，并设置了监督电话举报箱。按</w:t>
      </w:r>
      <w:r>
        <w:rPr>
          <w:rFonts w:hint="eastAsia" w:ascii="仿宋_GB2312" w:hAnsi="仿宋_GB2312" w:eastAsia="仿宋_GB2312" w:cs="仿宋_GB2312"/>
          <w:color w:val="000000" w:themeColor="text1"/>
          <w:sz w:val="32"/>
          <w:szCs w:val="32"/>
        </w:rPr>
        <w:t>上级要求</w:t>
      </w:r>
      <w:r>
        <w:rPr>
          <w:rFonts w:ascii="仿宋_GB2312" w:hAnsi="仿宋_GB2312" w:eastAsia="仿宋_GB2312" w:cs="仿宋_GB2312"/>
          <w:color w:val="000000" w:themeColor="text1"/>
          <w:sz w:val="32"/>
          <w:szCs w:val="32"/>
        </w:rPr>
        <w:t>信息通达制度要求，落实财政所出纳为信息联络员，并有信息传递记录装订成册，并已分类整理、装订成册、归档保管。</w:t>
      </w:r>
    </w:p>
    <w:p>
      <w:pPr>
        <w:pBdr>
          <w:bottom w:val="single" w:color="FFFFFF" w:sz="8" w:space="31"/>
        </w:pBdr>
        <w:shd w:val="clear" w:color="auto" w:fill="FFFFFF"/>
        <w:spacing w:after="0" w:line="576" w:lineRule="exact"/>
        <w:ind w:firstLine="640" w:firstLineChars="200"/>
        <w:rPr>
          <w:rFonts w:ascii="楷体_GB2312" w:hAnsi="楷体" w:eastAsia="楷体_GB2312" w:cs="仿宋_GB2312"/>
          <w:color w:val="000000" w:themeColor="text1"/>
          <w:sz w:val="32"/>
          <w:szCs w:val="32"/>
        </w:rPr>
      </w:pPr>
      <w:r>
        <w:rPr>
          <w:rFonts w:hint="eastAsia" w:ascii="楷体_GB2312" w:hAnsi="楷体" w:eastAsia="楷体_GB2312" w:cs="仿宋_GB2312"/>
          <w:color w:val="000000" w:themeColor="text1"/>
          <w:sz w:val="32"/>
          <w:szCs w:val="32"/>
        </w:rPr>
        <w:t xml:space="preserve">（四）自评质量 </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我镇按照相关规定开展部门整体支出、项目支出和中央、省、市对下专项转移支付资金项目支出的绩效自评，全面分析问题，提出建议。评价报告格式规范，指标明确，严格按要求提供评价材料，配合区财政局开展重点绩效评价。</w:t>
      </w:r>
    </w:p>
    <w:p>
      <w:pPr>
        <w:pBdr>
          <w:bottom w:val="single" w:color="FFFFFF" w:sz="8" w:space="31"/>
        </w:pBdr>
        <w:shd w:val="clear" w:color="auto" w:fill="FFFFFF"/>
        <w:spacing w:after="0" w:line="576" w:lineRule="exact"/>
        <w:ind w:firstLine="640" w:firstLineChars="200"/>
        <w:rPr>
          <w:rFonts w:ascii="楷体_GB2312" w:hAnsi="仿宋_GB2312" w:eastAsia="楷体_GB2312" w:cs="仿宋_GB2312"/>
          <w:color w:val="000000" w:themeColor="text1"/>
          <w:sz w:val="32"/>
          <w:szCs w:val="32"/>
        </w:rPr>
      </w:pPr>
      <w:r>
        <w:rPr>
          <w:rFonts w:hint="eastAsia" w:ascii="楷体_GB2312" w:hAnsi="仿宋_GB2312" w:eastAsia="楷体_GB2312" w:cs="仿宋_GB2312"/>
          <w:color w:val="000000" w:themeColor="text1"/>
          <w:sz w:val="32"/>
          <w:szCs w:val="32"/>
        </w:rPr>
        <w:t>（五）根据审计监督、财会监督和决算审查结果反映部门上一年度预算管理复核相关财政财务管理规定，无违反规定的情况。</w:t>
      </w:r>
    </w:p>
    <w:p>
      <w:pPr>
        <w:pBdr>
          <w:bottom w:val="single" w:color="FFFFFF" w:sz="8" w:space="31"/>
        </w:pBdr>
        <w:shd w:val="clear" w:color="auto" w:fill="FFFFFF"/>
        <w:spacing w:after="0" w:line="576" w:lineRule="exact"/>
        <w:ind w:firstLine="640" w:firstLineChars="200"/>
        <w:rPr>
          <w:rFonts w:ascii="黑体" w:hAnsi="黑体" w:eastAsia="黑体" w:cs="楷体_GB2312"/>
          <w:bCs/>
          <w:sz w:val="32"/>
          <w:szCs w:val="32"/>
          <w:lang w:val="zh-CN"/>
        </w:rPr>
      </w:pPr>
      <w:r>
        <w:rPr>
          <w:rFonts w:hint="eastAsia" w:ascii="黑体" w:hAnsi="黑体" w:eastAsia="黑体" w:cs="楷体_GB2312"/>
          <w:bCs/>
          <w:sz w:val="32"/>
          <w:szCs w:val="32"/>
          <w:lang w:val="zh-CN"/>
        </w:rPr>
        <w:t>四、存在的问题及建议</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color w:val="000000" w:themeColor="text1"/>
          <w:sz w:val="32"/>
          <w:szCs w:val="32"/>
        </w:rPr>
        <w:t>（</w:t>
      </w:r>
      <w:r>
        <w:rPr>
          <w:rFonts w:hint="eastAsia" w:ascii="楷体_GB2312" w:hAnsi="楷体" w:eastAsia="楷体_GB2312" w:cs="仿宋_GB2312"/>
          <w:color w:val="000000" w:themeColor="text1"/>
          <w:sz w:val="32"/>
          <w:szCs w:val="32"/>
        </w:rPr>
        <w:t>一）部门自评质量有待进一步提高。</w:t>
      </w:r>
      <w:r>
        <w:rPr>
          <w:rFonts w:hint="eastAsia" w:ascii="仿宋_GB2312" w:hAnsi="仿宋_GB2312" w:eastAsia="仿宋_GB2312" w:cs="仿宋_GB2312"/>
          <w:color w:val="000000" w:themeColor="text1"/>
          <w:sz w:val="32"/>
          <w:szCs w:val="32"/>
        </w:rPr>
        <w:t>我镇虽然实行了自评全覆盖，但对预算绩效管理业务不够熟悉，对工作重点把握不到位，出具的自评报告没有客观评价情况，造成评价结果的利用率存在偏差，不能真正促进资金合理分配与有效使用。</w:t>
      </w:r>
    </w:p>
    <w:p>
      <w:pPr>
        <w:pBdr>
          <w:bottom w:val="single" w:color="FFFFFF" w:sz="8" w:space="31"/>
        </w:pBdr>
        <w:shd w:val="clear" w:color="auto" w:fill="FFFFFF"/>
        <w:spacing w:after="0" w:line="576" w:lineRule="exact"/>
        <w:ind w:firstLine="640" w:firstLineChars="200"/>
        <w:rPr>
          <w:rFonts w:ascii="楷体_GB2312" w:hAnsi="楷体" w:eastAsia="楷体_GB2312" w:cs="仿宋_GB2312"/>
          <w:color w:val="000000" w:themeColor="text1"/>
          <w:sz w:val="32"/>
          <w:szCs w:val="32"/>
        </w:rPr>
      </w:pPr>
      <w:r>
        <w:rPr>
          <w:rFonts w:hint="eastAsia" w:ascii="楷体_GB2312" w:hAnsi="楷体" w:eastAsia="楷体_GB2312" w:cs="仿宋_GB2312"/>
          <w:color w:val="000000" w:themeColor="text1"/>
          <w:sz w:val="32"/>
          <w:szCs w:val="32"/>
        </w:rPr>
        <w:t>（二）改进建议</w:t>
      </w:r>
    </w:p>
    <w:p>
      <w:pPr>
        <w:pBdr>
          <w:bottom w:val="single" w:color="FFFFFF" w:sz="8" w:space="31"/>
        </w:pBdr>
        <w:shd w:val="clear" w:color="auto" w:fill="FFFFFF"/>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一是进一步完善预算绩效管理制度。紧紧围绕“全方位、全过程、全覆盖‘的总目标总要求，完善</w:t>
      </w:r>
      <w:r>
        <w:rPr>
          <w:rFonts w:ascii="仿宋_GB2312" w:hAnsi="仿宋_GB2312" w:eastAsia="仿宋_GB2312" w:cs="仿宋_GB2312"/>
          <w:color w:val="000000" w:themeColor="text1"/>
          <w:sz w:val="32"/>
          <w:szCs w:val="32"/>
        </w:rPr>
        <w:t>细化预算编制工作 ，进一步加强内部机构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r>
        <w:rPr>
          <w:rFonts w:hint="eastAsia" w:ascii="仿宋_GB2312" w:hAnsi="仿宋_GB2312" w:eastAsia="仿宋_GB2312" w:cs="仿宋_GB2312"/>
          <w:color w:val="000000" w:themeColor="text1"/>
          <w:sz w:val="32"/>
          <w:szCs w:val="32"/>
        </w:rPr>
        <w:t>二是强化关键指标的监测。对关键指标执行情况实行全程监测管理，最重点项目采取责任负责制，并与相关部门协调、配合的方式推动。</w:t>
      </w:r>
    </w:p>
    <w:p>
      <w:pPr>
        <w:keepNext/>
        <w:keepLines/>
        <w:widowControl w:val="0"/>
        <w:autoSpaceDE w:val="0"/>
        <w:autoSpaceDN w:val="0"/>
        <w:snapToGrid/>
        <w:spacing w:after="0" w:line="576" w:lineRule="exact"/>
        <w:ind w:firstLine="642" w:firstLineChars="200"/>
        <w:rPr>
          <w:rFonts w:ascii="仿宋_GB2312" w:hAnsi="Times New Roman" w:eastAsia="仿宋_GB2312" w:cs="仿宋_GB2312"/>
          <w:b/>
          <w:bCs/>
          <w:color w:val="000000"/>
          <w:sz w:val="32"/>
          <w:szCs w:val="32"/>
          <w:lang w:val="zh-CN"/>
        </w:rPr>
      </w:pPr>
    </w:p>
    <w:p>
      <w:pPr>
        <w:keepNext/>
        <w:keepLines/>
        <w:widowControl w:val="0"/>
        <w:autoSpaceDE w:val="0"/>
        <w:autoSpaceDN w:val="0"/>
        <w:snapToGrid/>
        <w:spacing w:after="0" w:line="576" w:lineRule="exact"/>
        <w:ind w:firstLine="640"/>
        <w:jc w:val="both"/>
        <w:rPr>
          <w:rFonts w:ascii="仿宋_GB2312" w:eastAsia="仿宋_GB2312" w:cs="仿宋_GB2312" w:hAnsiTheme="minorHAnsi"/>
          <w:kern w:val="2"/>
          <w:sz w:val="32"/>
          <w:szCs w:val="32"/>
        </w:rPr>
      </w:pPr>
      <w:r>
        <w:rPr>
          <w:rFonts w:hint="eastAsia" w:ascii="仿宋_GB2312" w:hAnsi="Times New Roman" w:eastAsia="仿宋_GB2312" w:cs="仿宋_GB2312"/>
          <w:kern w:val="2"/>
          <w:sz w:val="32"/>
          <w:szCs w:val="32"/>
          <w:lang w:val="zh-CN"/>
        </w:rPr>
        <w:t>附表：</w:t>
      </w:r>
      <w:r>
        <w:rPr>
          <w:rFonts w:hint="eastAsia" w:ascii="仿宋_GB2312" w:eastAsia="仿宋_GB2312" w:cs="仿宋_GB2312" w:hAnsiTheme="minorHAnsi"/>
          <w:kern w:val="2"/>
          <w:sz w:val="32"/>
          <w:szCs w:val="32"/>
        </w:rPr>
        <w:t>部门预算项目支出绩效自评表（</w:t>
      </w:r>
      <w:r>
        <w:rPr>
          <w:rFonts w:ascii="仿宋_GB2312" w:eastAsia="仿宋_GB2312" w:cs="仿宋_GB2312" w:hAnsiTheme="minorHAnsi"/>
          <w:kern w:val="2"/>
          <w:sz w:val="32"/>
          <w:szCs w:val="32"/>
        </w:rPr>
        <w:t>2023</w:t>
      </w:r>
      <w:r>
        <w:rPr>
          <w:rFonts w:hint="eastAsia" w:ascii="仿宋_GB2312" w:eastAsia="仿宋_GB2312" w:cs="仿宋_GB2312" w:hAnsiTheme="minorHAnsi"/>
          <w:kern w:val="2"/>
          <w:sz w:val="32"/>
          <w:szCs w:val="32"/>
        </w:rPr>
        <w:t>年度）</w:t>
      </w:r>
    </w:p>
    <w:p>
      <w:pPr>
        <w:spacing w:before="76" w:line="224" w:lineRule="auto"/>
        <w:rPr>
          <w:rFonts w:ascii="Times New Roman" w:hAnsi="Times New Roman" w:eastAsia="宋体" w:cs="宋体"/>
          <w:b/>
          <w:bCs/>
          <w:spacing w:val="21"/>
          <w:sz w:val="37"/>
          <w:szCs w:val="37"/>
        </w:rPr>
      </w:pPr>
    </w:p>
    <w:p>
      <w:pPr>
        <w:spacing w:before="5" w:line="215" w:lineRule="auto"/>
        <w:ind w:left="850"/>
        <w:rPr>
          <w:rFonts w:ascii="Times New Roman" w:hAnsi="Times New Roman" w:eastAsia="宋体" w:cs="宋体"/>
          <w:b/>
          <w:bCs/>
          <w:spacing w:val="21"/>
          <w:sz w:val="37"/>
          <w:szCs w:val="37"/>
        </w:rPr>
      </w:pPr>
    </w:p>
    <w:p>
      <w:pPr>
        <w:spacing w:before="5" w:line="215" w:lineRule="auto"/>
        <w:ind w:left="850"/>
        <w:rPr>
          <w:rFonts w:ascii="Times New Roman" w:hAnsi="Times New Roman" w:eastAsia="宋体" w:cs="宋体"/>
          <w:b/>
          <w:bCs/>
          <w:spacing w:val="21"/>
          <w:sz w:val="37"/>
          <w:szCs w:val="37"/>
        </w:rPr>
      </w:pPr>
    </w:p>
    <w:p>
      <w:pPr>
        <w:spacing w:before="5" w:line="215" w:lineRule="auto"/>
        <w:ind w:left="850"/>
        <w:rPr>
          <w:rFonts w:ascii="Times New Roman" w:hAnsi="Times New Roman" w:eastAsia="宋体" w:cs="宋体"/>
          <w:b/>
          <w:bCs/>
          <w:spacing w:val="21"/>
          <w:sz w:val="37"/>
          <w:szCs w:val="37"/>
        </w:rPr>
      </w:pPr>
    </w:p>
    <w:p>
      <w:pPr>
        <w:spacing w:before="5" w:line="215" w:lineRule="auto"/>
        <w:ind w:left="850"/>
        <w:rPr>
          <w:rFonts w:ascii="Times New Roman" w:hAnsi="Times New Roman" w:eastAsia="宋体" w:cs="宋体"/>
          <w:b/>
          <w:bCs/>
          <w:spacing w:val="21"/>
          <w:sz w:val="37"/>
          <w:szCs w:val="37"/>
        </w:rPr>
      </w:pPr>
    </w:p>
    <w:p>
      <w:pPr>
        <w:spacing w:before="5" w:line="215" w:lineRule="auto"/>
        <w:ind w:left="850"/>
        <w:rPr>
          <w:rFonts w:ascii="Times New Roman" w:hAnsi="Times New Roman" w:eastAsia="宋体" w:cs="宋体"/>
          <w:b/>
          <w:bCs/>
          <w:spacing w:val="21"/>
          <w:sz w:val="37"/>
          <w:szCs w:val="37"/>
        </w:rPr>
      </w:pPr>
    </w:p>
    <w:p>
      <w:pPr>
        <w:spacing w:before="5" w:line="215" w:lineRule="auto"/>
        <w:rPr>
          <w:rFonts w:ascii="Times New Roman" w:hAnsi="Times New Roman" w:eastAsia="宋体" w:cs="宋体"/>
          <w:b/>
          <w:bCs/>
          <w:spacing w:val="21"/>
          <w:sz w:val="37"/>
          <w:szCs w:val="37"/>
        </w:rPr>
      </w:pPr>
    </w:p>
    <w:p>
      <w:pPr>
        <w:spacing w:before="5" w:after="0" w:line="380" w:lineRule="exact"/>
        <w:jc w:val="center"/>
        <w:rPr>
          <w:rFonts w:ascii="Times New Roman" w:hAnsi="Times New Roman" w:eastAsia="宋体" w:cs="宋体"/>
          <w:sz w:val="37"/>
          <w:szCs w:val="37"/>
        </w:rPr>
      </w:pPr>
      <w:r>
        <w:rPr>
          <w:rFonts w:ascii="Times New Roman" w:hAnsi="Times New Roman" w:eastAsia="宋体" w:cs="宋体"/>
          <w:b/>
          <w:bCs/>
          <w:spacing w:val="21"/>
          <w:sz w:val="37"/>
          <w:szCs w:val="37"/>
        </w:rPr>
        <w:t>广元市昭化区部门整体支出绩效目标自评表</w:t>
      </w:r>
    </w:p>
    <w:p>
      <w:pPr>
        <w:spacing w:after="0" w:line="380" w:lineRule="exact"/>
        <w:ind w:left="4043"/>
        <w:rPr>
          <w:rFonts w:ascii="Times New Roman" w:hAnsi="Times New Roman" w:eastAsia="宋体" w:cs="宋体"/>
          <w:sz w:val="25"/>
          <w:szCs w:val="25"/>
        </w:rPr>
      </w:pPr>
      <w:r>
        <w:rPr>
          <w:rFonts w:ascii="Times New Roman" w:hAnsi="Times New Roman" w:eastAsia="宋体" w:cs="宋体"/>
          <w:spacing w:val="-16"/>
          <w:sz w:val="25"/>
          <w:szCs w:val="25"/>
        </w:rPr>
        <w:t>(</w:t>
      </w:r>
      <w:r>
        <w:rPr>
          <w:rFonts w:ascii="Times New Roman" w:hAnsi="Times New Roman" w:eastAsia="宋体" w:cs="宋体"/>
          <w:spacing w:val="24"/>
          <w:sz w:val="25"/>
          <w:szCs w:val="25"/>
        </w:rPr>
        <w:t xml:space="preserve"> </w:t>
      </w:r>
      <w:r>
        <w:rPr>
          <w:rFonts w:hint="eastAsia" w:ascii="Times New Roman" w:hAnsi="Times New Roman" w:eastAsia="宋体" w:cs="宋体"/>
          <w:spacing w:val="24"/>
          <w:sz w:val="25"/>
          <w:szCs w:val="25"/>
        </w:rPr>
        <w:t>2023</w:t>
      </w:r>
      <w:r>
        <w:rPr>
          <w:rFonts w:ascii="Times New Roman" w:hAnsi="Times New Roman" w:eastAsia="宋体" w:cs="宋体"/>
          <w:spacing w:val="-16"/>
          <w:sz w:val="25"/>
          <w:szCs w:val="25"/>
        </w:rPr>
        <w:t>年度)</w:t>
      </w:r>
    </w:p>
    <w:tbl>
      <w:tblPr>
        <w:tblStyle w:val="21"/>
        <w:tblW w:w="96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
        <w:gridCol w:w="840"/>
        <w:gridCol w:w="1046"/>
        <w:gridCol w:w="1309"/>
        <w:gridCol w:w="959"/>
        <w:gridCol w:w="142"/>
        <w:gridCol w:w="992"/>
        <w:gridCol w:w="1972"/>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506" w:type="dxa"/>
            <w:gridSpan w:val="2"/>
          </w:tcPr>
          <w:p>
            <w:pPr>
              <w:spacing w:before="92" w:after="0" w:line="219" w:lineRule="auto"/>
              <w:ind w:left="434"/>
              <w:rPr>
                <w:rFonts w:ascii="Times New Roman" w:hAnsi="Times New Roman" w:eastAsia="宋体" w:cs="宋体"/>
                <w:sz w:val="18"/>
                <w:szCs w:val="18"/>
              </w:rPr>
            </w:pPr>
            <w:r>
              <w:rPr>
                <w:rFonts w:ascii="Times New Roman" w:hAnsi="Times New Roman" w:eastAsia="宋体" w:cs="宋体"/>
                <w:spacing w:val="5"/>
                <w:sz w:val="18"/>
                <w:szCs w:val="18"/>
              </w:rPr>
              <w:t>主管部门</w:t>
            </w:r>
          </w:p>
        </w:tc>
        <w:tc>
          <w:tcPr>
            <w:tcW w:w="3314" w:type="dxa"/>
            <w:gridSpan w:val="3"/>
          </w:tcPr>
          <w:p>
            <w:pPr>
              <w:spacing w:after="0" w:line="360" w:lineRule="auto"/>
              <w:jc w:val="center"/>
              <w:rPr>
                <w:rFonts w:ascii="Times New Roman" w:hAnsi="Times New Roman" w:eastAsia="宋体" w:cs="Times New Roman"/>
                <w:sz w:val="20"/>
                <w:szCs w:val="20"/>
              </w:rPr>
            </w:pPr>
            <w:r>
              <w:rPr>
                <w:rFonts w:hint="eastAsia" w:ascii="Times New Roman" w:hAnsi="Times New Roman" w:eastAsia="宋体" w:cs="宋体"/>
                <w:spacing w:val="5"/>
                <w:sz w:val="18"/>
                <w:szCs w:val="18"/>
              </w:rPr>
              <w:t>广元市昭化区人民政府</w:t>
            </w:r>
          </w:p>
        </w:tc>
        <w:tc>
          <w:tcPr>
            <w:tcW w:w="1134" w:type="dxa"/>
            <w:gridSpan w:val="2"/>
          </w:tcPr>
          <w:p>
            <w:pPr>
              <w:spacing w:before="93" w:after="0" w:line="220" w:lineRule="auto"/>
              <w:jc w:val="center"/>
              <w:rPr>
                <w:rFonts w:ascii="Times New Roman" w:hAnsi="Times New Roman" w:eastAsia="宋体" w:cs="宋体"/>
                <w:sz w:val="18"/>
                <w:szCs w:val="18"/>
              </w:rPr>
            </w:pPr>
            <w:r>
              <w:rPr>
                <w:rFonts w:ascii="Times New Roman" w:hAnsi="Times New Roman" w:eastAsia="宋体" w:cs="宋体"/>
                <w:spacing w:val="-3"/>
                <w:sz w:val="18"/>
                <w:szCs w:val="18"/>
              </w:rPr>
              <w:t>实施单位</w:t>
            </w:r>
          </w:p>
        </w:tc>
        <w:tc>
          <w:tcPr>
            <w:tcW w:w="3742" w:type="dxa"/>
            <w:gridSpan w:val="2"/>
          </w:tcPr>
          <w:p>
            <w:pPr>
              <w:spacing w:after="0"/>
              <w:jc w:val="center"/>
              <w:rPr>
                <w:rFonts w:ascii="Times New Roman" w:hAnsi="Times New Roman" w:eastAsia="宋体" w:cs="Times New Roman"/>
                <w:sz w:val="20"/>
                <w:szCs w:val="20"/>
              </w:rPr>
            </w:pPr>
            <w:r>
              <w:rPr>
                <w:rFonts w:hint="eastAsia" w:ascii="Times New Roman" w:hAnsi="Times New Roman" w:eastAsia="宋体" w:cs="宋体"/>
                <w:spacing w:val="5"/>
                <w:sz w:val="18"/>
                <w:szCs w:val="18"/>
              </w:rPr>
              <w:t>广元市昭化区王家镇人民政府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06" w:type="dxa"/>
            <w:gridSpan w:val="2"/>
            <w:vMerge w:val="restart"/>
            <w:tcBorders>
              <w:bottom w:val="nil"/>
            </w:tcBorders>
          </w:tcPr>
          <w:p>
            <w:pPr>
              <w:spacing w:after="0" w:line="246" w:lineRule="auto"/>
              <w:rPr>
                <w:rFonts w:ascii="Times New Roman" w:hAnsi="Times New Roman" w:eastAsia="宋体" w:cs="Times New Roman"/>
                <w:sz w:val="20"/>
                <w:szCs w:val="20"/>
              </w:rPr>
            </w:pPr>
          </w:p>
          <w:p>
            <w:pPr>
              <w:spacing w:after="0" w:line="246" w:lineRule="auto"/>
              <w:rPr>
                <w:rFonts w:ascii="Times New Roman" w:hAnsi="Times New Roman" w:eastAsia="宋体" w:cs="Times New Roman"/>
                <w:sz w:val="20"/>
                <w:szCs w:val="20"/>
              </w:rPr>
            </w:pPr>
          </w:p>
          <w:p>
            <w:pPr>
              <w:spacing w:after="0" w:line="246" w:lineRule="auto"/>
              <w:rPr>
                <w:rFonts w:ascii="Times New Roman" w:hAnsi="Times New Roman" w:eastAsia="宋体" w:cs="Times New Roman"/>
                <w:sz w:val="20"/>
                <w:szCs w:val="20"/>
              </w:rPr>
            </w:pPr>
          </w:p>
          <w:p>
            <w:pPr>
              <w:spacing w:after="0" w:line="247" w:lineRule="auto"/>
              <w:rPr>
                <w:rFonts w:ascii="Times New Roman" w:hAnsi="Times New Roman" w:eastAsia="宋体" w:cs="Times New Roman"/>
                <w:sz w:val="20"/>
                <w:szCs w:val="20"/>
              </w:rPr>
            </w:pPr>
          </w:p>
          <w:p>
            <w:pPr>
              <w:spacing w:after="0" w:line="247" w:lineRule="auto"/>
              <w:rPr>
                <w:rFonts w:ascii="Times New Roman" w:hAnsi="Times New Roman" w:eastAsia="宋体" w:cs="Times New Roman"/>
                <w:sz w:val="20"/>
                <w:szCs w:val="20"/>
              </w:rPr>
            </w:pPr>
          </w:p>
          <w:p>
            <w:pPr>
              <w:kinsoku w:val="0"/>
              <w:autoSpaceDE w:val="0"/>
              <w:autoSpaceDN w:val="0"/>
              <w:spacing w:before="56" w:after="0" w:line="220" w:lineRule="auto"/>
              <w:ind w:left="55"/>
              <w:jc w:val="center"/>
              <w:textAlignment w:val="baseline"/>
              <w:rPr>
                <w:rFonts w:ascii="Times New Roman" w:hAnsi="Times New Roman" w:eastAsia="宋体" w:cs="宋体"/>
                <w:sz w:val="18"/>
                <w:szCs w:val="18"/>
              </w:rPr>
            </w:pPr>
            <w:r>
              <w:rPr>
                <w:rFonts w:ascii="宋体" w:hAnsi="宋体" w:eastAsia="宋体" w:cs="宋体"/>
                <w:snapToGrid w:val="0"/>
                <w:color w:val="000000"/>
                <w:spacing w:val="-11"/>
                <w:sz w:val="17"/>
                <w:szCs w:val="17"/>
              </w:rPr>
              <w:t>项目(政策)资金 (万元)</w:t>
            </w:r>
          </w:p>
        </w:tc>
        <w:tc>
          <w:tcPr>
            <w:tcW w:w="2355" w:type="dxa"/>
            <w:gridSpan w:val="2"/>
          </w:tcPr>
          <w:p>
            <w:pPr>
              <w:spacing w:after="0"/>
              <w:rPr>
                <w:rFonts w:ascii="Times New Roman" w:hAnsi="Times New Roman" w:cs="Times New Roman" w:eastAsiaTheme="minorEastAsia"/>
                <w:sz w:val="20"/>
                <w:szCs w:val="20"/>
              </w:rPr>
            </w:pPr>
          </w:p>
        </w:tc>
        <w:tc>
          <w:tcPr>
            <w:tcW w:w="959" w:type="dxa"/>
          </w:tcPr>
          <w:p>
            <w:pPr>
              <w:spacing w:before="87" w:after="0" w:line="219" w:lineRule="auto"/>
              <w:jc w:val="center"/>
              <w:rPr>
                <w:rFonts w:ascii="Times New Roman" w:hAnsi="Times New Roman" w:eastAsia="宋体" w:cs="宋体"/>
                <w:sz w:val="18"/>
                <w:szCs w:val="18"/>
              </w:rPr>
            </w:pPr>
            <w:r>
              <w:rPr>
                <w:rFonts w:ascii="Times New Roman" w:hAnsi="Times New Roman" w:eastAsia="宋体" w:cs="宋体"/>
                <w:spacing w:val="-2"/>
                <w:sz w:val="18"/>
                <w:szCs w:val="18"/>
              </w:rPr>
              <w:t>年初预算数</w:t>
            </w:r>
          </w:p>
        </w:tc>
        <w:tc>
          <w:tcPr>
            <w:tcW w:w="1134" w:type="dxa"/>
            <w:gridSpan w:val="2"/>
          </w:tcPr>
          <w:p>
            <w:pPr>
              <w:spacing w:before="87" w:after="0" w:line="219" w:lineRule="auto"/>
              <w:jc w:val="center"/>
              <w:rPr>
                <w:rFonts w:ascii="Times New Roman" w:hAnsi="Times New Roman" w:eastAsia="宋体" w:cs="宋体"/>
                <w:sz w:val="18"/>
                <w:szCs w:val="18"/>
              </w:rPr>
            </w:pPr>
            <w:r>
              <w:rPr>
                <w:rFonts w:ascii="Times New Roman" w:hAnsi="Times New Roman" w:eastAsia="宋体" w:cs="宋体"/>
                <w:spacing w:val="-2"/>
                <w:sz w:val="18"/>
                <w:szCs w:val="18"/>
              </w:rPr>
              <w:t>全年预算数</w:t>
            </w:r>
          </w:p>
        </w:tc>
        <w:tc>
          <w:tcPr>
            <w:tcW w:w="1972" w:type="dxa"/>
          </w:tcPr>
          <w:p>
            <w:pPr>
              <w:spacing w:before="87" w:after="0" w:line="219" w:lineRule="auto"/>
              <w:jc w:val="center"/>
              <w:rPr>
                <w:rFonts w:ascii="Times New Roman" w:hAnsi="Times New Roman" w:eastAsia="宋体" w:cs="宋体"/>
                <w:sz w:val="18"/>
                <w:szCs w:val="18"/>
              </w:rPr>
            </w:pPr>
            <w:r>
              <w:rPr>
                <w:rFonts w:ascii="Times New Roman" w:hAnsi="Times New Roman" w:eastAsia="宋体" w:cs="宋体"/>
                <w:spacing w:val="-2"/>
                <w:sz w:val="18"/>
                <w:szCs w:val="18"/>
              </w:rPr>
              <w:t>全年执行数</w:t>
            </w:r>
          </w:p>
        </w:tc>
        <w:tc>
          <w:tcPr>
            <w:tcW w:w="1770" w:type="dxa"/>
          </w:tcPr>
          <w:p>
            <w:pPr>
              <w:spacing w:before="87" w:after="0" w:line="219" w:lineRule="auto"/>
              <w:jc w:val="center"/>
              <w:rPr>
                <w:rFonts w:ascii="Times New Roman" w:hAnsi="Times New Roman" w:eastAsia="宋体" w:cs="宋体"/>
                <w:sz w:val="18"/>
                <w:szCs w:val="18"/>
              </w:rPr>
            </w:pPr>
            <w:r>
              <w:rPr>
                <w:rFonts w:ascii="Times New Roman" w:hAnsi="Times New Roman" w:eastAsia="宋体" w:cs="宋体"/>
                <w:spacing w:val="6"/>
                <w:sz w:val="18"/>
                <w:szCs w:val="18"/>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06" w:type="dxa"/>
            <w:gridSpan w:val="2"/>
            <w:vMerge w:val="continue"/>
            <w:tcBorders>
              <w:top w:val="nil"/>
              <w:bottom w:val="nil"/>
            </w:tcBorders>
          </w:tcPr>
          <w:p>
            <w:pPr>
              <w:spacing w:after="0"/>
              <w:rPr>
                <w:rFonts w:ascii="Times New Roman" w:hAnsi="Times New Roman" w:eastAsia="宋体" w:cs="Times New Roman"/>
                <w:sz w:val="20"/>
                <w:szCs w:val="20"/>
              </w:rPr>
            </w:pPr>
          </w:p>
        </w:tc>
        <w:tc>
          <w:tcPr>
            <w:tcW w:w="2355" w:type="dxa"/>
            <w:gridSpan w:val="2"/>
          </w:tcPr>
          <w:p>
            <w:pPr>
              <w:spacing w:before="88" w:after="0" w:line="219" w:lineRule="auto"/>
              <w:ind w:left="162"/>
              <w:rPr>
                <w:rFonts w:ascii="宋体" w:hAnsi="宋体" w:eastAsia="宋体" w:cs="宋体"/>
                <w:sz w:val="18"/>
                <w:szCs w:val="18"/>
              </w:rPr>
            </w:pPr>
            <w:r>
              <w:rPr>
                <w:rFonts w:ascii="宋体" w:hAnsi="宋体" w:eastAsia="宋体" w:cs="宋体"/>
                <w:spacing w:val="-2"/>
                <w:sz w:val="18"/>
                <w:szCs w:val="18"/>
              </w:rPr>
              <w:t>年度资金总额</w:t>
            </w:r>
          </w:p>
        </w:tc>
        <w:tc>
          <w:tcPr>
            <w:tcW w:w="959" w:type="dxa"/>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1320.76</w:t>
            </w:r>
          </w:p>
        </w:tc>
        <w:tc>
          <w:tcPr>
            <w:tcW w:w="1134" w:type="dxa"/>
            <w:gridSpan w:val="2"/>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1550.56</w:t>
            </w:r>
          </w:p>
        </w:tc>
        <w:tc>
          <w:tcPr>
            <w:tcW w:w="1972" w:type="dxa"/>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1550.56</w:t>
            </w:r>
          </w:p>
        </w:tc>
        <w:tc>
          <w:tcPr>
            <w:tcW w:w="1770" w:type="dxa"/>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06" w:type="dxa"/>
            <w:gridSpan w:val="2"/>
            <w:vMerge w:val="continue"/>
            <w:tcBorders>
              <w:top w:val="nil"/>
              <w:bottom w:val="nil"/>
            </w:tcBorders>
          </w:tcPr>
          <w:p>
            <w:pPr>
              <w:spacing w:after="0"/>
              <w:rPr>
                <w:rFonts w:ascii="Times New Roman" w:hAnsi="Times New Roman" w:eastAsia="宋体" w:cs="Times New Roman"/>
                <w:sz w:val="20"/>
                <w:szCs w:val="20"/>
              </w:rPr>
            </w:pPr>
          </w:p>
        </w:tc>
        <w:tc>
          <w:tcPr>
            <w:tcW w:w="2355" w:type="dxa"/>
            <w:gridSpan w:val="2"/>
          </w:tcPr>
          <w:p>
            <w:pPr>
              <w:spacing w:before="89" w:after="0" w:line="219" w:lineRule="auto"/>
              <w:ind w:left="162"/>
              <w:rPr>
                <w:rFonts w:ascii="宋体" w:hAnsi="宋体" w:eastAsia="宋体" w:cs="宋体"/>
                <w:sz w:val="18"/>
                <w:szCs w:val="18"/>
              </w:rPr>
            </w:pPr>
            <w:r>
              <w:rPr>
                <w:rFonts w:ascii="宋体" w:hAnsi="宋体" w:eastAsia="宋体" w:cs="宋体"/>
                <w:sz w:val="18"/>
                <w:szCs w:val="18"/>
              </w:rPr>
              <w:t>(一)财政拨款小计</w:t>
            </w:r>
          </w:p>
        </w:tc>
        <w:tc>
          <w:tcPr>
            <w:tcW w:w="959" w:type="dxa"/>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1320.76</w:t>
            </w:r>
          </w:p>
        </w:tc>
        <w:tc>
          <w:tcPr>
            <w:tcW w:w="1134" w:type="dxa"/>
            <w:gridSpan w:val="2"/>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1550.56</w:t>
            </w:r>
          </w:p>
        </w:tc>
        <w:tc>
          <w:tcPr>
            <w:tcW w:w="1972" w:type="dxa"/>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1550.56</w:t>
            </w:r>
          </w:p>
        </w:tc>
        <w:tc>
          <w:tcPr>
            <w:tcW w:w="1770" w:type="dxa"/>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506" w:type="dxa"/>
            <w:gridSpan w:val="2"/>
            <w:vMerge w:val="continue"/>
            <w:tcBorders>
              <w:top w:val="nil"/>
              <w:bottom w:val="nil"/>
            </w:tcBorders>
          </w:tcPr>
          <w:p>
            <w:pPr>
              <w:spacing w:after="0"/>
              <w:rPr>
                <w:rFonts w:ascii="Times New Roman" w:hAnsi="Times New Roman" w:eastAsia="宋体" w:cs="Times New Roman"/>
                <w:sz w:val="20"/>
                <w:szCs w:val="20"/>
              </w:rPr>
            </w:pPr>
          </w:p>
        </w:tc>
        <w:tc>
          <w:tcPr>
            <w:tcW w:w="2355" w:type="dxa"/>
            <w:gridSpan w:val="2"/>
          </w:tcPr>
          <w:p>
            <w:pPr>
              <w:spacing w:before="90" w:after="0" w:line="219" w:lineRule="auto"/>
              <w:ind w:left="162"/>
              <w:rPr>
                <w:rFonts w:ascii="宋体" w:hAnsi="宋体" w:eastAsia="宋体" w:cs="宋体"/>
                <w:sz w:val="18"/>
                <w:szCs w:val="18"/>
              </w:rPr>
            </w:pPr>
            <w:r>
              <w:rPr>
                <w:rFonts w:ascii="宋体" w:hAnsi="宋体" w:eastAsia="宋体" w:cs="宋体"/>
                <w:spacing w:val="1"/>
                <w:sz w:val="18"/>
                <w:szCs w:val="18"/>
              </w:rPr>
              <w:t>1.一般公共预算</w:t>
            </w:r>
          </w:p>
        </w:tc>
        <w:tc>
          <w:tcPr>
            <w:tcW w:w="959" w:type="dxa"/>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1320.76</w:t>
            </w:r>
          </w:p>
        </w:tc>
        <w:tc>
          <w:tcPr>
            <w:tcW w:w="1134" w:type="dxa"/>
            <w:gridSpan w:val="2"/>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1550.56</w:t>
            </w:r>
          </w:p>
        </w:tc>
        <w:tc>
          <w:tcPr>
            <w:tcW w:w="1972" w:type="dxa"/>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1550.56</w:t>
            </w:r>
          </w:p>
        </w:tc>
        <w:tc>
          <w:tcPr>
            <w:tcW w:w="1770" w:type="dxa"/>
            <w:vAlign w:val="center"/>
          </w:tcPr>
          <w:p>
            <w:pPr>
              <w:spacing w:after="0"/>
              <w:jc w:val="center"/>
              <w:textAlignment w:val="center"/>
              <w:rPr>
                <w:rFonts w:ascii="Times New Roman" w:hAnsi="Times New Roman" w:eastAsia="宋体" w:cs="宋体"/>
                <w:spacing w:val="1"/>
                <w:sz w:val="18"/>
                <w:szCs w:val="18"/>
              </w:rPr>
            </w:pPr>
            <w:r>
              <w:rPr>
                <w:rFonts w:hint="eastAsia" w:ascii="宋体" w:hAnsi="宋体" w:eastAsia="宋体" w:cs="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506" w:type="dxa"/>
            <w:gridSpan w:val="2"/>
            <w:vMerge w:val="continue"/>
            <w:tcBorders>
              <w:top w:val="nil"/>
              <w:bottom w:val="nil"/>
            </w:tcBorders>
          </w:tcPr>
          <w:p>
            <w:pPr>
              <w:spacing w:after="0"/>
              <w:rPr>
                <w:rFonts w:ascii="Times New Roman" w:hAnsi="Times New Roman" w:eastAsia="宋体" w:cs="Times New Roman"/>
                <w:sz w:val="20"/>
                <w:szCs w:val="20"/>
              </w:rPr>
            </w:pPr>
          </w:p>
        </w:tc>
        <w:tc>
          <w:tcPr>
            <w:tcW w:w="2355" w:type="dxa"/>
            <w:gridSpan w:val="2"/>
          </w:tcPr>
          <w:p>
            <w:pPr>
              <w:spacing w:before="99" w:after="0" w:line="219" w:lineRule="auto"/>
              <w:ind w:left="162"/>
              <w:rPr>
                <w:rFonts w:ascii="宋体" w:hAnsi="宋体" w:eastAsia="宋体" w:cs="宋体"/>
                <w:sz w:val="18"/>
                <w:szCs w:val="18"/>
              </w:rPr>
            </w:pPr>
            <w:r>
              <w:rPr>
                <w:rFonts w:ascii="宋体" w:hAnsi="宋体" w:eastAsia="宋体" w:cs="宋体"/>
                <w:spacing w:val="-2"/>
                <w:sz w:val="18"/>
                <w:szCs w:val="18"/>
              </w:rPr>
              <w:t>2.政府性基金</w:t>
            </w:r>
          </w:p>
        </w:tc>
        <w:tc>
          <w:tcPr>
            <w:tcW w:w="959" w:type="dxa"/>
            <w:vAlign w:val="center"/>
          </w:tcPr>
          <w:p>
            <w:pPr>
              <w:spacing w:after="0"/>
              <w:rPr>
                <w:rFonts w:ascii="Times New Roman" w:hAnsi="Times New Roman" w:eastAsia="宋体" w:cs="宋体"/>
                <w:spacing w:val="1"/>
                <w:sz w:val="18"/>
                <w:szCs w:val="18"/>
              </w:rPr>
            </w:pPr>
          </w:p>
        </w:tc>
        <w:tc>
          <w:tcPr>
            <w:tcW w:w="1134" w:type="dxa"/>
            <w:gridSpan w:val="2"/>
            <w:vAlign w:val="center"/>
          </w:tcPr>
          <w:p>
            <w:pPr>
              <w:spacing w:after="0"/>
              <w:jc w:val="center"/>
              <w:textAlignment w:val="center"/>
              <w:rPr>
                <w:rFonts w:ascii="Times New Roman" w:hAnsi="Times New Roman" w:eastAsia="宋体" w:cs="宋体"/>
                <w:spacing w:val="1"/>
                <w:sz w:val="18"/>
                <w:szCs w:val="18"/>
              </w:rPr>
            </w:pPr>
          </w:p>
        </w:tc>
        <w:tc>
          <w:tcPr>
            <w:tcW w:w="1972" w:type="dxa"/>
            <w:vAlign w:val="center"/>
          </w:tcPr>
          <w:p>
            <w:pPr>
              <w:spacing w:after="0"/>
              <w:jc w:val="center"/>
              <w:textAlignment w:val="center"/>
              <w:rPr>
                <w:rFonts w:ascii="Times New Roman" w:hAnsi="Times New Roman" w:eastAsia="宋体" w:cs="宋体"/>
                <w:spacing w:val="1"/>
                <w:sz w:val="18"/>
                <w:szCs w:val="18"/>
              </w:rPr>
            </w:pPr>
          </w:p>
        </w:tc>
        <w:tc>
          <w:tcPr>
            <w:tcW w:w="1770" w:type="dxa"/>
            <w:vAlign w:val="center"/>
          </w:tcPr>
          <w:p>
            <w:pPr>
              <w:spacing w:after="0"/>
              <w:jc w:val="center"/>
              <w:textAlignment w:val="center"/>
              <w:rPr>
                <w:rFonts w:ascii="Times New Roman" w:hAnsi="Times New Roman" w:eastAsia="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06" w:type="dxa"/>
            <w:gridSpan w:val="2"/>
            <w:vMerge w:val="continue"/>
            <w:tcBorders>
              <w:top w:val="nil"/>
              <w:bottom w:val="nil"/>
            </w:tcBorders>
          </w:tcPr>
          <w:p>
            <w:pPr>
              <w:spacing w:after="0"/>
              <w:rPr>
                <w:rFonts w:ascii="Times New Roman" w:hAnsi="Times New Roman" w:eastAsia="宋体" w:cs="Times New Roman"/>
                <w:sz w:val="20"/>
                <w:szCs w:val="20"/>
              </w:rPr>
            </w:pPr>
          </w:p>
        </w:tc>
        <w:tc>
          <w:tcPr>
            <w:tcW w:w="2355" w:type="dxa"/>
            <w:gridSpan w:val="2"/>
          </w:tcPr>
          <w:p>
            <w:pPr>
              <w:spacing w:before="129" w:after="0" w:line="219" w:lineRule="auto"/>
              <w:ind w:left="162"/>
              <w:rPr>
                <w:rFonts w:ascii="宋体" w:hAnsi="宋体" w:eastAsia="宋体" w:cs="宋体"/>
                <w:sz w:val="18"/>
                <w:szCs w:val="18"/>
              </w:rPr>
            </w:pPr>
            <w:r>
              <w:rPr>
                <w:rFonts w:ascii="宋体" w:hAnsi="宋体" w:eastAsia="宋体" w:cs="宋体"/>
                <w:spacing w:val="-1"/>
                <w:sz w:val="18"/>
                <w:szCs w:val="18"/>
              </w:rPr>
              <w:t>3.国有资本经营预算</w:t>
            </w:r>
          </w:p>
        </w:tc>
        <w:tc>
          <w:tcPr>
            <w:tcW w:w="959" w:type="dxa"/>
          </w:tcPr>
          <w:p>
            <w:pPr>
              <w:spacing w:after="0"/>
              <w:rPr>
                <w:rFonts w:ascii="Times New Roman" w:hAnsi="Times New Roman" w:eastAsia="宋体" w:cs="Times New Roman"/>
                <w:sz w:val="20"/>
                <w:szCs w:val="20"/>
              </w:rPr>
            </w:pPr>
          </w:p>
        </w:tc>
        <w:tc>
          <w:tcPr>
            <w:tcW w:w="1134" w:type="dxa"/>
            <w:gridSpan w:val="2"/>
          </w:tcPr>
          <w:p>
            <w:pPr>
              <w:spacing w:after="0"/>
              <w:rPr>
                <w:rFonts w:ascii="Times New Roman" w:hAnsi="Times New Roman" w:eastAsia="宋体" w:cs="Times New Roman"/>
                <w:sz w:val="20"/>
                <w:szCs w:val="20"/>
              </w:rPr>
            </w:pPr>
          </w:p>
        </w:tc>
        <w:tc>
          <w:tcPr>
            <w:tcW w:w="1972" w:type="dxa"/>
          </w:tcPr>
          <w:p>
            <w:pPr>
              <w:spacing w:after="0"/>
              <w:rPr>
                <w:rFonts w:ascii="Times New Roman" w:hAnsi="Times New Roman" w:eastAsia="宋体" w:cs="Times New Roman"/>
                <w:sz w:val="20"/>
                <w:szCs w:val="20"/>
              </w:rPr>
            </w:pPr>
          </w:p>
        </w:tc>
        <w:tc>
          <w:tcPr>
            <w:tcW w:w="1770" w:type="dxa"/>
          </w:tcPr>
          <w:p>
            <w:pPr>
              <w:spacing w:before="90" w:after="0" w:line="219" w:lineRule="auto"/>
              <w:ind w:left="162"/>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06" w:type="dxa"/>
            <w:gridSpan w:val="2"/>
            <w:vMerge w:val="continue"/>
            <w:tcBorders>
              <w:top w:val="nil"/>
            </w:tcBorders>
          </w:tcPr>
          <w:p>
            <w:pPr>
              <w:spacing w:after="0"/>
              <w:rPr>
                <w:rFonts w:ascii="Times New Roman" w:hAnsi="Times New Roman" w:eastAsia="宋体" w:cs="Times New Roman"/>
                <w:sz w:val="20"/>
                <w:szCs w:val="20"/>
              </w:rPr>
            </w:pPr>
          </w:p>
        </w:tc>
        <w:tc>
          <w:tcPr>
            <w:tcW w:w="2355" w:type="dxa"/>
            <w:gridSpan w:val="2"/>
          </w:tcPr>
          <w:p>
            <w:pPr>
              <w:spacing w:before="93" w:after="0" w:line="220" w:lineRule="auto"/>
              <w:ind w:left="162"/>
              <w:rPr>
                <w:rFonts w:ascii="宋体" w:hAnsi="宋体" w:eastAsia="宋体" w:cs="宋体"/>
                <w:sz w:val="18"/>
                <w:szCs w:val="18"/>
              </w:rPr>
            </w:pPr>
            <w:r>
              <w:rPr>
                <w:rFonts w:ascii="宋体" w:hAnsi="宋体" w:eastAsia="宋体" w:cs="宋体"/>
                <w:spacing w:val="1"/>
                <w:sz w:val="18"/>
                <w:szCs w:val="18"/>
              </w:rPr>
              <w:t>(二)其他资金</w:t>
            </w:r>
          </w:p>
        </w:tc>
        <w:tc>
          <w:tcPr>
            <w:tcW w:w="959" w:type="dxa"/>
          </w:tcPr>
          <w:p>
            <w:pPr>
              <w:spacing w:after="0"/>
              <w:jc w:val="center"/>
              <w:rPr>
                <w:rFonts w:ascii="Times New Roman" w:hAnsi="Times New Roman" w:eastAsia="宋体" w:cs="Times New Roman"/>
                <w:sz w:val="20"/>
                <w:szCs w:val="20"/>
              </w:rPr>
            </w:pPr>
          </w:p>
        </w:tc>
        <w:tc>
          <w:tcPr>
            <w:tcW w:w="1134" w:type="dxa"/>
            <w:gridSpan w:val="2"/>
          </w:tcPr>
          <w:p>
            <w:pPr>
              <w:spacing w:after="0"/>
              <w:jc w:val="center"/>
              <w:rPr>
                <w:rFonts w:ascii="Times New Roman" w:hAnsi="Times New Roman" w:eastAsia="宋体" w:cs="Times New Roman"/>
                <w:sz w:val="20"/>
                <w:szCs w:val="20"/>
              </w:rPr>
            </w:pPr>
          </w:p>
        </w:tc>
        <w:tc>
          <w:tcPr>
            <w:tcW w:w="1972" w:type="dxa"/>
          </w:tcPr>
          <w:p>
            <w:pPr>
              <w:spacing w:after="0"/>
              <w:jc w:val="center"/>
              <w:rPr>
                <w:rFonts w:ascii="Times New Roman" w:hAnsi="Times New Roman" w:eastAsia="宋体" w:cs="Times New Roman"/>
                <w:sz w:val="20"/>
                <w:szCs w:val="20"/>
              </w:rPr>
            </w:pPr>
          </w:p>
        </w:tc>
        <w:tc>
          <w:tcPr>
            <w:tcW w:w="1770" w:type="dxa"/>
          </w:tcPr>
          <w:p>
            <w:pPr>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 w:hRule="atLeast"/>
        </w:trPr>
        <w:tc>
          <w:tcPr>
            <w:tcW w:w="666" w:type="dxa"/>
            <w:vMerge w:val="restart"/>
            <w:tcBorders>
              <w:bottom w:val="nil"/>
            </w:tcBorders>
            <w:vAlign w:val="center"/>
          </w:tcPr>
          <w:p>
            <w:pPr>
              <w:kinsoku w:val="0"/>
              <w:autoSpaceDE w:val="0"/>
              <w:autoSpaceDN w:val="0"/>
              <w:spacing w:before="56" w:after="0" w:line="220" w:lineRule="auto"/>
              <w:ind w:left="55"/>
              <w:jc w:val="center"/>
              <w:textAlignment w:val="baseline"/>
              <w:rPr>
                <w:rFonts w:ascii="宋体" w:hAnsi="宋体" w:eastAsia="宋体" w:cs="宋体"/>
                <w:snapToGrid w:val="0"/>
                <w:color w:val="000000"/>
                <w:spacing w:val="-11"/>
                <w:sz w:val="17"/>
                <w:szCs w:val="17"/>
              </w:rPr>
            </w:pPr>
            <w:r>
              <w:rPr>
                <w:rFonts w:ascii="宋体" w:hAnsi="宋体" w:eastAsia="宋体" w:cs="宋体"/>
                <w:snapToGrid w:val="0"/>
                <w:color w:val="000000"/>
                <w:spacing w:val="-11"/>
                <w:sz w:val="17"/>
                <w:szCs w:val="17"/>
              </w:rPr>
              <w:t>整体</w:t>
            </w:r>
          </w:p>
          <w:p>
            <w:pPr>
              <w:kinsoku w:val="0"/>
              <w:autoSpaceDE w:val="0"/>
              <w:autoSpaceDN w:val="0"/>
              <w:spacing w:before="56" w:after="0" w:line="220" w:lineRule="auto"/>
              <w:ind w:left="55"/>
              <w:jc w:val="center"/>
              <w:textAlignment w:val="baseline"/>
              <w:rPr>
                <w:rFonts w:ascii="宋体" w:hAnsi="宋体" w:eastAsia="宋体" w:cs="宋体"/>
                <w:snapToGrid w:val="0"/>
                <w:color w:val="000000"/>
                <w:spacing w:val="-11"/>
                <w:sz w:val="17"/>
                <w:szCs w:val="17"/>
              </w:rPr>
            </w:pPr>
            <w:r>
              <w:rPr>
                <w:rFonts w:ascii="宋体" w:hAnsi="宋体" w:eastAsia="宋体" w:cs="宋体"/>
                <w:snapToGrid w:val="0"/>
                <w:color w:val="000000"/>
                <w:spacing w:val="-11"/>
                <w:sz w:val="17"/>
                <w:szCs w:val="17"/>
              </w:rPr>
              <w:t>目标</w:t>
            </w:r>
          </w:p>
        </w:tc>
        <w:tc>
          <w:tcPr>
            <w:tcW w:w="5288" w:type="dxa"/>
            <w:gridSpan w:val="6"/>
          </w:tcPr>
          <w:p>
            <w:pPr>
              <w:kinsoku w:val="0"/>
              <w:autoSpaceDE w:val="0"/>
              <w:autoSpaceDN w:val="0"/>
              <w:spacing w:before="56" w:after="0" w:line="220" w:lineRule="auto"/>
              <w:ind w:left="55"/>
              <w:jc w:val="center"/>
              <w:textAlignment w:val="baseline"/>
              <w:rPr>
                <w:rFonts w:ascii="宋体" w:hAnsi="宋体" w:eastAsia="宋体" w:cs="宋体"/>
                <w:snapToGrid w:val="0"/>
                <w:color w:val="000000"/>
                <w:spacing w:val="-11"/>
                <w:sz w:val="17"/>
                <w:szCs w:val="17"/>
              </w:rPr>
            </w:pPr>
            <w:r>
              <w:rPr>
                <w:rFonts w:ascii="宋体" w:hAnsi="宋体" w:eastAsia="宋体" w:cs="宋体"/>
                <w:snapToGrid w:val="0"/>
                <w:color w:val="000000"/>
                <w:spacing w:val="-11"/>
                <w:sz w:val="17"/>
                <w:szCs w:val="17"/>
              </w:rPr>
              <w:t>年度目标</w:t>
            </w:r>
          </w:p>
        </w:tc>
        <w:tc>
          <w:tcPr>
            <w:tcW w:w="3742" w:type="dxa"/>
            <w:gridSpan w:val="2"/>
          </w:tcPr>
          <w:p>
            <w:pPr>
              <w:kinsoku w:val="0"/>
              <w:autoSpaceDE w:val="0"/>
              <w:autoSpaceDN w:val="0"/>
              <w:spacing w:before="56" w:after="0" w:line="220" w:lineRule="auto"/>
              <w:ind w:left="55"/>
              <w:jc w:val="center"/>
              <w:textAlignment w:val="baseline"/>
              <w:rPr>
                <w:rFonts w:ascii="宋体" w:hAnsi="宋体" w:eastAsia="宋体" w:cs="宋体"/>
                <w:snapToGrid w:val="0"/>
                <w:color w:val="000000"/>
                <w:spacing w:val="-11"/>
                <w:sz w:val="17"/>
                <w:szCs w:val="17"/>
              </w:rPr>
            </w:pPr>
            <w:r>
              <w:rPr>
                <w:rFonts w:ascii="宋体" w:hAnsi="宋体" w:eastAsia="宋体" w:cs="宋体"/>
                <w:snapToGrid w:val="0"/>
                <w:color w:val="000000"/>
                <w:spacing w:val="-11"/>
                <w:sz w:val="17"/>
                <w:szCs w:val="17"/>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trPr>
        <w:tc>
          <w:tcPr>
            <w:tcW w:w="666" w:type="dxa"/>
            <w:vMerge w:val="continue"/>
            <w:tcBorders>
              <w:top w:val="nil"/>
            </w:tcBorders>
          </w:tcPr>
          <w:p>
            <w:pPr>
              <w:kinsoku w:val="0"/>
              <w:autoSpaceDE w:val="0"/>
              <w:autoSpaceDN w:val="0"/>
              <w:spacing w:before="56" w:after="0" w:line="220" w:lineRule="auto"/>
              <w:ind w:left="55"/>
              <w:jc w:val="center"/>
              <w:textAlignment w:val="baseline"/>
              <w:rPr>
                <w:rFonts w:ascii="宋体" w:hAnsi="宋体" w:eastAsia="宋体" w:cs="宋体"/>
                <w:snapToGrid w:val="0"/>
                <w:color w:val="000000"/>
                <w:spacing w:val="-11"/>
                <w:sz w:val="17"/>
                <w:szCs w:val="17"/>
              </w:rPr>
            </w:pPr>
          </w:p>
        </w:tc>
        <w:tc>
          <w:tcPr>
            <w:tcW w:w="5288" w:type="dxa"/>
            <w:gridSpan w:val="6"/>
          </w:tcPr>
          <w:p>
            <w:pPr>
              <w:spacing w:after="0"/>
              <w:ind w:firstLine="360" w:firstLineChars="200"/>
              <w:textAlignment w:val="center"/>
              <w:rPr>
                <w:rFonts w:ascii="楷体" w:hAnsi="楷体" w:eastAsia="楷体" w:cs="宋体"/>
                <w:sz w:val="18"/>
                <w:szCs w:val="18"/>
              </w:rPr>
            </w:pPr>
            <w:r>
              <w:rPr>
                <w:rFonts w:hint="eastAsia" w:ascii="楷体" w:hAnsi="楷体" w:eastAsia="楷体" w:cs="宋体"/>
                <w:sz w:val="18"/>
                <w:szCs w:val="18"/>
              </w:rPr>
              <w:t>坚定以习近平新时代中国特色社会主义思想为指导，深入学习贯彻党的二十大精神和习近平总书记对四川工作系列重要指示精神，全面落实区委区政府和镇党委决策部署，在镇人大的监督支持下，锚定“粮油示范片、靓丽王家坝”总目标，聚焦“王磨特色粮油示范片”发展定位，全力以赴拼经济、搞建设，坚持强产业、推项目、重执行</w:t>
            </w:r>
            <w:r>
              <w:rPr>
                <w:rFonts w:ascii="楷体" w:hAnsi="楷体" w:eastAsia="楷体" w:cs="宋体"/>
                <w:sz w:val="18"/>
                <w:szCs w:val="18"/>
              </w:rPr>
              <w:t>,</w:t>
            </w:r>
            <w:r>
              <w:rPr>
                <w:rFonts w:hint="eastAsia" w:ascii="楷体" w:hAnsi="楷体" w:eastAsia="楷体" w:cs="宋体"/>
                <w:sz w:val="18"/>
                <w:szCs w:val="18"/>
              </w:rPr>
              <w:t>全面完成各项目标任务，奋力推动全镇经济社会发展再上新台阶。</w:t>
            </w:r>
          </w:p>
        </w:tc>
        <w:tc>
          <w:tcPr>
            <w:tcW w:w="3742" w:type="dxa"/>
            <w:gridSpan w:val="2"/>
          </w:tcPr>
          <w:p>
            <w:pPr>
              <w:tabs>
                <w:tab w:val="left" w:pos="1021"/>
              </w:tabs>
              <w:spacing w:after="0" w:line="200" w:lineRule="atLeast"/>
              <w:ind w:firstLine="360" w:firstLineChars="200"/>
              <w:textAlignment w:val="center"/>
              <w:rPr>
                <w:rFonts w:ascii="楷体" w:hAnsi="楷体" w:eastAsia="楷体" w:cs="宋体"/>
                <w:sz w:val="18"/>
                <w:szCs w:val="18"/>
              </w:rPr>
            </w:pPr>
            <w:r>
              <w:rPr>
                <w:rFonts w:hint="eastAsia" w:ascii="楷体" w:hAnsi="楷体" w:eastAsia="楷体" w:cs="宋体"/>
                <w:sz w:val="18"/>
                <w:szCs w:val="18"/>
              </w:rPr>
              <w:t>一是完了区级各项目标任务；二是保障干部的工资、保险、目标奖、生活补助和日常正常运转；三是做好烤烟等各项生产发展工作；四是做好预备役征兵保障及道安、消防安全工作；五是做好交通、接待及临聘人员工作；六是做好场镇环境卫生、路灯管理、人大等相关工作。服务对象覆盖镇域内所有村社区，群众满意度达到</w:t>
            </w:r>
            <w:r>
              <w:rPr>
                <w:rFonts w:ascii="楷体" w:hAnsi="楷体" w:eastAsia="楷体" w:cs="宋体"/>
                <w:sz w:val="18"/>
                <w:szCs w:val="18"/>
              </w:rPr>
              <w:t>95%</w:t>
            </w:r>
            <w:r>
              <w:rPr>
                <w:rFonts w:hint="eastAsia" w:ascii="楷体" w:hAnsi="楷体" w:eastAsia="楷体" w:cs="宋体"/>
                <w:sz w:val="18"/>
                <w:szCs w:val="18"/>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66" w:type="dxa"/>
            <w:vMerge w:val="restart"/>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before="56" w:after="0" w:line="220" w:lineRule="auto"/>
              <w:ind w:left="55"/>
              <w:jc w:val="center"/>
              <w:textAlignment w:val="baseline"/>
              <w:rPr>
                <w:rFonts w:ascii="宋体" w:hAnsi="宋体" w:eastAsia="宋体" w:cs="宋体"/>
                <w:snapToGrid w:val="0"/>
                <w:color w:val="000000"/>
                <w:spacing w:val="-11"/>
                <w:sz w:val="17"/>
                <w:szCs w:val="17"/>
              </w:rPr>
            </w:pPr>
            <w:r>
              <w:rPr>
                <w:rFonts w:ascii="宋体" w:hAnsi="宋体" w:eastAsia="宋体" w:cs="宋体"/>
                <w:snapToGrid w:val="0"/>
                <w:color w:val="000000"/>
                <w:spacing w:val="-11"/>
                <w:sz w:val="17"/>
                <w:szCs w:val="17"/>
              </w:rPr>
              <w:t>部门整体绩效指标</w:t>
            </w:r>
          </w:p>
        </w:tc>
        <w:tc>
          <w:tcPr>
            <w:tcW w:w="840"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一级指标</w:t>
            </w:r>
          </w:p>
        </w:tc>
        <w:tc>
          <w:tcPr>
            <w:tcW w:w="104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before="155" w:after="0" w:line="240" w:lineRule="atLeast"/>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二级指标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before="155" w:after="0" w:line="220" w:lineRule="auto"/>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三级指标</w:t>
            </w:r>
          </w:p>
        </w:tc>
        <w:tc>
          <w:tcPr>
            <w:tcW w:w="992" w:type="dxa"/>
            <w:tcBorders>
              <w:left w:val="single" w:color="auto" w:sz="4" w:space="0"/>
            </w:tcBorders>
            <w:vAlign w:val="center"/>
          </w:tcPr>
          <w:p>
            <w:pPr>
              <w:kinsoku w:val="0"/>
              <w:autoSpaceDE w:val="0"/>
              <w:autoSpaceDN w:val="0"/>
              <w:spacing w:before="155" w:after="0" w:line="219"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年度指标值</w:t>
            </w:r>
          </w:p>
        </w:tc>
        <w:tc>
          <w:tcPr>
            <w:tcW w:w="1972" w:type="dxa"/>
            <w:vAlign w:val="center"/>
          </w:tcPr>
          <w:p>
            <w:pPr>
              <w:kinsoku w:val="0"/>
              <w:autoSpaceDE w:val="0"/>
              <w:autoSpaceDN w:val="0"/>
              <w:spacing w:before="155" w:after="0" w:line="219" w:lineRule="auto"/>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实际完成值</w:t>
            </w:r>
          </w:p>
        </w:tc>
        <w:tc>
          <w:tcPr>
            <w:tcW w:w="1770" w:type="dxa"/>
            <w:vAlign w:val="center"/>
          </w:tcPr>
          <w:p>
            <w:pPr>
              <w:kinsoku w:val="0"/>
              <w:autoSpaceDE w:val="0"/>
              <w:autoSpaceDN w:val="0"/>
              <w:spacing w:before="155" w:after="0" w:line="120" w:lineRule="atLeast"/>
              <w:ind w:hanging="249"/>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偏差原因分析及</w:t>
            </w:r>
          </w:p>
          <w:p>
            <w:pPr>
              <w:kinsoku w:val="0"/>
              <w:autoSpaceDE w:val="0"/>
              <w:autoSpaceDN w:val="0"/>
              <w:spacing w:before="155" w:after="0" w:line="120" w:lineRule="atLeast"/>
              <w:ind w:hanging="249"/>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6" w:type="dxa"/>
            <w:vMerge w:val="continue"/>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宋体" w:cs="Times New Roman"/>
                <w:sz w:val="20"/>
                <w:szCs w:val="20"/>
              </w:rPr>
            </w:pPr>
          </w:p>
        </w:tc>
        <w:tc>
          <w:tcPr>
            <w:tcW w:w="840" w:type="dxa"/>
            <w:vMerge w:val="restart"/>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产出指标</w:t>
            </w:r>
          </w:p>
        </w:tc>
        <w:tc>
          <w:tcPr>
            <w:tcW w:w="1046" w:type="dxa"/>
            <w:vMerge w:val="restart"/>
            <w:tcBorders>
              <w:left w:val="single" w:color="auto" w:sz="4" w:space="0"/>
              <w:bottom w:val="single" w:color="auto" w:sz="4" w:space="0"/>
              <w:right w:val="single" w:color="auto" w:sz="4" w:space="0"/>
            </w:tcBorders>
            <w:vAlign w:val="center"/>
          </w:tcPr>
          <w:p>
            <w:pPr>
              <w:spacing w:before="116" w:after="0" w:line="240" w:lineRule="atLeast"/>
              <w:ind w:hanging="180"/>
              <w:jc w:val="center"/>
              <w:rPr>
                <w:rFonts w:ascii="楷体" w:hAnsi="楷体" w:eastAsia="楷体" w:cs="宋体"/>
                <w:spacing w:val="-3"/>
                <w:sz w:val="18"/>
                <w:szCs w:val="18"/>
              </w:rPr>
            </w:pPr>
            <w:r>
              <w:rPr>
                <w:rFonts w:hint="eastAsia" w:ascii="楷体" w:hAnsi="楷体" w:eastAsia="楷体" w:cs="宋体"/>
                <w:spacing w:val="-3"/>
                <w:sz w:val="18"/>
                <w:szCs w:val="18"/>
              </w:rPr>
              <w:t xml:space="preserve">   数量指标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涵盖村（社）个数</w:t>
            </w:r>
          </w:p>
        </w:tc>
        <w:tc>
          <w:tcPr>
            <w:tcW w:w="992" w:type="dxa"/>
            <w:tcBorders>
              <w:left w:val="single" w:color="auto" w:sz="4" w:space="0"/>
            </w:tcBorders>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＝12个</w:t>
            </w:r>
          </w:p>
        </w:tc>
        <w:tc>
          <w:tcPr>
            <w:tcW w:w="1972" w:type="dxa"/>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12个</w:t>
            </w:r>
          </w:p>
        </w:tc>
        <w:tc>
          <w:tcPr>
            <w:tcW w:w="1770" w:type="dxa"/>
          </w:tcPr>
          <w:p>
            <w:pPr>
              <w:spacing w:before="116" w:after="0" w:line="218" w:lineRule="auto"/>
              <w:ind w:left="371" w:right="215" w:hanging="180"/>
              <w:jc w:val="center"/>
              <w:textAlignment w:val="center"/>
              <w:rPr>
                <w:rFonts w:ascii="楷体" w:hAnsi="楷体" w:eastAsia="楷体" w:cs="宋体"/>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6" w:type="dxa"/>
            <w:vMerge w:val="continue"/>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宋体" w:cs="Times New Roman"/>
                <w:sz w:val="20"/>
                <w:szCs w:val="20"/>
              </w:rPr>
            </w:pPr>
          </w:p>
        </w:tc>
        <w:tc>
          <w:tcPr>
            <w:tcW w:w="840" w:type="dxa"/>
            <w:vMerge w:val="continue"/>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046" w:type="dxa"/>
            <w:vMerge w:val="continue"/>
            <w:tcBorders>
              <w:left w:val="single" w:color="auto" w:sz="4" w:space="0"/>
              <w:bottom w:val="single" w:color="auto" w:sz="4" w:space="0"/>
              <w:right w:val="single" w:color="auto" w:sz="4" w:space="0"/>
            </w:tcBorders>
            <w:vAlign w:val="center"/>
          </w:tcPr>
          <w:p>
            <w:pPr>
              <w:spacing w:before="116" w:after="0" w:line="240" w:lineRule="atLeast"/>
              <w:ind w:hanging="180"/>
              <w:jc w:val="center"/>
              <w:rPr>
                <w:rFonts w:ascii="楷体" w:hAnsi="楷体" w:eastAsia="楷体" w:cs="宋体"/>
                <w:spacing w:val="-3"/>
                <w:sz w:val="18"/>
                <w:szCs w:val="18"/>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保障镇村两级干部人数</w:t>
            </w:r>
          </w:p>
        </w:tc>
        <w:tc>
          <w:tcPr>
            <w:tcW w:w="992" w:type="dxa"/>
            <w:tcBorders>
              <w:left w:val="single" w:color="auto" w:sz="4" w:space="0"/>
            </w:tcBorders>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＝213人</w:t>
            </w:r>
          </w:p>
        </w:tc>
        <w:tc>
          <w:tcPr>
            <w:tcW w:w="1972" w:type="dxa"/>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213人</w:t>
            </w:r>
          </w:p>
        </w:tc>
        <w:tc>
          <w:tcPr>
            <w:tcW w:w="1770" w:type="dxa"/>
          </w:tcPr>
          <w:p>
            <w:pPr>
              <w:spacing w:before="116" w:after="0" w:line="218" w:lineRule="auto"/>
              <w:ind w:left="371" w:right="215" w:hanging="180"/>
              <w:jc w:val="center"/>
              <w:textAlignment w:val="center"/>
              <w:rPr>
                <w:rFonts w:ascii="楷体" w:hAnsi="楷体" w:eastAsia="楷体" w:cs="宋体"/>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6" w:type="dxa"/>
            <w:vMerge w:val="continue"/>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宋体" w:cs="Times New Roman"/>
                <w:sz w:val="20"/>
                <w:szCs w:val="20"/>
              </w:rPr>
            </w:pPr>
          </w:p>
        </w:tc>
        <w:tc>
          <w:tcPr>
            <w:tcW w:w="840" w:type="dxa"/>
            <w:vMerge w:val="continue"/>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spacing w:before="116" w:after="0" w:line="240" w:lineRule="atLeast"/>
              <w:jc w:val="center"/>
              <w:rPr>
                <w:rFonts w:ascii="楷体" w:hAnsi="楷体" w:eastAsia="楷体" w:cs="宋体"/>
                <w:spacing w:val="-3"/>
                <w:sz w:val="18"/>
                <w:szCs w:val="18"/>
              </w:rPr>
            </w:pPr>
            <w:r>
              <w:rPr>
                <w:rFonts w:ascii="楷体" w:hAnsi="楷体" w:eastAsia="楷体" w:cs="宋体"/>
                <w:spacing w:val="-3"/>
                <w:sz w:val="18"/>
                <w:szCs w:val="18"/>
              </w:rPr>
              <w:t>质量指标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after="0" w:line="140" w:lineRule="atLeast"/>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合理安排日常运行经费，提高经费使用效率</w:t>
            </w:r>
          </w:p>
        </w:tc>
        <w:tc>
          <w:tcPr>
            <w:tcW w:w="992" w:type="dxa"/>
            <w:tcBorders>
              <w:left w:val="single" w:color="auto" w:sz="4" w:space="0"/>
            </w:tcBorders>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优</w:t>
            </w:r>
          </w:p>
        </w:tc>
        <w:tc>
          <w:tcPr>
            <w:tcW w:w="1972" w:type="dxa"/>
            <w:vAlign w:val="center"/>
          </w:tcPr>
          <w:p>
            <w:pPr>
              <w:spacing w:before="116" w:after="0" w:line="218" w:lineRule="auto"/>
              <w:ind w:left="371" w:right="215" w:hanging="18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优</w:t>
            </w:r>
          </w:p>
        </w:tc>
        <w:tc>
          <w:tcPr>
            <w:tcW w:w="1770" w:type="dxa"/>
          </w:tcPr>
          <w:p>
            <w:pPr>
              <w:spacing w:before="116" w:after="0" w:line="218" w:lineRule="auto"/>
              <w:ind w:left="371" w:right="215" w:hanging="180"/>
              <w:jc w:val="center"/>
              <w:textAlignment w:val="center"/>
              <w:rPr>
                <w:rFonts w:ascii="楷体" w:hAnsi="楷体" w:eastAsia="楷体" w:cs="宋体"/>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6" w:type="dxa"/>
            <w:vMerge w:val="continue"/>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宋体" w:cs="Times New Roman"/>
                <w:sz w:val="20"/>
                <w:szCs w:val="20"/>
              </w:rPr>
            </w:pPr>
          </w:p>
        </w:tc>
        <w:tc>
          <w:tcPr>
            <w:tcW w:w="840" w:type="dxa"/>
            <w:vMerge w:val="continue"/>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046" w:type="dxa"/>
            <w:vMerge w:val="continue"/>
            <w:tcBorders>
              <w:left w:val="single" w:color="auto" w:sz="4" w:space="0"/>
              <w:bottom w:val="single" w:color="auto" w:sz="4" w:space="0"/>
              <w:right w:val="single" w:color="auto" w:sz="4" w:space="0"/>
            </w:tcBorders>
            <w:vAlign w:val="center"/>
          </w:tcPr>
          <w:p>
            <w:pPr>
              <w:spacing w:before="116" w:after="0" w:line="240" w:lineRule="atLeast"/>
              <w:ind w:hanging="180"/>
              <w:jc w:val="center"/>
              <w:rPr>
                <w:rFonts w:ascii="楷体" w:hAnsi="楷体" w:eastAsia="楷体" w:cs="宋体"/>
                <w:spacing w:val="-3"/>
                <w:sz w:val="18"/>
                <w:szCs w:val="18"/>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after="0" w:line="140" w:lineRule="atLeast"/>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镇域内烤房建设、烟地整理、民兵训练等各项工作完合格率</w:t>
            </w:r>
          </w:p>
        </w:tc>
        <w:tc>
          <w:tcPr>
            <w:tcW w:w="992" w:type="dxa"/>
            <w:tcBorders>
              <w:left w:val="single" w:color="auto" w:sz="4" w:space="0"/>
            </w:tcBorders>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＝100%</w:t>
            </w:r>
          </w:p>
        </w:tc>
        <w:tc>
          <w:tcPr>
            <w:tcW w:w="1972" w:type="dxa"/>
            <w:vAlign w:val="center"/>
          </w:tcPr>
          <w:p>
            <w:pPr>
              <w:spacing w:before="116" w:after="0" w:line="218" w:lineRule="auto"/>
              <w:ind w:left="371" w:right="215" w:hanging="18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100%</w:t>
            </w:r>
          </w:p>
        </w:tc>
        <w:tc>
          <w:tcPr>
            <w:tcW w:w="1770" w:type="dxa"/>
          </w:tcPr>
          <w:p>
            <w:pPr>
              <w:spacing w:before="116" w:after="0" w:line="218" w:lineRule="auto"/>
              <w:ind w:left="371" w:right="215" w:hanging="180"/>
              <w:jc w:val="center"/>
              <w:textAlignment w:val="center"/>
              <w:rPr>
                <w:rFonts w:ascii="楷体" w:hAnsi="楷体" w:eastAsia="楷体" w:cs="宋体"/>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6" w:type="dxa"/>
            <w:vMerge w:val="continue"/>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宋体" w:cs="Times New Roman"/>
                <w:sz w:val="20"/>
                <w:szCs w:val="20"/>
              </w:rPr>
            </w:pPr>
          </w:p>
        </w:tc>
        <w:tc>
          <w:tcPr>
            <w:tcW w:w="840" w:type="dxa"/>
            <w:vMerge w:val="continue"/>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046" w:type="dxa"/>
            <w:tcBorders>
              <w:top w:val="single" w:color="auto" w:sz="4" w:space="0"/>
              <w:left w:val="single" w:color="auto" w:sz="4" w:space="0"/>
              <w:right w:val="single" w:color="auto" w:sz="4" w:space="0"/>
            </w:tcBorders>
            <w:vAlign w:val="center"/>
          </w:tcPr>
          <w:p>
            <w:pPr>
              <w:spacing w:before="116" w:after="0" w:line="240" w:lineRule="atLeast"/>
              <w:jc w:val="center"/>
              <w:rPr>
                <w:rFonts w:ascii="楷体" w:hAnsi="楷体" w:eastAsia="楷体" w:cs="宋体"/>
                <w:spacing w:val="-3"/>
                <w:sz w:val="18"/>
                <w:szCs w:val="18"/>
              </w:rPr>
            </w:pPr>
            <w:r>
              <w:rPr>
                <w:rFonts w:ascii="楷体" w:hAnsi="楷体" w:eastAsia="楷体" w:cs="宋体"/>
                <w:spacing w:val="-3"/>
                <w:sz w:val="18"/>
                <w:szCs w:val="18"/>
              </w:rPr>
              <w:t>时效指标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after="0" w:line="140" w:lineRule="atLeast"/>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年度类目标任务完成及时率</w:t>
            </w:r>
          </w:p>
        </w:tc>
        <w:tc>
          <w:tcPr>
            <w:tcW w:w="992" w:type="dxa"/>
            <w:tcBorders>
              <w:left w:val="single" w:color="auto" w:sz="4" w:space="0"/>
            </w:tcBorders>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≥98%</w:t>
            </w:r>
          </w:p>
        </w:tc>
        <w:tc>
          <w:tcPr>
            <w:tcW w:w="1972" w:type="dxa"/>
            <w:vAlign w:val="center"/>
          </w:tcPr>
          <w:p>
            <w:pPr>
              <w:spacing w:before="116" w:after="0" w:line="218" w:lineRule="auto"/>
              <w:ind w:left="371" w:right="215" w:hanging="18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98%</w:t>
            </w:r>
          </w:p>
        </w:tc>
        <w:tc>
          <w:tcPr>
            <w:tcW w:w="1770" w:type="dxa"/>
          </w:tcPr>
          <w:p>
            <w:pPr>
              <w:spacing w:before="116" w:after="0" w:line="218" w:lineRule="auto"/>
              <w:ind w:left="371" w:right="215" w:hanging="180"/>
              <w:jc w:val="center"/>
              <w:textAlignment w:val="center"/>
              <w:rPr>
                <w:rFonts w:ascii="楷体" w:hAnsi="楷体" w:eastAsia="楷体" w:cs="宋体"/>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6" w:type="dxa"/>
            <w:vMerge w:val="continue"/>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宋体" w:cs="Times New Roman"/>
                <w:sz w:val="20"/>
                <w:szCs w:val="20"/>
              </w:rPr>
            </w:pPr>
          </w:p>
        </w:tc>
        <w:tc>
          <w:tcPr>
            <w:tcW w:w="840" w:type="dxa"/>
            <w:vMerge w:val="restart"/>
            <w:tcBorders>
              <w:top w:val="single" w:color="auto" w:sz="4" w:space="0"/>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效益</w:t>
            </w:r>
            <w:r>
              <w:rPr>
                <w:rFonts w:ascii="宋体" w:hAnsi="宋体" w:eastAsia="宋体" w:cs="宋体"/>
                <w:snapToGrid w:val="0"/>
                <w:color w:val="000000"/>
                <w:spacing w:val="-2"/>
                <w:sz w:val="17"/>
                <w:szCs w:val="17"/>
              </w:rPr>
              <w:t>指标</w:t>
            </w:r>
          </w:p>
        </w:tc>
        <w:tc>
          <w:tcPr>
            <w:tcW w:w="1046" w:type="dxa"/>
            <w:tcBorders>
              <w:top w:val="single" w:color="auto" w:sz="4" w:space="0"/>
              <w:left w:val="single" w:color="auto" w:sz="4" w:space="0"/>
              <w:bottom w:val="single" w:color="auto" w:sz="4" w:space="0"/>
              <w:right w:val="single" w:color="auto" w:sz="4" w:space="0"/>
            </w:tcBorders>
            <w:vAlign w:val="center"/>
          </w:tcPr>
          <w:p>
            <w:pPr>
              <w:spacing w:before="116" w:after="0" w:line="218" w:lineRule="auto"/>
              <w:ind w:right="215"/>
              <w:jc w:val="center"/>
              <w:rPr>
                <w:rFonts w:ascii="楷体" w:hAnsi="楷体" w:eastAsia="楷体" w:cs="宋体"/>
                <w:spacing w:val="-3"/>
                <w:sz w:val="18"/>
                <w:szCs w:val="18"/>
              </w:rPr>
            </w:pPr>
            <w:r>
              <w:rPr>
                <w:rFonts w:hint="eastAsia" w:ascii="楷体" w:hAnsi="楷体" w:eastAsia="楷体" w:cs="宋体"/>
                <w:spacing w:val="-3"/>
                <w:sz w:val="18"/>
                <w:szCs w:val="18"/>
              </w:rPr>
              <w:t xml:space="preserve">  经济效益 </w:t>
            </w:r>
            <w:r>
              <w:rPr>
                <w:rFonts w:ascii="楷体" w:hAnsi="楷体" w:eastAsia="楷体" w:cs="宋体"/>
                <w:spacing w:val="-3"/>
                <w:sz w:val="18"/>
                <w:szCs w:val="18"/>
              </w:rPr>
              <w:t>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after="0" w:line="140" w:lineRule="atLeast"/>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引导产业发展，增加农户收入</w:t>
            </w:r>
          </w:p>
        </w:tc>
        <w:tc>
          <w:tcPr>
            <w:tcW w:w="992" w:type="dxa"/>
            <w:tcBorders>
              <w:left w:val="single" w:color="auto" w:sz="4" w:space="0"/>
            </w:tcBorders>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≥10%</w:t>
            </w:r>
          </w:p>
        </w:tc>
        <w:tc>
          <w:tcPr>
            <w:tcW w:w="1972" w:type="dxa"/>
            <w:vAlign w:val="center"/>
          </w:tcPr>
          <w:p>
            <w:pPr>
              <w:spacing w:before="116" w:after="0" w:line="218" w:lineRule="auto"/>
              <w:ind w:right="215"/>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10%</w:t>
            </w:r>
          </w:p>
        </w:tc>
        <w:tc>
          <w:tcPr>
            <w:tcW w:w="1770" w:type="dxa"/>
          </w:tcPr>
          <w:p>
            <w:pPr>
              <w:spacing w:before="116" w:after="0" w:line="218" w:lineRule="auto"/>
              <w:ind w:left="371" w:right="215" w:hanging="180"/>
              <w:jc w:val="center"/>
              <w:textAlignment w:val="center"/>
              <w:rPr>
                <w:rFonts w:ascii="楷体" w:hAnsi="楷体" w:eastAsia="楷体" w:cs="宋体"/>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66" w:type="dxa"/>
            <w:vMerge w:val="continue"/>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宋体" w:cs="Times New Roman"/>
                <w:sz w:val="20"/>
                <w:szCs w:val="20"/>
              </w:rPr>
            </w:pPr>
          </w:p>
        </w:tc>
        <w:tc>
          <w:tcPr>
            <w:tcW w:w="840" w:type="dxa"/>
            <w:vMerge w:val="continue"/>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046" w:type="dxa"/>
            <w:tcBorders>
              <w:top w:val="single" w:color="auto" w:sz="4" w:space="0"/>
              <w:left w:val="single" w:color="auto" w:sz="4" w:space="0"/>
              <w:right w:val="single" w:color="auto" w:sz="4" w:space="0"/>
            </w:tcBorders>
            <w:vAlign w:val="center"/>
          </w:tcPr>
          <w:p>
            <w:pPr>
              <w:spacing w:before="116" w:after="0" w:line="218" w:lineRule="auto"/>
              <w:ind w:right="215"/>
              <w:jc w:val="center"/>
              <w:rPr>
                <w:rFonts w:ascii="楷体" w:hAnsi="楷体" w:eastAsia="楷体" w:cs="宋体"/>
                <w:spacing w:val="-3"/>
                <w:sz w:val="18"/>
                <w:szCs w:val="18"/>
              </w:rPr>
            </w:pPr>
            <w:r>
              <w:rPr>
                <w:rFonts w:hint="eastAsia" w:ascii="楷体" w:hAnsi="楷体" w:eastAsia="楷体" w:cs="宋体"/>
                <w:spacing w:val="-3"/>
                <w:sz w:val="18"/>
                <w:szCs w:val="18"/>
              </w:rPr>
              <w:t xml:space="preserve">  社会效益  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after="0" w:line="140" w:lineRule="atLeast"/>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改善镇域内群众生产生活环境，提升生活质量</w:t>
            </w:r>
          </w:p>
        </w:tc>
        <w:tc>
          <w:tcPr>
            <w:tcW w:w="992" w:type="dxa"/>
            <w:tcBorders>
              <w:left w:val="single" w:color="auto" w:sz="4" w:space="0"/>
            </w:tcBorders>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优</w:t>
            </w:r>
          </w:p>
        </w:tc>
        <w:tc>
          <w:tcPr>
            <w:tcW w:w="1972" w:type="dxa"/>
            <w:vAlign w:val="center"/>
          </w:tcPr>
          <w:p>
            <w:pPr>
              <w:spacing w:before="116" w:after="0" w:line="218" w:lineRule="auto"/>
              <w:ind w:left="371" w:right="215" w:hanging="18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优</w:t>
            </w:r>
          </w:p>
        </w:tc>
        <w:tc>
          <w:tcPr>
            <w:tcW w:w="1770" w:type="dxa"/>
          </w:tcPr>
          <w:p>
            <w:pPr>
              <w:spacing w:before="116" w:after="0" w:line="218" w:lineRule="auto"/>
              <w:ind w:left="371" w:right="215" w:hanging="180"/>
              <w:jc w:val="center"/>
              <w:textAlignment w:val="center"/>
              <w:rPr>
                <w:rFonts w:ascii="楷体" w:hAnsi="楷体" w:eastAsia="楷体" w:cs="宋体"/>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66" w:type="dxa"/>
            <w:vMerge w:val="continue"/>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宋体" w:cs="Times New Roman"/>
                <w:sz w:val="20"/>
                <w:szCs w:val="20"/>
              </w:rPr>
            </w:pPr>
          </w:p>
        </w:tc>
        <w:tc>
          <w:tcPr>
            <w:tcW w:w="840" w:type="dxa"/>
            <w:vMerge w:val="continue"/>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before="116" w:after="0" w:line="218" w:lineRule="auto"/>
              <w:ind w:right="215"/>
              <w:jc w:val="center"/>
              <w:rPr>
                <w:rFonts w:ascii="楷体" w:hAnsi="楷体" w:eastAsia="楷体" w:cs="宋体"/>
                <w:spacing w:val="-3"/>
                <w:sz w:val="18"/>
                <w:szCs w:val="18"/>
              </w:rPr>
            </w:pPr>
            <w:r>
              <w:rPr>
                <w:rFonts w:hint="eastAsia" w:ascii="楷体" w:hAnsi="楷体" w:eastAsia="楷体" w:cs="宋体"/>
                <w:spacing w:val="-3"/>
                <w:sz w:val="18"/>
                <w:szCs w:val="18"/>
              </w:rPr>
              <w:t xml:space="preserve">  可持续影 响指标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after="0" w:line="140" w:lineRule="atLeast"/>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各项目建设强化村级组织建设、助力乡村振兴</w:t>
            </w:r>
          </w:p>
        </w:tc>
        <w:tc>
          <w:tcPr>
            <w:tcW w:w="992" w:type="dxa"/>
            <w:tcBorders>
              <w:left w:val="single" w:color="auto" w:sz="4" w:space="0"/>
            </w:tcBorders>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优</w:t>
            </w:r>
          </w:p>
        </w:tc>
        <w:tc>
          <w:tcPr>
            <w:tcW w:w="1972" w:type="dxa"/>
            <w:vAlign w:val="center"/>
          </w:tcPr>
          <w:p>
            <w:pPr>
              <w:spacing w:before="116" w:after="0" w:line="218" w:lineRule="auto"/>
              <w:ind w:left="371" w:right="215" w:hanging="18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优</w:t>
            </w:r>
          </w:p>
        </w:tc>
        <w:tc>
          <w:tcPr>
            <w:tcW w:w="1770" w:type="dxa"/>
          </w:tcPr>
          <w:p>
            <w:pPr>
              <w:spacing w:before="116" w:after="0" w:line="218" w:lineRule="auto"/>
              <w:ind w:left="371" w:right="215" w:hanging="180"/>
              <w:jc w:val="center"/>
              <w:textAlignment w:val="center"/>
              <w:rPr>
                <w:rFonts w:ascii="楷体" w:hAnsi="楷体" w:eastAsia="楷体" w:cs="宋体"/>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6" w:type="dxa"/>
            <w:vMerge w:val="continue"/>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宋体" w:cs="Times New Roman"/>
                <w:sz w:val="20"/>
                <w:szCs w:val="20"/>
              </w:rPr>
            </w:pPr>
          </w:p>
        </w:tc>
        <w:tc>
          <w:tcPr>
            <w:tcW w:w="840" w:type="dxa"/>
            <w:tcBorders>
              <w:top w:val="single" w:color="auto" w:sz="4" w:space="0"/>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成本</w:t>
            </w:r>
            <w:r>
              <w:rPr>
                <w:rFonts w:ascii="宋体" w:hAnsi="宋体" w:eastAsia="宋体" w:cs="宋体"/>
                <w:snapToGrid w:val="0"/>
                <w:color w:val="000000"/>
                <w:spacing w:val="-2"/>
                <w:sz w:val="17"/>
                <w:szCs w:val="17"/>
              </w:rPr>
              <w:t>指标</w:t>
            </w:r>
          </w:p>
        </w:tc>
        <w:tc>
          <w:tcPr>
            <w:tcW w:w="1046" w:type="dxa"/>
            <w:tcBorders>
              <w:top w:val="single" w:color="auto" w:sz="4" w:space="0"/>
              <w:left w:val="single" w:color="auto" w:sz="4" w:space="0"/>
              <w:bottom w:val="single" w:color="auto" w:sz="4" w:space="0"/>
              <w:right w:val="single" w:color="auto" w:sz="4" w:space="0"/>
            </w:tcBorders>
            <w:vAlign w:val="center"/>
          </w:tcPr>
          <w:p>
            <w:pPr>
              <w:spacing w:before="116" w:after="0" w:line="218" w:lineRule="auto"/>
              <w:ind w:right="215"/>
              <w:jc w:val="center"/>
              <w:rPr>
                <w:rFonts w:ascii="楷体" w:hAnsi="楷体" w:eastAsia="楷体" w:cs="宋体"/>
                <w:spacing w:val="-3"/>
                <w:sz w:val="18"/>
                <w:szCs w:val="18"/>
              </w:rPr>
            </w:pPr>
            <w:r>
              <w:rPr>
                <w:rFonts w:hint="eastAsia" w:ascii="楷体" w:hAnsi="楷体" w:eastAsia="楷体" w:cs="宋体"/>
                <w:spacing w:val="-3"/>
                <w:sz w:val="18"/>
                <w:szCs w:val="18"/>
              </w:rPr>
              <w:t xml:space="preserve"> 经济成本指标</w:t>
            </w:r>
          </w:p>
        </w:tc>
        <w:tc>
          <w:tcPr>
            <w:tcW w:w="2410" w:type="dxa"/>
            <w:gridSpan w:val="3"/>
            <w:tcBorders>
              <w:top w:val="single" w:color="auto" w:sz="4" w:space="0"/>
              <w:left w:val="single" w:color="auto" w:sz="4" w:space="0"/>
              <w:bottom w:val="single" w:color="auto" w:sz="4" w:space="0"/>
              <w:right w:val="single" w:color="auto" w:sz="4" w:space="0"/>
            </w:tcBorders>
          </w:tcPr>
          <w:p>
            <w:pPr>
              <w:spacing w:after="0" w:line="140" w:lineRule="atLeast"/>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镇域内烤烟等项目支出及人员类和公用经费支出预算控制额</w:t>
            </w:r>
          </w:p>
        </w:tc>
        <w:tc>
          <w:tcPr>
            <w:tcW w:w="992" w:type="dxa"/>
            <w:tcBorders>
              <w:left w:val="single" w:color="auto" w:sz="4" w:space="0"/>
            </w:tcBorders>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≤1550.56万元</w:t>
            </w:r>
          </w:p>
        </w:tc>
        <w:tc>
          <w:tcPr>
            <w:tcW w:w="1972" w:type="dxa"/>
            <w:vAlign w:val="center"/>
          </w:tcPr>
          <w:p>
            <w:pPr>
              <w:spacing w:before="116" w:after="0" w:line="218" w:lineRule="auto"/>
              <w:ind w:left="371" w:right="215" w:hanging="180"/>
              <w:jc w:val="center"/>
              <w:rPr>
                <w:rFonts w:ascii="楷体" w:hAnsi="楷体" w:eastAsia="楷体" w:cs="宋体"/>
                <w:spacing w:val="-3"/>
                <w:sz w:val="18"/>
                <w:szCs w:val="18"/>
              </w:rPr>
            </w:pPr>
            <w:r>
              <w:rPr>
                <w:rFonts w:hint="eastAsia" w:ascii="楷体" w:hAnsi="楷体" w:eastAsia="楷体" w:cs="宋体"/>
                <w:sz w:val="18"/>
                <w:szCs w:val="18"/>
              </w:rPr>
              <w:t>1402.79万元</w:t>
            </w:r>
          </w:p>
        </w:tc>
        <w:tc>
          <w:tcPr>
            <w:tcW w:w="1770" w:type="dxa"/>
          </w:tcPr>
          <w:p>
            <w:pPr>
              <w:spacing w:before="116" w:after="0" w:line="218" w:lineRule="auto"/>
              <w:ind w:left="371" w:right="215" w:hanging="180"/>
              <w:rPr>
                <w:rFonts w:ascii="楷体" w:hAnsi="楷体" w:eastAsia="楷体" w:cs="宋体"/>
                <w:spacing w:val="-3"/>
                <w:sz w:val="16"/>
                <w:szCs w:val="16"/>
              </w:rPr>
            </w:pPr>
            <w:r>
              <w:rPr>
                <w:rFonts w:hint="eastAsia" w:ascii="楷体" w:hAnsi="楷体" w:eastAsia="楷体" w:cs="宋体"/>
                <w:spacing w:val="-3"/>
                <w:sz w:val="16"/>
                <w:szCs w:val="16"/>
              </w:rPr>
              <w:t>主动对接财政局，加快资金审核，及时支付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666" w:type="dxa"/>
            <w:vMerge w:val="continue"/>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宋体" w:cs="Times New Roman"/>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满意度</w:t>
            </w:r>
          </w:p>
          <w:p>
            <w:pPr>
              <w:kinsoku w:val="0"/>
              <w:autoSpaceDE w:val="0"/>
              <w:autoSpaceDN w:val="0"/>
              <w:spacing w:before="155" w:after="0" w:line="220" w:lineRule="auto"/>
              <w:ind w:left="220"/>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指标</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140" w:lineRule="atLeast"/>
              <w:ind w:right="215"/>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 xml:space="preserve"> </w:t>
            </w:r>
            <w:r>
              <w:rPr>
                <w:rFonts w:ascii="楷体" w:hAnsi="楷体" w:eastAsia="楷体" w:cs="宋体"/>
                <w:spacing w:val="-3"/>
                <w:sz w:val="18"/>
                <w:szCs w:val="18"/>
              </w:rPr>
              <w:t>满意度指标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after="0" w:line="140" w:lineRule="atLeast"/>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全镇干部、群众及入驻商户满意度</w:t>
            </w:r>
          </w:p>
        </w:tc>
        <w:tc>
          <w:tcPr>
            <w:tcW w:w="992" w:type="dxa"/>
            <w:tcBorders>
              <w:left w:val="single" w:color="auto" w:sz="4" w:space="0"/>
            </w:tcBorders>
            <w:vAlign w:val="center"/>
          </w:tcPr>
          <w:p>
            <w:pPr>
              <w:tabs>
                <w:tab w:val="left" w:pos="586"/>
              </w:tabs>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≥96%</w:t>
            </w:r>
          </w:p>
        </w:tc>
        <w:tc>
          <w:tcPr>
            <w:tcW w:w="1972" w:type="dxa"/>
            <w:vAlign w:val="center"/>
          </w:tcPr>
          <w:p>
            <w:pPr>
              <w:spacing w:after="0"/>
              <w:jc w:val="center"/>
              <w:textAlignment w:val="center"/>
              <w:rPr>
                <w:rFonts w:ascii="楷体" w:hAnsi="楷体" w:eastAsia="楷体" w:cs="宋体"/>
                <w:spacing w:val="-3"/>
                <w:sz w:val="18"/>
                <w:szCs w:val="18"/>
              </w:rPr>
            </w:pPr>
            <w:r>
              <w:rPr>
                <w:rFonts w:hint="eastAsia" w:ascii="楷体" w:hAnsi="楷体" w:eastAsia="楷体" w:cs="宋体"/>
                <w:spacing w:val="-3"/>
                <w:sz w:val="18"/>
                <w:szCs w:val="18"/>
              </w:rPr>
              <w:t>98%</w:t>
            </w:r>
          </w:p>
        </w:tc>
        <w:tc>
          <w:tcPr>
            <w:tcW w:w="1770" w:type="dxa"/>
          </w:tcPr>
          <w:p>
            <w:pPr>
              <w:spacing w:after="0"/>
              <w:jc w:val="center"/>
              <w:textAlignment w:val="center"/>
              <w:rPr>
                <w:rFonts w:ascii="楷体" w:hAnsi="楷体" w:eastAsia="楷体" w:cs="宋体"/>
                <w:spacing w:val="-3"/>
                <w:sz w:val="18"/>
                <w:szCs w:val="18"/>
              </w:rPr>
            </w:pPr>
          </w:p>
        </w:tc>
      </w:tr>
    </w:tbl>
    <w:p>
      <w:pPr>
        <w:spacing w:before="103" w:line="219" w:lineRule="auto"/>
        <w:jc w:val="center"/>
        <w:rPr>
          <w:rFonts w:ascii="宋体" w:hAnsi="宋体" w:eastAsia="宋体" w:cs="宋体"/>
          <w:sz w:val="34"/>
          <w:szCs w:val="34"/>
        </w:rPr>
      </w:pPr>
      <w:r>
        <w:rPr>
          <w:rFonts w:ascii="宋体" w:hAnsi="宋体" w:eastAsia="宋体" w:cs="宋体"/>
          <w:b/>
          <w:bCs/>
          <w:spacing w:val="28"/>
          <w:sz w:val="34"/>
          <w:szCs w:val="34"/>
        </w:rPr>
        <w:t>广元市昭化区财政项目(政策)支出绩效自评表</w:t>
      </w:r>
    </w:p>
    <w:p>
      <w:pPr>
        <w:spacing w:before="86" w:line="219" w:lineRule="auto"/>
        <w:ind w:left="3894"/>
        <w:rPr>
          <w:rFonts w:ascii="宋体" w:hAnsi="宋体" w:eastAsia="宋体" w:cs="宋体"/>
        </w:rPr>
      </w:pPr>
      <w:r>
        <w:rPr>
          <w:rFonts w:ascii="宋体" w:hAnsi="宋体" w:eastAsia="宋体" w:cs="宋体"/>
          <w:spacing w:val="-14"/>
        </w:rPr>
        <w:t>(</w:t>
      </w:r>
      <w:r>
        <w:rPr>
          <w:rFonts w:ascii="宋体" w:hAnsi="宋体" w:eastAsia="宋体" w:cs="宋体"/>
          <w:spacing w:val="32"/>
        </w:rPr>
        <w:t xml:space="preserve">  </w:t>
      </w:r>
      <w:r>
        <w:rPr>
          <w:rFonts w:hint="eastAsia" w:ascii="宋体" w:hAnsi="宋体" w:eastAsia="宋体" w:cs="宋体"/>
          <w:spacing w:val="32"/>
        </w:rPr>
        <w:t>2023</w:t>
      </w:r>
      <w:r>
        <w:rPr>
          <w:rFonts w:ascii="宋体" w:hAnsi="宋体" w:eastAsia="宋体" w:cs="宋体"/>
          <w:spacing w:val="32"/>
        </w:rPr>
        <w:t xml:space="preserve"> </w:t>
      </w:r>
      <w:r>
        <w:rPr>
          <w:rFonts w:ascii="宋体" w:hAnsi="宋体" w:eastAsia="宋体" w:cs="宋体"/>
          <w:spacing w:val="-14"/>
        </w:rPr>
        <w:t>年度)</w:t>
      </w:r>
    </w:p>
    <w:tbl>
      <w:tblPr>
        <w:tblStyle w:val="21"/>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752"/>
        <w:gridCol w:w="111"/>
        <w:gridCol w:w="1134"/>
        <w:gridCol w:w="532"/>
        <w:gridCol w:w="1452"/>
        <w:gridCol w:w="142"/>
        <w:gridCol w:w="859"/>
        <w:gridCol w:w="133"/>
        <w:gridCol w:w="992"/>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49" w:type="dxa"/>
            <w:gridSpan w:val="2"/>
          </w:tcPr>
          <w:p>
            <w:pPr>
              <w:spacing w:before="82" w:after="0" w:line="220" w:lineRule="auto"/>
              <w:ind w:left="75"/>
              <w:rPr>
                <w:rFonts w:ascii="宋体" w:hAnsi="宋体" w:eastAsia="宋体" w:cs="宋体"/>
                <w:sz w:val="17"/>
                <w:szCs w:val="17"/>
              </w:rPr>
            </w:pPr>
            <w:r>
              <w:rPr>
                <w:rFonts w:ascii="宋体" w:hAnsi="宋体" w:eastAsia="宋体" w:cs="宋体"/>
                <w:spacing w:val="-2"/>
                <w:sz w:val="17"/>
                <w:szCs w:val="17"/>
              </w:rPr>
              <w:t>项目(政策)名称</w:t>
            </w:r>
          </w:p>
        </w:tc>
        <w:tc>
          <w:tcPr>
            <w:tcW w:w="7623" w:type="dxa"/>
            <w:gridSpan w:val="9"/>
            <w:vAlign w:val="center"/>
          </w:tcPr>
          <w:p>
            <w:pPr>
              <w:spacing w:after="0"/>
              <w:jc w:val="both"/>
              <w:rPr>
                <w:rFonts w:ascii="仿宋_GB2312" w:hAnsi="楷体" w:eastAsia="仿宋_GB2312" w:cs="Times New Roman"/>
                <w:sz w:val="20"/>
                <w:szCs w:val="20"/>
              </w:rPr>
            </w:pPr>
            <w:r>
              <w:rPr>
                <w:rFonts w:hint="eastAsia" w:ascii="仿宋_GB2312" w:hAnsi="楷体" w:eastAsia="仿宋_GB2312" w:cs="仿宋_GB2312"/>
                <w:color w:val="000000" w:themeColor="text1"/>
                <w:sz w:val="22"/>
                <w:szCs w:val="22"/>
              </w:rPr>
              <w:t>打造精品粮仓和日常办公运行经费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tcPr>
          <w:p>
            <w:pPr>
              <w:spacing w:before="78" w:after="0" w:line="219" w:lineRule="auto"/>
              <w:ind w:left="404"/>
              <w:jc w:val="center"/>
              <w:rPr>
                <w:rFonts w:ascii="宋体" w:hAnsi="宋体" w:eastAsia="宋体" w:cs="宋体"/>
                <w:sz w:val="17"/>
                <w:szCs w:val="17"/>
              </w:rPr>
            </w:pPr>
            <w:r>
              <w:rPr>
                <w:rFonts w:ascii="宋体" w:hAnsi="宋体" w:eastAsia="宋体" w:cs="宋体"/>
                <w:spacing w:val="4"/>
                <w:sz w:val="17"/>
                <w:szCs w:val="17"/>
              </w:rPr>
              <w:t>主管部门</w:t>
            </w:r>
          </w:p>
        </w:tc>
        <w:tc>
          <w:tcPr>
            <w:tcW w:w="4230" w:type="dxa"/>
            <w:gridSpan w:val="6"/>
            <w:vAlign w:val="center"/>
          </w:tcPr>
          <w:p>
            <w:pPr>
              <w:spacing w:after="0"/>
              <w:jc w:val="both"/>
              <w:rPr>
                <w:rFonts w:ascii="仿宋_GB2312" w:hAnsi="楷体" w:eastAsia="仿宋_GB2312" w:cs="Times New Roman"/>
                <w:sz w:val="20"/>
                <w:szCs w:val="20"/>
              </w:rPr>
            </w:pPr>
            <w:r>
              <w:rPr>
                <w:rFonts w:hint="eastAsia" w:ascii="仿宋_GB2312" w:hAnsi="楷体" w:eastAsia="仿宋_GB2312" w:cs="仿宋_GB2312"/>
                <w:color w:val="000000" w:themeColor="text1"/>
                <w:sz w:val="22"/>
                <w:szCs w:val="22"/>
              </w:rPr>
              <w:t>广元市昭化区人民政府</w:t>
            </w:r>
          </w:p>
        </w:tc>
        <w:tc>
          <w:tcPr>
            <w:tcW w:w="1125" w:type="dxa"/>
            <w:gridSpan w:val="2"/>
            <w:vAlign w:val="center"/>
          </w:tcPr>
          <w:p>
            <w:pPr>
              <w:spacing w:before="78" w:after="0" w:line="219" w:lineRule="auto"/>
              <w:jc w:val="both"/>
              <w:rPr>
                <w:rFonts w:ascii="宋体" w:hAnsi="宋体" w:eastAsia="宋体" w:cs="宋体"/>
                <w:spacing w:val="4"/>
                <w:sz w:val="17"/>
                <w:szCs w:val="17"/>
              </w:rPr>
            </w:pPr>
            <w:r>
              <w:rPr>
                <w:rFonts w:ascii="宋体" w:hAnsi="宋体" w:eastAsia="宋体" w:cs="宋体"/>
                <w:spacing w:val="4"/>
                <w:sz w:val="17"/>
                <w:szCs w:val="17"/>
              </w:rPr>
              <w:t>实施单位</w:t>
            </w:r>
          </w:p>
        </w:tc>
        <w:tc>
          <w:tcPr>
            <w:tcW w:w="2268" w:type="dxa"/>
            <w:vAlign w:val="center"/>
          </w:tcPr>
          <w:p>
            <w:pPr>
              <w:spacing w:before="78" w:after="0" w:line="219" w:lineRule="auto"/>
              <w:jc w:val="both"/>
              <w:rPr>
                <w:rFonts w:ascii="宋体" w:hAnsi="宋体" w:eastAsia="宋体" w:cs="宋体"/>
                <w:spacing w:val="4"/>
                <w:sz w:val="17"/>
                <w:szCs w:val="17"/>
              </w:rPr>
            </w:pPr>
            <w:r>
              <w:rPr>
                <w:rFonts w:hint="eastAsia" w:ascii="宋体" w:hAnsi="宋体" w:eastAsia="宋体" w:cs="宋体"/>
                <w:spacing w:val="4"/>
                <w:sz w:val="17"/>
                <w:szCs w:val="17"/>
              </w:rPr>
              <w:t>王家镇人民政府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9" w:type="dxa"/>
            <w:gridSpan w:val="2"/>
            <w:vMerge w:val="restart"/>
            <w:tcBorders>
              <w:bottom w:val="nil"/>
            </w:tcBorders>
          </w:tcPr>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before="55" w:after="0" w:line="235" w:lineRule="auto"/>
              <w:ind w:left="464" w:right="197" w:hanging="389"/>
              <w:rPr>
                <w:rFonts w:ascii="宋体" w:hAnsi="宋体" w:eastAsia="宋体" w:cs="宋体"/>
                <w:sz w:val="17"/>
                <w:szCs w:val="17"/>
              </w:rPr>
            </w:pPr>
            <w:r>
              <w:rPr>
                <w:rFonts w:ascii="宋体" w:hAnsi="宋体" w:eastAsia="宋体" w:cs="宋体"/>
                <w:spacing w:val="-2"/>
                <w:sz w:val="17"/>
                <w:szCs w:val="17"/>
              </w:rPr>
              <w:t>项目(政策)资金</w:t>
            </w:r>
            <w:r>
              <w:rPr>
                <w:rFonts w:ascii="宋体" w:hAnsi="宋体" w:eastAsia="宋体" w:cs="宋体"/>
                <w:spacing w:val="5"/>
                <w:sz w:val="17"/>
                <w:szCs w:val="17"/>
              </w:rPr>
              <w:t xml:space="preserve"> </w:t>
            </w:r>
            <w:r>
              <w:rPr>
                <w:rFonts w:ascii="宋体" w:hAnsi="宋体" w:eastAsia="宋体" w:cs="宋体"/>
                <w:spacing w:val="9"/>
                <w:sz w:val="17"/>
                <w:szCs w:val="17"/>
              </w:rPr>
              <w:t>(万元)</w:t>
            </w:r>
          </w:p>
        </w:tc>
        <w:tc>
          <w:tcPr>
            <w:tcW w:w="1777" w:type="dxa"/>
            <w:gridSpan w:val="3"/>
          </w:tcPr>
          <w:p>
            <w:pPr>
              <w:spacing w:before="77" w:after="0" w:line="219" w:lineRule="auto"/>
              <w:jc w:val="center"/>
              <w:rPr>
                <w:rFonts w:ascii="宋体" w:hAnsi="宋体" w:eastAsia="宋体" w:cs="宋体"/>
                <w:spacing w:val="-2"/>
                <w:sz w:val="17"/>
                <w:szCs w:val="17"/>
              </w:rPr>
            </w:pPr>
            <w:r>
              <w:rPr>
                <w:rFonts w:hint="eastAsia" w:ascii="宋体" w:hAnsi="宋体" w:eastAsia="宋体" w:cs="宋体"/>
                <w:spacing w:val="-2"/>
                <w:sz w:val="17"/>
                <w:szCs w:val="17"/>
              </w:rPr>
              <w:t>年度预算数（万元）</w:t>
            </w:r>
          </w:p>
        </w:tc>
        <w:tc>
          <w:tcPr>
            <w:tcW w:w="1452" w:type="dxa"/>
          </w:tcPr>
          <w:p>
            <w:pPr>
              <w:spacing w:before="77" w:after="0" w:line="219" w:lineRule="auto"/>
              <w:jc w:val="center"/>
              <w:rPr>
                <w:rFonts w:ascii="宋体" w:hAnsi="宋体" w:eastAsia="宋体" w:cs="宋体"/>
                <w:spacing w:val="-2"/>
                <w:sz w:val="17"/>
                <w:szCs w:val="17"/>
              </w:rPr>
            </w:pPr>
            <w:r>
              <w:rPr>
                <w:rFonts w:ascii="宋体" w:hAnsi="宋体" w:eastAsia="宋体" w:cs="宋体"/>
                <w:spacing w:val="-2"/>
                <w:sz w:val="17"/>
                <w:szCs w:val="17"/>
              </w:rPr>
              <w:t>年初预算数</w:t>
            </w:r>
          </w:p>
        </w:tc>
        <w:tc>
          <w:tcPr>
            <w:tcW w:w="1001" w:type="dxa"/>
            <w:gridSpan w:val="2"/>
          </w:tcPr>
          <w:p>
            <w:pPr>
              <w:spacing w:before="98" w:after="0" w:line="219" w:lineRule="auto"/>
              <w:jc w:val="center"/>
              <w:rPr>
                <w:rFonts w:ascii="宋体" w:hAnsi="宋体" w:eastAsia="宋体" w:cs="宋体"/>
                <w:sz w:val="17"/>
                <w:szCs w:val="17"/>
              </w:rPr>
            </w:pPr>
            <w:r>
              <w:rPr>
                <w:rFonts w:ascii="宋体" w:hAnsi="宋体" w:eastAsia="宋体" w:cs="宋体"/>
                <w:spacing w:val="-2"/>
                <w:sz w:val="17"/>
                <w:szCs w:val="17"/>
              </w:rPr>
              <w:t>全年预算数</w:t>
            </w:r>
          </w:p>
        </w:tc>
        <w:tc>
          <w:tcPr>
            <w:tcW w:w="1125" w:type="dxa"/>
            <w:gridSpan w:val="2"/>
          </w:tcPr>
          <w:p>
            <w:pPr>
              <w:spacing w:before="77" w:after="0" w:line="219" w:lineRule="auto"/>
              <w:jc w:val="center"/>
              <w:rPr>
                <w:rFonts w:ascii="宋体" w:hAnsi="宋体" w:eastAsia="宋体" w:cs="宋体"/>
                <w:sz w:val="17"/>
                <w:szCs w:val="17"/>
              </w:rPr>
            </w:pPr>
            <w:r>
              <w:rPr>
                <w:rFonts w:ascii="宋体" w:hAnsi="宋体" w:eastAsia="宋体" w:cs="宋体"/>
                <w:spacing w:val="-2"/>
                <w:sz w:val="17"/>
                <w:szCs w:val="17"/>
              </w:rPr>
              <w:t>全年执行数</w:t>
            </w:r>
          </w:p>
        </w:tc>
        <w:tc>
          <w:tcPr>
            <w:tcW w:w="2268" w:type="dxa"/>
          </w:tcPr>
          <w:p>
            <w:pPr>
              <w:spacing w:before="77" w:after="0" w:line="219" w:lineRule="auto"/>
              <w:jc w:val="center"/>
              <w:rPr>
                <w:rFonts w:ascii="宋体" w:hAnsi="宋体" w:eastAsia="宋体" w:cs="宋体"/>
                <w:sz w:val="17"/>
                <w:szCs w:val="17"/>
              </w:rPr>
            </w:pPr>
            <w:r>
              <w:rPr>
                <w:rFonts w:ascii="宋体" w:hAnsi="宋体" w:eastAsia="宋体" w:cs="宋体"/>
                <w:spacing w:val="-2"/>
                <w:sz w:val="17"/>
                <w:szCs w:val="17"/>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79" w:after="0" w:line="219" w:lineRule="auto"/>
              <w:ind w:left="151"/>
              <w:jc w:val="center"/>
              <w:rPr>
                <w:rFonts w:ascii="宋体" w:hAnsi="宋体" w:eastAsia="宋体" w:cs="宋体"/>
                <w:sz w:val="17"/>
                <w:szCs w:val="17"/>
              </w:rPr>
            </w:pPr>
            <w:r>
              <w:rPr>
                <w:rFonts w:ascii="宋体" w:hAnsi="宋体" w:eastAsia="宋体" w:cs="宋体"/>
                <w:spacing w:val="-2"/>
                <w:sz w:val="17"/>
                <w:szCs w:val="17"/>
              </w:rPr>
              <w:t>年度资金总额</w:t>
            </w:r>
          </w:p>
        </w:tc>
        <w:tc>
          <w:tcPr>
            <w:tcW w:w="1452"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88</w:t>
            </w:r>
          </w:p>
        </w:tc>
        <w:tc>
          <w:tcPr>
            <w:tcW w:w="1001" w:type="dxa"/>
            <w:gridSpan w:val="2"/>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88</w:t>
            </w:r>
          </w:p>
        </w:tc>
        <w:tc>
          <w:tcPr>
            <w:tcW w:w="1125" w:type="dxa"/>
            <w:gridSpan w:val="2"/>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88</w:t>
            </w:r>
          </w:p>
        </w:tc>
        <w:tc>
          <w:tcPr>
            <w:tcW w:w="2268"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109" w:after="0" w:line="219" w:lineRule="auto"/>
              <w:ind w:left="151"/>
              <w:rPr>
                <w:rFonts w:ascii="宋体" w:hAnsi="宋体" w:eastAsia="宋体" w:cs="宋体"/>
                <w:sz w:val="17"/>
                <w:szCs w:val="17"/>
              </w:rPr>
            </w:pPr>
            <w:r>
              <w:rPr>
                <w:rFonts w:ascii="宋体" w:hAnsi="宋体" w:eastAsia="宋体" w:cs="宋体"/>
                <w:sz w:val="17"/>
                <w:szCs w:val="17"/>
              </w:rPr>
              <w:t>(一)财政拨款小计</w:t>
            </w:r>
          </w:p>
        </w:tc>
        <w:tc>
          <w:tcPr>
            <w:tcW w:w="1452"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88</w:t>
            </w:r>
          </w:p>
        </w:tc>
        <w:tc>
          <w:tcPr>
            <w:tcW w:w="1001" w:type="dxa"/>
            <w:gridSpan w:val="2"/>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88</w:t>
            </w:r>
          </w:p>
        </w:tc>
        <w:tc>
          <w:tcPr>
            <w:tcW w:w="1125" w:type="dxa"/>
            <w:gridSpan w:val="2"/>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88</w:t>
            </w:r>
          </w:p>
        </w:tc>
        <w:tc>
          <w:tcPr>
            <w:tcW w:w="2268"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80" w:after="0" w:line="219" w:lineRule="auto"/>
              <w:ind w:left="151"/>
              <w:rPr>
                <w:rFonts w:ascii="宋体" w:hAnsi="宋体" w:eastAsia="宋体" w:cs="宋体"/>
                <w:sz w:val="17"/>
                <w:szCs w:val="17"/>
              </w:rPr>
            </w:pPr>
            <w:r>
              <w:rPr>
                <w:rFonts w:ascii="宋体" w:hAnsi="宋体" w:eastAsia="宋体" w:cs="宋体"/>
                <w:sz w:val="17"/>
                <w:szCs w:val="17"/>
              </w:rPr>
              <w:t>1.一般公共预算</w:t>
            </w:r>
          </w:p>
        </w:tc>
        <w:tc>
          <w:tcPr>
            <w:tcW w:w="1452"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88</w:t>
            </w:r>
          </w:p>
        </w:tc>
        <w:tc>
          <w:tcPr>
            <w:tcW w:w="1001" w:type="dxa"/>
            <w:gridSpan w:val="2"/>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88</w:t>
            </w:r>
          </w:p>
        </w:tc>
        <w:tc>
          <w:tcPr>
            <w:tcW w:w="1125" w:type="dxa"/>
            <w:gridSpan w:val="2"/>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88</w:t>
            </w:r>
          </w:p>
        </w:tc>
        <w:tc>
          <w:tcPr>
            <w:tcW w:w="2268"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78" w:after="0" w:line="219" w:lineRule="auto"/>
              <w:ind w:left="151"/>
              <w:rPr>
                <w:rFonts w:ascii="宋体" w:hAnsi="宋体" w:eastAsia="宋体" w:cs="宋体"/>
                <w:sz w:val="17"/>
                <w:szCs w:val="17"/>
              </w:rPr>
            </w:pPr>
            <w:r>
              <w:rPr>
                <w:rFonts w:ascii="宋体" w:hAnsi="宋体" w:eastAsia="宋体" w:cs="宋体"/>
                <w:spacing w:val="-2"/>
                <w:sz w:val="17"/>
                <w:szCs w:val="17"/>
              </w:rPr>
              <w:t>2.政府性基金</w:t>
            </w:r>
          </w:p>
        </w:tc>
        <w:tc>
          <w:tcPr>
            <w:tcW w:w="1452" w:type="dxa"/>
          </w:tcPr>
          <w:p>
            <w:pPr>
              <w:spacing w:after="0"/>
              <w:rPr>
                <w:rFonts w:ascii="楷体" w:hAnsi="楷体" w:eastAsia="楷体" w:cs="Times New Roman"/>
                <w:sz w:val="20"/>
                <w:szCs w:val="20"/>
              </w:rPr>
            </w:pPr>
          </w:p>
        </w:tc>
        <w:tc>
          <w:tcPr>
            <w:tcW w:w="1001" w:type="dxa"/>
            <w:gridSpan w:val="2"/>
          </w:tcPr>
          <w:p>
            <w:pPr>
              <w:spacing w:after="0"/>
              <w:rPr>
                <w:rFonts w:ascii="楷体" w:hAnsi="楷体" w:eastAsia="楷体" w:cs="Times New Roman"/>
                <w:sz w:val="20"/>
                <w:szCs w:val="20"/>
              </w:rPr>
            </w:pPr>
          </w:p>
        </w:tc>
        <w:tc>
          <w:tcPr>
            <w:tcW w:w="1125" w:type="dxa"/>
            <w:gridSpan w:val="2"/>
          </w:tcPr>
          <w:p>
            <w:pPr>
              <w:spacing w:after="0"/>
              <w:rPr>
                <w:rFonts w:ascii="楷体" w:hAnsi="楷体" w:eastAsia="楷体" w:cs="Times New Roman"/>
                <w:sz w:val="20"/>
                <w:szCs w:val="20"/>
              </w:rPr>
            </w:pPr>
          </w:p>
        </w:tc>
        <w:tc>
          <w:tcPr>
            <w:tcW w:w="2268" w:type="dxa"/>
          </w:tcPr>
          <w:p>
            <w:pPr>
              <w:spacing w:after="0"/>
              <w:rPr>
                <w:rFonts w:ascii="楷体" w:hAnsi="楷体" w:eastAsia="楷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119" w:after="0" w:line="219" w:lineRule="auto"/>
              <w:ind w:left="151"/>
              <w:rPr>
                <w:rFonts w:ascii="宋体" w:hAnsi="宋体" w:eastAsia="宋体" w:cs="宋体"/>
                <w:sz w:val="17"/>
                <w:szCs w:val="17"/>
              </w:rPr>
            </w:pPr>
            <w:r>
              <w:rPr>
                <w:rFonts w:ascii="宋体" w:hAnsi="宋体" w:eastAsia="宋体" w:cs="宋体"/>
                <w:spacing w:val="-1"/>
                <w:sz w:val="17"/>
                <w:szCs w:val="17"/>
              </w:rPr>
              <w:t>3.国有资本经营预算</w:t>
            </w:r>
          </w:p>
        </w:tc>
        <w:tc>
          <w:tcPr>
            <w:tcW w:w="1452" w:type="dxa"/>
          </w:tcPr>
          <w:p>
            <w:pPr>
              <w:spacing w:after="0"/>
              <w:rPr>
                <w:rFonts w:eastAsia="宋体" w:cs="Times New Roman"/>
                <w:sz w:val="20"/>
                <w:szCs w:val="20"/>
              </w:rPr>
            </w:pPr>
          </w:p>
        </w:tc>
        <w:tc>
          <w:tcPr>
            <w:tcW w:w="1001" w:type="dxa"/>
            <w:gridSpan w:val="2"/>
          </w:tcPr>
          <w:p>
            <w:pPr>
              <w:spacing w:after="0"/>
              <w:rPr>
                <w:rFonts w:eastAsia="宋体" w:cs="Times New Roman"/>
                <w:sz w:val="20"/>
                <w:szCs w:val="20"/>
              </w:rPr>
            </w:pPr>
          </w:p>
        </w:tc>
        <w:tc>
          <w:tcPr>
            <w:tcW w:w="1125" w:type="dxa"/>
            <w:gridSpan w:val="2"/>
          </w:tcPr>
          <w:p>
            <w:pPr>
              <w:spacing w:after="0"/>
              <w:rPr>
                <w:rFonts w:eastAsia="宋体" w:cs="Times New Roman"/>
                <w:sz w:val="20"/>
                <w:szCs w:val="20"/>
              </w:rPr>
            </w:pPr>
          </w:p>
        </w:tc>
        <w:tc>
          <w:tcPr>
            <w:tcW w:w="2268" w:type="dxa"/>
          </w:tcPr>
          <w:p>
            <w:pPr>
              <w:spacing w:after="0"/>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49" w:type="dxa"/>
            <w:gridSpan w:val="2"/>
            <w:vMerge w:val="continue"/>
            <w:tcBorders>
              <w:top w:val="nil"/>
            </w:tcBorders>
          </w:tcPr>
          <w:p>
            <w:pPr>
              <w:spacing w:after="0"/>
              <w:rPr>
                <w:rFonts w:eastAsia="宋体" w:cs="Times New Roman"/>
                <w:sz w:val="20"/>
                <w:szCs w:val="20"/>
              </w:rPr>
            </w:pPr>
          </w:p>
        </w:tc>
        <w:tc>
          <w:tcPr>
            <w:tcW w:w="1777" w:type="dxa"/>
            <w:gridSpan w:val="3"/>
          </w:tcPr>
          <w:p>
            <w:pPr>
              <w:spacing w:before="112" w:after="0" w:line="220" w:lineRule="auto"/>
              <w:ind w:left="151"/>
              <w:rPr>
                <w:rFonts w:ascii="宋体" w:hAnsi="宋体" w:eastAsia="宋体" w:cs="宋体"/>
                <w:sz w:val="17"/>
                <w:szCs w:val="17"/>
              </w:rPr>
            </w:pPr>
            <w:r>
              <w:rPr>
                <w:rFonts w:ascii="宋体" w:hAnsi="宋体" w:eastAsia="宋体" w:cs="宋体"/>
                <w:spacing w:val="1"/>
                <w:sz w:val="17"/>
                <w:szCs w:val="17"/>
              </w:rPr>
              <w:t>(二)其他资金</w:t>
            </w:r>
          </w:p>
        </w:tc>
        <w:tc>
          <w:tcPr>
            <w:tcW w:w="1452" w:type="dxa"/>
          </w:tcPr>
          <w:p>
            <w:pPr>
              <w:spacing w:after="0"/>
              <w:rPr>
                <w:rFonts w:eastAsia="宋体" w:cs="Times New Roman"/>
                <w:sz w:val="20"/>
                <w:szCs w:val="20"/>
              </w:rPr>
            </w:pPr>
          </w:p>
        </w:tc>
        <w:tc>
          <w:tcPr>
            <w:tcW w:w="1001" w:type="dxa"/>
            <w:gridSpan w:val="2"/>
          </w:tcPr>
          <w:p>
            <w:pPr>
              <w:spacing w:after="0"/>
              <w:rPr>
                <w:rFonts w:eastAsia="宋体" w:cs="Times New Roman"/>
                <w:sz w:val="20"/>
                <w:szCs w:val="20"/>
              </w:rPr>
            </w:pPr>
          </w:p>
        </w:tc>
        <w:tc>
          <w:tcPr>
            <w:tcW w:w="1125" w:type="dxa"/>
            <w:gridSpan w:val="2"/>
          </w:tcPr>
          <w:p>
            <w:pPr>
              <w:spacing w:after="0"/>
              <w:rPr>
                <w:rFonts w:eastAsia="宋体" w:cs="Times New Roman"/>
                <w:sz w:val="20"/>
                <w:szCs w:val="20"/>
              </w:rPr>
            </w:pPr>
          </w:p>
        </w:tc>
        <w:tc>
          <w:tcPr>
            <w:tcW w:w="2268" w:type="dxa"/>
          </w:tcPr>
          <w:p>
            <w:pPr>
              <w:spacing w:after="0"/>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7" w:type="dxa"/>
            <w:vMerge w:val="restart"/>
            <w:tcBorders>
              <w:bottom w:val="nil"/>
            </w:tcBorders>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55" w:after="0" w:line="220" w:lineRule="auto"/>
              <w:ind w:left="194" w:right="2" w:hanging="139"/>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年度总</w:t>
            </w:r>
          </w:p>
          <w:p>
            <w:pPr>
              <w:kinsoku w:val="0"/>
              <w:autoSpaceDE w:val="0"/>
              <w:autoSpaceDN w:val="0"/>
              <w:spacing w:before="155" w:after="0" w:line="220" w:lineRule="auto"/>
              <w:ind w:left="194" w:right="2" w:hanging="139"/>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体目标</w:t>
            </w:r>
          </w:p>
        </w:tc>
        <w:tc>
          <w:tcPr>
            <w:tcW w:w="6107" w:type="dxa"/>
            <w:gridSpan w:val="9"/>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预期目标</w:t>
            </w:r>
          </w:p>
        </w:tc>
        <w:tc>
          <w:tcPr>
            <w:tcW w:w="2268" w:type="dxa"/>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697" w:type="dxa"/>
            <w:vMerge w:val="continue"/>
            <w:tcBorders>
              <w:top w:val="nil"/>
            </w:tcBorders>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6107" w:type="dxa"/>
            <w:gridSpan w:val="9"/>
            <w:vAlign w:val="center"/>
          </w:tcPr>
          <w:p>
            <w:pPr>
              <w:spacing w:after="0"/>
              <w:ind w:firstLine="360" w:firstLineChars="200"/>
              <w:textAlignment w:val="center"/>
              <w:rPr>
                <w:rFonts w:ascii="楷体" w:hAnsi="楷体" w:eastAsia="楷体" w:cs="宋体"/>
                <w:sz w:val="18"/>
                <w:szCs w:val="18"/>
              </w:rPr>
            </w:pPr>
            <w:r>
              <w:rPr>
                <w:rFonts w:hint="eastAsia" w:ascii="楷体" w:hAnsi="楷体" w:eastAsia="楷体" w:cs="宋体"/>
                <w:sz w:val="18"/>
                <w:szCs w:val="18"/>
              </w:rPr>
              <w:t>行政区划调整改革后，王家镇行政运行经费严重不足，一是办公楼成本居高不下；二是场镇维护工作成本也逐渐增加；三是近年打造精品粮仓，发展王家贡米，用于解决精品粮仓建设和管理，镇村干部下乡费用偏高。财政保运转、促发展、保稳定压力大。王家镇政府运行经费</w:t>
            </w:r>
            <w:r>
              <w:rPr>
                <w:rFonts w:ascii="楷体" w:hAnsi="楷体" w:eastAsia="楷体" w:cs="宋体"/>
                <w:sz w:val="18"/>
                <w:szCs w:val="18"/>
              </w:rPr>
              <w:t>88</w:t>
            </w:r>
            <w:r>
              <w:rPr>
                <w:rFonts w:hint="eastAsia" w:ascii="楷体" w:hAnsi="楷体" w:eastAsia="楷体" w:cs="宋体"/>
                <w:sz w:val="18"/>
                <w:szCs w:val="18"/>
              </w:rPr>
              <w:t>万用于解决办公楼维修、场镇污水管网维护、精品粮仓建设和管理、干部下村费用等。</w:t>
            </w:r>
          </w:p>
        </w:tc>
        <w:tc>
          <w:tcPr>
            <w:tcW w:w="2268" w:type="dxa"/>
          </w:tcPr>
          <w:p>
            <w:pPr>
              <w:spacing w:after="0"/>
              <w:ind w:firstLine="360" w:firstLineChars="200"/>
              <w:textAlignment w:val="center"/>
              <w:rPr>
                <w:rFonts w:ascii="楷体" w:hAnsi="楷体" w:eastAsia="楷体" w:cs="宋体"/>
                <w:sz w:val="18"/>
                <w:szCs w:val="18"/>
              </w:rPr>
            </w:pPr>
            <w:r>
              <w:rPr>
                <w:rFonts w:hint="eastAsia" w:ascii="楷体" w:hAnsi="楷体" w:eastAsia="楷体" w:cs="宋体"/>
                <w:sz w:val="18"/>
                <w:szCs w:val="18"/>
              </w:rPr>
              <w:t>王家镇政府运行经费</w:t>
            </w:r>
            <w:r>
              <w:rPr>
                <w:rFonts w:ascii="楷体" w:hAnsi="楷体" w:eastAsia="楷体" w:cs="宋体"/>
                <w:sz w:val="18"/>
                <w:szCs w:val="18"/>
              </w:rPr>
              <w:t>88</w:t>
            </w:r>
            <w:r>
              <w:rPr>
                <w:rFonts w:hint="eastAsia" w:ascii="楷体" w:hAnsi="楷体" w:eastAsia="楷体" w:cs="宋体"/>
                <w:sz w:val="18"/>
                <w:szCs w:val="18"/>
              </w:rPr>
              <w:t>万解决办公楼维修、场镇污水管网维护、精品粮仓建设和管理、干部下村费用等，群众认可度达98%。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 w:hRule="atLeast"/>
        </w:trPr>
        <w:tc>
          <w:tcPr>
            <w:tcW w:w="697" w:type="dxa"/>
            <w:vMerge w:val="restart"/>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55" w:after="0" w:line="220" w:lineRule="auto"/>
              <w:ind w:left="55"/>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绩效</w:t>
            </w:r>
          </w:p>
          <w:p>
            <w:pPr>
              <w:kinsoku w:val="0"/>
              <w:autoSpaceDE w:val="0"/>
              <w:autoSpaceDN w:val="0"/>
              <w:spacing w:before="155" w:after="0" w:line="220" w:lineRule="auto"/>
              <w:ind w:left="55"/>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指标</w:t>
            </w:r>
          </w:p>
        </w:tc>
        <w:tc>
          <w:tcPr>
            <w:tcW w:w="863" w:type="dxa"/>
            <w:gridSpan w:val="2"/>
            <w:tcBorders>
              <w:bottom w:val="single" w:color="auto" w:sz="4" w:space="0"/>
            </w:tcBorders>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一级指标</w:t>
            </w:r>
          </w:p>
        </w:tc>
        <w:tc>
          <w:tcPr>
            <w:tcW w:w="1134" w:type="dxa"/>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二级指标</w:t>
            </w:r>
          </w:p>
        </w:tc>
        <w:tc>
          <w:tcPr>
            <w:tcW w:w="2126" w:type="dxa"/>
            <w:gridSpan w:val="3"/>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三级指标</w:t>
            </w:r>
          </w:p>
        </w:tc>
        <w:tc>
          <w:tcPr>
            <w:tcW w:w="992" w:type="dxa"/>
            <w:gridSpan w:val="2"/>
          </w:tcPr>
          <w:p>
            <w:pPr>
              <w:kinsoku w:val="0"/>
              <w:autoSpaceDE w:val="0"/>
              <w:autoSpaceDN w:val="0"/>
              <w:spacing w:before="155" w:after="0" w:line="219"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年度指标值</w:t>
            </w:r>
          </w:p>
        </w:tc>
        <w:tc>
          <w:tcPr>
            <w:tcW w:w="992" w:type="dxa"/>
          </w:tcPr>
          <w:p>
            <w:pPr>
              <w:kinsoku w:val="0"/>
              <w:autoSpaceDE w:val="0"/>
              <w:autoSpaceDN w:val="0"/>
              <w:spacing w:before="155" w:after="0" w:line="219"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实际完成值</w:t>
            </w:r>
          </w:p>
        </w:tc>
        <w:tc>
          <w:tcPr>
            <w:tcW w:w="2268" w:type="dxa"/>
          </w:tcPr>
          <w:p>
            <w:pPr>
              <w:kinsoku w:val="0"/>
              <w:autoSpaceDE w:val="0"/>
              <w:autoSpaceDN w:val="0"/>
              <w:spacing w:before="75" w:after="0" w:line="227"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7" w:type="dxa"/>
            <w:vMerge w:val="continue"/>
            <w:vAlign w:val="center"/>
          </w:tcPr>
          <w:p>
            <w:pPr>
              <w:spacing w:after="0"/>
              <w:jc w:val="center"/>
              <w:rPr>
                <w:rFonts w:cs="Times New Roman" w:asciiTheme="minorEastAsia" w:hAnsiTheme="minorEastAsia" w:eastAsiaTheme="minorEastAsia"/>
                <w:sz w:val="18"/>
                <w:szCs w:val="18"/>
              </w:rPr>
            </w:pPr>
          </w:p>
        </w:tc>
        <w:tc>
          <w:tcPr>
            <w:tcW w:w="863" w:type="dxa"/>
            <w:gridSpan w:val="2"/>
            <w:vMerge w:val="restart"/>
            <w:tcBorders>
              <w:top w:val="single" w:color="auto" w:sz="4" w:space="0"/>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产出指标</w:t>
            </w: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数量指标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场镇污水管网维护</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≥18公里</w:t>
            </w:r>
          </w:p>
        </w:tc>
        <w:tc>
          <w:tcPr>
            <w:tcW w:w="992" w:type="dxa"/>
            <w:vAlign w:val="center"/>
          </w:tcPr>
          <w:p>
            <w:pPr>
              <w:spacing w:before="67" w:after="0" w:line="209" w:lineRule="auto"/>
              <w:ind w:left="23"/>
              <w:jc w:val="center"/>
              <w:rPr>
                <w:rFonts w:ascii="楷体" w:hAnsi="楷体" w:eastAsia="楷体" w:cs="宋体"/>
                <w:sz w:val="18"/>
                <w:szCs w:val="18"/>
              </w:rPr>
            </w:pPr>
            <w:r>
              <w:rPr>
                <w:rFonts w:hint="eastAsia" w:ascii="楷体" w:hAnsi="楷体" w:eastAsia="楷体" w:cs="宋体"/>
                <w:sz w:val="18"/>
                <w:szCs w:val="18"/>
              </w:rPr>
              <w:t>18公里</w:t>
            </w:r>
          </w:p>
        </w:tc>
        <w:tc>
          <w:tcPr>
            <w:tcW w:w="2268"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7" w:type="dxa"/>
            <w:vMerge w:val="continue"/>
            <w:vAlign w:val="center"/>
          </w:tcPr>
          <w:p>
            <w:pPr>
              <w:spacing w:after="0"/>
              <w:jc w:val="center"/>
              <w:rPr>
                <w:rFonts w:cs="Times New Roman" w:asciiTheme="minorEastAsia" w:hAnsiTheme="minorEastAsia" w:eastAsiaTheme="minorEastAsia"/>
                <w:sz w:val="18"/>
                <w:szCs w:val="18"/>
              </w:rPr>
            </w:pPr>
          </w:p>
        </w:tc>
        <w:tc>
          <w:tcPr>
            <w:tcW w:w="863" w:type="dxa"/>
            <w:gridSpan w:val="2"/>
            <w:vMerge w:val="continue"/>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134" w:type="dxa"/>
            <w:tcBorders>
              <w:left w:val="single" w:color="auto" w:sz="4" w:space="0"/>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数量指标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办公楼维修维护</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≤10次</w:t>
            </w:r>
          </w:p>
        </w:tc>
        <w:tc>
          <w:tcPr>
            <w:tcW w:w="992" w:type="dxa"/>
            <w:vAlign w:val="center"/>
          </w:tcPr>
          <w:p>
            <w:pPr>
              <w:spacing w:before="67" w:after="0" w:line="209" w:lineRule="auto"/>
              <w:ind w:left="23"/>
              <w:jc w:val="center"/>
              <w:rPr>
                <w:rFonts w:ascii="楷体" w:hAnsi="楷体" w:eastAsia="楷体" w:cs="宋体"/>
                <w:sz w:val="18"/>
                <w:szCs w:val="18"/>
              </w:rPr>
            </w:pPr>
            <w:r>
              <w:rPr>
                <w:rFonts w:hint="eastAsia" w:ascii="楷体" w:hAnsi="楷体" w:eastAsia="楷体" w:cs="宋体"/>
                <w:sz w:val="18"/>
                <w:szCs w:val="18"/>
              </w:rPr>
              <w:t>2次</w:t>
            </w:r>
          </w:p>
        </w:tc>
        <w:tc>
          <w:tcPr>
            <w:tcW w:w="2268"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7" w:type="dxa"/>
            <w:vMerge w:val="continue"/>
            <w:vAlign w:val="center"/>
          </w:tcPr>
          <w:p>
            <w:pPr>
              <w:spacing w:after="0"/>
              <w:jc w:val="center"/>
              <w:rPr>
                <w:rFonts w:cs="Times New Roman" w:asciiTheme="minorEastAsia" w:hAnsiTheme="minorEastAsia" w:eastAsiaTheme="minorEastAsia"/>
                <w:sz w:val="18"/>
                <w:szCs w:val="18"/>
              </w:rPr>
            </w:pPr>
          </w:p>
        </w:tc>
        <w:tc>
          <w:tcPr>
            <w:tcW w:w="863" w:type="dxa"/>
            <w:gridSpan w:val="2"/>
            <w:vMerge w:val="continue"/>
            <w:tcBorders>
              <w:left w:val="single" w:color="auto" w:sz="4" w:space="0"/>
              <w:bottom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时效指标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完成各项目标任务及时率</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≥98%</w:t>
            </w:r>
          </w:p>
        </w:tc>
        <w:tc>
          <w:tcPr>
            <w:tcW w:w="992" w:type="dxa"/>
            <w:vAlign w:val="center"/>
          </w:tcPr>
          <w:p>
            <w:pPr>
              <w:spacing w:before="67" w:after="0" w:line="209" w:lineRule="auto"/>
              <w:ind w:left="23"/>
              <w:jc w:val="center"/>
              <w:rPr>
                <w:rFonts w:ascii="楷体" w:hAnsi="楷体" w:eastAsia="楷体" w:cs="宋体"/>
                <w:sz w:val="18"/>
                <w:szCs w:val="18"/>
              </w:rPr>
            </w:pPr>
            <w:r>
              <w:rPr>
                <w:rFonts w:hint="eastAsia" w:ascii="楷体" w:hAnsi="楷体" w:eastAsia="楷体" w:cs="宋体"/>
                <w:sz w:val="18"/>
                <w:szCs w:val="18"/>
              </w:rPr>
              <w:t>98%</w:t>
            </w:r>
          </w:p>
        </w:tc>
        <w:tc>
          <w:tcPr>
            <w:tcW w:w="2268"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697" w:type="dxa"/>
            <w:vMerge w:val="continue"/>
            <w:vAlign w:val="center"/>
          </w:tcPr>
          <w:p>
            <w:pPr>
              <w:spacing w:after="0"/>
              <w:jc w:val="center"/>
              <w:rPr>
                <w:rFonts w:cs="Times New Roman" w:asciiTheme="minorEastAsia" w:hAnsiTheme="minorEastAsia" w:eastAsiaTheme="minorEastAsia"/>
                <w:sz w:val="18"/>
                <w:szCs w:val="18"/>
              </w:rPr>
            </w:pPr>
          </w:p>
        </w:tc>
        <w:tc>
          <w:tcPr>
            <w:tcW w:w="863" w:type="dxa"/>
            <w:gridSpan w:val="2"/>
            <w:vMerge w:val="continue"/>
            <w:tcBorders>
              <w:left w:val="single" w:color="auto" w:sz="4" w:space="0"/>
              <w:bottom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质量指标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资金使用合规率</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＝100%</w:t>
            </w:r>
          </w:p>
        </w:tc>
        <w:tc>
          <w:tcPr>
            <w:tcW w:w="992" w:type="dxa"/>
            <w:vAlign w:val="center"/>
          </w:tcPr>
          <w:p>
            <w:pPr>
              <w:spacing w:before="67" w:after="0" w:line="209" w:lineRule="auto"/>
              <w:ind w:left="23"/>
              <w:jc w:val="center"/>
              <w:rPr>
                <w:rFonts w:ascii="楷体" w:hAnsi="楷体" w:eastAsia="楷体" w:cs="宋体"/>
                <w:sz w:val="18"/>
                <w:szCs w:val="18"/>
              </w:rPr>
            </w:pPr>
            <w:r>
              <w:rPr>
                <w:rFonts w:hint="eastAsia" w:ascii="楷体" w:hAnsi="楷体" w:eastAsia="楷体" w:cs="宋体"/>
                <w:sz w:val="18"/>
                <w:szCs w:val="18"/>
              </w:rPr>
              <w:t>100%</w:t>
            </w:r>
          </w:p>
        </w:tc>
        <w:tc>
          <w:tcPr>
            <w:tcW w:w="2268"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7" w:type="dxa"/>
            <w:vMerge w:val="continue"/>
            <w:vAlign w:val="center"/>
          </w:tcPr>
          <w:p>
            <w:pPr>
              <w:spacing w:after="0"/>
              <w:jc w:val="center"/>
              <w:rPr>
                <w:rFonts w:cs="Times New Roman" w:asciiTheme="minorEastAsia" w:hAnsiTheme="minorEastAsia" w:eastAsiaTheme="minorEastAsia"/>
                <w:sz w:val="18"/>
                <w:szCs w:val="18"/>
              </w:rPr>
            </w:pPr>
          </w:p>
        </w:tc>
        <w:tc>
          <w:tcPr>
            <w:tcW w:w="863" w:type="dxa"/>
            <w:gridSpan w:val="2"/>
            <w:vMerge w:val="continue"/>
            <w:tcBorders>
              <w:left w:val="single" w:color="auto" w:sz="4" w:space="0"/>
              <w:bottom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数量指标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贡米园区建设督查督导次数</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≥240人次</w:t>
            </w:r>
          </w:p>
        </w:tc>
        <w:tc>
          <w:tcPr>
            <w:tcW w:w="992" w:type="dxa"/>
            <w:vAlign w:val="center"/>
          </w:tcPr>
          <w:p>
            <w:pPr>
              <w:spacing w:before="67" w:after="0" w:line="209" w:lineRule="auto"/>
              <w:ind w:left="23"/>
              <w:jc w:val="center"/>
              <w:rPr>
                <w:rFonts w:ascii="楷体" w:hAnsi="楷体" w:eastAsia="楷体" w:cs="宋体"/>
                <w:sz w:val="18"/>
                <w:szCs w:val="18"/>
              </w:rPr>
            </w:pPr>
            <w:r>
              <w:rPr>
                <w:rFonts w:hint="eastAsia" w:ascii="楷体" w:hAnsi="楷体" w:eastAsia="楷体" w:cs="宋体"/>
                <w:sz w:val="18"/>
                <w:szCs w:val="18"/>
              </w:rPr>
              <w:t>300人次</w:t>
            </w:r>
          </w:p>
        </w:tc>
        <w:tc>
          <w:tcPr>
            <w:tcW w:w="2268"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7" w:type="dxa"/>
            <w:vMerge w:val="continue"/>
            <w:vAlign w:val="center"/>
          </w:tcPr>
          <w:p>
            <w:pPr>
              <w:spacing w:after="0"/>
              <w:jc w:val="center"/>
              <w:rPr>
                <w:rFonts w:cs="Times New Roman" w:asciiTheme="minorEastAsia" w:hAnsiTheme="minorEastAsia" w:eastAsiaTheme="minorEastAsia"/>
                <w:sz w:val="18"/>
                <w:szCs w:val="18"/>
              </w:rPr>
            </w:pPr>
          </w:p>
        </w:tc>
        <w:tc>
          <w:tcPr>
            <w:tcW w:w="863" w:type="dxa"/>
            <w:gridSpan w:val="2"/>
            <w:vMerge w:val="restart"/>
            <w:tcBorders>
              <w:top w:val="single" w:color="auto" w:sz="4" w:space="0"/>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效益指标</w:t>
            </w: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社会效益指标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保障政府日常运转，提升干部满意度</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≥96%</w:t>
            </w:r>
          </w:p>
        </w:tc>
        <w:tc>
          <w:tcPr>
            <w:tcW w:w="992" w:type="dxa"/>
            <w:vAlign w:val="center"/>
          </w:tcPr>
          <w:p>
            <w:pPr>
              <w:spacing w:before="67" w:after="0" w:line="209" w:lineRule="auto"/>
              <w:ind w:left="23"/>
              <w:jc w:val="center"/>
              <w:rPr>
                <w:rFonts w:ascii="楷体" w:hAnsi="楷体" w:eastAsia="楷体" w:cs="宋体"/>
                <w:sz w:val="18"/>
                <w:szCs w:val="18"/>
              </w:rPr>
            </w:pPr>
            <w:r>
              <w:rPr>
                <w:rFonts w:hint="eastAsia" w:ascii="楷体" w:hAnsi="楷体" w:eastAsia="楷体" w:cs="宋体"/>
                <w:sz w:val="18"/>
                <w:szCs w:val="18"/>
              </w:rPr>
              <w:t>98%</w:t>
            </w:r>
          </w:p>
        </w:tc>
        <w:tc>
          <w:tcPr>
            <w:tcW w:w="2268"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7" w:type="dxa"/>
            <w:vMerge w:val="continue"/>
            <w:vAlign w:val="center"/>
          </w:tcPr>
          <w:p>
            <w:pPr>
              <w:spacing w:after="0"/>
              <w:jc w:val="center"/>
              <w:rPr>
                <w:rFonts w:cs="Times New Roman" w:asciiTheme="minorEastAsia" w:hAnsiTheme="minorEastAsia" w:eastAsiaTheme="minorEastAsia"/>
                <w:sz w:val="18"/>
                <w:szCs w:val="18"/>
              </w:rPr>
            </w:pPr>
          </w:p>
        </w:tc>
        <w:tc>
          <w:tcPr>
            <w:tcW w:w="863" w:type="dxa"/>
            <w:gridSpan w:val="2"/>
            <w:vMerge w:val="continue"/>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社会效益指标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增加镇老百姓就业率</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≥8%</w:t>
            </w:r>
          </w:p>
        </w:tc>
        <w:tc>
          <w:tcPr>
            <w:tcW w:w="992" w:type="dxa"/>
            <w:vAlign w:val="center"/>
          </w:tcPr>
          <w:p>
            <w:pPr>
              <w:spacing w:before="67" w:after="0" w:line="209" w:lineRule="auto"/>
              <w:ind w:left="23"/>
              <w:jc w:val="center"/>
              <w:rPr>
                <w:rFonts w:ascii="楷体" w:hAnsi="楷体" w:eastAsia="楷体" w:cs="宋体"/>
                <w:sz w:val="18"/>
                <w:szCs w:val="18"/>
              </w:rPr>
            </w:pPr>
            <w:r>
              <w:rPr>
                <w:rFonts w:hint="eastAsia" w:ascii="楷体" w:hAnsi="楷体" w:eastAsia="楷体" w:cs="宋体"/>
                <w:sz w:val="18"/>
                <w:szCs w:val="18"/>
              </w:rPr>
              <w:t>10%</w:t>
            </w:r>
          </w:p>
        </w:tc>
        <w:tc>
          <w:tcPr>
            <w:tcW w:w="2268"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697" w:type="dxa"/>
            <w:vMerge w:val="continue"/>
            <w:vAlign w:val="center"/>
          </w:tcPr>
          <w:p>
            <w:pPr>
              <w:spacing w:after="0"/>
              <w:jc w:val="center"/>
              <w:rPr>
                <w:rFonts w:cs="Times New Roman" w:asciiTheme="minorEastAsia" w:hAnsiTheme="minorEastAsia" w:eastAsiaTheme="minorEastAsia"/>
                <w:sz w:val="18"/>
                <w:szCs w:val="18"/>
              </w:rPr>
            </w:pPr>
          </w:p>
        </w:tc>
        <w:tc>
          <w:tcPr>
            <w:tcW w:w="863" w:type="dxa"/>
            <w:gridSpan w:val="2"/>
            <w:tcBorders>
              <w:top w:val="single" w:color="auto" w:sz="4" w:space="0"/>
              <w:bottom w:val="nil"/>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满意度指标</w:t>
            </w:r>
          </w:p>
        </w:tc>
        <w:tc>
          <w:tcPr>
            <w:tcW w:w="1134" w:type="dxa"/>
            <w:tcBorders>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满意度指标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镇域内老百姓对政府的认可度</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≥95%</w:t>
            </w:r>
          </w:p>
        </w:tc>
        <w:tc>
          <w:tcPr>
            <w:tcW w:w="992" w:type="dxa"/>
            <w:vAlign w:val="center"/>
          </w:tcPr>
          <w:p>
            <w:pPr>
              <w:spacing w:before="67" w:after="0" w:line="209" w:lineRule="auto"/>
              <w:ind w:left="23"/>
              <w:jc w:val="center"/>
              <w:rPr>
                <w:rFonts w:ascii="楷体" w:hAnsi="楷体" w:eastAsia="楷体" w:cs="宋体"/>
                <w:sz w:val="18"/>
                <w:szCs w:val="18"/>
              </w:rPr>
            </w:pPr>
            <w:r>
              <w:rPr>
                <w:rFonts w:hint="eastAsia" w:ascii="楷体" w:hAnsi="楷体" w:eastAsia="楷体" w:cs="宋体"/>
                <w:sz w:val="18"/>
                <w:szCs w:val="18"/>
              </w:rPr>
              <w:t>98%</w:t>
            </w:r>
          </w:p>
        </w:tc>
        <w:tc>
          <w:tcPr>
            <w:tcW w:w="2268"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7" w:type="dxa"/>
            <w:vMerge w:val="continue"/>
            <w:vAlign w:val="center"/>
          </w:tcPr>
          <w:p>
            <w:pPr>
              <w:spacing w:before="48" w:after="0" w:line="220" w:lineRule="auto"/>
              <w:ind w:left="3664"/>
              <w:jc w:val="center"/>
              <w:rPr>
                <w:rFonts w:cs="宋体" w:asciiTheme="minorEastAsia" w:hAnsiTheme="minorEastAsia" w:eastAsiaTheme="minorEastAsia"/>
                <w:sz w:val="18"/>
                <w:szCs w:val="18"/>
              </w:rPr>
            </w:pPr>
          </w:p>
        </w:tc>
        <w:tc>
          <w:tcPr>
            <w:tcW w:w="863" w:type="dxa"/>
            <w:gridSpan w:val="2"/>
            <w:vMerge w:val="restart"/>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成本指标</w:t>
            </w:r>
          </w:p>
        </w:tc>
        <w:tc>
          <w:tcPr>
            <w:tcW w:w="1134" w:type="dxa"/>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经济成本指标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打造精品粮仓建设和管理</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≤38万元</w:t>
            </w:r>
          </w:p>
        </w:tc>
        <w:tc>
          <w:tcPr>
            <w:tcW w:w="992" w:type="dxa"/>
            <w:vAlign w:val="center"/>
          </w:tcPr>
          <w:p>
            <w:pPr>
              <w:spacing w:before="67" w:after="0" w:line="209" w:lineRule="auto"/>
              <w:ind w:left="23"/>
              <w:jc w:val="center"/>
              <w:rPr>
                <w:rFonts w:ascii="楷体" w:hAnsi="楷体" w:eastAsia="楷体" w:cs="宋体"/>
                <w:sz w:val="18"/>
                <w:szCs w:val="18"/>
              </w:rPr>
            </w:pPr>
            <w:r>
              <w:rPr>
                <w:rFonts w:hint="eastAsia" w:ascii="楷体" w:hAnsi="楷体" w:eastAsia="楷体" w:cs="宋体"/>
                <w:sz w:val="18"/>
                <w:szCs w:val="18"/>
              </w:rPr>
              <w:t>38万元</w:t>
            </w:r>
          </w:p>
        </w:tc>
        <w:tc>
          <w:tcPr>
            <w:tcW w:w="2268" w:type="dxa"/>
            <w:vAlign w:val="center"/>
          </w:tcPr>
          <w:p>
            <w:pPr>
              <w:spacing w:after="0"/>
              <w:jc w:val="both"/>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7" w:type="dxa"/>
            <w:vMerge w:val="continue"/>
            <w:vAlign w:val="center"/>
          </w:tcPr>
          <w:p>
            <w:pPr>
              <w:spacing w:before="48" w:after="0" w:line="220" w:lineRule="auto"/>
              <w:ind w:left="3664"/>
              <w:jc w:val="center"/>
              <w:rPr>
                <w:rFonts w:cs="宋体" w:asciiTheme="minorEastAsia" w:hAnsiTheme="minorEastAsia" w:eastAsiaTheme="minorEastAsia"/>
                <w:sz w:val="18"/>
                <w:szCs w:val="18"/>
              </w:rPr>
            </w:pPr>
          </w:p>
        </w:tc>
        <w:tc>
          <w:tcPr>
            <w:tcW w:w="863" w:type="dxa"/>
            <w:gridSpan w:val="2"/>
            <w:vMerge w:val="continue"/>
            <w:vAlign w:val="center"/>
          </w:tcPr>
          <w:p>
            <w:pPr>
              <w:spacing w:before="146" w:after="0" w:line="219" w:lineRule="auto"/>
              <w:ind w:left="191" w:right="124" w:hanging="70"/>
              <w:jc w:val="center"/>
              <w:rPr>
                <w:rFonts w:cs="宋体" w:asciiTheme="minorEastAsia" w:hAnsiTheme="minorEastAsia" w:eastAsiaTheme="minorEastAsia"/>
                <w:spacing w:val="-3"/>
                <w:sz w:val="18"/>
                <w:szCs w:val="18"/>
              </w:rPr>
            </w:pPr>
          </w:p>
        </w:tc>
        <w:tc>
          <w:tcPr>
            <w:tcW w:w="1134" w:type="dxa"/>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经济成本指标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场镇污水管网维护</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≤12万元</w:t>
            </w:r>
          </w:p>
        </w:tc>
        <w:tc>
          <w:tcPr>
            <w:tcW w:w="992" w:type="dxa"/>
            <w:vAlign w:val="center"/>
          </w:tcPr>
          <w:p>
            <w:pPr>
              <w:spacing w:before="67" w:after="0" w:line="209" w:lineRule="auto"/>
              <w:ind w:left="23"/>
              <w:jc w:val="center"/>
              <w:rPr>
                <w:rFonts w:ascii="楷体" w:hAnsi="楷体" w:eastAsia="楷体" w:cs="宋体"/>
                <w:sz w:val="18"/>
                <w:szCs w:val="18"/>
              </w:rPr>
            </w:pPr>
            <w:r>
              <w:rPr>
                <w:rFonts w:hint="eastAsia" w:ascii="楷体" w:hAnsi="楷体" w:eastAsia="楷体" w:cs="宋体"/>
                <w:sz w:val="18"/>
                <w:szCs w:val="18"/>
              </w:rPr>
              <w:t>12万元</w:t>
            </w:r>
          </w:p>
        </w:tc>
        <w:tc>
          <w:tcPr>
            <w:tcW w:w="2268" w:type="dxa"/>
            <w:vAlign w:val="center"/>
          </w:tcPr>
          <w:p>
            <w:pPr>
              <w:spacing w:after="0"/>
              <w:jc w:val="both"/>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97" w:type="dxa"/>
            <w:vMerge w:val="continue"/>
            <w:vAlign w:val="center"/>
          </w:tcPr>
          <w:p>
            <w:pPr>
              <w:spacing w:before="48" w:after="0" w:line="220" w:lineRule="auto"/>
              <w:ind w:left="3664"/>
              <w:jc w:val="center"/>
              <w:rPr>
                <w:rFonts w:cs="宋体" w:asciiTheme="minorEastAsia" w:hAnsiTheme="minorEastAsia" w:eastAsiaTheme="minorEastAsia"/>
                <w:sz w:val="18"/>
                <w:szCs w:val="18"/>
              </w:rPr>
            </w:pPr>
          </w:p>
        </w:tc>
        <w:tc>
          <w:tcPr>
            <w:tcW w:w="863" w:type="dxa"/>
            <w:gridSpan w:val="2"/>
            <w:vMerge w:val="continue"/>
            <w:vAlign w:val="center"/>
          </w:tcPr>
          <w:p>
            <w:pPr>
              <w:spacing w:before="146" w:after="0" w:line="219" w:lineRule="auto"/>
              <w:ind w:left="191" w:right="124" w:hanging="70"/>
              <w:jc w:val="center"/>
              <w:rPr>
                <w:rFonts w:cs="宋体" w:asciiTheme="minorEastAsia" w:hAnsiTheme="minorEastAsia" w:eastAsiaTheme="minorEastAsia"/>
                <w:spacing w:val="-3"/>
                <w:sz w:val="18"/>
                <w:szCs w:val="18"/>
              </w:rPr>
            </w:pPr>
          </w:p>
        </w:tc>
        <w:tc>
          <w:tcPr>
            <w:tcW w:w="1134" w:type="dxa"/>
            <w:vAlign w:val="center"/>
          </w:tcPr>
          <w:p>
            <w:pPr>
              <w:spacing w:after="0"/>
              <w:jc w:val="center"/>
              <w:rPr>
                <w:rFonts w:ascii="楷体" w:hAnsi="楷体" w:eastAsia="楷体" w:cs="Times New Roman"/>
                <w:sz w:val="18"/>
                <w:szCs w:val="18"/>
              </w:rPr>
            </w:pPr>
            <w:r>
              <w:rPr>
                <w:rFonts w:hint="eastAsia" w:ascii="楷体" w:hAnsi="楷体" w:eastAsia="楷体" w:cs="Times New Roman"/>
                <w:sz w:val="18"/>
                <w:szCs w:val="18"/>
              </w:rPr>
              <w:t>经济成本指标</w:t>
            </w:r>
          </w:p>
        </w:tc>
        <w:tc>
          <w:tcPr>
            <w:tcW w:w="2126" w:type="dxa"/>
            <w:gridSpan w:val="3"/>
            <w:vAlign w:val="center"/>
          </w:tcPr>
          <w:p>
            <w:pPr>
              <w:spacing w:after="0"/>
              <w:jc w:val="center"/>
              <w:rPr>
                <w:rFonts w:ascii="楷体" w:hAnsi="楷体" w:eastAsia="楷体" w:cs="Times New Roman"/>
                <w:sz w:val="18"/>
                <w:szCs w:val="18"/>
              </w:rPr>
            </w:pPr>
            <w:r>
              <w:rPr>
                <w:rFonts w:hint="eastAsia" w:ascii="楷体" w:hAnsi="楷体" w:eastAsia="楷体" w:cs="Times New Roman"/>
                <w:sz w:val="18"/>
                <w:szCs w:val="18"/>
              </w:rPr>
              <w:t>办公楼维修维护及办公费</w:t>
            </w:r>
          </w:p>
        </w:tc>
        <w:tc>
          <w:tcPr>
            <w:tcW w:w="992" w:type="dxa"/>
            <w:gridSpan w:val="2"/>
            <w:vAlign w:val="center"/>
          </w:tcPr>
          <w:p>
            <w:pPr>
              <w:spacing w:after="0"/>
              <w:rPr>
                <w:rFonts w:ascii="楷体" w:hAnsi="楷体" w:eastAsia="楷体" w:cs="Times New Roman"/>
                <w:sz w:val="18"/>
                <w:szCs w:val="18"/>
              </w:rPr>
            </w:pPr>
            <w:r>
              <w:rPr>
                <w:rFonts w:hint="eastAsia" w:ascii="楷体" w:hAnsi="楷体" w:eastAsia="楷体" w:cs="Times New Roman"/>
                <w:sz w:val="18"/>
                <w:szCs w:val="18"/>
              </w:rPr>
              <w:t>≤38万元</w:t>
            </w:r>
          </w:p>
        </w:tc>
        <w:tc>
          <w:tcPr>
            <w:tcW w:w="992" w:type="dxa"/>
            <w:vAlign w:val="center"/>
          </w:tcPr>
          <w:p>
            <w:pPr>
              <w:spacing w:before="67" w:after="0" w:line="209" w:lineRule="auto"/>
              <w:ind w:left="23"/>
              <w:jc w:val="center"/>
              <w:rPr>
                <w:rFonts w:ascii="楷体" w:hAnsi="楷体" w:eastAsia="楷体" w:cs="Times New Roman"/>
                <w:sz w:val="18"/>
                <w:szCs w:val="18"/>
              </w:rPr>
            </w:pPr>
            <w:r>
              <w:rPr>
                <w:rFonts w:hint="eastAsia" w:ascii="楷体" w:hAnsi="楷体" w:eastAsia="楷体" w:cs="Times New Roman"/>
                <w:sz w:val="18"/>
                <w:szCs w:val="18"/>
              </w:rPr>
              <w:t>38万元</w:t>
            </w:r>
          </w:p>
        </w:tc>
        <w:tc>
          <w:tcPr>
            <w:tcW w:w="2268" w:type="dxa"/>
            <w:vAlign w:val="center"/>
          </w:tcPr>
          <w:p>
            <w:pPr>
              <w:spacing w:after="0"/>
              <w:jc w:val="both"/>
              <w:rPr>
                <w:rFonts w:ascii="楷体" w:hAnsi="楷体" w:eastAsia="楷体" w:cs="Times New Roman"/>
                <w:sz w:val="18"/>
                <w:szCs w:val="18"/>
              </w:rPr>
            </w:pPr>
          </w:p>
        </w:tc>
      </w:tr>
    </w:tbl>
    <w:p>
      <w:pPr>
        <w:spacing w:before="103" w:line="219" w:lineRule="auto"/>
        <w:jc w:val="center"/>
        <w:rPr>
          <w:rFonts w:ascii="宋体" w:hAnsi="宋体" w:eastAsia="宋体" w:cs="宋体"/>
          <w:sz w:val="34"/>
          <w:szCs w:val="34"/>
        </w:rPr>
      </w:pPr>
      <w:r>
        <w:rPr>
          <w:rFonts w:ascii="宋体" w:hAnsi="宋体" w:eastAsia="宋体" w:cs="宋体"/>
          <w:b/>
          <w:bCs/>
          <w:spacing w:val="28"/>
          <w:sz w:val="34"/>
          <w:szCs w:val="34"/>
        </w:rPr>
        <w:t>广元市昭化区财政项目(政策)支出绩效自评表</w:t>
      </w:r>
    </w:p>
    <w:p>
      <w:pPr>
        <w:spacing w:before="86" w:line="219" w:lineRule="auto"/>
        <w:ind w:left="3894"/>
        <w:rPr>
          <w:rFonts w:ascii="宋体" w:hAnsi="宋体" w:eastAsia="宋体" w:cs="宋体"/>
        </w:rPr>
      </w:pPr>
      <w:r>
        <w:rPr>
          <w:rFonts w:ascii="宋体" w:hAnsi="宋体" w:eastAsia="宋体" w:cs="宋体"/>
          <w:spacing w:val="-14"/>
        </w:rPr>
        <w:t>(</w:t>
      </w:r>
      <w:r>
        <w:rPr>
          <w:rFonts w:ascii="宋体" w:hAnsi="宋体" w:eastAsia="宋体" w:cs="宋体"/>
          <w:spacing w:val="32"/>
        </w:rPr>
        <w:t xml:space="preserve">  </w:t>
      </w:r>
      <w:r>
        <w:rPr>
          <w:rFonts w:hint="eastAsia" w:ascii="宋体" w:hAnsi="宋体" w:eastAsia="宋体" w:cs="宋体"/>
          <w:spacing w:val="32"/>
        </w:rPr>
        <w:t>2023</w:t>
      </w:r>
      <w:r>
        <w:rPr>
          <w:rFonts w:ascii="宋体" w:hAnsi="宋体" w:eastAsia="宋体" w:cs="宋体"/>
          <w:spacing w:val="32"/>
        </w:rPr>
        <w:t xml:space="preserve"> </w:t>
      </w:r>
      <w:r>
        <w:rPr>
          <w:rFonts w:ascii="宋体" w:hAnsi="宋体" w:eastAsia="宋体" w:cs="宋体"/>
          <w:spacing w:val="-14"/>
        </w:rPr>
        <w:t>年度)</w:t>
      </w:r>
    </w:p>
    <w:tbl>
      <w:tblPr>
        <w:tblStyle w:val="21"/>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752"/>
        <w:gridCol w:w="1103"/>
        <w:gridCol w:w="674"/>
        <w:gridCol w:w="1308"/>
        <w:gridCol w:w="1145"/>
        <w:gridCol w:w="951"/>
        <w:gridCol w:w="2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49" w:type="dxa"/>
            <w:gridSpan w:val="2"/>
          </w:tcPr>
          <w:p>
            <w:pPr>
              <w:spacing w:before="82" w:after="0" w:line="220" w:lineRule="auto"/>
              <w:ind w:left="75"/>
              <w:rPr>
                <w:rFonts w:ascii="宋体" w:hAnsi="宋体" w:eastAsia="宋体" w:cs="宋体"/>
                <w:sz w:val="17"/>
                <w:szCs w:val="17"/>
              </w:rPr>
            </w:pPr>
            <w:r>
              <w:rPr>
                <w:rFonts w:ascii="宋体" w:hAnsi="宋体" w:eastAsia="宋体" w:cs="宋体"/>
                <w:spacing w:val="-2"/>
                <w:sz w:val="17"/>
                <w:szCs w:val="17"/>
              </w:rPr>
              <w:t>项目(政策)名称</w:t>
            </w:r>
          </w:p>
        </w:tc>
        <w:tc>
          <w:tcPr>
            <w:tcW w:w="7650" w:type="dxa"/>
            <w:gridSpan w:val="6"/>
            <w:vAlign w:val="center"/>
          </w:tcPr>
          <w:p>
            <w:pPr>
              <w:spacing w:after="0"/>
              <w:jc w:val="both"/>
              <w:rPr>
                <w:rFonts w:ascii="仿宋_GB2312" w:hAnsi="楷体" w:eastAsia="仿宋_GB2312" w:cs="Times New Roman"/>
                <w:sz w:val="20"/>
                <w:szCs w:val="20"/>
              </w:rPr>
            </w:pPr>
            <w:r>
              <w:rPr>
                <w:rFonts w:hint="eastAsia" w:ascii="仿宋_GB2312" w:hAnsi="楷体" w:eastAsia="仿宋_GB2312" w:cs="仿宋_GB2312"/>
                <w:color w:val="000000" w:themeColor="text1"/>
                <w:sz w:val="20"/>
                <w:szCs w:val="20"/>
              </w:rPr>
              <w:t>村社经费（2023年）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tcPr>
          <w:p>
            <w:pPr>
              <w:spacing w:before="78" w:after="0" w:line="219" w:lineRule="auto"/>
              <w:ind w:left="404"/>
              <w:jc w:val="center"/>
              <w:rPr>
                <w:rFonts w:ascii="宋体" w:hAnsi="宋体" w:eastAsia="宋体" w:cs="宋体"/>
                <w:sz w:val="17"/>
                <w:szCs w:val="17"/>
              </w:rPr>
            </w:pPr>
            <w:r>
              <w:rPr>
                <w:rFonts w:ascii="宋体" w:hAnsi="宋体" w:eastAsia="宋体" w:cs="宋体"/>
                <w:spacing w:val="4"/>
                <w:sz w:val="17"/>
                <w:szCs w:val="17"/>
              </w:rPr>
              <w:t>主管部门</w:t>
            </w:r>
          </w:p>
        </w:tc>
        <w:tc>
          <w:tcPr>
            <w:tcW w:w="4230" w:type="dxa"/>
            <w:gridSpan w:val="4"/>
            <w:vAlign w:val="center"/>
          </w:tcPr>
          <w:p>
            <w:pPr>
              <w:spacing w:after="0"/>
              <w:jc w:val="both"/>
              <w:rPr>
                <w:rFonts w:ascii="仿宋_GB2312" w:hAnsi="楷体" w:eastAsia="仿宋_GB2312" w:cs="Times New Roman"/>
                <w:sz w:val="20"/>
                <w:szCs w:val="20"/>
              </w:rPr>
            </w:pPr>
            <w:r>
              <w:rPr>
                <w:rFonts w:hint="eastAsia" w:ascii="仿宋_GB2312" w:hAnsi="楷体" w:eastAsia="仿宋_GB2312" w:cs="仿宋_GB2312"/>
                <w:color w:val="000000" w:themeColor="text1"/>
                <w:sz w:val="20"/>
                <w:szCs w:val="20"/>
              </w:rPr>
              <w:t>广元市昭化区人民政府</w:t>
            </w:r>
          </w:p>
        </w:tc>
        <w:tc>
          <w:tcPr>
            <w:tcW w:w="951" w:type="dxa"/>
          </w:tcPr>
          <w:p>
            <w:pPr>
              <w:spacing w:before="78" w:after="0" w:line="219" w:lineRule="auto"/>
              <w:jc w:val="center"/>
              <w:rPr>
                <w:rFonts w:ascii="宋体" w:hAnsi="宋体" w:eastAsia="宋体" w:cs="宋体"/>
                <w:spacing w:val="4"/>
                <w:sz w:val="17"/>
                <w:szCs w:val="17"/>
              </w:rPr>
            </w:pPr>
            <w:r>
              <w:rPr>
                <w:rFonts w:ascii="宋体" w:hAnsi="宋体" w:eastAsia="宋体" w:cs="宋体"/>
                <w:spacing w:val="4"/>
                <w:sz w:val="17"/>
                <w:szCs w:val="17"/>
              </w:rPr>
              <w:t>实施单位</w:t>
            </w:r>
          </w:p>
        </w:tc>
        <w:tc>
          <w:tcPr>
            <w:tcW w:w="2469" w:type="dxa"/>
          </w:tcPr>
          <w:p>
            <w:pPr>
              <w:spacing w:before="78" w:after="0" w:line="219" w:lineRule="auto"/>
              <w:jc w:val="center"/>
              <w:rPr>
                <w:rFonts w:ascii="宋体" w:hAnsi="宋体" w:eastAsia="宋体" w:cs="宋体"/>
                <w:spacing w:val="4"/>
                <w:sz w:val="17"/>
                <w:szCs w:val="17"/>
              </w:rPr>
            </w:pPr>
            <w:r>
              <w:rPr>
                <w:rFonts w:hint="eastAsia" w:ascii="宋体" w:hAnsi="宋体" w:eastAsia="宋体" w:cs="宋体"/>
                <w:spacing w:val="4"/>
                <w:sz w:val="17"/>
                <w:szCs w:val="17"/>
              </w:rPr>
              <w:t>王家镇人民政府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9" w:type="dxa"/>
            <w:gridSpan w:val="2"/>
            <w:vMerge w:val="restart"/>
            <w:tcBorders>
              <w:bottom w:val="nil"/>
            </w:tcBorders>
          </w:tcPr>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before="55" w:after="0" w:line="235" w:lineRule="auto"/>
              <w:ind w:left="464" w:right="197" w:hanging="389"/>
              <w:rPr>
                <w:rFonts w:ascii="宋体" w:hAnsi="宋体" w:eastAsia="宋体" w:cs="宋体"/>
                <w:sz w:val="17"/>
                <w:szCs w:val="17"/>
              </w:rPr>
            </w:pPr>
            <w:r>
              <w:rPr>
                <w:rFonts w:ascii="宋体" w:hAnsi="宋体" w:eastAsia="宋体" w:cs="宋体"/>
                <w:spacing w:val="-2"/>
                <w:sz w:val="17"/>
                <w:szCs w:val="17"/>
              </w:rPr>
              <w:t>项目(政策)资金</w:t>
            </w:r>
            <w:r>
              <w:rPr>
                <w:rFonts w:ascii="宋体" w:hAnsi="宋体" w:eastAsia="宋体" w:cs="宋体"/>
                <w:spacing w:val="5"/>
                <w:sz w:val="17"/>
                <w:szCs w:val="17"/>
              </w:rPr>
              <w:t xml:space="preserve"> </w:t>
            </w:r>
            <w:r>
              <w:rPr>
                <w:rFonts w:ascii="宋体" w:hAnsi="宋体" w:eastAsia="宋体" w:cs="宋体"/>
                <w:spacing w:val="9"/>
                <w:sz w:val="17"/>
                <w:szCs w:val="17"/>
              </w:rPr>
              <w:t>(万元)</w:t>
            </w:r>
          </w:p>
        </w:tc>
        <w:tc>
          <w:tcPr>
            <w:tcW w:w="1777" w:type="dxa"/>
            <w:gridSpan w:val="2"/>
          </w:tcPr>
          <w:p>
            <w:pPr>
              <w:spacing w:before="77" w:after="0" w:line="219" w:lineRule="auto"/>
              <w:jc w:val="center"/>
              <w:rPr>
                <w:rFonts w:ascii="宋体" w:hAnsi="宋体" w:eastAsia="宋体" w:cs="宋体"/>
                <w:spacing w:val="-2"/>
                <w:sz w:val="17"/>
                <w:szCs w:val="17"/>
              </w:rPr>
            </w:pPr>
            <w:r>
              <w:rPr>
                <w:rFonts w:hint="eastAsia" w:ascii="宋体" w:hAnsi="宋体" w:eastAsia="宋体" w:cs="宋体"/>
                <w:spacing w:val="-2"/>
                <w:sz w:val="17"/>
                <w:szCs w:val="17"/>
              </w:rPr>
              <w:t>年度预算数（万元）</w:t>
            </w:r>
          </w:p>
        </w:tc>
        <w:tc>
          <w:tcPr>
            <w:tcW w:w="1308" w:type="dxa"/>
          </w:tcPr>
          <w:p>
            <w:pPr>
              <w:spacing w:before="77" w:after="0" w:line="219" w:lineRule="auto"/>
              <w:jc w:val="center"/>
              <w:rPr>
                <w:rFonts w:ascii="宋体" w:hAnsi="宋体" w:eastAsia="宋体" w:cs="宋体"/>
                <w:spacing w:val="-2"/>
                <w:sz w:val="17"/>
                <w:szCs w:val="17"/>
              </w:rPr>
            </w:pPr>
            <w:r>
              <w:rPr>
                <w:rFonts w:ascii="宋体" w:hAnsi="宋体" w:eastAsia="宋体" w:cs="宋体"/>
                <w:spacing w:val="-2"/>
                <w:sz w:val="17"/>
                <w:szCs w:val="17"/>
              </w:rPr>
              <w:t>年初预算数</w:t>
            </w:r>
          </w:p>
        </w:tc>
        <w:tc>
          <w:tcPr>
            <w:tcW w:w="1145" w:type="dxa"/>
          </w:tcPr>
          <w:p>
            <w:pPr>
              <w:spacing w:before="98" w:after="0" w:line="219" w:lineRule="auto"/>
              <w:jc w:val="center"/>
              <w:rPr>
                <w:rFonts w:ascii="宋体" w:hAnsi="宋体" w:eastAsia="宋体" w:cs="宋体"/>
                <w:sz w:val="17"/>
                <w:szCs w:val="17"/>
              </w:rPr>
            </w:pPr>
            <w:r>
              <w:rPr>
                <w:rFonts w:ascii="宋体" w:hAnsi="宋体" w:eastAsia="宋体" w:cs="宋体"/>
                <w:spacing w:val="-2"/>
                <w:sz w:val="17"/>
                <w:szCs w:val="17"/>
              </w:rPr>
              <w:t>全年预算数</w:t>
            </w:r>
          </w:p>
        </w:tc>
        <w:tc>
          <w:tcPr>
            <w:tcW w:w="951" w:type="dxa"/>
          </w:tcPr>
          <w:p>
            <w:pPr>
              <w:spacing w:before="77" w:after="0" w:line="219" w:lineRule="auto"/>
              <w:jc w:val="center"/>
              <w:rPr>
                <w:rFonts w:ascii="宋体" w:hAnsi="宋体" w:eastAsia="宋体" w:cs="宋体"/>
                <w:sz w:val="17"/>
                <w:szCs w:val="17"/>
              </w:rPr>
            </w:pPr>
            <w:r>
              <w:rPr>
                <w:rFonts w:ascii="宋体" w:hAnsi="宋体" w:eastAsia="宋体" w:cs="宋体"/>
                <w:spacing w:val="-2"/>
                <w:sz w:val="17"/>
                <w:szCs w:val="17"/>
              </w:rPr>
              <w:t>全年执行数</w:t>
            </w:r>
          </w:p>
        </w:tc>
        <w:tc>
          <w:tcPr>
            <w:tcW w:w="2469" w:type="dxa"/>
          </w:tcPr>
          <w:p>
            <w:pPr>
              <w:spacing w:before="77" w:after="0" w:line="219" w:lineRule="auto"/>
              <w:jc w:val="center"/>
              <w:rPr>
                <w:rFonts w:ascii="宋体" w:hAnsi="宋体" w:eastAsia="宋体" w:cs="宋体"/>
                <w:sz w:val="17"/>
                <w:szCs w:val="17"/>
              </w:rPr>
            </w:pPr>
            <w:r>
              <w:rPr>
                <w:rFonts w:ascii="宋体" w:hAnsi="宋体" w:eastAsia="宋体" w:cs="宋体"/>
                <w:spacing w:val="-2"/>
                <w:sz w:val="17"/>
                <w:szCs w:val="17"/>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2"/>
          </w:tcPr>
          <w:p>
            <w:pPr>
              <w:spacing w:before="79" w:after="0" w:line="219" w:lineRule="auto"/>
              <w:ind w:left="151"/>
              <w:jc w:val="center"/>
              <w:rPr>
                <w:rFonts w:ascii="宋体" w:hAnsi="宋体" w:eastAsia="宋体" w:cs="宋体"/>
                <w:sz w:val="17"/>
                <w:szCs w:val="17"/>
              </w:rPr>
            </w:pPr>
            <w:r>
              <w:rPr>
                <w:rFonts w:ascii="宋体" w:hAnsi="宋体" w:eastAsia="宋体" w:cs="宋体"/>
                <w:spacing w:val="-2"/>
                <w:sz w:val="17"/>
                <w:szCs w:val="17"/>
              </w:rPr>
              <w:t>年度资金总额</w:t>
            </w:r>
          </w:p>
        </w:tc>
        <w:tc>
          <w:tcPr>
            <w:tcW w:w="1308"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288.03</w:t>
            </w:r>
          </w:p>
        </w:tc>
        <w:tc>
          <w:tcPr>
            <w:tcW w:w="1145" w:type="dxa"/>
            <w:vAlign w:val="center"/>
          </w:tcPr>
          <w:p>
            <w:pPr>
              <w:spacing w:after="0"/>
              <w:jc w:val="center"/>
              <w:rPr>
                <w:rFonts w:eastAsia="宋体" w:cs="Times New Roman"/>
                <w:sz w:val="20"/>
                <w:szCs w:val="20"/>
              </w:rPr>
            </w:pPr>
            <w:r>
              <w:rPr>
                <w:rFonts w:hint="eastAsia" w:ascii="楷体" w:hAnsi="楷体" w:eastAsia="楷体" w:cs="宋体"/>
                <w:spacing w:val="-2"/>
                <w:sz w:val="20"/>
                <w:szCs w:val="20"/>
              </w:rPr>
              <w:t>324.59</w:t>
            </w:r>
          </w:p>
        </w:tc>
        <w:tc>
          <w:tcPr>
            <w:tcW w:w="951" w:type="dxa"/>
            <w:vAlign w:val="center"/>
          </w:tcPr>
          <w:p>
            <w:pPr>
              <w:spacing w:after="0"/>
              <w:jc w:val="center"/>
              <w:rPr>
                <w:rFonts w:eastAsia="宋体" w:cs="Times New Roman"/>
                <w:sz w:val="20"/>
                <w:szCs w:val="20"/>
              </w:rPr>
            </w:pPr>
            <w:r>
              <w:rPr>
                <w:rFonts w:hint="eastAsia" w:ascii="楷体" w:hAnsi="楷体" w:eastAsia="楷体" w:cs="宋体"/>
                <w:spacing w:val="-2"/>
                <w:sz w:val="20"/>
                <w:szCs w:val="20"/>
              </w:rPr>
              <w:t>324.59</w:t>
            </w:r>
          </w:p>
        </w:tc>
        <w:tc>
          <w:tcPr>
            <w:tcW w:w="2469"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2"/>
          </w:tcPr>
          <w:p>
            <w:pPr>
              <w:spacing w:before="109" w:after="0" w:line="219" w:lineRule="auto"/>
              <w:ind w:left="151"/>
              <w:rPr>
                <w:rFonts w:ascii="宋体" w:hAnsi="宋体" w:eastAsia="宋体" w:cs="宋体"/>
                <w:sz w:val="17"/>
                <w:szCs w:val="17"/>
              </w:rPr>
            </w:pPr>
            <w:r>
              <w:rPr>
                <w:rFonts w:ascii="宋体" w:hAnsi="宋体" w:eastAsia="宋体" w:cs="宋体"/>
                <w:sz w:val="17"/>
                <w:szCs w:val="17"/>
              </w:rPr>
              <w:t>(一)财政拨款小计</w:t>
            </w:r>
          </w:p>
        </w:tc>
        <w:tc>
          <w:tcPr>
            <w:tcW w:w="1308"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288.03</w:t>
            </w:r>
          </w:p>
        </w:tc>
        <w:tc>
          <w:tcPr>
            <w:tcW w:w="1145" w:type="dxa"/>
            <w:vAlign w:val="center"/>
          </w:tcPr>
          <w:p>
            <w:pPr>
              <w:spacing w:after="0"/>
              <w:jc w:val="center"/>
              <w:rPr>
                <w:rFonts w:eastAsia="宋体" w:cs="Times New Roman"/>
                <w:sz w:val="20"/>
                <w:szCs w:val="20"/>
              </w:rPr>
            </w:pPr>
            <w:r>
              <w:rPr>
                <w:rFonts w:hint="eastAsia" w:ascii="楷体" w:hAnsi="楷体" w:eastAsia="楷体" w:cs="宋体"/>
                <w:spacing w:val="-2"/>
                <w:sz w:val="20"/>
                <w:szCs w:val="20"/>
              </w:rPr>
              <w:t>324.59</w:t>
            </w:r>
          </w:p>
        </w:tc>
        <w:tc>
          <w:tcPr>
            <w:tcW w:w="951" w:type="dxa"/>
            <w:vAlign w:val="center"/>
          </w:tcPr>
          <w:p>
            <w:pPr>
              <w:spacing w:after="0"/>
              <w:jc w:val="center"/>
              <w:rPr>
                <w:rFonts w:eastAsia="宋体" w:cs="Times New Roman"/>
                <w:sz w:val="20"/>
                <w:szCs w:val="20"/>
              </w:rPr>
            </w:pPr>
            <w:r>
              <w:rPr>
                <w:rFonts w:hint="eastAsia" w:ascii="楷体" w:hAnsi="楷体" w:eastAsia="楷体" w:cs="宋体"/>
                <w:spacing w:val="-2"/>
                <w:sz w:val="20"/>
                <w:szCs w:val="20"/>
              </w:rPr>
              <w:t>324.59</w:t>
            </w:r>
          </w:p>
        </w:tc>
        <w:tc>
          <w:tcPr>
            <w:tcW w:w="2469"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2"/>
          </w:tcPr>
          <w:p>
            <w:pPr>
              <w:spacing w:before="80" w:after="0" w:line="219" w:lineRule="auto"/>
              <w:ind w:left="151"/>
              <w:rPr>
                <w:rFonts w:ascii="宋体" w:hAnsi="宋体" w:eastAsia="宋体" w:cs="宋体"/>
                <w:sz w:val="17"/>
                <w:szCs w:val="17"/>
              </w:rPr>
            </w:pPr>
            <w:r>
              <w:rPr>
                <w:rFonts w:ascii="宋体" w:hAnsi="宋体" w:eastAsia="宋体" w:cs="宋体"/>
                <w:sz w:val="17"/>
                <w:szCs w:val="17"/>
              </w:rPr>
              <w:t>1.一般公共预算</w:t>
            </w:r>
          </w:p>
        </w:tc>
        <w:tc>
          <w:tcPr>
            <w:tcW w:w="1308"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288.03</w:t>
            </w:r>
          </w:p>
        </w:tc>
        <w:tc>
          <w:tcPr>
            <w:tcW w:w="1145"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324.59</w:t>
            </w:r>
          </w:p>
        </w:tc>
        <w:tc>
          <w:tcPr>
            <w:tcW w:w="951"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324.59</w:t>
            </w:r>
          </w:p>
        </w:tc>
        <w:tc>
          <w:tcPr>
            <w:tcW w:w="2469"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2"/>
          </w:tcPr>
          <w:p>
            <w:pPr>
              <w:spacing w:before="78" w:after="0" w:line="219" w:lineRule="auto"/>
              <w:ind w:left="151"/>
              <w:rPr>
                <w:rFonts w:ascii="宋体" w:hAnsi="宋体" w:eastAsia="宋体" w:cs="宋体"/>
                <w:sz w:val="17"/>
                <w:szCs w:val="17"/>
              </w:rPr>
            </w:pPr>
            <w:r>
              <w:rPr>
                <w:rFonts w:ascii="宋体" w:hAnsi="宋体" w:eastAsia="宋体" w:cs="宋体"/>
                <w:spacing w:val="-2"/>
                <w:sz w:val="17"/>
                <w:szCs w:val="17"/>
              </w:rPr>
              <w:t>2.政府性基金</w:t>
            </w:r>
          </w:p>
        </w:tc>
        <w:tc>
          <w:tcPr>
            <w:tcW w:w="1308" w:type="dxa"/>
          </w:tcPr>
          <w:p>
            <w:pPr>
              <w:spacing w:after="0"/>
              <w:rPr>
                <w:rFonts w:ascii="楷体" w:hAnsi="楷体" w:eastAsia="楷体" w:cs="Times New Roman"/>
                <w:sz w:val="20"/>
                <w:szCs w:val="20"/>
              </w:rPr>
            </w:pPr>
          </w:p>
        </w:tc>
        <w:tc>
          <w:tcPr>
            <w:tcW w:w="1145" w:type="dxa"/>
          </w:tcPr>
          <w:p>
            <w:pPr>
              <w:spacing w:after="0"/>
              <w:rPr>
                <w:rFonts w:ascii="楷体" w:hAnsi="楷体" w:eastAsia="楷体" w:cs="Times New Roman"/>
                <w:sz w:val="20"/>
                <w:szCs w:val="20"/>
              </w:rPr>
            </w:pPr>
          </w:p>
        </w:tc>
        <w:tc>
          <w:tcPr>
            <w:tcW w:w="951" w:type="dxa"/>
          </w:tcPr>
          <w:p>
            <w:pPr>
              <w:spacing w:after="0"/>
              <w:rPr>
                <w:rFonts w:ascii="楷体" w:hAnsi="楷体" w:eastAsia="楷体" w:cs="Times New Roman"/>
                <w:sz w:val="20"/>
                <w:szCs w:val="20"/>
              </w:rPr>
            </w:pPr>
          </w:p>
        </w:tc>
        <w:tc>
          <w:tcPr>
            <w:tcW w:w="2469" w:type="dxa"/>
          </w:tcPr>
          <w:p>
            <w:pPr>
              <w:spacing w:after="0"/>
              <w:rPr>
                <w:rFonts w:ascii="楷体" w:hAnsi="楷体" w:eastAsia="楷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2"/>
          </w:tcPr>
          <w:p>
            <w:pPr>
              <w:spacing w:before="119" w:after="0" w:line="219" w:lineRule="auto"/>
              <w:ind w:left="151"/>
              <w:rPr>
                <w:rFonts w:ascii="宋体" w:hAnsi="宋体" w:eastAsia="宋体" w:cs="宋体"/>
                <w:sz w:val="17"/>
                <w:szCs w:val="17"/>
              </w:rPr>
            </w:pPr>
            <w:r>
              <w:rPr>
                <w:rFonts w:ascii="宋体" w:hAnsi="宋体" w:eastAsia="宋体" w:cs="宋体"/>
                <w:spacing w:val="-1"/>
                <w:sz w:val="17"/>
                <w:szCs w:val="17"/>
              </w:rPr>
              <w:t>3.国有资本经营预算</w:t>
            </w:r>
          </w:p>
        </w:tc>
        <w:tc>
          <w:tcPr>
            <w:tcW w:w="1308" w:type="dxa"/>
          </w:tcPr>
          <w:p>
            <w:pPr>
              <w:spacing w:after="0"/>
              <w:rPr>
                <w:rFonts w:eastAsia="宋体" w:cs="Times New Roman"/>
                <w:sz w:val="20"/>
                <w:szCs w:val="20"/>
              </w:rPr>
            </w:pPr>
          </w:p>
        </w:tc>
        <w:tc>
          <w:tcPr>
            <w:tcW w:w="1145" w:type="dxa"/>
          </w:tcPr>
          <w:p>
            <w:pPr>
              <w:spacing w:after="0"/>
              <w:rPr>
                <w:rFonts w:eastAsia="宋体" w:cs="Times New Roman"/>
                <w:sz w:val="20"/>
                <w:szCs w:val="20"/>
              </w:rPr>
            </w:pPr>
          </w:p>
        </w:tc>
        <w:tc>
          <w:tcPr>
            <w:tcW w:w="951" w:type="dxa"/>
          </w:tcPr>
          <w:p>
            <w:pPr>
              <w:spacing w:after="0"/>
              <w:rPr>
                <w:rFonts w:eastAsia="宋体" w:cs="Times New Roman"/>
                <w:sz w:val="20"/>
                <w:szCs w:val="20"/>
              </w:rPr>
            </w:pPr>
          </w:p>
        </w:tc>
        <w:tc>
          <w:tcPr>
            <w:tcW w:w="2469" w:type="dxa"/>
          </w:tcPr>
          <w:p>
            <w:pPr>
              <w:spacing w:after="0"/>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49" w:type="dxa"/>
            <w:gridSpan w:val="2"/>
            <w:vMerge w:val="continue"/>
            <w:tcBorders>
              <w:top w:val="nil"/>
            </w:tcBorders>
          </w:tcPr>
          <w:p>
            <w:pPr>
              <w:spacing w:after="0"/>
              <w:rPr>
                <w:rFonts w:eastAsia="宋体" w:cs="Times New Roman"/>
                <w:sz w:val="20"/>
                <w:szCs w:val="20"/>
              </w:rPr>
            </w:pPr>
          </w:p>
        </w:tc>
        <w:tc>
          <w:tcPr>
            <w:tcW w:w="1777" w:type="dxa"/>
            <w:gridSpan w:val="2"/>
          </w:tcPr>
          <w:p>
            <w:pPr>
              <w:spacing w:before="112" w:after="0" w:line="220" w:lineRule="auto"/>
              <w:ind w:left="151"/>
              <w:rPr>
                <w:rFonts w:ascii="宋体" w:hAnsi="宋体" w:eastAsia="宋体" w:cs="宋体"/>
                <w:sz w:val="17"/>
                <w:szCs w:val="17"/>
              </w:rPr>
            </w:pPr>
            <w:r>
              <w:rPr>
                <w:rFonts w:ascii="宋体" w:hAnsi="宋体" w:eastAsia="宋体" w:cs="宋体"/>
                <w:spacing w:val="1"/>
                <w:sz w:val="17"/>
                <w:szCs w:val="17"/>
              </w:rPr>
              <w:t>(二)其他资金</w:t>
            </w:r>
          </w:p>
        </w:tc>
        <w:tc>
          <w:tcPr>
            <w:tcW w:w="1308" w:type="dxa"/>
          </w:tcPr>
          <w:p>
            <w:pPr>
              <w:spacing w:after="0"/>
              <w:rPr>
                <w:rFonts w:eastAsia="宋体" w:cs="Times New Roman"/>
                <w:sz w:val="20"/>
                <w:szCs w:val="20"/>
              </w:rPr>
            </w:pPr>
          </w:p>
        </w:tc>
        <w:tc>
          <w:tcPr>
            <w:tcW w:w="1145" w:type="dxa"/>
          </w:tcPr>
          <w:p>
            <w:pPr>
              <w:spacing w:after="0"/>
              <w:rPr>
                <w:rFonts w:eastAsia="宋体" w:cs="Times New Roman"/>
                <w:sz w:val="20"/>
                <w:szCs w:val="20"/>
              </w:rPr>
            </w:pPr>
          </w:p>
        </w:tc>
        <w:tc>
          <w:tcPr>
            <w:tcW w:w="951" w:type="dxa"/>
          </w:tcPr>
          <w:p>
            <w:pPr>
              <w:spacing w:after="0"/>
              <w:rPr>
                <w:rFonts w:eastAsia="宋体" w:cs="Times New Roman"/>
                <w:sz w:val="20"/>
                <w:szCs w:val="20"/>
              </w:rPr>
            </w:pPr>
          </w:p>
        </w:tc>
        <w:tc>
          <w:tcPr>
            <w:tcW w:w="2469" w:type="dxa"/>
          </w:tcPr>
          <w:p>
            <w:pPr>
              <w:spacing w:after="0"/>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7" w:type="dxa"/>
            <w:vMerge w:val="restart"/>
            <w:tcBorders>
              <w:bottom w:val="nil"/>
            </w:tcBorders>
          </w:tcPr>
          <w:p>
            <w:pPr>
              <w:spacing w:after="0" w:line="385" w:lineRule="auto"/>
              <w:rPr>
                <w:rFonts w:ascii="宋体" w:hAnsi="宋体" w:eastAsia="宋体" w:cs="Times New Roman"/>
                <w:sz w:val="18"/>
                <w:szCs w:val="18"/>
              </w:rPr>
            </w:pPr>
          </w:p>
          <w:p>
            <w:pPr>
              <w:spacing w:before="55" w:after="0" w:line="219" w:lineRule="auto"/>
              <w:ind w:left="194" w:right="2" w:hanging="139"/>
              <w:rPr>
                <w:rFonts w:hint="eastAsia" w:ascii="宋体" w:hAnsi="宋体" w:eastAsia="宋体" w:cs="宋体"/>
                <w:spacing w:val="-11"/>
                <w:sz w:val="18"/>
                <w:szCs w:val="18"/>
              </w:rPr>
            </w:pPr>
          </w:p>
          <w:p>
            <w:pPr>
              <w:spacing w:before="55" w:after="0" w:line="219" w:lineRule="auto"/>
              <w:ind w:left="194" w:right="2" w:hanging="139"/>
              <w:rPr>
                <w:rFonts w:hint="eastAsia" w:ascii="宋体" w:hAnsi="宋体" w:eastAsia="宋体" w:cs="宋体"/>
                <w:spacing w:val="-11"/>
                <w:sz w:val="18"/>
                <w:szCs w:val="18"/>
              </w:rPr>
            </w:pPr>
          </w:p>
          <w:p>
            <w:pPr>
              <w:spacing w:before="55" w:after="0" w:line="219" w:lineRule="auto"/>
              <w:ind w:left="194" w:right="2" w:hanging="139"/>
              <w:rPr>
                <w:rFonts w:ascii="宋体" w:hAnsi="宋体" w:eastAsia="宋体" w:cs="宋体"/>
                <w:spacing w:val="-11"/>
                <w:sz w:val="18"/>
                <w:szCs w:val="18"/>
              </w:rPr>
            </w:pPr>
            <w:r>
              <w:rPr>
                <w:rFonts w:ascii="宋体" w:hAnsi="宋体" w:eastAsia="宋体" w:cs="宋体"/>
                <w:spacing w:val="-11"/>
                <w:sz w:val="18"/>
                <w:szCs w:val="18"/>
              </w:rPr>
              <w:t>年度总</w:t>
            </w:r>
          </w:p>
          <w:p>
            <w:pPr>
              <w:spacing w:before="55" w:after="0" w:line="219" w:lineRule="auto"/>
              <w:ind w:left="194" w:right="2" w:hanging="139"/>
              <w:rPr>
                <w:rFonts w:ascii="宋体" w:hAnsi="宋体" w:eastAsia="宋体" w:cs="宋体"/>
                <w:sz w:val="18"/>
                <w:szCs w:val="18"/>
              </w:rPr>
            </w:pPr>
            <w:r>
              <w:rPr>
                <w:rFonts w:ascii="宋体" w:hAnsi="宋体" w:eastAsia="宋体" w:cs="宋体"/>
                <w:spacing w:val="-11"/>
                <w:sz w:val="18"/>
                <w:szCs w:val="18"/>
              </w:rPr>
              <w:t>体</w:t>
            </w:r>
            <w:r>
              <w:rPr>
                <w:rFonts w:ascii="宋体" w:hAnsi="宋体" w:eastAsia="宋体" w:cs="宋体"/>
                <w:spacing w:val="6"/>
                <w:sz w:val="18"/>
                <w:szCs w:val="18"/>
              </w:rPr>
              <w:t>目标</w:t>
            </w:r>
          </w:p>
        </w:tc>
        <w:tc>
          <w:tcPr>
            <w:tcW w:w="5933" w:type="dxa"/>
            <w:gridSpan w:val="6"/>
          </w:tcPr>
          <w:p>
            <w:pPr>
              <w:spacing w:before="183" w:after="0" w:line="220" w:lineRule="auto"/>
              <w:jc w:val="center"/>
              <w:rPr>
                <w:rFonts w:ascii="宋体" w:hAnsi="宋体" w:eastAsia="宋体" w:cs="宋体"/>
                <w:sz w:val="18"/>
                <w:szCs w:val="18"/>
              </w:rPr>
            </w:pPr>
            <w:r>
              <w:rPr>
                <w:rFonts w:ascii="宋体" w:hAnsi="宋体" w:eastAsia="宋体" w:cs="宋体"/>
                <w:spacing w:val="-2"/>
                <w:sz w:val="18"/>
                <w:szCs w:val="18"/>
              </w:rPr>
              <w:t>预期目标</w:t>
            </w:r>
          </w:p>
        </w:tc>
        <w:tc>
          <w:tcPr>
            <w:tcW w:w="2469" w:type="dxa"/>
          </w:tcPr>
          <w:p>
            <w:pPr>
              <w:spacing w:before="183" w:after="0" w:line="220" w:lineRule="auto"/>
              <w:jc w:val="center"/>
              <w:rPr>
                <w:rFonts w:ascii="宋体" w:hAnsi="宋体" w:eastAsia="宋体" w:cs="宋体"/>
                <w:spacing w:val="-2"/>
                <w:sz w:val="18"/>
                <w:szCs w:val="18"/>
              </w:rPr>
            </w:pPr>
            <w:r>
              <w:rPr>
                <w:rFonts w:hint="eastAsia" w:ascii="宋体" w:hAnsi="宋体" w:eastAsia="宋体" w:cs="宋体"/>
                <w:spacing w:val="-2"/>
                <w:sz w:val="18"/>
                <w:szCs w:val="18"/>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697" w:type="dxa"/>
            <w:vMerge w:val="continue"/>
            <w:tcBorders>
              <w:top w:val="nil"/>
            </w:tcBorders>
          </w:tcPr>
          <w:p>
            <w:pPr>
              <w:spacing w:after="0"/>
              <w:rPr>
                <w:rFonts w:ascii="宋体" w:hAnsi="宋体" w:eastAsia="宋体" w:cs="Times New Roman"/>
                <w:sz w:val="18"/>
                <w:szCs w:val="18"/>
              </w:rPr>
            </w:pPr>
          </w:p>
        </w:tc>
        <w:tc>
          <w:tcPr>
            <w:tcW w:w="5933" w:type="dxa"/>
            <w:gridSpan w:val="6"/>
          </w:tcPr>
          <w:p>
            <w:pPr>
              <w:spacing w:after="0"/>
              <w:ind w:firstLine="360" w:firstLineChars="200"/>
              <w:rPr>
                <w:rFonts w:ascii="楷体" w:hAnsi="楷体" w:eastAsia="楷体" w:cs="Times New Roman"/>
                <w:sz w:val="18"/>
                <w:szCs w:val="18"/>
              </w:rPr>
            </w:pPr>
            <w:r>
              <w:rPr>
                <w:rFonts w:hint="eastAsia" w:ascii="楷体" w:hAnsi="楷体" w:eastAsia="楷体" w:cs="宋体"/>
                <w:sz w:val="18"/>
                <w:szCs w:val="18"/>
              </w:rPr>
              <w:t>为保障村（社区）正常运转，村社干部报酬及时发放，提升基层工作质量，体现党组织对基层干部的关心关爱。</w:t>
            </w:r>
            <w:r>
              <w:rPr>
                <w:rFonts w:ascii="楷体" w:hAnsi="楷体" w:eastAsia="楷体" w:cs="宋体"/>
                <w:sz w:val="18"/>
                <w:szCs w:val="18"/>
              </w:rPr>
              <w:t>2023</w:t>
            </w:r>
            <w:r>
              <w:rPr>
                <w:rFonts w:hint="eastAsia" w:ascii="楷体" w:hAnsi="楷体" w:eastAsia="楷体" w:cs="宋体"/>
                <w:sz w:val="18"/>
                <w:szCs w:val="18"/>
              </w:rPr>
              <w:t>年完成以下项目目标任务</w:t>
            </w:r>
            <w:r>
              <w:rPr>
                <w:rFonts w:ascii="楷体" w:hAnsi="楷体" w:eastAsia="楷体" w:cs="宋体"/>
                <w:sz w:val="18"/>
                <w:szCs w:val="18"/>
              </w:rPr>
              <w:t>:</w:t>
            </w:r>
            <w:r>
              <w:rPr>
                <w:rFonts w:hint="eastAsia" w:ascii="楷体" w:hAnsi="楷体" w:eastAsia="楷体" w:cs="宋体"/>
                <w:sz w:val="18"/>
                <w:szCs w:val="18"/>
              </w:rPr>
              <w:t>一、村办公经费：保障</w:t>
            </w:r>
            <w:r>
              <w:rPr>
                <w:rFonts w:ascii="楷体" w:hAnsi="楷体" w:eastAsia="楷体" w:cs="宋体"/>
                <w:sz w:val="18"/>
                <w:szCs w:val="18"/>
              </w:rPr>
              <w:t>11</w:t>
            </w:r>
            <w:r>
              <w:rPr>
                <w:rFonts w:hint="eastAsia" w:ascii="楷体" w:hAnsi="楷体" w:eastAsia="楷体" w:cs="宋体"/>
                <w:sz w:val="18"/>
                <w:szCs w:val="18"/>
              </w:rPr>
              <w:t>个村</w:t>
            </w:r>
            <w:r>
              <w:rPr>
                <w:rFonts w:ascii="楷体" w:hAnsi="楷体" w:eastAsia="楷体" w:cs="宋体"/>
                <w:sz w:val="18"/>
                <w:szCs w:val="18"/>
              </w:rPr>
              <w:t>1</w:t>
            </w:r>
            <w:r>
              <w:rPr>
                <w:rFonts w:hint="eastAsia" w:ascii="楷体" w:hAnsi="楷体" w:eastAsia="楷体" w:cs="宋体"/>
                <w:sz w:val="18"/>
                <w:szCs w:val="18"/>
              </w:rPr>
              <w:t>个（社区）日常运转，维持其购买办公用品，报刊订阅费，完成全年广告、印刷、差旅费及工作经费的支出；二、村社区干部报酬：完成村社区、组社干部</w:t>
            </w:r>
            <w:r>
              <w:rPr>
                <w:rFonts w:ascii="楷体" w:hAnsi="楷体" w:eastAsia="楷体" w:cs="宋体"/>
                <w:sz w:val="18"/>
                <w:szCs w:val="18"/>
              </w:rPr>
              <w:t>132</w:t>
            </w:r>
            <w:r>
              <w:rPr>
                <w:rFonts w:hint="eastAsia" w:ascii="楷体" w:hAnsi="楷体" w:eastAsia="楷体" w:cs="宋体"/>
                <w:sz w:val="18"/>
                <w:szCs w:val="18"/>
              </w:rPr>
              <w:t>人工资保障，维持基层工作运转力；三、村（社区）干部保险费缴纳：保障村社干部基本权益，增加满意度。</w:t>
            </w:r>
          </w:p>
        </w:tc>
        <w:tc>
          <w:tcPr>
            <w:tcW w:w="2469" w:type="dxa"/>
          </w:tcPr>
          <w:p>
            <w:pPr>
              <w:spacing w:after="0"/>
              <w:ind w:firstLine="360" w:firstLineChars="200"/>
              <w:rPr>
                <w:rFonts w:ascii="楷体" w:hAnsi="楷体" w:eastAsia="楷体" w:cs="Times New Roman"/>
                <w:sz w:val="18"/>
                <w:szCs w:val="18"/>
              </w:rPr>
            </w:pPr>
            <w:r>
              <w:rPr>
                <w:rFonts w:hint="eastAsia" w:ascii="楷体" w:hAnsi="楷体" w:eastAsia="楷体" w:cs="宋体"/>
                <w:sz w:val="18"/>
                <w:szCs w:val="18"/>
              </w:rPr>
              <w:t>保障</w:t>
            </w:r>
            <w:r>
              <w:rPr>
                <w:rFonts w:ascii="楷体" w:hAnsi="楷体" w:eastAsia="楷体" w:cs="宋体"/>
                <w:sz w:val="18"/>
                <w:szCs w:val="18"/>
              </w:rPr>
              <w:t>11</w:t>
            </w:r>
            <w:r>
              <w:rPr>
                <w:rFonts w:hint="eastAsia" w:ascii="楷体" w:hAnsi="楷体" w:eastAsia="楷体" w:cs="宋体"/>
                <w:sz w:val="18"/>
                <w:szCs w:val="18"/>
              </w:rPr>
              <w:t>个村</w:t>
            </w:r>
            <w:r>
              <w:rPr>
                <w:rFonts w:ascii="楷体" w:hAnsi="楷体" w:eastAsia="楷体" w:cs="宋体"/>
                <w:sz w:val="18"/>
                <w:szCs w:val="18"/>
              </w:rPr>
              <w:t>1</w:t>
            </w:r>
            <w:r>
              <w:rPr>
                <w:rFonts w:hint="eastAsia" w:ascii="楷体" w:hAnsi="楷体" w:eastAsia="楷体" w:cs="宋体"/>
                <w:sz w:val="18"/>
                <w:szCs w:val="18"/>
              </w:rPr>
              <w:t>个（社区）日常运转，维持其购买办公用品，报刊订阅费，完成全年广告、印刷、差旅费及工作经费的支出，完成村社区、组社干部</w:t>
            </w:r>
            <w:r>
              <w:rPr>
                <w:rFonts w:ascii="楷体" w:hAnsi="楷体" w:eastAsia="楷体" w:cs="宋体"/>
                <w:sz w:val="18"/>
                <w:szCs w:val="18"/>
              </w:rPr>
              <w:t>132</w:t>
            </w:r>
            <w:r>
              <w:rPr>
                <w:rFonts w:hint="eastAsia" w:ascii="楷体" w:hAnsi="楷体" w:eastAsia="楷体" w:cs="宋体"/>
                <w:sz w:val="18"/>
                <w:szCs w:val="18"/>
              </w:rPr>
              <w:t>人工资保障，维持基层工作运转力，按时缴纳保险增加村组干部满意度。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97" w:type="dxa"/>
            <w:vMerge w:val="restart"/>
          </w:tcPr>
          <w:p>
            <w:pPr>
              <w:spacing w:after="0" w:line="253" w:lineRule="auto"/>
              <w:jc w:val="center"/>
              <w:rPr>
                <w:rFonts w:ascii="宋体" w:hAnsi="宋体" w:eastAsia="宋体" w:cs="Times New Roman"/>
                <w:sz w:val="18"/>
                <w:szCs w:val="18"/>
              </w:rPr>
            </w:pPr>
          </w:p>
          <w:p>
            <w:pPr>
              <w:spacing w:after="0" w:line="253" w:lineRule="auto"/>
              <w:jc w:val="center"/>
              <w:rPr>
                <w:rFonts w:ascii="宋体" w:hAnsi="宋体" w:eastAsia="宋体" w:cs="Times New Roman"/>
                <w:sz w:val="18"/>
                <w:szCs w:val="18"/>
              </w:rPr>
            </w:pPr>
          </w:p>
          <w:p>
            <w:pPr>
              <w:spacing w:after="0" w:line="253"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hint="eastAsia"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before="56" w:after="0" w:line="220" w:lineRule="auto"/>
              <w:ind w:left="55"/>
              <w:jc w:val="center"/>
              <w:rPr>
                <w:rFonts w:ascii="宋体" w:hAnsi="宋体" w:eastAsia="宋体" w:cs="宋体"/>
                <w:spacing w:val="-11"/>
                <w:sz w:val="18"/>
                <w:szCs w:val="18"/>
              </w:rPr>
            </w:pPr>
            <w:r>
              <w:rPr>
                <w:rFonts w:ascii="宋体" w:hAnsi="宋体" w:eastAsia="宋体" w:cs="宋体"/>
                <w:spacing w:val="-11"/>
                <w:sz w:val="18"/>
                <w:szCs w:val="18"/>
              </w:rPr>
              <w:t>绩效</w:t>
            </w:r>
          </w:p>
          <w:p>
            <w:pPr>
              <w:spacing w:before="56" w:after="0" w:line="220" w:lineRule="auto"/>
              <w:ind w:left="55"/>
              <w:jc w:val="center"/>
              <w:rPr>
                <w:rFonts w:ascii="宋体" w:hAnsi="宋体" w:eastAsia="宋体" w:cs="宋体"/>
                <w:sz w:val="18"/>
                <w:szCs w:val="18"/>
              </w:rPr>
            </w:pPr>
            <w:r>
              <w:rPr>
                <w:rFonts w:ascii="宋体" w:hAnsi="宋体" w:eastAsia="宋体" w:cs="宋体"/>
                <w:spacing w:val="-11"/>
                <w:sz w:val="18"/>
                <w:szCs w:val="18"/>
              </w:rPr>
              <w:t>指标</w:t>
            </w:r>
          </w:p>
        </w:tc>
        <w:tc>
          <w:tcPr>
            <w:tcW w:w="752" w:type="dxa"/>
            <w:tcBorders>
              <w:bottom w:val="single" w:color="auto" w:sz="4" w:space="0"/>
            </w:tcBorders>
          </w:tcPr>
          <w:p>
            <w:pPr>
              <w:spacing w:before="155" w:after="0" w:line="220" w:lineRule="auto"/>
              <w:ind w:left="40"/>
              <w:jc w:val="center"/>
              <w:rPr>
                <w:rFonts w:ascii="宋体" w:hAnsi="宋体" w:eastAsia="宋体" w:cs="宋体"/>
                <w:sz w:val="18"/>
                <w:szCs w:val="18"/>
              </w:rPr>
            </w:pPr>
            <w:r>
              <w:rPr>
                <w:rFonts w:ascii="宋体" w:hAnsi="宋体" w:eastAsia="宋体" w:cs="宋体"/>
                <w:spacing w:val="-2"/>
                <w:sz w:val="18"/>
                <w:szCs w:val="18"/>
              </w:rPr>
              <w:t>一级指标</w:t>
            </w:r>
          </w:p>
        </w:tc>
        <w:tc>
          <w:tcPr>
            <w:tcW w:w="1103" w:type="dxa"/>
          </w:tcPr>
          <w:p>
            <w:pPr>
              <w:spacing w:before="155" w:after="0" w:line="220" w:lineRule="auto"/>
              <w:jc w:val="center"/>
              <w:rPr>
                <w:rFonts w:ascii="宋体" w:hAnsi="宋体" w:eastAsia="宋体" w:cs="宋体"/>
                <w:sz w:val="18"/>
                <w:szCs w:val="18"/>
              </w:rPr>
            </w:pPr>
            <w:r>
              <w:rPr>
                <w:rFonts w:ascii="宋体" w:hAnsi="宋体" w:eastAsia="宋体" w:cs="宋体"/>
                <w:spacing w:val="-2"/>
                <w:sz w:val="18"/>
                <w:szCs w:val="18"/>
              </w:rPr>
              <w:t>二级指标</w:t>
            </w:r>
          </w:p>
        </w:tc>
        <w:tc>
          <w:tcPr>
            <w:tcW w:w="1982" w:type="dxa"/>
            <w:gridSpan w:val="2"/>
          </w:tcPr>
          <w:p>
            <w:pPr>
              <w:spacing w:before="155" w:after="0" w:line="220" w:lineRule="auto"/>
              <w:jc w:val="center"/>
              <w:rPr>
                <w:rFonts w:ascii="宋体" w:hAnsi="宋体" w:eastAsia="宋体" w:cs="宋体"/>
                <w:sz w:val="18"/>
                <w:szCs w:val="18"/>
              </w:rPr>
            </w:pPr>
            <w:r>
              <w:rPr>
                <w:rFonts w:ascii="宋体" w:hAnsi="宋体" w:eastAsia="宋体" w:cs="宋体"/>
                <w:spacing w:val="-2"/>
                <w:sz w:val="18"/>
                <w:szCs w:val="18"/>
              </w:rPr>
              <w:t>三级指标</w:t>
            </w:r>
          </w:p>
        </w:tc>
        <w:tc>
          <w:tcPr>
            <w:tcW w:w="1145" w:type="dxa"/>
          </w:tcPr>
          <w:p>
            <w:pPr>
              <w:spacing w:before="155" w:after="0" w:line="219" w:lineRule="auto"/>
              <w:jc w:val="center"/>
              <w:rPr>
                <w:rFonts w:ascii="宋体" w:hAnsi="宋体" w:eastAsia="宋体" w:cs="宋体"/>
                <w:sz w:val="18"/>
                <w:szCs w:val="18"/>
              </w:rPr>
            </w:pPr>
            <w:r>
              <w:rPr>
                <w:rFonts w:ascii="宋体" w:hAnsi="宋体" w:eastAsia="宋体" w:cs="宋体"/>
                <w:spacing w:val="-2"/>
                <w:sz w:val="18"/>
                <w:szCs w:val="18"/>
              </w:rPr>
              <w:t>年度指标值</w:t>
            </w:r>
          </w:p>
        </w:tc>
        <w:tc>
          <w:tcPr>
            <w:tcW w:w="951" w:type="dxa"/>
          </w:tcPr>
          <w:p>
            <w:pPr>
              <w:spacing w:before="155" w:after="0" w:line="219" w:lineRule="auto"/>
              <w:jc w:val="center"/>
              <w:rPr>
                <w:rFonts w:ascii="宋体" w:hAnsi="宋体" w:eastAsia="宋体" w:cs="宋体"/>
                <w:sz w:val="18"/>
                <w:szCs w:val="18"/>
              </w:rPr>
            </w:pPr>
            <w:r>
              <w:rPr>
                <w:rFonts w:ascii="宋体" w:hAnsi="宋体" w:eastAsia="宋体" w:cs="宋体"/>
                <w:spacing w:val="-2"/>
                <w:sz w:val="18"/>
                <w:szCs w:val="18"/>
              </w:rPr>
              <w:t>实际完成值</w:t>
            </w:r>
          </w:p>
        </w:tc>
        <w:tc>
          <w:tcPr>
            <w:tcW w:w="2469" w:type="dxa"/>
          </w:tcPr>
          <w:p>
            <w:pPr>
              <w:spacing w:before="75" w:after="0" w:line="227" w:lineRule="auto"/>
              <w:jc w:val="center"/>
              <w:rPr>
                <w:rFonts w:ascii="宋体" w:hAnsi="宋体" w:eastAsia="宋体" w:cs="宋体"/>
                <w:sz w:val="18"/>
                <w:szCs w:val="18"/>
              </w:rPr>
            </w:pPr>
            <w:r>
              <w:rPr>
                <w:rFonts w:ascii="宋体" w:hAnsi="宋体" w:eastAsia="宋体" w:cs="宋体"/>
                <w:sz w:val="18"/>
                <w:szCs w:val="18"/>
              </w:rPr>
              <w:t>偏差原因分析及</w:t>
            </w:r>
            <w:r>
              <w:rPr>
                <w:rFonts w:ascii="宋体" w:hAnsi="宋体" w:eastAsia="宋体" w:cs="宋体"/>
                <w:spacing w:val="11"/>
                <w:sz w:val="18"/>
                <w:szCs w:val="18"/>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752" w:type="dxa"/>
            <w:vMerge w:val="restart"/>
            <w:tcBorders>
              <w:top w:val="single" w:color="auto" w:sz="4" w:space="0"/>
              <w:left w:val="single" w:color="auto" w:sz="4" w:space="0"/>
              <w:right w:val="single" w:color="auto" w:sz="4" w:space="0"/>
            </w:tcBorders>
            <w:vAlign w:val="center"/>
          </w:tcPr>
          <w:p>
            <w:pPr>
              <w:spacing w:before="56" w:after="0" w:line="219" w:lineRule="auto"/>
              <w:jc w:val="center"/>
              <w:rPr>
                <w:rFonts w:ascii="宋体" w:hAnsi="宋体" w:eastAsia="宋体" w:cs="宋体"/>
                <w:sz w:val="18"/>
                <w:szCs w:val="18"/>
              </w:rPr>
            </w:pPr>
            <w:r>
              <w:rPr>
                <w:rFonts w:ascii="宋体" w:hAnsi="宋体" w:eastAsia="宋体" w:cs="宋体"/>
                <w:spacing w:val="-2"/>
                <w:sz w:val="18"/>
                <w:szCs w:val="18"/>
              </w:rPr>
              <w:t>产出指标</w:t>
            </w:r>
          </w:p>
        </w:tc>
        <w:tc>
          <w:tcPr>
            <w:tcW w:w="1103"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数量指标</w:t>
            </w:r>
          </w:p>
        </w:tc>
        <w:tc>
          <w:tcPr>
            <w:tcW w:w="1982" w:type="dxa"/>
            <w:gridSpan w:val="2"/>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村社干部报酬保障人数</w:t>
            </w:r>
          </w:p>
        </w:tc>
        <w:tc>
          <w:tcPr>
            <w:tcW w:w="1145"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＝132人</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132人</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752" w:type="dxa"/>
            <w:vMerge w:val="continue"/>
            <w:tcBorders>
              <w:left w:val="single" w:color="auto" w:sz="4" w:space="0"/>
              <w:right w:val="single" w:color="auto" w:sz="4" w:space="0"/>
            </w:tcBorders>
            <w:vAlign w:val="center"/>
          </w:tcPr>
          <w:p>
            <w:pPr>
              <w:spacing w:after="0"/>
              <w:jc w:val="center"/>
              <w:rPr>
                <w:rFonts w:ascii="宋体" w:hAnsi="宋体" w:eastAsia="宋体" w:cs="Times New Roman"/>
                <w:sz w:val="18"/>
                <w:szCs w:val="18"/>
              </w:rPr>
            </w:pPr>
          </w:p>
        </w:tc>
        <w:tc>
          <w:tcPr>
            <w:tcW w:w="1103" w:type="dxa"/>
            <w:tcBorders>
              <w:left w:val="single" w:color="auto" w:sz="4" w:space="0"/>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质量指标</w:t>
            </w:r>
          </w:p>
        </w:tc>
        <w:tc>
          <w:tcPr>
            <w:tcW w:w="1982" w:type="dxa"/>
            <w:gridSpan w:val="2"/>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保障村（社区）日常运转率</w:t>
            </w:r>
          </w:p>
        </w:tc>
        <w:tc>
          <w:tcPr>
            <w:tcW w:w="1145"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≥96%</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97%</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752" w:type="dxa"/>
            <w:vMerge w:val="continue"/>
            <w:tcBorders>
              <w:left w:val="single" w:color="auto" w:sz="4" w:space="0"/>
              <w:right w:val="single" w:color="auto" w:sz="4" w:space="0"/>
            </w:tcBorders>
            <w:vAlign w:val="center"/>
          </w:tcPr>
          <w:p>
            <w:pPr>
              <w:spacing w:after="0"/>
              <w:jc w:val="center"/>
              <w:rPr>
                <w:rFonts w:ascii="宋体" w:hAnsi="宋体" w:eastAsia="宋体" w:cs="Times New Roman"/>
                <w:sz w:val="18"/>
                <w:szCs w:val="18"/>
              </w:rPr>
            </w:pPr>
          </w:p>
        </w:tc>
        <w:tc>
          <w:tcPr>
            <w:tcW w:w="1103" w:type="dxa"/>
            <w:tcBorders>
              <w:left w:val="single" w:color="auto" w:sz="4" w:space="0"/>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数量指标</w:t>
            </w:r>
          </w:p>
        </w:tc>
        <w:tc>
          <w:tcPr>
            <w:tcW w:w="1982" w:type="dxa"/>
            <w:gridSpan w:val="2"/>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日常运转村（社）数量</w:t>
            </w:r>
          </w:p>
        </w:tc>
        <w:tc>
          <w:tcPr>
            <w:tcW w:w="1145"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＝12个</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12个</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752" w:type="dxa"/>
            <w:vMerge w:val="continue"/>
            <w:tcBorders>
              <w:left w:val="single" w:color="auto" w:sz="4" w:space="0"/>
              <w:right w:val="single" w:color="auto" w:sz="4" w:space="0"/>
            </w:tcBorders>
            <w:vAlign w:val="center"/>
          </w:tcPr>
          <w:p>
            <w:pPr>
              <w:spacing w:after="0"/>
              <w:jc w:val="center"/>
              <w:rPr>
                <w:rFonts w:ascii="宋体" w:hAnsi="宋体" w:eastAsia="宋体" w:cs="Times New Roman"/>
                <w:sz w:val="18"/>
                <w:szCs w:val="18"/>
              </w:rPr>
            </w:pPr>
          </w:p>
        </w:tc>
        <w:tc>
          <w:tcPr>
            <w:tcW w:w="1103" w:type="dxa"/>
            <w:tcBorders>
              <w:left w:val="single" w:color="auto" w:sz="4" w:space="0"/>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时效指标</w:t>
            </w:r>
          </w:p>
        </w:tc>
        <w:tc>
          <w:tcPr>
            <w:tcW w:w="1982" w:type="dxa"/>
            <w:gridSpan w:val="2"/>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干部补助发放及保险缴纳及时率</w:t>
            </w:r>
          </w:p>
        </w:tc>
        <w:tc>
          <w:tcPr>
            <w:tcW w:w="1145"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≥96%</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96%</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752" w:type="dxa"/>
            <w:tcBorders>
              <w:top w:val="single" w:color="auto" w:sz="4" w:space="0"/>
              <w:left w:val="single" w:color="auto" w:sz="4" w:space="0"/>
              <w:right w:val="single" w:color="auto" w:sz="4" w:space="0"/>
            </w:tcBorders>
            <w:vAlign w:val="center"/>
          </w:tcPr>
          <w:p>
            <w:pPr>
              <w:spacing w:after="0"/>
              <w:jc w:val="center"/>
              <w:rPr>
                <w:rFonts w:ascii="宋体" w:hAnsi="宋体" w:eastAsia="宋体" w:cs="Times New Roman"/>
                <w:sz w:val="18"/>
                <w:szCs w:val="18"/>
              </w:rPr>
            </w:pPr>
            <w:r>
              <w:rPr>
                <w:rFonts w:hint="eastAsia" w:ascii="宋体" w:hAnsi="宋体" w:eastAsia="宋体" w:cs="宋体"/>
                <w:spacing w:val="-2"/>
                <w:sz w:val="18"/>
                <w:szCs w:val="18"/>
              </w:rPr>
              <w:t>效益指标</w:t>
            </w:r>
          </w:p>
        </w:tc>
        <w:tc>
          <w:tcPr>
            <w:tcW w:w="1103"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社会效益指标</w:t>
            </w:r>
          </w:p>
        </w:tc>
        <w:tc>
          <w:tcPr>
            <w:tcW w:w="1982" w:type="dxa"/>
            <w:gridSpan w:val="2"/>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基层干部生活保障率</w:t>
            </w:r>
          </w:p>
        </w:tc>
        <w:tc>
          <w:tcPr>
            <w:tcW w:w="1145"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≥97%</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97%</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752" w:type="dxa"/>
            <w:tcBorders>
              <w:left w:val="single" w:color="auto" w:sz="4" w:space="0"/>
              <w:right w:val="single" w:color="auto" w:sz="4" w:space="0"/>
            </w:tcBorders>
            <w:vAlign w:val="center"/>
          </w:tcPr>
          <w:p>
            <w:pPr>
              <w:spacing w:after="0"/>
              <w:jc w:val="center"/>
              <w:rPr>
                <w:rFonts w:ascii="宋体" w:hAnsi="宋体" w:eastAsia="宋体" w:cs="Times New Roman"/>
                <w:sz w:val="18"/>
                <w:szCs w:val="18"/>
              </w:rPr>
            </w:pPr>
            <w:r>
              <w:rPr>
                <w:rFonts w:hint="eastAsia" w:ascii="宋体" w:hAnsi="宋体" w:eastAsia="宋体" w:cs="宋体"/>
                <w:spacing w:val="-3"/>
                <w:sz w:val="18"/>
                <w:szCs w:val="18"/>
              </w:rPr>
              <w:t>满意度指标</w:t>
            </w:r>
          </w:p>
        </w:tc>
        <w:tc>
          <w:tcPr>
            <w:tcW w:w="1103"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满意度指标</w:t>
            </w:r>
          </w:p>
        </w:tc>
        <w:tc>
          <w:tcPr>
            <w:tcW w:w="1982" w:type="dxa"/>
            <w:gridSpan w:val="2"/>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村社干部满意度</w:t>
            </w:r>
          </w:p>
        </w:tc>
        <w:tc>
          <w:tcPr>
            <w:tcW w:w="1145"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≥97%</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97%</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752" w:type="dxa"/>
            <w:vMerge w:val="restart"/>
            <w:vAlign w:val="center"/>
          </w:tcPr>
          <w:p>
            <w:pPr>
              <w:spacing w:before="146" w:after="0" w:line="219" w:lineRule="auto"/>
              <w:ind w:left="191" w:right="124" w:hanging="70"/>
              <w:jc w:val="center"/>
              <w:rPr>
                <w:rFonts w:ascii="宋体" w:hAnsi="宋体" w:eastAsia="宋体" w:cs="宋体"/>
                <w:sz w:val="18"/>
                <w:szCs w:val="18"/>
              </w:rPr>
            </w:pPr>
            <w:r>
              <w:rPr>
                <w:rFonts w:hint="eastAsia" w:ascii="宋体" w:hAnsi="宋体" w:eastAsia="宋体" w:cs="宋体"/>
                <w:spacing w:val="-3"/>
                <w:sz w:val="18"/>
                <w:szCs w:val="18"/>
              </w:rPr>
              <w:t>成本指标</w:t>
            </w:r>
          </w:p>
        </w:tc>
        <w:tc>
          <w:tcPr>
            <w:tcW w:w="1103" w:type="dxa"/>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经济成本指标</w:t>
            </w:r>
          </w:p>
        </w:tc>
        <w:tc>
          <w:tcPr>
            <w:tcW w:w="1982" w:type="dxa"/>
            <w:gridSpan w:val="2"/>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村级经费总成本</w:t>
            </w:r>
          </w:p>
        </w:tc>
        <w:tc>
          <w:tcPr>
            <w:tcW w:w="1145"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＝265.7万元</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265.7万元</w:t>
            </w:r>
          </w:p>
        </w:tc>
        <w:tc>
          <w:tcPr>
            <w:tcW w:w="2469" w:type="dxa"/>
            <w:vAlign w:val="center"/>
          </w:tcPr>
          <w:p>
            <w:pPr>
              <w:spacing w:after="0"/>
              <w:jc w:val="both"/>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752" w:type="dxa"/>
            <w:vMerge w:val="continue"/>
            <w:vAlign w:val="center"/>
          </w:tcPr>
          <w:p>
            <w:pPr>
              <w:spacing w:before="146" w:after="0" w:line="219" w:lineRule="auto"/>
              <w:ind w:left="191" w:right="124" w:hanging="70"/>
              <w:jc w:val="center"/>
              <w:rPr>
                <w:rFonts w:ascii="宋体" w:hAnsi="宋体" w:eastAsia="宋体" w:cs="宋体"/>
                <w:spacing w:val="-3"/>
                <w:sz w:val="18"/>
                <w:szCs w:val="18"/>
              </w:rPr>
            </w:pPr>
          </w:p>
        </w:tc>
        <w:tc>
          <w:tcPr>
            <w:tcW w:w="1103" w:type="dxa"/>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经济成本指标</w:t>
            </w:r>
          </w:p>
        </w:tc>
        <w:tc>
          <w:tcPr>
            <w:tcW w:w="1982" w:type="dxa"/>
            <w:gridSpan w:val="2"/>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社区工作经费成本</w:t>
            </w:r>
          </w:p>
        </w:tc>
        <w:tc>
          <w:tcPr>
            <w:tcW w:w="1145"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＝22.33万元</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22.33万元</w:t>
            </w:r>
          </w:p>
        </w:tc>
        <w:tc>
          <w:tcPr>
            <w:tcW w:w="2469" w:type="dxa"/>
            <w:vAlign w:val="center"/>
          </w:tcPr>
          <w:p>
            <w:pPr>
              <w:spacing w:after="0"/>
              <w:jc w:val="both"/>
              <w:rPr>
                <w:rFonts w:ascii="楷体" w:hAnsi="楷体" w:eastAsia="楷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752" w:type="dxa"/>
            <w:vMerge w:val="continue"/>
            <w:vAlign w:val="center"/>
          </w:tcPr>
          <w:p>
            <w:pPr>
              <w:spacing w:before="146" w:after="0" w:line="219" w:lineRule="auto"/>
              <w:ind w:left="191" w:right="124" w:hanging="70"/>
              <w:jc w:val="center"/>
              <w:rPr>
                <w:rFonts w:ascii="宋体" w:hAnsi="宋体" w:eastAsia="宋体" w:cs="宋体"/>
                <w:spacing w:val="-3"/>
                <w:sz w:val="18"/>
                <w:szCs w:val="18"/>
              </w:rPr>
            </w:pPr>
          </w:p>
        </w:tc>
        <w:tc>
          <w:tcPr>
            <w:tcW w:w="1103" w:type="dxa"/>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经济成本指标</w:t>
            </w:r>
          </w:p>
        </w:tc>
        <w:tc>
          <w:tcPr>
            <w:tcW w:w="1982" w:type="dxa"/>
            <w:gridSpan w:val="2"/>
            <w:vAlign w:val="center"/>
          </w:tcPr>
          <w:p>
            <w:pPr>
              <w:spacing w:after="0"/>
              <w:jc w:val="center"/>
              <w:rPr>
                <w:rFonts w:ascii="楷体" w:hAnsi="楷体" w:eastAsia="楷体" w:cs="宋体"/>
                <w:sz w:val="18"/>
                <w:szCs w:val="18"/>
              </w:rPr>
            </w:pPr>
            <w:r>
              <w:rPr>
                <w:rFonts w:hint="eastAsia" w:ascii="楷体" w:hAnsi="楷体" w:eastAsia="楷体" w:cs="宋体"/>
                <w:sz w:val="18"/>
                <w:szCs w:val="18"/>
              </w:rPr>
              <w:t>2022年下半年村社办公费</w:t>
            </w:r>
          </w:p>
        </w:tc>
        <w:tc>
          <w:tcPr>
            <w:tcW w:w="1145" w:type="dxa"/>
            <w:vAlign w:val="center"/>
          </w:tcPr>
          <w:p>
            <w:pPr>
              <w:spacing w:after="0"/>
              <w:rPr>
                <w:rFonts w:ascii="楷体" w:hAnsi="楷体" w:eastAsia="楷体" w:cs="宋体"/>
                <w:sz w:val="18"/>
                <w:szCs w:val="18"/>
              </w:rPr>
            </w:pPr>
            <w:r>
              <w:rPr>
                <w:rFonts w:hint="eastAsia" w:ascii="楷体" w:hAnsi="楷体" w:eastAsia="楷体" w:cs="宋体"/>
                <w:sz w:val="18"/>
                <w:szCs w:val="18"/>
              </w:rPr>
              <w:t>=35.1万元</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35.1万元</w:t>
            </w:r>
          </w:p>
        </w:tc>
        <w:tc>
          <w:tcPr>
            <w:tcW w:w="2469" w:type="dxa"/>
            <w:vAlign w:val="center"/>
          </w:tcPr>
          <w:p>
            <w:pPr>
              <w:spacing w:after="0"/>
              <w:jc w:val="both"/>
              <w:rPr>
                <w:rFonts w:ascii="楷体" w:hAnsi="楷体" w:eastAsia="楷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752" w:type="dxa"/>
            <w:vMerge w:val="continue"/>
            <w:vAlign w:val="center"/>
          </w:tcPr>
          <w:p>
            <w:pPr>
              <w:spacing w:before="146" w:after="0" w:line="219" w:lineRule="auto"/>
              <w:ind w:left="191" w:right="124" w:hanging="70"/>
              <w:jc w:val="center"/>
              <w:rPr>
                <w:rFonts w:ascii="宋体" w:hAnsi="宋体" w:eastAsia="宋体" w:cs="宋体"/>
                <w:spacing w:val="-3"/>
                <w:sz w:val="18"/>
                <w:szCs w:val="18"/>
              </w:rPr>
            </w:pPr>
          </w:p>
        </w:tc>
        <w:tc>
          <w:tcPr>
            <w:tcW w:w="1103" w:type="dxa"/>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经济成本指标</w:t>
            </w:r>
          </w:p>
        </w:tc>
        <w:tc>
          <w:tcPr>
            <w:tcW w:w="1982" w:type="dxa"/>
            <w:gridSpan w:val="2"/>
            <w:vAlign w:val="center"/>
          </w:tcPr>
          <w:p>
            <w:pPr>
              <w:spacing w:after="0"/>
              <w:jc w:val="center"/>
              <w:rPr>
                <w:rFonts w:ascii="楷体" w:hAnsi="楷体" w:eastAsia="楷体" w:cs="Times New Roman"/>
                <w:sz w:val="18"/>
                <w:szCs w:val="18"/>
              </w:rPr>
            </w:pPr>
            <w:r>
              <w:rPr>
                <w:rFonts w:hint="eastAsia" w:ascii="楷体" w:hAnsi="楷体" w:eastAsia="楷体" w:cs="Times New Roman"/>
                <w:sz w:val="18"/>
                <w:szCs w:val="18"/>
              </w:rPr>
              <w:t>2022年</w:t>
            </w:r>
            <w:r>
              <w:rPr>
                <w:rFonts w:ascii="楷体" w:hAnsi="楷体" w:eastAsia="楷体" w:cs="Times New Roman"/>
                <w:sz w:val="18"/>
                <w:szCs w:val="18"/>
              </w:rPr>
              <w:t>社区专职工作者绩效</w:t>
            </w:r>
          </w:p>
        </w:tc>
        <w:tc>
          <w:tcPr>
            <w:tcW w:w="1145" w:type="dxa"/>
            <w:vAlign w:val="center"/>
          </w:tcPr>
          <w:p>
            <w:pPr>
              <w:spacing w:after="0"/>
              <w:rPr>
                <w:rFonts w:ascii="楷体" w:hAnsi="楷体" w:eastAsia="楷体" w:cs="Times New Roman"/>
                <w:sz w:val="18"/>
                <w:szCs w:val="18"/>
              </w:rPr>
            </w:pPr>
            <w:r>
              <w:rPr>
                <w:rFonts w:hint="eastAsia" w:ascii="楷体" w:hAnsi="楷体" w:eastAsia="楷体" w:cs="Times New Roman"/>
                <w:sz w:val="18"/>
                <w:szCs w:val="18"/>
              </w:rPr>
              <w:t>=1.46万元</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1.46万元</w:t>
            </w:r>
          </w:p>
        </w:tc>
        <w:tc>
          <w:tcPr>
            <w:tcW w:w="2469" w:type="dxa"/>
            <w:vAlign w:val="center"/>
          </w:tcPr>
          <w:p>
            <w:pPr>
              <w:spacing w:after="0"/>
              <w:jc w:val="both"/>
              <w:rPr>
                <w:rFonts w:ascii="楷体" w:hAnsi="楷体" w:eastAsia="楷体" w:cs="宋体"/>
                <w:sz w:val="18"/>
                <w:szCs w:val="18"/>
              </w:rPr>
            </w:pPr>
          </w:p>
        </w:tc>
      </w:tr>
    </w:tbl>
    <w:p>
      <w:pPr>
        <w:keepNext/>
        <w:keepLines/>
        <w:pageBreakBefore/>
        <w:widowControl w:val="0"/>
        <w:autoSpaceDE w:val="0"/>
        <w:autoSpaceDN w:val="0"/>
        <w:snapToGrid/>
        <w:spacing w:after="0" w:line="576" w:lineRule="exact"/>
        <w:jc w:val="both"/>
        <w:rPr>
          <w:rFonts w:ascii="仿宋_GB2312" w:hAnsi="Times New Roman" w:eastAsia="仿宋_GB2312" w:cs="仿宋_GB2312"/>
          <w:kern w:val="2"/>
          <w:sz w:val="32"/>
          <w:szCs w:val="32"/>
          <w:lang w:val="zh-CN"/>
        </w:rPr>
      </w:pPr>
      <w:r>
        <w:rPr>
          <w:rFonts w:hint="eastAsia" w:ascii="黑体" w:hAnsi="Times New Roman" w:eastAsia="黑体" w:cs="黑体"/>
          <w:kern w:val="2"/>
          <w:sz w:val="32"/>
          <w:szCs w:val="32"/>
          <w:lang w:val="zh-CN"/>
        </w:rPr>
        <w:t>附件</w:t>
      </w:r>
      <w:r>
        <w:rPr>
          <w:rFonts w:ascii="黑体" w:hAnsi="Times New Roman" w:eastAsia="黑体" w:cs="黑体"/>
          <w:kern w:val="2"/>
          <w:sz w:val="32"/>
          <w:szCs w:val="32"/>
          <w:lang w:val="zh-CN"/>
        </w:rPr>
        <w:t>2</w:t>
      </w:r>
    </w:p>
    <w:p>
      <w:pPr>
        <w:spacing w:after="0" w:line="576" w:lineRule="exact"/>
        <w:jc w:val="center"/>
        <w:rPr>
          <w:rFonts w:eastAsia="黑体"/>
        </w:rPr>
      </w:pPr>
      <w:r>
        <w:rPr>
          <w:rFonts w:hint="eastAsia" w:eastAsia="方正小标宋简体"/>
          <w:sz w:val="44"/>
          <w:szCs w:val="44"/>
        </w:rPr>
        <w:t>广元市昭化区王家镇人民政府</w:t>
      </w:r>
    </w:p>
    <w:p>
      <w:pPr>
        <w:spacing w:after="0" w:line="576" w:lineRule="exact"/>
        <w:jc w:val="center"/>
        <w:rPr>
          <w:rFonts w:eastAsia="方正小标宋简体"/>
          <w:sz w:val="44"/>
          <w:szCs w:val="44"/>
        </w:rPr>
      </w:pPr>
      <w:r>
        <w:rPr>
          <w:rFonts w:hint="eastAsia" w:eastAsia="方正小标宋简体"/>
          <w:sz w:val="44"/>
          <w:szCs w:val="44"/>
        </w:rPr>
        <w:t>关于</w:t>
      </w:r>
      <w:r>
        <w:rPr>
          <w:rFonts w:hint="eastAsia" w:eastAsia="方正小标宋简体"/>
          <w:sz w:val="44"/>
          <w:szCs w:val="44"/>
          <w:lang w:val="zh-CN"/>
        </w:rPr>
        <w:t>2023年基层组织活动和公共服务运行经费</w:t>
      </w:r>
      <w:r>
        <w:rPr>
          <w:rFonts w:eastAsia="方正小标宋简体"/>
          <w:sz w:val="44"/>
          <w:szCs w:val="44"/>
        </w:rPr>
        <w:t>项目支出绩效自评报告</w:t>
      </w:r>
    </w:p>
    <w:p>
      <w:pPr>
        <w:widowControl w:val="0"/>
        <w:autoSpaceDE w:val="0"/>
        <w:autoSpaceDN w:val="0"/>
        <w:snapToGrid/>
        <w:spacing w:after="0" w:line="576" w:lineRule="exact"/>
        <w:ind w:firstLine="640" w:firstLineChars="200"/>
        <w:jc w:val="both"/>
        <w:rPr>
          <w:rFonts w:ascii="黑体" w:hAnsi="Times New Roman" w:eastAsia="黑体" w:cs="黑体"/>
          <w:kern w:val="2"/>
          <w:sz w:val="32"/>
          <w:szCs w:val="32"/>
          <w:lang w:val="zh-CN"/>
        </w:rPr>
      </w:pPr>
    </w:p>
    <w:p>
      <w:pPr>
        <w:widowControl w:val="0"/>
        <w:autoSpaceDE w:val="0"/>
        <w:autoSpaceDN w:val="0"/>
        <w:snapToGrid/>
        <w:spacing w:after="0" w:line="576" w:lineRule="exact"/>
        <w:ind w:firstLine="640" w:firstLineChars="200"/>
        <w:jc w:val="both"/>
        <w:rPr>
          <w:rFonts w:ascii="黑体" w:hAnsi="Times New Roman" w:eastAsia="黑体" w:cs="黑体"/>
          <w:kern w:val="2"/>
          <w:sz w:val="32"/>
          <w:szCs w:val="32"/>
          <w:lang w:val="zh-CN"/>
        </w:rPr>
      </w:pPr>
      <w:r>
        <w:rPr>
          <w:rFonts w:hint="eastAsia" w:ascii="黑体" w:hAnsi="Times New Roman" w:eastAsia="黑体" w:cs="黑体"/>
          <w:kern w:val="2"/>
          <w:sz w:val="32"/>
          <w:szCs w:val="32"/>
          <w:lang w:val="zh-CN"/>
        </w:rPr>
        <w:t>一、项目概况</w:t>
      </w:r>
    </w:p>
    <w:p>
      <w:pPr>
        <w:spacing w:after="0" w:line="576" w:lineRule="exact"/>
        <w:ind w:firstLine="640" w:firstLineChars="200"/>
        <w:rPr>
          <w:rFonts w:eastAsia="楷体_GB2312"/>
          <w:sz w:val="32"/>
          <w:szCs w:val="32"/>
          <w:lang w:val="zh-CN"/>
        </w:rPr>
      </w:pPr>
      <w:r>
        <w:rPr>
          <w:rFonts w:hint="eastAsia" w:eastAsia="楷体_GB2312"/>
          <w:sz w:val="32"/>
          <w:szCs w:val="32"/>
          <w:lang w:val="zh-CN"/>
        </w:rPr>
        <w:t>（一）</w:t>
      </w:r>
      <w:r>
        <w:rPr>
          <w:rFonts w:eastAsia="楷体_GB2312"/>
          <w:sz w:val="32"/>
          <w:szCs w:val="32"/>
          <w:lang w:val="zh-CN"/>
        </w:rPr>
        <w:t>项目</w:t>
      </w:r>
      <w:r>
        <w:rPr>
          <w:rFonts w:hint="eastAsia" w:eastAsia="楷体_GB2312"/>
          <w:sz w:val="32"/>
          <w:szCs w:val="32"/>
          <w:lang w:val="zh-CN"/>
        </w:rPr>
        <w:t>资金申报及批复情况。</w:t>
      </w:r>
    </w:p>
    <w:p>
      <w:pPr>
        <w:spacing w:after="0" w:line="576" w:lineRule="exact"/>
        <w:ind w:firstLine="640" w:firstLineChars="200"/>
        <w:rPr>
          <w:rFonts w:ascii="仿宋_GB2312" w:eastAsia="仿宋_GB2312"/>
          <w:sz w:val="32"/>
          <w:szCs w:val="32"/>
          <w:lang w:val="zh-CN"/>
        </w:rPr>
      </w:pPr>
      <w:r>
        <w:rPr>
          <w:rFonts w:hint="eastAsia" w:ascii="仿宋_GB2312" w:hAnsi="宋体" w:eastAsia="仿宋_GB2312"/>
          <w:sz w:val="32"/>
          <w:szCs w:val="32"/>
        </w:rPr>
        <w:t>根据《广元市昭化区基层组织活动和公共服务运行经费管理使用管理办法》要求，广元市昭化区王家镇辖11个村1个社区，</w:t>
      </w:r>
      <w:r>
        <w:rPr>
          <w:rFonts w:hint="eastAsia" w:ascii="仿宋_GB2312" w:hAnsi="仿宋_GB2312" w:eastAsia="仿宋_GB2312" w:cs="仿宋_GB2312"/>
          <w:sz w:val="32"/>
          <w:szCs w:val="32"/>
          <w:lang w:val="zh-CN"/>
        </w:rPr>
        <w:t>荣华村、五马村、文星村、安平村、作功村</w:t>
      </w:r>
      <w:r>
        <w:rPr>
          <w:rFonts w:hint="eastAsia" w:ascii="仿宋_GB2312" w:hAnsi="仿宋_GB2312" w:eastAsia="仿宋_GB2312" w:cs="仿宋_GB2312"/>
          <w:sz w:val="32"/>
          <w:szCs w:val="32"/>
        </w:rPr>
        <w:t>5村按三类村（社区）</w:t>
      </w:r>
      <w:r>
        <w:rPr>
          <w:rFonts w:hint="eastAsia" w:ascii="仿宋_GB2312" w:hAnsi="仿宋_GB2312" w:eastAsia="仿宋_GB2312" w:cs="仿宋_GB2312"/>
          <w:sz w:val="32"/>
          <w:szCs w:val="32"/>
          <w:lang w:val="zh-CN"/>
        </w:rPr>
        <w:t>计划资金均分别为</w:t>
      </w:r>
      <w:r>
        <w:rPr>
          <w:rFonts w:hint="eastAsia" w:ascii="仿宋_GB2312" w:hAnsi="仿宋_GB2312" w:eastAsia="仿宋_GB2312" w:cs="仿宋_GB2312"/>
          <w:sz w:val="32"/>
          <w:szCs w:val="32"/>
        </w:rPr>
        <w:t>6万元；（2）金星村、银鱼村、方山村、新华村、金帽铺社区5村（社区）按二类村（社区）</w:t>
      </w:r>
      <w:r>
        <w:rPr>
          <w:rFonts w:hint="eastAsia" w:ascii="仿宋_GB2312" w:hAnsi="仿宋_GB2312" w:eastAsia="仿宋_GB2312" w:cs="仿宋_GB2312"/>
          <w:sz w:val="32"/>
          <w:szCs w:val="32"/>
          <w:lang w:val="zh-CN"/>
        </w:rPr>
        <w:t>计划资金分别为</w:t>
      </w:r>
      <w:r>
        <w:rPr>
          <w:rFonts w:hint="eastAsia" w:ascii="仿宋_GB2312" w:hAnsi="仿宋_GB2312" w:eastAsia="仿宋_GB2312" w:cs="仿宋_GB2312"/>
          <w:sz w:val="32"/>
          <w:szCs w:val="32"/>
        </w:rPr>
        <w:t>7万元；（3）红庙村、晋贤村按一类村</w:t>
      </w:r>
      <w:r>
        <w:rPr>
          <w:rFonts w:hint="eastAsia" w:ascii="仿宋_GB2312" w:hAnsi="仿宋_GB2312" w:eastAsia="仿宋_GB2312" w:cs="仿宋_GB2312"/>
          <w:sz w:val="32"/>
          <w:szCs w:val="32"/>
          <w:lang w:val="zh-CN"/>
        </w:rPr>
        <w:t>计划资金分别为</w:t>
      </w:r>
      <w:r>
        <w:rPr>
          <w:rFonts w:hint="eastAsia" w:ascii="仿宋_GB2312" w:hAnsi="仿宋_GB2312" w:eastAsia="仿宋_GB2312" w:cs="仿宋_GB2312"/>
          <w:sz w:val="32"/>
          <w:szCs w:val="32"/>
        </w:rPr>
        <w:t>8万元。各</w:t>
      </w:r>
      <w:r>
        <w:rPr>
          <w:rFonts w:hint="eastAsia" w:ascii="仿宋_GB2312" w:hAnsi="仿宋_GB2312" w:eastAsia="仿宋_GB2312" w:cs="仿宋_GB2312"/>
          <w:sz w:val="32"/>
          <w:szCs w:val="32"/>
          <w:lang w:val="zh-CN"/>
        </w:rPr>
        <w:t>村（社区）均实行报账制度。</w:t>
      </w:r>
    </w:p>
    <w:p>
      <w:pPr>
        <w:widowControl w:val="0"/>
        <w:spacing w:after="0" w:line="576" w:lineRule="exact"/>
        <w:ind w:left="440"/>
        <w:jc w:val="both"/>
        <w:rPr>
          <w:rFonts w:eastAsia="楷体_GB2312"/>
          <w:lang w:val="zh-CN"/>
        </w:rPr>
      </w:pPr>
      <w:r>
        <w:rPr>
          <w:rFonts w:hint="eastAsia" w:eastAsia="楷体_GB2312"/>
          <w:sz w:val="32"/>
          <w:szCs w:val="32"/>
          <w:lang w:val="zh-CN"/>
        </w:rPr>
        <w:t>（二）</w:t>
      </w:r>
      <w:r>
        <w:rPr>
          <w:rFonts w:eastAsia="楷体_GB2312"/>
          <w:sz w:val="32"/>
          <w:szCs w:val="32"/>
          <w:lang w:val="zh-CN"/>
        </w:rPr>
        <w:t>项目绩效目标。</w:t>
      </w:r>
    </w:p>
    <w:p>
      <w:pPr>
        <w:spacing w:after="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val="zh-CN"/>
        </w:rPr>
        <w:t>年该项目主要用于王家镇</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zh-CN"/>
        </w:rPr>
        <w:t>村</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社区的道路、水利、党群服务中心改造等基础设施，农村社会管理环境卫生监督管理、园林绿化等活动。项目计划在本年度内全面竣工，实现该项目支出率达到</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确保全镇各项农村事业和经济建设得到持续、稳定的发展。</w:t>
      </w:r>
    </w:p>
    <w:p>
      <w:pPr>
        <w:spacing w:after="0" w:line="576" w:lineRule="exact"/>
        <w:ind w:firstLine="640" w:firstLineChars="200"/>
        <w:rPr>
          <w:rFonts w:ascii="仿宋_GB2312" w:hAnsi="仿宋_GB2312" w:eastAsia="仿宋_GB2312" w:cs="仿宋_GB2312"/>
          <w:sz w:val="32"/>
          <w:szCs w:val="32"/>
          <w:lang w:val="zh-CN"/>
        </w:rPr>
      </w:pPr>
      <w:r>
        <w:rPr>
          <w:rFonts w:hint="eastAsia" w:eastAsia="楷体_GB2312"/>
          <w:sz w:val="32"/>
          <w:szCs w:val="32"/>
          <w:lang w:val="zh-CN"/>
        </w:rPr>
        <w:t>（三）</w:t>
      </w:r>
      <w:r>
        <w:rPr>
          <w:rFonts w:eastAsia="楷体_GB2312"/>
          <w:sz w:val="32"/>
          <w:szCs w:val="32"/>
          <w:lang w:val="zh-CN"/>
        </w:rPr>
        <w:t>项目资金申报相符性。</w:t>
      </w:r>
    </w:p>
    <w:p>
      <w:pPr>
        <w:spacing w:after="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为确保202</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年基层组织活动和公共运行维护经费（202</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年）项目顺利实施，按照国家、省政府有关文件精神，将基层组织活动和公共运行维护经费（202</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年）项目纳入重要议事日程，未雨绸缪，统筹规划，科学安排。尤其要做好运行经费的年度预算编制与申请工作，积极协调各有关部门，按照各村项目实际完成情况进行申报，资金申报与拨付一致。</w:t>
      </w:r>
    </w:p>
    <w:p>
      <w:pPr>
        <w:spacing w:after="0" w:line="576" w:lineRule="exact"/>
        <w:ind w:firstLine="640" w:firstLineChars="200"/>
        <w:rPr>
          <w:rFonts w:eastAsia="楷体_GB2312"/>
          <w:sz w:val="32"/>
          <w:szCs w:val="32"/>
          <w:lang w:val="zh-CN"/>
        </w:rPr>
      </w:pPr>
      <w:r>
        <w:rPr>
          <w:rFonts w:hint="eastAsia" w:eastAsia="楷体_GB2312"/>
          <w:sz w:val="32"/>
          <w:szCs w:val="32"/>
          <w:lang w:val="zh-CN"/>
        </w:rPr>
        <w:t>（四）自评步骤及方法</w:t>
      </w:r>
    </w:p>
    <w:p>
      <w:pPr>
        <w:spacing w:after="0"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本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村、社区居民建议意见，做好自评工作。</w:t>
      </w:r>
    </w:p>
    <w:p>
      <w:pPr>
        <w:spacing w:after="0" w:line="576" w:lineRule="exact"/>
        <w:ind w:firstLine="640" w:firstLineChars="200"/>
        <w:rPr>
          <w:rFonts w:eastAsia="黑体"/>
          <w:sz w:val="32"/>
          <w:szCs w:val="32"/>
        </w:rPr>
      </w:pPr>
      <w:r>
        <w:rPr>
          <w:rFonts w:eastAsia="黑体"/>
          <w:sz w:val="32"/>
          <w:szCs w:val="32"/>
        </w:rPr>
        <w:t>二、项目实施及管理情况</w:t>
      </w:r>
    </w:p>
    <w:p>
      <w:pPr>
        <w:spacing w:after="0" w:line="576" w:lineRule="exact"/>
        <w:ind w:firstLine="640" w:firstLineChars="200"/>
        <w:rPr>
          <w:rFonts w:eastAsia="楷体_GB2312"/>
          <w:sz w:val="32"/>
          <w:szCs w:val="32"/>
          <w:lang w:val="zh-CN"/>
        </w:rPr>
      </w:pPr>
      <w:r>
        <w:rPr>
          <w:rFonts w:eastAsia="楷体_GB2312"/>
          <w:sz w:val="32"/>
          <w:szCs w:val="32"/>
          <w:lang w:val="zh-CN"/>
        </w:rPr>
        <w:t>（一）资金计划、到位及使用情况</w:t>
      </w:r>
    </w:p>
    <w:p>
      <w:pPr>
        <w:spacing w:after="0" w:line="576" w:lineRule="exact"/>
        <w:ind w:firstLine="640" w:firstLineChars="200"/>
        <w:rPr>
          <w:rFonts w:ascii="仿宋_GB2312" w:eastAsia="仿宋_GB2312"/>
          <w:sz w:val="32"/>
          <w:szCs w:val="32"/>
        </w:rPr>
      </w:pPr>
      <w:r>
        <w:rPr>
          <w:rFonts w:hint="eastAsia" w:ascii="仿宋_GB2312" w:eastAsia="仿宋_GB2312"/>
          <w:sz w:val="32"/>
          <w:szCs w:val="32"/>
          <w:lang w:val="zh-CN"/>
        </w:rPr>
        <w:t>1</w:t>
      </w:r>
      <w:r>
        <w:rPr>
          <w:rFonts w:hint="eastAsia" w:ascii="仿宋_GB2312" w:eastAsia="仿宋_GB2312"/>
          <w:sz w:val="32"/>
          <w:szCs w:val="32"/>
        </w:rPr>
        <w:t>.</w:t>
      </w:r>
      <w:r>
        <w:rPr>
          <w:rFonts w:hint="eastAsia" w:ascii="仿宋_GB2312" w:eastAsia="仿宋_GB2312"/>
          <w:sz w:val="32"/>
          <w:szCs w:val="32"/>
          <w:lang w:val="zh-CN"/>
        </w:rPr>
        <w:t>资金计划及到位。本项目资金来源为财政拨款，总投入为</w:t>
      </w:r>
      <w:r>
        <w:rPr>
          <w:rFonts w:hint="eastAsia" w:ascii="仿宋_GB2312" w:eastAsia="仿宋_GB2312"/>
          <w:sz w:val="32"/>
          <w:szCs w:val="32"/>
        </w:rPr>
        <w:t>81万元，资金于2023年初部门预算批复到位。</w:t>
      </w:r>
    </w:p>
    <w:p>
      <w:pPr>
        <w:spacing w:after="0" w:line="576" w:lineRule="exact"/>
        <w:ind w:firstLine="640" w:firstLineChars="200"/>
        <w:rPr>
          <w:rFonts w:ascii="仿宋_GB2312" w:eastAsia="仿宋_GB2312"/>
          <w:sz w:val="32"/>
          <w:szCs w:val="32"/>
          <w:lang w:val="zh-CN"/>
        </w:rPr>
      </w:pPr>
      <w:r>
        <w:rPr>
          <w:rFonts w:hint="eastAsia" w:ascii="仿宋_GB2312" w:eastAsia="仿宋_GB2312"/>
          <w:sz w:val="32"/>
          <w:szCs w:val="32"/>
          <w:lang w:val="zh-CN"/>
        </w:rPr>
        <w:t>2</w:t>
      </w:r>
      <w:r>
        <w:rPr>
          <w:rFonts w:hint="eastAsia" w:ascii="仿宋_GB2312" w:eastAsia="仿宋_GB2312"/>
          <w:sz w:val="32"/>
          <w:szCs w:val="32"/>
        </w:rPr>
        <w:t>.</w:t>
      </w:r>
      <w:r>
        <w:rPr>
          <w:rFonts w:hint="eastAsia" w:ascii="仿宋_GB2312" w:eastAsia="仿宋_GB2312"/>
          <w:sz w:val="32"/>
          <w:szCs w:val="32"/>
          <w:lang w:val="zh-CN"/>
        </w:rPr>
        <w:t>资金使用。汇总统计截止评价时点项目资金的实际支出情况，并对资金的安全性、规范性及有效性进行重点分析，包括资金开支范围、支付标准、支付进度、支付依据等是否合规合法、是否与预算相符，并对自评中发现的相关问题进行分析说明。</w:t>
      </w:r>
    </w:p>
    <w:p>
      <w:pPr>
        <w:spacing w:after="0" w:line="576" w:lineRule="exact"/>
        <w:ind w:firstLine="640" w:firstLineChars="200"/>
        <w:rPr>
          <w:rFonts w:eastAsia="楷体_GB2312"/>
          <w:sz w:val="32"/>
          <w:szCs w:val="32"/>
          <w:lang w:val="zh-CN"/>
        </w:rPr>
      </w:pPr>
      <w:r>
        <w:rPr>
          <w:rFonts w:eastAsia="楷体_GB2312"/>
          <w:sz w:val="32"/>
          <w:szCs w:val="32"/>
          <w:lang w:val="zh-CN"/>
        </w:rPr>
        <w:t>（二）项目财务管理情况</w:t>
      </w:r>
    </w:p>
    <w:p>
      <w:pPr>
        <w:spacing w:after="0" w:line="576" w:lineRule="exact"/>
        <w:ind w:firstLine="640" w:firstLineChars="200"/>
        <w:rPr>
          <w:rFonts w:ascii="仿宋_GB2312" w:eastAsia="仿宋_GB2312"/>
          <w:sz w:val="32"/>
          <w:szCs w:val="32"/>
        </w:rPr>
      </w:pPr>
      <w:r>
        <w:rPr>
          <w:rFonts w:hint="eastAsia" w:ascii="仿宋_GB2312" w:eastAsia="仿宋_GB2312"/>
          <w:sz w:val="32"/>
          <w:szCs w:val="32"/>
          <w:lang w:val="zh-CN"/>
        </w:rPr>
        <w:t>财务管理制度健全、财务处理及时、会计核算规范准确。资金实行“专项使用、专人核算”，并且严格按照农村公共服务设施运行维护项目实施流程进行。截止</w:t>
      </w:r>
      <w:r>
        <w:rPr>
          <w:rFonts w:hint="eastAsia" w:ascii="仿宋_GB2312" w:eastAsia="仿宋_GB2312"/>
          <w:sz w:val="32"/>
          <w:szCs w:val="32"/>
        </w:rPr>
        <w:t>2024年4月8日，项目资金已全部支付，共81万元。</w:t>
      </w:r>
    </w:p>
    <w:p>
      <w:pPr>
        <w:spacing w:after="0" w:line="576" w:lineRule="exact"/>
        <w:ind w:firstLine="640" w:firstLineChars="200"/>
        <w:rPr>
          <w:rFonts w:eastAsia="楷体_GB2312"/>
          <w:sz w:val="32"/>
          <w:szCs w:val="32"/>
          <w:lang w:val="zh-CN"/>
        </w:rPr>
      </w:pPr>
      <w:r>
        <w:rPr>
          <w:rFonts w:eastAsia="楷体_GB2312"/>
          <w:sz w:val="32"/>
          <w:szCs w:val="32"/>
          <w:lang w:val="zh-CN"/>
        </w:rPr>
        <w:t>（三）项目组织实施</w:t>
      </w:r>
      <w:r>
        <w:rPr>
          <w:rFonts w:hint="eastAsia" w:eastAsia="楷体_GB2312"/>
          <w:sz w:val="32"/>
          <w:szCs w:val="32"/>
          <w:lang w:val="zh-CN"/>
        </w:rPr>
        <w:t>及管理</w:t>
      </w:r>
      <w:r>
        <w:rPr>
          <w:rFonts w:eastAsia="楷体_GB2312"/>
          <w:sz w:val="32"/>
          <w:szCs w:val="32"/>
          <w:lang w:val="zh-CN"/>
        </w:rPr>
        <w:t>情况</w:t>
      </w:r>
    </w:p>
    <w:p>
      <w:pPr>
        <w:spacing w:after="0" w:line="576"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是镇党委政府高度重视农村公共运行服务项目，并成立工作领导小组。以镇党委副书记、镇长为组长，各联村（社区）领导为副组长，农经站负责人、财政所负责人、各村（社区书记）为成员。抓牢抓实此项目的实施。二是项目资金由镇财政所具体管理，按投资计划，制定管理制度，对项目资金按项目单独核算实行“专款专用、专人管理”，不得挤占挪用项目资金。三是强化监督，项目的正常实施监督检查是保障。定期或不定期对项目进行现场检查和督查，确保项目建设质量。</w:t>
      </w:r>
    </w:p>
    <w:p>
      <w:pPr>
        <w:spacing w:after="0" w:line="576" w:lineRule="exact"/>
        <w:ind w:firstLine="640" w:firstLineChars="200"/>
        <w:rPr>
          <w:sz w:val="32"/>
          <w:szCs w:val="32"/>
          <w:lang w:val="zh-CN"/>
        </w:rPr>
      </w:pPr>
      <w:r>
        <w:rPr>
          <w:rFonts w:eastAsia="黑体"/>
          <w:sz w:val="32"/>
          <w:szCs w:val="32"/>
        </w:rPr>
        <w:t>三、项目绩效情况</w:t>
      </w:r>
      <w:r>
        <w:rPr>
          <w:sz w:val="32"/>
          <w:szCs w:val="32"/>
          <w:lang w:val="zh-CN"/>
        </w:rPr>
        <w:tab/>
      </w:r>
    </w:p>
    <w:p>
      <w:pPr>
        <w:spacing w:after="0" w:line="576" w:lineRule="exact"/>
        <w:ind w:firstLine="640" w:firstLineChars="200"/>
        <w:rPr>
          <w:rFonts w:eastAsia="楷体_GB2312"/>
          <w:sz w:val="32"/>
          <w:szCs w:val="32"/>
          <w:lang w:val="zh-CN"/>
        </w:rPr>
      </w:pPr>
      <w:r>
        <w:rPr>
          <w:rFonts w:eastAsia="楷体_GB2312"/>
          <w:sz w:val="32"/>
          <w:szCs w:val="32"/>
          <w:lang w:val="zh-CN"/>
        </w:rPr>
        <w:t>（一）项目完成情况</w:t>
      </w:r>
    </w:p>
    <w:p>
      <w:pPr>
        <w:spacing w:after="0" w:line="576" w:lineRule="exact"/>
        <w:ind w:firstLine="640" w:firstLineChars="200"/>
        <w:rPr>
          <w:rFonts w:ascii="仿宋_GB2312" w:eastAsia="仿宋_GB2312"/>
          <w:sz w:val="32"/>
          <w:szCs w:val="32"/>
        </w:rPr>
      </w:pPr>
      <w:r>
        <w:rPr>
          <w:rFonts w:hint="eastAsia" w:ascii="仿宋_GB2312" w:eastAsia="仿宋_GB2312"/>
          <w:sz w:val="32"/>
          <w:szCs w:val="32"/>
          <w:lang w:val="zh-CN"/>
        </w:rPr>
        <w:t>镇党委政府将农村公共运行服务项目工作纳入村级目标管理。</w:t>
      </w:r>
      <w:r>
        <w:rPr>
          <w:rFonts w:hint="eastAsia" w:ascii="仿宋_GB2312" w:eastAsia="仿宋_GB2312"/>
          <w:sz w:val="32"/>
          <w:szCs w:val="32"/>
        </w:rPr>
        <w:t>2023年我镇农村公共运行服务项目：完成了垃圾清运600余次、村社道路维修、加宽共6.4公里，护林631次，涵洞维修4处，山坪塘整治2处，水毁道路建设4处，堡坎建设维护5处，污水管网维护1处，绿化带维护1处，党群服务中心改造1处，。项目于2023年12月31日前全部实施完工。</w:t>
      </w:r>
    </w:p>
    <w:p>
      <w:pPr>
        <w:widowControl w:val="0"/>
        <w:spacing w:after="0" w:line="576" w:lineRule="exact"/>
        <w:ind w:firstLine="640" w:firstLineChars="200"/>
        <w:jc w:val="both"/>
        <w:rPr>
          <w:rFonts w:ascii="楷体_GB2312" w:eastAsia="楷体_GB2312"/>
          <w:sz w:val="32"/>
          <w:szCs w:val="32"/>
          <w:lang w:val="zh-CN"/>
        </w:rPr>
      </w:pPr>
      <w:r>
        <w:rPr>
          <w:rFonts w:hint="eastAsia" w:ascii="楷体_GB2312" w:eastAsia="楷体_GB2312"/>
          <w:sz w:val="32"/>
          <w:szCs w:val="32"/>
          <w:lang w:val="zh-CN"/>
        </w:rPr>
        <w:t>(二)项目效益情况</w:t>
      </w:r>
    </w:p>
    <w:p>
      <w:pPr>
        <w:spacing w:after="0" w:line="576" w:lineRule="exact"/>
        <w:ind w:firstLine="640" w:firstLineChars="200"/>
        <w:rPr>
          <w:rFonts w:ascii="仿宋_GB2312" w:eastAsia="仿宋_GB2312"/>
          <w:sz w:val="32"/>
          <w:szCs w:val="32"/>
        </w:rPr>
      </w:pPr>
      <w:r>
        <w:rPr>
          <w:rFonts w:hint="eastAsia" w:ascii="仿宋_GB2312" w:hAnsi="宋体" w:eastAsia="仿宋_GB2312"/>
          <w:sz w:val="32"/>
          <w:szCs w:val="32"/>
        </w:rPr>
        <w:t>为切实做好这项工作，省农村综合改革领导小组办公室特制定了《四川省农村公共服务运行维护机制建设工作手册》，结合我镇的实际实施情况，将改善村（社区）办公场所、公共基础设施、环境卫生条件、提高群众的农技知识、提升群众的生活质量和幸福感、获得群众对政府的满意度和对党的感恩之心。</w:t>
      </w:r>
    </w:p>
    <w:p>
      <w:pPr>
        <w:spacing w:after="0" w:line="576"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自评结论及</w:t>
      </w:r>
      <w:r>
        <w:rPr>
          <w:rFonts w:ascii="黑体" w:hAnsi="黑体" w:eastAsia="黑体"/>
          <w:sz w:val="32"/>
          <w:szCs w:val="32"/>
        </w:rPr>
        <w:t>建议</w:t>
      </w:r>
    </w:p>
    <w:p>
      <w:pPr>
        <w:spacing w:after="0" w:line="576" w:lineRule="exact"/>
        <w:ind w:firstLine="640" w:firstLineChars="200"/>
        <w:rPr>
          <w:rFonts w:eastAsia="楷体_GB2312"/>
          <w:sz w:val="32"/>
          <w:szCs w:val="32"/>
          <w:lang w:val="zh-CN"/>
        </w:rPr>
      </w:pPr>
      <w:r>
        <w:rPr>
          <w:rFonts w:hint="eastAsia" w:eastAsia="楷体_GB2312"/>
          <w:sz w:val="32"/>
          <w:szCs w:val="32"/>
          <w:lang w:val="zh-CN"/>
        </w:rPr>
        <w:t>（一）评价结论</w:t>
      </w:r>
    </w:p>
    <w:p>
      <w:pPr>
        <w:spacing w:after="0" w:line="576" w:lineRule="exact"/>
        <w:ind w:firstLine="708" w:firstLineChars="200"/>
        <w:rPr>
          <w:rFonts w:ascii="仿宋_GB2312" w:eastAsia="仿宋_GB2312" w:cs="仿宋_GB2312"/>
          <w:sz w:val="32"/>
          <w:szCs w:val="32"/>
        </w:rPr>
      </w:pPr>
      <w:r>
        <w:rPr>
          <w:rFonts w:hint="eastAsia" w:ascii="仿宋_GB2312" w:eastAsia="仿宋_GB2312" w:cs="仿宋_GB2312"/>
          <w:color w:val="000000" w:themeColor="text1"/>
          <w:spacing w:val="17"/>
          <w:sz w:val="32"/>
          <w:szCs w:val="32"/>
          <w:lang w:val="zh-CN"/>
        </w:rPr>
        <w:t>该项目设立经过严格评估论证，属于部门职责相符，属于公共财政支持范围，符合地方事权支出责任划分原则，与相关部门同类项目或部门内部无相关项目重复。项目规划符合省委、区委、省政府、区政府重大决策部署，项目绩效目标合理、明确，与项目年度目标一致。</w:t>
      </w:r>
      <w:r>
        <w:rPr>
          <w:rFonts w:hint="eastAsia" w:ascii="仿宋_GB2312" w:eastAsia="仿宋_GB2312" w:cs="仿宋_GB2312"/>
          <w:spacing w:val="17"/>
          <w:sz w:val="32"/>
          <w:szCs w:val="32"/>
          <w:lang w:val="zh-CN"/>
        </w:rPr>
        <w:t>总体评价</w:t>
      </w:r>
      <w:r>
        <w:rPr>
          <w:rFonts w:hint="eastAsia" w:ascii="仿宋_GB2312" w:eastAsia="仿宋_GB2312" w:cs="仿宋_GB2312"/>
          <w:spacing w:val="17"/>
          <w:sz w:val="32"/>
          <w:szCs w:val="32"/>
        </w:rPr>
        <w:t>96分。</w:t>
      </w:r>
    </w:p>
    <w:p>
      <w:pPr>
        <w:spacing w:after="0" w:line="576" w:lineRule="exact"/>
        <w:ind w:firstLine="640" w:firstLineChars="200"/>
        <w:rPr>
          <w:rFonts w:eastAsia="楷体_GB2312"/>
          <w:sz w:val="32"/>
          <w:szCs w:val="32"/>
          <w:lang w:val="zh-CN"/>
        </w:rPr>
      </w:pPr>
      <w:r>
        <w:rPr>
          <w:rFonts w:hint="eastAsia" w:eastAsia="楷体_GB2312"/>
          <w:sz w:val="32"/>
          <w:szCs w:val="32"/>
          <w:lang w:val="zh-CN"/>
        </w:rPr>
        <w:t>（二）存在的问题</w:t>
      </w:r>
    </w:p>
    <w:p>
      <w:pPr>
        <w:spacing w:after="0" w:line="576" w:lineRule="exact"/>
        <w:ind w:firstLine="640" w:firstLineChars="200"/>
        <w:rPr>
          <w:rFonts w:ascii="仿宋_GB2312" w:eastAsia="仿宋_GB2312"/>
          <w:sz w:val="32"/>
          <w:szCs w:val="32"/>
          <w:lang w:val="zh-CN"/>
        </w:rPr>
      </w:pPr>
      <w:r>
        <w:rPr>
          <w:rFonts w:hint="eastAsia" w:ascii="仿宋_GB2312" w:eastAsia="仿宋_GB2312"/>
          <w:sz w:val="32"/>
          <w:szCs w:val="32"/>
          <w:lang w:val="zh-CN"/>
        </w:rPr>
        <w:t>1.项目资金整合力度不够，到村项目较为分散，难以综合投入；</w:t>
      </w:r>
    </w:p>
    <w:p>
      <w:pPr>
        <w:spacing w:after="0" w:line="576" w:lineRule="exact"/>
        <w:ind w:firstLine="640" w:firstLineChars="200"/>
        <w:rPr>
          <w:rFonts w:eastAsia="楷体_GB2312"/>
          <w:sz w:val="32"/>
          <w:szCs w:val="32"/>
          <w:lang w:val="zh-CN"/>
        </w:rPr>
      </w:pPr>
      <w:r>
        <w:rPr>
          <w:rFonts w:hint="eastAsia" w:ascii="仿宋_GB2312" w:eastAsia="仿宋_GB2312"/>
          <w:sz w:val="32"/>
          <w:szCs w:val="32"/>
          <w:lang w:val="zh-CN"/>
        </w:rPr>
        <w:t>2.在资料软件收集和整理方面优待提高。</w:t>
      </w:r>
    </w:p>
    <w:p>
      <w:pPr>
        <w:spacing w:after="0" w:line="576" w:lineRule="exact"/>
        <w:ind w:firstLine="640" w:firstLineChars="200"/>
        <w:rPr>
          <w:rFonts w:eastAsia="楷体_GB2312"/>
          <w:sz w:val="32"/>
          <w:szCs w:val="32"/>
          <w:lang w:val="zh-CN"/>
        </w:rPr>
      </w:pPr>
      <w:r>
        <w:rPr>
          <w:rFonts w:hint="eastAsia" w:eastAsia="楷体_GB2312"/>
          <w:sz w:val="32"/>
          <w:szCs w:val="32"/>
          <w:lang w:val="zh-CN"/>
        </w:rPr>
        <w:t>（三）相关建议</w:t>
      </w:r>
    </w:p>
    <w:p>
      <w:pPr>
        <w:spacing w:after="0" w:line="576" w:lineRule="exact"/>
        <w:ind w:firstLine="640" w:firstLineChars="200"/>
        <w:rPr>
          <w:rFonts w:eastAsia="楷体_GB2312"/>
          <w:sz w:val="32"/>
          <w:szCs w:val="32"/>
          <w:lang w:val="zh-CN"/>
        </w:rPr>
      </w:pPr>
      <w:r>
        <w:rPr>
          <w:rFonts w:hint="eastAsia" w:ascii="仿宋_GB2312" w:eastAsia="仿宋_GB2312"/>
          <w:sz w:val="32"/>
          <w:szCs w:val="32"/>
          <w:lang w:val="zh-CN"/>
        </w:rPr>
        <w:t>1.加强资金管理，在公共服务运行维护资金的使用范围上严格把关，按规定进行公开透明；</w:t>
      </w:r>
      <w:r>
        <w:rPr>
          <w:rFonts w:hint="eastAsia" w:ascii="仿宋_GB2312" w:eastAsia="仿宋_GB2312"/>
          <w:sz w:val="32"/>
          <w:szCs w:val="32"/>
          <w:lang w:val="zh-CN"/>
        </w:rPr>
        <w:br w:type="textWrapping"/>
      </w:r>
      <w:r>
        <w:rPr>
          <w:rFonts w:hint="eastAsia" w:ascii="仿宋_GB2312" w:eastAsia="仿宋_GB2312"/>
          <w:sz w:val="32"/>
          <w:szCs w:val="32"/>
        </w:rPr>
        <w:t xml:space="preserve">    </w:t>
      </w:r>
      <w:r>
        <w:rPr>
          <w:rFonts w:hint="eastAsia" w:ascii="仿宋_GB2312" w:eastAsia="仿宋_GB2312"/>
          <w:sz w:val="32"/>
          <w:szCs w:val="32"/>
          <w:lang w:val="zh-CN"/>
        </w:rPr>
        <w:t>2.及时总结我镇在公共服务运行维护项目在实施过程中存在的问题和好的经验，进一步完善运行维护工作机制。</w:t>
      </w: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sz w:val="34"/>
          <w:szCs w:val="34"/>
        </w:rPr>
      </w:pPr>
      <w:r>
        <w:rPr>
          <w:rFonts w:ascii="宋体" w:hAnsi="宋体" w:eastAsia="宋体" w:cs="宋体"/>
          <w:b/>
          <w:bCs/>
          <w:spacing w:val="28"/>
          <w:sz w:val="34"/>
          <w:szCs w:val="34"/>
        </w:rPr>
        <w:t>广元市昭化区财政项目(政策)支出绩效自评表</w:t>
      </w:r>
    </w:p>
    <w:p>
      <w:pPr>
        <w:spacing w:before="86" w:after="0" w:line="194" w:lineRule="auto"/>
        <w:ind w:left="3895"/>
        <w:rPr>
          <w:rFonts w:ascii="宋体" w:hAnsi="宋体" w:eastAsia="宋体" w:cs="宋体"/>
        </w:rPr>
      </w:pPr>
      <w:r>
        <w:rPr>
          <w:rFonts w:ascii="宋体" w:hAnsi="宋体" w:eastAsia="宋体" w:cs="宋体"/>
          <w:spacing w:val="-14"/>
        </w:rPr>
        <w:t>(</w:t>
      </w:r>
      <w:r>
        <w:rPr>
          <w:rFonts w:ascii="宋体" w:hAnsi="宋体" w:eastAsia="宋体" w:cs="宋体"/>
          <w:spacing w:val="32"/>
        </w:rPr>
        <w:t xml:space="preserve">  </w:t>
      </w:r>
      <w:r>
        <w:rPr>
          <w:rFonts w:hint="eastAsia" w:ascii="宋体" w:hAnsi="宋体" w:eastAsia="宋体" w:cs="宋体"/>
          <w:spacing w:val="32"/>
        </w:rPr>
        <w:t>2023</w:t>
      </w:r>
      <w:r>
        <w:rPr>
          <w:rFonts w:ascii="宋体" w:hAnsi="宋体" w:eastAsia="宋体" w:cs="宋体"/>
          <w:spacing w:val="32"/>
        </w:rPr>
        <w:t xml:space="preserve"> </w:t>
      </w:r>
      <w:r>
        <w:rPr>
          <w:rFonts w:ascii="宋体" w:hAnsi="宋体" w:eastAsia="宋体" w:cs="宋体"/>
          <w:spacing w:val="-14"/>
        </w:rPr>
        <w:t>年度)</w:t>
      </w:r>
    </w:p>
    <w:tbl>
      <w:tblPr>
        <w:tblStyle w:val="21"/>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752"/>
        <w:gridCol w:w="111"/>
        <w:gridCol w:w="1134"/>
        <w:gridCol w:w="532"/>
        <w:gridCol w:w="1308"/>
        <w:gridCol w:w="286"/>
        <w:gridCol w:w="859"/>
        <w:gridCol w:w="133"/>
        <w:gridCol w:w="851"/>
        <w:gridCol w:w="2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49" w:type="dxa"/>
            <w:gridSpan w:val="2"/>
          </w:tcPr>
          <w:p>
            <w:pPr>
              <w:spacing w:before="82" w:after="0" w:line="220" w:lineRule="auto"/>
              <w:ind w:left="75"/>
              <w:rPr>
                <w:rFonts w:ascii="宋体" w:hAnsi="宋体" w:eastAsia="宋体" w:cs="宋体"/>
                <w:sz w:val="17"/>
                <w:szCs w:val="17"/>
              </w:rPr>
            </w:pPr>
            <w:r>
              <w:rPr>
                <w:rFonts w:ascii="宋体" w:hAnsi="宋体" w:eastAsia="宋体" w:cs="宋体"/>
                <w:spacing w:val="-2"/>
                <w:sz w:val="17"/>
                <w:szCs w:val="17"/>
              </w:rPr>
              <w:t>项目(政策)名称</w:t>
            </w:r>
          </w:p>
        </w:tc>
        <w:tc>
          <w:tcPr>
            <w:tcW w:w="7650" w:type="dxa"/>
            <w:gridSpan w:val="9"/>
            <w:vAlign w:val="center"/>
          </w:tcPr>
          <w:p>
            <w:pPr>
              <w:spacing w:after="0"/>
              <w:jc w:val="both"/>
              <w:rPr>
                <w:rFonts w:ascii="仿宋_GB2312" w:hAnsi="楷体" w:eastAsia="仿宋_GB2312" w:cs="Times New Roman"/>
                <w:sz w:val="20"/>
                <w:szCs w:val="20"/>
              </w:rPr>
            </w:pPr>
            <w:r>
              <w:rPr>
                <w:rFonts w:hint="eastAsia" w:ascii="仿宋_GB2312" w:hAnsi="楷体" w:eastAsia="仿宋_GB2312" w:cs="仿宋_GB2312"/>
                <w:color w:val="000000" w:themeColor="text1"/>
                <w:sz w:val="20"/>
                <w:szCs w:val="20"/>
              </w:rPr>
              <w:t>基层组织活动和公共运行维护经费（2023年）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tcPr>
          <w:p>
            <w:pPr>
              <w:spacing w:before="78" w:after="0" w:line="219" w:lineRule="auto"/>
              <w:ind w:left="404"/>
              <w:jc w:val="center"/>
              <w:rPr>
                <w:rFonts w:ascii="宋体" w:hAnsi="宋体" w:eastAsia="宋体" w:cs="宋体"/>
                <w:sz w:val="17"/>
                <w:szCs w:val="17"/>
              </w:rPr>
            </w:pPr>
            <w:r>
              <w:rPr>
                <w:rFonts w:ascii="宋体" w:hAnsi="宋体" w:eastAsia="宋体" w:cs="宋体"/>
                <w:spacing w:val="4"/>
                <w:sz w:val="17"/>
                <w:szCs w:val="17"/>
              </w:rPr>
              <w:t>主管部门</w:t>
            </w:r>
          </w:p>
        </w:tc>
        <w:tc>
          <w:tcPr>
            <w:tcW w:w="4230" w:type="dxa"/>
            <w:gridSpan w:val="6"/>
            <w:vAlign w:val="center"/>
          </w:tcPr>
          <w:p>
            <w:pPr>
              <w:spacing w:after="0"/>
              <w:jc w:val="both"/>
              <w:rPr>
                <w:rFonts w:ascii="仿宋_GB2312" w:hAnsi="楷体" w:eastAsia="仿宋_GB2312" w:cs="Times New Roman"/>
                <w:sz w:val="20"/>
                <w:szCs w:val="20"/>
              </w:rPr>
            </w:pPr>
            <w:r>
              <w:rPr>
                <w:rFonts w:hint="eastAsia" w:ascii="仿宋_GB2312" w:hAnsi="楷体" w:eastAsia="仿宋_GB2312" w:cs="仿宋_GB2312"/>
                <w:color w:val="000000" w:themeColor="text1"/>
                <w:sz w:val="20"/>
                <w:szCs w:val="20"/>
              </w:rPr>
              <w:t>广元市昭化区人民政府</w:t>
            </w:r>
          </w:p>
        </w:tc>
        <w:tc>
          <w:tcPr>
            <w:tcW w:w="984" w:type="dxa"/>
            <w:gridSpan w:val="2"/>
          </w:tcPr>
          <w:p>
            <w:pPr>
              <w:spacing w:before="78" w:after="0" w:line="219" w:lineRule="auto"/>
              <w:jc w:val="center"/>
              <w:rPr>
                <w:rFonts w:ascii="宋体" w:hAnsi="宋体" w:eastAsia="宋体" w:cs="宋体"/>
                <w:spacing w:val="4"/>
                <w:sz w:val="17"/>
                <w:szCs w:val="17"/>
              </w:rPr>
            </w:pPr>
            <w:r>
              <w:rPr>
                <w:rFonts w:ascii="宋体" w:hAnsi="宋体" w:eastAsia="宋体" w:cs="宋体"/>
                <w:spacing w:val="4"/>
                <w:sz w:val="17"/>
                <w:szCs w:val="17"/>
              </w:rPr>
              <w:t>实施单位</w:t>
            </w:r>
          </w:p>
        </w:tc>
        <w:tc>
          <w:tcPr>
            <w:tcW w:w="2436" w:type="dxa"/>
          </w:tcPr>
          <w:p>
            <w:pPr>
              <w:spacing w:before="78" w:after="0" w:line="219" w:lineRule="auto"/>
              <w:jc w:val="center"/>
              <w:rPr>
                <w:rFonts w:ascii="宋体" w:hAnsi="宋体" w:eastAsia="宋体" w:cs="宋体"/>
                <w:spacing w:val="4"/>
                <w:sz w:val="17"/>
                <w:szCs w:val="17"/>
              </w:rPr>
            </w:pPr>
            <w:r>
              <w:rPr>
                <w:rFonts w:hint="eastAsia" w:ascii="宋体" w:hAnsi="宋体" w:eastAsia="宋体" w:cs="宋体"/>
                <w:spacing w:val="4"/>
                <w:sz w:val="17"/>
                <w:szCs w:val="17"/>
              </w:rPr>
              <w:t>王家镇人民政府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9" w:type="dxa"/>
            <w:gridSpan w:val="2"/>
            <w:vMerge w:val="restart"/>
            <w:tcBorders>
              <w:bottom w:val="nil"/>
            </w:tcBorders>
          </w:tcPr>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before="55" w:after="0" w:line="235" w:lineRule="auto"/>
              <w:ind w:left="464" w:right="197" w:hanging="389"/>
              <w:rPr>
                <w:rFonts w:ascii="宋体" w:hAnsi="宋体" w:eastAsia="宋体" w:cs="宋体"/>
                <w:sz w:val="17"/>
                <w:szCs w:val="17"/>
              </w:rPr>
            </w:pPr>
            <w:r>
              <w:rPr>
                <w:rFonts w:ascii="宋体" w:hAnsi="宋体" w:eastAsia="宋体" w:cs="宋体"/>
                <w:spacing w:val="-2"/>
                <w:sz w:val="17"/>
                <w:szCs w:val="17"/>
              </w:rPr>
              <w:t>项目(政策)资金</w:t>
            </w:r>
            <w:r>
              <w:rPr>
                <w:rFonts w:ascii="宋体" w:hAnsi="宋体" w:eastAsia="宋体" w:cs="宋体"/>
                <w:spacing w:val="5"/>
                <w:sz w:val="17"/>
                <w:szCs w:val="17"/>
              </w:rPr>
              <w:t xml:space="preserve"> </w:t>
            </w:r>
            <w:r>
              <w:rPr>
                <w:rFonts w:ascii="宋体" w:hAnsi="宋体" w:eastAsia="宋体" w:cs="宋体"/>
                <w:spacing w:val="9"/>
                <w:sz w:val="17"/>
                <w:szCs w:val="17"/>
              </w:rPr>
              <w:t>(万元)</w:t>
            </w:r>
          </w:p>
        </w:tc>
        <w:tc>
          <w:tcPr>
            <w:tcW w:w="1777" w:type="dxa"/>
            <w:gridSpan w:val="3"/>
          </w:tcPr>
          <w:p>
            <w:pPr>
              <w:spacing w:before="77" w:after="0" w:line="219" w:lineRule="auto"/>
              <w:jc w:val="center"/>
              <w:rPr>
                <w:rFonts w:ascii="宋体" w:hAnsi="宋体" w:eastAsia="宋体" w:cs="宋体"/>
                <w:spacing w:val="-2"/>
                <w:sz w:val="17"/>
                <w:szCs w:val="17"/>
              </w:rPr>
            </w:pPr>
          </w:p>
        </w:tc>
        <w:tc>
          <w:tcPr>
            <w:tcW w:w="1308" w:type="dxa"/>
          </w:tcPr>
          <w:p>
            <w:pPr>
              <w:spacing w:before="77" w:after="0" w:line="219" w:lineRule="auto"/>
              <w:jc w:val="center"/>
              <w:rPr>
                <w:rFonts w:ascii="宋体" w:hAnsi="宋体" w:eastAsia="宋体" w:cs="宋体"/>
                <w:spacing w:val="-2"/>
                <w:sz w:val="17"/>
                <w:szCs w:val="17"/>
              </w:rPr>
            </w:pPr>
            <w:r>
              <w:rPr>
                <w:rFonts w:ascii="宋体" w:hAnsi="宋体" w:eastAsia="宋体" w:cs="宋体"/>
                <w:spacing w:val="-2"/>
                <w:sz w:val="17"/>
                <w:szCs w:val="17"/>
              </w:rPr>
              <w:t>年初预算数</w:t>
            </w:r>
          </w:p>
        </w:tc>
        <w:tc>
          <w:tcPr>
            <w:tcW w:w="1145" w:type="dxa"/>
            <w:gridSpan w:val="2"/>
          </w:tcPr>
          <w:p>
            <w:pPr>
              <w:spacing w:before="98" w:after="0" w:line="219" w:lineRule="auto"/>
              <w:jc w:val="center"/>
              <w:rPr>
                <w:rFonts w:ascii="宋体" w:hAnsi="宋体" w:eastAsia="宋体" w:cs="宋体"/>
                <w:sz w:val="17"/>
                <w:szCs w:val="17"/>
              </w:rPr>
            </w:pPr>
            <w:r>
              <w:rPr>
                <w:rFonts w:ascii="宋体" w:hAnsi="宋体" w:eastAsia="宋体" w:cs="宋体"/>
                <w:spacing w:val="-2"/>
                <w:sz w:val="17"/>
                <w:szCs w:val="17"/>
              </w:rPr>
              <w:t>全年预算数</w:t>
            </w:r>
          </w:p>
        </w:tc>
        <w:tc>
          <w:tcPr>
            <w:tcW w:w="984" w:type="dxa"/>
            <w:gridSpan w:val="2"/>
          </w:tcPr>
          <w:p>
            <w:pPr>
              <w:spacing w:before="77" w:after="0" w:line="219" w:lineRule="auto"/>
              <w:jc w:val="center"/>
              <w:rPr>
                <w:rFonts w:ascii="宋体" w:hAnsi="宋体" w:eastAsia="宋体" w:cs="宋体"/>
                <w:sz w:val="17"/>
                <w:szCs w:val="17"/>
              </w:rPr>
            </w:pPr>
            <w:r>
              <w:rPr>
                <w:rFonts w:ascii="宋体" w:hAnsi="宋体" w:eastAsia="宋体" w:cs="宋体"/>
                <w:spacing w:val="-2"/>
                <w:sz w:val="17"/>
                <w:szCs w:val="17"/>
              </w:rPr>
              <w:t>全年执行数</w:t>
            </w:r>
          </w:p>
        </w:tc>
        <w:tc>
          <w:tcPr>
            <w:tcW w:w="2436" w:type="dxa"/>
          </w:tcPr>
          <w:p>
            <w:pPr>
              <w:spacing w:before="77" w:after="0" w:line="219" w:lineRule="auto"/>
              <w:jc w:val="center"/>
              <w:rPr>
                <w:rFonts w:ascii="宋体" w:hAnsi="宋体" w:eastAsia="宋体" w:cs="宋体"/>
                <w:sz w:val="17"/>
                <w:szCs w:val="17"/>
              </w:rPr>
            </w:pPr>
            <w:r>
              <w:rPr>
                <w:rFonts w:ascii="宋体" w:hAnsi="宋体" w:eastAsia="宋体" w:cs="宋体"/>
                <w:spacing w:val="-2"/>
                <w:sz w:val="17"/>
                <w:szCs w:val="17"/>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79" w:after="0" w:line="219" w:lineRule="auto"/>
              <w:ind w:left="151"/>
              <w:jc w:val="center"/>
              <w:rPr>
                <w:rFonts w:ascii="宋体" w:hAnsi="宋体" w:eastAsia="宋体" w:cs="宋体"/>
                <w:sz w:val="17"/>
                <w:szCs w:val="17"/>
              </w:rPr>
            </w:pPr>
            <w:r>
              <w:rPr>
                <w:rFonts w:ascii="宋体" w:hAnsi="宋体" w:eastAsia="宋体" w:cs="宋体"/>
                <w:spacing w:val="-2"/>
                <w:sz w:val="17"/>
                <w:szCs w:val="17"/>
              </w:rPr>
              <w:t>年度资金总额</w:t>
            </w:r>
          </w:p>
        </w:tc>
        <w:tc>
          <w:tcPr>
            <w:tcW w:w="1308"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81</w:t>
            </w:r>
          </w:p>
        </w:tc>
        <w:tc>
          <w:tcPr>
            <w:tcW w:w="1145" w:type="dxa"/>
            <w:gridSpan w:val="2"/>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81</w:t>
            </w:r>
          </w:p>
        </w:tc>
        <w:tc>
          <w:tcPr>
            <w:tcW w:w="984" w:type="dxa"/>
            <w:gridSpan w:val="2"/>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81</w:t>
            </w:r>
          </w:p>
        </w:tc>
        <w:tc>
          <w:tcPr>
            <w:tcW w:w="2436"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109" w:after="0" w:line="219" w:lineRule="auto"/>
              <w:ind w:left="151"/>
              <w:rPr>
                <w:rFonts w:ascii="宋体" w:hAnsi="宋体" w:eastAsia="宋体" w:cs="宋体"/>
                <w:sz w:val="17"/>
                <w:szCs w:val="17"/>
              </w:rPr>
            </w:pPr>
            <w:r>
              <w:rPr>
                <w:rFonts w:ascii="宋体" w:hAnsi="宋体" w:eastAsia="宋体" w:cs="宋体"/>
                <w:sz w:val="17"/>
                <w:szCs w:val="17"/>
              </w:rPr>
              <w:t>(一)财政拨款小计</w:t>
            </w:r>
          </w:p>
        </w:tc>
        <w:tc>
          <w:tcPr>
            <w:tcW w:w="1308"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81</w:t>
            </w:r>
          </w:p>
        </w:tc>
        <w:tc>
          <w:tcPr>
            <w:tcW w:w="1145" w:type="dxa"/>
            <w:gridSpan w:val="2"/>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81</w:t>
            </w:r>
          </w:p>
        </w:tc>
        <w:tc>
          <w:tcPr>
            <w:tcW w:w="984" w:type="dxa"/>
            <w:gridSpan w:val="2"/>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81</w:t>
            </w:r>
          </w:p>
        </w:tc>
        <w:tc>
          <w:tcPr>
            <w:tcW w:w="2436"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80" w:after="0" w:line="219" w:lineRule="auto"/>
              <w:ind w:left="151"/>
              <w:rPr>
                <w:rFonts w:ascii="宋体" w:hAnsi="宋体" w:eastAsia="宋体" w:cs="宋体"/>
                <w:sz w:val="17"/>
                <w:szCs w:val="17"/>
              </w:rPr>
            </w:pPr>
            <w:r>
              <w:rPr>
                <w:rFonts w:ascii="宋体" w:hAnsi="宋体" w:eastAsia="宋体" w:cs="宋体"/>
                <w:sz w:val="17"/>
                <w:szCs w:val="17"/>
              </w:rPr>
              <w:t>1.一般公共预算</w:t>
            </w:r>
          </w:p>
        </w:tc>
        <w:tc>
          <w:tcPr>
            <w:tcW w:w="1308"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81</w:t>
            </w:r>
          </w:p>
        </w:tc>
        <w:tc>
          <w:tcPr>
            <w:tcW w:w="1145" w:type="dxa"/>
            <w:gridSpan w:val="2"/>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81</w:t>
            </w:r>
          </w:p>
        </w:tc>
        <w:tc>
          <w:tcPr>
            <w:tcW w:w="984" w:type="dxa"/>
            <w:gridSpan w:val="2"/>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81</w:t>
            </w:r>
          </w:p>
        </w:tc>
        <w:tc>
          <w:tcPr>
            <w:tcW w:w="2436"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78" w:after="0" w:line="219" w:lineRule="auto"/>
              <w:ind w:left="151"/>
              <w:rPr>
                <w:rFonts w:ascii="宋体" w:hAnsi="宋体" w:eastAsia="宋体" w:cs="宋体"/>
                <w:sz w:val="17"/>
                <w:szCs w:val="17"/>
              </w:rPr>
            </w:pPr>
            <w:r>
              <w:rPr>
                <w:rFonts w:ascii="宋体" w:hAnsi="宋体" w:eastAsia="宋体" w:cs="宋体"/>
                <w:spacing w:val="-2"/>
                <w:sz w:val="17"/>
                <w:szCs w:val="17"/>
              </w:rPr>
              <w:t>2.政府性基金</w:t>
            </w:r>
          </w:p>
        </w:tc>
        <w:tc>
          <w:tcPr>
            <w:tcW w:w="1308" w:type="dxa"/>
          </w:tcPr>
          <w:p>
            <w:pPr>
              <w:spacing w:after="0"/>
              <w:rPr>
                <w:rFonts w:ascii="楷体" w:hAnsi="楷体" w:eastAsia="楷体" w:cs="Times New Roman"/>
                <w:sz w:val="20"/>
                <w:szCs w:val="20"/>
              </w:rPr>
            </w:pPr>
          </w:p>
        </w:tc>
        <w:tc>
          <w:tcPr>
            <w:tcW w:w="1145" w:type="dxa"/>
            <w:gridSpan w:val="2"/>
          </w:tcPr>
          <w:p>
            <w:pPr>
              <w:spacing w:after="0"/>
              <w:rPr>
                <w:rFonts w:ascii="楷体" w:hAnsi="楷体" w:eastAsia="楷体" w:cs="Times New Roman"/>
                <w:sz w:val="20"/>
                <w:szCs w:val="20"/>
              </w:rPr>
            </w:pPr>
          </w:p>
        </w:tc>
        <w:tc>
          <w:tcPr>
            <w:tcW w:w="984" w:type="dxa"/>
            <w:gridSpan w:val="2"/>
          </w:tcPr>
          <w:p>
            <w:pPr>
              <w:spacing w:after="0"/>
              <w:rPr>
                <w:rFonts w:ascii="楷体" w:hAnsi="楷体" w:eastAsia="楷体" w:cs="Times New Roman"/>
                <w:sz w:val="20"/>
                <w:szCs w:val="20"/>
              </w:rPr>
            </w:pPr>
          </w:p>
        </w:tc>
        <w:tc>
          <w:tcPr>
            <w:tcW w:w="2436" w:type="dxa"/>
          </w:tcPr>
          <w:p>
            <w:pPr>
              <w:spacing w:after="0"/>
              <w:rPr>
                <w:rFonts w:ascii="楷体" w:hAnsi="楷体" w:eastAsia="楷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119" w:after="0" w:line="219" w:lineRule="auto"/>
              <w:ind w:left="151"/>
              <w:rPr>
                <w:rFonts w:ascii="宋体" w:hAnsi="宋体" w:eastAsia="宋体" w:cs="宋体"/>
                <w:sz w:val="17"/>
                <w:szCs w:val="17"/>
              </w:rPr>
            </w:pPr>
            <w:r>
              <w:rPr>
                <w:rFonts w:ascii="宋体" w:hAnsi="宋体" w:eastAsia="宋体" w:cs="宋体"/>
                <w:spacing w:val="-1"/>
                <w:sz w:val="17"/>
                <w:szCs w:val="17"/>
              </w:rPr>
              <w:t>3.国有资本经营预算</w:t>
            </w:r>
          </w:p>
        </w:tc>
        <w:tc>
          <w:tcPr>
            <w:tcW w:w="1308" w:type="dxa"/>
          </w:tcPr>
          <w:p>
            <w:pPr>
              <w:spacing w:after="0"/>
              <w:rPr>
                <w:rFonts w:eastAsia="宋体" w:cs="Times New Roman"/>
                <w:sz w:val="20"/>
                <w:szCs w:val="20"/>
              </w:rPr>
            </w:pPr>
          </w:p>
        </w:tc>
        <w:tc>
          <w:tcPr>
            <w:tcW w:w="1145" w:type="dxa"/>
            <w:gridSpan w:val="2"/>
          </w:tcPr>
          <w:p>
            <w:pPr>
              <w:spacing w:after="0"/>
              <w:rPr>
                <w:rFonts w:eastAsia="宋体" w:cs="Times New Roman"/>
                <w:sz w:val="20"/>
                <w:szCs w:val="20"/>
              </w:rPr>
            </w:pPr>
          </w:p>
        </w:tc>
        <w:tc>
          <w:tcPr>
            <w:tcW w:w="984" w:type="dxa"/>
            <w:gridSpan w:val="2"/>
          </w:tcPr>
          <w:p>
            <w:pPr>
              <w:spacing w:after="0"/>
              <w:rPr>
                <w:rFonts w:eastAsia="宋体" w:cs="Times New Roman"/>
                <w:sz w:val="20"/>
                <w:szCs w:val="20"/>
              </w:rPr>
            </w:pPr>
          </w:p>
        </w:tc>
        <w:tc>
          <w:tcPr>
            <w:tcW w:w="2436" w:type="dxa"/>
          </w:tcPr>
          <w:p>
            <w:pPr>
              <w:spacing w:after="0"/>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49" w:type="dxa"/>
            <w:gridSpan w:val="2"/>
            <w:vMerge w:val="continue"/>
            <w:tcBorders>
              <w:top w:val="nil"/>
            </w:tcBorders>
          </w:tcPr>
          <w:p>
            <w:pPr>
              <w:spacing w:after="0"/>
              <w:rPr>
                <w:rFonts w:eastAsia="宋体" w:cs="Times New Roman"/>
                <w:sz w:val="20"/>
                <w:szCs w:val="20"/>
              </w:rPr>
            </w:pPr>
          </w:p>
        </w:tc>
        <w:tc>
          <w:tcPr>
            <w:tcW w:w="1777" w:type="dxa"/>
            <w:gridSpan w:val="3"/>
          </w:tcPr>
          <w:p>
            <w:pPr>
              <w:spacing w:before="112" w:after="0" w:line="220" w:lineRule="auto"/>
              <w:ind w:left="151"/>
              <w:rPr>
                <w:rFonts w:ascii="宋体" w:hAnsi="宋体" w:eastAsia="宋体" w:cs="宋体"/>
                <w:sz w:val="17"/>
                <w:szCs w:val="17"/>
              </w:rPr>
            </w:pPr>
            <w:r>
              <w:rPr>
                <w:rFonts w:ascii="宋体" w:hAnsi="宋体" w:eastAsia="宋体" w:cs="宋体"/>
                <w:spacing w:val="1"/>
                <w:sz w:val="17"/>
                <w:szCs w:val="17"/>
              </w:rPr>
              <w:t>(二)其他资金</w:t>
            </w:r>
          </w:p>
        </w:tc>
        <w:tc>
          <w:tcPr>
            <w:tcW w:w="1308" w:type="dxa"/>
          </w:tcPr>
          <w:p>
            <w:pPr>
              <w:spacing w:after="0"/>
              <w:rPr>
                <w:rFonts w:eastAsia="宋体" w:cs="Times New Roman"/>
                <w:sz w:val="20"/>
                <w:szCs w:val="20"/>
              </w:rPr>
            </w:pPr>
          </w:p>
        </w:tc>
        <w:tc>
          <w:tcPr>
            <w:tcW w:w="1145" w:type="dxa"/>
            <w:gridSpan w:val="2"/>
          </w:tcPr>
          <w:p>
            <w:pPr>
              <w:spacing w:after="0"/>
              <w:rPr>
                <w:rFonts w:eastAsia="宋体" w:cs="Times New Roman"/>
                <w:sz w:val="20"/>
                <w:szCs w:val="20"/>
              </w:rPr>
            </w:pPr>
          </w:p>
        </w:tc>
        <w:tc>
          <w:tcPr>
            <w:tcW w:w="984" w:type="dxa"/>
            <w:gridSpan w:val="2"/>
          </w:tcPr>
          <w:p>
            <w:pPr>
              <w:spacing w:after="0"/>
              <w:rPr>
                <w:rFonts w:eastAsia="宋体" w:cs="Times New Roman"/>
                <w:sz w:val="20"/>
                <w:szCs w:val="20"/>
              </w:rPr>
            </w:pPr>
          </w:p>
        </w:tc>
        <w:tc>
          <w:tcPr>
            <w:tcW w:w="2436" w:type="dxa"/>
          </w:tcPr>
          <w:p>
            <w:pPr>
              <w:spacing w:after="0"/>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7" w:type="dxa"/>
            <w:vMerge w:val="restart"/>
            <w:tcBorders>
              <w:bottom w:val="nil"/>
            </w:tcBorders>
          </w:tcPr>
          <w:p>
            <w:pPr>
              <w:spacing w:after="0" w:line="385" w:lineRule="auto"/>
              <w:rPr>
                <w:rFonts w:ascii="宋体" w:hAnsi="宋体" w:eastAsia="宋体" w:cs="Times New Roman"/>
                <w:sz w:val="18"/>
                <w:szCs w:val="18"/>
              </w:rPr>
            </w:pPr>
          </w:p>
          <w:p>
            <w:pPr>
              <w:spacing w:before="55" w:after="0" w:line="219" w:lineRule="auto"/>
              <w:ind w:left="194" w:right="2" w:hanging="139"/>
              <w:rPr>
                <w:rFonts w:ascii="宋体" w:hAnsi="宋体" w:eastAsia="宋体" w:cs="宋体"/>
                <w:spacing w:val="-11"/>
                <w:sz w:val="18"/>
                <w:szCs w:val="18"/>
              </w:rPr>
            </w:pPr>
            <w:r>
              <w:rPr>
                <w:rFonts w:ascii="宋体" w:hAnsi="宋体" w:eastAsia="宋体" w:cs="宋体"/>
                <w:spacing w:val="-11"/>
                <w:sz w:val="18"/>
                <w:szCs w:val="18"/>
              </w:rPr>
              <w:t>年度总</w:t>
            </w:r>
          </w:p>
          <w:p>
            <w:pPr>
              <w:spacing w:before="55" w:after="0" w:line="219" w:lineRule="auto"/>
              <w:ind w:left="194" w:right="2" w:hanging="139"/>
              <w:rPr>
                <w:rFonts w:ascii="宋体" w:hAnsi="宋体" w:eastAsia="宋体" w:cs="宋体"/>
                <w:sz w:val="18"/>
                <w:szCs w:val="18"/>
              </w:rPr>
            </w:pPr>
            <w:r>
              <w:rPr>
                <w:rFonts w:ascii="宋体" w:hAnsi="宋体" w:eastAsia="宋体" w:cs="宋体"/>
                <w:spacing w:val="-11"/>
                <w:sz w:val="18"/>
                <w:szCs w:val="18"/>
              </w:rPr>
              <w:t>体</w:t>
            </w:r>
            <w:r>
              <w:rPr>
                <w:rFonts w:ascii="宋体" w:hAnsi="宋体" w:eastAsia="宋体" w:cs="宋体"/>
                <w:spacing w:val="6"/>
                <w:sz w:val="18"/>
                <w:szCs w:val="18"/>
              </w:rPr>
              <w:t>目标</w:t>
            </w:r>
          </w:p>
        </w:tc>
        <w:tc>
          <w:tcPr>
            <w:tcW w:w="5966" w:type="dxa"/>
            <w:gridSpan w:val="9"/>
          </w:tcPr>
          <w:p>
            <w:pPr>
              <w:spacing w:before="183" w:after="0" w:line="220" w:lineRule="auto"/>
              <w:jc w:val="center"/>
              <w:rPr>
                <w:rFonts w:ascii="宋体" w:hAnsi="宋体" w:eastAsia="宋体" w:cs="宋体"/>
                <w:sz w:val="18"/>
                <w:szCs w:val="18"/>
              </w:rPr>
            </w:pPr>
            <w:r>
              <w:rPr>
                <w:rFonts w:ascii="宋体" w:hAnsi="宋体" w:eastAsia="宋体" w:cs="宋体"/>
                <w:spacing w:val="-2"/>
                <w:sz w:val="18"/>
                <w:szCs w:val="18"/>
              </w:rPr>
              <w:t>预期目标</w:t>
            </w:r>
          </w:p>
        </w:tc>
        <w:tc>
          <w:tcPr>
            <w:tcW w:w="2436" w:type="dxa"/>
          </w:tcPr>
          <w:p>
            <w:pPr>
              <w:spacing w:before="183" w:after="0" w:line="220" w:lineRule="auto"/>
              <w:jc w:val="center"/>
              <w:rPr>
                <w:rFonts w:ascii="宋体" w:hAnsi="宋体" w:eastAsia="宋体" w:cs="宋体"/>
                <w:spacing w:val="-2"/>
                <w:sz w:val="18"/>
                <w:szCs w:val="18"/>
              </w:rPr>
            </w:pPr>
            <w:r>
              <w:rPr>
                <w:rFonts w:hint="eastAsia" w:ascii="宋体" w:hAnsi="宋体" w:eastAsia="宋体" w:cs="宋体"/>
                <w:spacing w:val="-2"/>
                <w:sz w:val="18"/>
                <w:szCs w:val="18"/>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697" w:type="dxa"/>
            <w:vMerge w:val="continue"/>
            <w:tcBorders>
              <w:top w:val="nil"/>
            </w:tcBorders>
          </w:tcPr>
          <w:p>
            <w:pPr>
              <w:spacing w:after="0"/>
              <w:rPr>
                <w:rFonts w:ascii="宋体" w:hAnsi="宋体" w:eastAsia="宋体" w:cs="Times New Roman"/>
                <w:sz w:val="18"/>
                <w:szCs w:val="18"/>
              </w:rPr>
            </w:pPr>
          </w:p>
        </w:tc>
        <w:tc>
          <w:tcPr>
            <w:tcW w:w="5966" w:type="dxa"/>
            <w:gridSpan w:val="9"/>
          </w:tcPr>
          <w:p>
            <w:pPr>
              <w:spacing w:after="0"/>
              <w:ind w:firstLine="360" w:firstLineChars="200"/>
              <w:rPr>
                <w:rFonts w:ascii="楷体" w:hAnsi="楷体" w:eastAsia="楷体" w:cs="Times New Roman"/>
                <w:sz w:val="18"/>
                <w:szCs w:val="18"/>
              </w:rPr>
            </w:pPr>
            <w:r>
              <w:rPr>
                <w:rFonts w:hint="eastAsia" w:ascii="楷体" w:hAnsi="楷体" w:eastAsia="楷体" w:cs="宋体"/>
                <w:sz w:val="18"/>
                <w:szCs w:val="18"/>
              </w:rPr>
              <w:t>王家镇辖</w:t>
            </w:r>
            <w:r>
              <w:rPr>
                <w:rFonts w:ascii="楷体" w:hAnsi="楷体" w:eastAsia="楷体" w:cs="宋体"/>
                <w:sz w:val="18"/>
                <w:szCs w:val="18"/>
              </w:rPr>
              <w:t>11</w:t>
            </w:r>
            <w:r>
              <w:rPr>
                <w:rFonts w:hint="eastAsia" w:ascii="楷体" w:hAnsi="楷体" w:eastAsia="楷体" w:cs="宋体"/>
                <w:sz w:val="18"/>
                <w:szCs w:val="18"/>
              </w:rPr>
              <w:t>个村</w:t>
            </w:r>
            <w:r>
              <w:rPr>
                <w:rFonts w:ascii="楷体" w:hAnsi="楷体" w:eastAsia="楷体" w:cs="宋体"/>
                <w:sz w:val="18"/>
                <w:szCs w:val="18"/>
              </w:rPr>
              <w:t>1</w:t>
            </w:r>
            <w:r>
              <w:rPr>
                <w:rFonts w:hint="eastAsia" w:ascii="楷体" w:hAnsi="楷体" w:eastAsia="楷体" w:cs="宋体"/>
                <w:sz w:val="18"/>
                <w:szCs w:val="18"/>
              </w:rPr>
              <w:t>个社区，实施农村公共服务运行维护项目，是推动王家镇经济高质量发展的内在要求。当前，我镇对</w:t>
            </w:r>
            <w:r>
              <w:rPr>
                <w:rFonts w:ascii="楷体" w:hAnsi="楷体" w:eastAsia="楷体" w:cs="宋体"/>
                <w:sz w:val="18"/>
                <w:szCs w:val="18"/>
              </w:rPr>
              <w:t>11</w:t>
            </w:r>
            <w:r>
              <w:rPr>
                <w:rFonts w:hint="eastAsia" w:ascii="楷体" w:hAnsi="楷体" w:eastAsia="楷体" w:cs="宋体"/>
                <w:sz w:val="18"/>
                <w:szCs w:val="18"/>
              </w:rPr>
              <w:t>个村</w:t>
            </w:r>
            <w:r>
              <w:rPr>
                <w:rFonts w:ascii="楷体" w:hAnsi="楷体" w:eastAsia="楷体" w:cs="宋体"/>
                <w:sz w:val="18"/>
                <w:szCs w:val="18"/>
              </w:rPr>
              <w:t>1</w:t>
            </w:r>
            <w:r>
              <w:rPr>
                <w:rFonts w:hint="eastAsia" w:ascii="楷体" w:hAnsi="楷体" w:eastAsia="楷体" w:cs="宋体"/>
                <w:sz w:val="18"/>
                <w:szCs w:val="18"/>
              </w:rPr>
              <w:t>个社区基层组织活动和辖区内公共服务设施进行现场排查，及时查清公共设施损坏、塌陷和服务设备不通畅等，纳入当年维护范围，才能够有利于提升各村（社区）农村公共服务保障能力。加强基层组织建设，提高基层公共运行服务保障水平和社会治理能力，按照《广元市昭化区基层活动和公共服务运行经费使用管理办法》，完成</w:t>
            </w:r>
            <w:r>
              <w:rPr>
                <w:rFonts w:ascii="楷体" w:hAnsi="楷体" w:eastAsia="楷体" w:cs="宋体"/>
                <w:sz w:val="18"/>
                <w:szCs w:val="18"/>
              </w:rPr>
              <w:t>12</w:t>
            </w:r>
            <w:r>
              <w:rPr>
                <w:rFonts w:hint="eastAsia" w:ascii="楷体" w:hAnsi="楷体" w:eastAsia="楷体" w:cs="宋体"/>
                <w:sz w:val="18"/>
                <w:szCs w:val="18"/>
              </w:rPr>
              <w:t>个村（居）组织活动场所维护、基础设施维护，维持</w:t>
            </w:r>
            <w:r>
              <w:rPr>
                <w:rFonts w:ascii="楷体" w:hAnsi="楷体" w:eastAsia="楷体" w:cs="宋体"/>
                <w:sz w:val="18"/>
                <w:szCs w:val="18"/>
              </w:rPr>
              <w:t>12</w:t>
            </w:r>
            <w:r>
              <w:rPr>
                <w:rFonts w:hint="eastAsia" w:ascii="楷体" w:hAnsi="楷体" w:eastAsia="楷体" w:cs="宋体"/>
                <w:sz w:val="18"/>
                <w:szCs w:val="18"/>
              </w:rPr>
              <w:t>个村（居）日常办公运转。垃圾清运每村每周不少于</w:t>
            </w:r>
            <w:r>
              <w:rPr>
                <w:rFonts w:ascii="楷体" w:hAnsi="楷体" w:eastAsia="楷体" w:cs="宋体"/>
                <w:sz w:val="18"/>
                <w:szCs w:val="18"/>
              </w:rPr>
              <w:t>1</w:t>
            </w:r>
            <w:r>
              <w:rPr>
                <w:rFonts w:hint="eastAsia" w:ascii="楷体" w:hAnsi="楷体" w:eastAsia="楷体" w:cs="宋体"/>
                <w:sz w:val="18"/>
                <w:szCs w:val="18"/>
              </w:rPr>
              <w:t>次，村容村貌良好，无任何“脏乱差”现象的发生。王家镇镇农公运成本为</w:t>
            </w:r>
            <w:r>
              <w:rPr>
                <w:rFonts w:ascii="楷体" w:hAnsi="楷体" w:eastAsia="楷体" w:cs="宋体"/>
                <w:sz w:val="18"/>
                <w:szCs w:val="18"/>
              </w:rPr>
              <w:t>81</w:t>
            </w:r>
            <w:r>
              <w:rPr>
                <w:rFonts w:hint="eastAsia" w:ascii="楷体" w:hAnsi="楷体" w:eastAsia="楷体" w:cs="宋体"/>
                <w:sz w:val="18"/>
                <w:szCs w:val="18"/>
              </w:rPr>
              <w:t>万元。确保资金使用合规率</w:t>
            </w:r>
            <w:r>
              <w:rPr>
                <w:rFonts w:ascii="楷体" w:hAnsi="楷体" w:eastAsia="楷体" w:cs="宋体"/>
                <w:sz w:val="18"/>
                <w:szCs w:val="18"/>
              </w:rPr>
              <w:t>100%</w:t>
            </w:r>
            <w:r>
              <w:rPr>
                <w:rFonts w:hint="eastAsia" w:ascii="楷体" w:hAnsi="楷体" w:eastAsia="楷体" w:cs="宋体"/>
                <w:sz w:val="18"/>
                <w:szCs w:val="18"/>
              </w:rPr>
              <w:t>，群众满意度达到</w:t>
            </w:r>
            <w:r>
              <w:rPr>
                <w:rFonts w:ascii="楷体" w:hAnsi="楷体" w:eastAsia="楷体" w:cs="宋体"/>
                <w:sz w:val="18"/>
                <w:szCs w:val="18"/>
              </w:rPr>
              <w:t>95%</w:t>
            </w:r>
            <w:r>
              <w:rPr>
                <w:rFonts w:hint="eastAsia" w:ascii="楷体" w:hAnsi="楷体" w:eastAsia="楷体" w:cs="宋体"/>
                <w:sz w:val="18"/>
                <w:szCs w:val="18"/>
              </w:rPr>
              <w:t>以上。</w:t>
            </w:r>
          </w:p>
        </w:tc>
        <w:tc>
          <w:tcPr>
            <w:tcW w:w="2436" w:type="dxa"/>
          </w:tcPr>
          <w:p>
            <w:pPr>
              <w:spacing w:after="0"/>
              <w:ind w:firstLine="360" w:firstLineChars="200"/>
              <w:rPr>
                <w:rFonts w:ascii="楷体" w:hAnsi="楷体" w:eastAsia="楷体" w:cs="Times New Roman"/>
                <w:sz w:val="18"/>
                <w:szCs w:val="18"/>
              </w:rPr>
            </w:pPr>
            <w:r>
              <w:rPr>
                <w:rFonts w:hint="eastAsia" w:ascii="楷体" w:hAnsi="楷体" w:eastAsia="楷体" w:cs="宋体"/>
                <w:sz w:val="18"/>
                <w:szCs w:val="18"/>
              </w:rPr>
              <w:t>完成</w:t>
            </w:r>
            <w:r>
              <w:rPr>
                <w:rFonts w:ascii="楷体" w:hAnsi="楷体" w:eastAsia="楷体" w:cs="宋体"/>
                <w:sz w:val="18"/>
                <w:szCs w:val="18"/>
              </w:rPr>
              <w:t>12</w:t>
            </w:r>
            <w:r>
              <w:rPr>
                <w:rFonts w:hint="eastAsia" w:ascii="楷体" w:hAnsi="楷体" w:eastAsia="楷体" w:cs="宋体"/>
                <w:sz w:val="18"/>
                <w:szCs w:val="18"/>
              </w:rPr>
              <w:t>个村（居）组织活动场所维护、基础设施维护，维持</w:t>
            </w:r>
            <w:r>
              <w:rPr>
                <w:rFonts w:ascii="楷体" w:hAnsi="楷体" w:eastAsia="楷体" w:cs="宋体"/>
                <w:sz w:val="18"/>
                <w:szCs w:val="18"/>
              </w:rPr>
              <w:t>12</w:t>
            </w:r>
            <w:r>
              <w:rPr>
                <w:rFonts w:hint="eastAsia" w:ascii="楷体" w:hAnsi="楷体" w:eastAsia="楷体" w:cs="宋体"/>
                <w:sz w:val="18"/>
                <w:szCs w:val="18"/>
              </w:rPr>
              <w:t>个村（居）日常办公运转。垃圾清运每村每周不少于</w:t>
            </w:r>
            <w:r>
              <w:rPr>
                <w:rFonts w:ascii="楷体" w:hAnsi="楷体" w:eastAsia="楷体" w:cs="宋体"/>
                <w:sz w:val="18"/>
                <w:szCs w:val="18"/>
              </w:rPr>
              <w:t>1</w:t>
            </w:r>
            <w:r>
              <w:rPr>
                <w:rFonts w:hint="eastAsia" w:ascii="楷体" w:hAnsi="楷体" w:eastAsia="楷体" w:cs="宋体"/>
                <w:sz w:val="18"/>
                <w:szCs w:val="18"/>
              </w:rPr>
              <w:t>次，村容村貌良好，无任何“脏乱差”现象的发生。王家镇镇农公运成本为</w:t>
            </w:r>
            <w:r>
              <w:rPr>
                <w:rFonts w:ascii="楷体" w:hAnsi="楷体" w:eastAsia="楷体" w:cs="宋体"/>
                <w:sz w:val="18"/>
                <w:szCs w:val="18"/>
              </w:rPr>
              <w:t>81</w:t>
            </w:r>
            <w:r>
              <w:rPr>
                <w:rFonts w:hint="eastAsia" w:ascii="楷体" w:hAnsi="楷体" w:eastAsia="楷体" w:cs="宋体"/>
                <w:sz w:val="18"/>
                <w:szCs w:val="18"/>
              </w:rPr>
              <w:t>万元。资金使用合规率</w:t>
            </w:r>
            <w:r>
              <w:rPr>
                <w:rFonts w:ascii="楷体" w:hAnsi="楷体" w:eastAsia="楷体" w:cs="宋体"/>
                <w:sz w:val="18"/>
                <w:szCs w:val="18"/>
              </w:rPr>
              <w:t>100%</w:t>
            </w:r>
            <w:r>
              <w:rPr>
                <w:rFonts w:hint="eastAsia" w:ascii="楷体" w:hAnsi="楷体" w:eastAsia="楷体" w:cs="宋体"/>
                <w:sz w:val="18"/>
                <w:szCs w:val="18"/>
              </w:rPr>
              <w:t>，群众满意度达到</w:t>
            </w:r>
            <w:r>
              <w:rPr>
                <w:rFonts w:ascii="楷体" w:hAnsi="楷体" w:eastAsia="楷体" w:cs="宋体"/>
                <w:sz w:val="18"/>
                <w:szCs w:val="18"/>
              </w:rPr>
              <w:t>9</w:t>
            </w:r>
            <w:r>
              <w:rPr>
                <w:rFonts w:hint="eastAsia" w:ascii="楷体" w:hAnsi="楷体" w:eastAsia="楷体" w:cs="宋体"/>
                <w:sz w:val="18"/>
                <w:szCs w:val="18"/>
              </w:rPr>
              <w:t>7</w:t>
            </w:r>
            <w:r>
              <w:rPr>
                <w:rFonts w:ascii="楷体" w:hAnsi="楷体" w:eastAsia="楷体" w:cs="宋体"/>
                <w:sz w:val="18"/>
                <w:szCs w:val="18"/>
              </w:rPr>
              <w:t>%</w:t>
            </w:r>
            <w:r>
              <w:rPr>
                <w:rFonts w:hint="eastAsia" w:ascii="楷体" w:hAnsi="楷体" w:eastAsia="楷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 w:hRule="atLeast"/>
        </w:trPr>
        <w:tc>
          <w:tcPr>
            <w:tcW w:w="697" w:type="dxa"/>
            <w:vMerge w:val="restart"/>
          </w:tcPr>
          <w:p>
            <w:pPr>
              <w:spacing w:after="0" w:line="253" w:lineRule="auto"/>
              <w:jc w:val="center"/>
              <w:rPr>
                <w:rFonts w:ascii="宋体" w:hAnsi="宋体" w:eastAsia="宋体" w:cs="Times New Roman"/>
                <w:sz w:val="18"/>
                <w:szCs w:val="18"/>
              </w:rPr>
            </w:pPr>
          </w:p>
          <w:p>
            <w:pPr>
              <w:spacing w:after="0" w:line="253" w:lineRule="auto"/>
              <w:jc w:val="center"/>
              <w:rPr>
                <w:rFonts w:ascii="宋体" w:hAnsi="宋体" w:eastAsia="宋体" w:cs="Times New Roman"/>
                <w:sz w:val="18"/>
                <w:szCs w:val="18"/>
              </w:rPr>
            </w:pPr>
          </w:p>
          <w:p>
            <w:pPr>
              <w:spacing w:after="0" w:line="253"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after="0" w:line="254" w:lineRule="auto"/>
              <w:jc w:val="center"/>
              <w:rPr>
                <w:rFonts w:ascii="宋体" w:hAnsi="宋体" w:eastAsia="宋体" w:cs="Times New Roman"/>
                <w:sz w:val="18"/>
                <w:szCs w:val="18"/>
              </w:rPr>
            </w:pPr>
          </w:p>
          <w:p>
            <w:pPr>
              <w:spacing w:before="56" w:after="0" w:line="220" w:lineRule="auto"/>
              <w:ind w:left="55"/>
              <w:jc w:val="center"/>
              <w:rPr>
                <w:rFonts w:ascii="宋体" w:hAnsi="宋体" w:eastAsia="宋体" w:cs="宋体"/>
                <w:spacing w:val="-11"/>
                <w:sz w:val="18"/>
                <w:szCs w:val="18"/>
              </w:rPr>
            </w:pPr>
            <w:r>
              <w:rPr>
                <w:rFonts w:ascii="宋体" w:hAnsi="宋体" w:eastAsia="宋体" w:cs="宋体"/>
                <w:spacing w:val="-11"/>
                <w:sz w:val="18"/>
                <w:szCs w:val="18"/>
              </w:rPr>
              <w:t>绩效</w:t>
            </w:r>
          </w:p>
          <w:p>
            <w:pPr>
              <w:spacing w:before="56" w:after="0" w:line="220" w:lineRule="auto"/>
              <w:ind w:left="55"/>
              <w:jc w:val="center"/>
              <w:rPr>
                <w:rFonts w:ascii="宋体" w:hAnsi="宋体" w:eastAsia="宋体" w:cs="宋体"/>
                <w:sz w:val="18"/>
                <w:szCs w:val="18"/>
              </w:rPr>
            </w:pPr>
            <w:r>
              <w:rPr>
                <w:rFonts w:ascii="宋体" w:hAnsi="宋体" w:eastAsia="宋体" w:cs="宋体"/>
                <w:spacing w:val="-11"/>
                <w:sz w:val="18"/>
                <w:szCs w:val="18"/>
              </w:rPr>
              <w:t>指标</w:t>
            </w:r>
          </w:p>
        </w:tc>
        <w:tc>
          <w:tcPr>
            <w:tcW w:w="863" w:type="dxa"/>
            <w:gridSpan w:val="2"/>
            <w:tcBorders>
              <w:bottom w:val="single" w:color="auto" w:sz="4" w:space="0"/>
            </w:tcBorders>
          </w:tcPr>
          <w:p>
            <w:pPr>
              <w:spacing w:before="155" w:after="0" w:line="220" w:lineRule="auto"/>
              <w:ind w:left="40"/>
              <w:jc w:val="center"/>
              <w:rPr>
                <w:rFonts w:ascii="宋体" w:hAnsi="宋体" w:eastAsia="宋体" w:cs="宋体"/>
                <w:sz w:val="18"/>
                <w:szCs w:val="18"/>
              </w:rPr>
            </w:pPr>
            <w:r>
              <w:rPr>
                <w:rFonts w:ascii="宋体" w:hAnsi="宋体" w:eastAsia="宋体" w:cs="宋体"/>
                <w:spacing w:val="-2"/>
                <w:sz w:val="18"/>
                <w:szCs w:val="18"/>
              </w:rPr>
              <w:t>一级指标</w:t>
            </w:r>
          </w:p>
        </w:tc>
        <w:tc>
          <w:tcPr>
            <w:tcW w:w="1134" w:type="dxa"/>
          </w:tcPr>
          <w:p>
            <w:pPr>
              <w:spacing w:before="155" w:after="0" w:line="220" w:lineRule="auto"/>
              <w:jc w:val="center"/>
              <w:rPr>
                <w:rFonts w:ascii="宋体" w:hAnsi="宋体" w:eastAsia="宋体" w:cs="宋体"/>
                <w:sz w:val="18"/>
                <w:szCs w:val="18"/>
              </w:rPr>
            </w:pPr>
            <w:r>
              <w:rPr>
                <w:rFonts w:ascii="宋体" w:hAnsi="宋体" w:eastAsia="宋体" w:cs="宋体"/>
                <w:spacing w:val="-2"/>
                <w:sz w:val="18"/>
                <w:szCs w:val="18"/>
              </w:rPr>
              <w:t>二级指标</w:t>
            </w:r>
          </w:p>
        </w:tc>
        <w:tc>
          <w:tcPr>
            <w:tcW w:w="2126" w:type="dxa"/>
            <w:gridSpan w:val="3"/>
          </w:tcPr>
          <w:p>
            <w:pPr>
              <w:spacing w:before="155" w:after="0" w:line="220" w:lineRule="auto"/>
              <w:jc w:val="center"/>
              <w:rPr>
                <w:rFonts w:ascii="宋体" w:hAnsi="宋体" w:eastAsia="宋体" w:cs="宋体"/>
                <w:sz w:val="18"/>
                <w:szCs w:val="18"/>
              </w:rPr>
            </w:pPr>
            <w:r>
              <w:rPr>
                <w:rFonts w:ascii="宋体" w:hAnsi="宋体" w:eastAsia="宋体" w:cs="宋体"/>
                <w:spacing w:val="-2"/>
                <w:sz w:val="18"/>
                <w:szCs w:val="18"/>
              </w:rPr>
              <w:t>三级指标</w:t>
            </w:r>
          </w:p>
        </w:tc>
        <w:tc>
          <w:tcPr>
            <w:tcW w:w="992" w:type="dxa"/>
            <w:gridSpan w:val="2"/>
          </w:tcPr>
          <w:p>
            <w:pPr>
              <w:spacing w:before="155" w:after="0" w:line="219" w:lineRule="auto"/>
              <w:jc w:val="center"/>
              <w:rPr>
                <w:rFonts w:ascii="宋体" w:hAnsi="宋体" w:eastAsia="宋体" w:cs="宋体"/>
                <w:sz w:val="18"/>
                <w:szCs w:val="18"/>
              </w:rPr>
            </w:pPr>
            <w:r>
              <w:rPr>
                <w:rFonts w:ascii="宋体" w:hAnsi="宋体" w:eastAsia="宋体" w:cs="宋体"/>
                <w:spacing w:val="-2"/>
                <w:sz w:val="18"/>
                <w:szCs w:val="18"/>
              </w:rPr>
              <w:t>年度指标值</w:t>
            </w:r>
          </w:p>
        </w:tc>
        <w:tc>
          <w:tcPr>
            <w:tcW w:w="851" w:type="dxa"/>
          </w:tcPr>
          <w:p>
            <w:pPr>
              <w:spacing w:before="155" w:after="0" w:line="219" w:lineRule="auto"/>
              <w:jc w:val="center"/>
              <w:rPr>
                <w:rFonts w:ascii="宋体" w:hAnsi="宋体" w:eastAsia="宋体" w:cs="宋体"/>
                <w:sz w:val="18"/>
                <w:szCs w:val="18"/>
              </w:rPr>
            </w:pPr>
            <w:r>
              <w:rPr>
                <w:rFonts w:ascii="宋体" w:hAnsi="宋体" w:eastAsia="宋体" w:cs="宋体"/>
                <w:spacing w:val="-2"/>
                <w:sz w:val="18"/>
                <w:szCs w:val="18"/>
              </w:rPr>
              <w:t>实际完成值</w:t>
            </w:r>
          </w:p>
        </w:tc>
        <w:tc>
          <w:tcPr>
            <w:tcW w:w="2436" w:type="dxa"/>
          </w:tcPr>
          <w:p>
            <w:pPr>
              <w:spacing w:before="75" w:after="0" w:line="227" w:lineRule="auto"/>
              <w:jc w:val="center"/>
              <w:rPr>
                <w:rFonts w:ascii="宋体" w:hAnsi="宋体" w:eastAsia="宋体" w:cs="宋体"/>
                <w:sz w:val="18"/>
                <w:szCs w:val="18"/>
              </w:rPr>
            </w:pPr>
            <w:r>
              <w:rPr>
                <w:rFonts w:ascii="宋体" w:hAnsi="宋体" w:eastAsia="宋体" w:cs="宋体"/>
                <w:sz w:val="18"/>
                <w:szCs w:val="18"/>
              </w:rPr>
              <w:t>偏差原因分析及</w:t>
            </w:r>
            <w:r>
              <w:rPr>
                <w:rFonts w:ascii="宋体" w:hAnsi="宋体" w:eastAsia="宋体" w:cs="宋体"/>
                <w:spacing w:val="11"/>
                <w:sz w:val="18"/>
                <w:szCs w:val="18"/>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restart"/>
            <w:tcBorders>
              <w:top w:val="single" w:color="auto" w:sz="4" w:space="0"/>
              <w:left w:val="single" w:color="auto" w:sz="4" w:space="0"/>
              <w:right w:val="single" w:color="auto" w:sz="4" w:space="0"/>
            </w:tcBorders>
            <w:vAlign w:val="center"/>
          </w:tcPr>
          <w:p>
            <w:pPr>
              <w:spacing w:before="56" w:after="0" w:line="219" w:lineRule="auto"/>
              <w:jc w:val="center"/>
              <w:rPr>
                <w:rFonts w:ascii="宋体" w:hAnsi="宋体" w:eastAsia="宋体" w:cs="宋体"/>
                <w:sz w:val="18"/>
                <w:szCs w:val="18"/>
              </w:rPr>
            </w:pPr>
            <w:r>
              <w:rPr>
                <w:rFonts w:ascii="宋体" w:hAnsi="宋体" w:eastAsia="宋体" w:cs="宋体"/>
                <w:spacing w:val="-2"/>
                <w:sz w:val="18"/>
                <w:szCs w:val="18"/>
              </w:rPr>
              <w:t>产出指标</w:t>
            </w: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数量指标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村社区全年垃圾清运次数</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≥603次</w:t>
            </w:r>
          </w:p>
        </w:tc>
        <w:tc>
          <w:tcPr>
            <w:tcW w:w="8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612次</w:t>
            </w:r>
          </w:p>
        </w:tc>
        <w:tc>
          <w:tcPr>
            <w:tcW w:w="2436"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continue"/>
            <w:tcBorders>
              <w:left w:val="single" w:color="auto" w:sz="4" w:space="0"/>
              <w:right w:val="single" w:color="auto" w:sz="4" w:space="0"/>
            </w:tcBorders>
            <w:vAlign w:val="center"/>
          </w:tcPr>
          <w:p>
            <w:pPr>
              <w:spacing w:after="0"/>
              <w:jc w:val="center"/>
              <w:rPr>
                <w:rFonts w:ascii="宋体" w:hAnsi="宋体" w:eastAsia="宋体" w:cs="Times New Roman"/>
                <w:sz w:val="18"/>
                <w:szCs w:val="18"/>
              </w:rPr>
            </w:pPr>
          </w:p>
        </w:tc>
        <w:tc>
          <w:tcPr>
            <w:tcW w:w="1134" w:type="dxa"/>
            <w:tcBorders>
              <w:left w:val="single" w:color="auto" w:sz="4" w:space="0"/>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时效指标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各项任务完成时间</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≤1年</w:t>
            </w:r>
          </w:p>
        </w:tc>
        <w:tc>
          <w:tcPr>
            <w:tcW w:w="8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1年</w:t>
            </w:r>
          </w:p>
        </w:tc>
        <w:tc>
          <w:tcPr>
            <w:tcW w:w="2436"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continue"/>
            <w:tcBorders>
              <w:left w:val="single" w:color="auto" w:sz="4" w:space="0"/>
              <w:right w:val="single" w:color="auto" w:sz="4" w:space="0"/>
            </w:tcBorders>
            <w:vAlign w:val="center"/>
          </w:tcPr>
          <w:p>
            <w:pPr>
              <w:spacing w:after="0"/>
              <w:jc w:val="center"/>
              <w:rPr>
                <w:rFonts w:ascii="宋体" w:hAnsi="宋体" w:eastAsia="宋体" w:cs="Times New Roman"/>
                <w:sz w:val="18"/>
                <w:szCs w:val="18"/>
              </w:rPr>
            </w:pPr>
          </w:p>
        </w:tc>
        <w:tc>
          <w:tcPr>
            <w:tcW w:w="1134" w:type="dxa"/>
            <w:tcBorders>
              <w:left w:val="single" w:color="auto" w:sz="4" w:space="0"/>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质量指标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村组道路维护、卫生等验收合格</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≥95%</w:t>
            </w:r>
          </w:p>
        </w:tc>
        <w:tc>
          <w:tcPr>
            <w:tcW w:w="8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98%</w:t>
            </w:r>
          </w:p>
        </w:tc>
        <w:tc>
          <w:tcPr>
            <w:tcW w:w="2436"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continue"/>
            <w:tcBorders>
              <w:left w:val="single" w:color="auto" w:sz="4" w:space="0"/>
              <w:right w:val="single" w:color="auto" w:sz="4" w:space="0"/>
            </w:tcBorders>
            <w:vAlign w:val="center"/>
          </w:tcPr>
          <w:p>
            <w:pPr>
              <w:spacing w:after="0"/>
              <w:jc w:val="center"/>
              <w:rPr>
                <w:rFonts w:ascii="宋体" w:hAnsi="宋体" w:eastAsia="宋体" w:cs="Times New Roman"/>
                <w:sz w:val="18"/>
                <w:szCs w:val="18"/>
              </w:rPr>
            </w:pPr>
          </w:p>
        </w:tc>
        <w:tc>
          <w:tcPr>
            <w:tcW w:w="1134" w:type="dxa"/>
            <w:tcBorders>
              <w:left w:val="single" w:color="auto" w:sz="4" w:space="0"/>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数量指标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覆盖村民数</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≥17570人</w:t>
            </w:r>
          </w:p>
        </w:tc>
        <w:tc>
          <w:tcPr>
            <w:tcW w:w="8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17570人</w:t>
            </w:r>
          </w:p>
        </w:tc>
        <w:tc>
          <w:tcPr>
            <w:tcW w:w="2436"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continue"/>
            <w:tcBorders>
              <w:left w:val="single" w:color="auto" w:sz="4" w:space="0"/>
              <w:bottom w:val="single" w:color="auto" w:sz="4" w:space="0"/>
              <w:right w:val="single" w:color="auto" w:sz="4" w:space="0"/>
            </w:tcBorders>
            <w:vAlign w:val="center"/>
          </w:tcPr>
          <w:p>
            <w:pPr>
              <w:spacing w:after="0"/>
              <w:jc w:val="center"/>
              <w:rPr>
                <w:rFonts w:ascii="宋体" w:hAnsi="宋体" w:eastAsia="宋体" w:cs="Times New Roman"/>
                <w:sz w:val="18"/>
                <w:szCs w:val="18"/>
              </w:rPr>
            </w:pP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质量指标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垃圾清运合格率</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≥95%</w:t>
            </w:r>
          </w:p>
        </w:tc>
        <w:tc>
          <w:tcPr>
            <w:tcW w:w="8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98%</w:t>
            </w:r>
          </w:p>
        </w:tc>
        <w:tc>
          <w:tcPr>
            <w:tcW w:w="2436"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restart"/>
            <w:tcBorders>
              <w:top w:val="single" w:color="auto" w:sz="4" w:space="0"/>
              <w:left w:val="single" w:color="auto" w:sz="4" w:space="0"/>
              <w:right w:val="single" w:color="auto" w:sz="4" w:space="0"/>
            </w:tcBorders>
            <w:vAlign w:val="center"/>
          </w:tcPr>
          <w:p>
            <w:pPr>
              <w:spacing w:after="0"/>
              <w:jc w:val="center"/>
              <w:rPr>
                <w:rFonts w:ascii="宋体" w:hAnsi="宋体" w:eastAsia="宋体" w:cs="Times New Roman"/>
                <w:sz w:val="18"/>
                <w:szCs w:val="18"/>
              </w:rPr>
            </w:pPr>
            <w:r>
              <w:rPr>
                <w:rFonts w:hint="eastAsia" w:ascii="宋体" w:hAnsi="宋体" w:eastAsia="宋体" w:cs="宋体"/>
                <w:spacing w:val="-2"/>
                <w:sz w:val="18"/>
                <w:szCs w:val="18"/>
              </w:rPr>
              <w:t>效益指标</w:t>
            </w: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生态效益指标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环境卫生、村容村貌良好</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优</w:t>
            </w:r>
          </w:p>
        </w:tc>
        <w:tc>
          <w:tcPr>
            <w:tcW w:w="8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优</w:t>
            </w:r>
          </w:p>
        </w:tc>
        <w:tc>
          <w:tcPr>
            <w:tcW w:w="2436"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continue"/>
            <w:tcBorders>
              <w:left w:val="single" w:color="auto" w:sz="4" w:space="0"/>
              <w:right w:val="single" w:color="auto" w:sz="4" w:space="0"/>
            </w:tcBorders>
            <w:vAlign w:val="center"/>
          </w:tcPr>
          <w:p>
            <w:pPr>
              <w:spacing w:after="0"/>
              <w:jc w:val="center"/>
              <w:rPr>
                <w:rFonts w:ascii="宋体" w:hAnsi="宋体" w:eastAsia="宋体" w:cs="Times New Roman"/>
                <w:sz w:val="18"/>
                <w:szCs w:val="18"/>
              </w:rPr>
            </w:pP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社会效益指标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覆盖村民小组数</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＝65个</w:t>
            </w:r>
          </w:p>
        </w:tc>
        <w:tc>
          <w:tcPr>
            <w:tcW w:w="8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65个</w:t>
            </w:r>
          </w:p>
        </w:tc>
        <w:tc>
          <w:tcPr>
            <w:tcW w:w="2436"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863" w:type="dxa"/>
            <w:gridSpan w:val="2"/>
            <w:vAlign w:val="center"/>
          </w:tcPr>
          <w:p>
            <w:pPr>
              <w:spacing w:before="146" w:after="0" w:line="219" w:lineRule="auto"/>
              <w:ind w:left="191" w:right="124" w:hanging="70"/>
              <w:jc w:val="center"/>
              <w:rPr>
                <w:rFonts w:ascii="宋体" w:hAnsi="宋体" w:eastAsia="宋体" w:cs="宋体"/>
                <w:sz w:val="18"/>
                <w:szCs w:val="18"/>
              </w:rPr>
            </w:pPr>
            <w:r>
              <w:rPr>
                <w:rFonts w:hint="eastAsia" w:ascii="宋体" w:hAnsi="宋体" w:eastAsia="宋体" w:cs="宋体"/>
                <w:spacing w:val="-3"/>
                <w:sz w:val="18"/>
                <w:szCs w:val="18"/>
              </w:rPr>
              <w:t>满意度指标</w:t>
            </w:r>
          </w:p>
        </w:tc>
        <w:tc>
          <w:tcPr>
            <w:tcW w:w="1134" w:type="dxa"/>
            <w:vAlign w:val="center"/>
          </w:tcPr>
          <w:p>
            <w:pPr>
              <w:spacing w:after="0" w:line="200" w:lineRule="exact"/>
              <w:jc w:val="center"/>
              <w:rPr>
                <w:rFonts w:ascii="楷体" w:hAnsi="楷体" w:eastAsia="楷体" w:cs="宋体"/>
                <w:sz w:val="18"/>
                <w:szCs w:val="18"/>
              </w:rPr>
            </w:pPr>
            <w:r>
              <w:rPr>
                <w:rFonts w:hint="eastAsia" w:ascii="楷体" w:hAnsi="楷体" w:eastAsia="楷体" w:cs="Times New Roman"/>
                <w:sz w:val="18"/>
                <w:szCs w:val="18"/>
              </w:rPr>
              <w:t>服务对象满意度指标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受益群众满意度</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≥96%</w:t>
            </w:r>
          </w:p>
        </w:tc>
        <w:tc>
          <w:tcPr>
            <w:tcW w:w="8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97%</w:t>
            </w:r>
          </w:p>
        </w:tc>
        <w:tc>
          <w:tcPr>
            <w:tcW w:w="2436" w:type="dxa"/>
            <w:vAlign w:val="center"/>
          </w:tcPr>
          <w:p>
            <w:pPr>
              <w:spacing w:after="0"/>
              <w:jc w:val="both"/>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863" w:type="dxa"/>
            <w:gridSpan w:val="2"/>
            <w:vMerge w:val="restart"/>
            <w:vAlign w:val="center"/>
          </w:tcPr>
          <w:p>
            <w:pPr>
              <w:spacing w:before="146" w:after="0" w:line="219" w:lineRule="auto"/>
              <w:ind w:left="191" w:right="124" w:hanging="70"/>
              <w:jc w:val="center"/>
              <w:rPr>
                <w:rFonts w:ascii="宋体" w:hAnsi="宋体" w:eastAsia="宋体" w:cs="宋体"/>
                <w:spacing w:val="-3"/>
                <w:sz w:val="18"/>
                <w:szCs w:val="18"/>
              </w:rPr>
            </w:pPr>
            <w:r>
              <w:rPr>
                <w:rFonts w:hint="eastAsia" w:ascii="宋体" w:hAnsi="宋体" w:eastAsia="宋体" w:cs="宋体"/>
                <w:spacing w:val="-3"/>
                <w:sz w:val="18"/>
                <w:szCs w:val="18"/>
              </w:rPr>
              <w:t>成本指标</w:t>
            </w:r>
          </w:p>
        </w:tc>
        <w:tc>
          <w:tcPr>
            <w:tcW w:w="1134" w:type="dxa"/>
            <w:vAlign w:val="center"/>
          </w:tcPr>
          <w:p>
            <w:pPr>
              <w:spacing w:after="0" w:line="220" w:lineRule="exact"/>
              <w:jc w:val="center"/>
              <w:rPr>
                <w:rFonts w:ascii="楷体" w:hAnsi="楷体" w:eastAsia="楷体" w:cs="宋体"/>
                <w:sz w:val="18"/>
                <w:szCs w:val="18"/>
              </w:rPr>
            </w:pPr>
            <w:r>
              <w:rPr>
                <w:rFonts w:hint="eastAsia" w:ascii="楷体" w:hAnsi="楷体" w:eastAsia="楷体" w:cs="Times New Roman"/>
                <w:sz w:val="18"/>
                <w:szCs w:val="18"/>
              </w:rPr>
              <w:t>经济成本指标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社区经费</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≤7万元</w:t>
            </w:r>
          </w:p>
        </w:tc>
        <w:tc>
          <w:tcPr>
            <w:tcW w:w="8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7万元</w:t>
            </w:r>
          </w:p>
        </w:tc>
        <w:tc>
          <w:tcPr>
            <w:tcW w:w="2436" w:type="dxa"/>
            <w:vAlign w:val="center"/>
          </w:tcPr>
          <w:p>
            <w:pPr>
              <w:spacing w:after="0"/>
              <w:jc w:val="both"/>
              <w:rPr>
                <w:rFonts w:ascii="楷体" w:hAnsi="楷体" w:eastAsia="楷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863" w:type="dxa"/>
            <w:gridSpan w:val="2"/>
            <w:vMerge w:val="continue"/>
            <w:vAlign w:val="center"/>
          </w:tcPr>
          <w:p>
            <w:pPr>
              <w:spacing w:before="146" w:after="0" w:line="219" w:lineRule="auto"/>
              <w:ind w:left="191" w:right="124" w:hanging="70"/>
              <w:jc w:val="center"/>
              <w:rPr>
                <w:rFonts w:ascii="宋体" w:hAnsi="宋体" w:eastAsia="宋体" w:cs="宋体"/>
                <w:spacing w:val="-3"/>
                <w:sz w:val="18"/>
                <w:szCs w:val="18"/>
              </w:rPr>
            </w:pPr>
          </w:p>
        </w:tc>
        <w:tc>
          <w:tcPr>
            <w:tcW w:w="1134" w:type="dxa"/>
            <w:vAlign w:val="center"/>
          </w:tcPr>
          <w:p>
            <w:pPr>
              <w:spacing w:after="0" w:line="220" w:lineRule="exact"/>
              <w:jc w:val="center"/>
              <w:rPr>
                <w:rFonts w:ascii="楷体" w:hAnsi="楷体" w:eastAsia="楷体" w:cs="宋体"/>
                <w:sz w:val="18"/>
                <w:szCs w:val="18"/>
              </w:rPr>
            </w:pPr>
            <w:r>
              <w:rPr>
                <w:rFonts w:hint="eastAsia" w:ascii="楷体" w:hAnsi="楷体" w:eastAsia="楷体" w:cs="Times New Roman"/>
                <w:sz w:val="18"/>
                <w:szCs w:val="18"/>
              </w:rPr>
              <w:t>经济成本指标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村经费</w:t>
            </w:r>
          </w:p>
        </w:tc>
        <w:tc>
          <w:tcPr>
            <w:tcW w:w="992" w:type="dxa"/>
            <w:gridSpan w:val="2"/>
            <w:vAlign w:val="center"/>
          </w:tcPr>
          <w:p>
            <w:pPr>
              <w:spacing w:after="0"/>
              <w:rPr>
                <w:rFonts w:ascii="楷体" w:hAnsi="楷体" w:eastAsia="楷体" w:cs="宋体"/>
                <w:sz w:val="18"/>
                <w:szCs w:val="18"/>
              </w:rPr>
            </w:pPr>
            <w:r>
              <w:rPr>
                <w:rFonts w:hint="eastAsia" w:ascii="楷体" w:hAnsi="楷体" w:eastAsia="楷体" w:cs="Times New Roman"/>
                <w:sz w:val="18"/>
                <w:szCs w:val="18"/>
              </w:rPr>
              <w:t>≤74万元</w:t>
            </w:r>
          </w:p>
        </w:tc>
        <w:tc>
          <w:tcPr>
            <w:tcW w:w="8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74万元</w:t>
            </w:r>
          </w:p>
        </w:tc>
        <w:tc>
          <w:tcPr>
            <w:tcW w:w="2436" w:type="dxa"/>
            <w:vAlign w:val="center"/>
          </w:tcPr>
          <w:p>
            <w:pPr>
              <w:spacing w:after="0"/>
              <w:jc w:val="both"/>
              <w:rPr>
                <w:rFonts w:ascii="楷体" w:hAnsi="楷体" w:eastAsia="楷体" w:cs="宋体"/>
                <w:sz w:val="18"/>
                <w:szCs w:val="18"/>
              </w:rPr>
            </w:pPr>
          </w:p>
        </w:tc>
      </w:tr>
    </w:tbl>
    <w:p>
      <w:pPr>
        <w:spacing w:after="0" w:line="576" w:lineRule="exact"/>
        <w:jc w:val="center"/>
        <w:rPr>
          <w:rFonts w:ascii="方正小标宋简体" w:hAnsi="黑体" w:eastAsia="方正小标宋简体" w:cs="黑体"/>
          <w:bCs/>
          <w:color w:val="000000" w:themeColor="text1"/>
          <w:sz w:val="44"/>
          <w:szCs w:val="44"/>
        </w:rPr>
      </w:pPr>
      <w:r>
        <w:rPr>
          <w:rFonts w:hint="eastAsia" w:ascii="方正小标宋简体" w:hAnsi="黑体" w:eastAsia="方正小标宋简体" w:cs="黑体"/>
          <w:bCs/>
          <w:color w:val="000000" w:themeColor="text1"/>
          <w:sz w:val="44"/>
          <w:szCs w:val="44"/>
        </w:rPr>
        <w:t>广元市昭化区王家镇人民政府</w:t>
      </w:r>
    </w:p>
    <w:p>
      <w:pPr>
        <w:spacing w:after="0" w:line="576" w:lineRule="exact"/>
        <w:jc w:val="center"/>
        <w:rPr>
          <w:rFonts w:ascii="方正小标宋简体" w:hAnsi="黑体" w:eastAsia="方正小标宋简体" w:cs="黑体"/>
          <w:bCs/>
          <w:color w:val="000000" w:themeColor="text1"/>
          <w:sz w:val="44"/>
          <w:szCs w:val="44"/>
        </w:rPr>
      </w:pPr>
      <w:r>
        <w:rPr>
          <w:rFonts w:hint="eastAsia" w:ascii="方正小标宋简体" w:hAnsi="黑体" w:eastAsia="方正小标宋简体" w:cs="黑体"/>
          <w:bCs/>
          <w:color w:val="000000" w:themeColor="text1"/>
          <w:sz w:val="44"/>
          <w:szCs w:val="44"/>
        </w:rPr>
        <w:t>关于王家镇2023年烟叶产业发展经费支出</w:t>
      </w:r>
    </w:p>
    <w:p>
      <w:pPr>
        <w:spacing w:after="0" w:line="576" w:lineRule="exact"/>
        <w:jc w:val="center"/>
        <w:rPr>
          <w:rFonts w:ascii="方正小标宋简体" w:hAnsi="黑体" w:eastAsia="方正小标宋简体" w:cs="黑体"/>
          <w:bCs/>
          <w:color w:val="000000" w:themeColor="text1"/>
          <w:sz w:val="44"/>
          <w:szCs w:val="44"/>
        </w:rPr>
      </w:pPr>
      <w:r>
        <w:rPr>
          <w:rFonts w:hint="eastAsia" w:ascii="方正小标宋简体" w:hAnsi="黑体" w:eastAsia="方正小标宋简体" w:cs="黑体"/>
          <w:bCs/>
          <w:color w:val="000000" w:themeColor="text1"/>
          <w:sz w:val="44"/>
          <w:szCs w:val="44"/>
        </w:rPr>
        <w:t>绩效评价的报告</w:t>
      </w:r>
    </w:p>
    <w:p>
      <w:pPr>
        <w:spacing w:line="576" w:lineRule="exact"/>
        <w:rPr>
          <w:rFonts w:ascii="仿宋_GB2312" w:hAnsi="楷体_GB2312" w:eastAsia="仿宋_GB2312" w:cs="楷体_GB2312"/>
          <w:color w:val="000000" w:themeColor="text1"/>
          <w:sz w:val="32"/>
          <w:szCs w:val="32"/>
        </w:rPr>
      </w:pPr>
    </w:p>
    <w:p>
      <w:pPr>
        <w:spacing w:after="0" w:line="576"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一、项目概况</w:t>
      </w:r>
    </w:p>
    <w:p>
      <w:pPr>
        <w:spacing w:after="0" w:line="576"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（一）项目资金申报及批复情况。</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该项目申报资金性质为一般公共预算，总申报金额为77.51万元，申报项目涉及全镇8村。上级实际批复和拨付为77.51万元。</w:t>
      </w:r>
    </w:p>
    <w:p>
      <w:pPr>
        <w:spacing w:after="0" w:line="576"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（二）项目绩效目标。</w:t>
      </w:r>
    </w:p>
    <w:p>
      <w:pPr>
        <w:spacing w:after="0" w:line="576"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color w:val="000000" w:themeColor="text1"/>
          <w:sz w:val="32"/>
          <w:szCs w:val="32"/>
        </w:rPr>
        <w:t>项目年初申报绩效目标为全年开展烤烟技术集中培训4次，返还烟农发展经费31.004万元，新建烤房及维修烤房16间，烟地整理2300亩，</w:t>
      </w:r>
      <w:r>
        <w:rPr>
          <w:rFonts w:hint="eastAsia" w:ascii="仿宋_GB2312" w:hAnsi="仿宋_GB2312" w:eastAsia="仿宋_GB2312" w:cs="仿宋_GB2312"/>
          <w:sz w:val="32"/>
          <w:szCs w:val="32"/>
        </w:rPr>
        <w:t>对生态环境不造成任何污染，项目建设期一年，全年烟农效益增收率达到</w:t>
      </w:r>
      <w:r>
        <w:rPr>
          <w:rFonts w:hint="eastAsia" w:ascii="Times New Roman" w:hAnsi="Times New Roman" w:eastAsia="仿宋_GB2312" w:cs="Times New Roman"/>
          <w:sz w:val="32"/>
          <w:szCs w:val="32"/>
        </w:rPr>
        <w:t>10%以上，群众满意度97%。</w:t>
      </w:r>
    </w:p>
    <w:p>
      <w:pPr>
        <w:spacing w:after="0" w:line="576"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（三）项目资金申报相符性。</w:t>
      </w:r>
    </w:p>
    <w:p>
      <w:pPr>
        <w:spacing w:after="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该项目申报内容是结合我镇多年实施该项目的实际情况编报，</w:t>
      </w:r>
      <w:r>
        <w:rPr>
          <w:rFonts w:hint="eastAsia" w:ascii="仿宋_GB2312" w:hAnsi="仿宋_GB2312" w:eastAsia="仿宋_GB2312" w:cs="仿宋_GB2312"/>
          <w:sz w:val="32"/>
          <w:szCs w:val="32"/>
          <w:lang w:val="zh-CN"/>
        </w:rPr>
        <w:t>经项目竣工验收，申报目标合理，实施项目均与项目绩效实施范围、申报相符，</w:t>
      </w:r>
      <w:r>
        <w:rPr>
          <w:rFonts w:hint="eastAsia" w:ascii="仿宋_GB2312" w:hAnsi="仿宋_GB2312" w:eastAsia="仿宋_GB2312" w:cs="仿宋_GB2312"/>
          <w:sz w:val="32"/>
          <w:szCs w:val="32"/>
        </w:rPr>
        <w:t>申报目标合理可行。</w:t>
      </w:r>
    </w:p>
    <w:p>
      <w:pPr>
        <w:spacing w:after="0"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（四）自评步骤及方法</w:t>
      </w:r>
    </w:p>
    <w:p>
      <w:pPr>
        <w:spacing w:after="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按区财政部门绩效管理相关规定，认真开展项目绩效评价工作，</w:t>
      </w:r>
      <w:r>
        <w:rPr>
          <w:rFonts w:hint="eastAsia" w:ascii="Times New Roman" w:hAnsi="Times New Roman" w:eastAsia="仿宋_GB2312" w:cs="仿宋_GB2312"/>
          <w:sz w:val="32"/>
          <w:szCs w:val="32"/>
        </w:rPr>
        <w:t>本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村、社区群众建议意见，做好自评工作</w:t>
      </w:r>
      <w:r>
        <w:rPr>
          <w:rFonts w:hint="eastAsia" w:ascii="仿宋_GB2312" w:hAnsi="仿宋_GB2312" w:eastAsia="仿宋_GB2312" w:cs="仿宋_GB2312"/>
          <w:sz w:val="32"/>
          <w:szCs w:val="32"/>
          <w:lang w:val="zh-CN"/>
        </w:rPr>
        <w:t>。</w:t>
      </w:r>
    </w:p>
    <w:p>
      <w:pPr>
        <w:spacing w:after="0" w:line="576"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二、项目实施及管理情况</w:t>
      </w:r>
    </w:p>
    <w:p>
      <w:pPr>
        <w:spacing w:after="0" w:line="576"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（一）资金计划、到位及使用情况</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1.资金预算及时到位。该项目资金预算77.51万元，实际到位资金77.51万元。均通过镇、村、社验收后，由村申报、镇审核，报区财政部门审批直接拨付到施工单位。</w:t>
      </w:r>
      <w:r>
        <w:rPr>
          <w:rFonts w:hint="eastAsia" w:ascii="仿宋_GB2312" w:hAnsi="仿宋_GB2312" w:eastAsia="仿宋_GB2312" w:cs="仿宋_GB2312"/>
          <w:sz w:val="32"/>
          <w:szCs w:val="32"/>
        </w:rPr>
        <w:t>后续资金由于因产业特殊性，各项发展经费需在收购环节完成结算产值并计税后予以支付，故当年未完成产业发展经费支付进度。</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2.资金使用。该项目实际支出30.6024万元。资金主要用于支付给全镇2022年40户烤烟种植农户烟叶税收补助款30.6024万元，均已通过一体化系统直发给应受益烟农手中。</w:t>
      </w:r>
    </w:p>
    <w:p>
      <w:pPr>
        <w:spacing w:after="0" w:line="576"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（二）项目财务管理情况</w:t>
      </w:r>
    </w:p>
    <w:p>
      <w:pPr>
        <w:spacing w:after="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我镇严格按照区财政局要求，</w:t>
      </w:r>
      <w:r>
        <w:rPr>
          <w:rFonts w:hint="eastAsia" w:ascii="仿宋_GB2312" w:hAnsi="仿宋_GB2312" w:eastAsia="仿宋_GB2312" w:cs="仿宋_GB2312"/>
          <w:bCs/>
          <w:sz w:val="32"/>
          <w:szCs w:val="32"/>
          <w:lang w:val="zh-CN"/>
        </w:rPr>
        <w:t>资金实务中严格按照财经制度进行结算支付，财务制度健全、管理规范。一是严控资金使用范围。各村（社区）均做到了资金“专款专用”，对不符合项目绩效设施范围的项目，坚决不予使用该项资金报销；</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二是严格管理报销流程，</w:t>
      </w:r>
      <w:r>
        <w:rPr>
          <w:rFonts w:hint="eastAsia" w:ascii="仿宋_GB2312" w:hAnsi="仿宋_GB2312" w:eastAsia="仿宋_GB2312" w:cs="仿宋_GB2312"/>
          <w:sz w:val="32"/>
          <w:szCs w:val="32"/>
        </w:rPr>
        <w:t>由镇相关部门完善相关报账资料，并经联村领导、分管领导、财务分管领导以及镇长签字后，上报区财政相关股室审核和领导审批后，直接打卡到施工单位（人）。</w:t>
      </w:r>
    </w:p>
    <w:p>
      <w:pPr>
        <w:widowControl w:val="0"/>
        <w:numPr>
          <w:ilvl w:val="0"/>
          <w:numId w:val="1"/>
        </w:numPr>
        <w:adjustRightInd/>
        <w:snapToGrid/>
        <w:spacing w:after="0" w:line="576" w:lineRule="exact"/>
        <w:ind w:firstLine="640" w:firstLineChars="200"/>
        <w:jc w:val="both"/>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项目组织实施情况</w:t>
      </w:r>
    </w:p>
    <w:p>
      <w:pPr>
        <w:pStyle w:val="10"/>
        <w:spacing w:before="0" w:beforeAutospacing="0" w:after="0" w:afterAutospacing="0" w:line="576" w:lineRule="exact"/>
        <w:ind w:firstLine="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　　财政批复烤烟生产发展资金预算项目，主要包括烤烟翻耕补贴、烟田土地整理项目配套、烟叶基础设施建设和烤房新建、维修及管护，逐步完善基础设施和调动各级各部门的种烟抓烟积极性，保证全镇烤烟面积、收购任务、税收任务的落实，实现烟农增收、财政增税，推进全镇烤烟产业持续稳定发展。为更为有效地巩固提升我镇烤烟生产传统项目，不断推进项目有序、有效开展，按照年初预算安排，认真论证项目实施的可行性和效益性，并在项目实施过程中认真完善项目建设中的相关手续办理和基础资料的收集整理、组织呈报等，加强与相关部门之间工作的及时沟通协调，确保项目顺利开展。在项目实施中，工作职责明确，许多情况都能跟踪跟进，有效地推进项目建设进度和保证项目质量。</w:t>
      </w:r>
      <w:r>
        <w:rPr>
          <w:rFonts w:hint="eastAsia" w:ascii="仿宋_GB2312" w:hAnsi="仿宋_GB2312" w:eastAsia="仿宋_GB2312" w:cs="仿宋_GB2312"/>
          <w:color w:val="000000" w:themeColor="text1"/>
          <w:sz w:val="32"/>
          <w:szCs w:val="32"/>
        </w:rPr>
        <w:t>资金开支的范围、标准及支付进度完全按照预算要求进行，项目实施村按镇批准方案，与服务队伍签订建设合同，组织项目实施，村民理财小组、质量监督小组等群众自治组织参与项目实施全过程监管。项目完成后，项目验收，镇村两级参与进行验收并进行公示，接受村民评议，公示无异议后报镇、区财政直接打卡支付给第三方。</w:t>
      </w:r>
    </w:p>
    <w:p>
      <w:pPr>
        <w:widowControl w:val="0"/>
        <w:numPr>
          <w:ilvl w:val="0"/>
          <w:numId w:val="2"/>
        </w:numPr>
        <w:adjustRightInd/>
        <w:snapToGrid/>
        <w:spacing w:after="0" w:line="576"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项目绩效情况</w:t>
      </w:r>
    </w:p>
    <w:p>
      <w:pPr>
        <w:widowControl w:val="0"/>
        <w:adjustRightInd/>
        <w:snapToGrid/>
        <w:spacing w:after="0" w:line="576" w:lineRule="exact"/>
        <w:ind w:left="640"/>
        <w:jc w:val="both"/>
        <w:rPr>
          <w:rFonts w:ascii="黑体" w:hAnsi="黑体" w:eastAsia="黑体" w:cs="黑体"/>
          <w:color w:val="000000" w:themeColor="text1"/>
          <w:sz w:val="32"/>
          <w:szCs w:val="32"/>
        </w:rPr>
      </w:pPr>
      <w:r>
        <w:rPr>
          <w:rFonts w:hint="eastAsia" w:ascii="楷体_GB2312" w:hAnsi="楷体_GB2312" w:eastAsia="楷体_GB2312" w:cs="楷体_GB2312"/>
          <w:bCs/>
          <w:sz w:val="32"/>
          <w:szCs w:val="32"/>
        </w:rPr>
        <w:t>（一）项目完成情况</w:t>
      </w:r>
      <w:r>
        <w:rPr>
          <w:rFonts w:hint="eastAsia" w:ascii="楷体_GB2312" w:hAnsi="楷体_GB2312" w:eastAsia="楷体_GB2312" w:cs="楷体_GB2312"/>
          <w:bCs/>
          <w:sz w:val="32"/>
          <w:szCs w:val="32"/>
          <w:lang w:val="zh-CN"/>
        </w:rPr>
        <w:tab/>
      </w:r>
    </w:p>
    <w:p>
      <w:pPr>
        <w:pStyle w:val="10"/>
        <w:spacing w:before="0" w:beforeAutospacing="0" w:after="0" w:afterAutospacing="0" w:line="576" w:lineRule="exact"/>
        <w:ind w:firstLine="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　　涉及面广、辐射其他行业。整个项目涉及40户烟农，在项目实施中，带动了全镇建筑、服务、制造、金融、运输、煤炭、电力、农资等多个行业，解决了农村剩余劳动力1.2万余人，给当地经济带来新气象，促进了我镇经济发展，烟农反映良好</w:t>
      </w:r>
    </w:p>
    <w:p>
      <w:pPr>
        <w:widowControl w:val="0"/>
        <w:adjustRightInd/>
        <w:snapToGrid/>
        <w:spacing w:after="0" w:line="576" w:lineRule="exact"/>
        <w:ind w:left="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（二）项目效益情况</w:t>
      </w:r>
    </w:p>
    <w:p>
      <w:pPr>
        <w:widowControl w:val="0"/>
        <w:adjustRightInd/>
        <w:snapToGrid/>
        <w:spacing w:after="0" w:line="576" w:lineRule="exact"/>
        <w:ind w:firstLine="640" w:firstLineChars="200"/>
        <w:jc w:val="both"/>
        <w:rPr>
          <w:rFonts w:ascii="楷体_GB2312" w:hAnsi="楷体_GB2312" w:eastAsia="楷体_GB2312" w:cs="楷体_GB2312"/>
          <w:bCs/>
          <w:sz w:val="32"/>
          <w:szCs w:val="32"/>
        </w:rPr>
      </w:pPr>
      <w:r>
        <w:rPr>
          <w:rFonts w:hint="eastAsia" w:ascii="仿宋_GB2312" w:hAnsi="仿宋_GB2312" w:eastAsia="仿宋_GB2312" w:cs="仿宋_GB2312"/>
          <w:color w:val="000000" w:themeColor="text1"/>
          <w:sz w:val="32"/>
          <w:szCs w:val="32"/>
          <w:shd w:val="clear" w:color="auto" w:fill="FFFFFF"/>
        </w:rPr>
        <w:t>1.提高效益、实现更多税收</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shd w:val="clear" w:color="auto" w:fill="FFFFFF"/>
        </w:rPr>
        <w:t>项目直接取得了创烟叶税185.46万元、实现总产值843.01万元的直接效益、比去年相比稳中有升，真正实现了烟农增收、政府增税的目标。烟叶税成为我镇的重要财源之一，确保了我镇行政运行的正常运转。</w:t>
      </w:r>
    </w:p>
    <w:p>
      <w:pPr>
        <w:pStyle w:val="10"/>
        <w:spacing w:before="0" w:beforeAutospacing="0" w:after="0" w:afterAutospacing="0" w:line="576"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2.配套齐备、争取更多投入。今年当年烤房维护及建设以及配套设施的维护及建设均全部按时按质完工，大大夯实了我镇烟叶产业基础设施，为推进我镇现代烟草农业建设步伐再筑基础，更为我镇烟农不断增收、政府不断增税创造了更有利有力的生产环境和条件。</w:t>
      </w:r>
    </w:p>
    <w:p>
      <w:pPr>
        <w:pStyle w:val="10"/>
        <w:spacing w:before="0" w:beforeAutospacing="0" w:after="0" w:afterAutospacing="0" w:line="576"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3.烟菜轮作、保护耕地环境。项目每年都要对大部分烟地实行烟菜轮作，平整翻耕土地，有效保护优化当地生态环境和耕地的循环利用，为烤烟产业和粮食产业的持续稳定健康发展打下良好的基础。</w:t>
      </w:r>
    </w:p>
    <w:p>
      <w:pPr>
        <w:pStyle w:val="10"/>
        <w:spacing w:before="0" w:beforeAutospacing="0" w:after="0" w:afterAutospacing="0" w:line="576"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4.提升质量、打响烟叶品牌。项目取得了收购烟叶5919.51担，上等烟比例达49%，中等烟比例达51%，在昭化区烤烟生产领域树立了良好的烤烟品牌。</w:t>
      </w:r>
    </w:p>
    <w:p>
      <w:pPr>
        <w:pStyle w:val="10"/>
        <w:spacing w:before="0" w:beforeAutospacing="0" w:after="0" w:afterAutospacing="0" w:line="576"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综合评价情况及评价结论：我镇较好地完成项目绩效目标：完成烤烟种植面积2830亩，收购烟叶5919.51担；实现烟叶税收185.46万元；烟叶质量等级合格率94.91%；烤烟总产值843.01万元，均价28.48元/公斤。烤烟生产的烟叶发展补助资金的投入为我镇财政增税、农民增收起到了显著成效，绩效评价自评为优秀。</w:t>
      </w:r>
    </w:p>
    <w:p>
      <w:pPr>
        <w:pStyle w:val="10"/>
        <w:spacing w:before="0" w:beforeAutospacing="0" w:after="0" w:afterAutospacing="0" w:line="576" w:lineRule="exact"/>
        <w:ind w:firstLine="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shd w:val="clear" w:color="auto" w:fill="FFFFFF"/>
        </w:rPr>
        <w:t>四、自评结论及建议</w:t>
      </w:r>
    </w:p>
    <w:p>
      <w:pPr>
        <w:pStyle w:val="10"/>
        <w:spacing w:before="0" w:beforeAutospacing="0" w:after="0" w:afterAutospacing="0" w:line="576" w:lineRule="exact"/>
        <w:ind w:firstLine="640" w:firstLineChars="200"/>
        <w:jc w:val="both"/>
        <w:rPr>
          <w:rFonts w:ascii="楷体_GB2312" w:hAnsi="仿宋_GB2312" w:eastAsia="楷体_GB2312" w:cs="仿宋_GB2312"/>
          <w:color w:val="000000" w:themeColor="text1"/>
          <w:sz w:val="32"/>
          <w:szCs w:val="32"/>
          <w:shd w:val="clear" w:color="auto" w:fill="FFFFFF"/>
        </w:rPr>
      </w:pPr>
      <w:r>
        <w:rPr>
          <w:rFonts w:hint="eastAsia" w:ascii="楷体_GB2312" w:hAnsi="仿宋_GB2312" w:eastAsia="楷体_GB2312" w:cs="仿宋_GB2312"/>
          <w:color w:val="000000" w:themeColor="text1"/>
          <w:sz w:val="32"/>
          <w:szCs w:val="32"/>
          <w:shd w:val="clear" w:color="auto" w:fill="FFFFFF"/>
        </w:rPr>
        <w:t>（一）评价结论</w:t>
      </w:r>
    </w:p>
    <w:p>
      <w:pPr>
        <w:spacing w:after="0" w:line="576"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项目建设紧抓以促进烤烟产业持续稳定发展和让烟农得实惠为出发点；以提升烟叶质量和市场竞争力为关键点；以完善基础设施为保障点；真正使财政资金实现令人民满意和取得最大绩效。</w:t>
      </w:r>
      <w:r>
        <w:rPr>
          <w:rFonts w:hint="eastAsia" w:ascii="仿宋_GB2312" w:hAnsi="仿宋_GB2312" w:eastAsia="仿宋_GB2312" w:cs="仿宋_GB2312"/>
          <w:color w:val="333333"/>
          <w:sz w:val="32"/>
          <w:szCs w:val="32"/>
          <w:shd w:val="clear" w:color="auto" w:fill="FFFFFF"/>
        </w:rPr>
        <w:t>自评得分为</w:t>
      </w:r>
      <w:r>
        <w:rPr>
          <w:rFonts w:hint="eastAsia" w:ascii="Times New Roman" w:hAnsi="Times New Roman" w:eastAsia="仿宋_GB2312" w:cs="Times New Roman"/>
          <w:sz w:val="32"/>
          <w:szCs w:val="32"/>
        </w:rPr>
        <w:t>97</w:t>
      </w:r>
      <w:r>
        <w:rPr>
          <w:rFonts w:hint="eastAsia" w:ascii="仿宋_GB2312" w:hAnsi="仿宋_GB2312" w:eastAsia="仿宋_GB2312" w:cs="仿宋_GB2312"/>
          <w:color w:val="333333"/>
          <w:sz w:val="32"/>
          <w:szCs w:val="32"/>
          <w:shd w:val="clear" w:color="auto" w:fill="FFFFFF"/>
        </w:rPr>
        <w:t>分。</w:t>
      </w:r>
    </w:p>
    <w:p>
      <w:pPr>
        <w:pStyle w:val="10"/>
        <w:spacing w:before="0" w:beforeAutospacing="0" w:after="0" w:afterAutospacing="0" w:line="576" w:lineRule="exact"/>
        <w:ind w:firstLine="640" w:firstLineChars="200"/>
        <w:jc w:val="both"/>
        <w:rPr>
          <w:rFonts w:ascii="楷体_GB2312" w:hAnsi="仿宋_GB2312" w:eastAsia="楷体_GB2312" w:cs="仿宋_GB2312"/>
          <w:color w:val="000000" w:themeColor="text1"/>
          <w:sz w:val="32"/>
          <w:szCs w:val="32"/>
          <w:shd w:val="clear" w:color="auto" w:fill="FFFFFF"/>
        </w:rPr>
      </w:pPr>
      <w:r>
        <w:rPr>
          <w:rFonts w:hint="eastAsia" w:ascii="楷体_GB2312" w:hAnsi="仿宋_GB2312" w:eastAsia="楷体_GB2312" w:cs="仿宋_GB2312"/>
          <w:color w:val="000000" w:themeColor="text1"/>
          <w:sz w:val="32"/>
          <w:szCs w:val="32"/>
          <w:shd w:val="clear" w:color="auto" w:fill="FFFFFF"/>
        </w:rPr>
        <w:t>（二）存在的问题</w:t>
      </w:r>
    </w:p>
    <w:p>
      <w:pPr>
        <w:pStyle w:val="10"/>
        <w:spacing w:before="0" w:beforeAutospacing="0" w:after="0" w:afterAutospacing="0" w:line="576" w:lineRule="exact"/>
        <w:ind w:firstLine="640" w:firstLineChars="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项目建设中存在土地流转难、后期管护资金难以跟上和烟叶基础设施管护难以落实到人；烤烟种植面的空间还有待不断扩充。</w:t>
      </w:r>
    </w:p>
    <w:p>
      <w:pPr>
        <w:pStyle w:val="10"/>
        <w:spacing w:before="0" w:beforeAutospacing="0" w:after="0" w:afterAutospacing="0" w:line="576" w:lineRule="exact"/>
        <w:ind w:firstLine="640" w:firstLineChars="200"/>
        <w:jc w:val="both"/>
        <w:rPr>
          <w:rFonts w:ascii="楷体_GB2312" w:hAnsi="仿宋_GB2312" w:eastAsia="楷体_GB2312" w:cs="仿宋_GB2312"/>
          <w:color w:val="000000" w:themeColor="text1"/>
          <w:sz w:val="32"/>
          <w:szCs w:val="32"/>
          <w:shd w:val="clear" w:color="auto" w:fill="FFFFFF"/>
        </w:rPr>
      </w:pPr>
      <w:r>
        <w:rPr>
          <w:rFonts w:hint="eastAsia" w:ascii="楷体_GB2312" w:hAnsi="仿宋_GB2312" w:eastAsia="楷体_GB2312" w:cs="仿宋_GB2312"/>
          <w:color w:val="000000" w:themeColor="text1"/>
          <w:sz w:val="32"/>
          <w:szCs w:val="32"/>
          <w:shd w:val="clear" w:color="auto" w:fill="FFFFFF"/>
        </w:rPr>
        <w:t>（三）相关措施或建议</w:t>
      </w:r>
    </w:p>
    <w:p>
      <w:pPr>
        <w:spacing w:after="0"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加大对该产业项目的宣传力度、加大对该产业项目的发展投入，促进经济的快速提升，从而带动我镇农村各项事业持续、有效、快速发展。</w:t>
      </w:r>
    </w:p>
    <w:p>
      <w:pPr>
        <w:pStyle w:val="5"/>
        <w:ind w:left="2200"/>
        <w:rPr>
          <w:rFonts w:ascii="仿宋_GB2312" w:hAnsi="仿宋_GB2312" w:eastAsia="仿宋_GB2312" w:cs="仿宋_GB2312"/>
          <w:color w:val="000000" w:themeColor="text1"/>
          <w:sz w:val="32"/>
          <w:szCs w:val="32"/>
        </w:rPr>
      </w:pPr>
    </w:p>
    <w:p>
      <w:pPr>
        <w:rPr>
          <w:rFonts w:ascii="仿宋_GB2312" w:hAnsi="仿宋_GB2312" w:eastAsia="仿宋_GB2312" w:cs="仿宋_GB2312"/>
          <w:color w:val="000000" w:themeColor="text1"/>
          <w:sz w:val="32"/>
          <w:szCs w:val="32"/>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sz w:val="34"/>
          <w:szCs w:val="34"/>
        </w:rPr>
      </w:pPr>
      <w:r>
        <w:rPr>
          <w:rFonts w:ascii="宋体" w:hAnsi="宋体" w:eastAsia="宋体" w:cs="宋体"/>
          <w:b/>
          <w:bCs/>
          <w:spacing w:val="28"/>
          <w:sz w:val="34"/>
          <w:szCs w:val="34"/>
        </w:rPr>
        <w:t>广元市昭化区财政项目(政策)支出绩效自评表</w:t>
      </w:r>
    </w:p>
    <w:p>
      <w:pPr>
        <w:spacing w:before="86" w:line="219" w:lineRule="auto"/>
        <w:ind w:left="3894"/>
        <w:rPr>
          <w:rFonts w:ascii="宋体" w:hAnsi="宋体" w:eastAsia="宋体" w:cs="宋体"/>
        </w:rPr>
      </w:pPr>
      <w:r>
        <w:rPr>
          <w:rFonts w:ascii="宋体" w:hAnsi="宋体" w:eastAsia="宋体" w:cs="宋体"/>
          <w:spacing w:val="-14"/>
        </w:rPr>
        <w:t>(</w:t>
      </w:r>
      <w:r>
        <w:rPr>
          <w:rFonts w:ascii="宋体" w:hAnsi="宋体" w:eastAsia="宋体" w:cs="宋体"/>
          <w:spacing w:val="32"/>
        </w:rPr>
        <w:t xml:space="preserve">  </w:t>
      </w:r>
      <w:r>
        <w:rPr>
          <w:rFonts w:hint="eastAsia" w:ascii="宋体" w:hAnsi="宋体" w:eastAsia="宋体" w:cs="宋体"/>
          <w:spacing w:val="32"/>
        </w:rPr>
        <w:t>2023</w:t>
      </w:r>
      <w:r>
        <w:rPr>
          <w:rFonts w:ascii="宋体" w:hAnsi="宋体" w:eastAsia="宋体" w:cs="宋体"/>
          <w:spacing w:val="32"/>
        </w:rPr>
        <w:t xml:space="preserve"> </w:t>
      </w:r>
      <w:r>
        <w:rPr>
          <w:rFonts w:ascii="宋体" w:hAnsi="宋体" w:eastAsia="宋体" w:cs="宋体"/>
          <w:spacing w:val="-14"/>
        </w:rPr>
        <w:t>年度)</w:t>
      </w:r>
    </w:p>
    <w:tbl>
      <w:tblPr>
        <w:tblStyle w:val="21"/>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752"/>
        <w:gridCol w:w="111"/>
        <w:gridCol w:w="1134"/>
        <w:gridCol w:w="532"/>
        <w:gridCol w:w="1308"/>
        <w:gridCol w:w="286"/>
        <w:gridCol w:w="859"/>
        <w:gridCol w:w="951"/>
        <w:gridCol w:w="2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49" w:type="dxa"/>
            <w:gridSpan w:val="2"/>
          </w:tcPr>
          <w:p>
            <w:pPr>
              <w:spacing w:before="82" w:after="0" w:line="220" w:lineRule="auto"/>
              <w:ind w:left="75"/>
              <w:rPr>
                <w:rFonts w:ascii="宋体" w:hAnsi="宋体" w:eastAsia="宋体" w:cs="宋体"/>
                <w:sz w:val="17"/>
                <w:szCs w:val="17"/>
              </w:rPr>
            </w:pPr>
            <w:r>
              <w:rPr>
                <w:rFonts w:ascii="宋体" w:hAnsi="宋体" w:eastAsia="宋体" w:cs="宋体"/>
                <w:spacing w:val="-2"/>
                <w:sz w:val="17"/>
                <w:szCs w:val="17"/>
              </w:rPr>
              <w:t>项目(政策)名称</w:t>
            </w:r>
          </w:p>
        </w:tc>
        <w:tc>
          <w:tcPr>
            <w:tcW w:w="7650" w:type="dxa"/>
            <w:gridSpan w:val="8"/>
            <w:vAlign w:val="center"/>
          </w:tcPr>
          <w:p>
            <w:pPr>
              <w:spacing w:after="0"/>
              <w:jc w:val="both"/>
              <w:rPr>
                <w:rFonts w:ascii="仿宋_GB2312" w:hAnsi="楷体" w:eastAsia="仿宋_GB2312" w:cs="Times New Roman"/>
                <w:sz w:val="20"/>
                <w:szCs w:val="20"/>
              </w:rPr>
            </w:pPr>
            <w:r>
              <w:rPr>
                <w:rFonts w:hint="eastAsia" w:ascii="仿宋_GB2312" w:hAnsi="楷体" w:eastAsia="仿宋_GB2312" w:cs="仿宋_GB2312"/>
                <w:color w:val="000000" w:themeColor="text1"/>
                <w:sz w:val="20"/>
                <w:szCs w:val="20"/>
              </w:rPr>
              <w:t>烤烟产业发展资金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tcPr>
          <w:p>
            <w:pPr>
              <w:spacing w:before="78" w:after="0" w:line="219" w:lineRule="auto"/>
              <w:ind w:left="404"/>
              <w:jc w:val="center"/>
              <w:rPr>
                <w:rFonts w:ascii="宋体" w:hAnsi="宋体" w:eastAsia="宋体" w:cs="宋体"/>
                <w:sz w:val="17"/>
                <w:szCs w:val="17"/>
              </w:rPr>
            </w:pPr>
            <w:r>
              <w:rPr>
                <w:rFonts w:ascii="宋体" w:hAnsi="宋体" w:eastAsia="宋体" w:cs="宋体"/>
                <w:spacing w:val="4"/>
                <w:sz w:val="17"/>
                <w:szCs w:val="17"/>
              </w:rPr>
              <w:t>主管部门</w:t>
            </w:r>
          </w:p>
        </w:tc>
        <w:tc>
          <w:tcPr>
            <w:tcW w:w="4230" w:type="dxa"/>
            <w:gridSpan w:val="6"/>
            <w:vAlign w:val="center"/>
          </w:tcPr>
          <w:p>
            <w:pPr>
              <w:spacing w:after="0"/>
              <w:jc w:val="both"/>
              <w:rPr>
                <w:rFonts w:ascii="仿宋_GB2312" w:hAnsi="楷体" w:eastAsia="仿宋_GB2312" w:cs="Times New Roman"/>
                <w:sz w:val="20"/>
                <w:szCs w:val="20"/>
              </w:rPr>
            </w:pPr>
            <w:r>
              <w:rPr>
                <w:rFonts w:hint="eastAsia" w:ascii="仿宋_GB2312" w:hAnsi="楷体" w:eastAsia="仿宋_GB2312" w:cs="仿宋_GB2312"/>
                <w:color w:val="000000" w:themeColor="text1"/>
                <w:sz w:val="20"/>
                <w:szCs w:val="20"/>
              </w:rPr>
              <w:t>广元市昭化区人民政府</w:t>
            </w:r>
          </w:p>
        </w:tc>
        <w:tc>
          <w:tcPr>
            <w:tcW w:w="951" w:type="dxa"/>
          </w:tcPr>
          <w:p>
            <w:pPr>
              <w:spacing w:before="78" w:after="0" w:line="219" w:lineRule="auto"/>
              <w:jc w:val="center"/>
              <w:rPr>
                <w:rFonts w:ascii="宋体" w:hAnsi="宋体" w:eastAsia="宋体" w:cs="宋体"/>
                <w:spacing w:val="4"/>
                <w:sz w:val="17"/>
                <w:szCs w:val="17"/>
              </w:rPr>
            </w:pPr>
            <w:r>
              <w:rPr>
                <w:rFonts w:ascii="宋体" w:hAnsi="宋体" w:eastAsia="宋体" w:cs="宋体"/>
                <w:spacing w:val="4"/>
                <w:sz w:val="17"/>
                <w:szCs w:val="17"/>
              </w:rPr>
              <w:t>实施单位</w:t>
            </w:r>
          </w:p>
        </w:tc>
        <w:tc>
          <w:tcPr>
            <w:tcW w:w="2469" w:type="dxa"/>
          </w:tcPr>
          <w:p>
            <w:pPr>
              <w:spacing w:before="78" w:after="0" w:line="219" w:lineRule="auto"/>
              <w:jc w:val="center"/>
              <w:rPr>
                <w:rFonts w:ascii="宋体" w:hAnsi="宋体" w:eastAsia="宋体" w:cs="宋体"/>
                <w:spacing w:val="4"/>
                <w:sz w:val="17"/>
                <w:szCs w:val="17"/>
              </w:rPr>
            </w:pPr>
            <w:r>
              <w:rPr>
                <w:rFonts w:hint="eastAsia" w:ascii="宋体" w:hAnsi="宋体" w:eastAsia="宋体" w:cs="宋体"/>
                <w:spacing w:val="4"/>
                <w:sz w:val="17"/>
                <w:szCs w:val="17"/>
              </w:rPr>
              <w:t>王家镇人民政府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9" w:type="dxa"/>
            <w:gridSpan w:val="2"/>
            <w:vMerge w:val="restart"/>
            <w:tcBorders>
              <w:bottom w:val="nil"/>
            </w:tcBorders>
          </w:tcPr>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before="55" w:after="0" w:line="235" w:lineRule="auto"/>
              <w:ind w:left="464" w:right="197" w:hanging="389"/>
              <w:rPr>
                <w:rFonts w:ascii="宋体" w:hAnsi="宋体" w:eastAsia="宋体" w:cs="宋体"/>
                <w:sz w:val="17"/>
                <w:szCs w:val="17"/>
              </w:rPr>
            </w:pPr>
            <w:r>
              <w:rPr>
                <w:rFonts w:ascii="宋体" w:hAnsi="宋体" w:eastAsia="宋体" w:cs="宋体"/>
                <w:spacing w:val="-2"/>
                <w:sz w:val="17"/>
                <w:szCs w:val="17"/>
              </w:rPr>
              <w:t>项目(政策)资金</w:t>
            </w:r>
            <w:r>
              <w:rPr>
                <w:rFonts w:ascii="宋体" w:hAnsi="宋体" w:eastAsia="宋体" w:cs="宋体"/>
                <w:spacing w:val="5"/>
                <w:sz w:val="17"/>
                <w:szCs w:val="17"/>
              </w:rPr>
              <w:t xml:space="preserve"> </w:t>
            </w:r>
            <w:r>
              <w:rPr>
                <w:rFonts w:ascii="宋体" w:hAnsi="宋体" w:eastAsia="宋体" w:cs="宋体"/>
                <w:spacing w:val="9"/>
                <w:sz w:val="17"/>
                <w:szCs w:val="17"/>
              </w:rPr>
              <w:t>(万元)</w:t>
            </w:r>
          </w:p>
        </w:tc>
        <w:tc>
          <w:tcPr>
            <w:tcW w:w="1777" w:type="dxa"/>
            <w:gridSpan w:val="3"/>
          </w:tcPr>
          <w:p>
            <w:pPr>
              <w:spacing w:before="77" w:after="0" w:line="219" w:lineRule="auto"/>
              <w:jc w:val="center"/>
              <w:rPr>
                <w:rFonts w:ascii="宋体" w:hAnsi="宋体" w:eastAsia="宋体" w:cs="宋体"/>
                <w:spacing w:val="-2"/>
                <w:sz w:val="17"/>
                <w:szCs w:val="17"/>
              </w:rPr>
            </w:pPr>
            <w:r>
              <w:rPr>
                <w:rFonts w:hint="eastAsia" w:ascii="宋体" w:hAnsi="宋体" w:eastAsia="宋体" w:cs="宋体"/>
                <w:spacing w:val="-2"/>
                <w:sz w:val="17"/>
                <w:szCs w:val="17"/>
              </w:rPr>
              <w:t>年度预算数（万元）</w:t>
            </w:r>
          </w:p>
        </w:tc>
        <w:tc>
          <w:tcPr>
            <w:tcW w:w="1308" w:type="dxa"/>
          </w:tcPr>
          <w:p>
            <w:pPr>
              <w:spacing w:before="77" w:after="0" w:line="219" w:lineRule="auto"/>
              <w:jc w:val="center"/>
              <w:rPr>
                <w:rFonts w:ascii="宋体" w:hAnsi="宋体" w:eastAsia="宋体" w:cs="宋体"/>
                <w:spacing w:val="-2"/>
                <w:sz w:val="17"/>
                <w:szCs w:val="17"/>
              </w:rPr>
            </w:pPr>
            <w:r>
              <w:rPr>
                <w:rFonts w:ascii="宋体" w:hAnsi="宋体" w:eastAsia="宋体" w:cs="宋体"/>
                <w:spacing w:val="-2"/>
                <w:sz w:val="17"/>
                <w:szCs w:val="17"/>
              </w:rPr>
              <w:t>年初预算数</w:t>
            </w:r>
          </w:p>
        </w:tc>
        <w:tc>
          <w:tcPr>
            <w:tcW w:w="1145" w:type="dxa"/>
            <w:gridSpan w:val="2"/>
          </w:tcPr>
          <w:p>
            <w:pPr>
              <w:spacing w:before="98" w:after="0" w:line="219" w:lineRule="auto"/>
              <w:jc w:val="center"/>
              <w:rPr>
                <w:rFonts w:ascii="宋体" w:hAnsi="宋体" w:eastAsia="宋体" w:cs="宋体"/>
                <w:sz w:val="17"/>
                <w:szCs w:val="17"/>
              </w:rPr>
            </w:pPr>
            <w:r>
              <w:rPr>
                <w:rFonts w:ascii="宋体" w:hAnsi="宋体" w:eastAsia="宋体" w:cs="宋体"/>
                <w:spacing w:val="-2"/>
                <w:sz w:val="17"/>
                <w:szCs w:val="17"/>
              </w:rPr>
              <w:t>全年预算数</w:t>
            </w:r>
          </w:p>
        </w:tc>
        <w:tc>
          <w:tcPr>
            <w:tcW w:w="951" w:type="dxa"/>
          </w:tcPr>
          <w:p>
            <w:pPr>
              <w:spacing w:before="77" w:after="0" w:line="219" w:lineRule="auto"/>
              <w:jc w:val="center"/>
              <w:rPr>
                <w:rFonts w:ascii="宋体" w:hAnsi="宋体" w:eastAsia="宋体" w:cs="宋体"/>
                <w:sz w:val="17"/>
                <w:szCs w:val="17"/>
              </w:rPr>
            </w:pPr>
            <w:r>
              <w:rPr>
                <w:rFonts w:ascii="宋体" w:hAnsi="宋体" w:eastAsia="宋体" w:cs="宋体"/>
                <w:spacing w:val="-2"/>
                <w:sz w:val="17"/>
                <w:szCs w:val="17"/>
              </w:rPr>
              <w:t>全年执行数</w:t>
            </w:r>
          </w:p>
        </w:tc>
        <w:tc>
          <w:tcPr>
            <w:tcW w:w="2469" w:type="dxa"/>
          </w:tcPr>
          <w:p>
            <w:pPr>
              <w:spacing w:before="77" w:after="0" w:line="219" w:lineRule="auto"/>
              <w:jc w:val="center"/>
              <w:rPr>
                <w:rFonts w:ascii="宋体" w:hAnsi="宋体" w:eastAsia="宋体" w:cs="宋体"/>
                <w:sz w:val="17"/>
                <w:szCs w:val="17"/>
              </w:rPr>
            </w:pPr>
            <w:r>
              <w:rPr>
                <w:rFonts w:ascii="宋体" w:hAnsi="宋体" w:eastAsia="宋体" w:cs="宋体"/>
                <w:spacing w:val="-2"/>
                <w:sz w:val="17"/>
                <w:szCs w:val="17"/>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79" w:after="0" w:line="219" w:lineRule="auto"/>
              <w:ind w:left="151"/>
              <w:jc w:val="center"/>
              <w:rPr>
                <w:rFonts w:ascii="宋体" w:hAnsi="宋体" w:eastAsia="宋体" w:cs="宋体"/>
                <w:sz w:val="17"/>
                <w:szCs w:val="17"/>
              </w:rPr>
            </w:pPr>
            <w:r>
              <w:rPr>
                <w:rFonts w:ascii="宋体" w:hAnsi="宋体" w:eastAsia="宋体" w:cs="宋体"/>
                <w:spacing w:val="-2"/>
                <w:sz w:val="17"/>
                <w:szCs w:val="17"/>
              </w:rPr>
              <w:t>年度资金总额</w:t>
            </w:r>
          </w:p>
        </w:tc>
        <w:tc>
          <w:tcPr>
            <w:tcW w:w="1308"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77.51</w:t>
            </w:r>
          </w:p>
        </w:tc>
        <w:tc>
          <w:tcPr>
            <w:tcW w:w="1145" w:type="dxa"/>
            <w:gridSpan w:val="2"/>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77.51</w:t>
            </w:r>
          </w:p>
        </w:tc>
        <w:tc>
          <w:tcPr>
            <w:tcW w:w="951" w:type="dxa"/>
            <w:vAlign w:val="center"/>
          </w:tcPr>
          <w:p>
            <w:pPr>
              <w:spacing w:after="0"/>
              <w:jc w:val="center"/>
              <w:rPr>
                <w:rFonts w:eastAsia="宋体" w:cs="Times New Roman"/>
                <w:sz w:val="20"/>
                <w:szCs w:val="20"/>
              </w:rPr>
            </w:pPr>
            <w:r>
              <w:rPr>
                <w:rFonts w:hint="eastAsia" w:ascii="楷体" w:hAnsi="楷体" w:eastAsia="楷体" w:cs="宋体"/>
                <w:spacing w:val="-2"/>
                <w:sz w:val="20"/>
                <w:szCs w:val="20"/>
              </w:rPr>
              <w:t>77.51</w:t>
            </w:r>
          </w:p>
        </w:tc>
        <w:tc>
          <w:tcPr>
            <w:tcW w:w="2469" w:type="dxa"/>
            <w:vAlign w:val="center"/>
          </w:tcPr>
          <w:p>
            <w:pPr>
              <w:spacing w:after="0"/>
              <w:jc w:val="center"/>
              <w:rPr>
                <w:rFonts w:eastAsia="宋体" w:cs="Times New Roman"/>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109" w:after="0" w:line="219" w:lineRule="auto"/>
              <w:ind w:left="151"/>
              <w:rPr>
                <w:rFonts w:ascii="宋体" w:hAnsi="宋体" w:eastAsia="宋体" w:cs="宋体"/>
                <w:sz w:val="17"/>
                <w:szCs w:val="17"/>
              </w:rPr>
            </w:pPr>
            <w:r>
              <w:rPr>
                <w:rFonts w:ascii="宋体" w:hAnsi="宋体" w:eastAsia="宋体" w:cs="宋体"/>
                <w:sz w:val="17"/>
                <w:szCs w:val="17"/>
              </w:rPr>
              <w:t>(一)财政拨款小计</w:t>
            </w:r>
          </w:p>
        </w:tc>
        <w:tc>
          <w:tcPr>
            <w:tcW w:w="1308" w:type="dxa"/>
            <w:vAlign w:val="center"/>
          </w:tcPr>
          <w:p>
            <w:pPr>
              <w:spacing w:after="0"/>
              <w:jc w:val="center"/>
              <w:rPr>
                <w:rFonts w:eastAsia="宋体" w:cs="Times New Roman"/>
                <w:sz w:val="20"/>
                <w:szCs w:val="20"/>
              </w:rPr>
            </w:pPr>
            <w:r>
              <w:rPr>
                <w:rFonts w:hint="eastAsia" w:ascii="楷体" w:hAnsi="楷体" w:eastAsia="楷体" w:cs="宋体"/>
                <w:spacing w:val="-2"/>
                <w:sz w:val="20"/>
                <w:szCs w:val="20"/>
              </w:rPr>
              <w:t>77.51</w:t>
            </w:r>
          </w:p>
        </w:tc>
        <w:tc>
          <w:tcPr>
            <w:tcW w:w="1145" w:type="dxa"/>
            <w:gridSpan w:val="2"/>
            <w:vAlign w:val="center"/>
          </w:tcPr>
          <w:p>
            <w:pPr>
              <w:spacing w:after="0"/>
              <w:jc w:val="center"/>
              <w:rPr>
                <w:rFonts w:eastAsia="宋体" w:cs="Times New Roman"/>
                <w:sz w:val="20"/>
                <w:szCs w:val="20"/>
              </w:rPr>
            </w:pPr>
            <w:r>
              <w:rPr>
                <w:rFonts w:hint="eastAsia" w:ascii="楷体" w:hAnsi="楷体" w:eastAsia="楷体" w:cs="宋体"/>
                <w:spacing w:val="-2"/>
                <w:sz w:val="20"/>
                <w:szCs w:val="20"/>
              </w:rPr>
              <w:t>77.51</w:t>
            </w:r>
          </w:p>
        </w:tc>
        <w:tc>
          <w:tcPr>
            <w:tcW w:w="951" w:type="dxa"/>
            <w:vAlign w:val="center"/>
          </w:tcPr>
          <w:p>
            <w:pPr>
              <w:spacing w:after="0"/>
              <w:jc w:val="center"/>
              <w:rPr>
                <w:rFonts w:eastAsia="宋体" w:cs="Times New Roman"/>
                <w:sz w:val="20"/>
                <w:szCs w:val="20"/>
              </w:rPr>
            </w:pPr>
            <w:r>
              <w:rPr>
                <w:rFonts w:hint="eastAsia" w:ascii="楷体" w:hAnsi="楷体" w:eastAsia="楷体" w:cs="宋体"/>
                <w:spacing w:val="-2"/>
                <w:sz w:val="20"/>
                <w:szCs w:val="20"/>
              </w:rPr>
              <w:t>77.51</w:t>
            </w:r>
          </w:p>
        </w:tc>
        <w:tc>
          <w:tcPr>
            <w:tcW w:w="2469" w:type="dxa"/>
            <w:vAlign w:val="center"/>
          </w:tcPr>
          <w:p>
            <w:pPr>
              <w:spacing w:after="0"/>
              <w:jc w:val="center"/>
              <w:rPr>
                <w:rFonts w:eastAsia="宋体" w:cs="Times New Roman"/>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80" w:after="0" w:line="219" w:lineRule="auto"/>
              <w:ind w:left="151"/>
              <w:rPr>
                <w:rFonts w:ascii="宋体" w:hAnsi="宋体" w:eastAsia="宋体" w:cs="宋体"/>
                <w:sz w:val="17"/>
                <w:szCs w:val="17"/>
              </w:rPr>
            </w:pPr>
            <w:r>
              <w:rPr>
                <w:rFonts w:ascii="宋体" w:hAnsi="宋体" w:eastAsia="宋体" w:cs="宋体"/>
                <w:sz w:val="17"/>
                <w:szCs w:val="17"/>
              </w:rPr>
              <w:t>1.一般公共预算</w:t>
            </w:r>
          </w:p>
        </w:tc>
        <w:tc>
          <w:tcPr>
            <w:tcW w:w="1308" w:type="dxa"/>
            <w:vAlign w:val="center"/>
          </w:tcPr>
          <w:p>
            <w:pPr>
              <w:spacing w:after="0"/>
              <w:jc w:val="center"/>
              <w:rPr>
                <w:rFonts w:eastAsia="宋体" w:cs="Times New Roman"/>
                <w:sz w:val="20"/>
                <w:szCs w:val="20"/>
              </w:rPr>
            </w:pPr>
            <w:r>
              <w:rPr>
                <w:rFonts w:hint="eastAsia" w:ascii="楷体" w:hAnsi="楷体" w:eastAsia="楷体" w:cs="宋体"/>
                <w:spacing w:val="-2"/>
                <w:sz w:val="20"/>
                <w:szCs w:val="20"/>
              </w:rPr>
              <w:t>77.51</w:t>
            </w:r>
          </w:p>
        </w:tc>
        <w:tc>
          <w:tcPr>
            <w:tcW w:w="1145" w:type="dxa"/>
            <w:gridSpan w:val="2"/>
            <w:vAlign w:val="center"/>
          </w:tcPr>
          <w:p>
            <w:pPr>
              <w:spacing w:after="0"/>
              <w:jc w:val="center"/>
              <w:rPr>
                <w:rFonts w:eastAsia="宋体" w:cs="Times New Roman"/>
                <w:sz w:val="20"/>
                <w:szCs w:val="20"/>
              </w:rPr>
            </w:pPr>
            <w:r>
              <w:rPr>
                <w:rFonts w:hint="eastAsia" w:ascii="楷体" w:hAnsi="楷体" w:eastAsia="楷体" w:cs="宋体"/>
                <w:spacing w:val="-2"/>
                <w:sz w:val="20"/>
                <w:szCs w:val="20"/>
              </w:rPr>
              <w:t>77.51</w:t>
            </w:r>
          </w:p>
        </w:tc>
        <w:tc>
          <w:tcPr>
            <w:tcW w:w="951" w:type="dxa"/>
            <w:vAlign w:val="center"/>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77.51</w:t>
            </w:r>
          </w:p>
        </w:tc>
        <w:tc>
          <w:tcPr>
            <w:tcW w:w="2469" w:type="dxa"/>
            <w:vAlign w:val="center"/>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78" w:after="0" w:line="219" w:lineRule="auto"/>
              <w:ind w:left="151"/>
              <w:rPr>
                <w:rFonts w:ascii="宋体" w:hAnsi="宋体" w:eastAsia="宋体" w:cs="宋体"/>
                <w:sz w:val="17"/>
                <w:szCs w:val="17"/>
              </w:rPr>
            </w:pPr>
            <w:r>
              <w:rPr>
                <w:rFonts w:ascii="宋体" w:hAnsi="宋体" w:eastAsia="宋体" w:cs="宋体"/>
                <w:spacing w:val="-2"/>
                <w:sz w:val="17"/>
                <w:szCs w:val="17"/>
              </w:rPr>
              <w:t>2.政府性基金</w:t>
            </w:r>
          </w:p>
        </w:tc>
        <w:tc>
          <w:tcPr>
            <w:tcW w:w="1308" w:type="dxa"/>
          </w:tcPr>
          <w:p>
            <w:pPr>
              <w:spacing w:after="0"/>
              <w:rPr>
                <w:rFonts w:ascii="楷体" w:hAnsi="楷体" w:eastAsia="楷体" w:cs="Times New Roman"/>
                <w:sz w:val="20"/>
                <w:szCs w:val="20"/>
              </w:rPr>
            </w:pPr>
          </w:p>
        </w:tc>
        <w:tc>
          <w:tcPr>
            <w:tcW w:w="1145" w:type="dxa"/>
            <w:gridSpan w:val="2"/>
          </w:tcPr>
          <w:p>
            <w:pPr>
              <w:spacing w:after="0"/>
              <w:rPr>
                <w:rFonts w:ascii="楷体" w:hAnsi="楷体" w:eastAsia="楷体" w:cs="Times New Roman"/>
                <w:sz w:val="20"/>
                <w:szCs w:val="20"/>
              </w:rPr>
            </w:pPr>
          </w:p>
        </w:tc>
        <w:tc>
          <w:tcPr>
            <w:tcW w:w="951" w:type="dxa"/>
          </w:tcPr>
          <w:p>
            <w:pPr>
              <w:spacing w:after="0"/>
              <w:rPr>
                <w:rFonts w:ascii="楷体" w:hAnsi="楷体" w:eastAsia="楷体" w:cs="Times New Roman"/>
                <w:sz w:val="20"/>
                <w:szCs w:val="20"/>
              </w:rPr>
            </w:pPr>
          </w:p>
        </w:tc>
        <w:tc>
          <w:tcPr>
            <w:tcW w:w="2469" w:type="dxa"/>
          </w:tcPr>
          <w:p>
            <w:pPr>
              <w:spacing w:after="0"/>
              <w:rPr>
                <w:rFonts w:ascii="楷体" w:hAnsi="楷体" w:eastAsia="楷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119" w:after="0" w:line="219" w:lineRule="auto"/>
              <w:ind w:left="151"/>
              <w:rPr>
                <w:rFonts w:ascii="宋体" w:hAnsi="宋体" w:eastAsia="宋体" w:cs="宋体"/>
                <w:sz w:val="17"/>
                <w:szCs w:val="17"/>
              </w:rPr>
            </w:pPr>
            <w:r>
              <w:rPr>
                <w:rFonts w:ascii="宋体" w:hAnsi="宋体" w:eastAsia="宋体" w:cs="宋体"/>
                <w:spacing w:val="-1"/>
                <w:sz w:val="17"/>
                <w:szCs w:val="17"/>
              </w:rPr>
              <w:t>3.国有资本经营预算</w:t>
            </w:r>
          </w:p>
        </w:tc>
        <w:tc>
          <w:tcPr>
            <w:tcW w:w="1308" w:type="dxa"/>
          </w:tcPr>
          <w:p>
            <w:pPr>
              <w:spacing w:after="0"/>
              <w:rPr>
                <w:rFonts w:eastAsia="宋体" w:cs="Times New Roman"/>
                <w:sz w:val="20"/>
                <w:szCs w:val="20"/>
              </w:rPr>
            </w:pPr>
          </w:p>
        </w:tc>
        <w:tc>
          <w:tcPr>
            <w:tcW w:w="1145" w:type="dxa"/>
            <w:gridSpan w:val="2"/>
          </w:tcPr>
          <w:p>
            <w:pPr>
              <w:spacing w:after="0"/>
              <w:rPr>
                <w:rFonts w:eastAsia="宋体" w:cs="Times New Roman"/>
                <w:sz w:val="20"/>
                <w:szCs w:val="20"/>
              </w:rPr>
            </w:pPr>
          </w:p>
        </w:tc>
        <w:tc>
          <w:tcPr>
            <w:tcW w:w="951" w:type="dxa"/>
          </w:tcPr>
          <w:p>
            <w:pPr>
              <w:spacing w:after="0"/>
              <w:rPr>
                <w:rFonts w:eastAsia="宋体" w:cs="Times New Roman"/>
                <w:sz w:val="20"/>
                <w:szCs w:val="20"/>
              </w:rPr>
            </w:pPr>
          </w:p>
        </w:tc>
        <w:tc>
          <w:tcPr>
            <w:tcW w:w="2469" w:type="dxa"/>
          </w:tcPr>
          <w:p>
            <w:pPr>
              <w:spacing w:after="0"/>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49" w:type="dxa"/>
            <w:gridSpan w:val="2"/>
            <w:vMerge w:val="continue"/>
            <w:tcBorders>
              <w:top w:val="nil"/>
            </w:tcBorders>
          </w:tcPr>
          <w:p>
            <w:pPr>
              <w:spacing w:after="0"/>
              <w:rPr>
                <w:rFonts w:eastAsia="宋体" w:cs="Times New Roman"/>
                <w:sz w:val="20"/>
                <w:szCs w:val="20"/>
              </w:rPr>
            </w:pPr>
          </w:p>
        </w:tc>
        <w:tc>
          <w:tcPr>
            <w:tcW w:w="1777" w:type="dxa"/>
            <w:gridSpan w:val="3"/>
          </w:tcPr>
          <w:p>
            <w:pPr>
              <w:spacing w:before="112" w:after="0" w:line="220" w:lineRule="auto"/>
              <w:ind w:left="151"/>
              <w:rPr>
                <w:rFonts w:ascii="宋体" w:hAnsi="宋体" w:eastAsia="宋体" w:cs="宋体"/>
                <w:sz w:val="17"/>
                <w:szCs w:val="17"/>
              </w:rPr>
            </w:pPr>
            <w:r>
              <w:rPr>
                <w:rFonts w:ascii="宋体" w:hAnsi="宋体" w:eastAsia="宋体" w:cs="宋体"/>
                <w:spacing w:val="1"/>
                <w:sz w:val="17"/>
                <w:szCs w:val="17"/>
              </w:rPr>
              <w:t>(二)其他资金</w:t>
            </w:r>
          </w:p>
        </w:tc>
        <w:tc>
          <w:tcPr>
            <w:tcW w:w="1308" w:type="dxa"/>
          </w:tcPr>
          <w:p>
            <w:pPr>
              <w:spacing w:after="0"/>
              <w:rPr>
                <w:rFonts w:eastAsia="宋体" w:cs="Times New Roman"/>
                <w:sz w:val="20"/>
                <w:szCs w:val="20"/>
              </w:rPr>
            </w:pPr>
          </w:p>
        </w:tc>
        <w:tc>
          <w:tcPr>
            <w:tcW w:w="1145" w:type="dxa"/>
            <w:gridSpan w:val="2"/>
          </w:tcPr>
          <w:p>
            <w:pPr>
              <w:spacing w:after="0"/>
              <w:rPr>
                <w:rFonts w:eastAsia="宋体" w:cs="Times New Roman"/>
                <w:sz w:val="20"/>
                <w:szCs w:val="20"/>
              </w:rPr>
            </w:pPr>
          </w:p>
        </w:tc>
        <w:tc>
          <w:tcPr>
            <w:tcW w:w="951" w:type="dxa"/>
          </w:tcPr>
          <w:p>
            <w:pPr>
              <w:spacing w:after="0"/>
              <w:rPr>
                <w:rFonts w:eastAsia="宋体" w:cs="Times New Roman"/>
                <w:sz w:val="20"/>
                <w:szCs w:val="20"/>
              </w:rPr>
            </w:pPr>
          </w:p>
        </w:tc>
        <w:tc>
          <w:tcPr>
            <w:tcW w:w="2469" w:type="dxa"/>
          </w:tcPr>
          <w:p>
            <w:pPr>
              <w:spacing w:after="0"/>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7" w:type="dxa"/>
            <w:vMerge w:val="restart"/>
            <w:tcBorders>
              <w:bottom w:val="nil"/>
            </w:tcBorders>
          </w:tcPr>
          <w:p>
            <w:pPr>
              <w:spacing w:before="155" w:after="0" w:line="220" w:lineRule="auto"/>
              <w:jc w:val="center"/>
              <w:rPr>
                <w:rFonts w:ascii="宋体" w:hAnsi="宋体" w:eastAsia="宋体" w:cs="宋体"/>
                <w:snapToGrid w:val="0"/>
                <w:color w:val="000000"/>
                <w:spacing w:val="-2"/>
                <w:sz w:val="17"/>
                <w:szCs w:val="17"/>
              </w:rPr>
            </w:pPr>
          </w:p>
          <w:p>
            <w:pPr>
              <w:spacing w:before="155" w:after="0" w:line="220" w:lineRule="auto"/>
              <w:ind w:left="194" w:right="2" w:hanging="139"/>
              <w:jc w:val="center"/>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年度总</w:t>
            </w:r>
          </w:p>
          <w:p>
            <w:pPr>
              <w:spacing w:before="155" w:after="0" w:line="220" w:lineRule="auto"/>
              <w:ind w:left="194" w:right="2" w:hanging="139"/>
              <w:jc w:val="center"/>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体目标</w:t>
            </w:r>
          </w:p>
        </w:tc>
        <w:tc>
          <w:tcPr>
            <w:tcW w:w="5933" w:type="dxa"/>
            <w:gridSpan w:val="8"/>
          </w:tcPr>
          <w:p>
            <w:pPr>
              <w:spacing w:before="155" w:after="0" w:line="220" w:lineRule="auto"/>
              <w:jc w:val="center"/>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预期目标</w:t>
            </w:r>
          </w:p>
        </w:tc>
        <w:tc>
          <w:tcPr>
            <w:tcW w:w="2469" w:type="dxa"/>
          </w:tcPr>
          <w:p>
            <w:pPr>
              <w:spacing w:before="155" w:after="0" w:line="220" w:lineRule="auto"/>
              <w:jc w:val="center"/>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697" w:type="dxa"/>
            <w:vMerge w:val="continue"/>
            <w:tcBorders>
              <w:top w:val="nil"/>
            </w:tcBorders>
          </w:tcPr>
          <w:p>
            <w:pPr>
              <w:spacing w:before="155" w:after="0" w:line="220" w:lineRule="auto"/>
              <w:jc w:val="center"/>
              <w:rPr>
                <w:rFonts w:ascii="宋体" w:hAnsi="宋体" w:eastAsia="宋体" w:cs="宋体"/>
                <w:snapToGrid w:val="0"/>
                <w:color w:val="000000"/>
                <w:spacing w:val="-2"/>
                <w:sz w:val="17"/>
                <w:szCs w:val="17"/>
              </w:rPr>
            </w:pPr>
          </w:p>
        </w:tc>
        <w:tc>
          <w:tcPr>
            <w:tcW w:w="5933" w:type="dxa"/>
            <w:gridSpan w:val="8"/>
          </w:tcPr>
          <w:p>
            <w:pPr>
              <w:spacing w:after="0"/>
              <w:ind w:firstLine="400" w:firstLineChars="200"/>
              <w:rPr>
                <w:rFonts w:ascii="楷体" w:hAnsi="楷体" w:eastAsia="楷体" w:cs="Times New Roman"/>
                <w:sz w:val="20"/>
                <w:szCs w:val="20"/>
              </w:rPr>
            </w:pPr>
            <w:r>
              <w:rPr>
                <w:rFonts w:hint="eastAsia" w:ascii="楷体" w:hAnsi="楷体" w:eastAsia="楷体" w:cs="宋体"/>
                <w:sz w:val="20"/>
                <w:szCs w:val="20"/>
              </w:rPr>
              <w:t>为了加强烟叶产业发展，提高烟农收入。完成烟叶税收目标任务：开展烤烟生产技术培训</w:t>
            </w:r>
            <w:r>
              <w:rPr>
                <w:rFonts w:ascii="楷体" w:hAnsi="楷体" w:eastAsia="楷体" w:cs="宋体"/>
                <w:sz w:val="20"/>
                <w:szCs w:val="20"/>
              </w:rPr>
              <w:t>4</w:t>
            </w:r>
            <w:r>
              <w:rPr>
                <w:rFonts w:hint="eastAsia" w:ascii="楷体" w:hAnsi="楷体" w:eastAsia="楷体" w:cs="宋体"/>
                <w:sz w:val="20"/>
                <w:szCs w:val="20"/>
              </w:rPr>
              <w:t>次，维修烤房</w:t>
            </w:r>
            <w:r>
              <w:rPr>
                <w:rFonts w:ascii="楷体" w:hAnsi="楷体" w:eastAsia="楷体" w:cs="宋体"/>
                <w:sz w:val="20"/>
                <w:szCs w:val="20"/>
              </w:rPr>
              <w:t>16</w:t>
            </w:r>
            <w:r>
              <w:rPr>
                <w:rFonts w:hint="eastAsia" w:ascii="楷体" w:hAnsi="楷体" w:eastAsia="楷体" w:cs="宋体"/>
                <w:sz w:val="20"/>
                <w:szCs w:val="20"/>
              </w:rPr>
              <w:t>间，烟地整理</w:t>
            </w:r>
            <w:r>
              <w:rPr>
                <w:rFonts w:ascii="楷体" w:hAnsi="楷体" w:eastAsia="楷体" w:cs="宋体"/>
                <w:sz w:val="20"/>
                <w:szCs w:val="20"/>
              </w:rPr>
              <w:t>2</w:t>
            </w:r>
            <w:r>
              <w:rPr>
                <w:rFonts w:hint="eastAsia" w:ascii="楷体" w:hAnsi="楷体" w:eastAsia="楷体" w:cs="宋体"/>
                <w:sz w:val="20"/>
                <w:szCs w:val="20"/>
              </w:rPr>
              <w:t>30</w:t>
            </w:r>
            <w:r>
              <w:rPr>
                <w:rFonts w:ascii="楷体" w:hAnsi="楷体" w:eastAsia="楷体" w:cs="宋体"/>
                <w:sz w:val="20"/>
                <w:szCs w:val="20"/>
              </w:rPr>
              <w:t>0</w:t>
            </w:r>
            <w:r>
              <w:rPr>
                <w:rFonts w:hint="eastAsia" w:ascii="楷体" w:hAnsi="楷体" w:eastAsia="楷体" w:cs="宋体"/>
                <w:sz w:val="20"/>
                <w:szCs w:val="20"/>
              </w:rPr>
              <w:t>亩，全年烤烟发展投入财政资金成本为77.51万元，全年烟农效益增收率为</w:t>
            </w:r>
            <w:r>
              <w:rPr>
                <w:rFonts w:ascii="楷体" w:hAnsi="楷体" w:eastAsia="楷体" w:cs="宋体"/>
                <w:sz w:val="20"/>
                <w:szCs w:val="20"/>
              </w:rPr>
              <w:t>10%</w:t>
            </w:r>
            <w:r>
              <w:rPr>
                <w:rFonts w:hint="eastAsia" w:ascii="楷体" w:hAnsi="楷体" w:eastAsia="楷体" w:cs="宋体"/>
                <w:sz w:val="20"/>
                <w:szCs w:val="20"/>
              </w:rPr>
              <w:t>。对生态环境部造成任何污染，群众（烟叶种植户）满意度达到</w:t>
            </w:r>
            <w:r>
              <w:rPr>
                <w:rFonts w:ascii="楷体" w:hAnsi="楷体" w:eastAsia="楷体" w:cs="宋体"/>
                <w:sz w:val="20"/>
                <w:szCs w:val="20"/>
              </w:rPr>
              <w:t>95%</w:t>
            </w:r>
            <w:r>
              <w:rPr>
                <w:rFonts w:hint="eastAsia" w:ascii="楷体" w:hAnsi="楷体" w:eastAsia="楷体" w:cs="宋体"/>
                <w:sz w:val="20"/>
                <w:szCs w:val="20"/>
              </w:rPr>
              <w:t>。项目将有效带动全镇</w:t>
            </w:r>
            <w:r>
              <w:rPr>
                <w:rFonts w:ascii="楷体" w:hAnsi="楷体" w:eastAsia="楷体" w:cs="宋体"/>
                <w:sz w:val="20"/>
                <w:szCs w:val="20"/>
              </w:rPr>
              <w:t>11</w:t>
            </w:r>
            <w:r>
              <w:rPr>
                <w:rFonts w:hint="eastAsia" w:ascii="楷体" w:hAnsi="楷体" w:eastAsia="楷体" w:cs="宋体"/>
                <w:sz w:val="20"/>
                <w:szCs w:val="20"/>
              </w:rPr>
              <w:t>村有意愿种植烤烟的烟农，带动全镇建筑、服务、制造、金融、运输、煤炭、电力、农资等多个行业的继续发展，有效解决农村剩余劳动力的就业，促进我镇经济发展。可创税百万元，是富民强镇的长远产业项目选择，提高效益、实现更多税收。</w:t>
            </w:r>
          </w:p>
        </w:tc>
        <w:tc>
          <w:tcPr>
            <w:tcW w:w="2469" w:type="dxa"/>
          </w:tcPr>
          <w:p>
            <w:pPr>
              <w:spacing w:after="0"/>
              <w:ind w:firstLine="400" w:firstLineChars="200"/>
              <w:rPr>
                <w:rFonts w:ascii="楷体" w:hAnsi="楷体" w:eastAsia="楷体" w:cs="Times New Roman"/>
                <w:sz w:val="20"/>
                <w:szCs w:val="20"/>
              </w:rPr>
            </w:pPr>
            <w:r>
              <w:rPr>
                <w:rFonts w:hint="eastAsia" w:ascii="楷体" w:hAnsi="楷体" w:eastAsia="楷体" w:cs="宋体"/>
                <w:sz w:val="20"/>
                <w:szCs w:val="20"/>
              </w:rPr>
              <w:t>开展烤烟生产技术培训</w:t>
            </w:r>
            <w:r>
              <w:rPr>
                <w:rFonts w:ascii="楷体" w:hAnsi="楷体" w:eastAsia="楷体" w:cs="宋体"/>
                <w:sz w:val="20"/>
                <w:szCs w:val="20"/>
              </w:rPr>
              <w:t>4</w:t>
            </w:r>
            <w:r>
              <w:rPr>
                <w:rFonts w:hint="eastAsia" w:ascii="楷体" w:hAnsi="楷体" w:eastAsia="楷体" w:cs="宋体"/>
                <w:sz w:val="20"/>
                <w:szCs w:val="20"/>
              </w:rPr>
              <w:t>次，维修烤房</w:t>
            </w:r>
            <w:r>
              <w:rPr>
                <w:rFonts w:ascii="楷体" w:hAnsi="楷体" w:eastAsia="楷体" w:cs="宋体"/>
                <w:sz w:val="20"/>
                <w:szCs w:val="20"/>
              </w:rPr>
              <w:t>16</w:t>
            </w:r>
            <w:r>
              <w:rPr>
                <w:rFonts w:hint="eastAsia" w:ascii="楷体" w:hAnsi="楷体" w:eastAsia="楷体" w:cs="宋体"/>
                <w:sz w:val="20"/>
                <w:szCs w:val="20"/>
              </w:rPr>
              <w:t>间，烟地整理</w:t>
            </w:r>
            <w:r>
              <w:rPr>
                <w:rFonts w:ascii="楷体" w:hAnsi="楷体" w:eastAsia="楷体" w:cs="宋体"/>
                <w:sz w:val="20"/>
                <w:szCs w:val="20"/>
              </w:rPr>
              <w:t>2</w:t>
            </w:r>
            <w:r>
              <w:rPr>
                <w:rFonts w:hint="eastAsia" w:ascii="楷体" w:hAnsi="楷体" w:eastAsia="楷体" w:cs="宋体"/>
                <w:sz w:val="20"/>
                <w:szCs w:val="20"/>
              </w:rPr>
              <w:t>390亩，全年烤烟发展投入财政资金成本为77.51万元，全年烟农效益增收率为</w:t>
            </w:r>
            <w:r>
              <w:rPr>
                <w:rFonts w:ascii="楷体" w:hAnsi="楷体" w:eastAsia="楷体" w:cs="宋体"/>
                <w:sz w:val="20"/>
                <w:szCs w:val="20"/>
              </w:rPr>
              <w:t>10%</w:t>
            </w:r>
            <w:r>
              <w:rPr>
                <w:rFonts w:hint="eastAsia" w:ascii="楷体" w:hAnsi="楷体" w:eastAsia="楷体" w:cs="宋体"/>
                <w:sz w:val="20"/>
                <w:szCs w:val="20"/>
              </w:rPr>
              <w:t>。对生态环境部造成任何污染，群众（烟叶种植户）满意度达到</w:t>
            </w:r>
            <w:r>
              <w:rPr>
                <w:rFonts w:ascii="楷体" w:hAnsi="楷体" w:eastAsia="楷体" w:cs="宋体"/>
                <w:sz w:val="20"/>
                <w:szCs w:val="20"/>
              </w:rPr>
              <w:t>9</w:t>
            </w:r>
            <w:r>
              <w:rPr>
                <w:rFonts w:hint="eastAsia" w:ascii="楷体" w:hAnsi="楷体" w:eastAsia="楷体" w:cs="宋体"/>
                <w:sz w:val="20"/>
                <w:szCs w:val="20"/>
              </w:rPr>
              <w:t>8</w:t>
            </w:r>
            <w:r>
              <w:rPr>
                <w:rFonts w:ascii="楷体" w:hAnsi="楷体" w:eastAsia="楷体" w:cs="宋体"/>
                <w:sz w:val="20"/>
                <w:szCs w:val="20"/>
              </w:rPr>
              <w:t>%</w:t>
            </w:r>
            <w:r>
              <w:rPr>
                <w:rFonts w:hint="eastAsia" w:ascii="楷体" w:hAnsi="楷体" w:eastAsia="楷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97" w:type="dxa"/>
            <w:vMerge w:val="restart"/>
          </w:tcPr>
          <w:p>
            <w:pPr>
              <w:spacing w:before="155" w:after="0" w:line="220" w:lineRule="auto"/>
              <w:jc w:val="center"/>
              <w:rPr>
                <w:rFonts w:ascii="宋体" w:hAnsi="宋体" w:eastAsia="宋体" w:cs="宋体"/>
                <w:snapToGrid w:val="0"/>
                <w:color w:val="000000"/>
                <w:spacing w:val="-2"/>
                <w:sz w:val="17"/>
                <w:szCs w:val="17"/>
              </w:rPr>
            </w:pPr>
          </w:p>
          <w:p>
            <w:pPr>
              <w:spacing w:before="155" w:after="0" w:line="220" w:lineRule="auto"/>
              <w:jc w:val="center"/>
              <w:rPr>
                <w:rFonts w:hint="eastAsia" w:ascii="宋体" w:hAnsi="宋体" w:eastAsia="宋体" w:cs="宋体"/>
                <w:snapToGrid w:val="0"/>
                <w:color w:val="000000"/>
                <w:spacing w:val="-2"/>
                <w:sz w:val="17"/>
                <w:szCs w:val="17"/>
              </w:rPr>
            </w:pPr>
          </w:p>
          <w:p>
            <w:pPr>
              <w:spacing w:before="155" w:after="0" w:line="220" w:lineRule="auto"/>
              <w:jc w:val="center"/>
              <w:rPr>
                <w:rFonts w:ascii="宋体" w:hAnsi="宋体" w:eastAsia="宋体" w:cs="宋体"/>
                <w:snapToGrid w:val="0"/>
                <w:color w:val="000000"/>
                <w:spacing w:val="-2"/>
                <w:sz w:val="17"/>
                <w:szCs w:val="17"/>
              </w:rPr>
            </w:pPr>
          </w:p>
          <w:p>
            <w:pPr>
              <w:spacing w:before="155" w:after="0" w:line="220" w:lineRule="auto"/>
              <w:jc w:val="center"/>
              <w:rPr>
                <w:rFonts w:ascii="宋体" w:hAnsi="宋体" w:eastAsia="宋体" w:cs="宋体"/>
                <w:snapToGrid w:val="0"/>
                <w:color w:val="000000"/>
                <w:spacing w:val="-2"/>
                <w:sz w:val="17"/>
                <w:szCs w:val="17"/>
              </w:rPr>
            </w:pPr>
          </w:p>
          <w:p>
            <w:pPr>
              <w:spacing w:before="155" w:after="0" w:line="220" w:lineRule="auto"/>
              <w:jc w:val="center"/>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绩效</w:t>
            </w:r>
          </w:p>
          <w:p>
            <w:pPr>
              <w:spacing w:before="155" w:after="0" w:line="220" w:lineRule="auto"/>
              <w:jc w:val="center"/>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指标</w:t>
            </w:r>
          </w:p>
        </w:tc>
        <w:tc>
          <w:tcPr>
            <w:tcW w:w="863" w:type="dxa"/>
            <w:gridSpan w:val="2"/>
            <w:tcBorders>
              <w:bottom w:val="single" w:color="auto" w:sz="4" w:space="0"/>
            </w:tcBorders>
          </w:tcPr>
          <w:p>
            <w:pPr>
              <w:spacing w:before="155" w:after="0" w:line="220" w:lineRule="auto"/>
              <w:jc w:val="center"/>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一级指标</w:t>
            </w:r>
          </w:p>
        </w:tc>
        <w:tc>
          <w:tcPr>
            <w:tcW w:w="1134" w:type="dxa"/>
          </w:tcPr>
          <w:p>
            <w:pPr>
              <w:spacing w:before="155" w:after="0" w:line="220" w:lineRule="auto"/>
              <w:jc w:val="center"/>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二级指标</w:t>
            </w:r>
          </w:p>
        </w:tc>
        <w:tc>
          <w:tcPr>
            <w:tcW w:w="2126" w:type="dxa"/>
            <w:gridSpan w:val="3"/>
          </w:tcPr>
          <w:p>
            <w:pPr>
              <w:spacing w:before="155" w:after="0" w:line="220" w:lineRule="auto"/>
              <w:jc w:val="center"/>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三级指标</w:t>
            </w:r>
          </w:p>
        </w:tc>
        <w:tc>
          <w:tcPr>
            <w:tcW w:w="859" w:type="dxa"/>
          </w:tcPr>
          <w:p>
            <w:pPr>
              <w:spacing w:before="155" w:after="0" w:line="220" w:lineRule="auto"/>
              <w:jc w:val="center"/>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年度指标值</w:t>
            </w:r>
          </w:p>
        </w:tc>
        <w:tc>
          <w:tcPr>
            <w:tcW w:w="951" w:type="dxa"/>
          </w:tcPr>
          <w:p>
            <w:pPr>
              <w:spacing w:before="155" w:after="0" w:line="220" w:lineRule="auto"/>
              <w:jc w:val="center"/>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实际完成值</w:t>
            </w:r>
          </w:p>
        </w:tc>
        <w:tc>
          <w:tcPr>
            <w:tcW w:w="2469" w:type="dxa"/>
          </w:tcPr>
          <w:p>
            <w:pPr>
              <w:spacing w:before="155" w:after="0" w:line="220" w:lineRule="auto"/>
              <w:jc w:val="center"/>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restart"/>
            <w:tcBorders>
              <w:top w:val="single" w:color="auto" w:sz="4" w:space="0"/>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产出指标</w:t>
            </w: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时效指标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烤烟经费及返还烟农资金支付及时率</w:t>
            </w:r>
          </w:p>
        </w:tc>
        <w:tc>
          <w:tcPr>
            <w:tcW w:w="859"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≥95%</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98%</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continue"/>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134" w:type="dxa"/>
            <w:tcBorders>
              <w:left w:val="single" w:color="auto" w:sz="4" w:space="0"/>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数量指标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全年维修及新建烤房数量</w:t>
            </w:r>
          </w:p>
        </w:tc>
        <w:tc>
          <w:tcPr>
            <w:tcW w:w="859"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≥16间</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16间</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continue"/>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134" w:type="dxa"/>
            <w:tcBorders>
              <w:left w:val="single" w:color="auto" w:sz="4" w:space="0"/>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数量指标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烟地整理面积</w:t>
            </w:r>
          </w:p>
        </w:tc>
        <w:tc>
          <w:tcPr>
            <w:tcW w:w="859"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≥2300亩</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2830亩</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continue"/>
            <w:tcBorders>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134" w:type="dxa"/>
            <w:tcBorders>
              <w:left w:val="single" w:color="auto" w:sz="4" w:space="0"/>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质量指标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烤房建设、烟地整理完成合格率</w:t>
            </w:r>
          </w:p>
        </w:tc>
        <w:tc>
          <w:tcPr>
            <w:tcW w:w="859"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≥96%</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96%</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vMerge w:val="continue"/>
            <w:tcBorders>
              <w:left w:val="single" w:color="auto" w:sz="4" w:space="0"/>
              <w:bottom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数量指标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对烟农烤烟技术集中培训次数</w:t>
            </w:r>
          </w:p>
        </w:tc>
        <w:tc>
          <w:tcPr>
            <w:tcW w:w="859"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≥4次</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4次</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after="0"/>
              <w:jc w:val="center"/>
              <w:rPr>
                <w:rFonts w:ascii="宋体" w:hAnsi="宋体" w:eastAsia="宋体" w:cs="Times New Roman"/>
                <w:sz w:val="18"/>
                <w:szCs w:val="18"/>
              </w:rPr>
            </w:pPr>
          </w:p>
        </w:tc>
        <w:tc>
          <w:tcPr>
            <w:tcW w:w="863" w:type="dxa"/>
            <w:gridSpan w:val="2"/>
            <w:tcBorders>
              <w:top w:val="single" w:color="auto" w:sz="4" w:space="0"/>
              <w:left w:val="single" w:color="auto" w:sz="4" w:space="0"/>
              <w:right w:val="single" w:color="auto" w:sz="4" w:space="0"/>
            </w:tcBorders>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效益指标</w:t>
            </w:r>
          </w:p>
        </w:tc>
        <w:tc>
          <w:tcPr>
            <w:tcW w:w="1134" w:type="dxa"/>
            <w:tcBorders>
              <w:left w:val="single" w:color="auto" w:sz="4" w:space="0"/>
              <w:bottom w:val="nil"/>
            </w:tcBorders>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经济效益指标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全年烟农收入效益增收率</w:t>
            </w:r>
          </w:p>
        </w:tc>
        <w:tc>
          <w:tcPr>
            <w:tcW w:w="859"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≥10%</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10%</w:t>
            </w:r>
          </w:p>
        </w:tc>
        <w:tc>
          <w:tcPr>
            <w:tcW w:w="2469" w:type="dxa"/>
          </w:tcPr>
          <w:p>
            <w:pPr>
              <w:spacing w:after="0"/>
              <w:jc w:val="center"/>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863" w:type="dxa"/>
            <w:gridSpan w:val="2"/>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满意度指标</w:t>
            </w:r>
          </w:p>
        </w:tc>
        <w:tc>
          <w:tcPr>
            <w:tcW w:w="1134" w:type="dxa"/>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满意度指标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烟农满意度</w:t>
            </w:r>
          </w:p>
        </w:tc>
        <w:tc>
          <w:tcPr>
            <w:tcW w:w="859"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≥98%</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98%</w:t>
            </w:r>
          </w:p>
        </w:tc>
        <w:tc>
          <w:tcPr>
            <w:tcW w:w="2469" w:type="dxa"/>
            <w:vAlign w:val="center"/>
          </w:tcPr>
          <w:p>
            <w:pPr>
              <w:spacing w:after="0"/>
              <w:jc w:val="both"/>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863" w:type="dxa"/>
            <w:gridSpan w:val="2"/>
            <w:vMerge w:val="restart"/>
            <w:vAlign w:val="center"/>
          </w:tcPr>
          <w:p>
            <w:pPr>
              <w:kinsoku w:val="0"/>
              <w:autoSpaceDE w:val="0"/>
              <w:autoSpaceDN w:val="0"/>
              <w:spacing w:before="155"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成本指标</w:t>
            </w:r>
          </w:p>
        </w:tc>
        <w:tc>
          <w:tcPr>
            <w:tcW w:w="1134" w:type="dxa"/>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经济成本指标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烟农返税</w:t>
            </w:r>
          </w:p>
        </w:tc>
        <w:tc>
          <w:tcPr>
            <w:tcW w:w="859" w:type="dxa"/>
            <w:vAlign w:val="center"/>
          </w:tcPr>
          <w:p>
            <w:pPr>
              <w:spacing w:after="0"/>
              <w:rPr>
                <w:rFonts w:ascii="楷体" w:hAnsi="楷体" w:eastAsia="楷体" w:cs="宋体"/>
                <w:sz w:val="18"/>
                <w:szCs w:val="18"/>
              </w:rPr>
            </w:pPr>
            <w:r>
              <w:rPr>
                <w:rFonts w:hint="eastAsia" w:ascii="楷体" w:hAnsi="楷体" w:eastAsia="楷体" w:cs="Times New Roman"/>
                <w:sz w:val="18"/>
                <w:szCs w:val="18"/>
              </w:rPr>
              <w:t>≥31万元</w:t>
            </w:r>
          </w:p>
        </w:tc>
        <w:tc>
          <w:tcPr>
            <w:tcW w:w="951" w:type="dxa"/>
            <w:vAlign w:val="center"/>
          </w:tcPr>
          <w:p>
            <w:pPr>
              <w:spacing w:after="0"/>
              <w:jc w:val="center"/>
              <w:rPr>
                <w:rFonts w:ascii="楷体" w:hAnsi="楷体" w:eastAsia="楷体" w:cs="宋体"/>
                <w:sz w:val="18"/>
                <w:szCs w:val="18"/>
              </w:rPr>
            </w:pPr>
            <w:r>
              <w:rPr>
                <w:rFonts w:hint="eastAsia" w:ascii="楷体" w:hAnsi="楷体" w:eastAsia="楷体" w:cs="宋体"/>
                <w:sz w:val="18"/>
                <w:szCs w:val="18"/>
              </w:rPr>
              <w:t>30.6万元</w:t>
            </w:r>
          </w:p>
        </w:tc>
        <w:tc>
          <w:tcPr>
            <w:tcW w:w="2469" w:type="dxa"/>
            <w:vAlign w:val="center"/>
          </w:tcPr>
          <w:p>
            <w:pPr>
              <w:spacing w:after="0"/>
              <w:jc w:val="both"/>
              <w:rPr>
                <w:rFonts w:ascii="楷体" w:hAnsi="楷体" w:eastAsia="楷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863" w:type="dxa"/>
            <w:gridSpan w:val="2"/>
            <w:vMerge w:val="continue"/>
            <w:vAlign w:val="center"/>
          </w:tcPr>
          <w:p>
            <w:pPr>
              <w:spacing w:before="146" w:after="0" w:line="219" w:lineRule="auto"/>
              <w:ind w:left="191" w:right="124" w:hanging="70"/>
              <w:jc w:val="center"/>
              <w:rPr>
                <w:rFonts w:ascii="宋体" w:hAnsi="宋体" w:eastAsia="宋体" w:cs="宋体"/>
                <w:spacing w:val="-3"/>
                <w:sz w:val="18"/>
                <w:szCs w:val="18"/>
              </w:rPr>
            </w:pPr>
          </w:p>
        </w:tc>
        <w:tc>
          <w:tcPr>
            <w:tcW w:w="1134" w:type="dxa"/>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经济成本指标</w:t>
            </w:r>
          </w:p>
        </w:tc>
        <w:tc>
          <w:tcPr>
            <w:tcW w:w="2126" w:type="dxa"/>
            <w:gridSpan w:val="3"/>
            <w:vAlign w:val="center"/>
          </w:tcPr>
          <w:p>
            <w:pPr>
              <w:spacing w:after="0"/>
              <w:jc w:val="center"/>
              <w:rPr>
                <w:rFonts w:ascii="楷体" w:hAnsi="楷体" w:eastAsia="楷体" w:cs="宋体"/>
                <w:sz w:val="18"/>
                <w:szCs w:val="18"/>
              </w:rPr>
            </w:pPr>
            <w:r>
              <w:rPr>
                <w:rFonts w:hint="eastAsia" w:ascii="楷体" w:hAnsi="楷体" w:eastAsia="楷体" w:cs="Times New Roman"/>
                <w:sz w:val="18"/>
                <w:szCs w:val="18"/>
              </w:rPr>
              <w:t>烤烟基础设施建设成本</w:t>
            </w:r>
          </w:p>
        </w:tc>
        <w:tc>
          <w:tcPr>
            <w:tcW w:w="859" w:type="dxa"/>
            <w:vAlign w:val="center"/>
          </w:tcPr>
          <w:p>
            <w:pPr>
              <w:spacing w:after="0"/>
              <w:rPr>
                <w:rFonts w:ascii="楷体" w:hAnsi="楷体" w:eastAsia="楷体" w:cs="宋体"/>
                <w:sz w:val="20"/>
                <w:szCs w:val="20"/>
              </w:rPr>
            </w:pPr>
            <w:r>
              <w:rPr>
                <w:rFonts w:hint="eastAsia" w:ascii="楷体" w:hAnsi="楷体" w:eastAsia="楷体" w:cs="Times New Roman"/>
                <w:sz w:val="20"/>
                <w:szCs w:val="20"/>
              </w:rPr>
              <w:t>≥46.51万元</w:t>
            </w:r>
          </w:p>
        </w:tc>
        <w:tc>
          <w:tcPr>
            <w:tcW w:w="951" w:type="dxa"/>
            <w:vAlign w:val="center"/>
          </w:tcPr>
          <w:p>
            <w:pPr>
              <w:spacing w:after="0"/>
              <w:jc w:val="center"/>
              <w:rPr>
                <w:rFonts w:ascii="楷体" w:hAnsi="楷体" w:eastAsia="楷体" w:cs="宋体"/>
                <w:sz w:val="20"/>
                <w:szCs w:val="20"/>
              </w:rPr>
            </w:pPr>
            <w:r>
              <w:rPr>
                <w:rFonts w:hint="eastAsia" w:ascii="楷体" w:hAnsi="楷体" w:eastAsia="楷体" w:cs="宋体"/>
                <w:sz w:val="20"/>
                <w:szCs w:val="20"/>
              </w:rPr>
              <w:t>0万元</w:t>
            </w:r>
          </w:p>
        </w:tc>
        <w:tc>
          <w:tcPr>
            <w:tcW w:w="2469" w:type="dxa"/>
            <w:vAlign w:val="center"/>
          </w:tcPr>
          <w:p>
            <w:pPr>
              <w:spacing w:after="0"/>
              <w:jc w:val="both"/>
              <w:rPr>
                <w:rFonts w:ascii="楷体" w:hAnsi="楷体" w:eastAsia="楷体" w:cs="宋体"/>
                <w:sz w:val="20"/>
                <w:szCs w:val="20"/>
              </w:rPr>
            </w:pPr>
            <w:r>
              <w:rPr>
                <w:rFonts w:hint="eastAsia" w:ascii="楷体" w:hAnsi="楷体" w:eastAsia="楷体" w:cs="宋体"/>
                <w:sz w:val="20"/>
                <w:szCs w:val="20"/>
              </w:rPr>
              <w:t>催促</w:t>
            </w:r>
            <w:r>
              <w:rPr>
                <w:rFonts w:ascii="楷体" w:hAnsi="楷体" w:eastAsia="楷体" w:cs="宋体"/>
                <w:sz w:val="20"/>
                <w:szCs w:val="20"/>
              </w:rPr>
              <w:t>及时报账，并提醒区领导加快审批，尽快拨付。</w:t>
            </w:r>
          </w:p>
        </w:tc>
      </w:tr>
    </w:tbl>
    <w:p>
      <w:pPr>
        <w:spacing w:after="0" w:line="576" w:lineRule="exact"/>
        <w:jc w:val="center"/>
        <w:rPr>
          <w:rFonts w:ascii="Times New Roman" w:hAnsi="Times New Roman" w:eastAsia="方正小标宋简体" w:cs="方正小标宋简体"/>
          <w:spacing w:val="11"/>
          <w:sz w:val="44"/>
          <w:szCs w:val="44"/>
        </w:rPr>
      </w:pPr>
      <w:r>
        <w:rPr>
          <w:rFonts w:hint="eastAsia" w:ascii="Times New Roman" w:hAnsi="Times New Roman" w:eastAsia="方正小标宋简体" w:cs="方正小标宋简体"/>
          <w:spacing w:val="11"/>
          <w:sz w:val="44"/>
          <w:szCs w:val="44"/>
        </w:rPr>
        <w:t>广元市昭化区王家镇人民政府</w:t>
      </w:r>
    </w:p>
    <w:p>
      <w:pPr>
        <w:spacing w:after="0" w:line="576" w:lineRule="exact"/>
        <w:jc w:val="center"/>
        <w:rPr>
          <w:rFonts w:ascii="Times New Roman" w:hAnsi="Times New Roman" w:eastAsia="方正小标宋简体" w:cs="方正小标宋简体"/>
          <w:spacing w:val="11"/>
          <w:sz w:val="44"/>
          <w:szCs w:val="44"/>
          <w:lang w:val="zh-CN"/>
        </w:rPr>
      </w:pPr>
      <w:r>
        <w:rPr>
          <w:rFonts w:hint="eastAsia" w:ascii="Times New Roman" w:hAnsi="Times New Roman" w:eastAsia="方正小标宋简体" w:cs="方正小标宋简体"/>
          <w:spacing w:val="11"/>
          <w:sz w:val="44"/>
          <w:szCs w:val="44"/>
          <w:lang w:val="zh-CN"/>
        </w:rPr>
        <w:t>关于王家镇干部周转房建设项目支出绩效</w:t>
      </w:r>
    </w:p>
    <w:p>
      <w:pPr>
        <w:spacing w:after="0" w:line="576" w:lineRule="exact"/>
        <w:jc w:val="center"/>
        <w:rPr>
          <w:rFonts w:ascii="Times New Roman" w:hAnsi="Times New Roman" w:eastAsia="方正小标宋简体" w:cs="方正小标宋简体"/>
          <w:spacing w:val="11"/>
          <w:sz w:val="44"/>
          <w:szCs w:val="44"/>
        </w:rPr>
      </w:pPr>
      <w:r>
        <w:rPr>
          <w:rFonts w:hint="eastAsia" w:ascii="Times New Roman" w:hAnsi="Times New Roman" w:eastAsia="方正小标宋简体" w:cs="方正小标宋简体"/>
          <w:spacing w:val="11"/>
          <w:sz w:val="44"/>
          <w:szCs w:val="44"/>
          <w:lang w:val="zh-CN"/>
        </w:rPr>
        <w:t>的自评报告</w:t>
      </w:r>
    </w:p>
    <w:p>
      <w:pPr>
        <w:widowControl w:val="0"/>
        <w:spacing w:line="576" w:lineRule="exact"/>
        <w:ind w:firstLine="640" w:firstLineChars="200"/>
        <w:rPr>
          <w:rFonts w:ascii="Times New Roman" w:hAnsi="Times New Roman" w:eastAsia="仿宋_GB2312" w:cs="仿宋_GB2312"/>
          <w:sz w:val="32"/>
          <w:szCs w:val="32"/>
          <w:lang w:val="zh-CN"/>
        </w:rPr>
      </w:pPr>
    </w:p>
    <w:p>
      <w:pPr>
        <w:widowControl w:val="0"/>
        <w:spacing w:after="0"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一、项目概况</w:t>
      </w:r>
    </w:p>
    <w:p>
      <w:pPr>
        <w:widowControl w:val="0"/>
        <w:spacing w:after="0" w:line="576" w:lineRule="exact"/>
        <w:ind w:firstLine="640" w:firstLineChars="200"/>
        <w:rPr>
          <w:rFonts w:ascii="Times New Roman" w:hAnsi="Times New Roman" w:eastAsia="仿宋_GB2312" w:cs="仿宋_GB2312"/>
          <w:sz w:val="32"/>
          <w:szCs w:val="32"/>
          <w:lang w:val="zh-CN"/>
        </w:rPr>
      </w:pPr>
      <w:r>
        <w:rPr>
          <w:rFonts w:hint="eastAsia" w:ascii="楷体_GB2312" w:hAnsi="楷体_GB2312" w:eastAsia="楷体_GB2312" w:cs="楷体_GB2312"/>
          <w:sz w:val="32"/>
          <w:szCs w:val="32"/>
          <w:lang w:val="zh-CN"/>
        </w:rPr>
        <w:t xml:space="preserve">(一)项目资金申报及批复情况 </w:t>
      </w:r>
    </w:p>
    <w:p>
      <w:pPr>
        <w:spacing w:after="0" w:line="576" w:lineRule="exact"/>
        <w:ind w:firstLine="708" w:firstLineChars="200"/>
        <w:rPr>
          <w:rFonts w:ascii="Times New Roman" w:hAnsi="Times New Roman" w:eastAsia="仿宋_GB2312" w:cs="仿宋_GB2312"/>
          <w:spacing w:val="17"/>
          <w:sz w:val="32"/>
          <w:szCs w:val="32"/>
        </w:rPr>
      </w:pPr>
      <w:r>
        <w:rPr>
          <w:rFonts w:ascii="Times New Roman" w:hAnsi="Times New Roman" w:eastAsia="仿宋_GB2312" w:cs="仿宋_GB2312"/>
          <w:spacing w:val="17"/>
          <w:sz w:val="32"/>
          <w:szCs w:val="32"/>
        </w:rPr>
        <w:t>为解决外地来本</w:t>
      </w:r>
      <w:r>
        <w:rPr>
          <w:rFonts w:hint="eastAsia" w:ascii="Times New Roman" w:hAnsi="Times New Roman" w:eastAsia="仿宋_GB2312" w:cs="仿宋_GB2312"/>
          <w:spacing w:val="17"/>
          <w:sz w:val="32"/>
          <w:szCs w:val="32"/>
        </w:rPr>
        <w:t>镇的</w:t>
      </w:r>
      <w:r>
        <w:rPr>
          <w:rFonts w:ascii="Times New Roman" w:hAnsi="Times New Roman" w:eastAsia="仿宋_GB2312" w:cs="仿宋_GB2312"/>
          <w:spacing w:val="17"/>
          <w:sz w:val="32"/>
          <w:szCs w:val="32"/>
        </w:rPr>
        <w:t>领导干部的住房问题，确保领导干部的后勤服务工作，特申请此项目资金，</w:t>
      </w:r>
      <w:r>
        <w:rPr>
          <w:rFonts w:hint="eastAsia" w:ascii="Times New Roman" w:hAnsi="Times New Roman" w:eastAsia="仿宋_GB2312" w:cs="仿宋_GB2312"/>
          <w:spacing w:val="17"/>
          <w:sz w:val="32"/>
          <w:szCs w:val="32"/>
        </w:rPr>
        <w:t>《广元市昭化区发展和改革局关于广元市昭化区王家镇干部周转房建设项目可行性研究报告的批复》（昭发改审批</w:t>
      </w:r>
      <w:r>
        <w:rPr>
          <w:rFonts w:hint="eastAsia" w:ascii="Times New Roman" w:hAnsi="Times New Roman" w:eastAsia="仿宋_GB2312" w:cs="仿宋_GB2312"/>
          <w:sz w:val="32"/>
          <w:szCs w:val="32"/>
          <w:lang w:val="zh-CN"/>
        </w:rPr>
        <w:t>〔202</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zh-CN"/>
        </w:rPr>
        <w:t>〕</w:t>
      </w:r>
      <w:r>
        <w:rPr>
          <w:rFonts w:hint="eastAsia" w:ascii="Times New Roman" w:hAnsi="Times New Roman" w:eastAsia="仿宋_GB2312" w:cs="仿宋_GB2312"/>
          <w:sz w:val="32"/>
          <w:szCs w:val="32"/>
        </w:rPr>
        <w:t>59</w:t>
      </w:r>
      <w:r>
        <w:rPr>
          <w:rFonts w:hint="eastAsia" w:ascii="Times New Roman" w:hAnsi="Times New Roman" w:eastAsia="仿宋_GB2312" w:cs="仿宋_GB2312"/>
          <w:sz w:val="32"/>
          <w:szCs w:val="32"/>
          <w:lang w:val="zh-CN"/>
        </w:rPr>
        <w:t>号）批复王家镇周转房主体工程建设资金794万元。</w:t>
      </w:r>
    </w:p>
    <w:p>
      <w:pPr>
        <w:spacing w:after="0" w:line="576" w:lineRule="exact"/>
        <w:ind w:firstLine="708" w:firstLineChars="200"/>
        <w:rPr>
          <w:lang w:val="zh-CN"/>
        </w:rPr>
      </w:pPr>
      <w:r>
        <w:rPr>
          <w:rFonts w:hint="eastAsia" w:ascii="Times New Roman" w:hAnsi="Times New Roman" w:eastAsia="仿宋_GB2312" w:cs="仿宋_GB2312"/>
          <w:spacing w:val="17"/>
          <w:sz w:val="32"/>
          <w:szCs w:val="32"/>
        </w:rPr>
        <w:t>该项目资金申报、批复及预算调整等程序均符合相关政策。按照相关法律法规及管理制度使用，</w:t>
      </w:r>
      <w:r>
        <w:rPr>
          <w:rFonts w:hint="eastAsia" w:ascii="Times New Roman" w:hAnsi="Times New Roman" w:eastAsia="仿宋_GB2312"/>
          <w:sz w:val="32"/>
          <w:szCs w:val="32"/>
        </w:rPr>
        <w:t>遵循上级规范的支出标准依据，采取更为有效地措施以较低成本实现绩效目标，在节约成本或杜绝浪费的措施制定上更加完备，进一步提高资金使用效率。</w:t>
      </w:r>
    </w:p>
    <w:p>
      <w:pPr>
        <w:widowControl w:val="0"/>
        <w:spacing w:after="0" w:line="576" w:lineRule="exact"/>
        <w:ind w:firstLine="640" w:firstLineChars="200"/>
        <w:rPr>
          <w:rFonts w:ascii="Times New Roman" w:hAnsi="Times New Roman" w:eastAsia="仿宋_GB2312" w:cs="仿宋_GB2312"/>
          <w:sz w:val="32"/>
          <w:szCs w:val="32"/>
          <w:lang w:val="zh-CN"/>
        </w:rPr>
      </w:pPr>
      <w:r>
        <w:rPr>
          <w:rFonts w:hint="eastAsia" w:ascii="楷体_GB2312" w:hAnsi="楷体_GB2312" w:eastAsia="楷体_GB2312" w:cs="楷体_GB2312"/>
          <w:sz w:val="32"/>
          <w:szCs w:val="32"/>
          <w:lang w:val="zh-CN"/>
        </w:rPr>
        <w:t>(二)项目绩效目标</w:t>
      </w:r>
    </w:p>
    <w:p>
      <w:pPr>
        <w:widowControl w:val="0"/>
        <w:spacing w:after="0" w:line="576" w:lineRule="exact"/>
        <w:ind w:firstLine="640" w:firstLineChars="200"/>
        <w:rPr>
          <w:rFonts w:ascii="楷体" w:hAnsi="楷体" w:eastAsia="楷体" w:cs="宋体"/>
        </w:rPr>
      </w:pPr>
      <w:r>
        <w:rPr>
          <w:rFonts w:hint="eastAsia" w:ascii="Times New Roman" w:hAnsi="Times New Roman" w:eastAsia="仿宋_GB2312"/>
          <w:sz w:val="32"/>
          <w:szCs w:val="32"/>
        </w:rPr>
        <w:t>加强干部周转房保障工作，是做好乡镇行政区划和村级建制调整改革“后半篇”文章的一项重要内容，是落实省委、省政府关心关爱基层干部的具体体现，也是增强基层服务能力、提高治理效能的有力保障。建成周转房61间，工程验收合格率100</w:t>
      </w:r>
      <w:r>
        <w:rPr>
          <w:rFonts w:hint="eastAsia" w:ascii="仿宋_GB2312" w:hAnsi="Times New Roman" w:eastAsia="仿宋_GB2312"/>
          <w:sz w:val="32"/>
          <w:szCs w:val="32"/>
        </w:rPr>
        <w:t>%，</w:t>
      </w:r>
      <w:r>
        <w:rPr>
          <w:rFonts w:hint="eastAsia" w:ascii="仿宋_GB2312" w:hAnsi="楷体" w:eastAsia="仿宋_GB2312" w:cs="宋体"/>
          <w:sz w:val="32"/>
          <w:szCs w:val="32"/>
        </w:rPr>
        <w:t>提高我镇干部职工乡镇生活条件，将为促进镇域经济和社会快速发展起到极大的推动作用。</w:t>
      </w:r>
    </w:p>
    <w:p>
      <w:pPr>
        <w:widowControl w:val="0"/>
        <w:spacing w:after="0"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(三)项目资金申报相符性</w:t>
      </w:r>
    </w:p>
    <w:p>
      <w:pPr>
        <w:widowControl w:val="0"/>
        <w:adjustRightInd/>
        <w:snapToGrid/>
        <w:spacing w:after="0" w:line="576" w:lineRule="exact"/>
        <w:ind w:firstLine="640" w:firstLineChars="200"/>
        <w:rPr>
          <w:rFonts w:ascii="Times New Roman" w:hAnsi="Times New Roman" w:eastAsia="仿宋_GB2312" w:cs="仿宋_GB2312"/>
          <w:sz w:val="32"/>
          <w:szCs w:val="32"/>
          <w:lang w:val="zh-CN"/>
        </w:rPr>
      </w:pPr>
      <w:r>
        <w:rPr>
          <w:rFonts w:hint="eastAsia" w:ascii="Times New Roman" w:hAnsi="Times New Roman" w:eastAsia="仿宋_GB2312" w:cs="Times New Roman"/>
          <w:sz w:val="32"/>
          <w:szCs w:val="32"/>
        </w:rPr>
        <w:t>项目资金严格按照年初项目经费申报要求执行，新建干部周转房一栋，建筑面积2135平方米，配套建设雨污管网、强弱电、化粪池、绿化等附属工程，购置厨卫及室内床、衣柜等设施设备。申报符合本单位工作需要，并达到预期目标。</w:t>
      </w:r>
      <w:r>
        <w:rPr>
          <w:rFonts w:hint="eastAsia" w:ascii="Times New Roman" w:hAnsi="Times New Roman" w:eastAsia="仿宋_GB2312" w:cs="仿宋_GB2312"/>
          <w:spacing w:val="17"/>
          <w:sz w:val="32"/>
          <w:szCs w:val="32"/>
        </w:rPr>
        <w:t>申报内容与实际相符、申报目标合理可行。</w:t>
      </w:r>
    </w:p>
    <w:p>
      <w:pPr>
        <w:widowControl w:val="0"/>
        <w:spacing w:after="0"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(四)自评步骤及方法</w:t>
      </w:r>
    </w:p>
    <w:p>
      <w:pPr>
        <w:widowControl w:val="0"/>
        <w:adjustRightInd/>
        <w:snapToGrid/>
        <w:spacing w:after="0" w:line="576" w:lineRule="exact"/>
        <w:ind w:firstLine="640" w:firstLineChars="200"/>
        <w:rPr>
          <w:rFonts w:ascii="Times New Roman" w:hAnsi="Times New Roman" w:eastAsia="仿宋_GB2312" w:cs="仿宋_GB2312"/>
          <w:sz w:val="32"/>
          <w:szCs w:val="32"/>
          <w:lang w:val="zh-CN"/>
        </w:rPr>
      </w:pPr>
      <w:r>
        <w:rPr>
          <w:rFonts w:hint="eastAsia" w:ascii="Times New Roman" w:hAnsi="Times New Roman" w:eastAsia="仿宋_GB2312" w:cs="Times New Roman"/>
          <w:color w:val="000000" w:themeColor="text1"/>
          <w:kern w:val="2"/>
          <w:sz w:val="32"/>
          <w:szCs w:val="32"/>
        </w:rPr>
        <w:t>通过制定方案、资料收集、审核评价资料及撰写报告等几个阶段，</w:t>
      </w:r>
      <w:r>
        <w:rPr>
          <w:rFonts w:hint="eastAsia" w:ascii="Times New Roman" w:hAnsi="Times New Roman" w:eastAsia="仿宋_GB2312" w:cs="Times New Roman"/>
          <w:kern w:val="2"/>
          <w:sz w:val="32"/>
          <w:szCs w:val="32"/>
        </w:rPr>
        <w:t>认真、准确填写自评数据表，形成详实的自评报告，并按时完成自评工作，对所报送自评材料的真实性、完整性、一致性、规范性负责。</w:t>
      </w:r>
    </w:p>
    <w:p>
      <w:pPr>
        <w:widowControl w:val="0"/>
        <w:spacing w:after="0"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 项目实施及管理情况</w:t>
      </w:r>
    </w:p>
    <w:p>
      <w:pPr>
        <w:widowControl w:val="0"/>
        <w:spacing w:after="0"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(一)资金计划、到位及使用情况</w:t>
      </w:r>
    </w:p>
    <w:p>
      <w:pPr>
        <w:spacing w:after="0" w:line="576" w:lineRule="exact"/>
        <w:ind w:firstLine="640" w:firstLineChars="200"/>
        <w:rPr>
          <w:rFonts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1.资金计划及到位。</w:t>
      </w:r>
    </w:p>
    <w:p>
      <w:pPr>
        <w:spacing w:after="0" w:line="576" w:lineRule="exact"/>
        <w:ind w:firstLine="708" w:firstLineChars="200"/>
        <w:rPr>
          <w:rFonts w:ascii="Times New Roman" w:hAnsi="Times New Roman" w:eastAsia="仿宋_GB2312" w:cs="仿宋_GB2312"/>
          <w:spacing w:val="17"/>
          <w:sz w:val="32"/>
          <w:szCs w:val="32"/>
        </w:rPr>
      </w:pPr>
      <w:r>
        <w:rPr>
          <w:rFonts w:hint="eastAsia" w:ascii="Times New Roman" w:hAnsi="Times New Roman" w:eastAsia="仿宋_GB2312" w:cs="仿宋_GB2312"/>
          <w:spacing w:val="17"/>
          <w:sz w:val="32"/>
          <w:szCs w:val="32"/>
        </w:rPr>
        <w:t>该项目资金来源为财政资金。资金到位及时，资金到位率100%、到位及时性97%。</w:t>
      </w:r>
    </w:p>
    <w:p>
      <w:pPr>
        <w:spacing w:after="0" w:line="576" w:lineRule="exact"/>
        <w:ind w:firstLine="640" w:firstLineChars="200"/>
        <w:rPr>
          <w:rFonts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2.资金使用。</w:t>
      </w:r>
    </w:p>
    <w:p>
      <w:pPr>
        <w:spacing w:after="0" w:line="576" w:lineRule="exact"/>
        <w:ind w:firstLine="708" w:firstLineChars="200"/>
        <w:rPr>
          <w:rFonts w:ascii="Times New Roman" w:hAnsi="Times New Roman" w:eastAsia="仿宋_GB2312" w:cs="仿宋_GB2312"/>
          <w:sz w:val="32"/>
          <w:szCs w:val="32"/>
          <w:lang w:val="zh-CN"/>
        </w:rPr>
      </w:pPr>
      <w:r>
        <w:rPr>
          <w:rFonts w:hint="eastAsia" w:ascii="Times New Roman" w:hAnsi="Times New Roman" w:eastAsia="仿宋_GB2312" w:cs="仿宋_GB2312"/>
          <w:spacing w:val="17"/>
          <w:sz w:val="32"/>
          <w:szCs w:val="32"/>
        </w:rPr>
        <w:t>该项资金2021年拨付王家镇干部周转房主体工程建设资金419.6万元，2022年拨付234.9万元，共654.5万元。其中本级资金199.6万元全部支付完毕，省市两级匹配资金529万元，剩余74.1万元未支付。</w:t>
      </w:r>
    </w:p>
    <w:p>
      <w:pPr>
        <w:widowControl w:val="0"/>
        <w:spacing w:after="0"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(二)项目财务管理情况</w:t>
      </w:r>
    </w:p>
    <w:p>
      <w:pPr>
        <w:widowControl w:val="0"/>
        <w:spacing w:after="0" w:line="576" w:lineRule="exact"/>
        <w:ind w:firstLine="708" w:firstLineChars="200"/>
        <w:rPr>
          <w:rFonts w:ascii="Times New Roman" w:hAnsi="Times New Roman" w:eastAsia="仿宋_GB2312" w:cs="仿宋_GB2312"/>
          <w:sz w:val="32"/>
          <w:szCs w:val="32"/>
          <w:lang w:val="zh-CN"/>
        </w:rPr>
      </w:pPr>
      <w:r>
        <w:rPr>
          <w:rFonts w:hint="eastAsia" w:ascii="Times New Roman" w:hAnsi="Times New Roman" w:eastAsia="仿宋_GB2312" w:cs="仿宋_GB2312"/>
          <w:spacing w:val="17"/>
          <w:sz w:val="32"/>
          <w:szCs w:val="32"/>
        </w:rPr>
        <w:t>有健全的财务制度，资金拨付严格按照财务管理制度进行管理，保证专款专用，资金发放复查由财务人员按照财务制度进行资金的审核、支付和核算，所有支出均按政策进行，在具体支付时，具备了资金发票等相关材料，手续完善，不存在虚假会计凭证的情况，会计严格执行财务管理制度，财务处理及时，核算规范。</w:t>
      </w:r>
    </w:p>
    <w:p>
      <w:pPr>
        <w:widowControl w:val="0"/>
        <w:spacing w:after="0"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(三)项目组织实施及管理情况</w:t>
      </w:r>
    </w:p>
    <w:p>
      <w:pPr>
        <w:spacing w:after="0" w:line="576" w:lineRule="exact"/>
        <w:ind w:firstLine="708" w:firstLineChars="200"/>
        <w:rPr>
          <w:rFonts w:ascii="Times New Roman" w:hAnsi="Times New Roman" w:eastAsia="仿宋_GB2312" w:cs="仿宋_GB2312"/>
          <w:spacing w:val="17"/>
          <w:sz w:val="32"/>
          <w:szCs w:val="32"/>
        </w:rPr>
      </w:pPr>
      <w:r>
        <w:rPr>
          <w:rFonts w:hint="eastAsia" w:ascii="Times New Roman" w:hAnsi="Times New Roman" w:eastAsia="仿宋_GB2312" w:cs="仿宋_GB2312"/>
          <w:spacing w:val="17"/>
          <w:sz w:val="32"/>
          <w:szCs w:val="32"/>
        </w:rPr>
        <w:t>1.项目组织管理架构及具体实施流程</w:t>
      </w:r>
    </w:p>
    <w:p>
      <w:pPr>
        <w:widowControl w:val="0"/>
        <w:adjustRightInd/>
        <w:snapToGrid/>
        <w:spacing w:after="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昭化区住建局对本项目进行全面实施管理。该项目的施工实行项目经理负责制施工，以项目合同和成本控制为主要内容，项目经理同时受区住建局委托的社会监理单位及区住建局指派专人的监督，履行建设单位和公司签订的合同。</w:t>
      </w:r>
    </w:p>
    <w:p>
      <w:pPr>
        <w:widowControl w:val="0"/>
        <w:adjustRightInd/>
        <w:snapToGrid/>
        <w:spacing w:after="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根据四川省项目投资计划的安排，项目的前期申报及筹备工作与2021年3月底之前完成，即完成可研报告的编写和审批、项目立项、落实资金等。工程的具体实施时间从2021年5月-2021年12月底。具体进度安排如下：</w:t>
      </w:r>
    </w:p>
    <w:p>
      <w:pPr>
        <w:widowControl w:val="0"/>
        <w:adjustRightInd/>
        <w:snapToGrid/>
        <w:spacing w:after="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①2021年3月，王家镇干部周转房建设项目的前期工作。</w:t>
      </w:r>
    </w:p>
    <w:p>
      <w:pPr>
        <w:widowControl w:val="0"/>
        <w:adjustRightInd/>
        <w:snapToGrid/>
        <w:spacing w:after="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②2021年3月底-2021年4月，王家镇干部周转房建设项目的施工准备工作。</w:t>
      </w:r>
    </w:p>
    <w:p>
      <w:pPr>
        <w:widowControl w:val="0"/>
        <w:adjustRightInd/>
        <w:snapToGrid/>
        <w:spacing w:after="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③2021年5月-2021年11月，王家镇干部周转房建设项目实施工作。</w:t>
      </w:r>
    </w:p>
    <w:p>
      <w:pPr>
        <w:widowControl w:val="0"/>
        <w:adjustRightInd/>
        <w:snapToGrid/>
        <w:spacing w:after="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④2021年12月，王家镇干部周转房项目竣工验收工作。</w:t>
      </w:r>
    </w:p>
    <w:p>
      <w:pPr>
        <w:widowControl w:val="0"/>
        <w:adjustRightInd/>
        <w:snapToGrid/>
        <w:spacing w:after="0" w:line="576" w:lineRule="exact"/>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⑤</w:t>
      </w:r>
      <w:r>
        <w:rPr>
          <w:rFonts w:ascii="Times New Roman" w:hAnsi="Times New Roman" w:eastAsia="仿宋_GB2312" w:cs="Times New Roman"/>
          <w:sz w:val="32"/>
          <w:szCs w:val="32"/>
        </w:rPr>
        <w:t>2022年1月起，王家镇干部周转房项目正式投入使用。</w:t>
      </w:r>
    </w:p>
    <w:p>
      <w:pPr>
        <w:spacing w:after="0" w:line="576" w:lineRule="exact"/>
        <w:ind w:firstLine="708" w:firstLineChars="200"/>
        <w:rPr>
          <w:rFonts w:ascii="Times New Roman" w:hAnsi="Times New Roman" w:eastAsia="仿宋_GB2312" w:cs="仿宋_GB2312"/>
          <w:spacing w:val="17"/>
          <w:sz w:val="32"/>
          <w:szCs w:val="32"/>
        </w:rPr>
      </w:pPr>
      <w:r>
        <w:rPr>
          <w:rFonts w:hint="eastAsia" w:ascii="Times New Roman" w:hAnsi="Times New Roman" w:eastAsia="仿宋_GB2312" w:cs="仿宋_GB2312"/>
          <w:spacing w:val="17"/>
          <w:sz w:val="32"/>
          <w:szCs w:val="32"/>
        </w:rPr>
        <w:t>2.项目管理情况</w:t>
      </w:r>
    </w:p>
    <w:p>
      <w:pPr>
        <w:widowControl w:val="0"/>
        <w:adjustRightInd/>
        <w:snapToGrid/>
        <w:spacing w:after="0" w:line="576"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项目投资管理。</w:t>
      </w:r>
      <w:r>
        <w:rPr>
          <w:rFonts w:ascii="Times New Roman" w:hAnsi="Times New Roman" w:eastAsia="仿宋_GB2312" w:cs="Times New Roman"/>
          <w:sz w:val="32"/>
          <w:szCs w:val="32"/>
        </w:rPr>
        <w:t>项目建设过程中，应首先确定造价控制目标，制定工程费用支出计划并付诸实施，在计划执行过程中对其进行跟踪检查，收查有关反映费用支出的数据，将实际费用支付额与计划费用支出额进行比较，发现实际支出额与计划支出额之间的偏差，并分析产生偏差的原因，采取有效措施加以控制，以保证造价控制目标的实现。</w:t>
      </w:r>
    </w:p>
    <w:p>
      <w:pPr>
        <w:widowControl w:val="0"/>
        <w:adjustRightInd/>
        <w:snapToGrid/>
        <w:spacing w:after="0" w:line="576"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质量管理。</w:t>
      </w:r>
      <w:r>
        <w:rPr>
          <w:rFonts w:ascii="Times New Roman" w:hAnsi="Times New Roman" w:eastAsia="仿宋_GB2312" w:cs="Times New Roman"/>
          <w:sz w:val="32"/>
          <w:szCs w:val="32"/>
        </w:rPr>
        <w:t>该项目委托社会监理单位、区住建局全面监督管理工程质量。工程质量达到国家现行规范要求，并经验收合格。</w:t>
      </w:r>
    </w:p>
    <w:p>
      <w:pPr>
        <w:widowControl w:val="0"/>
        <w:adjustRightInd/>
        <w:snapToGrid/>
        <w:spacing w:after="0" w:line="576"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工程进度管理。</w:t>
      </w:r>
      <w:r>
        <w:rPr>
          <w:rFonts w:ascii="Times New Roman" w:hAnsi="Times New Roman" w:eastAsia="仿宋_GB2312" w:cs="Times New Roman"/>
          <w:sz w:val="32"/>
          <w:szCs w:val="32"/>
        </w:rPr>
        <w:t>在施工承包合同、监理合同中明确有关工期、进度的违约处罚等条款，通过招标的优惠条件鼓励施工单位加快进度，控制对投资的投放速度，控制对建设材料的供应，建立相应的奖励和惩罚措施等。依据规划、控制和协商等管理职能手段，在工程的准备及实施的全过程中，对工程进度进行控制。</w:t>
      </w:r>
    </w:p>
    <w:p>
      <w:pPr>
        <w:widowControl w:val="0"/>
        <w:adjustRightInd/>
        <w:snapToGrid/>
        <w:spacing w:after="0" w:line="576"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合同管理。</w:t>
      </w:r>
      <w:r>
        <w:rPr>
          <w:rFonts w:ascii="Times New Roman" w:hAnsi="Times New Roman" w:eastAsia="仿宋_GB2312" w:cs="Times New Roman"/>
          <w:sz w:val="32"/>
          <w:szCs w:val="32"/>
        </w:rPr>
        <w:t>由于建设工程合同标的大，投入的资金数额大，技术面广、复杂、施工工期紧，使用的人力、物力多，涉及的单位多等原因，更有必要将建设工程合同作为一个系统工程进行科学管理，从而提高工程项目的经济效益和社会效益。因此，工程实施过程中的每个项目，均要以合同形式确定双方或多方的责、权、利，以保证工程项目和工作任务的实现。</w:t>
      </w:r>
    </w:p>
    <w:p>
      <w:pPr>
        <w:widowControl w:val="0"/>
        <w:adjustRightInd/>
        <w:snapToGrid/>
        <w:spacing w:after="0" w:line="576"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协调管理。</w:t>
      </w:r>
      <w:r>
        <w:rPr>
          <w:rFonts w:ascii="Times New Roman" w:hAnsi="Times New Roman" w:eastAsia="仿宋_GB2312" w:cs="Times New Roman"/>
          <w:sz w:val="32"/>
          <w:szCs w:val="32"/>
        </w:rPr>
        <w:t>协调工作是项目管理的重点，也是保证工程顺利实施的关键，在整个工程实施过程中，建设项目组织与外部各关联单位之间，建设项目组织内部各单位、各部门之间，专业与专业间、环节与环节间，以及建设项目与周围环境、其它市政建设工程间存在着相互联系、相互制约的关系和矛盾，特别是工期紧迫，需进行多头、平行作业的情况下尤为突出。因此，要取得一个建设项目的成功，就必须通过积极有效的组织协调、排除障碍、解决矛盾，以保证实现建设项目的各项预期目标。</w:t>
      </w:r>
    </w:p>
    <w:p>
      <w:pPr>
        <w:widowControl w:val="0"/>
        <w:adjustRightInd/>
        <w:snapToGrid/>
        <w:spacing w:after="0" w:line="576"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安全建设管理。</w:t>
      </w:r>
      <w:r>
        <w:rPr>
          <w:rFonts w:ascii="Times New Roman" w:hAnsi="Times New Roman" w:eastAsia="仿宋_GB2312" w:cs="Times New Roman"/>
          <w:sz w:val="32"/>
          <w:szCs w:val="32"/>
        </w:rPr>
        <w:t>必须建立有符合该项目特点的安全生产制度，参与项目的管理、监理、施工及相关人员都必须认真执行制度的规定和要求。工程项目安全生产制度要符合国家、地方、相关行业及单位的有关安全生产政策、法规、条例、规范和标准。其次，做好安全检查。对安全检查结果必须认真对待，需要整改的必须限定整改完成时间，落实整改方案和责任人。</w:t>
      </w:r>
    </w:p>
    <w:p>
      <w:pPr>
        <w:widowControl w:val="0"/>
        <w:adjustRightInd/>
        <w:snapToGrid/>
        <w:spacing w:after="0" w:line="576"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资金管理。</w:t>
      </w:r>
      <w:r>
        <w:rPr>
          <w:rFonts w:ascii="Times New Roman" w:hAnsi="Times New Roman" w:eastAsia="仿宋_GB2312" w:cs="Times New Roman"/>
          <w:sz w:val="32"/>
          <w:szCs w:val="32"/>
        </w:rPr>
        <w:t>项目建设资金应在指定银行开设专用账户，专款专用，专人管理。制定每月用款计划，确保建设资金足额、恰当、适时用于工程建设。</w:t>
      </w:r>
    </w:p>
    <w:p>
      <w:pPr>
        <w:spacing w:after="0" w:line="576" w:lineRule="exact"/>
        <w:ind w:firstLine="708" w:firstLineChars="200"/>
        <w:rPr>
          <w:rFonts w:ascii="Times New Roman" w:hAnsi="Times New Roman" w:eastAsia="仿宋_GB2312" w:cs="仿宋_GB2312"/>
          <w:spacing w:val="17"/>
          <w:sz w:val="32"/>
          <w:szCs w:val="32"/>
        </w:rPr>
      </w:pPr>
      <w:r>
        <w:rPr>
          <w:rFonts w:hint="eastAsia" w:ascii="Times New Roman" w:hAnsi="Times New Roman" w:eastAsia="仿宋_GB2312" w:cs="仿宋_GB2312"/>
          <w:spacing w:val="17"/>
          <w:sz w:val="32"/>
          <w:szCs w:val="32"/>
        </w:rPr>
        <w:t>3.项目监管情况</w:t>
      </w:r>
    </w:p>
    <w:p>
      <w:pPr>
        <w:spacing w:after="0" w:line="576" w:lineRule="exact"/>
        <w:ind w:firstLine="708" w:firstLineChars="200"/>
        <w:rPr>
          <w:rFonts w:ascii="Times New Roman" w:hAnsi="Times New Roman" w:eastAsia="仿宋_GB2312" w:cs="仿宋_GB2312"/>
          <w:sz w:val="32"/>
          <w:szCs w:val="32"/>
          <w:lang w:val="zh-CN"/>
        </w:rPr>
      </w:pPr>
      <w:r>
        <w:rPr>
          <w:rFonts w:hint="eastAsia" w:ascii="Times New Roman" w:hAnsi="Times New Roman" w:eastAsia="仿宋_GB2312" w:cs="仿宋_GB2312"/>
          <w:spacing w:val="17"/>
          <w:sz w:val="32"/>
          <w:szCs w:val="32"/>
        </w:rPr>
        <w:t>相关干部、分管领导及上级部门不定时进行实地抽查维护质量和数量,并对日常巡检和维护资料进行查看，各项目建设运行正常。</w:t>
      </w:r>
    </w:p>
    <w:p>
      <w:pPr>
        <w:widowControl w:val="0"/>
        <w:spacing w:after="0"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 项目绩效情况</w:t>
      </w:r>
    </w:p>
    <w:p>
      <w:pPr>
        <w:widowControl w:val="0"/>
        <w:spacing w:after="0" w:line="576"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(一)项目完成情况</w:t>
      </w:r>
    </w:p>
    <w:p>
      <w:pPr>
        <w:widowControl w:val="0"/>
        <w:spacing w:after="0" w:line="576" w:lineRule="exact"/>
        <w:ind w:firstLine="708" w:firstLineChars="200"/>
        <w:rPr>
          <w:rFonts w:ascii="Times New Roman" w:hAnsi="Times New Roman" w:eastAsia="仿宋_GB2312" w:cs="仿宋_GB2312"/>
          <w:sz w:val="32"/>
          <w:szCs w:val="32"/>
          <w:lang w:val="zh-CN"/>
        </w:rPr>
      </w:pPr>
      <w:r>
        <w:rPr>
          <w:rFonts w:hint="eastAsia" w:ascii="Times New Roman" w:hAnsi="Times New Roman" w:eastAsia="仿宋_GB2312" w:cs="仿宋_GB2312"/>
          <w:spacing w:val="17"/>
          <w:sz w:val="32"/>
          <w:szCs w:val="32"/>
          <w:lang w:val="zh-CN"/>
        </w:rPr>
        <w:t>建设周转房一栋，图示方开挖955.47平方米，回填5889.23平方米；通透式围墙，高2.2m、长66m；新建混凝土箱涵，长80m、款2.4m、高1.2m，三边硬加预制网状盖板；新建挡土墙，三段总长116m；混凝土地面及入口道路硬化，其中混凝土地面200平方米，入口道路120m；雨污管网工程230m；绿化工程，包含规划30株、草皮263平方米；建设室内灶台61套、窗帘61套、安装一楼护防护栏（21套）等设施设备。</w:t>
      </w:r>
    </w:p>
    <w:p>
      <w:pPr>
        <w:widowControl w:val="0"/>
        <w:spacing w:after="0" w:line="576" w:lineRule="exact"/>
        <w:ind w:firstLine="640" w:firstLineChars="200"/>
        <w:rPr>
          <w:rFonts w:ascii="Times New Roman" w:hAnsi="Times New Roman" w:eastAsia="仿宋_GB2312" w:cs="仿宋_GB2312"/>
          <w:sz w:val="32"/>
          <w:szCs w:val="32"/>
          <w:lang w:val="zh-CN"/>
        </w:rPr>
      </w:pPr>
      <w:r>
        <w:rPr>
          <w:rFonts w:hint="eastAsia" w:ascii="楷体_GB2312" w:hAnsi="楷体_GB2312" w:eastAsia="楷体_GB2312" w:cs="楷体_GB2312"/>
          <w:sz w:val="32"/>
          <w:szCs w:val="32"/>
          <w:lang w:val="zh-CN"/>
        </w:rPr>
        <w:t>(二)项目效益情况。</w:t>
      </w:r>
      <w:r>
        <w:rPr>
          <w:rFonts w:hint="eastAsia" w:ascii="Times New Roman" w:hAnsi="Times New Roman" w:eastAsia="仿宋_GB2312" w:cs="仿宋_GB2312"/>
          <w:sz w:val="32"/>
          <w:szCs w:val="32"/>
          <w:lang w:val="zh-CN"/>
        </w:rPr>
        <w:t xml:space="preserve"> </w:t>
      </w:r>
    </w:p>
    <w:p>
      <w:pPr>
        <w:widowControl w:val="0"/>
        <w:adjustRightInd/>
        <w:snapToGrid/>
        <w:spacing w:after="0" w:line="576"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项目对社会的影响分析</w:t>
      </w:r>
    </w:p>
    <w:p>
      <w:pPr>
        <w:widowControl w:val="0"/>
        <w:adjustRightInd/>
        <w:snapToGrid/>
        <w:spacing w:after="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王家干部周转房建成后可解决职工无住房的难题，追求了人与自然、建筑与环境的相互交融，给百姓创造了和谐动人、丰富的环境，方便了基民的出入，齐全了配套设施，促进了当地商业经济，提高了当地居民的生活质量。</w:t>
      </w:r>
    </w:p>
    <w:p>
      <w:pPr>
        <w:widowControl w:val="0"/>
        <w:adjustRightInd/>
        <w:snapToGrid/>
        <w:spacing w:after="0" w:line="576"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项目与所在地的互适性分析与社会评论</w:t>
      </w:r>
    </w:p>
    <w:p>
      <w:pPr>
        <w:widowControl w:val="0"/>
        <w:adjustRightInd/>
        <w:snapToGrid/>
        <w:spacing w:after="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王家镇行政办公中心建成后可立刻投入使用，干部周转房可立刻解决职工居住难得问题，该项目可改善居民的生活环境，王家镇党委政府及群众对本项目特别支持，迫切希望能够早日享受工程建成带来的成果。</w:t>
      </w:r>
    </w:p>
    <w:p>
      <w:pPr>
        <w:widowControl w:val="0"/>
        <w:adjustRightInd/>
        <w:snapToGrid/>
        <w:spacing w:after="0" w:line="576"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3.</w:t>
      </w:r>
      <w:r>
        <w:rPr>
          <w:rFonts w:ascii="楷体_GB2312" w:hAnsi="楷体_GB2312" w:eastAsia="楷体_GB2312" w:cs="楷体_GB2312"/>
          <w:sz w:val="32"/>
          <w:szCs w:val="32"/>
        </w:rPr>
        <w:t>环境影响评价</w:t>
      </w:r>
    </w:p>
    <w:p>
      <w:pPr>
        <w:widowControl w:val="0"/>
        <w:adjustRightInd/>
        <w:snapToGrid/>
        <w:spacing w:after="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王家镇干部周转房建成可立即改善居民的生活环境，提高生活水平，恢复信心效果显著。</w:t>
      </w:r>
    </w:p>
    <w:p>
      <w:pPr>
        <w:widowControl w:val="0"/>
        <w:adjustRightInd/>
        <w:snapToGrid/>
        <w:spacing w:after="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工程施工期间，土石方开挖及施工噪音、施工垃圾将会对当地居民带来一定影响，但这都能</w:t>
      </w:r>
      <w:r>
        <w:rPr>
          <w:rFonts w:hint="eastAsia" w:ascii="Times New Roman" w:hAnsi="Times New Roman" w:eastAsia="仿宋_GB2312" w:cs="Times New Roman"/>
          <w:sz w:val="32"/>
          <w:szCs w:val="32"/>
        </w:rPr>
        <w:t>得到了</w:t>
      </w:r>
      <w:r>
        <w:rPr>
          <w:rFonts w:ascii="Times New Roman" w:hAnsi="Times New Roman" w:eastAsia="仿宋_GB2312" w:cs="Times New Roman"/>
          <w:sz w:val="32"/>
          <w:szCs w:val="32"/>
        </w:rPr>
        <w:t>协调和妥善解决，保持原有地形地貌，将不利的影响减小到最低限度。</w:t>
      </w:r>
    </w:p>
    <w:p>
      <w:pPr>
        <w:widowControl w:val="0"/>
        <w:spacing w:after="0"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四、 自评结论及建议</w:t>
      </w:r>
    </w:p>
    <w:p>
      <w:pPr>
        <w:widowControl w:val="0"/>
        <w:spacing w:after="0" w:line="576" w:lineRule="exact"/>
        <w:ind w:firstLine="640" w:firstLineChars="200"/>
        <w:rPr>
          <w:rFonts w:ascii="Times New Roman" w:hAnsi="Times New Roman" w:eastAsia="仿宋_GB2312" w:cs="仿宋_GB2312"/>
          <w:sz w:val="32"/>
          <w:szCs w:val="32"/>
          <w:lang w:val="zh-CN"/>
        </w:rPr>
      </w:pPr>
      <w:r>
        <w:rPr>
          <w:rFonts w:hint="eastAsia" w:ascii="楷体_GB2312" w:hAnsi="楷体_GB2312" w:eastAsia="楷体_GB2312" w:cs="楷体_GB2312"/>
          <w:sz w:val="32"/>
          <w:szCs w:val="32"/>
          <w:lang w:val="zh-CN"/>
        </w:rPr>
        <w:t>(一)自评结论</w:t>
      </w:r>
    </w:p>
    <w:p>
      <w:pPr>
        <w:widowControl w:val="0"/>
        <w:spacing w:after="0" w:line="576" w:lineRule="exact"/>
        <w:ind w:firstLine="708" w:firstLineChars="200"/>
        <w:rPr>
          <w:rFonts w:ascii="Times New Roman" w:hAnsi="Times New Roman" w:eastAsia="仿宋_GB2312" w:cs="仿宋_GB2312"/>
          <w:sz w:val="32"/>
          <w:szCs w:val="32"/>
        </w:rPr>
      </w:pPr>
      <w:r>
        <w:rPr>
          <w:rFonts w:hint="eastAsia" w:ascii="Times New Roman" w:hAnsi="Times New Roman" w:eastAsia="仿宋_GB2312" w:cs="仿宋_GB2312"/>
          <w:spacing w:val="17"/>
          <w:sz w:val="32"/>
          <w:szCs w:val="32"/>
          <w:lang w:val="zh-CN"/>
        </w:rPr>
        <w:t>我镇周转房项目设立经过严格评估论证，属于部门职责相符，属于公共财政支持范围，符合地方事权支出责任划分原则，与相关部门同类项目或部门内部无相关项目重复。项目规划符合省委、区委、省政府、区政府重大决策部署，项目绩效目标合理、明确，与项目年度目标一致。总体评价</w:t>
      </w:r>
      <w:r>
        <w:rPr>
          <w:rFonts w:hint="eastAsia" w:ascii="Times New Roman" w:hAnsi="Times New Roman" w:eastAsia="仿宋_GB2312" w:cs="仿宋_GB2312"/>
          <w:spacing w:val="17"/>
          <w:sz w:val="32"/>
          <w:szCs w:val="32"/>
        </w:rPr>
        <w:t>93分。</w:t>
      </w:r>
    </w:p>
    <w:p>
      <w:pPr>
        <w:widowControl w:val="0"/>
        <w:spacing w:after="0" w:line="576" w:lineRule="exact"/>
        <w:ind w:firstLine="640" w:firstLineChars="200"/>
        <w:rPr>
          <w:rFonts w:ascii="Times New Roman" w:hAnsi="Times New Roman" w:eastAsia="仿宋_GB2312" w:cs="仿宋_GB2312"/>
          <w:sz w:val="32"/>
          <w:szCs w:val="32"/>
          <w:lang w:val="zh-CN"/>
        </w:rPr>
      </w:pPr>
      <w:r>
        <w:rPr>
          <w:rFonts w:hint="eastAsia" w:ascii="楷体_GB2312" w:hAnsi="楷体_GB2312" w:eastAsia="楷体_GB2312" w:cs="楷体_GB2312"/>
          <w:sz w:val="32"/>
          <w:szCs w:val="32"/>
          <w:lang w:val="zh-CN"/>
        </w:rPr>
        <w:t>(二)存在的问题</w:t>
      </w:r>
    </w:p>
    <w:p>
      <w:pPr>
        <w:widowControl w:val="0"/>
        <w:spacing w:after="0" w:line="576" w:lineRule="exact"/>
        <w:ind w:firstLine="708" w:firstLineChars="200"/>
        <w:rPr>
          <w:rFonts w:ascii="Times New Roman" w:hAnsi="Times New Roman" w:eastAsia="仿宋_GB2312" w:cs="仿宋_GB2312"/>
          <w:spacing w:val="17"/>
          <w:sz w:val="32"/>
          <w:szCs w:val="32"/>
          <w:lang w:val="zh-CN"/>
        </w:rPr>
      </w:pPr>
      <w:r>
        <w:rPr>
          <w:rFonts w:hint="eastAsia" w:ascii="Times New Roman" w:hAnsi="Times New Roman" w:eastAsia="仿宋_GB2312" w:cs="仿宋_GB2312"/>
          <w:spacing w:val="17"/>
          <w:sz w:val="32"/>
          <w:szCs w:val="32"/>
          <w:lang w:val="zh-CN"/>
        </w:rPr>
        <w:t>无</w:t>
      </w:r>
    </w:p>
    <w:p>
      <w:pPr>
        <w:widowControl w:val="0"/>
        <w:spacing w:after="0" w:line="576" w:lineRule="exact"/>
        <w:ind w:firstLine="640" w:firstLineChars="200"/>
        <w:rPr>
          <w:rFonts w:ascii="Times New Roman" w:hAnsi="Times New Roman" w:eastAsia="仿宋_GB2312" w:cs="仿宋_GB2312"/>
          <w:sz w:val="32"/>
          <w:szCs w:val="32"/>
          <w:lang w:val="zh-CN"/>
        </w:rPr>
      </w:pPr>
      <w:r>
        <w:rPr>
          <w:rFonts w:hint="eastAsia" w:ascii="楷体_GB2312" w:hAnsi="楷体_GB2312" w:eastAsia="楷体_GB2312" w:cs="楷体_GB2312"/>
          <w:sz w:val="32"/>
          <w:szCs w:val="32"/>
          <w:lang w:val="zh-CN"/>
        </w:rPr>
        <w:t>(三)相关建议</w:t>
      </w:r>
    </w:p>
    <w:p>
      <w:pPr>
        <w:widowControl w:val="0"/>
        <w:spacing w:after="0" w:line="576" w:lineRule="exact"/>
        <w:ind w:firstLine="640" w:firstLineChars="200"/>
        <w:rPr>
          <w:rFonts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无</w:t>
      </w: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b/>
          <w:bCs/>
          <w:spacing w:val="28"/>
          <w:sz w:val="34"/>
          <w:szCs w:val="34"/>
        </w:rPr>
      </w:pPr>
    </w:p>
    <w:p>
      <w:pPr>
        <w:spacing w:before="103" w:line="219" w:lineRule="auto"/>
        <w:jc w:val="center"/>
        <w:rPr>
          <w:rFonts w:ascii="宋体" w:hAnsi="宋体" w:eastAsia="宋体" w:cs="宋体"/>
          <w:sz w:val="34"/>
          <w:szCs w:val="34"/>
        </w:rPr>
      </w:pPr>
      <w:r>
        <w:rPr>
          <w:rFonts w:ascii="宋体" w:hAnsi="宋体" w:eastAsia="宋体" w:cs="宋体"/>
          <w:b/>
          <w:bCs/>
          <w:spacing w:val="28"/>
          <w:sz w:val="34"/>
          <w:szCs w:val="34"/>
        </w:rPr>
        <w:t>广元市昭化区财政项目(政策)支出绩效自评表</w:t>
      </w:r>
    </w:p>
    <w:p>
      <w:pPr>
        <w:spacing w:before="86" w:line="219" w:lineRule="auto"/>
        <w:ind w:left="3894"/>
        <w:rPr>
          <w:rFonts w:ascii="宋体" w:hAnsi="宋体" w:eastAsia="宋体" w:cs="宋体"/>
        </w:rPr>
      </w:pPr>
      <w:r>
        <w:rPr>
          <w:rFonts w:ascii="宋体" w:hAnsi="宋体" w:eastAsia="宋体" w:cs="宋体"/>
          <w:spacing w:val="-14"/>
        </w:rPr>
        <w:t>(</w:t>
      </w:r>
      <w:r>
        <w:rPr>
          <w:rFonts w:ascii="宋体" w:hAnsi="宋体" w:eastAsia="宋体" w:cs="宋体"/>
          <w:spacing w:val="32"/>
        </w:rPr>
        <w:t xml:space="preserve">  </w:t>
      </w:r>
      <w:r>
        <w:rPr>
          <w:rFonts w:hint="eastAsia" w:ascii="宋体" w:hAnsi="宋体" w:eastAsia="宋体" w:cs="宋体"/>
          <w:spacing w:val="32"/>
        </w:rPr>
        <w:t>2023</w:t>
      </w:r>
      <w:r>
        <w:rPr>
          <w:rFonts w:ascii="宋体" w:hAnsi="宋体" w:eastAsia="宋体" w:cs="宋体"/>
          <w:spacing w:val="32"/>
        </w:rPr>
        <w:t xml:space="preserve"> </w:t>
      </w:r>
      <w:r>
        <w:rPr>
          <w:rFonts w:ascii="宋体" w:hAnsi="宋体" w:eastAsia="宋体" w:cs="宋体"/>
          <w:spacing w:val="-14"/>
        </w:rPr>
        <w:t>年度)</w:t>
      </w:r>
    </w:p>
    <w:tbl>
      <w:tblPr>
        <w:tblStyle w:val="21"/>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752"/>
        <w:gridCol w:w="252"/>
        <w:gridCol w:w="851"/>
        <w:gridCol w:w="674"/>
        <w:gridCol w:w="1308"/>
        <w:gridCol w:w="144"/>
        <w:gridCol w:w="1001"/>
        <w:gridCol w:w="133"/>
        <w:gridCol w:w="992"/>
        <w:gridCol w:w="2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49" w:type="dxa"/>
            <w:gridSpan w:val="2"/>
          </w:tcPr>
          <w:p>
            <w:pPr>
              <w:spacing w:before="82" w:after="0" w:line="220" w:lineRule="auto"/>
              <w:ind w:left="75"/>
              <w:rPr>
                <w:rFonts w:ascii="宋体" w:hAnsi="宋体" w:eastAsia="宋体" w:cs="宋体"/>
                <w:sz w:val="17"/>
                <w:szCs w:val="17"/>
              </w:rPr>
            </w:pPr>
            <w:r>
              <w:rPr>
                <w:rFonts w:ascii="宋体" w:hAnsi="宋体" w:eastAsia="宋体" w:cs="宋体"/>
                <w:spacing w:val="-2"/>
                <w:sz w:val="17"/>
                <w:szCs w:val="17"/>
              </w:rPr>
              <w:t>项目(政策)名称</w:t>
            </w:r>
          </w:p>
        </w:tc>
        <w:tc>
          <w:tcPr>
            <w:tcW w:w="7650" w:type="dxa"/>
            <w:gridSpan w:val="9"/>
            <w:vAlign w:val="center"/>
          </w:tcPr>
          <w:p>
            <w:pPr>
              <w:spacing w:after="0"/>
              <w:jc w:val="both"/>
              <w:rPr>
                <w:rFonts w:ascii="仿宋_GB2312" w:hAnsi="楷体" w:eastAsia="仿宋_GB2312" w:cs="Times New Roman"/>
                <w:sz w:val="20"/>
                <w:szCs w:val="20"/>
              </w:rPr>
            </w:pPr>
            <w:r>
              <w:rPr>
                <w:rFonts w:hint="eastAsia" w:ascii="仿宋_GB2312" w:hAnsi="楷体" w:eastAsia="仿宋_GB2312" w:cs="仿宋_GB2312"/>
                <w:color w:val="000000" w:themeColor="text1"/>
                <w:sz w:val="20"/>
                <w:szCs w:val="20"/>
              </w:rPr>
              <w:t>王家镇干部周转房建设项目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tcPr>
          <w:p>
            <w:pPr>
              <w:spacing w:before="78" w:after="0" w:line="219" w:lineRule="auto"/>
              <w:ind w:left="404"/>
              <w:jc w:val="center"/>
              <w:rPr>
                <w:rFonts w:ascii="宋体" w:hAnsi="宋体" w:eastAsia="宋体" w:cs="宋体"/>
                <w:sz w:val="17"/>
                <w:szCs w:val="17"/>
              </w:rPr>
            </w:pPr>
            <w:r>
              <w:rPr>
                <w:rFonts w:ascii="宋体" w:hAnsi="宋体" w:eastAsia="宋体" w:cs="宋体"/>
                <w:spacing w:val="4"/>
                <w:sz w:val="17"/>
                <w:szCs w:val="17"/>
              </w:rPr>
              <w:t>主管部门</w:t>
            </w:r>
          </w:p>
        </w:tc>
        <w:tc>
          <w:tcPr>
            <w:tcW w:w="4230" w:type="dxa"/>
            <w:gridSpan w:val="6"/>
            <w:vAlign w:val="center"/>
          </w:tcPr>
          <w:p>
            <w:pPr>
              <w:spacing w:after="0"/>
              <w:jc w:val="both"/>
              <w:rPr>
                <w:rFonts w:ascii="仿宋_GB2312" w:hAnsi="楷体" w:eastAsia="仿宋_GB2312" w:cs="Times New Roman"/>
                <w:sz w:val="20"/>
                <w:szCs w:val="20"/>
              </w:rPr>
            </w:pPr>
            <w:r>
              <w:rPr>
                <w:rFonts w:hint="eastAsia" w:ascii="仿宋_GB2312" w:hAnsi="楷体" w:eastAsia="仿宋_GB2312" w:cs="仿宋_GB2312"/>
                <w:color w:val="000000" w:themeColor="text1"/>
                <w:sz w:val="20"/>
                <w:szCs w:val="20"/>
              </w:rPr>
              <w:t>广元市昭化区人民政府</w:t>
            </w:r>
          </w:p>
        </w:tc>
        <w:tc>
          <w:tcPr>
            <w:tcW w:w="1125" w:type="dxa"/>
            <w:gridSpan w:val="2"/>
          </w:tcPr>
          <w:p>
            <w:pPr>
              <w:spacing w:before="78" w:after="0" w:line="219" w:lineRule="auto"/>
              <w:jc w:val="center"/>
              <w:rPr>
                <w:rFonts w:ascii="宋体" w:hAnsi="宋体" w:eastAsia="宋体" w:cs="宋体"/>
                <w:spacing w:val="4"/>
                <w:sz w:val="17"/>
                <w:szCs w:val="17"/>
              </w:rPr>
            </w:pPr>
            <w:r>
              <w:rPr>
                <w:rFonts w:ascii="宋体" w:hAnsi="宋体" w:eastAsia="宋体" w:cs="宋体"/>
                <w:spacing w:val="4"/>
                <w:sz w:val="17"/>
                <w:szCs w:val="17"/>
              </w:rPr>
              <w:t>实施单位</w:t>
            </w:r>
          </w:p>
        </w:tc>
        <w:tc>
          <w:tcPr>
            <w:tcW w:w="2295" w:type="dxa"/>
          </w:tcPr>
          <w:p>
            <w:pPr>
              <w:spacing w:before="78" w:after="0" w:line="219" w:lineRule="auto"/>
              <w:jc w:val="center"/>
              <w:rPr>
                <w:rFonts w:ascii="宋体" w:hAnsi="宋体" w:eastAsia="宋体" w:cs="宋体"/>
                <w:spacing w:val="4"/>
                <w:sz w:val="17"/>
                <w:szCs w:val="17"/>
              </w:rPr>
            </w:pPr>
            <w:r>
              <w:rPr>
                <w:rFonts w:hint="eastAsia" w:ascii="宋体" w:hAnsi="宋体" w:eastAsia="宋体" w:cs="宋体"/>
                <w:spacing w:val="4"/>
                <w:sz w:val="17"/>
                <w:szCs w:val="17"/>
              </w:rPr>
              <w:t>王家镇人民政府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9" w:type="dxa"/>
            <w:gridSpan w:val="2"/>
            <w:vMerge w:val="restart"/>
            <w:tcBorders>
              <w:bottom w:val="nil"/>
            </w:tcBorders>
          </w:tcPr>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after="0" w:line="279" w:lineRule="auto"/>
              <w:rPr>
                <w:rFonts w:eastAsia="宋体" w:cs="Times New Roman"/>
                <w:sz w:val="20"/>
                <w:szCs w:val="20"/>
              </w:rPr>
            </w:pPr>
          </w:p>
          <w:p>
            <w:pPr>
              <w:spacing w:before="55" w:after="0" w:line="235" w:lineRule="auto"/>
              <w:ind w:left="464" w:right="197" w:hanging="389"/>
              <w:rPr>
                <w:rFonts w:ascii="宋体" w:hAnsi="宋体" w:eastAsia="宋体" w:cs="宋体"/>
                <w:sz w:val="17"/>
                <w:szCs w:val="17"/>
              </w:rPr>
            </w:pPr>
            <w:r>
              <w:rPr>
                <w:rFonts w:ascii="宋体" w:hAnsi="宋体" w:eastAsia="宋体" w:cs="宋体"/>
                <w:spacing w:val="-2"/>
                <w:sz w:val="17"/>
                <w:szCs w:val="17"/>
              </w:rPr>
              <w:t>项目(政策)资金</w:t>
            </w:r>
            <w:r>
              <w:rPr>
                <w:rFonts w:ascii="宋体" w:hAnsi="宋体" w:eastAsia="宋体" w:cs="宋体"/>
                <w:spacing w:val="5"/>
                <w:sz w:val="17"/>
                <w:szCs w:val="17"/>
              </w:rPr>
              <w:t xml:space="preserve"> </w:t>
            </w:r>
            <w:r>
              <w:rPr>
                <w:rFonts w:ascii="宋体" w:hAnsi="宋体" w:eastAsia="宋体" w:cs="宋体"/>
                <w:spacing w:val="9"/>
                <w:sz w:val="17"/>
                <w:szCs w:val="17"/>
              </w:rPr>
              <w:t>(万元)</w:t>
            </w:r>
          </w:p>
        </w:tc>
        <w:tc>
          <w:tcPr>
            <w:tcW w:w="1777" w:type="dxa"/>
            <w:gridSpan w:val="3"/>
          </w:tcPr>
          <w:p>
            <w:pPr>
              <w:spacing w:before="77" w:after="0" w:line="219" w:lineRule="auto"/>
              <w:jc w:val="center"/>
              <w:rPr>
                <w:rFonts w:ascii="宋体" w:hAnsi="宋体" w:eastAsia="宋体" w:cs="宋体"/>
                <w:spacing w:val="-2"/>
                <w:sz w:val="17"/>
                <w:szCs w:val="17"/>
              </w:rPr>
            </w:pPr>
            <w:r>
              <w:rPr>
                <w:rFonts w:hint="eastAsia" w:ascii="宋体" w:hAnsi="宋体" w:eastAsia="宋体" w:cs="宋体"/>
                <w:spacing w:val="-2"/>
                <w:sz w:val="17"/>
                <w:szCs w:val="17"/>
              </w:rPr>
              <w:t>年度预算数（万元）</w:t>
            </w:r>
          </w:p>
        </w:tc>
        <w:tc>
          <w:tcPr>
            <w:tcW w:w="1308" w:type="dxa"/>
          </w:tcPr>
          <w:p>
            <w:pPr>
              <w:spacing w:before="77" w:after="0" w:line="219" w:lineRule="auto"/>
              <w:jc w:val="center"/>
              <w:rPr>
                <w:rFonts w:ascii="宋体" w:hAnsi="宋体" w:eastAsia="宋体" w:cs="宋体"/>
                <w:spacing w:val="-2"/>
                <w:sz w:val="17"/>
                <w:szCs w:val="17"/>
              </w:rPr>
            </w:pPr>
            <w:r>
              <w:rPr>
                <w:rFonts w:ascii="宋体" w:hAnsi="宋体" w:eastAsia="宋体" w:cs="宋体"/>
                <w:spacing w:val="-2"/>
                <w:sz w:val="17"/>
                <w:szCs w:val="17"/>
              </w:rPr>
              <w:t>年初预算数</w:t>
            </w:r>
          </w:p>
        </w:tc>
        <w:tc>
          <w:tcPr>
            <w:tcW w:w="1145" w:type="dxa"/>
            <w:gridSpan w:val="2"/>
          </w:tcPr>
          <w:p>
            <w:pPr>
              <w:spacing w:before="98" w:after="0" w:line="219" w:lineRule="auto"/>
              <w:jc w:val="center"/>
              <w:rPr>
                <w:rFonts w:ascii="宋体" w:hAnsi="宋体" w:eastAsia="宋体" w:cs="宋体"/>
                <w:sz w:val="17"/>
                <w:szCs w:val="17"/>
              </w:rPr>
            </w:pPr>
            <w:r>
              <w:rPr>
                <w:rFonts w:ascii="宋体" w:hAnsi="宋体" w:eastAsia="宋体" w:cs="宋体"/>
                <w:spacing w:val="-2"/>
                <w:sz w:val="17"/>
                <w:szCs w:val="17"/>
              </w:rPr>
              <w:t>全年预算数</w:t>
            </w:r>
          </w:p>
        </w:tc>
        <w:tc>
          <w:tcPr>
            <w:tcW w:w="1125" w:type="dxa"/>
            <w:gridSpan w:val="2"/>
          </w:tcPr>
          <w:p>
            <w:pPr>
              <w:spacing w:before="77" w:after="0" w:line="219" w:lineRule="auto"/>
              <w:jc w:val="center"/>
              <w:rPr>
                <w:rFonts w:ascii="宋体" w:hAnsi="宋体" w:eastAsia="宋体" w:cs="宋体"/>
                <w:sz w:val="17"/>
                <w:szCs w:val="17"/>
              </w:rPr>
            </w:pPr>
            <w:r>
              <w:rPr>
                <w:rFonts w:ascii="宋体" w:hAnsi="宋体" w:eastAsia="宋体" w:cs="宋体"/>
                <w:spacing w:val="-2"/>
                <w:sz w:val="17"/>
                <w:szCs w:val="17"/>
              </w:rPr>
              <w:t>全年执行数</w:t>
            </w:r>
          </w:p>
        </w:tc>
        <w:tc>
          <w:tcPr>
            <w:tcW w:w="2295" w:type="dxa"/>
          </w:tcPr>
          <w:p>
            <w:pPr>
              <w:spacing w:before="77" w:after="0" w:line="219" w:lineRule="auto"/>
              <w:jc w:val="center"/>
              <w:rPr>
                <w:rFonts w:ascii="宋体" w:hAnsi="宋体" w:eastAsia="宋体" w:cs="宋体"/>
                <w:sz w:val="17"/>
                <w:szCs w:val="17"/>
              </w:rPr>
            </w:pPr>
            <w:r>
              <w:rPr>
                <w:rFonts w:ascii="宋体" w:hAnsi="宋体" w:eastAsia="宋体" w:cs="宋体"/>
                <w:spacing w:val="-2"/>
                <w:sz w:val="17"/>
                <w:szCs w:val="17"/>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79" w:after="0" w:line="219" w:lineRule="auto"/>
              <w:ind w:left="151"/>
              <w:jc w:val="center"/>
              <w:rPr>
                <w:rFonts w:ascii="宋体" w:hAnsi="宋体" w:eastAsia="宋体" w:cs="宋体"/>
                <w:sz w:val="17"/>
                <w:szCs w:val="17"/>
              </w:rPr>
            </w:pPr>
            <w:r>
              <w:rPr>
                <w:rFonts w:ascii="宋体" w:hAnsi="宋体" w:eastAsia="宋体" w:cs="宋体"/>
                <w:spacing w:val="-2"/>
                <w:sz w:val="17"/>
                <w:szCs w:val="17"/>
              </w:rPr>
              <w:t>年度资金总额</w:t>
            </w:r>
          </w:p>
        </w:tc>
        <w:tc>
          <w:tcPr>
            <w:tcW w:w="1308"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728.6</w:t>
            </w:r>
          </w:p>
        </w:tc>
        <w:tc>
          <w:tcPr>
            <w:tcW w:w="1145" w:type="dxa"/>
            <w:gridSpan w:val="2"/>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728.6</w:t>
            </w:r>
          </w:p>
        </w:tc>
        <w:tc>
          <w:tcPr>
            <w:tcW w:w="1125" w:type="dxa"/>
            <w:gridSpan w:val="2"/>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654.5</w:t>
            </w:r>
          </w:p>
        </w:tc>
        <w:tc>
          <w:tcPr>
            <w:tcW w:w="2295" w:type="dxa"/>
          </w:tcPr>
          <w:p>
            <w:pPr>
              <w:spacing w:before="77" w:after="0" w:line="219" w:lineRule="auto"/>
              <w:jc w:val="center"/>
              <w:rPr>
                <w:rFonts w:ascii="楷体" w:hAnsi="楷体" w:eastAsia="楷体" w:cs="宋体"/>
                <w:spacing w:val="-2"/>
                <w:sz w:val="20"/>
                <w:szCs w:val="20"/>
              </w:rPr>
            </w:pPr>
            <w:r>
              <w:rPr>
                <w:rFonts w:hint="eastAsia" w:ascii="楷体" w:hAnsi="楷体" w:eastAsia="楷体" w:cs="宋体"/>
                <w:spacing w:val="-2"/>
                <w:sz w:val="20"/>
                <w:szCs w:val="20"/>
              </w:rPr>
              <w:t>89.83%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109" w:after="0" w:line="219" w:lineRule="auto"/>
              <w:ind w:left="151"/>
              <w:rPr>
                <w:rFonts w:ascii="宋体" w:hAnsi="宋体" w:eastAsia="宋体" w:cs="宋体"/>
                <w:sz w:val="17"/>
                <w:szCs w:val="17"/>
              </w:rPr>
            </w:pPr>
            <w:r>
              <w:rPr>
                <w:rFonts w:ascii="宋体" w:hAnsi="宋体" w:eastAsia="宋体" w:cs="宋体"/>
                <w:sz w:val="17"/>
                <w:szCs w:val="17"/>
              </w:rPr>
              <w:t>(一)财政拨款小计</w:t>
            </w:r>
          </w:p>
        </w:tc>
        <w:tc>
          <w:tcPr>
            <w:tcW w:w="1308"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728.6</w:t>
            </w:r>
          </w:p>
        </w:tc>
        <w:tc>
          <w:tcPr>
            <w:tcW w:w="1145" w:type="dxa"/>
            <w:gridSpan w:val="2"/>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728.6</w:t>
            </w:r>
          </w:p>
        </w:tc>
        <w:tc>
          <w:tcPr>
            <w:tcW w:w="1125" w:type="dxa"/>
            <w:gridSpan w:val="2"/>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654.5</w:t>
            </w:r>
          </w:p>
        </w:tc>
        <w:tc>
          <w:tcPr>
            <w:tcW w:w="2295"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89.83%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80" w:after="0" w:line="219" w:lineRule="auto"/>
              <w:ind w:left="151"/>
              <w:rPr>
                <w:rFonts w:ascii="宋体" w:hAnsi="宋体" w:eastAsia="宋体" w:cs="宋体"/>
                <w:sz w:val="17"/>
                <w:szCs w:val="17"/>
              </w:rPr>
            </w:pPr>
            <w:r>
              <w:rPr>
                <w:rFonts w:ascii="宋体" w:hAnsi="宋体" w:eastAsia="宋体" w:cs="宋体"/>
                <w:sz w:val="17"/>
                <w:szCs w:val="17"/>
              </w:rPr>
              <w:t>1.一般公共预算</w:t>
            </w:r>
          </w:p>
        </w:tc>
        <w:tc>
          <w:tcPr>
            <w:tcW w:w="1308"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728.6</w:t>
            </w:r>
          </w:p>
        </w:tc>
        <w:tc>
          <w:tcPr>
            <w:tcW w:w="1145" w:type="dxa"/>
            <w:gridSpan w:val="2"/>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728.6</w:t>
            </w:r>
          </w:p>
        </w:tc>
        <w:tc>
          <w:tcPr>
            <w:tcW w:w="1125" w:type="dxa"/>
            <w:gridSpan w:val="2"/>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654.5</w:t>
            </w:r>
          </w:p>
        </w:tc>
        <w:tc>
          <w:tcPr>
            <w:tcW w:w="2295" w:type="dxa"/>
          </w:tcPr>
          <w:p>
            <w:pPr>
              <w:spacing w:before="77" w:after="0" w:line="219" w:lineRule="auto"/>
              <w:jc w:val="center"/>
              <w:rPr>
                <w:rFonts w:ascii="楷体" w:hAnsi="楷体" w:eastAsia="楷体" w:cs="Times New Roman"/>
                <w:sz w:val="20"/>
                <w:szCs w:val="20"/>
              </w:rPr>
            </w:pPr>
            <w:r>
              <w:rPr>
                <w:rFonts w:hint="eastAsia" w:ascii="楷体" w:hAnsi="楷体" w:eastAsia="楷体" w:cs="宋体"/>
                <w:spacing w:val="-2"/>
                <w:sz w:val="20"/>
                <w:szCs w:val="20"/>
              </w:rPr>
              <w:t>89.83%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78" w:after="0" w:line="219" w:lineRule="auto"/>
              <w:ind w:left="151"/>
              <w:rPr>
                <w:rFonts w:ascii="宋体" w:hAnsi="宋体" w:eastAsia="宋体" w:cs="宋体"/>
                <w:sz w:val="17"/>
                <w:szCs w:val="17"/>
              </w:rPr>
            </w:pPr>
            <w:r>
              <w:rPr>
                <w:rFonts w:ascii="宋体" w:hAnsi="宋体" w:eastAsia="宋体" w:cs="宋体"/>
                <w:spacing w:val="-2"/>
                <w:sz w:val="17"/>
                <w:szCs w:val="17"/>
              </w:rPr>
              <w:t>2.政府性基金</w:t>
            </w:r>
          </w:p>
        </w:tc>
        <w:tc>
          <w:tcPr>
            <w:tcW w:w="1308" w:type="dxa"/>
          </w:tcPr>
          <w:p>
            <w:pPr>
              <w:spacing w:after="0"/>
              <w:rPr>
                <w:rFonts w:ascii="楷体" w:hAnsi="楷体" w:eastAsia="楷体" w:cs="Times New Roman"/>
                <w:sz w:val="20"/>
                <w:szCs w:val="20"/>
              </w:rPr>
            </w:pPr>
          </w:p>
        </w:tc>
        <w:tc>
          <w:tcPr>
            <w:tcW w:w="1145" w:type="dxa"/>
            <w:gridSpan w:val="2"/>
          </w:tcPr>
          <w:p>
            <w:pPr>
              <w:spacing w:after="0"/>
              <w:rPr>
                <w:rFonts w:ascii="楷体" w:hAnsi="楷体" w:eastAsia="楷体" w:cs="Times New Roman"/>
                <w:sz w:val="20"/>
                <w:szCs w:val="20"/>
              </w:rPr>
            </w:pPr>
          </w:p>
        </w:tc>
        <w:tc>
          <w:tcPr>
            <w:tcW w:w="1125" w:type="dxa"/>
            <w:gridSpan w:val="2"/>
          </w:tcPr>
          <w:p>
            <w:pPr>
              <w:spacing w:after="0"/>
              <w:rPr>
                <w:rFonts w:ascii="楷体" w:hAnsi="楷体" w:eastAsia="楷体" w:cs="Times New Roman"/>
                <w:sz w:val="20"/>
                <w:szCs w:val="20"/>
              </w:rPr>
            </w:pPr>
          </w:p>
        </w:tc>
        <w:tc>
          <w:tcPr>
            <w:tcW w:w="2295" w:type="dxa"/>
          </w:tcPr>
          <w:p>
            <w:pPr>
              <w:spacing w:after="0"/>
              <w:rPr>
                <w:rFonts w:ascii="楷体" w:hAnsi="楷体" w:eastAsia="楷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49" w:type="dxa"/>
            <w:gridSpan w:val="2"/>
            <w:vMerge w:val="continue"/>
            <w:tcBorders>
              <w:top w:val="nil"/>
              <w:bottom w:val="nil"/>
            </w:tcBorders>
          </w:tcPr>
          <w:p>
            <w:pPr>
              <w:spacing w:after="0"/>
              <w:rPr>
                <w:rFonts w:eastAsia="宋体" w:cs="Times New Roman"/>
                <w:sz w:val="20"/>
                <w:szCs w:val="20"/>
              </w:rPr>
            </w:pPr>
          </w:p>
        </w:tc>
        <w:tc>
          <w:tcPr>
            <w:tcW w:w="1777" w:type="dxa"/>
            <w:gridSpan w:val="3"/>
          </w:tcPr>
          <w:p>
            <w:pPr>
              <w:spacing w:before="119" w:after="0" w:line="219" w:lineRule="auto"/>
              <w:ind w:left="151"/>
              <w:rPr>
                <w:rFonts w:ascii="宋体" w:hAnsi="宋体" w:eastAsia="宋体" w:cs="宋体"/>
                <w:sz w:val="17"/>
                <w:szCs w:val="17"/>
              </w:rPr>
            </w:pPr>
            <w:r>
              <w:rPr>
                <w:rFonts w:ascii="宋体" w:hAnsi="宋体" w:eastAsia="宋体" w:cs="宋体"/>
                <w:spacing w:val="-1"/>
                <w:sz w:val="17"/>
                <w:szCs w:val="17"/>
              </w:rPr>
              <w:t>3.国有资本经营预算</w:t>
            </w:r>
          </w:p>
        </w:tc>
        <w:tc>
          <w:tcPr>
            <w:tcW w:w="1308" w:type="dxa"/>
          </w:tcPr>
          <w:p>
            <w:pPr>
              <w:spacing w:after="0"/>
              <w:rPr>
                <w:rFonts w:eastAsia="宋体" w:cs="Times New Roman"/>
                <w:sz w:val="20"/>
                <w:szCs w:val="20"/>
              </w:rPr>
            </w:pPr>
          </w:p>
        </w:tc>
        <w:tc>
          <w:tcPr>
            <w:tcW w:w="1145" w:type="dxa"/>
            <w:gridSpan w:val="2"/>
          </w:tcPr>
          <w:p>
            <w:pPr>
              <w:spacing w:after="0"/>
              <w:rPr>
                <w:rFonts w:eastAsia="宋体" w:cs="Times New Roman"/>
                <w:sz w:val="20"/>
                <w:szCs w:val="20"/>
              </w:rPr>
            </w:pPr>
          </w:p>
        </w:tc>
        <w:tc>
          <w:tcPr>
            <w:tcW w:w="1125" w:type="dxa"/>
            <w:gridSpan w:val="2"/>
          </w:tcPr>
          <w:p>
            <w:pPr>
              <w:spacing w:after="0"/>
              <w:rPr>
                <w:rFonts w:eastAsia="宋体" w:cs="Times New Roman"/>
                <w:sz w:val="20"/>
                <w:szCs w:val="20"/>
              </w:rPr>
            </w:pPr>
          </w:p>
        </w:tc>
        <w:tc>
          <w:tcPr>
            <w:tcW w:w="2295" w:type="dxa"/>
          </w:tcPr>
          <w:p>
            <w:pPr>
              <w:spacing w:after="0"/>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49" w:type="dxa"/>
            <w:gridSpan w:val="2"/>
            <w:vMerge w:val="continue"/>
            <w:tcBorders>
              <w:top w:val="nil"/>
            </w:tcBorders>
          </w:tcPr>
          <w:p>
            <w:pPr>
              <w:spacing w:after="0"/>
              <w:rPr>
                <w:rFonts w:eastAsia="宋体" w:cs="Times New Roman"/>
                <w:sz w:val="20"/>
                <w:szCs w:val="20"/>
              </w:rPr>
            </w:pPr>
          </w:p>
        </w:tc>
        <w:tc>
          <w:tcPr>
            <w:tcW w:w="1777" w:type="dxa"/>
            <w:gridSpan w:val="3"/>
          </w:tcPr>
          <w:p>
            <w:pPr>
              <w:spacing w:before="112" w:after="0" w:line="220" w:lineRule="auto"/>
              <w:ind w:left="151"/>
              <w:rPr>
                <w:rFonts w:ascii="宋体" w:hAnsi="宋体" w:eastAsia="宋体" w:cs="宋体"/>
                <w:sz w:val="17"/>
                <w:szCs w:val="17"/>
              </w:rPr>
            </w:pPr>
            <w:r>
              <w:rPr>
                <w:rFonts w:ascii="宋体" w:hAnsi="宋体" w:eastAsia="宋体" w:cs="宋体"/>
                <w:spacing w:val="1"/>
                <w:sz w:val="17"/>
                <w:szCs w:val="17"/>
              </w:rPr>
              <w:t>(二)其他资金</w:t>
            </w:r>
          </w:p>
        </w:tc>
        <w:tc>
          <w:tcPr>
            <w:tcW w:w="1308" w:type="dxa"/>
          </w:tcPr>
          <w:p>
            <w:pPr>
              <w:spacing w:after="0"/>
              <w:rPr>
                <w:rFonts w:eastAsia="宋体" w:cs="Times New Roman"/>
                <w:sz w:val="20"/>
                <w:szCs w:val="20"/>
              </w:rPr>
            </w:pPr>
          </w:p>
        </w:tc>
        <w:tc>
          <w:tcPr>
            <w:tcW w:w="1145" w:type="dxa"/>
            <w:gridSpan w:val="2"/>
          </w:tcPr>
          <w:p>
            <w:pPr>
              <w:spacing w:after="0"/>
              <w:rPr>
                <w:rFonts w:eastAsia="宋体" w:cs="Times New Roman"/>
                <w:sz w:val="20"/>
                <w:szCs w:val="20"/>
              </w:rPr>
            </w:pPr>
          </w:p>
        </w:tc>
        <w:tc>
          <w:tcPr>
            <w:tcW w:w="1125" w:type="dxa"/>
            <w:gridSpan w:val="2"/>
          </w:tcPr>
          <w:p>
            <w:pPr>
              <w:spacing w:after="0"/>
              <w:rPr>
                <w:rFonts w:eastAsia="宋体" w:cs="Times New Roman"/>
                <w:sz w:val="20"/>
                <w:szCs w:val="20"/>
              </w:rPr>
            </w:pPr>
          </w:p>
        </w:tc>
        <w:tc>
          <w:tcPr>
            <w:tcW w:w="2295" w:type="dxa"/>
          </w:tcPr>
          <w:p>
            <w:pPr>
              <w:spacing w:after="0"/>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7" w:type="dxa"/>
            <w:vMerge w:val="restart"/>
            <w:tcBorders>
              <w:bottom w:val="nil"/>
            </w:tcBorders>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83" w:after="0" w:line="220" w:lineRule="auto"/>
              <w:ind w:left="194" w:right="2" w:hanging="139"/>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年度总</w:t>
            </w:r>
          </w:p>
          <w:p>
            <w:pPr>
              <w:kinsoku w:val="0"/>
              <w:autoSpaceDE w:val="0"/>
              <w:autoSpaceDN w:val="0"/>
              <w:spacing w:before="183" w:after="0" w:line="220" w:lineRule="auto"/>
              <w:ind w:left="194" w:right="2" w:hanging="139"/>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体目标</w:t>
            </w:r>
          </w:p>
        </w:tc>
        <w:tc>
          <w:tcPr>
            <w:tcW w:w="6107" w:type="dxa"/>
            <w:gridSpan w:val="9"/>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预期目标</w:t>
            </w:r>
          </w:p>
        </w:tc>
        <w:tc>
          <w:tcPr>
            <w:tcW w:w="2295" w:type="dxa"/>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697" w:type="dxa"/>
            <w:vMerge w:val="continue"/>
            <w:tcBorders>
              <w:top w:val="nil"/>
            </w:tcBorders>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p>
        </w:tc>
        <w:tc>
          <w:tcPr>
            <w:tcW w:w="6107" w:type="dxa"/>
            <w:gridSpan w:val="9"/>
          </w:tcPr>
          <w:p>
            <w:pPr>
              <w:spacing w:after="0"/>
              <w:ind w:firstLine="360" w:firstLineChars="200"/>
              <w:rPr>
                <w:rFonts w:ascii="楷体" w:hAnsi="楷体" w:eastAsia="楷体" w:cs="宋体"/>
                <w:sz w:val="18"/>
                <w:szCs w:val="18"/>
              </w:rPr>
            </w:pPr>
            <w:r>
              <w:rPr>
                <w:rFonts w:hint="eastAsia" w:ascii="楷体" w:hAnsi="楷体" w:eastAsia="楷体" w:cs="宋体"/>
                <w:sz w:val="18"/>
                <w:szCs w:val="18"/>
              </w:rPr>
              <w:t>加强干部周转房保障工作，是做好乡镇行政区划和村级建制调整改革“后半篇”文章的一项重要内容，是落实省委、省政府关心关爱基层干部的具体体现，也是增强基层服务能力、提高治理效能的有力保障。现镇域内无专门干部周转用房，现干部职工均租住镇域小旅馆。建设干部周转房，将有效改善干部职工生活与居住条件，为干部创造良好的工作环境，使干部职工安心工作，扎根基层，提高我镇干部职工的整体素质和工作质量，将为促进镇域经济和社会快速发展起到极大的推动作用。</w:t>
            </w:r>
          </w:p>
          <w:p>
            <w:pPr>
              <w:spacing w:after="0"/>
              <w:ind w:firstLine="360" w:firstLineChars="200"/>
              <w:rPr>
                <w:rFonts w:ascii="楷体" w:hAnsi="楷体" w:eastAsia="楷体" w:cs="宋体"/>
                <w:sz w:val="18"/>
                <w:szCs w:val="18"/>
              </w:rPr>
            </w:pPr>
          </w:p>
        </w:tc>
        <w:tc>
          <w:tcPr>
            <w:tcW w:w="2295" w:type="dxa"/>
          </w:tcPr>
          <w:p>
            <w:pPr>
              <w:spacing w:after="0"/>
              <w:ind w:firstLine="360" w:firstLineChars="200"/>
              <w:rPr>
                <w:rFonts w:ascii="楷体" w:hAnsi="楷体" w:eastAsia="楷体" w:cs="宋体"/>
                <w:sz w:val="18"/>
                <w:szCs w:val="18"/>
              </w:rPr>
            </w:pPr>
            <w:r>
              <w:rPr>
                <w:rFonts w:hint="eastAsia" w:ascii="楷体" w:hAnsi="楷体" w:eastAsia="楷体" w:cs="宋体"/>
                <w:sz w:val="18"/>
                <w:szCs w:val="18"/>
              </w:rPr>
              <w:t>有效改善干部职工生活与居住条件，建成周转房61间，工程验收合格率100%，提高我镇干部职工乡镇生活条件，将为促进镇域经济和社会快速发展起到极大的推动作用。</w:t>
            </w:r>
          </w:p>
          <w:p>
            <w:pPr>
              <w:spacing w:after="0"/>
              <w:ind w:firstLine="360" w:firstLineChars="200"/>
              <w:rPr>
                <w:rFonts w:ascii="楷体" w:hAnsi="楷体" w:eastAsia="楷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97" w:type="dxa"/>
            <w:vMerge w:val="restart"/>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p>
          <w:p>
            <w:pPr>
              <w:kinsoku w:val="0"/>
              <w:autoSpaceDE w:val="0"/>
              <w:autoSpaceDN w:val="0"/>
              <w:spacing w:before="183" w:after="0" w:line="220" w:lineRule="auto"/>
              <w:ind w:left="55"/>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绩效</w:t>
            </w:r>
          </w:p>
          <w:p>
            <w:pPr>
              <w:kinsoku w:val="0"/>
              <w:autoSpaceDE w:val="0"/>
              <w:autoSpaceDN w:val="0"/>
              <w:spacing w:before="183" w:after="0" w:line="220" w:lineRule="auto"/>
              <w:ind w:left="55"/>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指标</w:t>
            </w:r>
          </w:p>
        </w:tc>
        <w:tc>
          <w:tcPr>
            <w:tcW w:w="1004" w:type="dxa"/>
            <w:gridSpan w:val="2"/>
            <w:tcBorders>
              <w:bottom w:val="single" w:color="auto" w:sz="4" w:space="0"/>
            </w:tcBorders>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一级指标</w:t>
            </w:r>
          </w:p>
        </w:tc>
        <w:tc>
          <w:tcPr>
            <w:tcW w:w="851" w:type="dxa"/>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二级指标</w:t>
            </w:r>
          </w:p>
        </w:tc>
        <w:tc>
          <w:tcPr>
            <w:tcW w:w="2126" w:type="dxa"/>
            <w:gridSpan w:val="3"/>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三级指标</w:t>
            </w:r>
          </w:p>
        </w:tc>
        <w:tc>
          <w:tcPr>
            <w:tcW w:w="1134" w:type="dxa"/>
            <w:gridSpan w:val="2"/>
          </w:tcPr>
          <w:p>
            <w:pPr>
              <w:kinsoku w:val="0"/>
              <w:autoSpaceDE w:val="0"/>
              <w:autoSpaceDN w:val="0"/>
              <w:spacing w:before="183" w:after="0" w:line="219"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年度指标值</w:t>
            </w:r>
          </w:p>
        </w:tc>
        <w:tc>
          <w:tcPr>
            <w:tcW w:w="992" w:type="dxa"/>
          </w:tcPr>
          <w:p>
            <w:pPr>
              <w:kinsoku w:val="0"/>
              <w:autoSpaceDE w:val="0"/>
              <w:autoSpaceDN w:val="0"/>
              <w:spacing w:before="183" w:after="0" w:line="219"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实际完成值</w:t>
            </w:r>
          </w:p>
        </w:tc>
        <w:tc>
          <w:tcPr>
            <w:tcW w:w="2295" w:type="dxa"/>
          </w:tcPr>
          <w:p>
            <w:pPr>
              <w:kinsoku w:val="0"/>
              <w:autoSpaceDE w:val="0"/>
              <w:autoSpaceDN w:val="0"/>
              <w:spacing w:before="183" w:after="0" w:line="227"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7" w:type="dxa"/>
            <w:vMerge w:val="continue"/>
            <w:vAlign w:val="center"/>
          </w:tcPr>
          <w:p>
            <w:pPr>
              <w:spacing w:after="0"/>
              <w:jc w:val="center"/>
              <w:rPr>
                <w:rFonts w:ascii="宋体" w:hAnsi="宋体" w:eastAsia="宋体" w:cs="Times New Roman"/>
                <w:sz w:val="18"/>
                <w:szCs w:val="18"/>
              </w:rPr>
            </w:pPr>
          </w:p>
        </w:tc>
        <w:tc>
          <w:tcPr>
            <w:tcW w:w="1004" w:type="dxa"/>
            <w:gridSpan w:val="2"/>
            <w:vMerge w:val="restart"/>
            <w:tcBorders>
              <w:top w:val="single" w:color="auto" w:sz="4" w:space="0"/>
              <w:left w:val="single" w:color="auto" w:sz="4" w:space="0"/>
              <w:right w:val="single" w:color="auto" w:sz="4" w:space="0"/>
            </w:tcBorders>
            <w:vAlign w:val="center"/>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r>
              <w:rPr>
                <w:rFonts w:ascii="宋体" w:hAnsi="宋体" w:eastAsia="宋体" w:cs="宋体"/>
                <w:snapToGrid w:val="0"/>
                <w:color w:val="000000"/>
                <w:spacing w:val="-2"/>
                <w:sz w:val="17"/>
                <w:szCs w:val="17"/>
              </w:rPr>
              <w:t>产出指标</w:t>
            </w:r>
          </w:p>
        </w:tc>
        <w:tc>
          <w:tcPr>
            <w:tcW w:w="851" w:type="dxa"/>
            <w:vMerge w:val="restart"/>
            <w:tcBorders>
              <w:left w:val="single" w:color="auto" w:sz="4" w:space="0"/>
            </w:tcBorders>
            <w:vAlign w:val="center"/>
          </w:tcPr>
          <w:p>
            <w:pPr>
              <w:spacing w:after="0"/>
              <w:jc w:val="center"/>
              <w:rPr>
                <w:rFonts w:ascii="楷体" w:hAnsi="楷体" w:eastAsia="楷体" w:cs="宋体"/>
                <w:sz w:val="20"/>
                <w:szCs w:val="20"/>
              </w:rPr>
            </w:pPr>
            <w:r>
              <w:rPr>
                <w:rFonts w:hint="eastAsia" w:ascii="楷体" w:hAnsi="楷体" w:eastAsia="楷体" w:cs="Times New Roman"/>
                <w:sz w:val="20"/>
                <w:szCs w:val="20"/>
              </w:rPr>
              <w:t>数量指标</w:t>
            </w:r>
          </w:p>
          <w:p>
            <w:pPr>
              <w:spacing w:after="0"/>
              <w:jc w:val="center"/>
              <w:rPr>
                <w:rFonts w:ascii="楷体" w:hAnsi="楷体" w:eastAsia="楷体" w:cs="宋体"/>
                <w:sz w:val="20"/>
                <w:szCs w:val="20"/>
              </w:rPr>
            </w:pPr>
            <w:r>
              <w:rPr>
                <w:rFonts w:hint="eastAsia" w:ascii="楷体" w:hAnsi="楷体" w:eastAsia="楷体" w:cs="Times New Roman"/>
                <w:sz w:val="20"/>
                <w:szCs w:val="20"/>
              </w:rPr>
              <w:t>时效指标</w:t>
            </w:r>
          </w:p>
        </w:tc>
        <w:tc>
          <w:tcPr>
            <w:tcW w:w="2126" w:type="dxa"/>
            <w:gridSpan w:val="3"/>
            <w:vAlign w:val="center"/>
          </w:tcPr>
          <w:p>
            <w:pPr>
              <w:spacing w:after="0"/>
              <w:jc w:val="center"/>
              <w:rPr>
                <w:rFonts w:ascii="楷体" w:hAnsi="楷体" w:eastAsia="楷体" w:cs="宋体"/>
                <w:sz w:val="20"/>
                <w:szCs w:val="20"/>
              </w:rPr>
            </w:pPr>
            <w:r>
              <w:rPr>
                <w:rFonts w:hint="eastAsia" w:ascii="楷体" w:hAnsi="楷体" w:eastAsia="楷体" w:cs="Times New Roman"/>
                <w:sz w:val="20"/>
                <w:szCs w:val="20"/>
              </w:rPr>
              <w:t>保障干部人数</w:t>
            </w:r>
          </w:p>
        </w:tc>
        <w:tc>
          <w:tcPr>
            <w:tcW w:w="1134" w:type="dxa"/>
            <w:gridSpan w:val="2"/>
            <w:vAlign w:val="center"/>
          </w:tcPr>
          <w:p>
            <w:pPr>
              <w:spacing w:after="0"/>
              <w:rPr>
                <w:rFonts w:ascii="楷体" w:hAnsi="楷体" w:eastAsia="楷体" w:cs="宋体"/>
                <w:sz w:val="20"/>
                <w:szCs w:val="20"/>
              </w:rPr>
            </w:pPr>
            <w:r>
              <w:rPr>
                <w:rFonts w:hint="eastAsia" w:ascii="楷体" w:hAnsi="楷体" w:eastAsia="楷体" w:cs="Times New Roman"/>
                <w:sz w:val="20"/>
                <w:szCs w:val="20"/>
              </w:rPr>
              <w:t>≥61间</w:t>
            </w:r>
          </w:p>
        </w:tc>
        <w:tc>
          <w:tcPr>
            <w:tcW w:w="992" w:type="dxa"/>
            <w:vAlign w:val="center"/>
          </w:tcPr>
          <w:p>
            <w:pPr>
              <w:spacing w:after="0"/>
              <w:jc w:val="center"/>
              <w:rPr>
                <w:rFonts w:ascii="楷体" w:hAnsi="楷体" w:eastAsia="楷体" w:cs="宋体"/>
                <w:sz w:val="20"/>
                <w:szCs w:val="20"/>
              </w:rPr>
            </w:pPr>
            <w:r>
              <w:rPr>
                <w:rFonts w:hint="eastAsia" w:ascii="楷体" w:hAnsi="楷体" w:eastAsia="楷体" w:cs="宋体"/>
                <w:sz w:val="20"/>
                <w:szCs w:val="20"/>
              </w:rPr>
              <w:t>61间</w:t>
            </w:r>
          </w:p>
        </w:tc>
        <w:tc>
          <w:tcPr>
            <w:tcW w:w="2295" w:type="dxa"/>
          </w:tcPr>
          <w:p>
            <w:pPr>
              <w:spacing w:after="0"/>
              <w:jc w:val="center"/>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7" w:type="dxa"/>
            <w:vMerge w:val="continue"/>
            <w:vAlign w:val="center"/>
          </w:tcPr>
          <w:p>
            <w:pPr>
              <w:spacing w:after="0"/>
              <w:jc w:val="center"/>
              <w:rPr>
                <w:rFonts w:ascii="宋体" w:hAnsi="宋体" w:eastAsia="宋体" w:cs="Times New Roman"/>
                <w:sz w:val="18"/>
                <w:szCs w:val="18"/>
              </w:rPr>
            </w:pPr>
          </w:p>
        </w:tc>
        <w:tc>
          <w:tcPr>
            <w:tcW w:w="1004" w:type="dxa"/>
            <w:gridSpan w:val="2"/>
            <w:vMerge w:val="continue"/>
            <w:tcBorders>
              <w:top w:val="single" w:color="auto" w:sz="4" w:space="0"/>
              <w:left w:val="single" w:color="auto" w:sz="4" w:space="0"/>
              <w:right w:val="single" w:color="auto" w:sz="4" w:space="0"/>
            </w:tcBorders>
            <w:vAlign w:val="center"/>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p>
        </w:tc>
        <w:tc>
          <w:tcPr>
            <w:tcW w:w="851" w:type="dxa"/>
            <w:vMerge w:val="continue"/>
            <w:tcBorders>
              <w:left w:val="single" w:color="auto" w:sz="4" w:space="0"/>
              <w:bottom w:val="nil"/>
            </w:tcBorders>
            <w:vAlign w:val="center"/>
          </w:tcPr>
          <w:p>
            <w:pPr>
              <w:spacing w:after="0"/>
              <w:jc w:val="center"/>
              <w:rPr>
                <w:rFonts w:ascii="宋体" w:hAnsi="宋体" w:eastAsia="宋体" w:cs="宋体"/>
                <w:sz w:val="18"/>
                <w:szCs w:val="18"/>
              </w:rPr>
            </w:pPr>
          </w:p>
        </w:tc>
        <w:tc>
          <w:tcPr>
            <w:tcW w:w="2126" w:type="dxa"/>
            <w:gridSpan w:val="3"/>
            <w:vAlign w:val="center"/>
          </w:tcPr>
          <w:p>
            <w:pPr>
              <w:spacing w:after="0"/>
              <w:jc w:val="center"/>
              <w:rPr>
                <w:rFonts w:ascii="宋体" w:hAnsi="宋体" w:eastAsia="宋体" w:cs="宋体"/>
                <w:sz w:val="18"/>
                <w:szCs w:val="18"/>
              </w:rPr>
            </w:pPr>
            <w:r>
              <w:rPr>
                <w:rFonts w:hint="eastAsia" w:ascii="楷体" w:hAnsi="楷体" w:eastAsia="楷体" w:cs="Times New Roman"/>
                <w:sz w:val="20"/>
                <w:szCs w:val="20"/>
              </w:rPr>
              <w:t>资金支付及时率</w:t>
            </w:r>
          </w:p>
        </w:tc>
        <w:tc>
          <w:tcPr>
            <w:tcW w:w="1134" w:type="dxa"/>
            <w:gridSpan w:val="2"/>
            <w:vAlign w:val="center"/>
          </w:tcPr>
          <w:p>
            <w:pPr>
              <w:spacing w:after="0"/>
              <w:rPr>
                <w:rFonts w:ascii="宋体" w:hAnsi="宋体" w:eastAsia="宋体" w:cs="宋体"/>
                <w:sz w:val="18"/>
                <w:szCs w:val="18"/>
              </w:rPr>
            </w:pPr>
            <w:r>
              <w:rPr>
                <w:rFonts w:hint="eastAsia" w:ascii="楷体" w:hAnsi="楷体" w:eastAsia="楷体" w:cs="Times New Roman"/>
                <w:sz w:val="20"/>
                <w:szCs w:val="20"/>
              </w:rPr>
              <w:t>≥97%</w:t>
            </w:r>
          </w:p>
        </w:tc>
        <w:tc>
          <w:tcPr>
            <w:tcW w:w="992" w:type="dxa"/>
            <w:vAlign w:val="center"/>
          </w:tcPr>
          <w:p>
            <w:pPr>
              <w:spacing w:after="0"/>
              <w:jc w:val="center"/>
              <w:rPr>
                <w:rFonts w:ascii="宋体" w:hAnsi="宋体" w:eastAsia="宋体" w:cs="宋体"/>
                <w:sz w:val="18"/>
                <w:szCs w:val="18"/>
              </w:rPr>
            </w:pPr>
            <w:r>
              <w:rPr>
                <w:rFonts w:hint="eastAsia" w:ascii="楷体" w:hAnsi="楷体" w:eastAsia="楷体" w:cs="宋体"/>
                <w:sz w:val="20"/>
                <w:szCs w:val="20"/>
              </w:rPr>
              <w:t>97%</w:t>
            </w:r>
          </w:p>
        </w:tc>
        <w:tc>
          <w:tcPr>
            <w:tcW w:w="2295" w:type="dxa"/>
          </w:tcPr>
          <w:p>
            <w:pPr>
              <w:spacing w:after="0"/>
              <w:jc w:val="center"/>
              <w:rPr>
                <w:rFonts w:ascii="宋体" w:hAnsi="宋体"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7" w:type="dxa"/>
            <w:vMerge w:val="continue"/>
            <w:vAlign w:val="center"/>
          </w:tcPr>
          <w:p>
            <w:pPr>
              <w:spacing w:after="0"/>
              <w:jc w:val="center"/>
              <w:rPr>
                <w:rFonts w:ascii="宋体" w:hAnsi="宋体" w:eastAsia="宋体" w:cs="Times New Roman"/>
                <w:sz w:val="18"/>
                <w:szCs w:val="18"/>
              </w:rPr>
            </w:pPr>
          </w:p>
        </w:tc>
        <w:tc>
          <w:tcPr>
            <w:tcW w:w="1004" w:type="dxa"/>
            <w:gridSpan w:val="2"/>
            <w:vMerge w:val="continue"/>
            <w:tcBorders>
              <w:left w:val="single" w:color="auto" w:sz="4" w:space="0"/>
              <w:right w:val="single" w:color="auto" w:sz="4" w:space="0"/>
            </w:tcBorders>
            <w:vAlign w:val="center"/>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p>
        </w:tc>
        <w:tc>
          <w:tcPr>
            <w:tcW w:w="851" w:type="dxa"/>
            <w:tcBorders>
              <w:left w:val="single" w:color="auto" w:sz="4" w:space="0"/>
            </w:tcBorders>
            <w:vAlign w:val="center"/>
          </w:tcPr>
          <w:p>
            <w:pPr>
              <w:spacing w:after="0"/>
              <w:jc w:val="center"/>
              <w:rPr>
                <w:rFonts w:ascii="楷体" w:hAnsi="楷体" w:eastAsia="楷体" w:cs="宋体"/>
                <w:sz w:val="20"/>
                <w:szCs w:val="20"/>
              </w:rPr>
            </w:pPr>
            <w:r>
              <w:rPr>
                <w:rFonts w:hint="eastAsia" w:ascii="楷体" w:hAnsi="楷体" w:eastAsia="楷体" w:cs="Times New Roman"/>
                <w:sz w:val="20"/>
                <w:szCs w:val="20"/>
              </w:rPr>
              <w:t>质量指标</w:t>
            </w:r>
          </w:p>
        </w:tc>
        <w:tc>
          <w:tcPr>
            <w:tcW w:w="2126" w:type="dxa"/>
            <w:gridSpan w:val="3"/>
            <w:vAlign w:val="center"/>
          </w:tcPr>
          <w:p>
            <w:pPr>
              <w:spacing w:after="0"/>
              <w:jc w:val="center"/>
              <w:rPr>
                <w:rFonts w:ascii="楷体" w:hAnsi="楷体" w:eastAsia="楷体" w:cs="宋体"/>
                <w:sz w:val="20"/>
                <w:szCs w:val="20"/>
              </w:rPr>
            </w:pPr>
            <w:r>
              <w:rPr>
                <w:rFonts w:hint="eastAsia" w:ascii="楷体" w:hAnsi="楷体" w:eastAsia="楷体" w:cs="宋体"/>
                <w:sz w:val="20"/>
                <w:szCs w:val="20"/>
              </w:rPr>
              <w:t>工程验收合格率</w:t>
            </w:r>
          </w:p>
        </w:tc>
        <w:tc>
          <w:tcPr>
            <w:tcW w:w="1134" w:type="dxa"/>
            <w:gridSpan w:val="2"/>
            <w:vAlign w:val="center"/>
          </w:tcPr>
          <w:p>
            <w:pPr>
              <w:spacing w:after="0"/>
              <w:rPr>
                <w:rFonts w:ascii="楷体" w:hAnsi="楷体" w:eastAsia="楷体" w:cs="宋体"/>
                <w:sz w:val="20"/>
                <w:szCs w:val="20"/>
              </w:rPr>
            </w:pPr>
            <w:r>
              <w:rPr>
                <w:rFonts w:hint="eastAsia" w:ascii="楷体" w:hAnsi="楷体" w:eastAsia="楷体" w:cs="Times New Roman"/>
                <w:sz w:val="20"/>
                <w:szCs w:val="20"/>
              </w:rPr>
              <w:t>≥100%</w:t>
            </w:r>
          </w:p>
        </w:tc>
        <w:tc>
          <w:tcPr>
            <w:tcW w:w="992" w:type="dxa"/>
            <w:vAlign w:val="center"/>
          </w:tcPr>
          <w:p>
            <w:pPr>
              <w:spacing w:after="0"/>
              <w:jc w:val="center"/>
              <w:rPr>
                <w:rFonts w:ascii="楷体" w:hAnsi="楷体" w:eastAsia="楷体" w:cs="宋体"/>
                <w:sz w:val="20"/>
                <w:szCs w:val="20"/>
              </w:rPr>
            </w:pPr>
            <w:r>
              <w:rPr>
                <w:rFonts w:hint="eastAsia" w:ascii="楷体" w:hAnsi="楷体" w:eastAsia="楷体" w:cs="宋体"/>
                <w:sz w:val="20"/>
                <w:szCs w:val="20"/>
              </w:rPr>
              <w:t>100%</w:t>
            </w:r>
          </w:p>
        </w:tc>
        <w:tc>
          <w:tcPr>
            <w:tcW w:w="2295" w:type="dxa"/>
          </w:tcPr>
          <w:p>
            <w:pPr>
              <w:spacing w:after="0"/>
              <w:jc w:val="center"/>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7" w:type="dxa"/>
            <w:vMerge w:val="continue"/>
            <w:vAlign w:val="center"/>
          </w:tcPr>
          <w:p>
            <w:pPr>
              <w:spacing w:after="0"/>
              <w:jc w:val="center"/>
              <w:rPr>
                <w:rFonts w:ascii="宋体" w:hAnsi="宋体" w:eastAsia="宋体" w:cs="Times New Roman"/>
                <w:sz w:val="18"/>
                <w:szCs w:val="18"/>
              </w:rPr>
            </w:pPr>
          </w:p>
        </w:tc>
        <w:tc>
          <w:tcPr>
            <w:tcW w:w="1004" w:type="dxa"/>
            <w:gridSpan w:val="2"/>
            <w:vMerge w:val="continue"/>
            <w:tcBorders>
              <w:left w:val="single" w:color="auto" w:sz="4" w:space="0"/>
              <w:right w:val="single" w:color="auto" w:sz="4" w:space="0"/>
            </w:tcBorders>
            <w:vAlign w:val="center"/>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p>
        </w:tc>
        <w:tc>
          <w:tcPr>
            <w:tcW w:w="851" w:type="dxa"/>
            <w:tcBorders>
              <w:left w:val="single" w:color="auto" w:sz="4" w:space="0"/>
            </w:tcBorders>
            <w:vAlign w:val="center"/>
          </w:tcPr>
          <w:p>
            <w:pPr>
              <w:spacing w:after="0"/>
              <w:jc w:val="center"/>
              <w:rPr>
                <w:rFonts w:ascii="楷体" w:hAnsi="楷体" w:eastAsia="楷体" w:cs="宋体"/>
                <w:sz w:val="20"/>
                <w:szCs w:val="20"/>
              </w:rPr>
            </w:pPr>
            <w:r>
              <w:rPr>
                <w:rFonts w:hint="eastAsia" w:ascii="楷体" w:hAnsi="楷体" w:eastAsia="楷体" w:cs="Times New Roman"/>
                <w:sz w:val="20"/>
                <w:szCs w:val="20"/>
              </w:rPr>
              <w:t>数量指标</w:t>
            </w:r>
          </w:p>
        </w:tc>
        <w:tc>
          <w:tcPr>
            <w:tcW w:w="2126" w:type="dxa"/>
            <w:gridSpan w:val="3"/>
            <w:vAlign w:val="center"/>
          </w:tcPr>
          <w:p>
            <w:pPr>
              <w:spacing w:after="0"/>
              <w:jc w:val="center"/>
              <w:rPr>
                <w:rFonts w:ascii="楷体" w:hAnsi="楷体" w:eastAsia="楷体" w:cs="宋体"/>
                <w:sz w:val="20"/>
                <w:szCs w:val="20"/>
              </w:rPr>
            </w:pPr>
            <w:r>
              <w:rPr>
                <w:rFonts w:hint="eastAsia" w:ascii="楷体" w:hAnsi="楷体" w:eastAsia="楷体" w:cs="宋体"/>
                <w:sz w:val="20"/>
                <w:szCs w:val="20"/>
              </w:rPr>
              <w:t>王家周转房建设面积</w:t>
            </w:r>
          </w:p>
        </w:tc>
        <w:tc>
          <w:tcPr>
            <w:tcW w:w="1134" w:type="dxa"/>
            <w:gridSpan w:val="2"/>
            <w:vAlign w:val="center"/>
          </w:tcPr>
          <w:p>
            <w:pPr>
              <w:spacing w:after="0"/>
              <w:rPr>
                <w:rFonts w:ascii="楷体" w:hAnsi="楷体" w:eastAsia="楷体" w:cs="宋体"/>
                <w:sz w:val="20"/>
                <w:szCs w:val="20"/>
              </w:rPr>
            </w:pPr>
            <w:r>
              <w:rPr>
                <w:rFonts w:hint="eastAsia" w:ascii="楷体" w:hAnsi="楷体" w:eastAsia="楷体" w:cs="Times New Roman"/>
                <w:sz w:val="20"/>
                <w:szCs w:val="20"/>
              </w:rPr>
              <w:t>≥2135平方米</w:t>
            </w:r>
          </w:p>
        </w:tc>
        <w:tc>
          <w:tcPr>
            <w:tcW w:w="992" w:type="dxa"/>
            <w:vAlign w:val="center"/>
          </w:tcPr>
          <w:p>
            <w:pPr>
              <w:spacing w:after="0"/>
              <w:jc w:val="center"/>
              <w:rPr>
                <w:rFonts w:ascii="楷体" w:hAnsi="楷体" w:eastAsia="楷体" w:cs="宋体"/>
                <w:sz w:val="20"/>
                <w:szCs w:val="20"/>
              </w:rPr>
            </w:pPr>
            <w:r>
              <w:rPr>
                <w:rFonts w:hint="eastAsia" w:ascii="楷体" w:hAnsi="楷体" w:eastAsia="楷体" w:cs="Times New Roman"/>
                <w:sz w:val="20"/>
                <w:szCs w:val="20"/>
              </w:rPr>
              <w:t>2135平方米</w:t>
            </w:r>
          </w:p>
        </w:tc>
        <w:tc>
          <w:tcPr>
            <w:tcW w:w="2295" w:type="dxa"/>
          </w:tcPr>
          <w:p>
            <w:pPr>
              <w:spacing w:after="0"/>
              <w:jc w:val="center"/>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7" w:type="dxa"/>
            <w:vMerge w:val="continue"/>
            <w:vAlign w:val="center"/>
          </w:tcPr>
          <w:p>
            <w:pPr>
              <w:spacing w:after="0"/>
              <w:jc w:val="center"/>
              <w:rPr>
                <w:rFonts w:ascii="宋体" w:hAnsi="宋体" w:eastAsia="宋体" w:cs="Times New Roman"/>
                <w:sz w:val="18"/>
                <w:szCs w:val="18"/>
              </w:rPr>
            </w:pPr>
          </w:p>
        </w:tc>
        <w:tc>
          <w:tcPr>
            <w:tcW w:w="1004" w:type="dxa"/>
            <w:gridSpan w:val="2"/>
            <w:vMerge w:val="continue"/>
            <w:tcBorders>
              <w:left w:val="single" w:color="auto" w:sz="4" w:space="0"/>
              <w:right w:val="single" w:color="auto" w:sz="4" w:space="0"/>
            </w:tcBorders>
            <w:vAlign w:val="center"/>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p>
        </w:tc>
        <w:tc>
          <w:tcPr>
            <w:tcW w:w="851" w:type="dxa"/>
            <w:tcBorders>
              <w:left w:val="single" w:color="auto" w:sz="4" w:space="0"/>
              <w:bottom w:val="nil"/>
            </w:tcBorders>
            <w:vAlign w:val="center"/>
          </w:tcPr>
          <w:p>
            <w:pPr>
              <w:spacing w:after="0"/>
              <w:jc w:val="center"/>
              <w:rPr>
                <w:rFonts w:ascii="楷体" w:hAnsi="楷体" w:eastAsia="楷体" w:cs="宋体"/>
                <w:sz w:val="20"/>
                <w:szCs w:val="20"/>
              </w:rPr>
            </w:pPr>
            <w:r>
              <w:rPr>
                <w:rFonts w:hint="eastAsia" w:ascii="楷体" w:hAnsi="楷体" w:eastAsia="楷体" w:cs="Times New Roman"/>
                <w:sz w:val="20"/>
                <w:szCs w:val="20"/>
              </w:rPr>
              <w:t>社会效益指标</w:t>
            </w:r>
          </w:p>
        </w:tc>
        <w:tc>
          <w:tcPr>
            <w:tcW w:w="2126" w:type="dxa"/>
            <w:gridSpan w:val="3"/>
            <w:vAlign w:val="center"/>
          </w:tcPr>
          <w:p>
            <w:pPr>
              <w:spacing w:after="0"/>
              <w:jc w:val="center"/>
              <w:rPr>
                <w:rFonts w:ascii="楷体" w:hAnsi="楷体" w:eastAsia="楷体" w:cs="宋体"/>
                <w:sz w:val="20"/>
                <w:szCs w:val="20"/>
              </w:rPr>
            </w:pPr>
            <w:r>
              <w:rPr>
                <w:rFonts w:hint="eastAsia" w:ascii="楷体" w:hAnsi="楷体" w:eastAsia="楷体" w:cs="宋体"/>
                <w:sz w:val="20"/>
                <w:szCs w:val="20"/>
              </w:rPr>
              <w:t>乡镇生活条件</w:t>
            </w:r>
          </w:p>
        </w:tc>
        <w:tc>
          <w:tcPr>
            <w:tcW w:w="1134" w:type="dxa"/>
            <w:gridSpan w:val="2"/>
            <w:vAlign w:val="center"/>
          </w:tcPr>
          <w:p>
            <w:pPr>
              <w:spacing w:after="0"/>
              <w:rPr>
                <w:rFonts w:ascii="楷体" w:hAnsi="楷体" w:eastAsia="楷体" w:cs="宋体"/>
                <w:sz w:val="20"/>
                <w:szCs w:val="20"/>
              </w:rPr>
            </w:pPr>
            <w:r>
              <w:rPr>
                <w:rFonts w:hint="eastAsia" w:ascii="楷体" w:hAnsi="楷体" w:eastAsia="楷体" w:cs="Times New Roman"/>
                <w:sz w:val="20"/>
                <w:szCs w:val="20"/>
              </w:rPr>
              <w:t>优</w:t>
            </w:r>
          </w:p>
        </w:tc>
        <w:tc>
          <w:tcPr>
            <w:tcW w:w="992" w:type="dxa"/>
            <w:vAlign w:val="center"/>
          </w:tcPr>
          <w:p>
            <w:pPr>
              <w:spacing w:after="0"/>
              <w:jc w:val="center"/>
              <w:rPr>
                <w:rFonts w:ascii="楷体" w:hAnsi="楷体" w:eastAsia="楷体" w:cs="宋体"/>
                <w:sz w:val="20"/>
                <w:szCs w:val="20"/>
              </w:rPr>
            </w:pPr>
            <w:r>
              <w:rPr>
                <w:rFonts w:hint="eastAsia" w:ascii="楷体" w:hAnsi="楷体" w:eastAsia="楷体" w:cs="宋体"/>
                <w:sz w:val="20"/>
                <w:szCs w:val="20"/>
              </w:rPr>
              <w:t>优</w:t>
            </w:r>
          </w:p>
        </w:tc>
        <w:tc>
          <w:tcPr>
            <w:tcW w:w="2295" w:type="dxa"/>
          </w:tcPr>
          <w:p>
            <w:pPr>
              <w:spacing w:after="0"/>
              <w:jc w:val="center"/>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1004" w:type="dxa"/>
            <w:gridSpan w:val="2"/>
            <w:vAlign w:val="center"/>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满意度指标</w:t>
            </w:r>
          </w:p>
        </w:tc>
        <w:tc>
          <w:tcPr>
            <w:tcW w:w="851" w:type="dxa"/>
            <w:vAlign w:val="center"/>
          </w:tcPr>
          <w:p>
            <w:pPr>
              <w:spacing w:after="0" w:line="200" w:lineRule="exact"/>
              <w:jc w:val="center"/>
              <w:rPr>
                <w:rFonts w:ascii="楷体" w:hAnsi="楷体" w:eastAsia="楷体" w:cs="宋体"/>
                <w:sz w:val="20"/>
                <w:szCs w:val="20"/>
              </w:rPr>
            </w:pPr>
            <w:r>
              <w:rPr>
                <w:rFonts w:hint="eastAsia" w:ascii="楷体" w:hAnsi="楷体" w:eastAsia="楷体" w:cs="Times New Roman"/>
                <w:sz w:val="20"/>
                <w:szCs w:val="20"/>
              </w:rPr>
              <w:t>服务对象满意度指标</w:t>
            </w:r>
          </w:p>
        </w:tc>
        <w:tc>
          <w:tcPr>
            <w:tcW w:w="2126" w:type="dxa"/>
            <w:gridSpan w:val="3"/>
            <w:vAlign w:val="center"/>
          </w:tcPr>
          <w:p>
            <w:pPr>
              <w:spacing w:after="0"/>
              <w:jc w:val="center"/>
              <w:rPr>
                <w:rFonts w:ascii="楷体" w:hAnsi="楷体" w:eastAsia="楷体" w:cs="宋体"/>
                <w:sz w:val="20"/>
                <w:szCs w:val="20"/>
              </w:rPr>
            </w:pPr>
            <w:r>
              <w:rPr>
                <w:rFonts w:hint="eastAsia" w:ascii="楷体" w:hAnsi="楷体" w:eastAsia="楷体" w:cs="宋体"/>
                <w:sz w:val="20"/>
                <w:szCs w:val="20"/>
              </w:rPr>
              <w:t>干部职工及周围居民满意度</w:t>
            </w:r>
          </w:p>
        </w:tc>
        <w:tc>
          <w:tcPr>
            <w:tcW w:w="1134" w:type="dxa"/>
            <w:gridSpan w:val="2"/>
            <w:vAlign w:val="center"/>
          </w:tcPr>
          <w:p>
            <w:pPr>
              <w:spacing w:after="0"/>
              <w:rPr>
                <w:rFonts w:ascii="楷体" w:hAnsi="楷体" w:eastAsia="楷体" w:cs="宋体"/>
                <w:sz w:val="20"/>
                <w:szCs w:val="20"/>
              </w:rPr>
            </w:pPr>
            <w:r>
              <w:rPr>
                <w:rFonts w:hint="eastAsia" w:ascii="楷体" w:hAnsi="楷体" w:eastAsia="楷体" w:cs="Times New Roman"/>
                <w:sz w:val="20"/>
                <w:szCs w:val="20"/>
              </w:rPr>
              <w:t>≥96%</w:t>
            </w:r>
          </w:p>
        </w:tc>
        <w:tc>
          <w:tcPr>
            <w:tcW w:w="992" w:type="dxa"/>
            <w:vAlign w:val="center"/>
          </w:tcPr>
          <w:p>
            <w:pPr>
              <w:spacing w:after="0"/>
              <w:jc w:val="center"/>
              <w:rPr>
                <w:rFonts w:ascii="楷体" w:hAnsi="楷体" w:eastAsia="楷体" w:cs="宋体"/>
                <w:sz w:val="20"/>
                <w:szCs w:val="20"/>
              </w:rPr>
            </w:pPr>
            <w:r>
              <w:rPr>
                <w:rFonts w:hint="eastAsia" w:ascii="楷体" w:hAnsi="楷体" w:eastAsia="楷体" w:cs="宋体"/>
                <w:sz w:val="20"/>
                <w:szCs w:val="20"/>
              </w:rPr>
              <w:t>97%</w:t>
            </w:r>
          </w:p>
        </w:tc>
        <w:tc>
          <w:tcPr>
            <w:tcW w:w="2295" w:type="dxa"/>
            <w:vAlign w:val="center"/>
          </w:tcPr>
          <w:p>
            <w:pPr>
              <w:spacing w:after="0"/>
              <w:jc w:val="both"/>
              <w:rPr>
                <w:rFonts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7" w:type="dxa"/>
            <w:vMerge w:val="continue"/>
            <w:vAlign w:val="center"/>
          </w:tcPr>
          <w:p>
            <w:pPr>
              <w:spacing w:before="48" w:after="0" w:line="220" w:lineRule="auto"/>
              <w:ind w:left="3664"/>
              <w:jc w:val="center"/>
              <w:rPr>
                <w:rFonts w:ascii="宋体" w:hAnsi="宋体" w:eastAsia="宋体" w:cs="宋体"/>
                <w:sz w:val="18"/>
                <w:szCs w:val="18"/>
              </w:rPr>
            </w:pPr>
          </w:p>
        </w:tc>
        <w:tc>
          <w:tcPr>
            <w:tcW w:w="1004" w:type="dxa"/>
            <w:gridSpan w:val="2"/>
            <w:vAlign w:val="center"/>
          </w:tcPr>
          <w:p>
            <w:pPr>
              <w:kinsoku w:val="0"/>
              <w:autoSpaceDE w:val="0"/>
              <w:autoSpaceDN w:val="0"/>
              <w:spacing w:before="183" w:after="0" w:line="220" w:lineRule="auto"/>
              <w:jc w:val="center"/>
              <w:textAlignment w:val="baseline"/>
              <w:rPr>
                <w:rFonts w:ascii="宋体" w:hAnsi="宋体" w:eastAsia="宋体" w:cs="宋体"/>
                <w:snapToGrid w:val="0"/>
                <w:color w:val="000000"/>
                <w:spacing w:val="-2"/>
                <w:sz w:val="17"/>
                <w:szCs w:val="17"/>
              </w:rPr>
            </w:pPr>
            <w:r>
              <w:rPr>
                <w:rFonts w:hint="eastAsia" w:ascii="宋体" w:hAnsi="宋体" w:eastAsia="宋体" w:cs="宋体"/>
                <w:snapToGrid w:val="0"/>
                <w:color w:val="000000"/>
                <w:spacing w:val="-2"/>
                <w:sz w:val="17"/>
                <w:szCs w:val="17"/>
              </w:rPr>
              <w:t>成本指标</w:t>
            </w:r>
          </w:p>
        </w:tc>
        <w:tc>
          <w:tcPr>
            <w:tcW w:w="851" w:type="dxa"/>
            <w:vAlign w:val="center"/>
          </w:tcPr>
          <w:p>
            <w:pPr>
              <w:spacing w:after="0" w:line="220" w:lineRule="exact"/>
              <w:jc w:val="center"/>
              <w:rPr>
                <w:rFonts w:ascii="楷体" w:hAnsi="楷体" w:eastAsia="楷体" w:cs="宋体"/>
                <w:sz w:val="20"/>
                <w:szCs w:val="20"/>
              </w:rPr>
            </w:pPr>
            <w:r>
              <w:rPr>
                <w:rFonts w:hint="eastAsia" w:ascii="楷体" w:hAnsi="楷体" w:eastAsia="楷体" w:cs="Times New Roman"/>
                <w:sz w:val="20"/>
                <w:szCs w:val="20"/>
              </w:rPr>
              <w:t>经济成本指标</w:t>
            </w:r>
          </w:p>
        </w:tc>
        <w:tc>
          <w:tcPr>
            <w:tcW w:w="2126" w:type="dxa"/>
            <w:gridSpan w:val="3"/>
            <w:vAlign w:val="center"/>
          </w:tcPr>
          <w:p>
            <w:pPr>
              <w:spacing w:after="0"/>
              <w:jc w:val="center"/>
              <w:rPr>
                <w:rFonts w:ascii="楷体" w:hAnsi="楷体" w:eastAsia="楷体" w:cs="宋体"/>
                <w:sz w:val="20"/>
                <w:szCs w:val="20"/>
              </w:rPr>
            </w:pPr>
            <w:r>
              <w:rPr>
                <w:rFonts w:hint="eastAsia" w:ascii="楷体" w:hAnsi="楷体" w:eastAsia="楷体" w:cs="宋体"/>
                <w:sz w:val="20"/>
                <w:szCs w:val="20"/>
              </w:rPr>
              <w:t>周转房建设资金</w:t>
            </w:r>
          </w:p>
        </w:tc>
        <w:tc>
          <w:tcPr>
            <w:tcW w:w="1134" w:type="dxa"/>
            <w:gridSpan w:val="2"/>
            <w:vAlign w:val="center"/>
          </w:tcPr>
          <w:p>
            <w:pPr>
              <w:spacing w:after="0"/>
              <w:rPr>
                <w:rFonts w:ascii="楷体" w:hAnsi="楷体" w:eastAsia="楷体" w:cs="宋体"/>
                <w:sz w:val="20"/>
                <w:szCs w:val="20"/>
              </w:rPr>
            </w:pPr>
            <w:r>
              <w:rPr>
                <w:rFonts w:hint="eastAsia" w:ascii="楷体" w:hAnsi="楷体" w:eastAsia="楷体" w:cs="Times New Roman"/>
                <w:sz w:val="20"/>
                <w:szCs w:val="20"/>
              </w:rPr>
              <w:t>≤728.6万元</w:t>
            </w:r>
          </w:p>
        </w:tc>
        <w:tc>
          <w:tcPr>
            <w:tcW w:w="992" w:type="dxa"/>
            <w:vAlign w:val="center"/>
          </w:tcPr>
          <w:p>
            <w:pPr>
              <w:spacing w:after="0"/>
              <w:jc w:val="center"/>
              <w:rPr>
                <w:rFonts w:ascii="楷体" w:hAnsi="楷体" w:eastAsia="楷体" w:cs="宋体"/>
                <w:sz w:val="20"/>
                <w:szCs w:val="20"/>
              </w:rPr>
            </w:pPr>
            <w:r>
              <w:rPr>
                <w:rFonts w:hint="eastAsia" w:ascii="楷体" w:hAnsi="楷体" w:eastAsia="楷体" w:cs="宋体"/>
                <w:sz w:val="20"/>
                <w:szCs w:val="20"/>
              </w:rPr>
              <w:t>654.5万元</w:t>
            </w:r>
          </w:p>
        </w:tc>
        <w:tc>
          <w:tcPr>
            <w:tcW w:w="2295" w:type="dxa"/>
            <w:vAlign w:val="center"/>
          </w:tcPr>
          <w:p>
            <w:pPr>
              <w:spacing w:after="0"/>
              <w:jc w:val="both"/>
              <w:rPr>
                <w:rFonts w:ascii="宋体" w:hAnsi="宋体" w:eastAsia="宋体" w:cs="宋体"/>
                <w:sz w:val="17"/>
                <w:szCs w:val="17"/>
              </w:rPr>
            </w:pPr>
          </w:p>
        </w:tc>
      </w:tr>
    </w:tbl>
    <w:p>
      <w:pPr>
        <w:keepNext/>
        <w:keepLines/>
        <w:pageBreakBefore/>
        <w:widowControl w:val="0"/>
        <w:autoSpaceDE w:val="0"/>
        <w:autoSpaceDN w:val="0"/>
        <w:snapToGrid/>
        <w:spacing w:after="0" w:line="576" w:lineRule="exact"/>
        <w:ind w:firstLine="880" w:firstLineChars="200"/>
        <w:jc w:val="center"/>
        <w:rPr>
          <w:rFonts w:ascii="黑体" w:hAnsi="Times New Roman" w:eastAsia="黑体" w:cs="黑体"/>
          <w:kern w:val="44"/>
          <w:sz w:val="44"/>
          <w:szCs w:val="44"/>
          <w:lang w:val="zh-CN"/>
        </w:rPr>
      </w:pPr>
      <w:r>
        <w:rPr>
          <w:rFonts w:hint="eastAsia" w:ascii="黑体" w:hAnsi="Times New Roman" w:eastAsia="黑体" w:cs="黑体"/>
          <w:color w:val="000000"/>
          <w:kern w:val="2"/>
          <w:sz w:val="44"/>
          <w:szCs w:val="44"/>
          <w:lang w:val="zh-CN"/>
        </w:rPr>
        <w:t>第</w:t>
      </w:r>
      <w:r>
        <w:rPr>
          <w:rFonts w:hint="eastAsia" w:ascii="黑体" w:hAnsi="Times New Roman" w:eastAsia="黑体" w:cs="黑体"/>
          <w:kern w:val="44"/>
          <w:sz w:val="44"/>
          <w:szCs w:val="44"/>
          <w:lang w:val="zh-CN"/>
        </w:rPr>
        <w:t>五部分</w:t>
      </w:r>
      <w:r>
        <w:rPr>
          <w:rFonts w:ascii="黑体" w:hAnsi="Times New Roman" w:eastAsia="黑体" w:cs="黑体"/>
          <w:kern w:val="44"/>
          <w:sz w:val="44"/>
          <w:szCs w:val="44"/>
          <w:lang w:val="zh-CN"/>
        </w:rPr>
        <w:t xml:space="preserve">  </w:t>
      </w:r>
      <w:r>
        <w:rPr>
          <w:rFonts w:hint="eastAsia" w:ascii="黑体" w:hAnsi="Times New Roman" w:eastAsia="黑体" w:cs="黑体"/>
          <w:kern w:val="44"/>
          <w:sz w:val="44"/>
          <w:szCs w:val="44"/>
          <w:lang w:val="zh-CN"/>
        </w:rPr>
        <w:t>附表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color w:val="000000"/>
          <w:kern w:val="2"/>
          <w:sz w:val="32"/>
          <w:szCs w:val="32"/>
          <w:lang w:val="zh-CN"/>
        </w:rPr>
        <w:t>一、收</w:t>
      </w:r>
      <w:r>
        <w:rPr>
          <w:rFonts w:hint="eastAsia" w:ascii="仿宋_GB2312" w:hAnsi="Times New Roman" w:eastAsia="仿宋_GB2312" w:cs="仿宋_GB2312"/>
          <w:kern w:val="2"/>
          <w:sz w:val="32"/>
          <w:szCs w:val="32"/>
          <w:lang w:val="zh-CN"/>
        </w:rPr>
        <w:t>入支出决算总表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color w:val="000000"/>
          <w:kern w:val="2"/>
          <w:sz w:val="32"/>
          <w:szCs w:val="32"/>
          <w:lang w:val="zh-CN"/>
        </w:rPr>
        <w:t>二、收</w:t>
      </w:r>
      <w:r>
        <w:rPr>
          <w:rFonts w:hint="eastAsia" w:ascii="仿宋_GB2312" w:hAnsi="Times New Roman" w:eastAsia="仿宋_GB2312" w:cs="仿宋_GB2312"/>
          <w:kern w:val="2"/>
          <w:sz w:val="32"/>
          <w:szCs w:val="32"/>
          <w:lang w:val="zh-CN"/>
        </w:rPr>
        <w:t>入决算表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kern w:val="2"/>
          <w:sz w:val="32"/>
          <w:szCs w:val="32"/>
          <w:lang w:val="zh-CN"/>
        </w:rPr>
        <w:t>三、</w:t>
      </w:r>
      <w:r>
        <w:rPr>
          <w:rFonts w:hint="eastAsia" w:ascii="仿宋_GB2312" w:hAnsi="Times New Roman" w:eastAsia="仿宋_GB2312" w:cs="仿宋_GB2312"/>
          <w:color w:val="000000"/>
          <w:kern w:val="2"/>
          <w:sz w:val="32"/>
          <w:szCs w:val="32"/>
          <w:lang w:val="zh-CN"/>
        </w:rPr>
        <w:t>支</w:t>
      </w:r>
      <w:r>
        <w:rPr>
          <w:rFonts w:hint="eastAsia" w:ascii="仿宋_GB2312" w:hAnsi="Times New Roman" w:eastAsia="仿宋_GB2312" w:cs="仿宋_GB2312"/>
          <w:kern w:val="2"/>
          <w:sz w:val="32"/>
          <w:szCs w:val="32"/>
          <w:lang w:val="zh-CN"/>
        </w:rPr>
        <w:t>出决算表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kern w:val="2"/>
          <w:sz w:val="32"/>
          <w:szCs w:val="32"/>
          <w:lang w:val="zh-CN"/>
        </w:rPr>
        <w:t>四、</w:t>
      </w:r>
      <w:r>
        <w:rPr>
          <w:rFonts w:hint="eastAsia" w:ascii="仿宋_GB2312" w:hAnsi="Times New Roman" w:eastAsia="仿宋_GB2312" w:cs="仿宋_GB2312"/>
          <w:color w:val="000000"/>
          <w:kern w:val="2"/>
          <w:sz w:val="32"/>
          <w:szCs w:val="32"/>
          <w:lang w:val="zh-CN"/>
        </w:rPr>
        <w:t>财</w:t>
      </w:r>
      <w:r>
        <w:rPr>
          <w:rFonts w:hint="eastAsia" w:ascii="仿宋_GB2312" w:hAnsi="Times New Roman" w:eastAsia="仿宋_GB2312" w:cs="仿宋_GB2312"/>
          <w:kern w:val="2"/>
          <w:sz w:val="32"/>
          <w:szCs w:val="32"/>
          <w:lang w:val="zh-CN"/>
        </w:rPr>
        <w:t>政拨款收入支出决算总表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kern w:val="2"/>
          <w:sz w:val="32"/>
          <w:szCs w:val="32"/>
          <w:lang w:val="zh-CN"/>
        </w:rPr>
      </w:pPr>
      <w:r>
        <w:rPr>
          <w:rFonts w:hint="eastAsia" w:ascii="仿宋_GB2312" w:hAnsi="Times New Roman" w:eastAsia="仿宋_GB2312" w:cs="仿宋_GB2312"/>
          <w:kern w:val="2"/>
          <w:sz w:val="32"/>
          <w:szCs w:val="32"/>
          <w:lang w:val="zh-CN"/>
        </w:rPr>
        <w:t>五、</w:t>
      </w:r>
      <w:r>
        <w:rPr>
          <w:rFonts w:hint="eastAsia" w:ascii="仿宋_GB2312" w:hAnsi="Times New Roman" w:eastAsia="仿宋_GB2312" w:cs="仿宋_GB2312"/>
          <w:color w:val="000000"/>
          <w:kern w:val="2"/>
          <w:sz w:val="32"/>
          <w:szCs w:val="32"/>
          <w:lang w:val="zh-CN"/>
        </w:rPr>
        <w:t>财</w:t>
      </w:r>
      <w:r>
        <w:rPr>
          <w:rFonts w:hint="eastAsia" w:ascii="仿宋_GB2312" w:hAnsi="Times New Roman" w:eastAsia="仿宋_GB2312" w:cs="仿宋_GB2312"/>
          <w:kern w:val="2"/>
          <w:sz w:val="32"/>
          <w:szCs w:val="32"/>
          <w:lang w:val="zh-CN"/>
        </w:rPr>
        <w:t>政拨款支出决算明细表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kern w:val="2"/>
          <w:sz w:val="32"/>
          <w:szCs w:val="32"/>
          <w:lang w:val="zh-CN"/>
        </w:rPr>
        <w:t>六、</w:t>
      </w:r>
      <w:r>
        <w:rPr>
          <w:rFonts w:hint="eastAsia" w:ascii="仿宋_GB2312" w:hAnsi="Times New Roman" w:eastAsia="仿宋_GB2312" w:cs="仿宋_GB2312"/>
          <w:color w:val="000000"/>
          <w:kern w:val="2"/>
          <w:sz w:val="32"/>
          <w:szCs w:val="32"/>
          <w:lang w:val="zh-CN"/>
        </w:rPr>
        <w:t>一</w:t>
      </w:r>
      <w:r>
        <w:rPr>
          <w:rFonts w:hint="eastAsia" w:ascii="仿宋_GB2312" w:hAnsi="Times New Roman" w:eastAsia="仿宋_GB2312" w:cs="仿宋_GB2312"/>
          <w:kern w:val="2"/>
          <w:sz w:val="32"/>
          <w:szCs w:val="32"/>
          <w:lang w:val="zh-CN"/>
        </w:rPr>
        <w:t>般公共预算财政拨款支出决算表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kern w:val="2"/>
          <w:sz w:val="32"/>
          <w:szCs w:val="32"/>
          <w:lang w:val="zh-CN"/>
        </w:rPr>
        <w:t>七、</w:t>
      </w:r>
      <w:r>
        <w:rPr>
          <w:rFonts w:hint="eastAsia" w:ascii="仿宋_GB2312" w:hAnsi="Times New Roman" w:eastAsia="仿宋_GB2312" w:cs="仿宋_GB2312"/>
          <w:color w:val="000000"/>
          <w:kern w:val="2"/>
          <w:sz w:val="32"/>
          <w:szCs w:val="32"/>
          <w:lang w:val="zh-CN"/>
        </w:rPr>
        <w:t>一</w:t>
      </w:r>
      <w:r>
        <w:rPr>
          <w:rFonts w:hint="eastAsia" w:ascii="仿宋_GB2312" w:hAnsi="Times New Roman" w:eastAsia="仿宋_GB2312" w:cs="仿宋_GB2312"/>
          <w:kern w:val="2"/>
          <w:sz w:val="32"/>
          <w:szCs w:val="32"/>
          <w:lang w:val="zh-CN"/>
        </w:rPr>
        <w:t>般公共预算财政拨款支出决算明细表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kern w:val="2"/>
          <w:sz w:val="32"/>
          <w:szCs w:val="32"/>
          <w:lang w:val="zh-CN"/>
        </w:rPr>
        <w:t>八、</w:t>
      </w:r>
      <w:r>
        <w:rPr>
          <w:rFonts w:hint="eastAsia" w:ascii="仿宋_GB2312" w:hAnsi="Times New Roman" w:eastAsia="仿宋_GB2312" w:cs="仿宋_GB2312"/>
          <w:color w:val="000000"/>
          <w:kern w:val="2"/>
          <w:sz w:val="32"/>
          <w:szCs w:val="32"/>
          <w:lang w:val="zh-CN"/>
        </w:rPr>
        <w:t>一</w:t>
      </w:r>
      <w:r>
        <w:rPr>
          <w:rFonts w:hint="eastAsia" w:ascii="仿宋_GB2312" w:hAnsi="Times New Roman" w:eastAsia="仿宋_GB2312" w:cs="仿宋_GB2312"/>
          <w:kern w:val="2"/>
          <w:sz w:val="32"/>
          <w:szCs w:val="32"/>
          <w:lang w:val="zh-CN"/>
        </w:rPr>
        <w:t>般公共预算财政拨款基本支出决算表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kern w:val="2"/>
          <w:sz w:val="32"/>
          <w:szCs w:val="32"/>
          <w:lang w:val="zh-CN"/>
        </w:rPr>
        <w:t>九、</w:t>
      </w:r>
      <w:r>
        <w:rPr>
          <w:rFonts w:hint="eastAsia" w:ascii="仿宋_GB2312" w:hAnsi="Times New Roman" w:eastAsia="仿宋_GB2312" w:cs="仿宋_GB2312"/>
          <w:color w:val="000000"/>
          <w:kern w:val="2"/>
          <w:sz w:val="32"/>
          <w:szCs w:val="32"/>
          <w:lang w:val="zh-CN"/>
        </w:rPr>
        <w:t>一</w:t>
      </w:r>
      <w:r>
        <w:rPr>
          <w:rFonts w:hint="eastAsia" w:ascii="仿宋_GB2312" w:hAnsi="Times New Roman" w:eastAsia="仿宋_GB2312" w:cs="仿宋_GB2312"/>
          <w:kern w:val="2"/>
          <w:sz w:val="32"/>
          <w:szCs w:val="32"/>
          <w:lang w:val="zh-CN"/>
        </w:rPr>
        <w:t>般公共预算财政拨款项目支出决算表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kern w:val="2"/>
          <w:sz w:val="32"/>
          <w:szCs w:val="32"/>
          <w:lang w:val="zh-CN"/>
        </w:rPr>
        <w:t>十、</w:t>
      </w:r>
      <w:r>
        <w:rPr>
          <w:rFonts w:hint="eastAsia" w:ascii="仿宋_GB2312" w:hAnsi="Times New Roman" w:eastAsia="仿宋_GB2312" w:cs="仿宋_GB2312"/>
          <w:color w:val="000000"/>
          <w:kern w:val="2"/>
          <w:sz w:val="32"/>
          <w:szCs w:val="32"/>
          <w:lang w:val="zh-CN"/>
        </w:rPr>
        <w:t>政</w:t>
      </w:r>
      <w:r>
        <w:rPr>
          <w:rFonts w:hint="eastAsia" w:ascii="仿宋_GB2312" w:hAnsi="Times New Roman" w:eastAsia="仿宋_GB2312" w:cs="仿宋_GB2312"/>
          <w:kern w:val="2"/>
          <w:sz w:val="32"/>
          <w:szCs w:val="32"/>
          <w:lang w:val="zh-CN"/>
        </w:rPr>
        <w:t>府性基金预算财政拨款收入支出决算表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kern w:val="2"/>
          <w:sz w:val="32"/>
          <w:szCs w:val="32"/>
          <w:lang w:val="zh-CN"/>
        </w:rPr>
      </w:pPr>
      <w:r>
        <w:rPr>
          <w:rFonts w:hint="eastAsia" w:ascii="仿宋_GB2312" w:hAnsi="Times New Roman" w:eastAsia="仿宋_GB2312" w:cs="仿宋_GB2312"/>
          <w:kern w:val="2"/>
          <w:sz w:val="32"/>
          <w:szCs w:val="32"/>
          <w:lang w:val="zh-CN"/>
        </w:rPr>
        <w:t>十一、国有资本经营预算财政拨款收入支出决算表</w:t>
      </w:r>
    </w:p>
    <w:p>
      <w:pPr>
        <w:keepNext/>
        <w:keepLines/>
        <w:widowControl w:val="0"/>
        <w:autoSpaceDE w:val="0"/>
        <w:autoSpaceDN w:val="0"/>
        <w:snapToGrid/>
        <w:spacing w:after="0" w:line="576" w:lineRule="exact"/>
        <w:ind w:firstLine="640" w:firstLineChars="200"/>
        <w:jc w:val="both"/>
        <w:outlineLvl w:val="1"/>
        <w:rPr>
          <w:rFonts w:ascii="仿宋_GB2312" w:hAnsi="Times New Roman" w:eastAsia="仿宋_GB2312" w:cs="仿宋_GB2312"/>
          <w:kern w:val="2"/>
          <w:sz w:val="32"/>
          <w:szCs w:val="32"/>
          <w:lang w:val="zh-CN"/>
        </w:rPr>
      </w:pPr>
      <w:r>
        <w:rPr>
          <w:rFonts w:hint="eastAsia" w:ascii="仿宋_GB2312" w:hAnsi="Times New Roman" w:eastAsia="仿宋_GB2312" w:cs="仿宋_GB2312"/>
          <w:kern w:val="2"/>
          <w:sz w:val="32"/>
          <w:szCs w:val="32"/>
          <w:lang w:val="zh-CN"/>
        </w:rPr>
        <w:t>十二、</w:t>
      </w:r>
      <w:r>
        <w:rPr>
          <w:rFonts w:hint="eastAsia" w:ascii="仿宋_GB2312" w:hAnsi="Times New Roman" w:eastAsia="仿宋_GB2312" w:cs="仿宋_GB2312"/>
          <w:color w:val="000000"/>
          <w:kern w:val="2"/>
          <w:sz w:val="32"/>
          <w:szCs w:val="32"/>
          <w:lang w:val="zh-CN"/>
        </w:rPr>
        <w:t>国</w:t>
      </w:r>
      <w:r>
        <w:rPr>
          <w:rFonts w:hint="eastAsia" w:ascii="仿宋_GB2312" w:hAnsi="Times New Roman" w:eastAsia="仿宋_GB2312" w:cs="仿宋_GB2312"/>
          <w:kern w:val="2"/>
          <w:sz w:val="32"/>
          <w:szCs w:val="32"/>
          <w:lang w:val="zh-CN"/>
        </w:rPr>
        <w:t>有资本经营预算财政拨款支出决算表</w:t>
      </w:r>
    </w:p>
    <w:p>
      <w:pPr>
        <w:widowControl w:val="0"/>
        <w:autoSpaceDE w:val="0"/>
        <w:autoSpaceDN w:val="0"/>
        <w:snapToGrid/>
        <w:spacing w:after="0" w:line="576" w:lineRule="exact"/>
        <w:ind w:firstLine="640" w:firstLineChars="200"/>
        <w:rPr>
          <w:rFonts w:ascii="方正小标宋简体" w:hAnsi="Times New Roman" w:eastAsia="方正小标宋简体" w:cs="方正小标宋简体"/>
          <w:color w:val="000000"/>
          <w:kern w:val="2"/>
          <w:sz w:val="30"/>
          <w:szCs w:val="30"/>
          <w:lang w:val="zh-CN"/>
        </w:rPr>
      </w:pPr>
      <w:r>
        <w:rPr>
          <w:rFonts w:hint="eastAsia" w:ascii="仿宋_GB2312" w:hAnsi="Times New Roman" w:eastAsia="仿宋_GB2312" w:cs="仿宋_GB2312"/>
          <w:kern w:val="2"/>
          <w:sz w:val="32"/>
          <w:szCs w:val="32"/>
          <w:lang w:val="zh-CN"/>
        </w:rPr>
        <w:t>十三、财政拨款</w:t>
      </w:r>
      <w:r>
        <w:rPr>
          <w:rFonts w:ascii="仿宋_GB2312" w:hAnsi="Times New Roman" w:eastAsia="仿宋_GB2312" w:cs="仿宋_GB2312"/>
          <w:kern w:val="2"/>
          <w:sz w:val="32"/>
          <w:szCs w:val="32"/>
          <w:lang w:val="zh-CN"/>
        </w:rPr>
        <w:t>“</w:t>
      </w:r>
      <w:r>
        <w:rPr>
          <w:rFonts w:hint="eastAsia" w:ascii="仿宋_GB2312" w:hAnsi="Times New Roman" w:eastAsia="仿宋_GB2312" w:cs="仿宋_GB2312"/>
          <w:kern w:val="2"/>
          <w:sz w:val="32"/>
          <w:szCs w:val="32"/>
          <w:lang w:val="zh-CN"/>
        </w:rPr>
        <w:t>三公</w:t>
      </w:r>
      <w:r>
        <w:rPr>
          <w:rFonts w:ascii="仿宋_GB2312" w:hAnsi="Times New Roman" w:eastAsia="仿宋_GB2312" w:cs="仿宋_GB2312"/>
          <w:kern w:val="2"/>
          <w:sz w:val="32"/>
          <w:szCs w:val="32"/>
          <w:lang w:val="zh-CN"/>
        </w:rPr>
        <w:t>”</w:t>
      </w:r>
      <w:r>
        <w:rPr>
          <w:rFonts w:hint="eastAsia" w:ascii="仿宋_GB2312" w:hAnsi="Times New Roman" w:eastAsia="仿宋_GB2312" w:cs="仿宋_GB2312"/>
          <w:kern w:val="2"/>
          <w:sz w:val="32"/>
          <w:szCs w:val="32"/>
          <w:lang w:val="zh-CN"/>
        </w:rPr>
        <w:t>经费支出决算表</w:t>
      </w:r>
    </w:p>
    <w:p>
      <w:pPr>
        <w:spacing w:after="0" w:line="576" w:lineRule="exact"/>
        <w:ind w:firstLine="440" w:firstLineChars="200"/>
      </w:pPr>
    </w:p>
    <w:sectPr>
      <w:footerReference r:id="rId5" w:type="default"/>
      <w:pgSz w:w="12240" w:h="15840"/>
      <w:pgMar w:top="2098" w:right="1474" w:bottom="1985" w:left="1588" w:header="720" w:footer="720" w:gutter="0"/>
      <w:pgNumType w:fmt="numberInDash" w:start="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altName w:val="方正小标宋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Lucida Sans">
    <w:panose1 w:val="020B0602030504020204"/>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A2731"/>
    <w:multiLevelType w:val="singleLevel"/>
    <w:tmpl w:val="E52A2731"/>
    <w:lvl w:ilvl="0" w:tentative="0">
      <w:start w:val="3"/>
      <w:numFmt w:val="chineseCounting"/>
      <w:suff w:val="nothing"/>
      <w:lvlText w:val="%1、"/>
      <w:lvlJc w:val="left"/>
      <w:rPr>
        <w:rFonts w:hint="eastAsia"/>
      </w:rPr>
    </w:lvl>
  </w:abstractNum>
  <w:abstractNum w:abstractNumId="1">
    <w:nsid w:val="2916CC7C"/>
    <w:multiLevelType w:val="singleLevel"/>
    <w:tmpl w:val="2916CC7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ZDk5ZTA1NDNhMThiZWNmZTUzNGNiZDk1MDFkMjM3YzIifQ=="/>
  </w:docVars>
  <w:rsids>
    <w:rsidRoot w:val="00D31D50"/>
    <w:rsid w:val="00032148"/>
    <w:rsid w:val="00032636"/>
    <w:rsid w:val="0004764D"/>
    <w:rsid w:val="000610F8"/>
    <w:rsid w:val="00063A39"/>
    <w:rsid w:val="000661EF"/>
    <w:rsid w:val="00072652"/>
    <w:rsid w:val="0008727F"/>
    <w:rsid w:val="000A18FF"/>
    <w:rsid w:val="000E0401"/>
    <w:rsid w:val="000E26D2"/>
    <w:rsid w:val="00124443"/>
    <w:rsid w:val="001452A0"/>
    <w:rsid w:val="00172DA1"/>
    <w:rsid w:val="001B1666"/>
    <w:rsid w:val="001B7E00"/>
    <w:rsid w:val="0020157E"/>
    <w:rsid w:val="0021092A"/>
    <w:rsid w:val="00247411"/>
    <w:rsid w:val="00247D9F"/>
    <w:rsid w:val="002A10C6"/>
    <w:rsid w:val="002B3D34"/>
    <w:rsid w:val="002D4C16"/>
    <w:rsid w:val="002D663A"/>
    <w:rsid w:val="002F22C4"/>
    <w:rsid w:val="00306102"/>
    <w:rsid w:val="00323B43"/>
    <w:rsid w:val="0033444B"/>
    <w:rsid w:val="00335BB3"/>
    <w:rsid w:val="00390782"/>
    <w:rsid w:val="003D37D8"/>
    <w:rsid w:val="003E043F"/>
    <w:rsid w:val="003E08BC"/>
    <w:rsid w:val="003E20E6"/>
    <w:rsid w:val="00426133"/>
    <w:rsid w:val="004301DF"/>
    <w:rsid w:val="004358AB"/>
    <w:rsid w:val="0046338C"/>
    <w:rsid w:val="004676D5"/>
    <w:rsid w:val="004A4B3E"/>
    <w:rsid w:val="004C7C24"/>
    <w:rsid w:val="004F6FA0"/>
    <w:rsid w:val="00561B99"/>
    <w:rsid w:val="005A35FF"/>
    <w:rsid w:val="005E2D94"/>
    <w:rsid w:val="005E5E9D"/>
    <w:rsid w:val="00641DBA"/>
    <w:rsid w:val="00651445"/>
    <w:rsid w:val="006F25D1"/>
    <w:rsid w:val="006F53CA"/>
    <w:rsid w:val="0070362C"/>
    <w:rsid w:val="00760A65"/>
    <w:rsid w:val="00770246"/>
    <w:rsid w:val="007A2605"/>
    <w:rsid w:val="007A3CB5"/>
    <w:rsid w:val="007F2C5D"/>
    <w:rsid w:val="00885649"/>
    <w:rsid w:val="00886F48"/>
    <w:rsid w:val="008B7726"/>
    <w:rsid w:val="008D492F"/>
    <w:rsid w:val="008E79A4"/>
    <w:rsid w:val="00936CF9"/>
    <w:rsid w:val="00950BD3"/>
    <w:rsid w:val="009C38CA"/>
    <w:rsid w:val="009D13D9"/>
    <w:rsid w:val="009D152B"/>
    <w:rsid w:val="009E7AAC"/>
    <w:rsid w:val="00A17011"/>
    <w:rsid w:val="00A36FAA"/>
    <w:rsid w:val="00A56284"/>
    <w:rsid w:val="00A62911"/>
    <w:rsid w:val="00A741EE"/>
    <w:rsid w:val="00A75348"/>
    <w:rsid w:val="00A93A85"/>
    <w:rsid w:val="00AA72F9"/>
    <w:rsid w:val="00AB2AD7"/>
    <w:rsid w:val="00AB35D4"/>
    <w:rsid w:val="00AB3812"/>
    <w:rsid w:val="00AE73E9"/>
    <w:rsid w:val="00B30D50"/>
    <w:rsid w:val="00B40ADB"/>
    <w:rsid w:val="00B45560"/>
    <w:rsid w:val="00B5073E"/>
    <w:rsid w:val="00B55CFE"/>
    <w:rsid w:val="00B72C84"/>
    <w:rsid w:val="00B75599"/>
    <w:rsid w:val="00BD02F5"/>
    <w:rsid w:val="00BD06A3"/>
    <w:rsid w:val="00BD4562"/>
    <w:rsid w:val="00C118E5"/>
    <w:rsid w:val="00C47255"/>
    <w:rsid w:val="00C67079"/>
    <w:rsid w:val="00CF1A73"/>
    <w:rsid w:val="00D242B6"/>
    <w:rsid w:val="00D25766"/>
    <w:rsid w:val="00D2631B"/>
    <w:rsid w:val="00D31D50"/>
    <w:rsid w:val="00DA2A78"/>
    <w:rsid w:val="00DC39FB"/>
    <w:rsid w:val="00DD5CB0"/>
    <w:rsid w:val="00E33779"/>
    <w:rsid w:val="00E531A8"/>
    <w:rsid w:val="00E577FA"/>
    <w:rsid w:val="00EB7F85"/>
    <w:rsid w:val="00F0737B"/>
    <w:rsid w:val="00F13C38"/>
    <w:rsid w:val="00F4456A"/>
    <w:rsid w:val="00F63E77"/>
    <w:rsid w:val="00F71B6D"/>
    <w:rsid w:val="00FB5B19"/>
    <w:rsid w:val="00FC420B"/>
    <w:rsid w:val="00FC43A7"/>
    <w:rsid w:val="00FD311C"/>
    <w:rsid w:val="0F97300A"/>
    <w:rsid w:val="0FB81855"/>
    <w:rsid w:val="11D226AC"/>
    <w:rsid w:val="19CA0B03"/>
    <w:rsid w:val="1E911C79"/>
    <w:rsid w:val="22297C26"/>
    <w:rsid w:val="3AD60C5E"/>
    <w:rsid w:val="4E8D5680"/>
    <w:rsid w:val="50267B3A"/>
    <w:rsid w:val="51024103"/>
    <w:rsid w:val="533662E6"/>
    <w:rsid w:val="5B4B09B0"/>
    <w:rsid w:val="5BAFE5F1"/>
    <w:rsid w:val="62084049"/>
    <w:rsid w:val="69712D65"/>
    <w:rsid w:val="7A68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15"/>
    <w:qFormat/>
    <w:uiPriority w:val="99"/>
    <w:pPr>
      <w:widowControl w:val="0"/>
      <w:autoSpaceDE w:val="0"/>
      <w:autoSpaceDN w:val="0"/>
      <w:snapToGrid/>
      <w:spacing w:after="0"/>
      <w:outlineLvl w:val="0"/>
    </w:pPr>
    <w:rPr>
      <w:rFonts w:ascii="方正小标宋简体" w:eastAsia="方正小标宋简体" w:hAnsiTheme="minorHAnsi"/>
      <w:sz w:val="24"/>
      <w:szCs w:val="24"/>
    </w:rPr>
  </w:style>
  <w:style w:type="paragraph" w:styleId="4">
    <w:name w:val="heading 2"/>
    <w:basedOn w:val="1"/>
    <w:next w:val="1"/>
    <w:link w:val="16"/>
    <w:qFormat/>
    <w:uiPriority w:val="99"/>
    <w:pPr>
      <w:widowControl w:val="0"/>
      <w:autoSpaceDE w:val="0"/>
      <w:autoSpaceDN w:val="0"/>
      <w:snapToGrid/>
      <w:spacing w:after="0"/>
      <w:outlineLvl w:val="1"/>
    </w:pPr>
    <w:rPr>
      <w:rFonts w:ascii="方正小标宋简体" w:eastAsia="方正小标宋简体" w:hAnsiTheme="minorHAnsi"/>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semiHidden/>
    <w:unhideWhenUsed/>
    <w:qFormat/>
    <w:uiPriority w:val="99"/>
    <w:pPr>
      <w:spacing w:after="120"/>
    </w:pPr>
  </w:style>
  <w:style w:type="paragraph" w:styleId="5">
    <w:name w:val="index 6"/>
    <w:basedOn w:val="1"/>
    <w:next w:val="1"/>
    <w:qFormat/>
    <w:uiPriority w:val="0"/>
    <w:pPr>
      <w:widowControl w:val="0"/>
      <w:adjustRightInd/>
      <w:snapToGrid/>
      <w:spacing w:after="0"/>
      <w:ind w:left="1000" w:leftChars="1000"/>
      <w:jc w:val="both"/>
    </w:pPr>
    <w:rPr>
      <w:rFonts w:asciiTheme="minorHAnsi" w:hAnsiTheme="minorHAnsi" w:eastAsiaTheme="minorEastAsia"/>
      <w:kern w:val="2"/>
      <w:sz w:val="21"/>
      <w:szCs w:val="24"/>
    </w:rPr>
  </w:style>
  <w:style w:type="paragraph" w:styleId="6">
    <w:name w:val="Body Text Indent"/>
    <w:basedOn w:val="1"/>
    <w:link w:val="18"/>
    <w:semiHidden/>
    <w:unhideWhenUsed/>
    <w:qFormat/>
    <w:uiPriority w:val="99"/>
    <w:pPr>
      <w:spacing w:after="120"/>
      <w:ind w:left="420" w:leftChars="200"/>
    </w:pPr>
  </w:style>
  <w:style w:type="paragraph" w:styleId="7">
    <w:name w:val="Balloon Text"/>
    <w:basedOn w:val="1"/>
    <w:link w:val="20"/>
    <w:semiHidden/>
    <w:unhideWhenUsed/>
    <w:qFormat/>
    <w:uiPriority w:val="99"/>
    <w:pPr>
      <w:spacing w:after="0"/>
    </w:pPr>
    <w:rPr>
      <w:sz w:val="18"/>
      <w:szCs w:val="18"/>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1">
    <w:name w:val="Body Text First Indent 2"/>
    <w:basedOn w:val="6"/>
    <w:next w:val="1"/>
    <w:link w:val="19"/>
    <w:qFormat/>
    <w:uiPriority w:val="0"/>
    <w:pPr>
      <w:adjustRightInd/>
      <w:snapToGrid/>
      <w:spacing w:after="0"/>
      <w:ind w:firstLine="420" w:firstLineChars="200"/>
    </w:pPr>
    <w:rPr>
      <w:rFonts w:ascii="Calibri" w:hAnsi="Calibri" w:cs="Times New Roman" w:eastAsiaTheme="minorEastAsia"/>
      <w:sz w:val="24"/>
      <w:szCs w:val="24"/>
    </w:rPr>
  </w:style>
  <w:style w:type="character" w:styleId="14">
    <w:name w:val="Strong"/>
    <w:basedOn w:val="13"/>
    <w:qFormat/>
    <w:uiPriority w:val="99"/>
    <w:rPr>
      <w:b/>
    </w:rPr>
  </w:style>
  <w:style w:type="character" w:customStyle="1" w:styleId="15">
    <w:name w:val="标题 1 Char"/>
    <w:basedOn w:val="13"/>
    <w:link w:val="3"/>
    <w:qFormat/>
    <w:uiPriority w:val="99"/>
    <w:rPr>
      <w:rFonts w:ascii="方正小标宋简体" w:eastAsia="方正小标宋简体"/>
      <w:sz w:val="24"/>
      <w:szCs w:val="24"/>
    </w:rPr>
  </w:style>
  <w:style w:type="character" w:customStyle="1" w:styleId="16">
    <w:name w:val="标题 2 Char"/>
    <w:basedOn w:val="13"/>
    <w:link w:val="4"/>
    <w:qFormat/>
    <w:uiPriority w:val="99"/>
    <w:rPr>
      <w:rFonts w:ascii="方正小标宋简体" w:eastAsia="方正小标宋简体"/>
      <w:sz w:val="24"/>
      <w:szCs w:val="24"/>
    </w:rPr>
  </w:style>
  <w:style w:type="paragraph" w:customStyle="1" w:styleId="17">
    <w:name w:val="Default"/>
    <w:qFormat/>
    <w:uiPriority w:val="99"/>
    <w:pPr>
      <w:widowControl w:val="0"/>
      <w:autoSpaceDE w:val="0"/>
      <w:autoSpaceDN w:val="0"/>
      <w:adjustRightInd w:val="0"/>
      <w:spacing w:after="0" w:line="240" w:lineRule="auto"/>
    </w:pPr>
    <w:rPr>
      <w:rFonts w:ascii="Calibri" w:hAnsi="Calibri" w:eastAsia="宋体" w:cs="宋体"/>
      <w:color w:val="000000"/>
      <w:sz w:val="24"/>
      <w:szCs w:val="24"/>
      <w:lang w:val="en-US" w:eastAsia="zh-CN" w:bidi="ar-SA"/>
    </w:rPr>
  </w:style>
  <w:style w:type="character" w:customStyle="1" w:styleId="18">
    <w:name w:val="正文文本缩进 Char"/>
    <w:basedOn w:val="13"/>
    <w:link w:val="6"/>
    <w:semiHidden/>
    <w:qFormat/>
    <w:uiPriority w:val="99"/>
    <w:rPr>
      <w:rFonts w:ascii="Tahoma" w:hAnsi="Tahoma"/>
    </w:rPr>
  </w:style>
  <w:style w:type="character" w:customStyle="1" w:styleId="19">
    <w:name w:val="正文首行缩进 2 Char"/>
    <w:basedOn w:val="18"/>
    <w:link w:val="11"/>
    <w:qFormat/>
    <w:uiPriority w:val="0"/>
    <w:rPr>
      <w:rFonts w:ascii="Calibri" w:hAnsi="Calibri" w:cs="Times New Roman" w:eastAsiaTheme="minorEastAsia"/>
      <w:sz w:val="24"/>
      <w:szCs w:val="24"/>
    </w:rPr>
  </w:style>
  <w:style w:type="character" w:customStyle="1" w:styleId="20">
    <w:name w:val="批注框文本 Char"/>
    <w:basedOn w:val="13"/>
    <w:link w:val="7"/>
    <w:semiHidden/>
    <w:qFormat/>
    <w:uiPriority w:val="99"/>
    <w:rPr>
      <w:rFonts w:ascii="Tahoma" w:hAnsi="Tahoma"/>
      <w:sz w:val="18"/>
      <w:szCs w:val="18"/>
    </w:rPr>
  </w:style>
  <w:style w:type="table" w:customStyle="1" w:styleId="21">
    <w:name w:val="Table Normal"/>
    <w:semiHidden/>
    <w:unhideWhenUsed/>
    <w:qFormat/>
    <w:uiPriority w:val="0"/>
    <w:pPr>
      <w:spacing w:after="0" w:line="240" w:lineRule="auto"/>
    </w:pPr>
    <w:rPr>
      <w:rFonts w:ascii="Times New Roman" w:hAnsi="Times New Roman" w:eastAsia="宋体" w:cs="Times New Roman"/>
      <w:sz w:val="20"/>
      <w:szCs w:val="20"/>
    </w:rPr>
    <w:tblPr>
      <w:tblCellMar>
        <w:top w:w="0" w:type="dxa"/>
        <w:left w:w="0" w:type="dxa"/>
        <w:bottom w:w="0" w:type="dxa"/>
        <w:right w:w="0" w:type="dxa"/>
      </w:tblCellMar>
    </w:tblPr>
  </w:style>
  <w:style w:type="paragraph" w:styleId="22">
    <w:name w:val="List Paragraph"/>
    <w:basedOn w:val="1"/>
    <w:unhideWhenUsed/>
    <w:qFormat/>
    <w:uiPriority w:val="99"/>
    <w:pPr>
      <w:widowControl w:val="0"/>
      <w:adjustRightInd/>
      <w:snapToGrid/>
      <w:spacing w:after="0"/>
      <w:ind w:firstLine="420" w:firstLineChars="200"/>
      <w:jc w:val="both"/>
    </w:pPr>
    <w:rPr>
      <w:rFonts w:asciiTheme="minorHAnsi" w:hAnsiTheme="minorHAnsi" w:eastAsiaTheme="minorEastAsia"/>
      <w:kern w:val="2"/>
      <w:sz w:val="21"/>
      <w:szCs w:val="24"/>
    </w:rPr>
  </w:style>
  <w:style w:type="character" w:customStyle="1" w:styleId="23">
    <w:name w:val="正文文本 Char"/>
    <w:basedOn w:val="13"/>
    <w:link w:val="2"/>
    <w:semiHidden/>
    <w:qFormat/>
    <w:uiPriority w:val="99"/>
    <w:rPr>
      <w:rFonts w:ascii="Tahoma" w:hAnsi="Tahom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t>收、支决算总计变动情况图</a:t>
            </a:r>
            <a:endParaRPr lang="zh-CN"/>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1393.93</c:v>
                </c:pt>
                <c:pt idx="1">
                  <c:v>1550.56</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1393.93</c:v>
                </c:pt>
                <c:pt idx="1">
                  <c:v>1550.56</c:v>
                </c:pt>
              </c:numCache>
            </c:numRef>
          </c:val>
        </c:ser>
        <c:dLbls>
          <c:showLegendKey val="false"/>
          <c:showVal val="true"/>
          <c:showCatName val="false"/>
          <c:showSerName val="false"/>
          <c:showPercent val="false"/>
          <c:showBubbleSize val="false"/>
        </c:dLbls>
        <c:gapWidth val="219"/>
        <c:overlap val="-27"/>
        <c:axId val="109515904"/>
        <c:axId val="138708480"/>
      </c:barChart>
      <c:catAx>
        <c:axId val="109515904"/>
        <c:scaling>
          <c:orientation val="minMax"/>
        </c:scaling>
        <c:delete val="false"/>
        <c:axPos val="b"/>
        <c:title>
          <c:tx>
            <c:rich>
              <a:bodyPr rot="0" spcFirstLastPara="1"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r>
                  <a:rPr lang="zh-CN"/>
                  <a:t>年度</a:t>
                </a:r>
                <a:endParaRPr lang="zh-CN"/>
              </a:p>
            </c:rich>
          </c:tx>
          <c:layout>
            <c:manualLayout>
              <c:xMode val="edge"/>
              <c:yMode val="edge"/>
              <c:x val="0.907042058582073"/>
              <c:y val="0.776965294198913"/>
            </c:manualLayout>
          </c:layout>
          <c:overlay val="false"/>
          <c:spPr>
            <a:noFill/>
            <a:ln>
              <a:noFill/>
            </a:ln>
            <a:effectLst/>
          </c:spPr>
        </c:title>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8708480"/>
        <c:crosses val="autoZero"/>
        <c:auto val="true"/>
        <c:lblAlgn val="ctr"/>
        <c:lblOffset val="100"/>
        <c:noMultiLvlLbl val="false"/>
      </c:catAx>
      <c:valAx>
        <c:axId val="138708480"/>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r>
                  <a:rPr lang="zh-CN"/>
                  <a:t>万元</a:t>
                </a:r>
                <a:endParaRPr lang="zh-CN"/>
              </a:p>
            </c:rich>
          </c:tx>
          <c:layout>
            <c:manualLayout>
              <c:xMode val="edge"/>
              <c:yMode val="edge"/>
              <c:x val="0.0192631832410309"/>
              <c:y val="0.143625622648561"/>
            </c:manualLayout>
          </c:layout>
          <c:overlay val="false"/>
          <c:spPr>
            <a:noFill/>
            <a:ln>
              <a:noFill/>
            </a:ln>
            <a:effectLst/>
          </c:spPr>
        </c:title>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9515904"/>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ysClr val="windowText" lastClr="000000"/>
                </a:solidFill>
                <a:latin typeface="+mn-lt"/>
                <a:ea typeface="+mn-ea"/>
                <a:cs typeface="+mn-cs"/>
              </a:defRPr>
            </a:pPr>
            <a:r>
              <a:rPr lang="zh-CN">
                <a:solidFill>
                  <a:sysClr val="windowText" lastClr="000000"/>
                </a:solidFill>
              </a:rPr>
              <a:t>收入决算结构图</a:t>
            </a:r>
            <a:endParaRPr lang="zh-CN">
              <a:solidFill>
                <a:sysClr val="windowText" lastClr="000000"/>
              </a:solidFill>
            </a:endParaRPr>
          </a:p>
        </c:rich>
      </c:tx>
      <c:layout>
        <c:manualLayout>
          <c:xMode val="edge"/>
          <c:yMode val="edge"/>
          <c:x val="0.37504496126378"/>
          <c:y val="0.0399644760213144"/>
        </c:manualLayout>
      </c:layout>
      <c:overlay val="false"/>
      <c:spPr>
        <a:noFill/>
        <a:ln>
          <a:noFill/>
        </a:ln>
        <a:effectLst/>
      </c:spPr>
    </c:title>
    <c:autoTitleDeleted val="false"/>
    <c:plotArea>
      <c:layout/>
      <c:pieChart>
        <c:varyColors val="true"/>
        <c:ser>
          <c:idx val="0"/>
          <c:order val="0"/>
          <c:tx>
            <c:strRef>
              <c:f>Sheet1!$B$1</c:f>
              <c:strCache>
                <c:ptCount val="1"/>
                <c:pt idx="0">
                  <c:v>2023年收入决算结构图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00624100593252962"/>
                  <c:y val="-0.236950528697839"/>
                </c:manualLayout>
              </c:layout>
              <c:tx>
                <c:rich>
                  <a:bodyPr rot="0" spcFirstLastPara="1" vertOverflow="ellipsis"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1550.56</a:t>
                    </a:r>
                    <a:r>
                      <a:rPr lang="zh-CN" altLang="en-US"/>
                      <a:t>万元，</a:t>
                    </a:r>
                    <a:endParaRPr lang="zh-CN" altLang="en-US"/>
                  </a:p>
                  <a:p>
                    <a:pPr>
                      <a:defRPr lang="zh-CN" sz="900" b="0" i="0" u="none" strike="noStrike" kern="1200" baseline="0">
                        <a:solidFill>
                          <a:sysClr val="windowText" lastClr="000000"/>
                        </a:solidFill>
                        <a:latin typeface="+mn-lt"/>
                        <a:ea typeface="+mn-ea"/>
                        <a:cs typeface="+mn-cs"/>
                      </a:defRPr>
                    </a:pPr>
                    <a:r>
                      <a:rPr lang="en-US" altLang="zh-CN"/>
                      <a:t>100%</a:t>
                    </a:r>
                    <a:endParaRPr lang="zh-CN"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ysClr val="windowText" lastClr="000000"/>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0%</c:formatCode>
                <c:ptCount val="2"/>
                <c:pt idx="0">
                  <c:v>1</c:v>
                </c:pt>
                <c:pt idx="1">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ysClr val="windowText" lastClr="000000"/>
                </a:solidFill>
                <a:latin typeface="+mn-lt"/>
                <a:ea typeface="+mn-ea"/>
                <a:cs typeface="+mn-cs"/>
              </a:defRPr>
            </a:pPr>
            <a:r>
              <a:rPr altLang="en-US"/>
              <a:t>支出决算结构图</a:t>
            </a:r>
            <a:endParaRPr altLang="en-US"/>
          </a:p>
        </c:rich>
      </c:tx>
      <c:layout>
        <c:manualLayout>
          <c:xMode val="edge"/>
          <c:yMode val="edge"/>
          <c:x val="0.372057840989552"/>
          <c:y val="0.0283620893405813"/>
        </c:manualLayout>
      </c:layout>
      <c:overlay val="false"/>
      <c:spPr>
        <a:noFill/>
        <a:ln>
          <a:noFill/>
        </a:ln>
        <a:effectLst/>
      </c:spPr>
    </c:title>
    <c:autoTitleDeleted val="false"/>
    <c:plotArea>
      <c:layout/>
      <c:pieChart>
        <c:varyColors val="true"/>
        <c:ser>
          <c:idx val="0"/>
          <c:order val="0"/>
          <c:tx>
            <c:strRef>
              <c:f>Sheet1!$B$1</c:f>
              <c:strCache>
                <c:ptCount val="1"/>
                <c:pt idx="0">
                  <c:v>2022年支出决算结构图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1392.05</a:t>
                    </a:r>
                    <a:r>
                      <a:rPr lang="zh-CN" altLang="en-US" sz="800" b="0" i="0" u="none" strike="noStrike" kern="1200" baseline="0">
                        <a:solidFill>
                          <a:sysClr val="windowText" lastClr="000000"/>
                        </a:solidFill>
                      </a:rPr>
                      <a:t>万元，</a:t>
                    </a:r>
                    <a:r>
                      <a:rPr lang="en-US" altLang="zh-CN" sz="800" b="0" i="0" u="none" strike="noStrike" kern="1200" baseline="0">
                        <a:solidFill>
                          <a:sysClr val="windowText" lastClr="000000"/>
                        </a:solidFill>
                      </a:rPr>
                      <a:t>89.8%</a:t>
                    </a:r>
                    <a:endParaRPr lang="en-US" altLang="zh-CN" sz="800" b="0" i="0" u="none" strike="noStrike" kern="1200" baseline="0">
                      <a:solidFill>
                        <a:sysClr val="windowText" lastClr="000000"/>
                      </a:solidFill>
                    </a:endParaRPr>
                  </a:p>
                </c:rich>
              </c:tx>
              <c:dLblPos val="ctr"/>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158.51</a:t>
                    </a:r>
                    <a:r>
                      <a:rPr lang="zh-CN" altLang="en-US">
                        <a:solidFill>
                          <a:sysClr val="windowText" lastClr="000000"/>
                        </a:solidFill>
                      </a:rPr>
                      <a:t>万元</a:t>
                    </a:r>
                    <a:endParaRPr lang="zh-CN" altLang="en-US">
                      <a:solidFill>
                        <a:sysClr val="windowText" lastClr="000000"/>
                      </a:solidFill>
                    </a:endParaRPr>
                  </a:p>
                  <a:p>
                    <a:pPr>
                      <a:defRPr lang="zh-CN" sz="900" b="0" i="0" u="none" strike="noStrike" kern="1200" baseline="0">
                        <a:solidFill>
                          <a:sysClr val="windowText" lastClr="000000"/>
                        </a:solidFill>
                        <a:latin typeface="+mn-lt"/>
                        <a:ea typeface="+mn-ea"/>
                        <a:cs typeface="+mn-cs"/>
                      </a:defRPr>
                    </a:pPr>
                    <a:r>
                      <a:rPr lang="en-US" altLang="zh-CN" baseline="0">
                        <a:solidFill>
                          <a:sysClr val="windowText" lastClr="000000"/>
                        </a:solidFill>
                      </a:rPr>
                      <a:t>, 10.2%</a:t>
                    </a:r>
                    <a:endParaRPr lang="en-US" altLang="zh-CN" baseline="0">
                      <a:solidFill>
                        <a:sysClr val="windowText" lastClr="000000"/>
                      </a:solidFill>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ysClr val="windowText" lastClr="000000"/>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1193.93</c:v>
                </c:pt>
                <c:pt idx="1">
                  <c:v>200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egendEntry>
        <c:idx val="0"/>
        <c:txPr>
          <a:bodyPr rot="0" spcFirstLastPara="1"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1"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Entry>
      <c:layout/>
      <c:overlay val="false"/>
      <c:spPr>
        <a:noFill/>
        <a:ln>
          <a:noFill/>
        </a:ln>
        <a:effectLst/>
      </c:spPr>
      <c:txPr>
        <a:bodyPr rot="0" spcFirstLastPara="1"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ysClr val="windowText" lastClr="000000"/>
                </a:solidFill>
                <a:latin typeface="+mn-lt"/>
                <a:ea typeface="+mn-ea"/>
                <a:cs typeface="+mn-cs"/>
              </a:defRPr>
            </a:pPr>
            <a:r>
              <a:rPr lang="zh-CN" altLang="en-US">
                <a:solidFill>
                  <a:sysClr val="windowText" lastClr="000000"/>
                </a:solidFill>
              </a:rPr>
              <a:t>财政拨款收、支决算总计变动情况</a:t>
            </a:r>
            <a:endParaRPr lang="zh-CN">
              <a:solidFill>
                <a:sysClr val="windowText" lastClr="000000"/>
              </a:solidFill>
            </a:endParaRPr>
          </a:p>
        </c:rich>
      </c:tx>
      <c:layout>
        <c:manualLayout>
          <c:xMode val="edge"/>
          <c:yMode val="edge"/>
          <c:x val="0.24054044595777"/>
          <c:y val="0.0264491955036369"/>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1393.93</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1550.56</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1393.93</c:v>
                </c:pt>
                <c:pt idx="1">
                  <c:v>1550.56</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1393.93</c:v>
                </c:pt>
                <c:pt idx="1">
                  <c:v>1550.56</c:v>
                </c:pt>
              </c:numCache>
            </c:numRef>
          </c:val>
        </c:ser>
        <c:dLbls>
          <c:showLegendKey val="false"/>
          <c:showVal val="true"/>
          <c:showCatName val="false"/>
          <c:showSerName val="false"/>
          <c:showPercent val="false"/>
          <c:showBubbleSize val="false"/>
        </c:dLbls>
        <c:gapWidth val="219"/>
        <c:overlap val="-27"/>
        <c:axId val="90270720"/>
        <c:axId val="90272896"/>
      </c:barChart>
      <c:catAx>
        <c:axId val="90270720"/>
        <c:scaling>
          <c:orientation val="minMax"/>
        </c:scaling>
        <c:delete val="false"/>
        <c:axPos val="b"/>
        <c:title>
          <c:tx>
            <c:rich>
              <a:bodyPr rot="0" spcFirstLastPara="1"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r>
                  <a:rPr lang="zh-CN" altLang="en-US"/>
                  <a:t>年度</a:t>
                </a:r>
                <a:endParaRPr lang="en-US" altLang="zh-CN"/>
              </a:p>
            </c:rich>
          </c:tx>
          <c:layout>
            <c:manualLayout>
              <c:xMode val="edge"/>
              <c:yMode val="edge"/>
              <c:x val="0.907042058582073"/>
              <c:y val="0.781733258574883"/>
            </c:manualLayout>
          </c:layout>
          <c:overlay val="false"/>
          <c:spPr>
            <a:noFill/>
            <a:ln>
              <a:noFill/>
            </a:ln>
            <a:effectLst/>
          </c:spPr>
        </c:title>
        <c:numFmt formatCode="General" sourceLinked="true"/>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272896"/>
        <c:crosses val="autoZero"/>
        <c:auto val="true"/>
        <c:lblAlgn val="ctr"/>
        <c:lblOffset val="100"/>
        <c:noMultiLvlLbl val="false"/>
      </c:catAx>
      <c:valAx>
        <c:axId val="90272896"/>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r>
                  <a:rPr lang="zh-CN" altLang="en-US"/>
                  <a:t>万元</a:t>
                </a:r>
                <a:endParaRPr lang="zh-CN" altLang="en-US"/>
              </a:p>
            </c:rich>
          </c:tx>
          <c:layout>
            <c:manualLayout>
              <c:xMode val="edge"/>
              <c:yMode val="edge"/>
              <c:x val="0.0240789790512882"/>
              <c:y val="0.143780340150981"/>
            </c:manualLayout>
          </c:layout>
          <c:overlay val="false"/>
          <c:spPr>
            <a:noFill/>
            <a:ln>
              <a:noFill/>
            </a:ln>
            <a:effectLst/>
          </c:spPr>
        </c:title>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270720"/>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ysClr val="windowText" lastClr="000000"/>
                </a:solidFill>
                <a:latin typeface="+mn-lt"/>
                <a:ea typeface="+mn-ea"/>
                <a:cs typeface="+mn-cs"/>
              </a:defRPr>
            </a:pPr>
            <a:r>
              <a:rPr lang="zh-CN" altLang="zh-CN" sz="1400" b="0" i="0" u="none" strike="noStrike" baseline="0">
                <a:solidFill>
                  <a:sysClr val="windowText" lastClr="000000"/>
                </a:solidFill>
                <a:effectLst/>
              </a:rPr>
              <a:t>一般公共预算财政拨款支出决算变动情况</a:t>
            </a:r>
            <a:endParaRPr lang="zh-CN">
              <a:solidFill>
                <a:sysClr val="windowText" lastClr="000000"/>
              </a:solidFill>
            </a:endParaRPr>
          </a:p>
        </c:rich>
      </c:tx>
      <c:layout>
        <c:manualLayout>
          <c:xMode val="edge"/>
          <c:yMode val="edge"/>
          <c:x val="0.191974396895492"/>
          <c:y val="0.0399315459212779"/>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支出</c:v>
                </c:pt>
              </c:strCache>
            </c:strRef>
          </c:tx>
          <c:spPr>
            <a:solidFill>
              <a:schemeClr val="accent1"/>
            </a:solidFill>
            <a:ln>
              <a:noFill/>
            </a:ln>
            <a:effectLst/>
          </c:spPr>
          <c:invertIfNegative val="false"/>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1393.93</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1550.56</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1393.93</c:v>
                </c:pt>
                <c:pt idx="1">
                  <c:v>1550.56</c:v>
                </c:pt>
              </c:numCache>
            </c:numRef>
          </c:val>
        </c:ser>
        <c:dLbls>
          <c:showLegendKey val="false"/>
          <c:showVal val="true"/>
          <c:showCatName val="false"/>
          <c:showSerName val="false"/>
          <c:showPercent val="false"/>
          <c:showBubbleSize val="false"/>
        </c:dLbls>
        <c:gapWidth val="219"/>
        <c:overlap val="-27"/>
        <c:axId val="90293760"/>
        <c:axId val="90295680"/>
      </c:barChart>
      <c:catAx>
        <c:axId val="90293760"/>
        <c:scaling>
          <c:orientation val="minMax"/>
        </c:scaling>
        <c:delete val="false"/>
        <c:axPos val="b"/>
        <c:title>
          <c:tx>
            <c:rich>
              <a:bodyPr rot="0" spcFirstLastPara="1"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r>
                  <a:rPr lang="zh-CN" altLang="en-US"/>
                  <a:t>年度</a:t>
                </a:r>
                <a:endParaRPr lang="en-US" altLang="zh-CN"/>
              </a:p>
            </c:rich>
          </c:tx>
          <c:layout>
            <c:manualLayout>
              <c:xMode val="edge"/>
              <c:yMode val="edge"/>
              <c:x val="0.907042058582073"/>
              <c:y val="0.781733258574883"/>
            </c:manualLayout>
          </c:layout>
          <c:overlay val="false"/>
          <c:spPr>
            <a:noFill/>
            <a:ln>
              <a:noFill/>
            </a:ln>
            <a:effectLst/>
          </c:spPr>
        </c:title>
        <c:numFmt formatCode="General" sourceLinked="true"/>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295680"/>
        <c:crosses val="autoZero"/>
        <c:auto val="true"/>
        <c:lblAlgn val="ctr"/>
        <c:lblOffset val="100"/>
        <c:noMultiLvlLbl val="false"/>
      </c:catAx>
      <c:valAx>
        <c:axId val="90295680"/>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r>
                  <a:rPr lang="zh-CN" altLang="en-US"/>
                  <a:t>万元</a:t>
                </a:r>
                <a:endParaRPr lang="zh-CN" altLang="en-US"/>
              </a:p>
            </c:rich>
          </c:tx>
          <c:layout>
            <c:manualLayout>
              <c:xMode val="edge"/>
              <c:yMode val="edge"/>
              <c:x val="0.0240789790512882"/>
              <c:y val="0.143780340150981"/>
            </c:manualLayout>
          </c:layout>
          <c:overlay val="false"/>
          <c:spPr>
            <a:noFill/>
            <a:ln>
              <a:noFill/>
            </a:ln>
            <a:effectLst/>
          </c:spPr>
        </c:title>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293760"/>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1062447620987"/>
          <c:y val="0.061960481846155"/>
        </c:manualLayout>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ysClr val="windowText" lastClr="000000"/>
              </a:solidFill>
              <a:latin typeface="+mn-lt"/>
              <a:ea typeface="+mn-ea"/>
              <a:cs typeface="+mn-cs"/>
            </a:defRPr>
          </a:pPr>
        </a:p>
      </c:txPr>
    </c:title>
    <c:autoTitleDeleted val="false"/>
    <c:plotArea>
      <c:layout>
        <c:manualLayout>
          <c:layoutTarget val="inner"/>
          <c:xMode val="edge"/>
          <c:yMode val="edge"/>
          <c:x val="0.343130004119299"/>
          <c:y val="0.191077417244729"/>
          <c:w val="0.318550575044628"/>
          <c:h val="0.547375084004146"/>
        </c:manualLayout>
      </c:layout>
      <c:pieChart>
        <c:varyColors val="true"/>
        <c:ser>
          <c:idx val="0"/>
          <c:order val="0"/>
          <c:tx>
            <c:strRef>
              <c:f>Sheet1!$B$1</c:f>
              <c:strCache>
                <c:ptCount val="1"/>
                <c:pt idx="0">
                  <c:v>一般公共预算财政拨款支出决算结构图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dLbl>
              <c:idx val="0"/>
              <c:layout/>
              <c:tx>
                <c:rich>
                  <a:bodyPr rot="0" spcFirstLastPara="1" vertOverflow="clip"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822.65</a:t>
                    </a:r>
                    <a:r>
                      <a:rPr lang="zh-CN" altLang="en-US"/>
                      <a:t>万元</a:t>
                    </a:r>
                    <a:r>
                      <a:rPr lang="en-US" altLang="zh-CN" baseline="0"/>
                      <a:t>, 53. 1%</a:t>
                    </a:r>
                    <a:endParaRPr lang="en-US" altLang="zh-CN" baseline="0"/>
                  </a:p>
                </c:rich>
              </c:tx>
              <c:dLblPos val="outEnd"/>
              <c:showLegendKey val="false"/>
              <c:showVal val="true"/>
              <c:showCatName val="false"/>
              <c:showSerName val="false"/>
              <c:showPercent val="true"/>
              <c:showBubbleSize val="false"/>
              <c:extLst>
                <c:ext xmlns:c15="http://schemas.microsoft.com/office/drawing/2012/chart" uri="{CE6537A1-D6FC-4f65-9D91-7224C49458BB}"/>
              </c:extLst>
            </c:dLbl>
            <c:dLbl>
              <c:idx val="1"/>
              <c:layout>
                <c:manualLayout>
                  <c:x val="0.32700121668465"/>
                  <c:y val="0.00780581736651727"/>
                </c:manualLayout>
              </c:layout>
              <c:tx>
                <c:rich>
                  <a:bodyPr rot="0" spcFirstLastPara="1" vertOverflow="clip"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119.42</a:t>
                    </a:r>
                    <a:r>
                      <a:rPr lang="zh-CN" altLang="en-US"/>
                      <a:t>万元</a:t>
                    </a:r>
                    <a:r>
                      <a:rPr lang="en-US" altLang="zh-CN" baseline="0"/>
                      <a:t>, 7.7%</a:t>
                    </a:r>
                    <a:endParaRPr lang="en-US" altLang="zh-CN" baseline="0"/>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456012992362726"/>
                  <c:y val="-0.11558807783869"/>
                </c:manualLayout>
              </c:layout>
              <c:tx>
                <c:rich>
                  <a:bodyPr rot="0" spcFirstLastPara="1" vertOverflow="clip"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11</a:t>
                    </a:r>
                    <a:r>
                      <a:rPr lang="zh-CN" altLang="en-US"/>
                      <a:t>万元</a:t>
                    </a:r>
                    <a:r>
                      <a:rPr lang="en-US" altLang="zh-CN" baseline="0"/>
                      <a:t>, 0.7%</a:t>
                    </a:r>
                    <a:endParaRPr lang="en-US" altLang="zh-CN" baseline="0"/>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3"/>
              <c:layout>
                <c:manualLayout>
                  <c:x val="0.00240529164161156"/>
                  <c:y val="0.037197768133912"/>
                </c:manualLayout>
              </c:layout>
              <c:tx>
                <c:rich>
                  <a:bodyPr rot="0" spcFirstLastPara="1" vertOverflow="clip"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29.85</a:t>
                    </a:r>
                    <a:r>
                      <a:rPr lang="zh-CN" altLang="en-US"/>
                      <a:t>万元</a:t>
                    </a:r>
                    <a:r>
                      <a:rPr lang="en-US" altLang="zh-CN" baseline="0"/>
                      <a:t>, 1.9%</a:t>
                    </a:r>
                    <a:endParaRPr lang="en-US" altLang="zh-CN" baseline="0"/>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0698290902412709"/>
                  <c:y val="0.0529518087057685"/>
                </c:manualLayout>
              </c:layout>
              <c:tx>
                <c:rich>
                  <a:bodyPr rot="0" spcFirstLastPara="1" vertOverflow="clip"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509.33</a:t>
                    </a:r>
                    <a:r>
                      <a:rPr lang="zh-CN" altLang="en-US"/>
                      <a:t>万元</a:t>
                    </a:r>
                    <a:r>
                      <a:rPr lang="en-US" altLang="zh-CN" baseline="0"/>
                      <a:t>, 32..8%</a:t>
                    </a:r>
                    <a:endParaRPr lang="en-US" altLang="zh-CN" baseline="0"/>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5"/>
              <c:layout>
                <c:manualLayout>
                  <c:x val="-0.130169188035169"/>
                  <c:y val="0.106344455315574"/>
                </c:manualLayout>
              </c:layout>
              <c:tx>
                <c:rich>
                  <a:bodyPr rot="0" spcFirstLastPara="1" vertOverflow="clip"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58.3</a:t>
                    </a:r>
                    <a:r>
                      <a:rPr lang="zh-CN" altLang="en-US"/>
                      <a:t>万元</a:t>
                    </a:r>
                    <a:r>
                      <a:rPr lang="en-US" altLang="zh-CN" baseline="0"/>
                      <a:t>, 3.8%</a:t>
                    </a:r>
                    <a:endParaRPr lang="en-US" altLang="zh-CN" baseline="0"/>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true">
                <a:spAutoFit/>
              </a:bodyPr>
              <a:lstStyle/>
              <a:p>
                <a:pPr>
                  <a:defRPr lang="zh-CN" sz="900" b="0" i="0" u="none" strike="noStrike" kern="1200" baseline="0">
                    <a:solidFill>
                      <a:sysClr val="windowText" lastClr="000000"/>
                    </a:solidFill>
                    <a:latin typeface="+mn-lt"/>
                    <a:ea typeface="+mn-ea"/>
                    <a:cs typeface="+mn-cs"/>
                  </a:defRPr>
                </a:pPr>
              </a:p>
            </c:txPr>
            <c:dLblPos val="outEnd"/>
            <c:showLegendKey val="false"/>
            <c:showVal val="true"/>
            <c:showCatName val="false"/>
            <c:showSerName val="false"/>
            <c:showPercent val="true"/>
            <c:showBubbleSize val="false"/>
            <c:showLeaderLines val="true"/>
            <c:extLst>
              <c:ext xmlns:c15="http://schemas.microsoft.com/office/drawing/2012/chart" uri="{CE6537A1-D6FC-4f65-9D91-7224C49458BB}">
                <c15:spPr xmlns:c15="http://schemas.microsoft.com/office/drawing/2012/chart">
                  <a:prstGeom prst="wedgeRectCallout">
                    <a:avLst/>
                  </a:prstGeom>
                  <a:noFill/>
                  <a:ln>
                    <a:noFill/>
                  </a:ln>
                </c15:spPr>
                <c15:layout/>
                <c15:showLeaderLines val="true"/>
                <c15:leaderLines/>
              </c:ext>
            </c:extLst>
          </c:dLbls>
          <c:cat>
            <c:strRef>
              <c:f>Sheet1!$A$2:$A$7</c:f>
              <c:strCache>
                <c:ptCount val="6"/>
                <c:pt idx="0">
                  <c:v>一般公共服务支出</c:v>
                </c:pt>
                <c:pt idx="1">
                  <c:v>社会保障和就业支出</c:v>
                </c:pt>
                <c:pt idx="2">
                  <c:v>卫生健康支出</c:v>
                </c:pt>
                <c:pt idx="3">
                  <c:v>城乡社区支出</c:v>
                </c:pt>
                <c:pt idx="4">
                  <c:v>农林水支出</c:v>
                </c:pt>
                <c:pt idx="5">
                  <c:v>住房保障支出</c:v>
                </c:pt>
              </c:strCache>
            </c:strRef>
          </c:cat>
          <c:val>
            <c:numRef>
              <c:f>Sheet1!$B$2:$B$7</c:f>
              <c:numCache>
                <c:formatCode>General</c:formatCode>
                <c:ptCount val="6"/>
                <c:pt idx="0">
                  <c:v>882.65</c:v>
                </c:pt>
                <c:pt idx="1">
                  <c:v>119.42</c:v>
                </c:pt>
                <c:pt idx="2">
                  <c:v>29.85</c:v>
                </c:pt>
                <c:pt idx="3">
                  <c:v>11</c:v>
                </c:pt>
                <c:pt idx="4">
                  <c:v>509.33</c:v>
                </c:pt>
                <c:pt idx="5">
                  <c:v>58.3</c:v>
                </c:pt>
              </c:numCache>
            </c:numRef>
          </c:val>
        </c:ser>
        <c:dLbls>
          <c:showLegendKey val="false"/>
          <c:showVal val="true"/>
          <c:showCatName val="false"/>
          <c:showSerName val="false"/>
          <c:showPercent val="true"/>
          <c:showBubbleSize val="false"/>
          <c:showLeaderLines val="true"/>
        </c:dLbls>
        <c:firstSliceAng val="0"/>
      </c:pieChart>
      <c:spPr>
        <a:noFill/>
        <a:ln>
          <a:noFill/>
        </a:ln>
        <a:effectLst/>
      </c:spPr>
    </c:plotArea>
    <c:legend>
      <c:legendPos val="b"/>
      <c:layout>
        <c:manualLayout>
          <c:xMode val="edge"/>
          <c:yMode val="edge"/>
          <c:x val="0.106718356633992"/>
          <c:y val="0.792022126586002"/>
          <c:w val="0.78656298169808"/>
          <c:h val="0.202787840374444"/>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39"/>
    </mc:Choice>
    <mc:Fallback>
      <c:style val="39"/>
    </mc:Fallback>
  </mc:AlternateContent>
  <c:chart>
    <c:title>
      <c:tx>
        <c:rich>
          <a:bodyPr rot="0" spcFirstLastPara="0" vertOverflow="ellipsis" vert="horz" wrap="square" anchor="ctr" anchorCtr="true"/>
          <a:lstStyle/>
          <a:p>
            <a:pPr>
              <a:defRPr lang="zh-CN" sz="1800" b="1" i="0" u="none" strike="noStrike" kern="1200" baseline="0">
                <a:solidFill>
                  <a:schemeClr val="dk1"/>
                </a:solidFill>
                <a:latin typeface="+mn-lt"/>
                <a:ea typeface="+mn-ea"/>
                <a:cs typeface="+mn-cs"/>
              </a:defRPr>
            </a:pPr>
            <a:r>
              <a:rPr lang="zh-CN"/>
              <a:t>三公”经费财政拨款支出结构图</a:t>
            </a:r>
            <a:endParaRPr lang="zh-CN"/>
          </a:p>
        </c:rich>
      </c:tx>
      <c:layout/>
      <c:overlay val="false"/>
    </c:title>
    <c:autoTitleDeleted val="false"/>
    <c:plotArea>
      <c:layout/>
      <c:pieChart>
        <c:varyColors val="true"/>
        <c:ser>
          <c:idx val="0"/>
          <c:order val="0"/>
          <c:explosion val="0"/>
          <c:dPt>
            <c:idx val="0"/>
            <c:bubble3D val="false"/>
          </c:dPt>
          <c:dPt>
            <c:idx val="1"/>
            <c:bubble3D val="false"/>
          </c:dPt>
          <c:dPt>
            <c:idx val="2"/>
            <c:bubble3D val="false"/>
          </c:dPt>
          <c:dLbls>
            <c:dLbl>
              <c:idx val="0"/>
              <c:layout>
                <c:manualLayout>
                  <c:x val="-0.358333938702909"/>
                  <c:y val="0.437161523728453"/>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dk1"/>
                        </a:solidFill>
                        <a:latin typeface="+mn-lt"/>
                        <a:ea typeface="+mn-ea"/>
                        <a:cs typeface="+mn-cs"/>
                      </a:defRPr>
                    </a:pPr>
                    <a:r>
                      <a:rPr lang="zh-CN" altLang="en-US">
                        <a:solidFill>
                          <a:sysClr val="windowText" lastClr="000000"/>
                        </a:solidFill>
                      </a:rPr>
                      <a:t>因公出国（境）费</a:t>
                    </a:r>
                    <a:r>
                      <a:rPr lang="en-US" altLang="zh-CN">
                        <a:solidFill>
                          <a:sysClr val="windowText" lastClr="000000"/>
                        </a:solidFill>
                      </a:rPr>
                      <a:t>, 0</a:t>
                    </a:r>
                    <a:r>
                      <a:rPr lang="zh-CN" altLang="en-US">
                        <a:solidFill>
                          <a:sysClr val="windowText" lastClr="000000"/>
                        </a:solidFill>
                      </a:rPr>
                      <a:t>万元</a:t>
                    </a:r>
                    <a:r>
                      <a:rPr lang="en-US" altLang="zh-CN">
                        <a:solidFill>
                          <a:sysClr val="windowText" lastClr="000000"/>
                        </a:solidFill>
                      </a:rPr>
                      <a:t>, 0%</a:t>
                    </a:r>
                    <a:endParaRPr lang="en-US" altLang="zh-CN">
                      <a:solidFill>
                        <a:sysClr val="windowText" lastClr="000000"/>
                      </a:solidFill>
                    </a:endParaRPr>
                  </a:p>
                </c:rich>
              </c:tx>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30277777777778"/>
                      <c:h val="0.128009259259259"/>
                    </c:manualLayout>
                  </c15:layout>
                </c:ext>
              </c:extLst>
            </c:dLbl>
            <c:dLbl>
              <c:idx val="1"/>
              <c:layout>
                <c:manualLayout>
                  <c:x val="-0.316667352059614"/>
                  <c:y val="0.19034259259400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dk1"/>
                        </a:solidFill>
                        <a:latin typeface="+mn-lt"/>
                        <a:ea typeface="+mn-ea"/>
                        <a:cs typeface="+mn-cs"/>
                      </a:defRPr>
                    </a:pPr>
                    <a:r>
                      <a:rPr lang="zh-CN" altLang="en-US">
                        <a:solidFill>
                          <a:sysClr val="windowText" lastClr="000000"/>
                        </a:solidFill>
                      </a:rPr>
                      <a:t>公务用车购置及运行维护费</a:t>
                    </a:r>
                    <a:r>
                      <a:rPr lang="en-US" altLang="zh-CN">
                        <a:solidFill>
                          <a:sysClr val="windowText" lastClr="000000"/>
                        </a:solidFill>
                      </a:rPr>
                      <a:t>, 0</a:t>
                    </a:r>
                    <a:r>
                      <a:rPr lang="zh-CN" altLang="en-US">
                        <a:solidFill>
                          <a:sysClr val="windowText" lastClr="000000"/>
                        </a:solidFill>
                      </a:rPr>
                      <a:t>万元</a:t>
                    </a:r>
                    <a:r>
                      <a:rPr lang="en-US" altLang="zh-CN">
                        <a:solidFill>
                          <a:sysClr val="windowText" lastClr="000000"/>
                        </a:solidFill>
                      </a:rPr>
                      <a:t>, 0%</a:t>
                    </a:r>
                    <a:endParaRPr lang="en-US" altLang="zh-CN">
                      <a:solidFill>
                        <a:sysClr val="windowText" lastClr="000000"/>
                      </a:solidFill>
                    </a:endParaRPr>
                  </a:p>
                </c:rich>
              </c:tx>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42222222222222"/>
                      <c:h val="0.163888888888889"/>
                    </c:manualLayout>
                  </c15:layout>
                </c:ext>
              </c:extLst>
            </c:dLbl>
            <c:dLbl>
              <c:idx val="2"/>
              <c:layout>
                <c:manualLayout>
                  <c:x val="-0.352083852210061"/>
                  <c:y val="-0.118351851853248"/>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dk1"/>
                        </a:solidFill>
                        <a:latin typeface="+mn-lt"/>
                        <a:ea typeface="+mn-ea"/>
                        <a:cs typeface="+mn-cs"/>
                      </a:defRPr>
                    </a:pPr>
                    <a:r>
                      <a:rPr lang="zh-CN" altLang="en-US">
                        <a:solidFill>
                          <a:sysClr val="windowText" lastClr="000000"/>
                        </a:solidFill>
                      </a:rPr>
                      <a:t>公务接待费</a:t>
                    </a:r>
                    <a:r>
                      <a:rPr lang="en-US" altLang="zh-CN">
                        <a:solidFill>
                          <a:sysClr val="windowText" lastClr="000000"/>
                        </a:solidFill>
                      </a:rPr>
                      <a:t>, </a:t>
                    </a:r>
                    <a:endParaRPr lang="en-US" altLang="zh-CN">
                      <a:solidFill>
                        <a:sysClr val="windowText" lastClr="000000"/>
                      </a:solidFill>
                    </a:endParaRPr>
                  </a:p>
                  <a:p>
                    <a:pPr>
                      <a:defRPr lang="zh-CN" sz="1000" b="0" i="0" u="none" strike="noStrike" kern="1200" baseline="0">
                        <a:solidFill>
                          <a:schemeClr val="dk1"/>
                        </a:solidFill>
                        <a:latin typeface="+mn-lt"/>
                        <a:ea typeface="+mn-ea"/>
                        <a:cs typeface="+mn-cs"/>
                      </a:defRPr>
                    </a:pPr>
                    <a:r>
                      <a:rPr lang="en-US" altLang="zh-CN">
                        <a:solidFill>
                          <a:sysClr val="windowText" lastClr="000000"/>
                        </a:solidFill>
                      </a:rPr>
                      <a:t>9</a:t>
                    </a:r>
                    <a:r>
                      <a:rPr lang="zh-CN" altLang="en-US">
                        <a:solidFill>
                          <a:sysClr val="windowText" lastClr="000000"/>
                        </a:solidFill>
                      </a:rPr>
                      <a:t>万元</a:t>
                    </a:r>
                    <a:r>
                      <a:rPr lang="en-US" altLang="zh-CN">
                        <a:solidFill>
                          <a:sysClr val="windowText" lastClr="000000"/>
                        </a:solidFill>
                      </a:rPr>
                      <a:t>, 100%</a:t>
                    </a:r>
                    <a:endParaRPr lang="en-US" altLang="zh-CN">
                      <a:solidFill>
                        <a:sysClr val="windowText" lastClr="000000"/>
                      </a:solidFill>
                    </a:endParaRPr>
                  </a:p>
                </c:rich>
              </c:tx>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11944444444444"/>
                      <c:h val="0.162037037037037"/>
                    </c:manualLayout>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dk1"/>
                    </a:solidFill>
                    <a:latin typeface="+mn-lt"/>
                    <a:ea typeface="+mn-ea"/>
                    <a:cs typeface="+mn-cs"/>
                  </a:defRPr>
                </a:pPr>
              </a:p>
            </c:txPr>
            <c:dLblPos val="inEnd"/>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[决算公开图表.xlsx]Sheet1!$D$94:$F$94</c:f>
              <c:strCache>
                <c:ptCount val="3"/>
                <c:pt idx="0">
                  <c:v>因公出国（境）费</c:v>
                </c:pt>
                <c:pt idx="1">
                  <c:v>公务用车购置及运行维护费</c:v>
                </c:pt>
                <c:pt idx="2">
                  <c:v>公务接待费</c:v>
                </c:pt>
              </c:strCache>
            </c:strRef>
          </c:cat>
          <c:val>
            <c:numRef>
              <c:f>[决算公开图表.xlsx]Sheet1!$D$95:$F$95</c:f>
              <c:numCache>
                <c:formatCode>General</c:formatCode>
                <c:ptCount val="3"/>
                <c:pt idx="0">
                  <c:v>0</c:v>
                </c:pt>
                <c:pt idx="1">
                  <c:v>0</c:v>
                </c:pt>
                <c:pt idx="2">
                  <c:v>1.01</c:v>
                </c:pt>
              </c:numCache>
            </c:numRef>
          </c:val>
        </c:ser>
        <c:ser>
          <c:idx val="1"/>
          <c:order val="1"/>
          <c:explosion val="0"/>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dk1"/>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[决算公开图表.xlsx]Sheet1!$D$94:$F$94</c:f>
              <c:strCache>
                <c:ptCount val="3"/>
                <c:pt idx="0">
                  <c:v>因公出国（境）费</c:v>
                </c:pt>
                <c:pt idx="1">
                  <c:v>公务用车购置及运行维护费</c:v>
                </c:pt>
                <c:pt idx="2">
                  <c:v>公务接待费</c:v>
                </c:pt>
              </c:strCache>
            </c:strRef>
          </c:cat>
          <c:val>
            <c:numRef>
              <c:f>[决算公开图表.xlsx]Sheet1!$D$96:$F$96</c:f>
              <c:numCache>
                <c:formatCode>0%</c:formatCode>
                <c:ptCount val="3"/>
                <c:pt idx="0">
                  <c:v>0</c:v>
                </c:pt>
                <c:pt idx="1">
                  <c:v>0</c:v>
                </c:pt>
                <c:pt idx="2">
                  <c:v>1</c:v>
                </c:pt>
              </c:numCache>
            </c:numRef>
          </c:val>
        </c:ser>
        <c:dLbls>
          <c:showLegendKey val="false"/>
          <c:showVal val="false"/>
          <c:showCatName val="false"/>
          <c:showSerName val="false"/>
          <c:showPercent val="true"/>
          <c:showBubbleSize val="false"/>
          <c:showLeaderLines val="true"/>
        </c:dLbls>
        <c:firstSliceAng val="0"/>
      </c:pieChart>
    </c:plotArea>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25253</Words>
  <Characters>27120</Characters>
  <Lines>203</Lines>
  <Paragraphs>57</Paragraphs>
  <TotalTime>4</TotalTime>
  <ScaleCrop>false</ScaleCrop>
  <LinksUpToDate>false</LinksUpToDate>
  <CharactersWithSpaces>27237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user</cp:lastModifiedBy>
  <dcterms:modified xsi:type="dcterms:W3CDTF">2024-09-26T09:28:11Z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07E3CB68F5A4450F9721009FE469A212_12</vt:lpwstr>
  </property>
</Properties>
</file>