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66C31">
      <w:pPr>
        <w:pStyle w:val="4"/>
        <w:spacing w:before="0"/>
        <w:ind w:left="0"/>
        <w:rPr>
          <w:rFonts w:ascii="Times New Roman"/>
          <w:sz w:val="20"/>
        </w:rPr>
      </w:pPr>
    </w:p>
    <w:p w14:paraId="21CF21BF">
      <w:pPr>
        <w:pStyle w:val="4"/>
        <w:spacing w:before="0"/>
        <w:ind w:left="0"/>
        <w:rPr>
          <w:rFonts w:ascii="Times New Roman"/>
          <w:sz w:val="20"/>
        </w:rPr>
      </w:pPr>
    </w:p>
    <w:p w14:paraId="1A0DA272">
      <w:pPr>
        <w:pStyle w:val="4"/>
        <w:spacing w:before="0"/>
        <w:ind w:left="0"/>
        <w:rPr>
          <w:rFonts w:ascii="Times New Roman"/>
          <w:sz w:val="20"/>
        </w:rPr>
      </w:pPr>
    </w:p>
    <w:p w14:paraId="32891C57">
      <w:pPr>
        <w:pStyle w:val="4"/>
        <w:spacing w:before="0"/>
        <w:ind w:left="0"/>
        <w:rPr>
          <w:rFonts w:ascii="Times New Roman"/>
          <w:sz w:val="20"/>
        </w:rPr>
      </w:pPr>
    </w:p>
    <w:p w14:paraId="7C8BBF60">
      <w:pPr>
        <w:pStyle w:val="4"/>
        <w:spacing w:before="0"/>
        <w:ind w:left="0"/>
        <w:rPr>
          <w:rFonts w:ascii="Times New Roman"/>
          <w:sz w:val="20"/>
        </w:rPr>
      </w:pPr>
    </w:p>
    <w:p w14:paraId="51788FF0">
      <w:pPr>
        <w:pStyle w:val="4"/>
        <w:spacing w:before="0"/>
        <w:ind w:left="0"/>
        <w:rPr>
          <w:rFonts w:ascii="Times New Roman"/>
          <w:sz w:val="20"/>
        </w:rPr>
      </w:pPr>
    </w:p>
    <w:p w14:paraId="2A192DDD">
      <w:pPr>
        <w:pStyle w:val="4"/>
        <w:spacing w:before="0"/>
        <w:ind w:left="0"/>
        <w:rPr>
          <w:rFonts w:ascii="Times New Roman"/>
          <w:sz w:val="20"/>
        </w:rPr>
      </w:pPr>
    </w:p>
    <w:p w14:paraId="658E8A34">
      <w:pPr>
        <w:pStyle w:val="4"/>
        <w:spacing w:before="0"/>
        <w:ind w:left="0"/>
        <w:rPr>
          <w:rFonts w:ascii="Times New Roman"/>
          <w:sz w:val="20"/>
        </w:rPr>
      </w:pPr>
    </w:p>
    <w:p w14:paraId="71F0EDD0">
      <w:pPr>
        <w:pStyle w:val="4"/>
        <w:spacing w:before="0"/>
        <w:ind w:left="0"/>
        <w:rPr>
          <w:rFonts w:ascii="Times New Roman"/>
          <w:sz w:val="20"/>
        </w:rPr>
      </w:pPr>
    </w:p>
    <w:p w14:paraId="63DC4CB9">
      <w:pPr>
        <w:spacing w:before="139"/>
        <w:ind w:left="492" w:right="669" w:firstLine="0"/>
        <w:jc w:val="center"/>
        <w:rPr>
          <w:rFonts w:hint="eastAsia" w:ascii="微软雅黑" w:eastAsia="微软雅黑"/>
          <w:sz w:val="52"/>
        </w:rPr>
      </w:pPr>
      <w:bookmarkStart w:id="0" w:name="2018年度"/>
      <w:bookmarkEnd w:id="0"/>
      <w:r>
        <w:rPr>
          <w:rFonts w:hint="eastAsia" w:ascii="黑体" w:eastAsia="黑体"/>
          <w:sz w:val="52"/>
        </w:rPr>
        <w:t>2018</w:t>
      </w:r>
      <w:r>
        <w:rPr>
          <w:rFonts w:hint="eastAsia" w:ascii="黑体" w:eastAsia="黑体"/>
          <w:spacing w:val="-132"/>
          <w:sz w:val="52"/>
        </w:rPr>
        <w:t xml:space="preserve"> </w:t>
      </w:r>
      <w:r>
        <w:rPr>
          <w:rFonts w:hint="eastAsia" w:ascii="微软雅黑" w:eastAsia="微软雅黑"/>
          <w:sz w:val="52"/>
        </w:rPr>
        <w:t>年度</w:t>
      </w:r>
    </w:p>
    <w:p w14:paraId="3400DBDB">
      <w:pPr>
        <w:spacing w:before="379" w:line="333" w:lineRule="auto"/>
        <w:ind w:left="492" w:right="671" w:firstLine="0"/>
        <w:jc w:val="center"/>
        <w:rPr>
          <w:rFonts w:hint="eastAsia" w:ascii="微软雅黑" w:eastAsia="微软雅黑"/>
          <w:sz w:val="52"/>
        </w:rPr>
      </w:pPr>
      <w:bookmarkStart w:id="1" w:name="四川省广元市昭化区石井铺镇人民政府部门决算"/>
      <w:bookmarkEnd w:id="1"/>
      <w:r>
        <w:rPr>
          <w:rFonts w:hint="eastAsia" w:ascii="微软雅黑" w:eastAsia="微软雅黑"/>
          <w:sz w:val="52"/>
        </w:rPr>
        <w:t>四川省广元市昭化区石井铺镇人民政府部门决算</w:t>
      </w:r>
    </w:p>
    <w:p w14:paraId="43556FF0">
      <w:pPr>
        <w:spacing w:after="0" w:line="333" w:lineRule="auto"/>
        <w:jc w:val="center"/>
        <w:rPr>
          <w:rFonts w:hint="eastAsia" w:ascii="微软雅黑" w:eastAsia="微软雅黑"/>
          <w:sz w:val="52"/>
        </w:rPr>
        <w:sectPr>
          <w:type w:val="continuous"/>
          <w:pgSz w:w="11910" w:h="16840"/>
          <w:pgMar w:top="1580" w:right="1380" w:bottom="280" w:left="1560" w:header="720" w:footer="720" w:gutter="0"/>
          <w:cols w:space="720" w:num="1"/>
        </w:sectPr>
      </w:pPr>
    </w:p>
    <w:p w14:paraId="57FB35E0">
      <w:pPr>
        <w:tabs>
          <w:tab w:val="left" w:pos="959"/>
        </w:tabs>
        <w:spacing w:before="5"/>
        <w:ind w:left="0" w:right="181"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14:paraId="27513F95">
      <w:pPr>
        <w:pStyle w:val="4"/>
        <w:spacing w:before="9"/>
        <w:ind w:left="0"/>
        <w:rPr>
          <w:rFonts w:ascii="黑体"/>
          <w:sz w:val="66"/>
        </w:rPr>
      </w:pPr>
    </w:p>
    <w:p w14:paraId="3BE4E01D">
      <w:pPr>
        <w:spacing w:before="0"/>
        <w:ind w:left="492" w:right="669" w:firstLine="0"/>
        <w:jc w:val="center"/>
        <w:rPr>
          <w:sz w:val="28"/>
        </w:rPr>
      </w:pPr>
      <w:r>
        <w:rPr>
          <w:sz w:val="28"/>
        </w:rPr>
        <w:t>公开时间：2019 年 9 月 24 日</w:t>
      </w:r>
    </w:p>
    <w:p w14:paraId="5EC3C6DD">
      <w:pPr>
        <w:spacing w:after="0"/>
        <w:jc w:val="center"/>
        <w:rPr>
          <w:sz w:val="28"/>
        </w:rPr>
        <w:sectPr>
          <w:footerReference r:id="rId5" w:type="default"/>
          <w:pgSz w:w="11910" w:h="16840"/>
          <w:pgMar w:top="1420" w:right="1380" w:bottom="1630" w:left="1560" w:header="0" w:footer="1196" w:gutter="0"/>
          <w:pgNumType w:start="2"/>
          <w:cols w:space="720" w:num="1"/>
        </w:sectPr>
      </w:pPr>
    </w:p>
    <w:sdt>
      <w:sdtPr>
        <w:id w:val="1"/>
        <w:docPartObj>
          <w:docPartGallery w:val="Table of Contents"/>
          <w:docPartUnique/>
        </w:docPartObj>
      </w:sdtPr>
      <w:sdtContent>
        <w:p w14:paraId="6AD1CA5D">
          <w:pPr>
            <w:pStyle w:val="5"/>
            <w:tabs>
              <w:tab w:val="left" w:leader="dot" w:pos="8155"/>
            </w:tabs>
            <w:spacing w:before="671"/>
            <w:ind w:right="178"/>
            <w:jc w:val="center"/>
          </w:pPr>
          <w:r>
            <w:fldChar w:fldCharType="begin"/>
          </w:r>
          <w:r>
            <w:instrText xml:space="preserve"> HYPERLINK \l "_bookmark0" </w:instrText>
          </w:r>
          <w:r>
            <w:fldChar w:fldCharType="separate"/>
          </w:r>
          <w:r>
            <w:t>第</w:t>
          </w:r>
          <w:r>
            <w:rPr>
              <w:spacing w:val="-3"/>
            </w:rPr>
            <w:t>一</w:t>
          </w:r>
          <w:r>
            <w:t>部分 部</w:t>
          </w:r>
          <w:r>
            <w:rPr>
              <w:spacing w:val="-3"/>
            </w:rPr>
            <w:t>门</w:t>
          </w:r>
          <w:r>
            <w:t>概况</w:t>
          </w:r>
          <w:r>
            <w:tab/>
          </w:r>
          <w:r>
            <w:t>4</w:t>
          </w:r>
          <w:r>
            <w:fldChar w:fldCharType="end"/>
          </w:r>
        </w:p>
        <w:p w14:paraId="6BEA5266">
          <w:pPr>
            <w:pStyle w:val="5"/>
            <w:tabs>
              <w:tab w:val="left" w:leader="dot" w:pos="7735"/>
            </w:tabs>
          </w:pPr>
          <w:r>
            <w:fldChar w:fldCharType="begin"/>
          </w:r>
          <w:r>
            <w:instrText xml:space="preserve"> HYPERLINK \l "_bookmark1" </w:instrText>
          </w:r>
          <w:r>
            <w:fldChar w:fldCharType="separate"/>
          </w:r>
          <w:r>
            <w:t>一</w:t>
          </w:r>
          <w:r>
            <w:rPr>
              <w:spacing w:val="-3"/>
            </w:rPr>
            <w:t>、</w:t>
          </w:r>
          <w:r>
            <w:t>基本</w:t>
          </w:r>
          <w:r>
            <w:rPr>
              <w:spacing w:val="-3"/>
            </w:rPr>
            <w:t>职</w:t>
          </w:r>
          <w:r>
            <w:t>能及</w:t>
          </w:r>
          <w:r>
            <w:rPr>
              <w:spacing w:val="-3"/>
            </w:rPr>
            <w:t>主</w:t>
          </w:r>
          <w:r>
            <w:t>要工作</w:t>
          </w:r>
          <w:r>
            <w:tab/>
          </w:r>
          <w:r>
            <w:rPr>
              <w:spacing w:val="-1"/>
            </w:rPr>
            <w:t>4</w:t>
          </w:r>
          <w:r>
            <w:rPr>
              <w:spacing w:val="-1"/>
            </w:rPr>
            <w:fldChar w:fldCharType="end"/>
          </w:r>
        </w:p>
        <w:p w14:paraId="0343F83D">
          <w:pPr>
            <w:pStyle w:val="5"/>
            <w:tabs>
              <w:tab w:val="left" w:leader="dot" w:pos="7735"/>
            </w:tabs>
          </w:pPr>
          <w:r>
            <w:fldChar w:fldCharType="begin"/>
          </w:r>
          <w:r>
            <w:instrText xml:space="preserve"> HYPERLINK \l "_bookmark2" </w:instrText>
          </w:r>
          <w:r>
            <w:fldChar w:fldCharType="separate"/>
          </w:r>
          <w:r>
            <w:t>二</w:t>
          </w:r>
          <w:r>
            <w:rPr>
              <w:spacing w:val="-3"/>
            </w:rPr>
            <w:t>、</w:t>
          </w:r>
          <w:r>
            <w:t>机构</w:t>
          </w:r>
          <w:r>
            <w:rPr>
              <w:spacing w:val="-3"/>
            </w:rPr>
            <w:t>设</w:t>
          </w:r>
          <w:r>
            <w:t>置</w:t>
          </w:r>
          <w:r>
            <w:tab/>
          </w:r>
          <w:r>
            <w:rPr>
              <w:spacing w:val="-1"/>
            </w:rPr>
            <w:t>8</w:t>
          </w:r>
          <w:r>
            <w:rPr>
              <w:spacing w:val="-1"/>
            </w:rPr>
            <w:fldChar w:fldCharType="end"/>
          </w:r>
        </w:p>
        <w:p w14:paraId="1B2DF60E">
          <w:pPr>
            <w:pStyle w:val="5"/>
            <w:tabs>
              <w:tab w:val="left" w:leader="dot" w:pos="8155"/>
            </w:tabs>
            <w:spacing w:before="359"/>
            <w:ind w:right="423"/>
          </w:pPr>
          <w:r>
            <w:fldChar w:fldCharType="begin"/>
          </w:r>
          <w:r>
            <w:instrText xml:space="preserve"> HYPERLINK \l "_bookmark3" </w:instrText>
          </w:r>
          <w:r>
            <w:fldChar w:fldCharType="separate"/>
          </w:r>
          <w:r>
            <w:t>第</w:t>
          </w:r>
          <w:r>
            <w:rPr>
              <w:spacing w:val="-3"/>
            </w:rPr>
            <w:t>二</w:t>
          </w:r>
          <w:r>
            <w:t>部分 2018</w:t>
          </w:r>
          <w:r>
            <w:rPr>
              <w:spacing w:val="-69"/>
            </w:rPr>
            <w:t xml:space="preserve"> </w:t>
          </w:r>
          <w:r>
            <w:t>年</w:t>
          </w:r>
          <w:r>
            <w:rPr>
              <w:spacing w:val="-3"/>
            </w:rPr>
            <w:t>度</w:t>
          </w:r>
          <w:r>
            <w:t>部门</w:t>
          </w:r>
          <w:r>
            <w:rPr>
              <w:spacing w:val="-3"/>
            </w:rPr>
            <w:t>决</w:t>
          </w:r>
          <w:r>
            <w:t>算情</w:t>
          </w:r>
          <w:r>
            <w:rPr>
              <w:spacing w:val="-3"/>
            </w:rPr>
            <w:t>况</w:t>
          </w:r>
          <w:r>
            <w:t>说明</w:t>
          </w:r>
          <w:r>
            <w:tab/>
          </w:r>
          <w:r>
            <w:rPr>
              <w:spacing w:val="-1"/>
            </w:rPr>
            <w:t>9</w:t>
          </w:r>
          <w:r>
            <w:rPr>
              <w:spacing w:val="-1"/>
            </w:rPr>
            <w:fldChar w:fldCharType="end"/>
          </w:r>
        </w:p>
        <w:p w14:paraId="7F12C71E">
          <w:pPr>
            <w:pStyle w:val="5"/>
            <w:tabs>
              <w:tab w:val="left" w:leader="dot" w:pos="7735"/>
            </w:tabs>
            <w:spacing w:before="266"/>
          </w:pPr>
          <w:r>
            <w:fldChar w:fldCharType="begin"/>
          </w:r>
          <w:r>
            <w:instrText xml:space="preserve"> HYPERLINK \l "_bookmark4" </w:instrText>
          </w:r>
          <w:r>
            <w:fldChar w:fldCharType="separate"/>
          </w:r>
          <w:r>
            <w:t>一</w:t>
          </w:r>
          <w:r>
            <w:rPr>
              <w:spacing w:val="-3"/>
            </w:rPr>
            <w:t>、</w:t>
          </w:r>
          <w:r>
            <w:t>收入</w:t>
          </w:r>
          <w:r>
            <w:rPr>
              <w:spacing w:val="-3"/>
            </w:rPr>
            <w:t>支</w:t>
          </w:r>
          <w:r>
            <w:t>出决</w:t>
          </w:r>
          <w:r>
            <w:rPr>
              <w:spacing w:val="-3"/>
            </w:rPr>
            <w:t>算</w:t>
          </w:r>
          <w:r>
            <w:t>总体</w:t>
          </w:r>
          <w:r>
            <w:rPr>
              <w:spacing w:val="-3"/>
            </w:rPr>
            <w:t>情</w:t>
          </w:r>
          <w:r>
            <w:t>况说明</w:t>
          </w:r>
          <w:r>
            <w:tab/>
          </w:r>
          <w:r>
            <w:rPr>
              <w:spacing w:val="-1"/>
            </w:rPr>
            <w:t>9</w:t>
          </w:r>
          <w:r>
            <w:rPr>
              <w:spacing w:val="-1"/>
            </w:rPr>
            <w:fldChar w:fldCharType="end"/>
          </w:r>
        </w:p>
        <w:p w14:paraId="75285DD6">
          <w:pPr>
            <w:pStyle w:val="5"/>
            <w:tabs>
              <w:tab w:val="left" w:leader="dot" w:pos="7735"/>
            </w:tabs>
          </w:pPr>
          <w:r>
            <w:fldChar w:fldCharType="begin"/>
          </w:r>
          <w:r>
            <w:instrText xml:space="preserve"> HYPERLINK \l "_bookmark5" </w:instrText>
          </w:r>
          <w:r>
            <w:fldChar w:fldCharType="separate"/>
          </w:r>
          <w:r>
            <w:t>二</w:t>
          </w:r>
          <w:r>
            <w:rPr>
              <w:spacing w:val="-3"/>
            </w:rPr>
            <w:t>、</w:t>
          </w:r>
          <w:r>
            <w:t>收入</w:t>
          </w:r>
          <w:r>
            <w:rPr>
              <w:spacing w:val="-3"/>
            </w:rPr>
            <w:t>决</w:t>
          </w:r>
          <w:r>
            <w:t>算情</w:t>
          </w:r>
          <w:r>
            <w:rPr>
              <w:spacing w:val="-3"/>
            </w:rPr>
            <w:t>况</w:t>
          </w:r>
          <w:r>
            <w:t>说明</w:t>
          </w:r>
          <w:r>
            <w:tab/>
          </w:r>
          <w:r>
            <w:rPr>
              <w:spacing w:val="-1"/>
            </w:rPr>
            <w:t>9</w:t>
          </w:r>
          <w:r>
            <w:rPr>
              <w:spacing w:val="-1"/>
            </w:rPr>
            <w:fldChar w:fldCharType="end"/>
          </w:r>
        </w:p>
        <w:p w14:paraId="3A0CBFA1">
          <w:pPr>
            <w:pStyle w:val="5"/>
            <w:tabs>
              <w:tab w:val="left" w:leader="dot" w:pos="7735"/>
            </w:tabs>
          </w:pPr>
          <w:r>
            <w:fldChar w:fldCharType="begin"/>
          </w:r>
          <w:r>
            <w:instrText xml:space="preserve"> HYPERLINK \l "_bookmark6" </w:instrText>
          </w:r>
          <w:r>
            <w:fldChar w:fldCharType="separate"/>
          </w:r>
          <w:r>
            <w:t>三</w:t>
          </w:r>
          <w:r>
            <w:rPr>
              <w:spacing w:val="-3"/>
            </w:rPr>
            <w:t>、</w:t>
          </w:r>
          <w:r>
            <w:t>支出</w:t>
          </w:r>
          <w:r>
            <w:rPr>
              <w:spacing w:val="-3"/>
            </w:rPr>
            <w:t>决</w:t>
          </w:r>
          <w:r>
            <w:t>算情</w:t>
          </w:r>
          <w:r>
            <w:rPr>
              <w:spacing w:val="-3"/>
            </w:rPr>
            <w:t>况</w:t>
          </w:r>
          <w:r>
            <w:t>说明</w:t>
          </w:r>
          <w:r>
            <w:tab/>
          </w:r>
          <w:r>
            <w:rPr>
              <w:spacing w:val="-1"/>
            </w:rPr>
            <w:t>9</w:t>
          </w:r>
          <w:r>
            <w:rPr>
              <w:spacing w:val="-1"/>
            </w:rPr>
            <w:fldChar w:fldCharType="end"/>
          </w:r>
        </w:p>
        <w:p w14:paraId="0767CEBE">
          <w:pPr>
            <w:pStyle w:val="5"/>
            <w:tabs>
              <w:tab w:val="left" w:leader="dot" w:pos="7595"/>
            </w:tabs>
          </w:pPr>
          <w:r>
            <w:fldChar w:fldCharType="begin"/>
          </w:r>
          <w:r>
            <w:instrText xml:space="preserve"> HYPERLINK \l "_bookmark7" </w:instrText>
          </w:r>
          <w:r>
            <w:fldChar w:fldCharType="separate"/>
          </w:r>
          <w:r>
            <w:t>四</w:t>
          </w:r>
          <w:r>
            <w:rPr>
              <w:spacing w:val="-3"/>
            </w:rPr>
            <w:t>、</w:t>
          </w:r>
          <w:r>
            <w:t>财政</w:t>
          </w:r>
          <w:r>
            <w:rPr>
              <w:spacing w:val="-3"/>
            </w:rPr>
            <w:t>拨</w:t>
          </w:r>
          <w:r>
            <w:t>款收</w:t>
          </w:r>
          <w:r>
            <w:rPr>
              <w:spacing w:val="-3"/>
            </w:rPr>
            <w:t>入</w:t>
          </w:r>
          <w:r>
            <w:t>支出</w:t>
          </w:r>
          <w:r>
            <w:rPr>
              <w:spacing w:val="-3"/>
            </w:rPr>
            <w:t>决</w:t>
          </w:r>
          <w:r>
            <w:t>算总</w:t>
          </w:r>
          <w:r>
            <w:rPr>
              <w:spacing w:val="-3"/>
            </w:rPr>
            <w:t>体</w:t>
          </w:r>
          <w:r>
            <w:t>情况</w:t>
          </w:r>
          <w:r>
            <w:rPr>
              <w:spacing w:val="-3"/>
            </w:rPr>
            <w:t>说</w:t>
          </w:r>
          <w:r>
            <w:t>明</w:t>
          </w:r>
          <w:r>
            <w:tab/>
          </w:r>
          <w:r>
            <w:rPr>
              <w:spacing w:val="-1"/>
            </w:rPr>
            <w:t>1</w:t>
          </w:r>
          <w:r>
            <w:rPr>
              <w:spacing w:val="-1"/>
            </w:rPr>
            <w:fldChar w:fldCharType="end"/>
          </w:r>
          <w:r>
            <w:rPr>
              <w:spacing w:val="-1"/>
            </w:rPr>
            <w:t>0</w:t>
          </w:r>
        </w:p>
        <w:p w14:paraId="0A5A603D">
          <w:pPr>
            <w:pStyle w:val="5"/>
            <w:tabs>
              <w:tab w:val="left" w:leader="dot" w:pos="7595"/>
            </w:tabs>
            <w:spacing w:before="266"/>
          </w:pPr>
          <w:r>
            <w:fldChar w:fldCharType="begin"/>
          </w:r>
          <w:r>
            <w:instrText xml:space="preserve"> HYPERLINK \l "_bookmark8" </w:instrText>
          </w:r>
          <w:r>
            <w:fldChar w:fldCharType="separate"/>
          </w:r>
          <w:r>
            <w:t>五</w:t>
          </w:r>
          <w:r>
            <w:rPr>
              <w:spacing w:val="-3"/>
            </w:rPr>
            <w:t>、</w:t>
          </w:r>
          <w:r>
            <w:t>一般</w:t>
          </w:r>
          <w:r>
            <w:rPr>
              <w:spacing w:val="-3"/>
            </w:rPr>
            <w:t>公</w:t>
          </w:r>
          <w:r>
            <w:t>共预</w:t>
          </w:r>
          <w:r>
            <w:rPr>
              <w:spacing w:val="-3"/>
            </w:rPr>
            <w:t>算</w:t>
          </w:r>
          <w:r>
            <w:t>财政</w:t>
          </w:r>
          <w:r>
            <w:rPr>
              <w:spacing w:val="-3"/>
            </w:rPr>
            <w:t>拨</w:t>
          </w:r>
          <w:r>
            <w:t>款支</w:t>
          </w:r>
          <w:r>
            <w:rPr>
              <w:spacing w:val="-3"/>
            </w:rPr>
            <w:t>出</w:t>
          </w:r>
          <w:r>
            <w:t>决算</w:t>
          </w:r>
          <w:r>
            <w:rPr>
              <w:spacing w:val="-3"/>
            </w:rPr>
            <w:t>情</w:t>
          </w:r>
          <w:r>
            <w:t>况说明</w:t>
          </w:r>
          <w:r>
            <w:tab/>
          </w:r>
          <w:r>
            <w:rPr>
              <w:spacing w:val="-1"/>
            </w:rPr>
            <w:t>1</w:t>
          </w:r>
          <w:r>
            <w:rPr>
              <w:spacing w:val="-1"/>
            </w:rPr>
            <w:fldChar w:fldCharType="end"/>
          </w:r>
          <w:r>
            <w:rPr>
              <w:spacing w:val="-1"/>
            </w:rPr>
            <w:t>0</w:t>
          </w:r>
        </w:p>
        <w:p w14:paraId="68B0EC24">
          <w:pPr>
            <w:pStyle w:val="5"/>
            <w:tabs>
              <w:tab w:val="left" w:leader="dot" w:pos="7595"/>
            </w:tabs>
          </w:pPr>
          <w:r>
            <w:fldChar w:fldCharType="begin"/>
          </w:r>
          <w:r>
            <w:instrText xml:space="preserve"> HYPERLINK \l "_bookmark9" </w:instrText>
          </w:r>
          <w:r>
            <w:fldChar w:fldCharType="separate"/>
          </w:r>
          <w:r>
            <w:t>六</w:t>
          </w:r>
          <w:r>
            <w:rPr>
              <w:spacing w:val="-3"/>
            </w:rPr>
            <w:t>、</w:t>
          </w:r>
          <w:r>
            <w:t>一般</w:t>
          </w:r>
          <w:r>
            <w:rPr>
              <w:spacing w:val="-3"/>
            </w:rPr>
            <w:t>公</w:t>
          </w:r>
          <w:r>
            <w:t>共预</w:t>
          </w:r>
          <w:r>
            <w:rPr>
              <w:spacing w:val="-3"/>
            </w:rPr>
            <w:t>算</w:t>
          </w:r>
          <w:r>
            <w:t>财政</w:t>
          </w:r>
          <w:r>
            <w:rPr>
              <w:spacing w:val="-3"/>
            </w:rPr>
            <w:t>拨</w:t>
          </w:r>
          <w:r>
            <w:t>款基</w:t>
          </w:r>
          <w:r>
            <w:rPr>
              <w:spacing w:val="-3"/>
            </w:rPr>
            <w:t>本</w:t>
          </w:r>
          <w:r>
            <w:t>支出</w:t>
          </w:r>
          <w:r>
            <w:rPr>
              <w:spacing w:val="-3"/>
            </w:rPr>
            <w:t>决</w:t>
          </w:r>
          <w:r>
            <w:t>算情</w:t>
          </w:r>
          <w:r>
            <w:rPr>
              <w:spacing w:val="-3"/>
            </w:rPr>
            <w:t>况</w:t>
          </w:r>
          <w:r>
            <w:t>说明</w:t>
          </w:r>
          <w:r>
            <w:tab/>
          </w:r>
          <w:r>
            <w:rPr>
              <w:spacing w:val="-1"/>
            </w:rPr>
            <w:t>1</w:t>
          </w:r>
          <w:r>
            <w:rPr>
              <w:spacing w:val="-1"/>
            </w:rPr>
            <w:fldChar w:fldCharType="end"/>
          </w:r>
          <w:r>
            <w:rPr>
              <w:spacing w:val="-1"/>
            </w:rPr>
            <w:t>2</w:t>
          </w:r>
        </w:p>
        <w:p w14:paraId="22CF2BBF">
          <w:pPr>
            <w:pStyle w:val="5"/>
            <w:tabs>
              <w:tab w:val="left" w:leader="dot" w:pos="7595"/>
            </w:tabs>
          </w:pPr>
          <w:r>
            <w:fldChar w:fldCharType="begin"/>
          </w:r>
          <w:r>
            <w:instrText xml:space="preserve"> HYPERLINK \l "_bookmark10" </w:instrText>
          </w:r>
          <w:r>
            <w:fldChar w:fldCharType="separate"/>
          </w:r>
          <w:r>
            <w:t>七</w:t>
          </w:r>
          <w:r>
            <w:rPr>
              <w:spacing w:val="-3"/>
            </w:rPr>
            <w:t>、</w:t>
          </w:r>
          <w:r>
            <w:t>“三</w:t>
          </w:r>
          <w:r>
            <w:rPr>
              <w:spacing w:val="-3"/>
            </w:rPr>
            <w:t>公</w:t>
          </w:r>
          <w:r>
            <w:t>”经</w:t>
          </w:r>
          <w:r>
            <w:rPr>
              <w:spacing w:val="-3"/>
            </w:rPr>
            <w:t>费</w:t>
          </w:r>
          <w:r>
            <w:t>财政</w:t>
          </w:r>
          <w:r>
            <w:rPr>
              <w:spacing w:val="-3"/>
            </w:rPr>
            <w:t>拨</w:t>
          </w:r>
          <w:r>
            <w:t>款支</w:t>
          </w:r>
          <w:r>
            <w:rPr>
              <w:spacing w:val="-3"/>
            </w:rPr>
            <w:t>出</w:t>
          </w:r>
          <w:r>
            <w:t>决算</w:t>
          </w:r>
          <w:r>
            <w:rPr>
              <w:spacing w:val="-3"/>
            </w:rPr>
            <w:t>情</w:t>
          </w:r>
          <w:r>
            <w:t>况说明</w:t>
          </w:r>
          <w:r>
            <w:tab/>
          </w:r>
          <w:r>
            <w:rPr>
              <w:spacing w:val="-1"/>
            </w:rPr>
            <w:t>1</w:t>
          </w:r>
          <w:r>
            <w:rPr>
              <w:spacing w:val="-1"/>
            </w:rPr>
            <w:fldChar w:fldCharType="end"/>
          </w:r>
          <w:r>
            <w:rPr>
              <w:spacing w:val="-1"/>
            </w:rPr>
            <w:t>3</w:t>
          </w:r>
        </w:p>
        <w:p w14:paraId="3EC8C6AF">
          <w:pPr>
            <w:pStyle w:val="5"/>
            <w:tabs>
              <w:tab w:val="left" w:leader="dot" w:pos="7595"/>
            </w:tabs>
          </w:pPr>
          <w:r>
            <w:fldChar w:fldCharType="begin"/>
          </w:r>
          <w:r>
            <w:instrText xml:space="preserve"> HYPERLINK \l "_bookmark11" </w:instrText>
          </w:r>
          <w:r>
            <w:fldChar w:fldCharType="separate"/>
          </w:r>
          <w:r>
            <w:t>八</w:t>
          </w:r>
          <w:r>
            <w:rPr>
              <w:spacing w:val="-3"/>
            </w:rPr>
            <w:t>、</w:t>
          </w:r>
          <w:r>
            <w:t>政</w:t>
          </w:r>
          <w:r>
            <w:rPr>
              <w:spacing w:val="-3"/>
            </w:rPr>
            <w:t>府</w:t>
          </w:r>
          <w:r>
            <w:t>性基</w:t>
          </w:r>
          <w:r>
            <w:rPr>
              <w:spacing w:val="-3"/>
            </w:rPr>
            <w:t>金</w:t>
          </w:r>
          <w:r>
            <w:t>预算</w:t>
          </w:r>
          <w:r>
            <w:rPr>
              <w:spacing w:val="-3"/>
            </w:rPr>
            <w:t>支</w:t>
          </w:r>
          <w:r>
            <w:t>出决</w:t>
          </w:r>
          <w:r>
            <w:rPr>
              <w:spacing w:val="-3"/>
            </w:rPr>
            <w:t>算</w:t>
          </w:r>
          <w:r>
            <w:t>情况</w:t>
          </w:r>
          <w:r>
            <w:rPr>
              <w:spacing w:val="-3"/>
            </w:rPr>
            <w:t>说</w:t>
          </w:r>
          <w:r>
            <w:t>明</w:t>
          </w:r>
          <w:r>
            <w:tab/>
          </w:r>
          <w:r>
            <w:rPr>
              <w:spacing w:val="-1"/>
            </w:rPr>
            <w:t>1</w:t>
          </w:r>
          <w:r>
            <w:rPr>
              <w:spacing w:val="-1"/>
            </w:rPr>
            <w:fldChar w:fldCharType="end"/>
          </w:r>
          <w:r>
            <w:rPr>
              <w:spacing w:val="-1"/>
            </w:rPr>
            <w:t>4</w:t>
          </w:r>
        </w:p>
        <w:p w14:paraId="41AEF048">
          <w:pPr>
            <w:pStyle w:val="5"/>
            <w:tabs>
              <w:tab w:val="left" w:leader="dot" w:pos="7595"/>
            </w:tabs>
            <w:spacing w:before="266"/>
          </w:pPr>
          <w:r>
            <w:fldChar w:fldCharType="begin"/>
          </w:r>
          <w:r>
            <w:instrText xml:space="preserve"> HYPERLINK \l "_bookmark12" </w:instrText>
          </w:r>
          <w:r>
            <w:fldChar w:fldCharType="separate"/>
          </w:r>
          <w:r>
            <w:t>九、</w:t>
          </w:r>
          <w:r>
            <w:rPr>
              <w:spacing w:val="2"/>
            </w:rPr>
            <w:t xml:space="preserve"> </w:t>
          </w:r>
          <w:r>
            <w:rPr>
              <w:spacing w:val="-3"/>
            </w:rPr>
            <w:t>国</w:t>
          </w:r>
          <w:r>
            <w:t>有</w:t>
          </w:r>
          <w:r>
            <w:rPr>
              <w:spacing w:val="-3"/>
            </w:rPr>
            <w:t>资</w:t>
          </w:r>
          <w:r>
            <w:t>本经</w:t>
          </w:r>
          <w:r>
            <w:rPr>
              <w:spacing w:val="-3"/>
            </w:rPr>
            <w:t>营</w:t>
          </w:r>
          <w:r>
            <w:t>预算</w:t>
          </w:r>
          <w:r>
            <w:rPr>
              <w:spacing w:val="-3"/>
            </w:rPr>
            <w:t>支</w:t>
          </w:r>
          <w:r>
            <w:t>出决</w:t>
          </w:r>
          <w:r>
            <w:rPr>
              <w:spacing w:val="-3"/>
            </w:rPr>
            <w:t>算</w:t>
          </w:r>
          <w:r>
            <w:t>情况</w:t>
          </w:r>
          <w:r>
            <w:rPr>
              <w:spacing w:val="-3"/>
            </w:rPr>
            <w:t>说</w:t>
          </w:r>
          <w:r>
            <w:t>明</w:t>
          </w:r>
          <w:r>
            <w:tab/>
          </w:r>
          <w:r>
            <w:rPr>
              <w:spacing w:val="-1"/>
            </w:rPr>
            <w:t>1</w:t>
          </w:r>
          <w:r>
            <w:rPr>
              <w:spacing w:val="-1"/>
            </w:rPr>
            <w:fldChar w:fldCharType="end"/>
          </w:r>
          <w:r>
            <w:rPr>
              <w:spacing w:val="-1"/>
            </w:rPr>
            <w:t>4</w:t>
          </w:r>
        </w:p>
        <w:p w14:paraId="0D9C430F">
          <w:pPr>
            <w:pStyle w:val="5"/>
            <w:tabs>
              <w:tab w:val="left" w:leader="dot" w:pos="7595"/>
            </w:tabs>
          </w:pPr>
          <w:r>
            <w:fldChar w:fldCharType="begin"/>
          </w:r>
          <w:r>
            <w:instrText xml:space="preserve"> HYPERLINK \l "_bookmark12" </w:instrText>
          </w:r>
          <w:r>
            <w:fldChar w:fldCharType="separate"/>
          </w:r>
          <w:r>
            <w:t>十、 预</w:t>
          </w:r>
          <w:r>
            <w:rPr>
              <w:spacing w:val="-3"/>
            </w:rPr>
            <w:t>算</w:t>
          </w:r>
          <w:r>
            <w:t>绩效</w:t>
          </w:r>
          <w:r>
            <w:rPr>
              <w:spacing w:val="-3"/>
            </w:rPr>
            <w:t>情</w:t>
          </w:r>
          <w:r>
            <w:t>况说明</w:t>
          </w:r>
          <w:r>
            <w:tab/>
          </w:r>
          <w:r>
            <w:rPr>
              <w:spacing w:val="-1"/>
            </w:rPr>
            <w:t>1</w:t>
          </w:r>
          <w:r>
            <w:rPr>
              <w:spacing w:val="-1"/>
            </w:rPr>
            <w:fldChar w:fldCharType="end"/>
          </w:r>
          <w:r>
            <w:rPr>
              <w:spacing w:val="-1"/>
            </w:rPr>
            <w:t>4</w:t>
          </w:r>
        </w:p>
        <w:p w14:paraId="69461889">
          <w:pPr>
            <w:pStyle w:val="5"/>
            <w:tabs>
              <w:tab w:val="left" w:leader="dot" w:pos="7595"/>
            </w:tabs>
            <w:ind w:right="425"/>
          </w:pPr>
          <w:r>
            <w:fldChar w:fldCharType="begin"/>
          </w:r>
          <w:r>
            <w:instrText xml:space="preserve"> HYPERLINK \l "_bookmark13" </w:instrText>
          </w:r>
          <w:r>
            <w:fldChar w:fldCharType="separate"/>
          </w:r>
          <w:r>
            <w:t>十一</w:t>
          </w:r>
          <w:r>
            <w:rPr>
              <w:spacing w:val="-3"/>
            </w:rPr>
            <w:t>、</w:t>
          </w:r>
          <w:r>
            <w:t>其他</w:t>
          </w:r>
          <w:r>
            <w:rPr>
              <w:spacing w:val="-3"/>
            </w:rPr>
            <w:t>重</w:t>
          </w:r>
          <w:r>
            <w:t>要事</w:t>
          </w:r>
          <w:r>
            <w:rPr>
              <w:spacing w:val="-3"/>
            </w:rPr>
            <w:t>项</w:t>
          </w:r>
          <w:r>
            <w:t>的情</w:t>
          </w:r>
          <w:r>
            <w:rPr>
              <w:spacing w:val="-3"/>
            </w:rPr>
            <w:t>况</w:t>
          </w:r>
          <w:r>
            <w:t>说明</w:t>
          </w:r>
          <w:r>
            <w:tab/>
          </w:r>
          <w:r>
            <w:t>15</w:t>
          </w:r>
          <w:r>
            <w:fldChar w:fldCharType="end"/>
          </w:r>
        </w:p>
        <w:p w14:paraId="6AE7EB7D">
          <w:pPr>
            <w:pStyle w:val="5"/>
            <w:tabs>
              <w:tab w:val="left" w:leader="dot" w:pos="8015"/>
            </w:tabs>
            <w:spacing w:before="359"/>
            <w:ind w:right="423"/>
          </w:pPr>
          <w:r>
            <w:fldChar w:fldCharType="begin"/>
          </w:r>
          <w:r>
            <w:instrText xml:space="preserve"> HYPERLINK \l "_bookmark14" </w:instrText>
          </w:r>
          <w:r>
            <w:fldChar w:fldCharType="separate"/>
          </w:r>
          <w:r>
            <w:t>第</w:t>
          </w:r>
          <w:r>
            <w:rPr>
              <w:spacing w:val="-3"/>
            </w:rPr>
            <w:t>三</w:t>
          </w:r>
          <w:r>
            <w:t>部分 名词</w:t>
          </w:r>
          <w:r>
            <w:rPr>
              <w:spacing w:val="-3"/>
            </w:rPr>
            <w:t>解</w:t>
          </w:r>
          <w:r>
            <w:t>释</w:t>
          </w:r>
          <w:r>
            <w:tab/>
          </w:r>
          <w:r>
            <w:rPr>
              <w:spacing w:val="-1"/>
            </w:rPr>
            <w:t>1</w:t>
          </w:r>
          <w:r>
            <w:rPr>
              <w:spacing w:val="-1"/>
            </w:rPr>
            <w:fldChar w:fldCharType="end"/>
          </w:r>
          <w:r>
            <w:rPr>
              <w:spacing w:val="-1"/>
            </w:rPr>
            <w:t>6</w:t>
          </w:r>
        </w:p>
        <w:p w14:paraId="0326BFAC">
          <w:pPr>
            <w:pStyle w:val="5"/>
            <w:tabs>
              <w:tab w:val="left" w:leader="dot" w:pos="8015"/>
            </w:tabs>
            <w:spacing w:before="356"/>
            <w:ind w:right="421"/>
          </w:pPr>
          <w:r>
            <w:fldChar w:fldCharType="begin"/>
          </w:r>
          <w:r>
            <w:instrText xml:space="preserve"> HYPERLINK \l "_bookmark15" </w:instrText>
          </w:r>
          <w:r>
            <w:fldChar w:fldCharType="separate"/>
          </w:r>
          <w:r>
            <w:t>第四</w:t>
          </w:r>
          <w:r>
            <w:rPr>
              <w:spacing w:val="-3"/>
            </w:rPr>
            <w:t>部</w:t>
          </w:r>
          <w:r>
            <w:t>分 附件</w:t>
          </w:r>
          <w:r>
            <w:tab/>
          </w:r>
          <w:r>
            <w:t>18</w:t>
          </w:r>
          <w:r>
            <w:fldChar w:fldCharType="end"/>
          </w:r>
        </w:p>
        <w:p w14:paraId="075D122F">
          <w:pPr>
            <w:pStyle w:val="5"/>
            <w:tabs>
              <w:tab w:val="left" w:leader="dot" w:pos="7595"/>
            </w:tabs>
            <w:spacing w:before="266" w:after="20"/>
            <w:ind w:right="425"/>
          </w:pPr>
          <w:r>
            <w:fldChar w:fldCharType="begin"/>
          </w:r>
          <w:r>
            <w:instrText xml:space="preserve"> HYPERLINK \l "_bookmark16" </w:instrText>
          </w:r>
          <w:r>
            <w:fldChar w:fldCharType="separate"/>
          </w:r>
          <w:r>
            <w:t>附件</w:t>
          </w:r>
          <w:r>
            <w:rPr>
              <w:spacing w:val="-73"/>
            </w:rPr>
            <w:t xml:space="preserve"> </w:t>
          </w:r>
          <w:r>
            <w:t>1</w:t>
          </w:r>
          <w:r>
            <w:tab/>
          </w:r>
          <w:r>
            <w:t>18</w:t>
          </w:r>
          <w:r>
            <w:fldChar w:fldCharType="end"/>
          </w:r>
        </w:p>
        <w:p w14:paraId="0BE07375">
          <w:pPr>
            <w:pStyle w:val="5"/>
            <w:tabs>
              <w:tab w:val="right" w:leader="dot" w:pos="8295"/>
            </w:tabs>
            <w:spacing w:before="75"/>
            <w:ind w:right="423"/>
          </w:pPr>
          <w:bookmarkStart w:id="2" w:name="_bookmark0"/>
          <w:bookmarkEnd w:id="2"/>
          <w:r>
            <w:fldChar w:fldCharType="begin"/>
          </w:r>
          <w:r>
            <w:instrText xml:space="preserve"> HYPERLINK \l "_bookmark17" </w:instrText>
          </w:r>
          <w:r>
            <w:fldChar w:fldCharType="separate"/>
          </w:r>
          <w:r>
            <w:t>第五</w:t>
          </w:r>
          <w:r>
            <w:rPr>
              <w:spacing w:val="-3"/>
            </w:rPr>
            <w:t>部</w:t>
          </w:r>
          <w:r>
            <w:t>分</w:t>
          </w:r>
          <w:r>
            <w:rPr>
              <w:spacing w:val="-1"/>
            </w:rPr>
            <w:t xml:space="preserve"> </w:t>
          </w:r>
          <w:r>
            <w:t>附表</w:t>
          </w:r>
          <w:r>
            <w:tab/>
          </w:r>
          <w:r>
            <w:t>3</w:t>
          </w:r>
          <w:r>
            <w:fldChar w:fldCharType="end"/>
          </w:r>
          <w:r>
            <w:t>0</w:t>
          </w:r>
        </w:p>
        <w:p w14:paraId="2CA35604">
          <w:pPr>
            <w:pStyle w:val="5"/>
            <w:tabs>
              <w:tab w:val="right" w:leader="dot" w:pos="7875"/>
            </w:tabs>
            <w:spacing w:before="266"/>
          </w:pPr>
          <w:r>
            <w:t>一</w:t>
          </w:r>
          <w:r>
            <w:rPr>
              <w:spacing w:val="-3"/>
            </w:rPr>
            <w:t>、</w:t>
          </w:r>
          <w:r>
            <w:fldChar w:fldCharType="begin"/>
          </w:r>
          <w:r>
            <w:instrText xml:space="preserve"> HYPERLINK \l "_bookmark18" </w:instrText>
          </w:r>
          <w:r>
            <w:fldChar w:fldCharType="separate"/>
          </w:r>
          <w:r>
            <w:t>收</w:t>
          </w:r>
          <w:r>
            <w:rPr>
              <w:spacing w:val="-3"/>
            </w:rPr>
            <w:t>入</w:t>
          </w:r>
          <w:r>
            <w:t>支出</w:t>
          </w:r>
          <w:r>
            <w:rPr>
              <w:spacing w:val="-3"/>
            </w:rPr>
            <w:t>决</w:t>
          </w:r>
          <w:r>
            <w:t>算总表</w:t>
          </w:r>
          <w:r>
            <w:tab/>
          </w:r>
          <w:r>
            <w:t>3</w:t>
          </w:r>
          <w:r>
            <w:fldChar w:fldCharType="end"/>
          </w:r>
          <w:r>
            <w:t>0</w:t>
          </w:r>
        </w:p>
        <w:p w14:paraId="06D1EC85">
          <w:pPr>
            <w:pStyle w:val="5"/>
            <w:tabs>
              <w:tab w:val="right" w:leader="dot" w:pos="7875"/>
            </w:tabs>
          </w:pPr>
          <w:r>
            <w:t>二</w:t>
          </w:r>
          <w:r>
            <w:rPr>
              <w:spacing w:val="-3"/>
            </w:rPr>
            <w:t>、</w:t>
          </w:r>
          <w:r>
            <w:fldChar w:fldCharType="begin"/>
          </w:r>
          <w:r>
            <w:instrText xml:space="preserve"> HYPERLINK \l "_bookmark19" </w:instrText>
          </w:r>
          <w:r>
            <w:fldChar w:fldCharType="separate"/>
          </w:r>
          <w:r>
            <w:t>收</w:t>
          </w:r>
          <w:r>
            <w:rPr>
              <w:spacing w:val="-3"/>
            </w:rPr>
            <w:t>入</w:t>
          </w:r>
          <w:r>
            <w:t>总表</w:t>
          </w:r>
          <w:r>
            <w:tab/>
          </w:r>
          <w:r>
            <w:t>3</w:t>
          </w:r>
          <w:r>
            <w:fldChar w:fldCharType="end"/>
          </w:r>
          <w:r>
            <w:t>0</w:t>
          </w:r>
        </w:p>
        <w:p w14:paraId="2EA899F0">
          <w:pPr>
            <w:pStyle w:val="5"/>
            <w:tabs>
              <w:tab w:val="right" w:leader="dot" w:pos="7875"/>
            </w:tabs>
          </w:pPr>
          <w:r>
            <w:t>三</w:t>
          </w:r>
          <w:r>
            <w:rPr>
              <w:spacing w:val="-3"/>
            </w:rPr>
            <w:t>、</w:t>
          </w:r>
          <w:r>
            <w:fldChar w:fldCharType="begin"/>
          </w:r>
          <w:r>
            <w:instrText xml:space="preserve"> HYPERLINK \l "_bookmark20" </w:instrText>
          </w:r>
          <w:r>
            <w:fldChar w:fldCharType="separate"/>
          </w:r>
          <w:r>
            <w:t>支</w:t>
          </w:r>
          <w:r>
            <w:rPr>
              <w:spacing w:val="-3"/>
            </w:rPr>
            <w:t>出</w:t>
          </w:r>
          <w:r>
            <w:t>总表</w:t>
          </w:r>
          <w:r>
            <w:tab/>
          </w:r>
          <w:r>
            <w:t>3</w:t>
          </w:r>
          <w:r>
            <w:fldChar w:fldCharType="end"/>
          </w:r>
          <w:r>
            <w:t>0</w:t>
          </w:r>
        </w:p>
        <w:p w14:paraId="422C283D">
          <w:pPr>
            <w:pStyle w:val="5"/>
            <w:tabs>
              <w:tab w:val="right" w:leader="dot" w:pos="7875"/>
            </w:tabs>
            <w:spacing w:before="266"/>
          </w:pPr>
          <w:r>
            <w:t>四</w:t>
          </w:r>
          <w:r>
            <w:rPr>
              <w:spacing w:val="-3"/>
            </w:rPr>
            <w:t>、</w:t>
          </w:r>
          <w:r>
            <w:fldChar w:fldCharType="begin"/>
          </w:r>
          <w:r>
            <w:instrText xml:space="preserve"> HYPERLINK \l "_bookmark21" </w:instrText>
          </w:r>
          <w:r>
            <w:fldChar w:fldCharType="separate"/>
          </w:r>
          <w:r>
            <w:t>财</w:t>
          </w:r>
          <w:r>
            <w:rPr>
              <w:spacing w:val="-3"/>
            </w:rPr>
            <w:t>政</w:t>
          </w:r>
          <w:r>
            <w:t>拨款</w:t>
          </w:r>
          <w:r>
            <w:rPr>
              <w:spacing w:val="-3"/>
            </w:rPr>
            <w:t>收</w:t>
          </w:r>
          <w:r>
            <w:t>入支</w:t>
          </w:r>
          <w:r>
            <w:rPr>
              <w:spacing w:val="-3"/>
            </w:rPr>
            <w:t>出</w:t>
          </w:r>
          <w:r>
            <w:t>决算</w:t>
          </w:r>
          <w:r>
            <w:rPr>
              <w:spacing w:val="-3"/>
            </w:rPr>
            <w:t>总</w:t>
          </w:r>
          <w:r>
            <w:t>表</w:t>
          </w:r>
          <w:r>
            <w:tab/>
          </w:r>
          <w:r>
            <w:t>3</w:t>
          </w:r>
          <w:r>
            <w:fldChar w:fldCharType="end"/>
          </w:r>
          <w:r>
            <w:t>0</w:t>
          </w:r>
        </w:p>
        <w:p w14:paraId="22384F52">
          <w:pPr>
            <w:pStyle w:val="5"/>
            <w:tabs>
              <w:tab w:val="right" w:leader="dot" w:pos="7875"/>
            </w:tabs>
          </w:pPr>
          <w:r>
            <w:t>五</w:t>
          </w:r>
          <w:r>
            <w:rPr>
              <w:spacing w:val="-3"/>
            </w:rPr>
            <w:t>、</w:t>
          </w:r>
          <w:r>
            <w:fldChar w:fldCharType="begin"/>
          </w:r>
          <w:r>
            <w:instrText xml:space="preserve"> HYPERLINK \l "_bookmark22" </w:instrText>
          </w:r>
          <w:r>
            <w:fldChar w:fldCharType="separate"/>
          </w:r>
          <w:r>
            <w:t>财</w:t>
          </w:r>
          <w:r>
            <w:rPr>
              <w:spacing w:val="-3"/>
            </w:rPr>
            <w:t>政</w:t>
          </w:r>
          <w:r>
            <w:t>拨款</w:t>
          </w:r>
          <w:r>
            <w:rPr>
              <w:spacing w:val="-3"/>
            </w:rPr>
            <w:t>支</w:t>
          </w:r>
          <w:r>
            <w:t>出决</w:t>
          </w:r>
          <w:r>
            <w:rPr>
              <w:spacing w:val="-3"/>
            </w:rPr>
            <w:t>算</w:t>
          </w:r>
          <w:r>
            <w:t>明细</w:t>
          </w:r>
          <w:r>
            <w:rPr>
              <w:spacing w:val="-3"/>
            </w:rPr>
            <w:t>表</w:t>
          </w:r>
          <w:r>
            <w:t>（政</w:t>
          </w:r>
          <w:r>
            <w:rPr>
              <w:spacing w:val="-3"/>
            </w:rPr>
            <w:t>府</w:t>
          </w:r>
          <w:r>
            <w:t>经济</w:t>
          </w:r>
          <w:r>
            <w:rPr>
              <w:spacing w:val="-3"/>
            </w:rPr>
            <w:t>分</w:t>
          </w:r>
          <w:r>
            <w:t>类科</w:t>
          </w:r>
          <w:r>
            <w:rPr>
              <w:spacing w:val="-3"/>
            </w:rPr>
            <w:t>目</w:t>
          </w:r>
          <w:r>
            <w:t>）</w:t>
          </w:r>
          <w:r>
            <w:tab/>
          </w:r>
          <w:r>
            <w:t>3</w:t>
          </w:r>
          <w:r>
            <w:fldChar w:fldCharType="end"/>
          </w:r>
          <w:r>
            <w:t>0</w:t>
          </w:r>
        </w:p>
        <w:p w14:paraId="7ACF306C">
          <w:pPr>
            <w:pStyle w:val="5"/>
            <w:tabs>
              <w:tab w:val="right" w:leader="dot" w:pos="7875"/>
            </w:tabs>
          </w:pPr>
          <w:r>
            <w:t>六</w:t>
          </w:r>
          <w:r>
            <w:rPr>
              <w:spacing w:val="-3"/>
            </w:rPr>
            <w:t>、</w:t>
          </w:r>
          <w:r>
            <w:fldChar w:fldCharType="begin"/>
          </w:r>
          <w:r>
            <w:instrText xml:space="preserve"> HYPERLINK \l "_bookmark23"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表</w:t>
          </w:r>
          <w:r>
            <w:tab/>
          </w:r>
          <w:r>
            <w:t>3</w:t>
          </w:r>
          <w:r>
            <w:fldChar w:fldCharType="end"/>
          </w:r>
          <w:r>
            <w:t>0</w:t>
          </w:r>
        </w:p>
        <w:p w14:paraId="0597FE50">
          <w:pPr>
            <w:pStyle w:val="5"/>
            <w:tabs>
              <w:tab w:val="right" w:leader="dot" w:pos="7875"/>
            </w:tabs>
          </w:pPr>
          <w:r>
            <w:t>七</w:t>
          </w:r>
          <w:r>
            <w:rPr>
              <w:spacing w:val="-3"/>
            </w:rPr>
            <w:t>、</w:t>
          </w:r>
          <w:r>
            <w:fldChar w:fldCharType="begin"/>
          </w:r>
          <w:r>
            <w:instrText xml:space="preserve"> HYPERLINK \l "_bookmark24" </w:instrText>
          </w:r>
          <w:r>
            <w:fldChar w:fldCharType="separate"/>
          </w:r>
          <w:r>
            <w:t>一</w:t>
          </w:r>
          <w:r>
            <w:rPr>
              <w:spacing w:val="-3"/>
            </w:rPr>
            <w:t>般</w:t>
          </w:r>
          <w:r>
            <w:t>公共</w:t>
          </w:r>
          <w:r>
            <w:rPr>
              <w:spacing w:val="-3"/>
            </w:rPr>
            <w:t>预</w:t>
          </w:r>
          <w:r>
            <w:t>算财</w:t>
          </w:r>
          <w:r>
            <w:rPr>
              <w:spacing w:val="-3"/>
            </w:rPr>
            <w:t>政</w:t>
          </w:r>
          <w:r>
            <w:t>拨款</w:t>
          </w:r>
          <w:r>
            <w:rPr>
              <w:spacing w:val="-3"/>
            </w:rPr>
            <w:t>支</w:t>
          </w:r>
          <w:r>
            <w:t>出决</w:t>
          </w:r>
          <w:r>
            <w:rPr>
              <w:spacing w:val="-3"/>
            </w:rPr>
            <w:t>算</w:t>
          </w:r>
          <w:r>
            <w:t>明细表</w:t>
          </w:r>
          <w:r>
            <w:tab/>
          </w:r>
          <w:r>
            <w:t>3</w:t>
          </w:r>
          <w:r>
            <w:fldChar w:fldCharType="end"/>
          </w:r>
          <w:r>
            <w:t>0</w:t>
          </w:r>
        </w:p>
        <w:p w14:paraId="58F0C908">
          <w:pPr>
            <w:pStyle w:val="5"/>
            <w:tabs>
              <w:tab w:val="right" w:leader="dot" w:pos="7875"/>
            </w:tabs>
            <w:spacing w:before="266"/>
          </w:pPr>
          <w:r>
            <w:t>八</w:t>
          </w:r>
          <w:r>
            <w:rPr>
              <w:spacing w:val="-3"/>
            </w:rPr>
            <w:t>、</w:t>
          </w:r>
          <w:r>
            <w:fldChar w:fldCharType="begin"/>
          </w:r>
          <w:r>
            <w:instrText xml:space="preserve"> HYPERLINK \l "_bookmark25" </w:instrText>
          </w:r>
          <w:r>
            <w:fldChar w:fldCharType="separate"/>
          </w:r>
          <w:r>
            <w:t>一</w:t>
          </w:r>
          <w:r>
            <w:rPr>
              <w:spacing w:val="-3"/>
            </w:rPr>
            <w:t>般</w:t>
          </w:r>
          <w:r>
            <w:t>公共</w:t>
          </w:r>
          <w:r>
            <w:rPr>
              <w:spacing w:val="-3"/>
            </w:rPr>
            <w:t>预</w:t>
          </w:r>
          <w:r>
            <w:t>算财</w:t>
          </w:r>
          <w:r>
            <w:rPr>
              <w:spacing w:val="-3"/>
            </w:rPr>
            <w:t>政</w:t>
          </w:r>
          <w:r>
            <w:t>拨款</w:t>
          </w:r>
          <w:r>
            <w:rPr>
              <w:spacing w:val="-3"/>
            </w:rPr>
            <w:t>基</w:t>
          </w:r>
          <w:r>
            <w:t>本支</w:t>
          </w:r>
          <w:r>
            <w:rPr>
              <w:spacing w:val="-3"/>
            </w:rPr>
            <w:t>出</w:t>
          </w:r>
          <w:r>
            <w:t>决算表</w:t>
          </w:r>
          <w:r>
            <w:tab/>
          </w:r>
          <w:r>
            <w:t>3</w:t>
          </w:r>
          <w:r>
            <w:fldChar w:fldCharType="end"/>
          </w:r>
          <w:r>
            <w:t>0</w:t>
          </w:r>
        </w:p>
        <w:p w14:paraId="45D3380E">
          <w:pPr>
            <w:pStyle w:val="5"/>
            <w:tabs>
              <w:tab w:val="right" w:leader="dot" w:pos="7875"/>
            </w:tabs>
          </w:pPr>
          <w:r>
            <w:t>九</w:t>
          </w:r>
          <w:r>
            <w:rPr>
              <w:spacing w:val="-3"/>
            </w:rPr>
            <w:t>、</w:t>
          </w:r>
          <w:r>
            <w:fldChar w:fldCharType="begin"/>
          </w:r>
          <w:r>
            <w:instrText xml:space="preserve"> HYPERLINK \l "_bookmark26" </w:instrText>
          </w:r>
          <w:r>
            <w:fldChar w:fldCharType="separate"/>
          </w:r>
          <w:r>
            <w:t>一</w:t>
          </w:r>
          <w:r>
            <w:rPr>
              <w:spacing w:val="-3"/>
            </w:rPr>
            <w:t>般</w:t>
          </w:r>
          <w:r>
            <w:t>公共</w:t>
          </w:r>
          <w:r>
            <w:rPr>
              <w:spacing w:val="-3"/>
            </w:rPr>
            <w:t>预</w:t>
          </w:r>
          <w:r>
            <w:t>算财</w:t>
          </w:r>
          <w:r>
            <w:rPr>
              <w:spacing w:val="-3"/>
            </w:rPr>
            <w:t>政</w:t>
          </w:r>
          <w:r>
            <w:t>拨款</w:t>
          </w:r>
          <w:r>
            <w:rPr>
              <w:spacing w:val="-3"/>
            </w:rPr>
            <w:t>项</w:t>
          </w:r>
          <w:r>
            <w:t>目支</w:t>
          </w:r>
          <w:r>
            <w:rPr>
              <w:spacing w:val="-3"/>
            </w:rPr>
            <w:t>出</w:t>
          </w:r>
          <w:r>
            <w:t>决算表</w:t>
          </w:r>
          <w:r>
            <w:tab/>
          </w:r>
          <w:r>
            <w:t>3</w:t>
          </w:r>
          <w:r>
            <w:fldChar w:fldCharType="end"/>
          </w:r>
          <w:r>
            <w:t>0</w:t>
          </w:r>
        </w:p>
        <w:p w14:paraId="79401BD2">
          <w:pPr>
            <w:pStyle w:val="5"/>
            <w:tabs>
              <w:tab w:val="right" w:leader="dot" w:pos="7875"/>
            </w:tabs>
          </w:pPr>
          <w:r>
            <w:t>十</w:t>
          </w:r>
          <w:r>
            <w:rPr>
              <w:spacing w:val="-3"/>
            </w:rPr>
            <w:t>、</w:t>
          </w:r>
          <w:r>
            <w:fldChar w:fldCharType="begin"/>
          </w:r>
          <w:r>
            <w:instrText xml:space="preserve"> HYPERLINK \l "_bookmark27" </w:instrText>
          </w:r>
          <w:r>
            <w:fldChar w:fldCharType="separate"/>
          </w:r>
          <w:r>
            <w:t>一</w:t>
          </w:r>
          <w:r>
            <w:rPr>
              <w:spacing w:val="-3"/>
            </w:rPr>
            <w:t>般</w:t>
          </w:r>
          <w:r>
            <w:t>公共</w:t>
          </w:r>
          <w:r>
            <w:rPr>
              <w:spacing w:val="-3"/>
            </w:rPr>
            <w:t>预</w:t>
          </w:r>
          <w:r>
            <w:t>算财</w:t>
          </w:r>
          <w:r>
            <w:rPr>
              <w:spacing w:val="-3"/>
            </w:rPr>
            <w:t>政</w:t>
          </w:r>
          <w:r>
            <w:t>拨款“三</w:t>
          </w:r>
          <w:r>
            <w:rPr>
              <w:spacing w:val="-3"/>
            </w:rPr>
            <w:t>公</w:t>
          </w:r>
          <w:r>
            <w:t>”经</w:t>
          </w:r>
          <w:r>
            <w:rPr>
              <w:spacing w:val="-3"/>
            </w:rPr>
            <w:t>费</w:t>
          </w:r>
          <w:r>
            <w:t>支出</w:t>
          </w:r>
          <w:r>
            <w:rPr>
              <w:spacing w:val="-3"/>
            </w:rPr>
            <w:t>决</w:t>
          </w:r>
          <w:r>
            <w:t>算表</w:t>
          </w:r>
          <w:r>
            <w:tab/>
          </w:r>
          <w:r>
            <w:t>3</w:t>
          </w:r>
          <w:r>
            <w:fldChar w:fldCharType="end"/>
          </w:r>
          <w:r>
            <w:t>0</w:t>
          </w:r>
        </w:p>
        <w:p w14:paraId="5AD73CE0">
          <w:pPr>
            <w:pStyle w:val="5"/>
            <w:tabs>
              <w:tab w:val="right" w:leader="dot" w:pos="7875"/>
            </w:tabs>
          </w:pPr>
          <w:r>
            <w:t>十</w:t>
          </w:r>
          <w:r>
            <w:rPr>
              <w:spacing w:val="-3"/>
            </w:rPr>
            <w:t>一</w:t>
          </w:r>
          <w:r>
            <w:t>、</w:t>
          </w:r>
          <w:r>
            <w:fldChar w:fldCharType="begin"/>
          </w:r>
          <w:r>
            <w:instrText xml:space="preserve"> HYPERLINK \l "_bookmark28" </w:instrText>
          </w:r>
          <w:r>
            <w:fldChar w:fldCharType="separate"/>
          </w:r>
          <w:r>
            <w:t>政</w:t>
          </w:r>
          <w:r>
            <w:rPr>
              <w:spacing w:val="-3"/>
            </w:rPr>
            <w:t>府</w:t>
          </w:r>
          <w:r>
            <w:t>性基</w:t>
          </w:r>
          <w:r>
            <w:rPr>
              <w:spacing w:val="-3"/>
            </w:rPr>
            <w:t>金</w:t>
          </w:r>
          <w:r>
            <w:t>预算</w:t>
          </w:r>
          <w:r>
            <w:rPr>
              <w:spacing w:val="-3"/>
            </w:rPr>
            <w:t>财</w:t>
          </w:r>
          <w:r>
            <w:t>政拨</w:t>
          </w:r>
          <w:r>
            <w:rPr>
              <w:spacing w:val="-3"/>
            </w:rPr>
            <w:t>款</w:t>
          </w:r>
          <w:r>
            <w:t>收入</w:t>
          </w:r>
          <w:r>
            <w:rPr>
              <w:spacing w:val="-3"/>
            </w:rPr>
            <w:t>支</w:t>
          </w:r>
          <w:r>
            <w:t>出决</w:t>
          </w:r>
          <w:r>
            <w:rPr>
              <w:spacing w:val="-3"/>
            </w:rPr>
            <w:t>算</w:t>
          </w:r>
          <w:r>
            <w:t>表</w:t>
          </w:r>
          <w:r>
            <w:tab/>
          </w:r>
          <w:r>
            <w:t>3</w:t>
          </w:r>
          <w:r>
            <w:fldChar w:fldCharType="end"/>
          </w:r>
          <w:r>
            <w:t>0</w:t>
          </w:r>
        </w:p>
        <w:p w14:paraId="70FCCE05">
          <w:pPr>
            <w:pStyle w:val="5"/>
            <w:tabs>
              <w:tab w:val="right" w:leader="dot" w:pos="7875"/>
            </w:tabs>
            <w:spacing w:before="266"/>
          </w:pPr>
          <w:r>
            <w:t>十</w:t>
          </w:r>
          <w:r>
            <w:rPr>
              <w:spacing w:val="-3"/>
            </w:rPr>
            <w:t>二</w:t>
          </w:r>
          <w:r>
            <w:t>、</w:t>
          </w:r>
          <w:r>
            <w:fldChar w:fldCharType="begin"/>
          </w:r>
          <w:r>
            <w:instrText xml:space="preserve"> HYPERLINK \l "_bookmark29" </w:instrText>
          </w:r>
          <w:r>
            <w:fldChar w:fldCharType="separate"/>
          </w:r>
          <w:r>
            <w:t>政</w:t>
          </w:r>
          <w:r>
            <w:rPr>
              <w:spacing w:val="-3"/>
            </w:rPr>
            <w:t>府</w:t>
          </w:r>
          <w:r>
            <w:t>性基</w:t>
          </w:r>
          <w:r>
            <w:rPr>
              <w:spacing w:val="-3"/>
            </w:rPr>
            <w:t>金</w:t>
          </w:r>
          <w:r>
            <w:t>预算</w:t>
          </w:r>
          <w:r>
            <w:rPr>
              <w:spacing w:val="-3"/>
            </w:rPr>
            <w:t>财</w:t>
          </w:r>
          <w:r>
            <w:t>政拨</w:t>
          </w:r>
          <w:r>
            <w:rPr>
              <w:spacing w:val="-3"/>
            </w:rPr>
            <w:t>款</w:t>
          </w:r>
          <w:r>
            <w:t>“三</w:t>
          </w:r>
          <w:r>
            <w:rPr>
              <w:spacing w:val="-3"/>
            </w:rPr>
            <w:t>公</w:t>
          </w:r>
          <w:r>
            <w:t>”经</w:t>
          </w:r>
          <w:r>
            <w:rPr>
              <w:spacing w:val="-3"/>
            </w:rPr>
            <w:t>费</w:t>
          </w:r>
          <w:r>
            <w:t>支出</w:t>
          </w:r>
          <w:r>
            <w:rPr>
              <w:spacing w:val="-3"/>
            </w:rPr>
            <w:t>决</w:t>
          </w:r>
          <w:r>
            <w:t>算表</w:t>
          </w:r>
          <w:r>
            <w:tab/>
          </w:r>
          <w:r>
            <w:t>3</w:t>
          </w:r>
          <w:r>
            <w:fldChar w:fldCharType="end"/>
          </w:r>
          <w:r>
            <w:t>0</w:t>
          </w:r>
        </w:p>
        <w:p w14:paraId="093CA82F">
          <w:pPr>
            <w:pStyle w:val="5"/>
            <w:tabs>
              <w:tab w:val="right" w:leader="dot" w:pos="7875"/>
            </w:tabs>
          </w:pPr>
          <w:r>
            <w:t>十</w:t>
          </w:r>
          <w:r>
            <w:rPr>
              <w:spacing w:val="-3"/>
            </w:rPr>
            <w:t>三</w:t>
          </w:r>
          <w:r>
            <w:t>、</w:t>
          </w:r>
          <w:r>
            <w:fldChar w:fldCharType="begin"/>
          </w:r>
          <w:r>
            <w:instrText xml:space="preserve"> HYPERLINK \l "_bookmark30" </w:instrText>
          </w:r>
          <w:r>
            <w:fldChar w:fldCharType="separate"/>
          </w:r>
          <w:r>
            <w:t>国</w:t>
          </w:r>
          <w:r>
            <w:rPr>
              <w:spacing w:val="-3"/>
            </w:rPr>
            <w:t>有</w:t>
          </w:r>
          <w:r>
            <w:t>资本</w:t>
          </w:r>
          <w:r>
            <w:rPr>
              <w:spacing w:val="-3"/>
            </w:rPr>
            <w:t>经</w:t>
          </w:r>
          <w:r>
            <w:t>营预</w:t>
          </w:r>
          <w:r>
            <w:rPr>
              <w:spacing w:val="-3"/>
            </w:rPr>
            <w:t>算</w:t>
          </w:r>
          <w:r>
            <w:t>支出</w:t>
          </w:r>
          <w:r>
            <w:rPr>
              <w:spacing w:val="-3"/>
            </w:rPr>
            <w:t>决</w:t>
          </w:r>
          <w:r>
            <w:t>算表</w:t>
          </w:r>
          <w:r>
            <w:tab/>
          </w:r>
          <w:r>
            <w:t>3</w:t>
          </w:r>
          <w:r>
            <w:fldChar w:fldCharType="end"/>
          </w:r>
          <w:r>
            <w:t>0</w:t>
          </w:r>
        </w:p>
      </w:sdtContent>
    </w:sdt>
    <w:p w14:paraId="4503BE59">
      <w:pPr>
        <w:spacing w:after="0"/>
        <w:sectPr>
          <w:type w:val="continuous"/>
          <w:pgSz w:w="11910" w:h="16840"/>
          <w:pgMar w:top="1500" w:right="1380" w:bottom="1630" w:left="1560" w:header="720" w:footer="720" w:gutter="0"/>
          <w:cols w:space="720" w:num="1"/>
        </w:sectPr>
      </w:pPr>
    </w:p>
    <w:p w14:paraId="6186629F">
      <w:pPr>
        <w:pStyle w:val="2"/>
        <w:spacing w:before="15"/>
        <w:ind w:left="491" w:right="671"/>
      </w:pPr>
      <w:bookmarkStart w:id="3" w:name="第一部分 部门概况"/>
      <w:bookmarkEnd w:id="3"/>
      <w:r>
        <w:t>第一部分 部门概况</w:t>
      </w:r>
    </w:p>
    <w:p w14:paraId="2E2E585B">
      <w:pPr>
        <w:pStyle w:val="4"/>
        <w:spacing w:before="0"/>
        <w:ind w:left="0"/>
        <w:rPr>
          <w:rFonts w:ascii="黑体"/>
          <w:sz w:val="44"/>
        </w:rPr>
      </w:pPr>
    </w:p>
    <w:p w14:paraId="7F85F02E">
      <w:pPr>
        <w:pStyle w:val="4"/>
        <w:spacing w:before="0"/>
        <w:ind w:left="0"/>
        <w:rPr>
          <w:rFonts w:ascii="黑体"/>
          <w:sz w:val="44"/>
        </w:rPr>
      </w:pPr>
    </w:p>
    <w:p w14:paraId="40BA3187">
      <w:pPr>
        <w:pStyle w:val="4"/>
        <w:spacing w:before="289"/>
        <w:rPr>
          <w:rFonts w:hint="eastAsia" w:ascii="黑体" w:eastAsia="黑体"/>
        </w:rPr>
      </w:pPr>
      <w:bookmarkStart w:id="4" w:name="_bookmark1"/>
      <w:bookmarkEnd w:id="4"/>
      <w:bookmarkStart w:id="5" w:name="一、基本职能及主要工作"/>
      <w:bookmarkEnd w:id="5"/>
      <w:r>
        <w:rPr>
          <w:rFonts w:hint="eastAsia" w:ascii="黑体" w:eastAsia="黑体"/>
        </w:rPr>
        <w:t>一、基本职能及主要工作</w:t>
      </w:r>
    </w:p>
    <w:p w14:paraId="7ED4A944">
      <w:pPr>
        <w:pStyle w:val="4"/>
        <w:spacing w:before="1"/>
        <w:ind w:left="0"/>
        <w:rPr>
          <w:rFonts w:ascii="黑体"/>
          <w:sz w:val="41"/>
        </w:rPr>
      </w:pPr>
    </w:p>
    <w:p w14:paraId="302EBFAA">
      <w:pPr>
        <w:pStyle w:val="4"/>
        <w:spacing w:before="0"/>
        <w:ind w:left="911"/>
      </w:pPr>
      <w:bookmarkStart w:id="6" w:name="（一）主要职能。"/>
      <w:bookmarkEnd w:id="6"/>
      <w:r>
        <w:t>（一）主要职能。</w:t>
      </w:r>
    </w:p>
    <w:p w14:paraId="338DDB94">
      <w:pPr>
        <w:pStyle w:val="4"/>
        <w:spacing w:line="350" w:lineRule="auto"/>
        <w:ind w:right="259" w:firstLine="640"/>
      </w:pPr>
      <w:bookmarkStart w:id="7" w:name="1、制定和组织实施经济、科技和社会发展计划，制定资源开发技术改造和产业结构调整方"/>
      <w:bookmarkEnd w:id="7"/>
      <w:r>
        <w:rPr>
          <w:spacing w:val="6"/>
        </w:rPr>
        <w:t>1、制定和组织实施经济、科技和社会发展计划，制定</w:t>
      </w:r>
      <w:r>
        <w:t>资源开发技术改造和产业结构调整方案，组织指导好各业生</w:t>
      </w:r>
      <w:r>
        <w:rPr>
          <w:spacing w:val="-15"/>
          <w:w w:val="95"/>
        </w:rPr>
        <w:t xml:space="preserve">产，搞好商品流通，协调好本乡与外地区的经济交流与合作， </w:t>
      </w:r>
      <w:r>
        <w:rPr>
          <w:spacing w:val="-10"/>
        </w:rPr>
        <w:t>抓好招商引资，人才引进项目开发，不断培育市场体系，组织经济运行，促进经济发展。</w:t>
      </w:r>
    </w:p>
    <w:p w14:paraId="3307DB23">
      <w:pPr>
        <w:pStyle w:val="4"/>
        <w:spacing w:before="7" w:line="350" w:lineRule="auto"/>
        <w:ind w:right="259" w:firstLine="799"/>
      </w:pPr>
      <w:r>
        <w:t>2</w:t>
      </w:r>
      <w:r>
        <w:rPr>
          <w:spacing w:val="-15"/>
        </w:rPr>
        <w:t xml:space="preserve">、制定并组织实施村镇建设规划，部署重点工程建设， </w:t>
      </w:r>
      <w:r>
        <w:rPr>
          <w:spacing w:val="-13"/>
        </w:rPr>
        <w:t>地方道路建设及公共设施，水利设施的管理，负责土地、林木、水等自然资源和生态环境的保护，做好护林防火工作。</w:t>
      </w:r>
    </w:p>
    <w:p w14:paraId="5E7C9508">
      <w:pPr>
        <w:pStyle w:val="4"/>
        <w:spacing w:before="4" w:line="350" w:lineRule="auto"/>
        <w:ind w:right="405" w:firstLine="799"/>
        <w:jc w:val="both"/>
      </w:pPr>
      <w:r>
        <w:t>3、负责本行政区域内的民政、计划生育、文化教育、卫生、体育等社会公益事业的综合性工作，维护一切经济单位和个人的正当经济权益，取缔非法经济活动，调解和处理民事纠纷，打击刑事犯罪维护社会稳定。</w:t>
      </w:r>
    </w:p>
    <w:p w14:paraId="295289EB">
      <w:pPr>
        <w:pStyle w:val="4"/>
        <w:spacing w:before="6" w:line="350" w:lineRule="auto"/>
        <w:ind w:right="259" w:firstLine="640"/>
      </w:pPr>
      <w:bookmarkStart w:id="8" w:name="4、按计划组织本级财政收入和地方税的征收，完成国家财政计划，不断培植税源，管好财"/>
      <w:bookmarkEnd w:id="8"/>
      <w:r>
        <w:rPr>
          <w:spacing w:val="6"/>
        </w:rPr>
        <w:t>4、按计划组织本级财政收入和地方税的征收，完成国</w:t>
      </w:r>
      <w:r>
        <w:rPr>
          <w:spacing w:val="-13"/>
          <w:w w:val="95"/>
        </w:rPr>
        <w:t>家财政计划，不断培植税源，管好财政资金，增强财政实力。</w:t>
      </w:r>
    </w:p>
    <w:p w14:paraId="4B1B2FBF">
      <w:pPr>
        <w:pStyle w:val="4"/>
        <w:spacing w:before="3" w:line="350" w:lineRule="auto"/>
        <w:ind w:right="259" w:firstLine="640"/>
      </w:pPr>
      <w:bookmarkStart w:id="9" w:name="5、抓好精神文明建设，丰富群众文化生活，提倡移风易俗，反对封建迷信，破除陈规陋习"/>
      <w:bookmarkEnd w:id="9"/>
      <w:r>
        <w:rPr>
          <w:spacing w:val="6"/>
        </w:rPr>
        <w:t>5、抓好精神文明建设，丰富群众文化生活，提倡移风</w:t>
      </w:r>
      <w:r>
        <w:rPr>
          <w:spacing w:val="-14"/>
          <w:w w:val="95"/>
        </w:rPr>
        <w:t>易俗，反对封建迷信，破除陈规陋习，树立社会主义新风尚。</w:t>
      </w:r>
    </w:p>
    <w:p w14:paraId="2BCAD8E8">
      <w:pPr>
        <w:pStyle w:val="4"/>
        <w:spacing w:before="2"/>
        <w:ind w:left="880"/>
      </w:pPr>
      <w:bookmarkStart w:id="10" w:name="6、完成上级政府交办的其它事项。"/>
      <w:bookmarkEnd w:id="10"/>
      <w:r>
        <w:t>6、完成上级政府交办的其它事项。</w:t>
      </w:r>
    </w:p>
    <w:p w14:paraId="7D79C7D0">
      <w:pPr>
        <w:spacing w:after="0"/>
        <w:sectPr>
          <w:pgSz w:w="11910" w:h="16840"/>
          <w:pgMar w:top="1500" w:right="1380" w:bottom="1380" w:left="1560" w:header="0" w:footer="1196" w:gutter="0"/>
          <w:cols w:space="720" w:num="1"/>
        </w:sectPr>
      </w:pPr>
    </w:p>
    <w:p w14:paraId="003A59EA">
      <w:pPr>
        <w:pStyle w:val="4"/>
        <w:spacing w:before="43"/>
        <w:ind w:left="880"/>
      </w:pPr>
      <w:bookmarkStart w:id="11" w:name="（二）2018年重点工作完成情况。"/>
      <w:bookmarkEnd w:id="11"/>
      <w:r>
        <w:t>（二）2018 年重点工作完成情况。</w:t>
      </w:r>
    </w:p>
    <w:p w14:paraId="5A93D087">
      <w:pPr>
        <w:pStyle w:val="4"/>
        <w:spacing w:line="350" w:lineRule="auto"/>
        <w:ind w:right="259" w:firstLine="640"/>
      </w:pPr>
      <w:bookmarkStart w:id="12" w:name="我们在区委、区政府和镇党委的坚强领导下，在镇人大主席团的监督支持下，以习近平新时"/>
      <w:bookmarkEnd w:id="12"/>
      <w:r>
        <w:rPr>
          <w:spacing w:val="-2"/>
        </w:rPr>
        <w:t>我们在区委、区政府和镇党委的坚强领导下，在镇人大</w:t>
      </w:r>
      <w:r>
        <w:rPr>
          <w:spacing w:val="-4"/>
        </w:rPr>
        <w:t>主席团的监督支持下，以习近平新时代中国特色社会主义思</w:t>
      </w:r>
      <w:r>
        <w:rPr>
          <w:spacing w:val="-5"/>
        </w:rPr>
        <w:t>想为指导，全面贯彻落实党的十九大和习近平总书记对四川工作系列重要指示精神，全面落实省委“一干多支、五区协</w:t>
      </w:r>
      <w:r>
        <w:rPr>
          <w:spacing w:val="-7"/>
          <w:w w:val="99"/>
        </w:rPr>
        <w:t>同”“四向拓展、全域开放”战略部署，坚定不移实施“三</w:t>
      </w:r>
      <w:r>
        <w:rPr>
          <w:spacing w:val="-15"/>
          <w:w w:val="95"/>
        </w:rPr>
        <w:t xml:space="preserve">个一、三个三”兴广战略，上下一心、攻坚克难，团结一致、 </w:t>
      </w:r>
      <w:r>
        <w:rPr>
          <w:spacing w:val="-8"/>
        </w:rPr>
        <w:t>砥砺奋进，全面打赢脱贫摘帽决胜战，圆满完成镇十八届人</w:t>
      </w:r>
      <w:r>
        <w:rPr>
          <w:spacing w:val="4"/>
        </w:rPr>
        <w:t xml:space="preserve">大四次会议确定的目标任务。全年镇域生产总值实现 </w:t>
      </w:r>
      <w:r>
        <w:t xml:space="preserve">2.89 </w:t>
      </w:r>
      <w:r>
        <w:rPr>
          <w:spacing w:val="-16"/>
        </w:rPr>
        <w:t xml:space="preserve">亿元、同比增长 </w:t>
      </w:r>
      <w:r>
        <w:rPr>
          <w:spacing w:val="-7"/>
        </w:rPr>
        <w:t>9.5%</w:t>
      </w:r>
      <w:r>
        <w:rPr>
          <w:spacing w:val="-10"/>
        </w:rPr>
        <w:t xml:space="preserve">，农村居民可支配收入达 </w:t>
      </w:r>
      <w:r>
        <w:t>12675</w:t>
      </w:r>
      <w:r>
        <w:rPr>
          <w:spacing w:val="-29"/>
        </w:rPr>
        <w:t xml:space="preserve"> 元，同</w:t>
      </w:r>
      <w:r>
        <w:rPr>
          <w:spacing w:val="-43"/>
        </w:rPr>
        <w:t xml:space="preserve">比增长 </w:t>
      </w:r>
      <w:r>
        <w:t>13%。</w:t>
      </w:r>
    </w:p>
    <w:p w14:paraId="36A6E19D">
      <w:pPr>
        <w:pStyle w:val="4"/>
        <w:spacing w:before="14" w:line="350" w:lineRule="auto"/>
        <w:ind w:right="258" w:firstLine="640"/>
      </w:pPr>
      <w:bookmarkStart w:id="13" w:name="1、坚持以脱贫攻坚为统揽，用真情、扶真贫、真脱贫，攻坚成果丰硕喜人脱贫目标全面完"/>
      <w:bookmarkEnd w:id="13"/>
      <w:r>
        <w:t>1</w:t>
      </w:r>
      <w:r>
        <w:rPr>
          <w:spacing w:val="-4"/>
        </w:rPr>
        <w:t xml:space="preserve">、坚持以脱贫攻坚为统揽，用真情、扶真贫、真脱贫， </w:t>
      </w:r>
      <w:r>
        <w:rPr>
          <w:spacing w:val="-5"/>
        </w:rPr>
        <w:t>攻坚成果丰硕喜人脱贫目标全面完成。严格按照脱贫退出标</w:t>
      </w:r>
      <w:r>
        <w:rPr>
          <w:spacing w:val="-11"/>
        </w:rPr>
        <w:t xml:space="preserve">准精准施策，实现贫困人口 </w:t>
      </w:r>
      <w:r>
        <w:t>216</w:t>
      </w:r>
      <w:r>
        <w:rPr>
          <w:spacing w:val="-55"/>
        </w:rPr>
        <w:t xml:space="preserve"> 户 </w:t>
      </w:r>
      <w:r>
        <w:t>606</w:t>
      </w:r>
      <w:r>
        <w:rPr>
          <w:spacing w:val="-10"/>
        </w:rPr>
        <w:t xml:space="preserve"> 人脱贫，庙儿顶、肖家寨两村实现整村退出。完成镇便民服务中心、镇小学、镇</w:t>
      </w:r>
      <w:r>
        <w:rPr>
          <w:spacing w:val="-9"/>
        </w:rPr>
        <w:t>卫生院标准化建设，实现区摘帽“三有”达标。发展以脆桃</w:t>
      </w:r>
      <w:r>
        <w:rPr>
          <w:spacing w:val="-13"/>
        </w:rPr>
        <w:t xml:space="preserve">种植为主的长短结合、种养循环户办小庭园 </w:t>
      </w:r>
      <w:r>
        <w:t>560</w:t>
      </w:r>
      <w:r>
        <w:rPr>
          <w:spacing w:val="-16"/>
        </w:rPr>
        <w:t xml:space="preserve"> 余个，助力</w:t>
      </w:r>
    </w:p>
    <w:p w14:paraId="571C1182">
      <w:pPr>
        <w:pStyle w:val="4"/>
        <w:spacing w:before="8"/>
        <w:jc w:val="both"/>
      </w:pPr>
      <w:r>
        <w:rPr>
          <w:spacing w:val="-5"/>
        </w:rPr>
        <w:t xml:space="preserve">贫困户户均增收 </w:t>
      </w:r>
      <w:r>
        <w:t>2000</w:t>
      </w:r>
      <w:r>
        <w:rPr>
          <w:spacing w:val="-16"/>
        </w:rPr>
        <w:t xml:space="preserve"> 元。全面完成 </w:t>
      </w:r>
      <w:r>
        <w:t>187</w:t>
      </w:r>
      <w:r>
        <w:rPr>
          <w:spacing w:val="-51"/>
        </w:rPr>
        <w:t xml:space="preserve"> 户 </w:t>
      </w:r>
      <w:r>
        <w:t>597</w:t>
      </w:r>
      <w:r>
        <w:rPr>
          <w:spacing w:val="-10"/>
        </w:rPr>
        <w:t xml:space="preserve"> 人易地扶贫</w:t>
      </w:r>
    </w:p>
    <w:p w14:paraId="549A5FD1">
      <w:pPr>
        <w:pStyle w:val="4"/>
        <w:jc w:val="both"/>
      </w:pPr>
      <w:r>
        <w:rPr>
          <w:spacing w:val="-6"/>
        </w:rPr>
        <w:t xml:space="preserve">搬迁安置任务，新建易地搬迁聚居点 </w:t>
      </w:r>
      <w:r>
        <w:t>6</w:t>
      </w:r>
      <w:r>
        <w:rPr>
          <w:spacing w:val="-12"/>
        </w:rPr>
        <w:t xml:space="preserve"> 个，带动面上群众新</w:t>
      </w:r>
    </w:p>
    <w:p w14:paraId="305D0E92">
      <w:pPr>
        <w:pStyle w:val="4"/>
        <w:spacing w:line="350" w:lineRule="auto"/>
        <w:ind w:right="417"/>
        <w:jc w:val="both"/>
      </w:pPr>
      <w:r>
        <w:t>（改</w:t>
      </w:r>
      <w:r>
        <w:rPr>
          <w:spacing w:val="-5"/>
        </w:rPr>
        <w:t>）</w:t>
      </w:r>
      <w:r>
        <w:rPr>
          <w:spacing w:val="-22"/>
        </w:rPr>
        <w:t xml:space="preserve">建房屋 </w:t>
      </w:r>
      <w:r>
        <w:t>653</w:t>
      </w:r>
      <w:r>
        <w:rPr>
          <w:spacing w:val="-16"/>
        </w:rPr>
        <w:t xml:space="preserve"> 户，共拆除危旧土坯房 </w:t>
      </w:r>
      <w:r>
        <w:t>698</w:t>
      </w:r>
      <w:r>
        <w:rPr>
          <w:spacing w:val="-14"/>
        </w:rPr>
        <w:t xml:space="preserve"> 户，着力改变</w:t>
      </w:r>
      <w:r>
        <w:rPr>
          <w:spacing w:val="-9"/>
          <w:w w:val="95"/>
        </w:rPr>
        <w:t>农村人居环境“脏乱差”现状，扎实开展人居环境整治“九</w:t>
      </w:r>
      <w:r>
        <w:rPr>
          <w:spacing w:val="7"/>
          <w:w w:val="99"/>
        </w:rPr>
        <w:t>大</w:t>
      </w:r>
      <w:r>
        <w:rPr>
          <w:spacing w:val="-7"/>
          <w:w w:val="99"/>
        </w:rPr>
        <w:t>行动”，全面完成贫困户入户路、院坝、微田园建设和旱</w:t>
      </w:r>
      <w:r>
        <w:t>厕改造。</w:t>
      </w:r>
    </w:p>
    <w:p w14:paraId="485F9F49">
      <w:pPr>
        <w:spacing w:after="0" w:line="350" w:lineRule="auto"/>
        <w:jc w:val="both"/>
        <w:sectPr>
          <w:pgSz w:w="11910" w:h="16840"/>
          <w:pgMar w:top="1540" w:right="1380" w:bottom="1380" w:left="1560" w:header="0" w:footer="1196" w:gutter="0"/>
          <w:cols w:space="720" w:num="1"/>
        </w:sectPr>
      </w:pPr>
    </w:p>
    <w:p w14:paraId="63BA6EDB">
      <w:pPr>
        <w:pStyle w:val="4"/>
        <w:spacing w:before="43" w:line="350" w:lineRule="auto"/>
        <w:ind w:right="258" w:firstLine="640"/>
      </w:pPr>
      <w:bookmarkStart w:id="14" w:name="2、坚持以项目投资为重点，促进度、保质量、带发展，增强发展后劲，项目管理规范高效"/>
      <w:bookmarkEnd w:id="14"/>
      <w:r>
        <w:t>2</w:t>
      </w:r>
      <w:r>
        <w:rPr>
          <w:spacing w:val="-4"/>
        </w:rPr>
        <w:t xml:space="preserve">、坚持以项目投资为重点，促进度、保质量、带发展， </w:t>
      </w:r>
      <w:r>
        <w:rPr>
          <w:spacing w:val="-5"/>
        </w:rPr>
        <w:t>增强发展后劲，项目管理规范高效。编制重大项目清单，实行动态管控，将各项任务细化到月、落实到人，形成项目推</w:t>
      </w:r>
      <w:r>
        <w:rPr>
          <w:spacing w:val="-7"/>
        </w:rPr>
        <w:t>进的“横道图”。采取规范建设程序、规范资金拨付、加快竣工结算、强化项目监督四项措施强化项目管理规范化、科</w:t>
      </w:r>
      <w:r>
        <w:rPr>
          <w:spacing w:val="-12"/>
        </w:rPr>
        <w:t xml:space="preserve">学化。全年完成项目备案 </w:t>
      </w:r>
      <w:r>
        <w:t>4</w:t>
      </w:r>
      <w:r>
        <w:rPr>
          <w:spacing w:val="-19"/>
        </w:rPr>
        <w:t xml:space="preserve"> 个，完成项目入库 </w:t>
      </w:r>
      <w:r>
        <w:t>3</w:t>
      </w:r>
      <w:r>
        <w:rPr>
          <w:spacing w:val="-15"/>
        </w:rPr>
        <w:t xml:space="preserve"> 个，年末项</w:t>
      </w:r>
      <w:r>
        <w:rPr>
          <w:spacing w:val="-9"/>
        </w:rPr>
        <w:t xml:space="preserve">目固定投资金额达 </w:t>
      </w:r>
      <w:r>
        <w:t>2560</w:t>
      </w:r>
      <w:r>
        <w:rPr>
          <w:spacing w:val="-14"/>
        </w:rPr>
        <w:t xml:space="preserve"> 万元，完成目标任务的 </w:t>
      </w:r>
      <w:r>
        <w:t>128%。依托</w:t>
      </w:r>
      <w:r>
        <w:rPr>
          <w:spacing w:val="4"/>
          <w:w w:val="95"/>
        </w:rPr>
        <w:t xml:space="preserve">区位资源优势，不断优化投资发展环境，通过“以商招商” </w:t>
      </w:r>
      <w:r>
        <w:rPr>
          <w:spacing w:val="-8"/>
          <w:w w:val="99"/>
        </w:rPr>
        <w:t>“以情招商”“返乡创业招商”招大引强，累计引进四海三</w:t>
      </w:r>
      <w:r>
        <w:rPr>
          <w:spacing w:val="-3"/>
        </w:rPr>
        <w:t xml:space="preserve">联禽业等各类企业业主 </w:t>
      </w:r>
      <w:r>
        <w:t>23</w:t>
      </w:r>
      <w:r>
        <w:rPr>
          <w:spacing w:val="-10"/>
        </w:rPr>
        <w:t xml:space="preserve"> 个，签约招商引资协议 </w:t>
      </w:r>
      <w:r>
        <w:t>5</w:t>
      </w:r>
      <w:r>
        <w:rPr>
          <w:spacing w:val="-17"/>
        </w:rPr>
        <w:t xml:space="preserve"> 个，签</w:t>
      </w:r>
    </w:p>
    <w:p w14:paraId="277328C8">
      <w:pPr>
        <w:pStyle w:val="4"/>
        <w:spacing w:before="14"/>
      </w:pPr>
      <w:r>
        <w:rPr>
          <w:spacing w:val="-22"/>
        </w:rPr>
        <w:t xml:space="preserve">约资金 </w:t>
      </w:r>
      <w:r>
        <w:t>5.56</w:t>
      </w:r>
      <w:r>
        <w:rPr>
          <w:spacing w:val="-18"/>
        </w:rPr>
        <w:t xml:space="preserve"> 亿元，实现到位资金 </w:t>
      </w:r>
      <w:r>
        <w:t>0.25</w:t>
      </w:r>
      <w:r>
        <w:rPr>
          <w:spacing w:val="-11"/>
        </w:rPr>
        <w:t xml:space="preserve"> 亿元，企业辐射带动</w:t>
      </w:r>
    </w:p>
    <w:p w14:paraId="2DF84562">
      <w:pPr>
        <w:pStyle w:val="4"/>
      </w:pPr>
      <w:r>
        <w:rPr>
          <w:spacing w:val="-2"/>
        </w:rPr>
        <w:t xml:space="preserve">贫困户年实现租金收入 </w:t>
      </w:r>
      <w:r>
        <w:t>42</w:t>
      </w:r>
      <w:r>
        <w:rPr>
          <w:spacing w:val="-11"/>
        </w:rPr>
        <w:t xml:space="preserve"> 万余元，就近务工收入 </w:t>
      </w:r>
      <w:r>
        <w:t>260</w:t>
      </w:r>
      <w:r>
        <w:rPr>
          <w:spacing w:val="-25"/>
        </w:rPr>
        <w:t xml:space="preserve"> 余万</w:t>
      </w:r>
    </w:p>
    <w:p w14:paraId="6E9F9D1B">
      <w:pPr>
        <w:pStyle w:val="4"/>
      </w:pPr>
      <w:r>
        <w:rPr>
          <w:spacing w:val="-15"/>
        </w:rPr>
        <w:t xml:space="preserve">元，股金分红 </w:t>
      </w:r>
      <w:r>
        <w:t>120</w:t>
      </w:r>
      <w:r>
        <w:rPr>
          <w:spacing w:val="-10"/>
        </w:rPr>
        <w:t xml:space="preserve"> 余万元。加强基础条件改善，完成元柏树</w:t>
      </w:r>
    </w:p>
    <w:p w14:paraId="33BD339F">
      <w:pPr>
        <w:pStyle w:val="4"/>
      </w:pPr>
      <w:r>
        <w:rPr>
          <w:spacing w:val="-24"/>
        </w:rPr>
        <w:t xml:space="preserve">等村 </w:t>
      </w:r>
      <w:r>
        <w:t>3.8</w:t>
      </w:r>
      <w:r>
        <w:rPr>
          <w:spacing w:val="-8"/>
        </w:rPr>
        <w:t xml:space="preserve"> 公里村道新建，完成八庙等 </w:t>
      </w:r>
      <w:r>
        <w:t>10</w:t>
      </w:r>
      <w:r>
        <w:rPr>
          <w:spacing w:val="-38"/>
        </w:rPr>
        <w:t xml:space="preserve"> 个村 </w:t>
      </w:r>
      <w:r>
        <w:t>36.58</w:t>
      </w:r>
      <w:r>
        <w:rPr>
          <w:spacing w:val="-16"/>
        </w:rPr>
        <w:t xml:space="preserve"> 公里社</w:t>
      </w:r>
    </w:p>
    <w:p w14:paraId="2050F5C7">
      <w:pPr>
        <w:pStyle w:val="4"/>
      </w:pPr>
      <w:r>
        <w:rPr>
          <w:spacing w:val="-11"/>
        </w:rPr>
        <w:t xml:space="preserve">道硬化，加宽长岭等 </w:t>
      </w:r>
      <w:r>
        <w:t>4</w:t>
      </w:r>
      <w:r>
        <w:rPr>
          <w:spacing w:val="-28"/>
        </w:rPr>
        <w:t xml:space="preserve"> 个村村道 </w:t>
      </w:r>
      <w:r>
        <w:t>15.05</w:t>
      </w:r>
      <w:r>
        <w:rPr>
          <w:spacing w:val="-11"/>
        </w:rPr>
        <w:t xml:space="preserve"> 公里，铺设泥结石路</w:t>
      </w:r>
    </w:p>
    <w:p w14:paraId="49CFFF80">
      <w:pPr>
        <w:pStyle w:val="4"/>
        <w:spacing w:line="350" w:lineRule="auto"/>
        <w:ind w:right="417"/>
        <w:jc w:val="both"/>
      </w:pPr>
      <w:r>
        <w:t>16.8</w:t>
      </w:r>
      <w:r>
        <w:rPr>
          <w:spacing w:val="-16"/>
        </w:rPr>
        <w:t xml:space="preserve"> 公里，硬化入户路 </w:t>
      </w:r>
      <w:r>
        <w:t>48.8</w:t>
      </w:r>
      <w:r>
        <w:rPr>
          <w:spacing w:val="-7"/>
        </w:rPr>
        <w:t xml:space="preserve"> 公里，镇境内各村村社主干道</w:t>
      </w:r>
      <w:r>
        <w:rPr>
          <w:spacing w:val="-1"/>
        </w:rPr>
        <w:t xml:space="preserve">均已硬化，畅通群众出行。投入公共运行经费等 </w:t>
      </w:r>
      <w:r>
        <w:t>55</w:t>
      </w:r>
      <w:r>
        <w:rPr>
          <w:spacing w:val="-19"/>
        </w:rPr>
        <w:t xml:space="preserve"> 万余元</w:t>
      </w:r>
      <w:r>
        <w:rPr>
          <w:spacing w:val="-36"/>
        </w:rPr>
        <w:t xml:space="preserve">对全镇 </w:t>
      </w:r>
      <w:r>
        <w:t>18</w:t>
      </w:r>
      <w:r>
        <w:rPr>
          <w:spacing w:val="-16"/>
        </w:rPr>
        <w:t xml:space="preserve"> 处损毁路面维修整治。投入资金 </w:t>
      </w:r>
      <w:r>
        <w:t>50</w:t>
      </w:r>
      <w:r>
        <w:rPr>
          <w:spacing w:val="-13"/>
        </w:rPr>
        <w:t xml:space="preserve"> 余万元完成平</w:t>
      </w:r>
      <w:r>
        <w:rPr>
          <w:spacing w:val="-14"/>
        </w:rPr>
        <w:t>顶寺小二型水库维修整治，整治危漏“当家塘”</w:t>
      </w:r>
      <w:r>
        <w:rPr>
          <w:spacing w:val="-7"/>
        </w:rPr>
        <w:t>12</w:t>
      </w:r>
      <w:r>
        <w:rPr>
          <w:spacing w:val="-24"/>
        </w:rPr>
        <w:t xml:space="preserve"> 口，岁修</w:t>
      </w:r>
      <w:r>
        <w:rPr>
          <w:spacing w:val="-43"/>
        </w:rPr>
        <w:t xml:space="preserve">渠道 </w:t>
      </w:r>
      <w:r>
        <w:t>35</w:t>
      </w:r>
      <w:r>
        <w:rPr>
          <w:spacing w:val="-10"/>
        </w:rPr>
        <w:t xml:space="preserve"> 公里，生产生活用水保障显著加强。</w:t>
      </w:r>
    </w:p>
    <w:p w14:paraId="689009F6">
      <w:pPr>
        <w:pStyle w:val="4"/>
        <w:spacing w:before="7" w:line="350" w:lineRule="auto"/>
        <w:ind w:right="214" w:firstLine="640"/>
      </w:pPr>
      <w:bookmarkStart w:id="15" w:name="3、坚持以农业农村为抓手，兴产业、促结合、重改革，现代农业初具雏形，农业产业蓬勃"/>
      <w:bookmarkEnd w:id="15"/>
      <w:r>
        <w:t>3、坚持以农业农村为抓手，兴产业、促结合、重改革， 现代农业初具雏形，农业产业蓬勃发展。高产粮面积突破1500 亩，总产量达到 1125 吨。庙儿顶、肖家寨两村建种养</w:t>
      </w:r>
    </w:p>
    <w:p w14:paraId="24EC8D84">
      <w:pPr>
        <w:spacing w:after="0" w:line="350" w:lineRule="auto"/>
        <w:sectPr>
          <w:pgSz w:w="11910" w:h="16840"/>
          <w:pgMar w:top="1540" w:right="1380" w:bottom="1380" w:left="1560" w:header="0" w:footer="1196" w:gutter="0"/>
          <w:cols w:space="720" w:num="1"/>
        </w:sectPr>
      </w:pPr>
    </w:p>
    <w:p w14:paraId="7D6BCA82">
      <w:pPr>
        <w:pStyle w:val="4"/>
        <w:spacing w:before="43"/>
        <w:jc w:val="both"/>
      </w:pPr>
      <w:r>
        <w:rPr>
          <w:spacing w:val="-10"/>
        </w:rPr>
        <w:t xml:space="preserve">循环生态养殖小区 </w:t>
      </w:r>
      <w:r>
        <w:t>2</w:t>
      </w:r>
      <w:r>
        <w:rPr>
          <w:spacing w:val="-11"/>
        </w:rPr>
        <w:t xml:space="preserve"> 个，全力整治畜禽面源污染，全年出栏</w:t>
      </w:r>
    </w:p>
    <w:p w14:paraId="7AC82C1C">
      <w:pPr>
        <w:pStyle w:val="4"/>
        <w:spacing w:line="350" w:lineRule="auto"/>
        <w:ind w:right="417"/>
        <w:jc w:val="both"/>
      </w:pPr>
      <w:r>
        <w:rPr>
          <w:spacing w:val="-24"/>
        </w:rPr>
        <w:t xml:space="preserve">生猪 </w:t>
      </w:r>
      <w:r>
        <w:t>6</w:t>
      </w:r>
      <w:r>
        <w:rPr>
          <w:spacing w:val="-5"/>
        </w:rPr>
        <w:t xml:space="preserve"> 万余头,出栏肉</w:t>
      </w:r>
      <w:r>
        <w:rPr>
          <w:spacing w:val="7"/>
        </w:rPr>
        <w:t>（牛）</w:t>
      </w:r>
      <w:r>
        <w:rPr>
          <w:spacing w:val="-39"/>
        </w:rPr>
        <w:t xml:space="preserve">羊 </w:t>
      </w:r>
      <w:r>
        <w:t>2600</w:t>
      </w:r>
      <w:r>
        <w:rPr>
          <w:spacing w:val="-14"/>
        </w:rPr>
        <w:t xml:space="preserve"> 头，出栏小家禽 </w:t>
      </w:r>
      <w:r>
        <w:t>42</w:t>
      </w:r>
      <w:r>
        <w:rPr>
          <w:spacing w:val="-40"/>
        </w:rPr>
        <w:t xml:space="preserve"> 万</w:t>
      </w:r>
      <w:r>
        <w:rPr>
          <w:spacing w:val="-7"/>
          <w:w w:val="95"/>
        </w:rPr>
        <w:t>只。注重产业以短养长，长短结合，加快产业转型升级，采</w:t>
      </w:r>
      <w:r>
        <w:rPr>
          <w:w w:val="99"/>
        </w:rPr>
        <w:t>取</w:t>
      </w:r>
      <w:r>
        <w:rPr>
          <w:spacing w:val="-1"/>
          <w:w w:val="99"/>
        </w:rPr>
        <w:t>果蔬套种模式，建立</w:t>
      </w:r>
      <w:r>
        <w:rPr>
          <w:spacing w:val="-2"/>
        </w:rPr>
        <w:t xml:space="preserve"> </w:t>
      </w:r>
      <w:r>
        <w:rPr>
          <w:spacing w:val="-13"/>
          <w:w w:val="99"/>
        </w:rPr>
        <w:t>“脆桃+金魔芋”“脆桃+蔬菜”产业</w:t>
      </w:r>
      <w:r>
        <w:rPr>
          <w:spacing w:val="12"/>
        </w:rPr>
        <w:t>园</w:t>
      </w:r>
      <w:r>
        <w:rPr>
          <w:spacing w:val="-37"/>
        </w:rPr>
        <w:t xml:space="preserve">区 </w:t>
      </w:r>
      <w:r>
        <w:t>3</w:t>
      </w:r>
      <w:r>
        <w:rPr>
          <w:spacing w:val="-6"/>
        </w:rPr>
        <w:t xml:space="preserve"> 个，发展高山露地蔬菜 </w:t>
      </w:r>
      <w:r>
        <w:t>12000</w:t>
      </w:r>
      <w:r>
        <w:rPr>
          <w:spacing w:val="-11"/>
        </w:rPr>
        <w:t xml:space="preserve"> 亩，特色小水果 </w:t>
      </w:r>
      <w:r>
        <w:t>1600</w:t>
      </w:r>
    </w:p>
    <w:p w14:paraId="2EB2E23B">
      <w:pPr>
        <w:pStyle w:val="4"/>
        <w:spacing w:before="5" w:line="350" w:lineRule="auto"/>
        <w:ind w:right="417"/>
        <w:jc w:val="both"/>
      </w:pPr>
      <w:r>
        <w:rPr>
          <w:spacing w:val="-29"/>
        </w:rPr>
        <w:t xml:space="preserve">亩，巩固提升 </w:t>
      </w:r>
      <w:r>
        <w:t>2</w:t>
      </w:r>
      <w:r>
        <w:rPr>
          <w:spacing w:val="-56"/>
        </w:rPr>
        <w:t xml:space="preserve"> 个 </w:t>
      </w:r>
      <w:r>
        <w:t>300</w:t>
      </w:r>
      <w:r>
        <w:rPr>
          <w:spacing w:val="-21"/>
        </w:rPr>
        <w:t xml:space="preserve"> 亩以上猕猴桃特色产业园区。坚持“园</w:t>
      </w:r>
      <w:r>
        <w:rPr>
          <w:spacing w:val="-13"/>
        </w:rPr>
        <w:t>区带庭园，业主带农户”发展模式，</w:t>
      </w:r>
      <w:r>
        <w:rPr>
          <w:spacing w:val="-6"/>
        </w:rPr>
        <w:t>1600</w:t>
      </w:r>
      <w:r>
        <w:rPr>
          <w:spacing w:val="-30"/>
        </w:rPr>
        <w:t xml:space="preserve"> 余户建成 </w:t>
      </w:r>
      <w:r>
        <w:t>1</w:t>
      </w:r>
      <w:r>
        <w:rPr>
          <w:spacing w:val="-22"/>
        </w:rPr>
        <w:t xml:space="preserve"> 亩以上</w:t>
      </w:r>
      <w:r>
        <w:rPr>
          <w:spacing w:val="4"/>
          <w:w w:val="95"/>
        </w:rPr>
        <w:t xml:space="preserve">户办小庭园。以特色创名牌,以品牌促特色，围绕畜禽业、 </w:t>
      </w:r>
      <w:r>
        <w:rPr>
          <w:spacing w:val="-1"/>
          <w:w w:val="95"/>
        </w:rPr>
        <w:t>林业和果蔬业三大优势产业建设品牌体系，培育形成“倍儿</w:t>
      </w:r>
      <w:r>
        <w:rPr>
          <w:spacing w:val="7"/>
          <w:w w:val="99"/>
        </w:rPr>
        <w:t>爽</w:t>
      </w:r>
      <w:r>
        <w:rPr>
          <w:spacing w:val="-23"/>
          <w:w w:val="99"/>
        </w:rPr>
        <w:t>金魔玉”、“叮叮”剁椒酱等</w:t>
      </w:r>
      <w:r>
        <w:rPr>
          <w:spacing w:val="-74"/>
        </w:rPr>
        <w:t xml:space="preserve"> </w:t>
      </w:r>
      <w:r>
        <w:rPr>
          <w:w w:val="99"/>
        </w:rPr>
        <w:t>7</w:t>
      </w:r>
      <w:r>
        <w:rPr>
          <w:spacing w:val="-73"/>
        </w:rPr>
        <w:t xml:space="preserve"> </w:t>
      </w:r>
      <w:r>
        <w:rPr>
          <w:spacing w:val="-10"/>
          <w:w w:val="99"/>
        </w:rPr>
        <w:t>个特色农产品品牌，“赤乡</w:t>
      </w:r>
      <w:r>
        <w:t>土</w:t>
      </w:r>
      <w:r>
        <w:rPr>
          <w:spacing w:val="-4"/>
        </w:rPr>
        <w:t>鸡蛋”地理标志商标已被国家工商行政管理总局受理。农</w:t>
      </w:r>
      <w:r>
        <w:rPr>
          <w:w w:val="95"/>
        </w:rPr>
        <w:t>村</w:t>
      </w:r>
      <w:r>
        <w:rPr>
          <w:spacing w:val="-3"/>
          <w:w w:val="95"/>
        </w:rPr>
        <w:t xml:space="preserve">改革扎实推进。坚持盘活“三资”念好“四经”发展壮大 </w:t>
      </w:r>
      <w:r>
        <w:t>村</w:t>
      </w:r>
      <w:r>
        <w:rPr>
          <w:spacing w:val="-3"/>
        </w:rPr>
        <w:t>集体经济，全面完成清产核资、成员界定、股权量化等工作</w:t>
      </w:r>
      <w:r>
        <w:rPr>
          <w:spacing w:val="-23"/>
        </w:rPr>
        <w:t xml:space="preserve">，成立 </w:t>
      </w:r>
      <w:r>
        <w:t>7</w:t>
      </w:r>
      <w:r>
        <w:rPr>
          <w:spacing w:val="-11"/>
        </w:rPr>
        <w:t xml:space="preserve"> 个股份制经济联合社，依托项目投资建设创新多</w:t>
      </w:r>
    </w:p>
    <w:p w14:paraId="3C5F3645">
      <w:pPr>
        <w:pStyle w:val="4"/>
        <w:spacing w:before="13"/>
      </w:pPr>
      <w:r>
        <w:rPr>
          <w:spacing w:val="-6"/>
        </w:rPr>
        <w:t xml:space="preserve">种利益联结机制，发展返租倒包 </w:t>
      </w:r>
      <w:r>
        <w:t>246</w:t>
      </w:r>
      <w:r>
        <w:rPr>
          <w:spacing w:val="-22"/>
        </w:rPr>
        <w:t xml:space="preserve"> 户、借鸡生蛋 </w:t>
      </w:r>
      <w:r>
        <w:t>167</w:t>
      </w:r>
      <w:r>
        <w:rPr>
          <w:spacing w:val="-28"/>
        </w:rPr>
        <w:t xml:space="preserve"> 户、</w:t>
      </w:r>
    </w:p>
    <w:p w14:paraId="4010FDF7">
      <w:pPr>
        <w:pStyle w:val="4"/>
      </w:pPr>
      <w:r>
        <w:rPr>
          <w:spacing w:val="-17"/>
        </w:rPr>
        <w:t xml:space="preserve">代种代养 </w:t>
      </w:r>
      <w:r>
        <w:t>320</w:t>
      </w:r>
      <w:r>
        <w:rPr>
          <w:spacing w:val="-22"/>
        </w:rPr>
        <w:t xml:space="preserve"> 户、托管建园 </w:t>
      </w:r>
      <w:r>
        <w:t>134</w:t>
      </w:r>
      <w:r>
        <w:rPr>
          <w:spacing w:val="-10"/>
        </w:rPr>
        <w:t xml:space="preserve"> 户，确保户村融入产业链，</w:t>
      </w:r>
    </w:p>
    <w:p w14:paraId="7375FD98">
      <w:pPr>
        <w:pStyle w:val="4"/>
      </w:pPr>
      <w:r>
        <w:rPr>
          <w:spacing w:val="-2"/>
        </w:rPr>
        <w:t xml:space="preserve">全镇整体人均集体经济收入达到 </w:t>
      </w:r>
      <w:r>
        <w:t>20</w:t>
      </w:r>
      <w:r>
        <w:rPr>
          <w:spacing w:val="-5"/>
        </w:rPr>
        <w:t xml:space="preserve"> 元以上。整顿规范专合</w:t>
      </w:r>
    </w:p>
    <w:p w14:paraId="2A295A94">
      <w:pPr>
        <w:pStyle w:val="4"/>
      </w:pPr>
      <w:r>
        <w:rPr>
          <w:spacing w:val="-41"/>
        </w:rPr>
        <w:t xml:space="preserve">社 </w:t>
      </w:r>
      <w:r>
        <w:t>2</w:t>
      </w:r>
      <w:r>
        <w:rPr>
          <w:spacing w:val="-19"/>
        </w:rPr>
        <w:t xml:space="preserve"> 个，发展家庭农场 </w:t>
      </w:r>
      <w:r>
        <w:t>4</w:t>
      </w:r>
      <w:r>
        <w:rPr>
          <w:spacing w:val="-16"/>
        </w:rPr>
        <w:t xml:space="preserve"> 个，培育新型职业农民 </w:t>
      </w:r>
      <w:r>
        <w:t>183</w:t>
      </w:r>
      <w:r>
        <w:rPr>
          <w:spacing w:val="-23"/>
        </w:rPr>
        <w:t xml:space="preserve"> 人，科</w:t>
      </w:r>
    </w:p>
    <w:p w14:paraId="4F7A61AE">
      <w:pPr>
        <w:pStyle w:val="4"/>
        <w:spacing w:line="350" w:lineRule="auto"/>
        <w:ind w:left="880" w:right="258" w:hanging="641"/>
      </w:pPr>
      <w:r>
        <w:rPr>
          <w:spacing w:val="-17"/>
        </w:rPr>
        <w:t xml:space="preserve">技示范户 </w:t>
      </w:r>
      <w:r>
        <w:t>50</w:t>
      </w:r>
      <w:r>
        <w:rPr>
          <w:spacing w:val="-26"/>
        </w:rPr>
        <w:t xml:space="preserve"> 户，农业经纪人 </w:t>
      </w:r>
      <w:r>
        <w:t>10</w:t>
      </w:r>
      <w:r>
        <w:rPr>
          <w:spacing w:val="-18"/>
        </w:rPr>
        <w:t xml:space="preserve"> 人，有力助推全镇产业发展。</w:t>
      </w:r>
      <w:bookmarkStart w:id="16" w:name="4、坚持以保障民生为基础，秉公心、促公平、保公证，民生福祉不断改善，人社工作协调"/>
      <w:bookmarkEnd w:id="16"/>
      <w:r>
        <w:rPr>
          <w:spacing w:val="-18"/>
        </w:rPr>
        <w:t>4</w:t>
      </w:r>
      <w:r>
        <w:rPr>
          <w:spacing w:val="-4"/>
        </w:rPr>
        <w:t>、坚持以保障民生为基础，秉公心、促公平、保公证，</w:t>
      </w:r>
    </w:p>
    <w:p w14:paraId="54162523">
      <w:pPr>
        <w:pStyle w:val="4"/>
        <w:spacing w:before="3" w:line="350" w:lineRule="auto"/>
        <w:ind w:right="417"/>
        <w:jc w:val="both"/>
      </w:pPr>
      <w:r>
        <w:rPr>
          <w:spacing w:val="-2"/>
        </w:rPr>
        <w:t>民生福祉不断改善，人社工作协调发展。多渠道开发就业岗</w:t>
      </w:r>
      <w:r>
        <w:rPr>
          <w:spacing w:val="-4"/>
          <w:w w:val="95"/>
        </w:rPr>
        <w:t xml:space="preserve">位，大力宣传落实就业创业扶持政策，开展就业技能培训班 </w:t>
      </w:r>
      <w:r>
        <w:rPr>
          <w:spacing w:val="-25"/>
        </w:rPr>
        <w:t xml:space="preserve">一期 </w:t>
      </w:r>
      <w:r>
        <w:t>70</w:t>
      </w:r>
      <w:r>
        <w:rPr>
          <w:spacing w:val="-9"/>
        </w:rPr>
        <w:t xml:space="preserve"> 余人次，新增就近转移就业 </w:t>
      </w:r>
      <w:r>
        <w:t>120</w:t>
      </w:r>
      <w:r>
        <w:rPr>
          <w:spacing w:val="-6"/>
        </w:rPr>
        <w:t xml:space="preserve"> 人。城乡居民养老</w:t>
      </w:r>
    </w:p>
    <w:p w14:paraId="5B53CAF5">
      <w:pPr>
        <w:spacing w:after="0" w:line="350" w:lineRule="auto"/>
        <w:jc w:val="both"/>
        <w:sectPr>
          <w:pgSz w:w="11910" w:h="16840"/>
          <w:pgMar w:top="1540" w:right="1380" w:bottom="1380" w:left="1560" w:header="0" w:footer="1196" w:gutter="0"/>
          <w:cols w:space="720" w:num="1"/>
        </w:sectPr>
      </w:pPr>
    </w:p>
    <w:p w14:paraId="788C1AFB">
      <w:pPr>
        <w:pStyle w:val="4"/>
        <w:spacing w:before="43" w:line="350" w:lineRule="auto"/>
        <w:ind w:right="258"/>
        <w:jc w:val="both"/>
      </w:pPr>
      <w:r>
        <w:rPr>
          <w:spacing w:val="-4"/>
        </w:rPr>
        <w:t>保险、医疗保险征收实现全覆盖，完成新场村、石井村人社</w:t>
      </w:r>
      <w:r>
        <w:rPr>
          <w:spacing w:val="-6"/>
        </w:rPr>
        <w:t>基层平台标准化建设。民政工作认真贯彻落实低保制度，严</w:t>
      </w:r>
      <w:r>
        <w:rPr>
          <w:spacing w:val="-5"/>
        </w:rPr>
        <w:t>格申请、审核、审批程序和“四会三查三公示”制度，审批</w:t>
      </w:r>
      <w:r>
        <w:rPr>
          <w:spacing w:val="-21"/>
        </w:rPr>
        <w:t xml:space="preserve">农村低保 </w:t>
      </w:r>
      <w:r>
        <w:t>426</w:t>
      </w:r>
      <w:r>
        <w:rPr>
          <w:spacing w:val="-56"/>
        </w:rPr>
        <w:t xml:space="preserve"> 户 </w:t>
      </w:r>
      <w:r>
        <w:t>1210</w:t>
      </w:r>
      <w:r>
        <w:rPr>
          <w:spacing w:val="-11"/>
        </w:rPr>
        <w:t xml:space="preserve"> 人。切实做好“十大救助制度”宣传，</w:t>
      </w:r>
    </w:p>
    <w:p w14:paraId="5D077CDF">
      <w:pPr>
        <w:pStyle w:val="4"/>
        <w:spacing w:before="5"/>
        <w:jc w:val="both"/>
      </w:pPr>
      <w:r>
        <w:t>残疾人居家灵活就业技能培训达 70 人次，实用技术培训 110</w:t>
      </w:r>
    </w:p>
    <w:p w14:paraId="615C719A">
      <w:pPr>
        <w:pStyle w:val="4"/>
        <w:spacing w:before="7" w:line="350" w:lineRule="auto"/>
        <w:ind w:right="417"/>
        <w:jc w:val="both"/>
        <w:rPr>
          <w:spacing w:val="-5"/>
        </w:rPr>
      </w:pPr>
      <w:r>
        <w:rPr>
          <w:spacing w:val="-6"/>
        </w:rPr>
        <w:t xml:space="preserve">人次，扶贫救助 </w:t>
      </w:r>
      <w:r>
        <w:t>81</w:t>
      </w:r>
      <w:r>
        <w:rPr>
          <w:spacing w:val="-3"/>
        </w:rPr>
        <w:t xml:space="preserve"> 人。教育卫计方面，坚持“规范化、精</w:t>
      </w:r>
      <w:r>
        <w:rPr>
          <w:spacing w:val="-5"/>
        </w:rPr>
        <w:t>细化、个性化”教育发展理念，强化教师队伍建设，全面提</w:t>
      </w:r>
      <w:r>
        <w:rPr>
          <w:spacing w:val="-7"/>
        </w:rPr>
        <w:t>高教育质量，全面落实立德树人根本要求，镇小学荣获市级“最美乡村学校”称号；加强镇卫生院基础建设，全面建成10</w:t>
      </w:r>
      <w:r>
        <w:rPr>
          <w:spacing w:val="-10"/>
        </w:rPr>
        <w:t xml:space="preserve"> 个村卫生室。加强社会综合治理，扎实开展</w:t>
      </w:r>
      <w:r>
        <w:rPr>
          <w:rFonts w:hint="eastAsia"/>
          <w:spacing w:val="-10"/>
          <w:lang w:eastAsia="zh-CN"/>
        </w:rPr>
        <w:t>扫黑除恶专项斗争</w:t>
      </w:r>
      <w:bookmarkStart w:id="75" w:name="_GoBack"/>
      <w:bookmarkEnd w:id="75"/>
      <w:r>
        <w:rPr>
          <w:spacing w:val="-1"/>
        </w:rPr>
        <w:t xml:space="preserve">和反邪宣传教育，转化邪教人员 </w:t>
      </w:r>
      <w:r>
        <w:t>19</w:t>
      </w:r>
      <w:r>
        <w:rPr>
          <w:spacing w:val="-9"/>
        </w:rPr>
        <w:t xml:space="preserve"> 名。加强安全隐患排查和治理，全面指导和规范全镇食品安全和应急管理</w:t>
      </w:r>
      <w:r>
        <w:rPr>
          <w:spacing w:val="-7"/>
          <w:w w:val="99"/>
        </w:rPr>
        <w:t>工作，食品药品安全“零事故”，全年无重特大安全事故发</w:t>
      </w:r>
      <w:r>
        <w:rPr>
          <w:spacing w:val="-4"/>
          <w:w w:val="95"/>
        </w:rPr>
        <w:t xml:space="preserve">生。推进文化体育阵地建设，规范图书室、文化室、多功能 </w:t>
      </w:r>
      <w:r>
        <w:rPr>
          <w:spacing w:val="-6"/>
        </w:rPr>
        <w:t>活动室管理，面向广大人民群众免费开放，举办各类文体活</w:t>
      </w:r>
      <w:r>
        <w:rPr>
          <w:spacing w:val="-46"/>
        </w:rPr>
        <w:t xml:space="preserve">动 </w:t>
      </w:r>
      <w:r>
        <w:t>12</w:t>
      </w:r>
      <w:r>
        <w:rPr>
          <w:spacing w:val="-4"/>
        </w:rPr>
        <w:t xml:space="preserve"> 次，不断丰富群众文化生活。在统计、人防、防震减</w:t>
      </w:r>
      <w:r>
        <w:rPr>
          <w:spacing w:val="-3"/>
        </w:rPr>
        <w:t>灾、青少年、妇女儿童、残疾人、民族宗教、科普等工作方</w:t>
      </w:r>
      <w:r>
        <w:rPr>
          <w:spacing w:val="-5"/>
        </w:rPr>
        <w:t>面也取得明显进步，基本完成了上级党委政府下达的各项目标任务。</w:t>
      </w:r>
      <w:bookmarkStart w:id="17" w:name="二、机构设置"/>
      <w:bookmarkEnd w:id="17"/>
      <w:bookmarkStart w:id="18" w:name="_bookmark2"/>
      <w:bookmarkEnd w:id="18"/>
    </w:p>
    <w:p w14:paraId="3320E76A">
      <w:pPr>
        <w:pStyle w:val="4"/>
        <w:spacing w:before="7" w:line="350" w:lineRule="auto"/>
        <w:ind w:right="417" w:firstLine="640" w:firstLineChars="200"/>
        <w:jc w:val="both"/>
        <w:rPr>
          <w:rFonts w:ascii="黑体"/>
          <w:sz w:val="41"/>
        </w:rPr>
      </w:pPr>
      <w:r>
        <w:rPr>
          <w:rFonts w:hint="eastAsia" w:ascii="黑体" w:eastAsia="黑体"/>
        </w:rPr>
        <w:t>二、机构设置</w:t>
      </w:r>
    </w:p>
    <w:p w14:paraId="27920C86">
      <w:pPr>
        <w:pStyle w:val="4"/>
        <w:spacing w:before="0"/>
        <w:ind w:left="0" w:right="483"/>
        <w:jc w:val="right"/>
      </w:pPr>
      <w:bookmarkStart w:id="19" w:name="石井铺镇人民政府属于一级预算单位，下属二级单位0个。其中：行政单位1个，参照公务"/>
      <w:bookmarkEnd w:id="19"/>
      <w:r>
        <w:rPr>
          <w:spacing w:val="-4"/>
        </w:rPr>
        <w:t xml:space="preserve">石井铺镇人民政府属于一级预算单位，下属二级单位 </w:t>
      </w:r>
      <w:r>
        <w:t>0</w:t>
      </w:r>
    </w:p>
    <w:p w14:paraId="7369D2C3">
      <w:pPr>
        <w:pStyle w:val="4"/>
        <w:ind w:left="0" w:right="483"/>
        <w:jc w:val="right"/>
      </w:pPr>
      <w:r>
        <w:rPr>
          <w:spacing w:val="-9"/>
        </w:rPr>
        <w:t xml:space="preserve">个。其中：行政单位 </w:t>
      </w:r>
      <w:r>
        <w:t>1</w:t>
      </w:r>
      <w:r>
        <w:rPr>
          <w:spacing w:val="-15"/>
        </w:rPr>
        <w:t xml:space="preserve"> 个，参照公务员法管理的事业单位 </w:t>
      </w:r>
      <w:r>
        <w:t>0</w:t>
      </w:r>
    </w:p>
    <w:p w14:paraId="7CBF477E">
      <w:pPr>
        <w:spacing w:after="0"/>
        <w:jc w:val="right"/>
        <w:sectPr>
          <w:pgSz w:w="11910" w:h="16840"/>
          <w:pgMar w:top="1540" w:right="1380" w:bottom="1380" w:left="1560" w:header="0" w:footer="1196" w:gutter="0"/>
          <w:cols w:space="720" w:num="1"/>
        </w:sectPr>
      </w:pPr>
    </w:p>
    <w:p w14:paraId="5A3CEE41">
      <w:pPr>
        <w:pStyle w:val="4"/>
        <w:spacing w:before="43"/>
      </w:pPr>
      <w:bookmarkStart w:id="20" w:name="_bookmark7"/>
      <w:bookmarkEnd w:id="20"/>
      <w:r>
        <w:t>个，其他事业单位 0 个。</w:t>
      </w:r>
    </w:p>
    <w:p w14:paraId="5A604FAB">
      <w:pPr>
        <w:pStyle w:val="4"/>
        <w:spacing w:before="12"/>
        <w:ind w:left="0"/>
        <w:rPr>
          <w:sz w:val="35"/>
        </w:rPr>
      </w:pPr>
    </w:p>
    <w:p w14:paraId="68579824">
      <w:pPr>
        <w:pStyle w:val="2"/>
        <w:ind w:left="736"/>
        <w:jc w:val="left"/>
      </w:pPr>
      <w:bookmarkStart w:id="21" w:name="_bookmark3"/>
      <w:bookmarkEnd w:id="21"/>
      <w:bookmarkStart w:id="22" w:name="第二部分 2018年度部门决算情况说明"/>
      <w:bookmarkEnd w:id="22"/>
      <w:r>
        <w:t>第二部分 2018 年度部门决算情况说明</w:t>
      </w:r>
    </w:p>
    <w:p w14:paraId="71EFC182">
      <w:pPr>
        <w:pStyle w:val="4"/>
        <w:spacing w:before="0"/>
        <w:ind w:left="0"/>
        <w:rPr>
          <w:rFonts w:ascii="黑体"/>
          <w:sz w:val="44"/>
        </w:rPr>
      </w:pPr>
    </w:p>
    <w:p w14:paraId="5214409E">
      <w:pPr>
        <w:pStyle w:val="4"/>
        <w:spacing w:before="335"/>
        <w:ind w:left="880"/>
        <w:rPr>
          <w:rFonts w:hint="eastAsia" w:ascii="黑体" w:eastAsia="黑体"/>
        </w:rPr>
      </w:pPr>
      <w:r>
        <w:rPr>
          <w:rFonts w:hint="eastAsia" w:ascii="黑体" w:eastAsia="黑体"/>
        </w:rPr>
        <w:t>一、 收入支出决算总体情况说明</w:t>
      </w:r>
    </w:p>
    <w:p w14:paraId="2716AE25">
      <w:pPr>
        <w:pStyle w:val="4"/>
        <w:spacing w:line="350" w:lineRule="auto"/>
        <w:ind w:right="258" w:firstLine="640"/>
      </w:pPr>
      <w:bookmarkStart w:id="23" w:name="2018年度收、支总计902.05万元。与2017年相比，收、支总计各增加3.3"/>
      <w:bookmarkEnd w:id="23"/>
      <w:r>
        <w:t>2018</w:t>
      </w:r>
      <w:r>
        <w:rPr>
          <w:spacing w:val="-29"/>
        </w:rPr>
        <w:t xml:space="preserve"> 年度收、支总计 </w:t>
      </w:r>
      <w:r>
        <w:t>902.05</w:t>
      </w:r>
      <w:r>
        <w:rPr>
          <w:spacing w:val="-42"/>
        </w:rPr>
        <w:t xml:space="preserve"> 万元。与 </w:t>
      </w:r>
      <w:r>
        <w:t>2017</w:t>
      </w:r>
      <w:r>
        <w:rPr>
          <w:spacing w:val="-25"/>
        </w:rPr>
        <w:t xml:space="preserve"> 年相比，收、</w:t>
      </w:r>
      <w:r>
        <w:rPr>
          <w:spacing w:val="-34"/>
        </w:rPr>
        <w:t xml:space="preserve">支总计各增加 </w:t>
      </w:r>
      <w:r>
        <w:t>3.39</w:t>
      </w:r>
      <w:r>
        <w:rPr>
          <w:spacing w:val="-32"/>
        </w:rPr>
        <w:t xml:space="preserve"> 万元，增长 </w:t>
      </w:r>
      <w:r>
        <w:t>0.38</w:t>
      </w:r>
      <w:r>
        <w:rPr>
          <w:spacing w:val="-7"/>
        </w:rPr>
        <w:t>%。主要变动原因是人员工资年度调整增加。</w:t>
      </w:r>
    </w:p>
    <w:p w14:paraId="0F5CFF93">
      <w:pPr>
        <w:pStyle w:val="4"/>
        <w:spacing w:before="4"/>
        <w:ind w:left="880"/>
        <w:rPr>
          <w:rFonts w:hint="eastAsia" w:ascii="黑体" w:eastAsia="黑体"/>
        </w:rPr>
      </w:pPr>
      <w:r>
        <w:rPr>
          <w:rFonts w:hint="eastAsia" w:ascii="黑体" w:eastAsia="黑体"/>
        </w:rPr>
        <w:t>二、 收入决算情况说明</w:t>
      </w:r>
    </w:p>
    <w:p w14:paraId="6712E3A3">
      <w:pPr>
        <w:pStyle w:val="4"/>
        <w:spacing w:line="350" w:lineRule="auto"/>
        <w:ind w:right="258" w:firstLine="640"/>
        <w:jc w:val="both"/>
      </w:pPr>
      <w:bookmarkStart w:id="24" w:name="2018年本年收入合计687.59万元，其中：一般公共预算财政拨款收入687.5"/>
      <w:bookmarkEnd w:id="24"/>
      <w:r>
        <w:t>2018</w:t>
      </w:r>
      <w:r>
        <w:rPr>
          <w:spacing w:val="-17"/>
        </w:rPr>
        <w:t xml:space="preserve"> 年本年收入合计 </w:t>
      </w:r>
      <w:r>
        <w:t>687.59</w:t>
      </w:r>
      <w:r>
        <w:rPr>
          <w:spacing w:val="-5"/>
        </w:rPr>
        <w:t xml:space="preserve"> 万元，其中：一般公共预</w:t>
      </w:r>
      <w:r>
        <w:rPr>
          <w:spacing w:val="-9"/>
        </w:rPr>
        <w:t xml:space="preserve">算财政拨款收入 </w:t>
      </w:r>
      <w:r>
        <w:t>687.59</w:t>
      </w:r>
      <w:r>
        <w:rPr>
          <w:spacing w:val="-26"/>
        </w:rPr>
        <w:t xml:space="preserve"> 万元，占 </w:t>
      </w:r>
      <w:r>
        <w:t>100%；政府性基金预算财</w:t>
      </w:r>
      <w:r>
        <w:rPr>
          <w:spacing w:val="-13"/>
        </w:rPr>
        <w:t xml:space="preserve">政拨款收入 </w:t>
      </w:r>
      <w:r>
        <w:t>0</w:t>
      </w:r>
      <w:r>
        <w:rPr>
          <w:spacing w:val="-35"/>
        </w:rPr>
        <w:t xml:space="preserve"> 万元，占 </w:t>
      </w:r>
      <w:r>
        <w:rPr>
          <w:spacing w:val="-16"/>
        </w:rPr>
        <w:t>0</w:t>
      </w:r>
      <w:r>
        <w:rPr>
          <w:spacing w:val="-6"/>
        </w:rPr>
        <w:t>%；国有资本经营预算财政拨款收入 0</w:t>
      </w:r>
      <w:r>
        <w:rPr>
          <w:spacing w:val="-28"/>
        </w:rPr>
        <w:t xml:space="preserve"> 万元，占 </w:t>
      </w:r>
      <w:r>
        <w:t>0</w:t>
      </w:r>
      <w:r>
        <w:rPr>
          <w:spacing w:val="-12"/>
        </w:rPr>
        <w:t xml:space="preserve">%；事业收入 </w:t>
      </w:r>
      <w:r>
        <w:t>0</w:t>
      </w:r>
      <w:r>
        <w:rPr>
          <w:spacing w:val="-28"/>
        </w:rPr>
        <w:t xml:space="preserve"> 万元，占 </w:t>
      </w:r>
      <w:r>
        <w:t>0</w:t>
      </w:r>
      <w:r>
        <w:rPr>
          <w:spacing w:val="-12"/>
        </w:rPr>
        <w:t xml:space="preserve">%；经营收入 </w:t>
      </w:r>
      <w:r>
        <w:t>0</w:t>
      </w:r>
      <w:r>
        <w:rPr>
          <w:spacing w:val="-21"/>
        </w:rPr>
        <w:t xml:space="preserve"> 万元， </w:t>
      </w:r>
      <w:r>
        <w:rPr>
          <w:spacing w:val="-53"/>
        </w:rPr>
        <w:t xml:space="preserve">占 </w:t>
      </w:r>
      <w:r>
        <w:t>0</w:t>
      </w:r>
      <w:r>
        <w:rPr>
          <w:spacing w:val="-8"/>
        </w:rPr>
        <w:t xml:space="preserve">%；附属单位上缴收入 </w:t>
      </w:r>
      <w:r>
        <w:t>0</w:t>
      </w:r>
      <w:r>
        <w:rPr>
          <w:spacing w:val="-30"/>
        </w:rPr>
        <w:t xml:space="preserve"> 万元，占 </w:t>
      </w:r>
      <w:r>
        <w:t>0%</w:t>
      </w:r>
      <w:r>
        <w:rPr>
          <w:spacing w:val="-15"/>
        </w:rPr>
        <w:t xml:space="preserve">；其他收入 </w:t>
      </w:r>
      <w:r>
        <w:t>0</w:t>
      </w:r>
      <w:r>
        <w:rPr>
          <w:spacing w:val="-21"/>
        </w:rPr>
        <w:t xml:space="preserve"> 万元， </w:t>
      </w:r>
      <w:r>
        <w:rPr>
          <w:spacing w:val="-51"/>
        </w:rPr>
        <w:t xml:space="preserve">占 </w:t>
      </w:r>
      <w:r>
        <w:t>0%。</w:t>
      </w:r>
    </w:p>
    <w:p w14:paraId="3109960A">
      <w:pPr>
        <w:pStyle w:val="4"/>
        <w:spacing w:before="8"/>
        <w:ind w:left="880"/>
        <w:rPr>
          <w:rFonts w:hint="eastAsia" w:ascii="黑体" w:eastAsia="黑体"/>
        </w:rPr>
      </w:pPr>
      <w:r>
        <w:rPr>
          <w:rFonts w:hint="eastAsia" w:ascii="黑体" w:eastAsia="黑体"/>
        </w:rPr>
        <w:t>三、 支出决算情况说明</w:t>
      </w:r>
    </w:p>
    <w:p w14:paraId="09FFDB24">
      <w:pPr>
        <w:pStyle w:val="4"/>
        <w:ind w:left="880"/>
      </w:pPr>
      <w:r>
        <w:t>2018 年本年支出合计 902.05 万元，其中：基本支出</w:t>
      </w:r>
    </w:p>
    <w:p w14:paraId="073AC1F7">
      <w:pPr>
        <w:pStyle w:val="4"/>
        <w:spacing w:line="350" w:lineRule="auto"/>
        <w:ind w:right="258"/>
      </w:pPr>
      <w:r>
        <w:t>764.2</w:t>
      </w:r>
      <w:r>
        <w:rPr>
          <w:spacing w:val="-34"/>
        </w:rPr>
        <w:t xml:space="preserve"> 万元，占 </w:t>
      </w:r>
      <w:r>
        <w:rPr>
          <w:spacing w:val="-5"/>
        </w:rPr>
        <w:t>84.72</w:t>
      </w:r>
      <w:r>
        <w:rPr>
          <w:spacing w:val="-15"/>
        </w:rPr>
        <w:t xml:space="preserve">%；项目支出 </w:t>
      </w:r>
      <w:r>
        <w:t>137.85</w:t>
      </w:r>
      <w:r>
        <w:rPr>
          <w:spacing w:val="-34"/>
        </w:rPr>
        <w:t xml:space="preserve"> 万元，占 </w:t>
      </w:r>
      <w:r>
        <w:t xml:space="preserve">13.28%； </w:t>
      </w:r>
      <w:r>
        <w:rPr>
          <w:spacing w:val="-7"/>
        </w:rPr>
        <w:t xml:space="preserve">上缴上级支出 </w:t>
      </w:r>
      <w:r>
        <w:t>0</w:t>
      </w:r>
      <w:r>
        <w:rPr>
          <w:spacing w:val="-23"/>
        </w:rPr>
        <w:t xml:space="preserve"> 万元，占 </w:t>
      </w:r>
      <w:r>
        <w:rPr>
          <w:spacing w:val="5"/>
        </w:rPr>
        <w:t>0</w:t>
      </w:r>
      <w:r>
        <w:rPr>
          <w:spacing w:val="-8"/>
        </w:rPr>
        <w:t xml:space="preserve">%；经营支出 </w:t>
      </w:r>
      <w:r>
        <w:t>0</w:t>
      </w:r>
      <w:r>
        <w:rPr>
          <w:spacing w:val="-23"/>
        </w:rPr>
        <w:t xml:space="preserve"> 万元，占 </w:t>
      </w:r>
      <w:r>
        <w:rPr>
          <w:spacing w:val="4"/>
        </w:rPr>
        <w:t>0</w:t>
      </w:r>
      <w:r>
        <w:rPr>
          <w:spacing w:val="2"/>
        </w:rPr>
        <w:t>%；对</w:t>
      </w:r>
      <w:r>
        <w:rPr>
          <w:spacing w:val="-8"/>
        </w:rPr>
        <w:t xml:space="preserve">附属单位补助支出 </w:t>
      </w:r>
      <w:r>
        <w:t>0</w:t>
      </w:r>
      <w:r>
        <w:rPr>
          <w:spacing w:val="-28"/>
        </w:rPr>
        <w:t xml:space="preserve"> 万元，占 </w:t>
      </w:r>
      <w:r>
        <w:t>0%。</w:t>
      </w:r>
    </w:p>
    <w:p w14:paraId="7E23CDA3">
      <w:pPr>
        <w:spacing w:after="0" w:line="350" w:lineRule="auto"/>
        <w:sectPr>
          <w:pgSz w:w="11910" w:h="16840"/>
          <w:pgMar w:top="1540" w:right="1380" w:bottom="1380" w:left="1560" w:header="0" w:footer="1196" w:gutter="0"/>
          <w:cols w:space="720" w:num="1"/>
        </w:sectPr>
      </w:pPr>
    </w:p>
    <w:p w14:paraId="66BAA0E7">
      <w:pPr>
        <w:pStyle w:val="4"/>
        <w:spacing w:before="43"/>
        <w:ind w:left="880"/>
        <w:rPr>
          <w:rFonts w:hint="eastAsia" w:ascii="黑体" w:eastAsia="黑体"/>
        </w:rPr>
      </w:pPr>
      <w:bookmarkStart w:id="25" w:name="四、财政拨款收入支出决算总体情况说明"/>
      <w:bookmarkEnd w:id="25"/>
      <w:r>
        <w:rPr>
          <w:rFonts w:hint="eastAsia" w:ascii="黑体" w:eastAsia="黑体"/>
        </w:rPr>
        <w:t>四、财政拨款收入支出决算总体情况说明</w:t>
      </w:r>
    </w:p>
    <w:p w14:paraId="280C8A5A">
      <w:pPr>
        <w:pStyle w:val="4"/>
        <w:spacing w:line="350" w:lineRule="auto"/>
        <w:ind w:right="417" w:firstLine="640"/>
        <w:jc w:val="both"/>
      </w:pPr>
      <w:r>
        <w:t>2018</w:t>
      </w:r>
      <w:r>
        <w:rPr>
          <w:spacing w:val="-20"/>
        </w:rPr>
        <w:t xml:space="preserve"> 年财政拨款收、支总计 </w:t>
      </w:r>
      <w:r>
        <w:t>902.05</w:t>
      </w:r>
      <w:r>
        <w:rPr>
          <w:spacing w:val="-37"/>
        </w:rPr>
        <w:t xml:space="preserve"> 万元。与 </w:t>
      </w:r>
      <w:r>
        <w:t>2017</w:t>
      </w:r>
      <w:r>
        <w:rPr>
          <w:spacing w:val="-28"/>
        </w:rPr>
        <w:t xml:space="preserve"> 年相</w:t>
      </w:r>
      <w:r>
        <w:rPr>
          <w:spacing w:val="-14"/>
        </w:rPr>
        <w:t xml:space="preserve">比，财政拨款收、支总计各增加 </w:t>
      </w:r>
      <w:r>
        <w:t>3.39</w:t>
      </w:r>
      <w:r>
        <w:rPr>
          <w:spacing w:val="-30"/>
        </w:rPr>
        <w:t xml:space="preserve"> 万元，增长 </w:t>
      </w:r>
      <w:r>
        <w:t>0.38%</w:t>
      </w:r>
      <w:r>
        <w:rPr>
          <w:spacing w:val="-12"/>
        </w:rPr>
        <w:t>。主要变动原因是人员工资年度调整增加。</w:t>
      </w:r>
    </w:p>
    <w:p w14:paraId="6D60F9F5">
      <w:pPr>
        <w:pStyle w:val="4"/>
        <w:spacing w:before="4"/>
        <w:ind w:left="880"/>
        <w:rPr>
          <w:rFonts w:hint="eastAsia" w:ascii="黑体" w:eastAsia="黑体"/>
        </w:rPr>
      </w:pPr>
      <w:bookmarkStart w:id="26" w:name="五、一般公共预算财政拨款支出决算情况说明"/>
      <w:bookmarkEnd w:id="26"/>
      <w:bookmarkStart w:id="27" w:name="_bookmark8"/>
      <w:bookmarkEnd w:id="27"/>
      <w:r>
        <w:rPr>
          <w:rFonts w:hint="eastAsia" w:ascii="黑体" w:eastAsia="黑体"/>
        </w:rPr>
        <w:t>五、</w:t>
      </w:r>
      <w:r>
        <w:rPr>
          <w:rFonts w:hint="eastAsia" w:ascii="黑体" w:eastAsia="黑体"/>
          <w:b/>
        </w:rPr>
        <w:t>一</w:t>
      </w:r>
      <w:r>
        <w:rPr>
          <w:rFonts w:hint="eastAsia" w:ascii="黑体" w:eastAsia="黑体"/>
        </w:rPr>
        <w:t>般公共预算财政拨款支出决算情况说明</w:t>
      </w:r>
    </w:p>
    <w:p w14:paraId="0BFABF7D">
      <w:pPr>
        <w:pStyle w:val="3"/>
      </w:pPr>
      <w:bookmarkStart w:id="28" w:name="（一）一般公共预算财政拨款支出决算总体情况"/>
      <w:bookmarkEnd w:id="28"/>
      <w:r>
        <w:t>（一）一般公共预算财政拨款支出决算总体情况</w:t>
      </w:r>
    </w:p>
    <w:p w14:paraId="43962628">
      <w:pPr>
        <w:pStyle w:val="4"/>
        <w:spacing w:line="350" w:lineRule="auto"/>
        <w:ind w:right="417" w:firstLine="640"/>
        <w:jc w:val="both"/>
      </w:pPr>
      <w:r>
        <w:t>2018</w:t>
      </w:r>
      <w:r>
        <w:rPr>
          <w:spacing w:val="-11"/>
        </w:rPr>
        <w:t xml:space="preserve"> 年一般公共预算财政拨款支出 </w:t>
      </w:r>
      <w:r>
        <w:t>902.05</w:t>
      </w:r>
      <w:r>
        <w:rPr>
          <w:spacing w:val="-13"/>
        </w:rPr>
        <w:t xml:space="preserve"> 万元，占本</w:t>
      </w:r>
      <w:r>
        <w:rPr>
          <w:spacing w:val="-11"/>
        </w:rPr>
        <w:t xml:space="preserve">年支出合计的 </w:t>
      </w:r>
      <w:r>
        <w:t>100</w:t>
      </w:r>
      <w:r>
        <w:rPr>
          <w:spacing w:val="-20"/>
        </w:rPr>
        <w:t xml:space="preserve">%。与 </w:t>
      </w:r>
      <w:r>
        <w:t>2017</w:t>
      </w:r>
      <w:r>
        <w:rPr>
          <w:spacing w:val="-7"/>
        </w:rPr>
        <w:t xml:space="preserve"> 年相比，一般公共预算财政拨</w:t>
      </w:r>
      <w:r>
        <w:rPr>
          <w:spacing w:val="-27"/>
        </w:rPr>
        <w:t xml:space="preserve">款增加 </w:t>
      </w:r>
      <w:r>
        <w:t>117.69</w:t>
      </w:r>
      <w:r>
        <w:rPr>
          <w:spacing w:val="-32"/>
        </w:rPr>
        <w:t xml:space="preserve"> 万元，增长 </w:t>
      </w:r>
      <w:r>
        <w:t>15</w:t>
      </w:r>
      <w:r>
        <w:rPr>
          <w:spacing w:val="-7"/>
        </w:rPr>
        <w:t>%。主要变动原因是上年财政拨款结转的财政应返还额度本年安排支出。</w:t>
      </w:r>
    </w:p>
    <w:p w14:paraId="74D4B38D">
      <w:pPr>
        <w:pStyle w:val="3"/>
        <w:spacing w:before="5"/>
      </w:pPr>
      <w:bookmarkStart w:id="29" w:name="（二）一般公共预算财政拨款支出决算结构情况"/>
      <w:bookmarkEnd w:id="29"/>
      <w:r>
        <w:t>（二）一般公共预算财政拨款支出决算结构情况</w:t>
      </w:r>
    </w:p>
    <w:p w14:paraId="690E469D">
      <w:pPr>
        <w:pStyle w:val="4"/>
        <w:ind w:left="880"/>
      </w:pPr>
      <w:r>
        <w:t>2018</w:t>
      </w:r>
      <w:r>
        <w:rPr>
          <w:spacing w:val="-11"/>
        </w:rPr>
        <w:t xml:space="preserve"> 年一般公共预算财政拨款支出 </w:t>
      </w:r>
      <w:r>
        <w:t>902.05</w:t>
      </w:r>
      <w:r>
        <w:rPr>
          <w:spacing w:val="-13"/>
        </w:rPr>
        <w:t xml:space="preserve"> 万元，主要</w:t>
      </w:r>
    </w:p>
    <w:p w14:paraId="5D3CF470">
      <w:pPr>
        <w:pStyle w:val="4"/>
        <w:spacing w:line="350" w:lineRule="auto"/>
        <w:ind w:right="416"/>
        <w:jc w:val="both"/>
      </w:pPr>
      <w:r>
        <w:rPr>
          <w:spacing w:val="13"/>
        </w:rPr>
        <w:t>用于以下方面:</w:t>
      </w:r>
      <w:r>
        <w:rPr>
          <w:b/>
          <w:spacing w:val="14"/>
        </w:rPr>
        <w:t>一般公共服务（</w:t>
      </w:r>
      <w:r>
        <w:rPr>
          <w:b/>
          <w:spacing w:val="17"/>
        </w:rPr>
        <w:t>类</w:t>
      </w:r>
      <w:r>
        <w:rPr>
          <w:b/>
          <w:spacing w:val="14"/>
        </w:rPr>
        <w:t>）</w:t>
      </w:r>
      <w:r>
        <w:rPr>
          <w:spacing w:val="-23"/>
        </w:rPr>
        <w:t xml:space="preserve">支出 </w:t>
      </w:r>
      <w:r>
        <w:t>246.04</w:t>
      </w:r>
      <w:r>
        <w:rPr>
          <w:spacing w:val="-9"/>
        </w:rPr>
        <w:t xml:space="preserve"> 万元，占27.28</w:t>
      </w:r>
      <w:r>
        <w:rPr>
          <w:spacing w:val="-2"/>
        </w:rPr>
        <w:t>%；公共安全</w:t>
      </w:r>
      <w:r>
        <w:rPr>
          <w:spacing w:val="5"/>
        </w:rPr>
        <w:t>（</w:t>
      </w:r>
      <w:r>
        <w:t>类</w:t>
      </w:r>
      <w:r>
        <w:rPr>
          <w:spacing w:val="5"/>
        </w:rPr>
        <w:t>）</w:t>
      </w:r>
      <w:r>
        <w:rPr>
          <w:spacing w:val="-25"/>
        </w:rPr>
        <w:t xml:space="preserve">支出 </w:t>
      </w:r>
      <w:r>
        <w:t>18.68</w:t>
      </w:r>
      <w:r>
        <w:rPr>
          <w:spacing w:val="-25"/>
        </w:rPr>
        <w:t xml:space="preserve"> 万元，占 </w:t>
      </w:r>
      <w:r>
        <w:t>2.07%；文化</w:t>
      </w:r>
      <w:r>
        <w:rPr>
          <w:spacing w:val="-1"/>
        </w:rPr>
        <w:t>体育与传媒</w:t>
      </w:r>
      <w:r>
        <w:t>（类</w:t>
      </w:r>
      <w:r>
        <w:rPr>
          <w:spacing w:val="-3"/>
        </w:rPr>
        <w:t>）</w:t>
      </w:r>
      <w:r>
        <w:rPr>
          <w:spacing w:val="-31"/>
        </w:rPr>
        <w:t xml:space="preserve">支出 </w:t>
      </w:r>
      <w:r>
        <w:t>11.34</w:t>
      </w:r>
      <w:r>
        <w:rPr>
          <w:spacing w:val="-31"/>
        </w:rPr>
        <w:t xml:space="preserve">，占 </w:t>
      </w:r>
      <w:r>
        <w:t>1.26%；</w:t>
      </w:r>
      <w:r>
        <w:rPr>
          <w:b/>
          <w:spacing w:val="-1"/>
        </w:rPr>
        <w:t>教育支出</w:t>
      </w:r>
      <w:r>
        <w:rPr>
          <w:b/>
        </w:rPr>
        <w:t>（类）</w:t>
      </w:r>
      <w:r>
        <w:t xml:space="preserve">0 </w:t>
      </w:r>
      <w:r>
        <w:rPr>
          <w:spacing w:val="-14"/>
        </w:rPr>
        <w:t xml:space="preserve">万元，占 </w:t>
      </w:r>
      <w:r>
        <w:rPr>
          <w:spacing w:val="3"/>
        </w:rPr>
        <w:t>0%；</w:t>
      </w:r>
      <w:r>
        <w:rPr>
          <w:b/>
          <w:spacing w:val="7"/>
        </w:rPr>
        <w:t>科学技术（类</w:t>
      </w:r>
      <w:r>
        <w:rPr>
          <w:b/>
          <w:spacing w:val="9"/>
        </w:rPr>
        <w:t>）</w:t>
      </w:r>
      <w:r>
        <w:rPr>
          <w:spacing w:val="-26"/>
        </w:rPr>
        <w:t xml:space="preserve">支出 </w:t>
      </w:r>
      <w:r>
        <w:t>0</w:t>
      </w:r>
      <w:r>
        <w:rPr>
          <w:spacing w:val="-25"/>
        </w:rPr>
        <w:t xml:space="preserve"> 万元，占 </w:t>
      </w:r>
      <w:r>
        <w:rPr>
          <w:spacing w:val="4"/>
        </w:rPr>
        <w:t>0%；</w:t>
      </w:r>
      <w:r>
        <w:rPr>
          <w:b/>
          <w:spacing w:val="4"/>
        </w:rPr>
        <w:t>社会保障和就业（类）</w:t>
      </w:r>
      <w:r>
        <w:rPr>
          <w:spacing w:val="-26"/>
        </w:rPr>
        <w:t xml:space="preserve">支出 </w:t>
      </w:r>
      <w:r>
        <w:t>45.95</w:t>
      </w:r>
      <w:r>
        <w:rPr>
          <w:spacing w:val="-28"/>
        </w:rPr>
        <w:t xml:space="preserve"> 万元，占 </w:t>
      </w:r>
      <w:r>
        <w:t>5.09%；医疗卫生支出22.2</w:t>
      </w:r>
      <w:r>
        <w:rPr>
          <w:spacing w:val="-24"/>
        </w:rPr>
        <w:t xml:space="preserve"> 万元，占 </w:t>
      </w:r>
      <w:r>
        <w:rPr>
          <w:spacing w:val="3"/>
        </w:rPr>
        <w:t>2.46</w:t>
      </w:r>
      <w:r>
        <w:rPr>
          <w:spacing w:val="5"/>
        </w:rPr>
        <w:t>%；农林水</w:t>
      </w:r>
      <w:r>
        <w:rPr>
          <w:spacing w:val="9"/>
        </w:rPr>
        <w:t>（</w:t>
      </w:r>
      <w:r>
        <w:rPr>
          <w:spacing w:val="7"/>
        </w:rPr>
        <w:t>类</w:t>
      </w:r>
      <w:r>
        <w:rPr>
          <w:spacing w:val="9"/>
        </w:rPr>
        <w:t>）</w:t>
      </w:r>
      <w:r>
        <w:rPr>
          <w:spacing w:val="-24"/>
        </w:rPr>
        <w:t xml:space="preserve">支出 </w:t>
      </w:r>
      <w:r>
        <w:t>540.36</w:t>
      </w:r>
      <w:r>
        <w:rPr>
          <w:spacing w:val="-12"/>
        </w:rPr>
        <w:t xml:space="preserve"> 万元，占</w:t>
      </w:r>
    </w:p>
    <w:p w14:paraId="660C24C1">
      <w:pPr>
        <w:pStyle w:val="9"/>
        <w:numPr>
          <w:ilvl w:val="1"/>
          <w:numId w:val="1"/>
        </w:numPr>
        <w:tabs>
          <w:tab w:val="left" w:pos="881"/>
        </w:tabs>
        <w:spacing w:before="9" w:after="0" w:line="350" w:lineRule="auto"/>
        <w:ind w:left="240" w:right="417" w:firstLine="0"/>
        <w:jc w:val="both"/>
        <w:rPr>
          <w:b/>
          <w:sz w:val="32"/>
        </w:rPr>
      </w:pPr>
      <w:r>
        <w:rPr>
          <w:spacing w:val="-10"/>
          <w:sz w:val="32"/>
        </w:rPr>
        <w:t xml:space="preserve">%；住房保障支出 </w:t>
      </w:r>
      <w:r>
        <w:rPr>
          <w:sz w:val="32"/>
        </w:rPr>
        <w:t>17.48</w:t>
      </w:r>
      <w:r>
        <w:rPr>
          <w:spacing w:val="-27"/>
          <w:sz w:val="32"/>
        </w:rPr>
        <w:t xml:space="preserve"> 万元，占 </w:t>
      </w:r>
      <w:r>
        <w:rPr>
          <w:sz w:val="32"/>
        </w:rPr>
        <w:t>1.94</w:t>
      </w:r>
      <w:r>
        <w:rPr>
          <w:spacing w:val="-78"/>
          <w:sz w:val="32"/>
        </w:rPr>
        <w:t>%。</w:t>
      </w:r>
      <w:r>
        <w:rPr>
          <w:b/>
          <w:spacing w:val="5"/>
          <w:sz w:val="32"/>
        </w:rPr>
        <w:t>（</w:t>
      </w:r>
      <w:r>
        <w:rPr>
          <w:b/>
          <w:spacing w:val="4"/>
          <w:sz w:val="32"/>
        </w:rPr>
        <w:t>罗列全部功</w:t>
      </w:r>
      <w:r>
        <w:rPr>
          <w:b/>
          <w:spacing w:val="-13"/>
          <w:sz w:val="32"/>
        </w:rPr>
        <w:t>能分类科目，至类级。</w:t>
      </w:r>
      <w:r>
        <w:rPr>
          <w:b/>
          <w:sz w:val="32"/>
        </w:rPr>
        <w:t>）</w:t>
      </w:r>
    </w:p>
    <w:p w14:paraId="257B1DBD">
      <w:pPr>
        <w:pStyle w:val="3"/>
        <w:spacing w:before="3"/>
      </w:pPr>
      <w:bookmarkStart w:id="30" w:name="（三）一般公共预算财政拨款支出决算具体情况"/>
      <w:bookmarkEnd w:id="30"/>
      <w:r>
        <w:t>（三）一般公共预算财政拨款支出决算具体情况</w:t>
      </w:r>
    </w:p>
    <w:p w14:paraId="6E25959B">
      <w:pPr>
        <w:spacing w:before="190"/>
        <w:ind w:left="880" w:right="0" w:firstLine="0"/>
        <w:jc w:val="left"/>
        <w:rPr>
          <w:b/>
          <w:sz w:val="32"/>
        </w:rPr>
      </w:pPr>
      <w:bookmarkStart w:id="31" w:name="2018年一般公共预算支出决算数为902.05，完成预算100%。其中："/>
      <w:bookmarkEnd w:id="31"/>
      <w:r>
        <w:rPr>
          <w:b/>
          <w:sz w:val="32"/>
        </w:rPr>
        <w:t>2018 年一般公共预算支出决算数为 902.05</w:t>
      </w:r>
      <w:r>
        <w:rPr>
          <w:sz w:val="32"/>
        </w:rPr>
        <w:t>，</w:t>
      </w:r>
      <w:r>
        <w:rPr>
          <w:b/>
          <w:sz w:val="32"/>
        </w:rPr>
        <w:t>完成预算</w:t>
      </w:r>
    </w:p>
    <w:p w14:paraId="1E326188">
      <w:pPr>
        <w:spacing w:before="190"/>
        <w:ind w:left="240" w:right="0" w:firstLine="0"/>
        <w:jc w:val="left"/>
        <w:rPr>
          <w:b/>
          <w:sz w:val="32"/>
        </w:rPr>
      </w:pPr>
      <w:r>
        <w:rPr>
          <w:b/>
          <w:sz w:val="32"/>
        </w:rPr>
        <w:t>100%。其中：</w:t>
      </w:r>
    </w:p>
    <w:p w14:paraId="04449A1E">
      <w:pPr>
        <w:spacing w:after="0"/>
        <w:jc w:val="left"/>
        <w:rPr>
          <w:sz w:val="32"/>
        </w:rPr>
        <w:sectPr>
          <w:footerReference r:id="rId6" w:type="default"/>
          <w:pgSz w:w="11910" w:h="16840"/>
          <w:pgMar w:top="1540" w:right="1380" w:bottom="1380" w:left="1560" w:header="0" w:footer="1196" w:gutter="0"/>
          <w:pgNumType w:start="10"/>
          <w:cols w:space="720" w:num="1"/>
        </w:sectPr>
      </w:pPr>
    </w:p>
    <w:p w14:paraId="007BA206">
      <w:pPr>
        <w:pStyle w:val="9"/>
        <w:numPr>
          <w:ilvl w:val="2"/>
          <w:numId w:val="1"/>
        </w:numPr>
        <w:tabs>
          <w:tab w:val="left" w:pos="1210"/>
        </w:tabs>
        <w:spacing w:before="43" w:after="0" w:line="350" w:lineRule="auto"/>
        <w:ind w:left="240" w:right="324" w:firstLine="640"/>
        <w:jc w:val="both"/>
        <w:rPr>
          <w:sz w:val="30"/>
        </w:rPr>
      </w:pPr>
      <w:r>
        <w:rPr>
          <w:b/>
          <w:spacing w:val="5"/>
          <w:sz w:val="32"/>
        </w:rPr>
        <w:t xml:space="preserve">一般公共服务支出: </w:t>
      </w:r>
      <w:r>
        <w:rPr>
          <w:spacing w:val="-10"/>
          <w:sz w:val="32"/>
        </w:rPr>
        <w:t xml:space="preserve">支出决算为 </w:t>
      </w:r>
      <w:r>
        <w:rPr>
          <w:sz w:val="32"/>
        </w:rPr>
        <w:t>246.05</w:t>
      </w:r>
      <w:r>
        <w:rPr>
          <w:spacing w:val="-10"/>
          <w:sz w:val="32"/>
        </w:rPr>
        <w:t xml:space="preserve"> 万元，完成</w:t>
      </w:r>
      <w:r>
        <w:rPr>
          <w:spacing w:val="-35"/>
          <w:sz w:val="32"/>
        </w:rPr>
        <w:t xml:space="preserve">预算 </w:t>
      </w:r>
      <w:r>
        <w:rPr>
          <w:sz w:val="32"/>
        </w:rPr>
        <w:t>100</w:t>
      </w:r>
      <w:r>
        <w:rPr>
          <w:spacing w:val="-5"/>
          <w:sz w:val="32"/>
        </w:rPr>
        <w:t xml:space="preserve">%，其中：人大事务行政运行支出决算 </w:t>
      </w:r>
      <w:r>
        <w:rPr>
          <w:sz w:val="32"/>
        </w:rPr>
        <w:t>13.41</w:t>
      </w:r>
      <w:r>
        <w:rPr>
          <w:spacing w:val="-21"/>
          <w:sz w:val="32"/>
        </w:rPr>
        <w:t xml:space="preserve"> 万元； </w:t>
      </w:r>
      <w:r>
        <w:rPr>
          <w:spacing w:val="7"/>
          <w:sz w:val="32"/>
        </w:rPr>
        <w:t>政府办公厅</w:t>
      </w:r>
      <w:r>
        <w:rPr>
          <w:spacing w:val="9"/>
          <w:sz w:val="32"/>
        </w:rPr>
        <w:t>（</w:t>
      </w:r>
      <w:r>
        <w:rPr>
          <w:spacing w:val="7"/>
          <w:sz w:val="32"/>
        </w:rPr>
        <w:t>室）</w:t>
      </w:r>
      <w:r>
        <w:rPr>
          <w:spacing w:val="-2"/>
          <w:sz w:val="32"/>
        </w:rPr>
        <w:t xml:space="preserve">及相关机构事务支出决算 </w:t>
      </w:r>
      <w:r>
        <w:rPr>
          <w:sz w:val="32"/>
        </w:rPr>
        <w:t>179.97</w:t>
      </w:r>
      <w:r>
        <w:rPr>
          <w:spacing w:val="-18"/>
          <w:sz w:val="32"/>
        </w:rPr>
        <w:t xml:space="preserve"> 万元；</w:t>
      </w:r>
    </w:p>
    <w:p w14:paraId="5A924AE6">
      <w:pPr>
        <w:pStyle w:val="4"/>
        <w:spacing w:before="4"/>
        <w:jc w:val="both"/>
      </w:pPr>
      <w:r>
        <w:rPr>
          <w:spacing w:val="-7"/>
        </w:rPr>
        <w:t xml:space="preserve">财政事务行政运行支出决算 </w:t>
      </w:r>
      <w:r>
        <w:t>10.59</w:t>
      </w:r>
      <w:r>
        <w:rPr>
          <w:spacing w:val="-11"/>
        </w:rPr>
        <w:t xml:space="preserve"> 万元；纪检监察事务行政</w:t>
      </w:r>
    </w:p>
    <w:p w14:paraId="293B1835">
      <w:pPr>
        <w:pStyle w:val="4"/>
        <w:jc w:val="both"/>
      </w:pPr>
      <w:r>
        <w:rPr>
          <w:spacing w:val="-13"/>
        </w:rPr>
        <w:t xml:space="preserve">运行支出决算 </w:t>
      </w:r>
      <w:r>
        <w:t>10.35</w:t>
      </w:r>
      <w:r>
        <w:rPr>
          <w:spacing w:val="-11"/>
        </w:rPr>
        <w:t xml:space="preserve"> 万元；群众团体事务行政运行支出决算</w:t>
      </w:r>
    </w:p>
    <w:p w14:paraId="0736F288">
      <w:pPr>
        <w:pStyle w:val="4"/>
        <w:spacing w:line="350" w:lineRule="auto"/>
        <w:ind w:right="417"/>
        <w:jc w:val="both"/>
      </w:pPr>
      <w:r>
        <w:t>10.4</w:t>
      </w:r>
      <w:r>
        <w:rPr>
          <w:spacing w:val="-18"/>
        </w:rPr>
        <w:t xml:space="preserve"> 万元；党委办公厅</w:t>
      </w:r>
      <w:r>
        <w:t>（室</w:t>
      </w:r>
      <w:r>
        <w:rPr>
          <w:spacing w:val="-29"/>
        </w:rPr>
        <w:t>）</w:t>
      </w:r>
      <w:r>
        <w:t>及相关机构事务行政运行支出</w:t>
      </w:r>
      <w:r>
        <w:rPr>
          <w:spacing w:val="-27"/>
        </w:rPr>
        <w:t xml:space="preserve">决算 </w:t>
      </w:r>
      <w:r>
        <w:t>21.33</w:t>
      </w:r>
      <w:r>
        <w:rPr>
          <w:spacing w:val="-21"/>
        </w:rPr>
        <w:t xml:space="preserve"> 万元。</w:t>
      </w:r>
    </w:p>
    <w:p w14:paraId="6FB87170">
      <w:pPr>
        <w:pStyle w:val="9"/>
        <w:numPr>
          <w:ilvl w:val="2"/>
          <w:numId w:val="1"/>
        </w:numPr>
        <w:tabs>
          <w:tab w:val="left" w:pos="1203"/>
        </w:tabs>
        <w:spacing w:before="3" w:after="0" w:line="240" w:lineRule="auto"/>
        <w:ind w:left="1202" w:right="0" w:hanging="323"/>
        <w:jc w:val="both"/>
        <w:rPr>
          <w:sz w:val="30"/>
        </w:rPr>
      </w:pPr>
      <w:r>
        <w:rPr>
          <w:b/>
          <w:sz w:val="32"/>
        </w:rPr>
        <w:t>公共安全支出</w:t>
      </w:r>
      <w:r>
        <w:rPr>
          <w:spacing w:val="-15"/>
          <w:sz w:val="32"/>
        </w:rPr>
        <w:t xml:space="preserve">；支出决算为 </w:t>
      </w:r>
      <w:r>
        <w:rPr>
          <w:sz w:val="32"/>
        </w:rPr>
        <w:t>18.67</w:t>
      </w:r>
      <w:r>
        <w:rPr>
          <w:spacing w:val="-13"/>
          <w:sz w:val="32"/>
        </w:rPr>
        <w:t xml:space="preserve"> 万元，完成预算的</w:t>
      </w:r>
    </w:p>
    <w:p w14:paraId="0BF4BEC8">
      <w:pPr>
        <w:pStyle w:val="4"/>
        <w:jc w:val="both"/>
      </w:pPr>
      <w:r>
        <w:t>100%，主要是国家安全行政运行支出决算 18.67 万元。</w:t>
      </w:r>
    </w:p>
    <w:p w14:paraId="4A1B28AC">
      <w:pPr>
        <w:pStyle w:val="9"/>
        <w:numPr>
          <w:ilvl w:val="2"/>
          <w:numId w:val="1"/>
        </w:numPr>
        <w:tabs>
          <w:tab w:val="left" w:pos="1203"/>
        </w:tabs>
        <w:spacing w:before="190" w:after="0" w:line="350" w:lineRule="auto"/>
        <w:ind w:left="240" w:right="324" w:firstLine="640"/>
        <w:jc w:val="both"/>
        <w:rPr>
          <w:sz w:val="30"/>
        </w:rPr>
      </w:pPr>
      <w:r>
        <w:rPr>
          <w:b/>
          <w:sz w:val="32"/>
        </w:rPr>
        <w:t>文化体育与传媒支出</w:t>
      </w:r>
      <w:r>
        <w:rPr>
          <w:spacing w:val="-15"/>
          <w:sz w:val="32"/>
        </w:rPr>
        <w:t xml:space="preserve">：支出决算为 </w:t>
      </w:r>
      <w:r>
        <w:rPr>
          <w:sz w:val="32"/>
        </w:rPr>
        <w:t>11.34</w:t>
      </w:r>
      <w:r>
        <w:rPr>
          <w:spacing w:val="-17"/>
          <w:sz w:val="32"/>
        </w:rPr>
        <w:t xml:space="preserve"> 万元，完成</w:t>
      </w:r>
      <w:r>
        <w:rPr>
          <w:spacing w:val="-34"/>
          <w:sz w:val="32"/>
        </w:rPr>
        <w:t xml:space="preserve">预算的 </w:t>
      </w:r>
      <w:r>
        <w:rPr>
          <w:sz w:val="32"/>
        </w:rPr>
        <w:t>100</w:t>
      </w:r>
      <w:r>
        <w:rPr>
          <w:spacing w:val="-5"/>
          <w:sz w:val="32"/>
        </w:rPr>
        <w:t xml:space="preserve">%，其中：文化中的群众文化支出决算 </w:t>
      </w:r>
      <w:r>
        <w:rPr>
          <w:sz w:val="32"/>
        </w:rPr>
        <w:t>0.9</w:t>
      </w:r>
      <w:r>
        <w:rPr>
          <w:spacing w:val="-21"/>
          <w:sz w:val="32"/>
        </w:rPr>
        <w:t xml:space="preserve"> 万元； </w:t>
      </w:r>
      <w:r>
        <w:rPr>
          <w:spacing w:val="-25"/>
          <w:sz w:val="32"/>
        </w:rPr>
        <w:t xml:space="preserve">新闻出版广播影视的广播支出决算 </w:t>
      </w:r>
      <w:r>
        <w:rPr>
          <w:sz w:val="32"/>
        </w:rPr>
        <w:t>10.44</w:t>
      </w:r>
      <w:r>
        <w:rPr>
          <w:spacing w:val="-21"/>
          <w:sz w:val="32"/>
        </w:rPr>
        <w:t xml:space="preserve"> 万元。</w:t>
      </w:r>
    </w:p>
    <w:p w14:paraId="7121F823">
      <w:pPr>
        <w:pStyle w:val="9"/>
        <w:numPr>
          <w:ilvl w:val="2"/>
          <w:numId w:val="1"/>
        </w:numPr>
        <w:tabs>
          <w:tab w:val="left" w:pos="1203"/>
        </w:tabs>
        <w:spacing w:before="4" w:after="0" w:line="350" w:lineRule="auto"/>
        <w:ind w:left="240" w:right="417" w:firstLine="640"/>
        <w:jc w:val="both"/>
        <w:rPr>
          <w:sz w:val="30"/>
        </w:rPr>
      </w:pPr>
      <w:r>
        <w:rPr>
          <w:b/>
          <w:spacing w:val="-1"/>
          <w:sz w:val="32"/>
        </w:rPr>
        <w:t xml:space="preserve">社会保障和就业支出: </w:t>
      </w:r>
      <w:r>
        <w:rPr>
          <w:spacing w:val="-14"/>
          <w:sz w:val="32"/>
        </w:rPr>
        <w:t xml:space="preserve">支出决算为 </w:t>
      </w:r>
      <w:r>
        <w:rPr>
          <w:sz w:val="32"/>
        </w:rPr>
        <w:t>45.95</w:t>
      </w:r>
      <w:r>
        <w:rPr>
          <w:spacing w:val="-20"/>
          <w:sz w:val="32"/>
        </w:rPr>
        <w:t xml:space="preserve"> 万元，完成</w:t>
      </w:r>
      <w:r>
        <w:rPr>
          <w:spacing w:val="-43"/>
          <w:sz w:val="32"/>
        </w:rPr>
        <w:t xml:space="preserve">预算 </w:t>
      </w:r>
      <w:r>
        <w:rPr>
          <w:spacing w:val="-10"/>
          <w:sz w:val="32"/>
        </w:rPr>
        <w:t>100</w:t>
      </w:r>
      <w:r>
        <w:rPr>
          <w:spacing w:val="-9"/>
          <w:sz w:val="32"/>
        </w:rPr>
        <w:t>%，其中：人力资源和社会保险管理事务行政运行支</w:t>
      </w:r>
      <w:r>
        <w:rPr>
          <w:spacing w:val="-19"/>
          <w:sz w:val="32"/>
        </w:rPr>
        <w:t xml:space="preserve">出决算 </w:t>
      </w:r>
      <w:r>
        <w:rPr>
          <w:sz w:val="32"/>
        </w:rPr>
        <w:t>8.55</w:t>
      </w:r>
      <w:r>
        <w:rPr>
          <w:spacing w:val="-4"/>
          <w:sz w:val="32"/>
        </w:rPr>
        <w:t xml:space="preserve"> 万元；行政事业单位离退休的归口管理支出决</w:t>
      </w:r>
    </w:p>
    <w:p w14:paraId="2C5C8E09">
      <w:pPr>
        <w:pStyle w:val="4"/>
        <w:spacing w:before="4"/>
        <w:jc w:val="both"/>
      </w:pPr>
      <w:r>
        <w:t>算 37.4 万元，一是行政单位离退休支出决算 12.1 万元，二</w:t>
      </w:r>
    </w:p>
    <w:p w14:paraId="3B08C75C">
      <w:pPr>
        <w:pStyle w:val="4"/>
        <w:jc w:val="both"/>
      </w:pPr>
      <w:r>
        <w:t>是机关事业单位基本养老保险缴费支出决算 25.3 万元。</w:t>
      </w:r>
    </w:p>
    <w:p w14:paraId="4864F13E">
      <w:pPr>
        <w:pStyle w:val="9"/>
        <w:numPr>
          <w:ilvl w:val="2"/>
          <w:numId w:val="1"/>
        </w:numPr>
        <w:tabs>
          <w:tab w:val="left" w:pos="1208"/>
        </w:tabs>
        <w:spacing w:before="190" w:after="0" w:line="350" w:lineRule="auto"/>
        <w:ind w:left="240" w:right="415" w:firstLine="640"/>
        <w:jc w:val="both"/>
        <w:rPr>
          <w:sz w:val="30"/>
        </w:rPr>
      </w:pPr>
      <w:r>
        <w:rPr>
          <w:b/>
          <w:spacing w:val="7"/>
          <w:sz w:val="32"/>
        </w:rPr>
        <w:t>医疗卫生与计划生育支出：</w:t>
      </w:r>
      <w:r>
        <w:rPr>
          <w:spacing w:val="-11"/>
          <w:sz w:val="32"/>
        </w:rPr>
        <w:t xml:space="preserve">支出决算为 </w:t>
      </w:r>
      <w:r>
        <w:rPr>
          <w:sz w:val="32"/>
        </w:rPr>
        <w:t>22.2</w:t>
      </w:r>
      <w:r>
        <w:rPr>
          <w:spacing w:val="-20"/>
          <w:sz w:val="32"/>
        </w:rPr>
        <w:t xml:space="preserve"> 万元， </w:t>
      </w:r>
      <w:r>
        <w:rPr>
          <w:spacing w:val="-34"/>
          <w:sz w:val="32"/>
        </w:rPr>
        <w:t xml:space="preserve">完成预算 </w:t>
      </w:r>
      <w:r>
        <w:rPr>
          <w:spacing w:val="-10"/>
          <w:sz w:val="32"/>
        </w:rPr>
        <w:t>100</w:t>
      </w:r>
      <w:r>
        <w:rPr>
          <w:spacing w:val="-9"/>
          <w:sz w:val="32"/>
        </w:rPr>
        <w:t>%，其中：医疗卫生与计划生育管理事务行政运</w:t>
      </w:r>
      <w:r>
        <w:rPr>
          <w:spacing w:val="-22"/>
          <w:sz w:val="32"/>
        </w:rPr>
        <w:t xml:space="preserve">行支出决算 </w:t>
      </w:r>
      <w:r>
        <w:rPr>
          <w:sz w:val="32"/>
        </w:rPr>
        <w:t>10.57</w:t>
      </w:r>
      <w:r>
        <w:rPr>
          <w:spacing w:val="-11"/>
          <w:sz w:val="32"/>
        </w:rPr>
        <w:t xml:space="preserve"> 万元；行政事业单位医疗的行政单位医疗</w:t>
      </w:r>
    </w:p>
    <w:p w14:paraId="0CB1C3F1">
      <w:pPr>
        <w:pStyle w:val="4"/>
        <w:spacing w:before="4"/>
        <w:jc w:val="both"/>
      </w:pPr>
      <w:r>
        <w:t>支出决算 11.63 万元。</w:t>
      </w:r>
    </w:p>
    <w:p w14:paraId="472F67D4">
      <w:pPr>
        <w:pStyle w:val="9"/>
        <w:numPr>
          <w:ilvl w:val="2"/>
          <w:numId w:val="1"/>
        </w:numPr>
        <w:tabs>
          <w:tab w:val="left" w:pos="1227"/>
        </w:tabs>
        <w:spacing w:before="190" w:after="0" w:line="350" w:lineRule="auto"/>
        <w:ind w:left="240" w:right="417" w:firstLine="640"/>
        <w:jc w:val="both"/>
        <w:rPr>
          <w:sz w:val="32"/>
        </w:rPr>
      </w:pPr>
      <w:r>
        <w:rPr>
          <w:b/>
          <w:spacing w:val="25"/>
          <w:sz w:val="32"/>
        </w:rPr>
        <w:t>农林水支出：</w:t>
      </w:r>
      <w:r>
        <w:rPr>
          <w:spacing w:val="4"/>
          <w:sz w:val="32"/>
        </w:rPr>
        <w:t xml:space="preserve">支出决算为 </w:t>
      </w:r>
      <w:r>
        <w:rPr>
          <w:sz w:val="32"/>
        </w:rPr>
        <w:t>540.37</w:t>
      </w:r>
      <w:r>
        <w:rPr>
          <w:spacing w:val="8"/>
          <w:sz w:val="32"/>
        </w:rPr>
        <w:t xml:space="preserve"> 万元，完成预算</w:t>
      </w:r>
      <w:r>
        <w:rPr>
          <w:spacing w:val="-4"/>
          <w:sz w:val="32"/>
        </w:rPr>
        <w:t>131.19</w:t>
      </w:r>
      <w:r>
        <w:rPr>
          <w:spacing w:val="-13"/>
          <w:sz w:val="32"/>
        </w:rPr>
        <w:t xml:space="preserve">%，其中：农业行政运行支出决算 </w:t>
      </w:r>
      <w:r>
        <w:rPr>
          <w:spacing w:val="-5"/>
          <w:sz w:val="32"/>
        </w:rPr>
        <w:t>55.63</w:t>
      </w:r>
      <w:r>
        <w:rPr>
          <w:spacing w:val="-2"/>
          <w:sz w:val="32"/>
        </w:rPr>
        <w:t>，农业结构调</w:t>
      </w:r>
    </w:p>
    <w:p w14:paraId="7A60CC8C">
      <w:pPr>
        <w:spacing w:after="0" w:line="350" w:lineRule="auto"/>
        <w:jc w:val="both"/>
        <w:rPr>
          <w:sz w:val="32"/>
        </w:rPr>
        <w:sectPr>
          <w:pgSz w:w="11910" w:h="16840"/>
          <w:pgMar w:top="1540" w:right="1380" w:bottom="1380" w:left="1560" w:header="0" w:footer="1196" w:gutter="0"/>
          <w:cols w:space="720" w:num="1"/>
        </w:sectPr>
      </w:pPr>
    </w:p>
    <w:p w14:paraId="6D5BEBCA">
      <w:pPr>
        <w:pStyle w:val="4"/>
        <w:spacing w:before="43"/>
      </w:pPr>
      <w:r>
        <w:t>整补贴支出决算 17.54 万元，农村道路建设支出决算 15.78</w:t>
      </w:r>
    </w:p>
    <w:p w14:paraId="6F3283D1">
      <w:pPr>
        <w:pStyle w:val="4"/>
      </w:pPr>
      <w:r>
        <w:rPr>
          <w:spacing w:val="1"/>
        </w:rPr>
        <w:t xml:space="preserve">万元，对高校毕业生到基层任职补助支出决算 </w:t>
      </w:r>
      <w:r>
        <w:t>6.63</w:t>
      </w:r>
      <w:r>
        <w:rPr>
          <w:spacing w:val="-18"/>
        </w:rPr>
        <w:t xml:space="preserve"> 万元；</w:t>
      </w:r>
    </w:p>
    <w:p w14:paraId="2AD66EC1">
      <w:pPr>
        <w:pStyle w:val="4"/>
      </w:pPr>
      <w:r>
        <w:rPr>
          <w:spacing w:val="-3"/>
        </w:rPr>
        <w:t xml:space="preserve">林业行政运行支出决算 </w:t>
      </w:r>
      <w:r>
        <w:t>8.86</w:t>
      </w:r>
      <w:r>
        <w:rPr>
          <w:spacing w:val="-4"/>
        </w:rPr>
        <w:t xml:space="preserve"> 万元；扶贫的农村基础设施建</w:t>
      </w:r>
    </w:p>
    <w:p w14:paraId="2DCAB7AC">
      <w:pPr>
        <w:pStyle w:val="4"/>
      </w:pPr>
      <w:r>
        <w:rPr>
          <w:spacing w:val="-14"/>
        </w:rPr>
        <w:t xml:space="preserve">设支出决算 </w:t>
      </w:r>
      <w:r>
        <w:t>10</w:t>
      </w:r>
      <w:r>
        <w:rPr>
          <w:spacing w:val="-16"/>
        </w:rPr>
        <w:t xml:space="preserve"> 万元，其他扶贫支出决算 </w:t>
      </w:r>
      <w:r>
        <w:t>14</w:t>
      </w:r>
      <w:r>
        <w:rPr>
          <w:spacing w:val="-14"/>
        </w:rPr>
        <w:t xml:space="preserve"> 万元；农业综合</w:t>
      </w:r>
    </w:p>
    <w:p w14:paraId="3093767F">
      <w:pPr>
        <w:pStyle w:val="4"/>
      </w:pPr>
      <w:r>
        <w:rPr>
          <w:spacing w:val="-3"/>
        </w:rPr>
        <w:t xml:space="preserve">开发产业化经营支出决算 </w:t>
      </w:r>
      <w:r>
        <w:t>10</w:t>
      </w:r>
      <w:r>
        <w:rPr>
          <w:spacing w:val="-4"/>
        </w:rPr>
        <w:t xml:space="preserve"> 万元；农村综合改革对村民委</w:t>
      </w:r>
    </w:p>
    <w:p w14:paraId="7BFB71E0">
      <w:pPr>
        <w:pStyle w:val="4"/>
        <w:spacing w:line="350" w:lineRule="auto"/>
        <w:ind w:right="259"/>
        <w:jc w:val="both"/>
      </w:pPr>
      <w:r>
        <w:t>员会和村党支部的补助支出决算 401.93</w:t>
      </w:r>
      <w:r>
        <w:rPr>
          <w:spacing w:val="-5"/>
        </w:rPr>
        <w:t xml:space="preserve"> 万元。决算数大于</w:t>
      </w:r>
      <w:r>
        <w:rPr>
          <w:spacing w:val="11"/>
        </w:rPr>
        <w:t>预算数的主要原因是动用上年财政拨款结转的财政应返还</w:t>
      </w:r>
      <w:r>
        <w:rPr>
          <w:spacing w:val="-13"/>
        </w:rPr>
        <w:t xml:space="preserve">额度本年实现支出，一是农业结构调整补贴支出 </w:t>
      </w:r>
      <w:r>
        <w:t>10.03</w:t>
      </w:r>
      <w:r>
        <w:rPr>
          <w:spacing w:val="-24"/>
        </w:rPr>
        <w:t xml:space="preserve"> 万元；</w:t>
      </w:r>
    </w:p>
    <w:p w14:paraId="7518DF63">
      <w:pPr>
        <w:pStyle w:val="4"/>
        <w:spacing w:before="4"/>
        <w:jc w:val="both"/>
      </w:pPr>
      <w:r>
        <w:rPr>
          <w:spacing w:val="-4"/>
        </w:rPr>
        <w:t xml:space="preserve">二是农村道路建设支出 </w:t>
      </w:r>
      <w:r>
        <w:t>10</w:t>
      </w:r>
      <w:r>
        <w:rPr>
          <w:spacing w:val="-4"/>
        </w:rPr>
        <w:t xml:space="preserve"> 万元；三是扶贫的农村基础设施</w:t>
      </w:r>
    </w:p>
    <w:p w14:paraId="2D91DC01">
      <w:pPr>
        <w:pStyle w:val="4"/>
        <w:spacing w:line="350" w:lineRule="auto"/>
        <w:ind w:right="418"/>
        <w:jc w:val="both"/>
      </w:pPr>
      <w:r>
        <w:rPr>
          <w:spacing w:val="-17"/>
        </w:rPr>
        <w:t xml:space="preserve">建设支出 </w:t>
      </w:r>
      <w:r>
        <w:t>10</w:t>
      </w:r>
      <w:r>
        <w:rPr>
          <w:spacing w:val="-15"/>
        </w:rPr>
        <w:t xml:space="preserve"> 万元；四是农业综合开发产业化经营支出 </w:t>
      </w:r>
      <w:r>
        <w:t>10</w:t>
      </w:r>
      <w:r>
        <w:rPr>
          <w:spacing w:val="-42"/>
        </w:rPr>
        <w:t xml:space="preserve"> 万</w:t>
      </w:r>
      <w:r>
        <w:rPr>
          <w:spacing w:val="-9"/>
        </w:rPr>
        <w:t>元；五是农村综合改革对村民委员会和村党支部的补助支出</w:t>
      </w:r>
      <w:r>
        <w:rPr>
          <w:spacing w:val="15"/>
        </w:rPr>
        <w:t xml:space="preserve">的村组干部 </w:t>
      </w:r>
      <w:r>
        <w:t>2017</w:t>
      </w:r>
      <w:r>
        <w:rPr>
          <w:spacing w:val="25"/>
        </w:rPr>
        <w:t xml:space="preserve"> 年第四季度生活补助和扶贫绩效支出</w:t>
      </w:r>
    </w:p>
    <w:p w14:paraId="019626E9">
      <w:pPr>
        <w:pStyle w:val="4"/>
        <w:spacing w:before="4" w:line="350" w:lineRule="auto"/>
        <w:ind w:right="420"/>
        <w:jc w:val="both"/>
      </w:pPr>
      <w:r>
        <w:t>125.33</w:t>
      </w:r>
      <w:r>
        <w:rPr>
          <w:spacing w:val="-39"/>
        </w:rPr>
        <w:t xml:space="preserve"> 万元，以及 </w:t>
      </w:r>
      <w:r>
        <w:t>2017</w:t>
      </w:r>
      <w:r>
        <w:rPr>
          <w:spacing w:val="-16"/>
        </w:rPr>
        <w:t xml:space="preserve"> 年度农村公共运行维护支出 </w:t>
      </w:r>
      <w:r>
        <w:t>21.3</w:t>
      </w:r>
      <w:r>
        <w:rPr>
          <w:spacing w:val="-42"/>
        </w:rPr>
        <w:t xml:space="preserve"> 万元。</w:t>
      </w:r>
    </w:p>
    <w:p w14:paraId="57BF57BC">
      <w:pPr>
        <w:pStyle w:val="9"/>
        <w:numPr>
          <w:ilvl w:val="2"/>
          <w:numId w:val="1"/>
        </w:numPr>
        <w:tabs>
          <w:tab w:val="left" w:pos="1203"/>
        </w:tabs>
        <w:spacing w:before="3" w:after="0" w:line="350" w:lineRule="auto"/>
        <w:ind w:left="240" w:right="98" w:firstLine="640"/>
        <w:jc w:val="left"/>
        <w:rPr>
          <w:sz w:val="30"/>
        </w:rPr>
      </w:pPr>
      <w:r>
        <w:rPr>
          <w:b/>
          <w:spacing w:val="-23"/>
          <w:sz w:val="32"/>
        </w:rPr>
        <w:t>住房保障支出：</w:t>
      </w:r>
      <w:r>
        <w:rPr>
          <w:spacing w:val="9"/>
          <w:sz w:val="32"/>
        </w:rPr>
        <w:t>支出决算为</w:t>
      </w:r>
      <w:r>
        <w:rPr>
          <w:sz w:val="32"/>
        </w:rPr>
        <w:t>17.48</w:t>
      </w:r>
      <w:r>
        <w:rPr>
          <w:spacing w:val="-32"/>
          <w:sz w:val="32"/>
        </w:rPr>
        <w:t xml:space="preserve"> 万元，完成预算</w:t>
      </w:r>
      <w:r>
        <w:rPr>
          <w:sz w:val="32"/>
        </w:rPr>
        <w:t xml:space="preserve">100%， </w:t>
      </w:r>
      <w:r>
        <w:rPr>
          <w:spacing w:val="-4"/>
          <w:sz w:val="32"/>
        </w:rPr>
        <w:t xml:space="preserve">主要是住房改革支出的住房公积金支出决算 </w:t>
      </w:r>
      <w:r>
        <w:rPr>
          <w:sz w:val="32"/>
        </w:rPr>
        <w:t>17.48</w:t>
      </w:r>
      <w:r>
        <w:rPr>
          <w:spacing w:val="-21"/>
          <w:sz w:val="32"/>
        </w:rPr>
        <w:t xml:space="preserve"> 万元。</w:t>
      </w:r>
    </w:p>
    <w:p w14:paraId="755104EC">
      <w:pPr>
        <w:pStyle w:val="4"/>
        <w:spacing w:before="3"/>
        <w:ind w:left="880"/>
        <w:rPr>
          <w:rFonts w:hint="eastAsia" w:ascii="黑体" w:eastAsia="黑体"/>
        </w:rPr>
      </w:pPr>
      <w:bookmarkStart w:id="32" w:name="_bookmark9"/>
      <w:bookmarkEnd w:id="32"/>
      <w:bookmarkStart w:id="33" w:name="六、一般公共预算财政拨款基本支出决算情况说明"/>
      <w:bookmarkEnd w:id="33"/>
      <w:r>
        <w:rPr>
          <w:rFonts w:hint="eastAsia" w:ascii="黑体" w:eastAsia="黑体"/>
        </w:rPr>
        <w:t>六</w:t>
      </w:r>
      <w:r>
        <w:rPr>
          <w:rFonts w:hint="eastAsia" w:ascii="黑体" w:eastAsia="黑体"/>
          <w:b/>
        </w:rPr>
        <w:t>、一</w:t>
      </w:r>
      <w:r>
        <w:rPr>
          <w:rFonts w:hint="eastAsia" w:ascii="黑体" w:eastAsia="黑体"/>
        </w:rPr>
        <w:t>般公共预算财政拨款基本支出决算情况说明</w:t>
      </w:r>
    </w:p>
    <w:p w14:paraId="30DBEE9A">
      <w:pPr>
        <w:pStyle w:val="4"/>
        <w:ind w:left="885"/>
      </w:pPr>
      <w:r>
        <w:t>2018 年一般公共预算财政拨款基本支出 764.2 万元，其</w:t>
      </w:r>
    </w:p>
    <w:p w14:paraId="6F57F5D0">
      <w:pPr>
        <w:pStyle w:val="4"/>
        <w:spacing w:before="7"/>
        <w:ind w:left="0"/>
        <w:rPr>
          <w:sz w:val="10"/>
        </w:rPr>
      </w:pPr>
    </w:p>
    <w:p w14:paraId="3A04A909">
      <w:pPr>
        <w:pStyle w:val="4"/>
        <w:spacing w:before="55"/>
      </w:pPr>
      <w:r>
        <w:t>中：</w:t>
      </w:r>
    </w:p>
    <w:p w14:paraId="2764C8A8">
      <w:pPr>
        <w:pStyle w:val="4"/>
        <w:ind w:left="885"/>
      </w:pPr>
      <w:r>
        <w:rPr>
          <w:spacing w:val="-13"/>
        </w:rPr>
        <w:t xml:space="preserve">人员经费 </w:t>
      </w:r>
      <w:r>
        <w:t>629.24</w:t>
      </w:r>
      <w:r>
        <w:rPr>
          <w:spacing w:val="-3"/>
        </w:rPr>
        <w:t xml:space="preserve"> 万元，主要包括：基本工资、津贴补</w:t>
      </w:r>
    </w:p>
    <w:p w14:paraId="67D2D704">
      <w:pPr>
        <w:pStyle w:val="4"/>
        <w:spacing w:before="7"/>
        <w:ind w:left="0"/>
        <w:rPr>
          <w:sz w:val="10"/>
        </w:rPr>
      </w:pPr>
    </w:p>
    <w:p w14:paraId="4D94BCA7">
      <w:pPr>
        <w:pStyle w:val="4"/>
        <w:spacing w:before="54" w:line="350" w:lineRule="auto"/>
        <w:ind w:right="415"/>
        <w:jc w:val="both"/>
      </w:pPr>
      <w:r>
        <w:rPr>
          <w:spacing w:val="-3"/>
        </w:rPr>
        <w:t>贴、奖金、伙食补助费、绩效工资、机关事业单位基本养老</w:t>
      </w:r>
      <w:r>
        <w:rPr>
          <w:spacing w:val="-5"/>
        </w:rPr>
        <w:t>保险缴费、职业年金缴费、其他社会保障缴费、其他工资福</w:t>
      </w:r>
      <w:r>
        <w:rPr>
          <w:spacing w:val="-4"/>
          <w:w w:val="95"/>
        </w:rPr>
        <w:t>利支出、离休费、退休费、抚恤金、生活补助、医疗费、奖</w:t>
      </w:r>
    </w:p>
    <w:p w14:paraId="733EFAF2">
      <w:pPr>
        <w:spacing w:after="0" w:line="350" w:lineRule="auto"/>
        <w:jc w:val="both"/>
        <w:sectPr>
          <w:pgSz w:w="11910" w:h="16840"/>
          <w:pgMar w:top="1540" w:right="1380" w:bottom="1380" w:left="1560" w:header="0" w:footer="1196" w:gutter="0"/>
          <w:cols w:space="720" w:num="1"/>
        </w:sectPr>
      </w:pPr>
    </w:p>
    <w:p w14:paraId="54C985E6">
      <w:pPr>
        <w:pStyle w:val="4"/>
        <w:spacing w:before="43" w:line="350" w:lineRule="auto"/>
        <w:ind w:right="373"/>
      </w:pPr>
      <w:r>
        <w:t>励金、住房公积金、提租补贴、购房补贴、其他对个人和家庭的补助支出等。</w:t>
      </w:r>
    </w:p>
    <w:p w14:paraId="250CE22D">
      <w:pPr>
        <w:pStyle w:val="4"/>
        <w:spacing w:before="3" w:line="350" w:lineRule="auto"/>
        <w:ind w:right="258" w:firstLine="652"/>
      </w:pPr>
      <w:r>
        <w:rPr>
          <w:spacing w:val="-12"/>
        </w:rPr>
        <w:t xml:space="preserve">公用经费 </w:t>
      </w:r>
      <w:r>
        <w:t>134.96</w:t>
      </w:r>
      <w:r>
        <w:rPr>
          <w:spacing w:val="-3"/>
        </w:rPr>
        <w:t xml:space="preserve"> 万元，主要包括：办公费、印刷费、咨询费、手续费、水费、电费、邮电费、取暖费、物业管理</w:t>
      </w:r>
      <w:r>
        <w:rPr>
          <w:spacing w:val="-9"/>
        </w:rPr>
        <w:t>费、差旅费、因公出国</w:t>
      </w:r>
      <w:r>
        <w:t>（境</w:t>
      </w:r>
      <w:r>
        <w:rPr>
          <w:spacing w:val="-22"/>
        </w:rPr>
        <w:t>）</w:t>
      </w:r>
      <w:r>
        <w:rPr>
          <w:spacing w:val="-9"/>
        </w:rPr>
        <w:t>费用、维修</w:t>
      </w:r>
      <w:r>
        <w:t>（护</w:t>
      </w:r>
      <w:r>
        <w:rPr>
          <w:spacing w:val="-22"/>
        </w:rPr>
        <w:t>）</w:t>
      </w:r>
      <w:r>
        <w:rPr>
          <w:spacing w:val="-7"/>
        </w:rPr>
        <w:t>费、租赁费、</w:t>
      </w:r>
      <w:r>
        <w:rPr>
          <w:spacing w:val="-3"/>
        </w:rPr>
        <w:t>会议费、培训费、公务接待费、劳务费、委托业务费、工会</w:t>
      </w:r>
      <w:r>
        <w:rPr>
          <w:spacing w:val="-5"/>
        </w:rPr>
        <w:t>经费、福利费、公务用车运行维护费、其他交通费、税金及附加费用、其他商品和服务支出、办公设备购置、专用设备购置、信息网络及软件购置更新、其他资本性支出等。</w:t>
      </w:r>
    </w:p>
    <w:p w14:paraId="10B40442">
      <w:pPr>
        <w:pStyle w:val="4"/>
        <w:spacing w:before="9"/>
        <w:ind w:left="880"/>
        <w:rPr>
          <w:rFonts w:hint="eastAsia" w:ascii="黑体" w:hAnsi="黑体" w:eastAsia="黑体"/>
        </w:rPr>
      </w:pPr>
      <w:bookmarkStart w:id="34" w:name="_bookmark10"/>
      <w:bookmarkEnd w:id="34"/>
      <w:bookmarkStart w:id="35" w:name="七、“三公”经费财政拨款支出决算情况说明"/>
      <w:bookmarkEnd w:id="35"/>
      <w:r>
        <w:rPr>
          <w:rFonts w:hint="eastAsia" w:ascii="黑体" w:hAnsi="黑体" w:eastAsia="黑体"/>
          <w:spacing w:val="-80"/>
        </w:rPr>
        <w:t>七、</w:t>
      </w:r>
      <w:r>
        <w:rPr>
          <w:rFonts w:hint="eastAsia" w:ascii="黑体" w:hAnsi="黑体" w:eastAsia="黑体"/>
          <w:b/>
        </w:rPr>
        <w:t>“</w:t>
      </w:r>
      <w:r>
        <w:rPr>
          <w:rFonts w:hint="eastAsia" w:ascii="黑体" w:hAnsi="黑体" w:eastAsia="黑体"/>
        </w:rPr>
        <w:t>三公”经费财政拨款支出决算情况说明</w:t>
      </w:r>
    </w:p>
    <w:p w14:paraId="72CCF0C6">
      <w:pPr>
        <w:spacing w:before="190" w:line="350" w:lineRule="auto"/>
        <w:ind w:left="880" w:right="420" w:firstLine="0"/>
        <w:jc w:val="left"/>
        <w:rPr>
          <w:color w:val="auto"/>
          <w:sz w:val="32"/>
        </w:rPr>
      </w:pPr>
      <w:bookmarkStart w:id="36" w:name="（一）“三公”经费财政拨款支出决算总体情况说明"/>
      <w:bookmarkEnd w:id="36"/>
      <w:r>
        <w:rPr>
          <w:b/>
          <w:spacing w:val="2"/>
          <w:w w:val="99"/>
          <w:sz w:val="32"/>
        </w:rPr>
        <w:t>（</w:t>
      </w:r>
      <w:r>
        <w:rPr>
          <w:b/>
          <w:w w:val="99"/>
          <w:sz w:val="32"/>
        </w:rPr>
        <w:t>一</w:t>
      </w:r>
      <w:r>
        <w:rPr>
          <w:b/>
          <w:spacing w:val="-159"/>
          <w:w w:val="99"/>
          <w:sz w:val="32"/>
        </w:rPr>
        <w:t>）</w:t>
      </w:r>
      <w:r>
        <w:rPr>
          <w:b/>
          <w:w w:val="99"/>
          <w:sz w:val="32"/>
        </w:rPr>
        <w:t xml:space="preserve">“三公”经费财政拨款支出决算总体情况说明 </w:t>
      </w:r>
      <w:r>
        <w:rPr>
          <w:color w:val="auto"/>
          <w:sz w:val="32"/>
        </w:rPr>
        <w:t>2018</w:t>
      </w:r>
      <w:r>
        <w:rPr>
          <w:color w:val="auto"/>
          <w:spacing w:val="-11"/>
          <w:sz w:val="32"/>
        </w:rPr>
        <w:t xml:space="preserve"> 年“三公”经费财政拨款支出决算为 </w:t>
      </w:r>
      <w:r>
        <w:rPr>
          <w:color w:val="auto"/>
          <w:sz w:val="32"/>
        </w:rPr>
        <w:t>7.95</w:t>
      </w:r>
      <w:r>
        <w:rPr>
          <w:color w:val="auto"/>
          <w:spacing w:val="-20"/>
          <w:sz w:val="32"/>
        </w:rPr>
        <w:t xml:space="preserve"> 万元，</w:t>
      </w:r>
    </w:p>
    <w:p w14:paraId="6D028B34">
      <w:pPr>
        <w:pStyle w:val="4"/>
        <w:spacing w:before="3"/>
        <w:rPr>
          <w:rFonts w:hint="default" w:eastAsia="仿宋"/>
          <w:color w:val="auto"/>
          <w:lang w:val="en-US" w:eastAsia="zh-CN"/>
        </w:rPr>
      </w:pPr>
      <w:r>
        <w:rPr>
          <w:color w:val="auto"/>
        </w:rPr>
        <w:t>完成预算 100%。</w:t>
      </w:r>
      <w:r>
        <w:rPr>
          <w:rFonts w:hint="eastAsia"/>
          <w:color w:val="auto"/>
          <w:lang w:eastAsia="zh-CN"/>
        </w:rPr>
        <w:t>与</w:t>
      </w:r>
      <w:r>
        <w:rPr>
          <w:rFonts w:hint="eastAsia"/>
          <w:color w:val="auto"/>
          <w:lang w:val="en-US" w:eastAsia="zh-CN"/>
        </w:rPr>
        <w:t>2017年决算持平。</w:t>
      </w:r>
    </w:p>
    <w:p w14:paraId="1B4F4669">
      <w:pPr>
        <w:spacing w:before="190" w:line="350" w:lineRule="auto"/>
        <w:ind w:left="880" w:right="258" w:firstLine="0"/>
        <w:jc w:val="left"/>
        <w:rPr>
          <w:sz w:val="32"/>
        </w:rPr>
      </w:pPr>
      <w:bookmarkStart w:id="37" w:name="（二）“三公”经费财政拨款支出决算具体情况说明"/>
      <w:bookmarkEnd w:id="37"/>
      <w:r>
        <w:rPr>
          <w:b/>
          <w:spacing w:val="2"/>
          <w:w w:val="99"/>
          <w:sz w:val="32"/>
        </w:rPr>
        <w:t>（</w:t>
      </w:r>
      <w:r>
        <w:rPr>
          <w:b/>
          <w:w w:val="99"/>
          <w:sz w:val="32"/>
        </w:rPr>
        <w:t>二</w:t>
      </w:r>
      <w:r>
        <w:rPr>
          <w:b/>
          <w:spacing w:val="-159"/>
          <w:w w:val="99"/>
          <w:sz w:val="32"/>
        </w:rPr>
        <w:t>）</w:t>
      </w:r>
      <w:r>
        <w:rPr>
          <w:b/>
          <w:w w:val="99"/>
          <w:sz w:val="32"/>
        </w:rPr>
        <w:t xml:space="preserve">“三公”经费财政拨款支出决算具体情况说明 </w:t>
      </w:r>
      <w:r>
        <w:rPr>
          <w:sz w:val="32"/>
        </w:rPr>
        <w:t>2018</w:t>
      </w:r>
      <w:r>
        <w:rPr>
          <w:spacing w:val="-35"/>
          <w:sz w:val="32"/>
        </w:rPr>
        <w:t xml:space="preserve"> 年“三公”经费财政拨款支出决算中，因公出国</w:t>
      </w:r>
      <w:r>
        <w:rPr>
          <w:spacing w:val="-3"/>
          <w:sz w:val="32"/>
        </w:rPr>
        <w:t>（</w:t>
      </w:r>
      <w:r>
        <w:rPr>
          <w:sz w:val="32"/>
        </w:rPr>
        <w:t>境）</w:t>
      </w:r>
    </w:p>
    <w:p w14:paraId="7E6C81B4">
      <w:pPr>
        <w:pStyle w:val="4"/>
        <w:spacing w:before="3" w:line="350" w:lineRule="auto"/>
        <w:ind w:right="213"/>
      </w:pPr>
      <w:r>
        <w:rPr>
          <w:spacing w:val="-14"/>
        </w:rPr>
        <w:t xml:space="preserve">费支出决算 </w:t>
      </w:r>
      <w:r>
        <w:t>0</w:t>
      </w:r>
      <w:r>
        <w:rPr>
          <w:spacing w:val="-37"/>
        </w:rPr>
        <w:t xml:space="preserve"> 万元，占 </w:t>
      </w:r>
      <w:r>
        <w:rPr>
          <w:spacing w:val="-16"/>
        </w:rPr>
        <w:t>0</w:t>
      </w:r>
      <w:r>
        <w:rPr>
          <w:spacing w:val="-6"/>
        </w:rPr>
        <w:t>%；公务用车购置及运行维护费支出</w:t>
      </w:r>
      <w:r>
        <w:rPr>
          <w:spacing w:val="-6"/>
          <w:w w:val="99"/>
        </w:rPr>
        <w:t>决算</w:t>
      </w:r>
      <w:r>
        <w:rPr>
          <w:spacing w:val="-81"/>
        </w:rPr>
        <w:t xml:space="preserve"> </w:t>
      </w:r>
      <w:r>
        <w:rPr>
          <w:w w:val="99"/>
        </w:rPr>
        <w:t>0</w:t>
      </w:r>
      <w:r>
        <w:rPr>
          <w:spacing w:val="-82"/>
        </w:rPr>
        <w:t xml:space="preserve"> </w:t>
      </w:r>
      <w:r>
        <w:rPr>
          <w:spacing w:val="-40"/>
          <w:w w:val="99"/>
        </w:rPr>
        <w:t>万元，占</w:t>
      </w:r>
      <w:r>
        <w:rPr>
          <w:spacing w:val="-40"/>
        </w:rPr>
        <w:t xml:space="preserve"> </w:t>
      </w:r>
      <w:r>
        <w:rPr>
          <w:spacing w:val="1"/>
          <w:w w:val="99"/>
        </w:rPr>
        <w:t>0%</w:t>
      </w:r>
      <w:r>
        <w:rPr>
          <w:spacing w:val="-18"/>
          <w:w w:val="99"/>
        </w:rPr>
        <w:t>；公务接待费支出决算</w:t>
      </w:r>
      <w:r>
        <w:rPr>
          <w:spacing w:val="-83"/>
        </w:rPr>
        <w:t xml:space="preserve"> </w:t>
      </w:r>
      <w:r>
        <w:rPr>
          <w:spacing w:val="1"/>
          <w:w w:val="99"/>
        </w:rPr>
        <w:t>7.</w:t>
      </w:r>
      <w:r>
        <w:rPr>
          <w:spacing w:val="-2"/>
          <w:w w:val="99"/>
        </w:rPr>
        <w:t>9</w:t>
      </w:r>
      <w:r>
        <w:rPr>
          <w:w w:val="99"/>
        </w:rPr>
        <w:t>5</w:t>
      </w:r>
      <w:r>
        <w:rPr>
          <w:spacing w:val="-80"/>
        </w:rPr>
        <w:t xml:space="preserve"> </w:t>
      </w:r>
      <w:r>
        <w:rPr>
          <w:spacing w:val="-40"/>
          <w:w w:val="99"/>
        </w:rPr>
        <w:t>万元，占</w:t>
      </w:r>
      <w:r>
        <w:rPr>
          <w:spacing w:val="-40"/>
        </w:rPr>
        <w:t xml:space="preserve"> </w:t>
      </w:r>
      <w:r>
        <w:rPr>
          <w:spacing w:val="1"/>
          <w:w w:val="99"/>
        </w:rPr>
        <w:t>10</w:t>
      </w:r>
      <w:r>
        <w:rPr>
          <w:spacing w:val="-2"/>
          <w:w w:val="99"/>
        </w:rPr>
        <w:t>0</w:t>
      </w:r>
      <w:r>
        <w:rPr>
          <w:w w:val="99"/>
        </w:rPr>
        <w:t>%。</w:t>
      </w:r>
      <w:r>
        <w:t>具体情况如下：</w:t>
      </w:r>
    </w:p>
    <w:p w14:paraId="231A052B">
      <w:pPr>
        <w:pStyle w:val="9"/>
        <w:numPr>
          <w:ilvl w:val="0"/>
          <w:numId w:val="2"/>
        </w:numPr>
        <w:tabs>
          <w:tab w:val="left" w:pos="1500"/>
        </w:tabs>
        <w:spacing w:before="4" w:after="0" w:line="350" w:lineRule="auto"/>
        <w:ind w:left="240" w:right="415" w:firstLine="640"/>
        <w:jc w:val="both"/>
        <w:rPr>
          <w:sz w:val="32"/>
        </w:rPr>
      </w:pPr>
      <w:r>
        <w:rPr>
          <w:b/>
          <w:spacing w:val="-5"/>
          <w:sz w:val="32"/>
        </w:rPr>
        <w:t>因公出国</w:t>
      </w:r>
      <w:r>
        <w:rPr>
          <w:b/>
          <w:sz w:val="32"/>
        </w:rPr>
        <w:t>（境</w:t>
      </w:r>
      <w:r>
        <w:rPr>
          <w:b/>
          <w:spacing w:val="-19"/>
          <w:sz w:val="32"/>
        </w:rPr>
        <w:t>）</w:t>
      </w:r>
      <w:r>
        <w:rPr>
          <w:b/>
          <w:spacing w:val="-18"/>
          <w:sz w:val="32"/>
        </w:rPr>
        <w:t xml:space="preserve">经费支出 </w:t>
      </w:r>
      <w:r>
        <w:rPr>
          <w:sz w:val="32"/>
        </w:rPr>
        <w:t>0</w:t>
      </w:r>
      <w:r>
        <w:rPr>
          <w:spacing w:val="-24"/>
          <w:sz w:val="32"/>
        </w:rPr>
        <w:t xml:space="preserve"> 万元，完成预算 </w:t>
      </w:r>
      <w:r>
        <w:rPr>
          <w:sz w:val="32"/>
        </w:rPr>
        <w:t>0</w:t>
      </w:r>
      <w:r>
        <w:rPr>
          <w:spacing w:val="-7"/>
          <w:sz w:val="32"/>
        </w:rPr>
        <w:t>%。全</w:t>
      </w:r>
      <w:r>
        <w:rPr>
          <w:sz w:val="32"/>
        </w:rPr>
        <w:t>年安排因公出国（</w:t>
      </w:r>
      <w:r>
        <w:rPr>
          <w:spacing w:val="5"/>
          <w:sz w:val="32"/>
        </w:rPr>
        <w:t>境</w:t>
      </w:r>
      <w:r>
        <w:rPr>
          <w:sz w:val="32"/>
        </w:rPr>
        <w:t>）</w:t>
      </w:r>
      <w:r>
        <w:rPr>
          <w:spacing w:val="-26"/>
          <w:sz w:val="32"/>
        </w:rPr>
        <w:t xml:space="preserve">团组 </w:t>
      </w:r>
      <w:r>
        <w:rPr>
          <w:sz w:val="32"/>
        </w:rPr>
        <w:t>0</w:t>
      </w:r>
      <w:r>
        <w:rPr>
          <w:spacing w:val="-15"/>
          <w:sz w:val="32"/>
        </w:rPr>
        <w:t xml:space="preserve"> 次，出国</w:t>
      </w:r>
      <w:r>
        <w:rPr>
          <w:sz w:val="32"/>
        </w:rPr>
        <w:t>（</w:t>
      </w:r>
      <w:r>
        <w:rPr>
          <w:spacing w:val="5"/>
          <w:sz w:val="32"/>
        </w:rPr>
        <w:t>境</w:t>
      </w:r>
      <w:r>
        <w:rPr>
          <w:sz w:val="32"/>
        </w:rPr>
        <w:t>）0</w:t>
      </w:r>
      <w:r>
        <w:rPr>
          <w:spacing w:val="-12"/>
          <w:sz w:val="32"/>
        </w:rPr>
        <w:t xml:space="preserve"> 人。因公出国（境）</w:t>
      </w:r>
      <w:r>
        <w:rPr>
          <w:spacing w:val="-24"/>
          <w:sz w:val="32"/>
        </w:rPr>
        <w:t xml:space="preserve">支出决算比 </w:t>
      </w:r>
      <w:r>
        <w:rPr>
          <w:sz w:val="32"/>
        </w:rPr>
        <w:t>2017</w:t>
      </w:r>
      <w:r>
        <w:rPr>
          <w:spacing w:val="-33"/>
          <w:sz w:val="32"/>
        </w:rPr>
        <w:t xml:space="preserve"> 年增加 </w:t>
      </w:r>
      <w:r>
        <w:rPr>
          <w:sz w:val="32"/>
        </w:rPr>
        <w:t>0</w:t>
      </w:r>
      <w:r>
        <w:rPr>
          <w:spacing w:val="-25"/>
          <w:sz w:val="32"/>
        </w:rPr>
        <w:t xml:space="preserve"> 万元，增长 </w:t>
      </w:r>
      <w:r>
        <w:rPr>
          <w:sz w:val="32"/>
        </w:rPr>
        <w:t>0%。</w:t>
      </w:r>
    </w:p>
    <w:p w14:paraId="2AF19744">
      <w:pPr>
        <w:pStyle w:val="9"/>
        <w:numPr>
          <w:ilvl w:val="0"/>
          <w:numId w:val="2"/>
        </w:numPr>
        <w:tabs>
          <w:tab w:val="left" w:pos="1203"/>
        </w:tabs>
        <w:spacing w:before="4" w:after="0" w:line="350" w:lineRule="auto"/>
        <w:ind w:left="240" w:right="254" w:firstLine="640"/>
        <w:jc w:val="both"/>
        <w:rPr>
          <w:sz w:val="30"/>
        </w:rPr>
      </w:pPr>
      <w:r>
        <w:rPr>
          <w:b/>
          <w:spacing w:val="3"/>
          <w:sz w:val="32"/>
        </w:rPr>
        <w:t>公务用车购置及运行维护费支出</w:t>
      </w:r>
      <w:r>
        <w:rPr>
          <w:sz w:val="32"/>
        </w:rPr>
        <w:t>0</w:t>
      </w:r>
      <w:r>
        <w:rPr>
          <w:spacing w:val="-12"/>
          <w:sz w:val="32"/>
        </w:rPr>
        <w:t xml:space="preserve"> 万元,完成预算</w:t>
      </w:r>
      <w:r>
        <w:rPr>
          <w:sz w:val="32"/>
        </w:rPr>
        <w:t>0%。</w:t>
      </w:r>
      <w:r>
        <w:rPr>
          <w:spacing w:val="-5"/>
          <w:sz w:val="32"/>
        </w:rPr>
        <w:t xml:space="preserve">公务用车购置及运行维护费支出决算比 </w:t>
      </w:r>
      <w:r>
        <w:rPr>
          <w:sz w:val="32"/>
        </w:rPr>
        <w:t>2017</w:t>
      </w:r>
      <w:r>
        <w:rPr>
          <w:spacing w:val="-35"/>
          <w:sz w:val="32"/>
        </w:rPr>
        <w:t xml:space="preserve"> 年减少 </w:t>
      </w:r>
      <w:r>
        <w:rPr>
          <w:sz w:val="32"/>
        </w:rPr>
        <w:t>0</w:t>
      </w:r>
      <w:r>
        <w:rPr>
          <w:spacing w:val="-23"/>
          <w:sz w:val="32"/>
        </w:rPr>
        <w:t xml:space="preserve"> 万元，</w:t>
      </w:r>
    </w:p>
    <w:p w14:paraId="3C9DB37F">
      <w:pPr>
        <w:spacing w:after="0" w:line="350" w:lineRule="auto"/>
        <w:jc w:val="both"/>
        <w:rPr>
          <w:sz w:val="30"/>
        </w:rPr>
        <w:sectPr>
          <w:pgSz w:w="11910" w:h="16840"/>
          <w:pgMar w:top="1540" w:right="1380" w:bottom="1380" w:left="1560" w:header="0" w:footer="1196" w:gutter="0"/>
          <w:cols w:space="720" w:num="1"/>
        </w:sectPr>
      </w:pPr>
    </w:p>
    <w:p w14:paraId="72B795E5">
      <w:pPr>
        <w:pStyle w:val="4"/>
        <w:spacing w:before="43"/>
      </w:pPr>
      <w:r>
        <w:t>下降 0%。</w:t>
      </w:r>
    </w:p>
    <w:p w14:paraId="1C25393A">
      <w:pPr>
        <w:spacing w:before="190"/>
        <w:ind w:left="880" w:right="0" w:firstLine="0"/>
        <w:jc w:val="left"/>
        <w:rPr>
          <w:sz w:val="32"/>
        </w:rPr>
      </w:pPr>
      <w:r>
        <w:rPr>
          <w:sz w:val="32"/>
        </w:rPr>
        <w:t>其中：</w:t>
      </w:r>
      <w:r>
        <w:rPr>
          <w:b/>
          <w:sz w:val="32"/>
        </w:rPr>
        <w:t xml:space="preserve">公务用车购置支出 </w:t>
      </w:r>
      <w:r>
        <w:rPr>
          <w:sz w:val="32"/>
        </w:rPr>
        <w:t>0 万元。全年按规定更新购置</w:t>
      </w:r>
    </w:p>
    <w:p w14:paraId="389B65EE">
      <w:pPr>
        <w:pStyle w:val="4"/>
      </w:pPr>
      <w:r>
        <w:rPr>
          <w:spacing w:val="-17"/>
        </w:rPr>
        <w:t xml:space="preserve">公务用车 </w:t>
      </w:r>
      <w:r>
        <w:t>0</w:t>
      </w:r>
      <w:r>
        <w:rPr>
          <w:spacing w:val="-29"/>
        </w:rPr>
        <w:t xml:space="preserve"> 辆，其中：轿车 </w:t>
      </w:r>
      <w:r>
        <w:t>0</w:t>
      </w:r>
      <w:r>
        <w:rPr>
          <w:spacing w:val="-35"/>
        </w:rPr>
        <w:t xml:space="preserve"> 辆、金额 </w:t>
      </w:r>
      <w:r>
        <w:t>0</w:t>
      </w:r>
      <w:r>
        <w:rPr>
          <w:spacing w:val="-27"/>
        </w:rPr>
        <w:t xml:space="preserve"> 万元，越野车 </w:t>
      </w:r>
      <w:r>
        <w:t>0</w:t>
      </w:r>
      <w:r>
        <w:rPr>
          <w:spacing w:val="-28"/>
        </w:rPr>
        <w:t xml:space="preserve"> 辆、</w:t>
      </w:r>
    </w:p>
    <w:p w14:paraId="32395217">
      <w:pPr>
        <w:pStyle w:val="4"/>
      </w:pPr>
      <w:r>
        <w:rPr>
          <w:spacing w:val="-27"/>
        </w:rPr>
        <w:t xml:space="preserve">金额 </w:t>
      </w:r>
      <w:r>
        <w:t>0</w:t>
      </w:r>
      <w:r>
        <w:rPr>
          <w:spacing w:val="-20"/>
        </w:rPr>
        <w:t xml:space="preserve"> 万元，载客汽车 </w:t>
      </w:r>
      <w:r>
        <w:t>0</w:t>
      </w:r>
      <w:r>
        <w:rPr>
          <w:spacing w:val="-28"/>
        </w:rPr>
        <w:t xml:space="preserve"> 辆、金额 </w:t>
      </w:r>
      <w:r>
        <w:t>0</w:t>
      </w:r>
      <w:r>
        <w:rPr>
          <w:spacing w:val="-25"/>
        </w:rPr>
        <w:t xml:space="preserve"> 万元。截至 </w:t>
      </w:r>
      <w:r>
        <w:t>2018</w:t>
      </w:r>
      <w:r>
        <w:rPr>
          <w:spacing w:val="-55"/>
        </w:rPr>
        <w:t xml:space="preserve"> 年 </w:t>
      </w:r>
      <w:r>
        <w:t>12</w:t>
      </w:r>
    </w:p>
    <w:p w14:paraId="7F7668E2">
      <w:pPr>
        <w:pStyle w:val="4"/>
      </w:pPr>
      <w:r>
        <w:rPr>
          <w:spacing w:val="-7"/>
        </w:rPr>
        <w:t xml:space="preserve">月底，单位共有公务用车 </w:t>
      </w:r>
      <w:r>
        <w:t>0</w:t>
      </w:r>
      <w:r>
        <w:rPr>
          <w:spacing w:val="-20"/>
        </w:rPr>
        <w:t xml:space="preserve"> 辆，其中：轿车 </w:t>
      </w:r>
      <w:r>
        <w:t>0</w:t>
      </w:r>
      <w:r>
        <w:rPr>
          <w:spacing w:val="-25"/>
        </w:rPr>
        <w:t xml:space="preserve"> 辆、越野车 </w:t>
      </w:r>
      <w:r>
        <w:t>0</w:t>
      </w:r>
    </w:p>
    <w:p w14:paraId="6CB2BEDD">
      <w:pPr>
        <w:pStyle w:val="4"/>
      </w:pPr>
      <w:r>
        <w:t>辆、载客汽车 0 辆。</w:t>
      </w:r>
    </w:p>
    <w:p w14:paraId="6D41B2AF">
      <w:pPr>
        <w:spacing w:before="190"/>
        <w:ind w:left="880" w:right="0" w:firstLine="0"/>
        <w:jc w:val="both"/>
        <w:rPr>
          <w:sz w:val="32"/>
        </w:rPr>
      </w:pPr>
      <w:r>
        <w:rPr>
          <w:b/>
          <w:sz w:val="32"/>
        </w:rPr>
        <w:t xml:space="preserve">公务用车运行维护费支出 </w:t>
      </w:r>
      <w:r>
        <w:rPr>
          <w:sz w:val="32"/>
        </w:rPr>
        <w:t>0 万元。</w:t>
      </w:r>
    </w:p>
    <w:p w14:paraId="172B72F7">
      <w:pPr>
        <w:pStyle w:val="9"/>
        <w:numPr>
          <w:ilvl w:val="0"/>
          <w:numId w:val="2"/>
        </w:numPr>
        <w:tabs>
          <w:tab w:val="left" w:pos="1205"/>
        </w:tabs>
        <w:spacing w:before="190" w:after="0" w:line="350" w:lineRule="auto"/>
        <w:ind w:left="240" w:right="415" w:firstLine="640"/>
        <w:jc w:val="both"/>
        <w:rPr>
          <w:sz w:val="30"/>
        </w:rPr>
      </w:pPr>
      <w:r>
        <w:rPr>
          <w:b/>
          <w:spacing w:val="-7"/>
          <w:sz w:val="32"/>
        </w:rPr>
        <w:t xml:space="preserve">公务接待费支出 </w:t>
      </w:r>
      <w:r>
        <w:rPr>
          <w:sz w:val="32"/>
        </w:rPr>
        <w:t>7.95</w:t>
      </w:r>
      <w:r>
        <w:rPr>
          <w:spacing w:val="-19"/>
          <w:sz w:val="32"/>
        </w:rPr>
        <w:t xml:space="preserve"> 万元，完成预算 </w:t>
      </w:r>
      <w:r>
        <w:rPr>
          <w:sz w:val="32"/>
        </w:rPr>
        <w:t>100</w:t>
      </w:r>
      <w:r>
        <w:rPr>
          <w:spacing w:val="1"/>
          <w:sz w:val="32"/>
        </w:rPr>
        <w:t>%。公务接</w:t>
      </w:r>
      <w:r>
        <w:rPr>
          <w:spacing w:val="-10"/>
          <w:sz w:val="32"/>
        </w:rPr>
        <w:t xml:space="preserve">待费支出决算比 </w:t>
      </w:r>
      <w:r>
        <w:rPr>
          <w:sz w:val="32"/>
        </w:rPr>
        <w:t>2017</w:t>
      </w:r>
      <w:r>
        <w:rPr>
          <w:spacing w:val="-34"/>
          <w:sz w:val="32"/>
        </w:rPr>
        <w:t xml:space="preserve"> 年增加 </w:t>
      </w:r>
      <w:r>
        <w:rPr>
          <w:sz w:val="32"/>
        </w:rPr>
        <w:t>0.1</w:t>
      </w:r>
      <w:r>
        <w:rPr>
          <w:spacing w:val="-33"/>
          <w:sz w:val="32"/>
        </w:rPr>
        <w:t xml:space="preserve"> 万元，增长 </w:t>
      </w:r>
      <w:r>
        <w:rPr>
          <w:sz w:val="32"/>
        </w:rPr>
        <w:t>1.27</w:t>
      </w:r>
      <w:r>
        <w:rPr>
          <w:spacing w:val="-10"/>
          <w:sz w:val="32"/>
        </w:rPr>
        <w:t>%。主要原因是扶贫中公务活动增加。</w:t>
      </w:r>
    </w:p>
    <w:p w14:paraId="45DF69BD">
      <w:pPr>
        <w:pStyle w:val="4"/>
        <w:spacing w:before="4" w:line="350" w:lineRule="auto"/>
        <w:ind w:right="417" w:firstLine="640"/>
        <w:jc w:val="both"/>
      </w:pPr>
      <w:r>
        <w:rPr>
          <w:spacing w:val="-2"/>
          <w:w w:val="95"/>
        </w:rPr>
        <w:t xml:space="preserve">主要用于执行公务、开展业务活动开支的交通费、住宿 </w:t>
      </w:r>
      <w:r>
        <w:rPr>
          <w:spacing w:val="-13"/>
        </w:rPr>
        <w:t xml:space="preserve">费、用餐费等。国内公务接待 </w:t>
      </w:r>
      <w:r>
        <w:t>472</w:t>
      </w:r>
      <w:r>
        <w:rPr>
          <w:spacing w:val="-23"/>
        </w:rPr>
        <w:t xml:space="preserve"> 批次，</w:t>
      </w:r>
      <w:r>
        <w:rPr>
          <w:spacing w:val="-5"/>
        </w:rPr>
        <w:t>4745</w:t>
      </w:r>
      <w:r>
        <w:rPr>
          <w:spacing w:val="-36"/>
        </w:rPr>
        <w:t xml:space="preserve"> 人次</w:t>
      </w:r>
      <w:r>
        <w:t>（不包括</w:t>
      </w:r>
      <w:r>
        <w:rPr>
          <w:w w:val="99"/>
        </w:rPr>
        <w:t>陪同人员</w:t>
      </w:r>
      <w:r>
        <w:rPr>
          <w:spacing w:val="-159"/>
          <w:w w:val="99"/>
        </w:rPr>
        <w:t>）</w:t>
      </w:r>
      <w:r>
        <w:rPr>
          <w:w w:val="99"/>
        </w:rPr>
        <w:t>，共计支出</w:t>
      </w:r>
      <w:r>
        <w:rPr>
          <w:spacing w:val="-79"/>
        </w:rPr>
        <w:t xml:space="preserve"> </w:t>
      </w:r>
      <w:r>
        <w:rPr>
          <w:spacing w:val="1"/>
          <w:w w:val="99"/>
        </w:rPr>
        <w:t>7.</w:t>
      </w:r>
      <w:r>
        <w:rPr>
          <w:spacing w:val="-2"/>
          <w:w w:val="99"/>
        </w:rPr>
        <w:t>9</w:t>
      </w:r>
      <w:r>
        <w:rPr>
          <w:w w:val="99"/>
        </w:rPr>
        <w:t>5</w:t>
      </w:r>
      <w:r>
        <w:rPr>
          <w:spacing w:val="-80"/>
        </w:rPr>
        <w:t xml:space="preserve"> </w:t>
      </w:r>
      <w:r>
        <w:rPr>
          <w:w w:val="99"/>
        </w:rPr>
        <w:t>万元。其中：</w:t>
      </w:r>
    </w:p>
    <w:p w14:paraId="3E732BE2">
      <w:pPr>
        <w:spacing w:before="4"/>
        <w:ind w:left="880" w:right="0" w:firstLine="0"/>
        <w:jc w:val="both"/>
        <w:rPr>
          <w:sz w:val="32"/>
        </w:rPr>
      </w:pPr>
      <w:r>
        <w:rPr>
          <w:b/>
          <w:sz w:val="32"/>
        </w:rPr>
        <w:t xml:space="preserve">外事接待支出 </w:t>
      </w:r>
      <w:r>
        <w:rPr>
          <w:sz w:val="32"/>
        </w:rPr>
        <w:t>0 万元，外事接待 0 批次，0 人，共计支</w:t>
      </w:r>
    </w:p>
    <w:p w14:paraId="378797D6">
      <w:pPr>
        <w:pStyle w:val="4"/>
        <w:jc w:val="both"/>
      </w:pPr>
      <w:r>
        <w:t>出 0 万元。</w:t>
      </w:r>
    </w:p>
    <w:p w14:paraId="7F0C5646">
      <w:pPr>
        <w:spacing w:before="190" w:line="350" w:lineRule="auto"/>
        <w:ind w:left="240" w:right="417" w:firstLine="640"/>
        <w:jc w:val="both"/>
        <w:rPr>
          <w:sz w:val="32"/>
        </w:rPr>
      </w:pPr>
      <w:r>
        <w:rPr>
          <w:b/>
          <w:spacing w:val="-3"/>
          <w:sz w:val="32"/>
        </w:rPr>
        <w:t xml:space="preserve">其他国内公务接待支出 </w:t>
      </w:r>
      <w:r>
        <w:rPr>
          <w:sz w:val="32"/>
        </w:rPr>
        <w:t>7.95</w:t>
      </w:r>
      <w:r>
        <w:rPr>
          <w:spacing w:val="-4"/>
          <w:sz w:val="32"/>
        </w:rPr>
        <w:t xml:space="preserve"> 万元，主要用于扶贫工作中脱贫攻坚和招商引资公务活动支出。</w:t>
      </w:r>
    </w:p>
    <w:p w14:paraId="497A535C">
      <w:pPr>
        <w:pStyle w:val="4"/>
        <w:numPr>
          <w:ilvl w:val="0"/>
          <w:numId w:val="3"/>
        </w:numPr>
        <w:spacing w:before="3" w:line="348" w:lineRule="auto"/>
        <w:ind w:left="880" w:right="1925"/>
        <w:rPr>
          <w:spacing w:val="-20"/>
        </w:rPr>
      </w:pPr>
      <w:bookmarkStart w:id="38" w:name="八、政府性基金预算支出决算情况说明"/>
      <w:bookmarkEnd w:id="38"/>
      <w:r>
        <w:rPr>
          <w:rFonts w:hint="eastAsia" w:ascii="黑体" w:eastAsia="黑体"/>
        </w:rPr>
        <w:t xml:space="preserve">政府性基金预算支出决算情况说明 </w:t>
      </w:r>
      <w:r>
        <w:t>2018</w:t>
      </w:r>
      <w:r>
        <w:rPr>
          <w:spacing w:val="-14"/>
        </w:rPr>
        <w:t xml:space="preserve"> 年政府性基金预算拨款支出 </w:t>
      </w:r>
      <w:r>
        <w:t>0</w:t>
      </w:r>
      <w:r>
        <w:rPr>
          <w:spacing w:val="-20"/>
        </w:rPr>
        <w:t xml:space="preserve"> 万元。</w:t>
      </w:r>
    </w:p>
    <w:p w14:paraId="45B3737D">
      <w:pPr>
        <w:pStyle w:val="4"/>
        <w:numPr>
          <w:ilvl w:val="0"/>
          <w:numId w:val="3"/>
        </w:numPr>
        <w:spacing w:before="3" w:line="348" w:lineRule="auto"/>
        <w:ind w:left="880" w:right="1925"/>
        <w:rPr>
          <w:rFonts w:hint="eastAsia" w:ascii="黑体" w:eastAsia="黑体"/>
        </w:rPr>
      </w:pPr>
      <w:r>
        <w:rPr>
          <w:rFonts w:hint="eastAsia" w:ascii="黑体" w:eastAsia="黑体"/>
          <w:spacing w:val="-20"/>
        </w:rPr>
        <w:t>国有资本经营预算支出决算情况说明</w:t>
      </w:r>
      <w:r>
        <w:rPr>
          <w:spacing w:val="-20"/>
        </w:rPr>
        <w:t>2018</w:t>
      </w:r>
      <w:r>
        <w:rPr>
          <w:spacing w:val="-15"/>
        </w:rPr>
        <w:t xml:space="preserve"> 年国有资本经营预算拨款支出 </w:t>
      </w:r>
      <w:r>
        <w:t>0</w:t>
      </w:r>
      <w:r>
        <w:rPr>
          <w:spacing w:val="-21"/>
        </w:rPr>
        <w:t xml:space="preserve"> 万元。</w:t>
      </w:r>
    </w:p>
    <w:p w14:paraId="539EDECC">
      <w:pPr>
        <w:pStyle w:val="4"/>
        <w:numPr>
          <w:ilvl w:val="0"/>
          <w:numId w:val="3"/>
        </w:numPr>
        <w:spacing w:before="3" w:line="348" w:lineRule="auto"/>
        <w:ind w:left="880" w:right="1925"/>
        <w:rPr>
          <w:rFonts w:hint="eastAsia" w:ascii="黑体" w:eastAsia="黑体"/>
        </w:rPr>
      </w:pPr>
      <w:r>
        <w:rPr>
          <w:rFonts w:hint="eastAsia" w:ascii="黑体" w:eastAsia="黑体"/>
          <w:spacing w:val="-13"/>
        </w:rPr>
        <w:t xml:space="preserve"> 预算绩效情况说明</w:t>
      </w:r>
    </w:p>
    <w:p w14:paraId="755D208B">
      <w:pPr>
        <w:pStyle w:val="4"/>
        <w:spacing w:before="8"/>
        <w:ind w:left="1360"/>
      </w:pPr>
      <w:r>
        <w:t>见第四部分 附件</w:t>
      </w:r>
    </w:p>
    <w:p w14:paraId="59F09E48">
      <w:pPr>
        <w:spacing w:after="0"/>
        <w:sectPr>
          <w:pgSz w:w="11910" w:h="16840"/>
          <w:pgMar w:top="1540" w:right="1380" w:bottom="1380" w:left="1560" w:header="0" w:footer="1196" w:gutter="0"/>
          <w:cols w:space="720" w:num="1"/>
        </w:sectPr>
      </w:pPr>
    </w:p>
    <w:p w14:paraId="3CB2EACB">
      <w:pPr>
        <w:pStyle w:val="4"/>
        <w:spacing w:before="43"/>
        <w:ind w:left="880"/>
      </w:pPr>
      <w:r>
        <w:t>石井铺镇人民政府 2018 年度部门支出绩效评价自评报</w:t>
      </w:r>
    </w:p>
    <w:p w14:paraId="1D958F23">
      <w:pPr>
        <w:pStyle w:val="4"/>
      </w:pPr>
      <w:r>
        <w:rPr>
          <w:w w:val="99"/>
        </w:rPr>
        <w:t>告</w:t>
      </w:r>
    </w:p>
    <w:p w14:paraId="7465D416">
      <w:pPr>
        <w:pStyle w:val="4"/>
        <w:ind w:left="880"/>
        <w:rPr>
          <w:rFonts w:hint="eastAsia" w:ascii="黑体" w:eastAsia="黑体"/>
        </w:rPr>
      </w:pPr>
      <w:bookmarkStart w:id="39" w:name="十一、其他重要事项的情况说明"/>
      <w:bookmarkEnd w:id="39"/>
      <w:bookmarkStart w:id="40" w:name="_bookmark13"/>
      <w:bookmarkEnd w:id="40"/>
      <w:r>
        <w:rPr>
          <w:rFonts w:hint="eastAsia" w:ascii="黑体" w:eastAsia="黑体"/>
        </w:rPr>
        <w:t>十</w:t>
      </w:r>
      <w:r>
        <w:rPr>
          <w:rFonts w:hint="eastAsia" w:ascii="黑体" w:eastAsia="黑体"/>
          <w:b/>
        </w:rPr>
        <w:t>一、</w:t>
      </w:r>
      <w:r>
        <w:rPr>
          <w:rFonts w:hint="eastAsia" w:ascii="黑体" w:eastAsia="黑体"/>
        </w:rPr>
        <w:t>其他重要事项的情况说明</w:t>
      </w:r>
    </w:p>
    <w:p w14:paraId="5D8F17EA">
      <w:pPr>
        <w:pStyle w:val="3"/>
      </w:pPr>
      <w:bookmarkStart w:id="41" w:name="（一）机关运行经费支出情况"/>
      <w:bookmarkEnd w:id="41"/>
      <w:r>
        <w:t>（一）机关运行经费支出情况</w:t>
      </w:r>
    </w:p>
    <w:p w14:paraId="39B541FA">
      <w:pPr>
        <w:pStyle w:val="4"/>
        <w:ind w:left="880"/>
      </w:pPr>
      <w:r>
        <w:t>2018</w:t>
      </w:r>
      <w:r>
        <w:rPr>
          <w:spacing w:val="-18"/>
        </w:rPr>
        <w:t xml:space="preserve"> 年，石井铺镇政府机关运行经费支出 </w:t>
      </w:r>
      <w:r>
        <w:t>134.95</w:t>
      </w:r>
      <w:r>
        <w:rPr>
          <w:spacing w:val="-21"/>
        </w:rPr>
        <w:t xml:space="preserve"> 万元，</w:t>
      </w:r>
    </w:p>
    <w:p w14:paraId="687CE3AF">
      <w:pPr>
        <w:pStyle w:val="4"/>
        <w:spacing w:before="7"/>
        <w:ind w:left="0"/>
        <w:rPr>
          <w:sz w:val="10"/>
        </w:rPr>
      </w:pPr>
    </w:p>
    <w:p w14:paraId="2EC0DB3E">
      <w:pPr>
        <w:pStyle w:val="4"/>
        <w:spacing w:before="55" w:line="350" w:lineRule="auto"/>
        <w:ind w:right="417"/>
      </w:pPr>
      <w:r>
        <w:rPr>
          <w:spacing w:val="-42"/>
        </w:rPr>
        <w:t xml:space="preserve">比 </w:t>
      </w:r>
      <w:r>
        <w:t>2017</w:t>
      </w:r>
      <w:r>
        <w:rPr>
          <w:spacing w:val="-34"/>
        </w:rPr>
        <w:t xml:space="preserve"> 年增加 </w:t>
      </w:r>
      <w:r>
        <w:t>28</w:t>
      </w:r>
      <w:r>
        <w:rPr>
          <w:spacing w:val="-32"/>
        </w:rPr>
        <w:t xml:space="preserve"> 万元，增长 </w:t>
      </w:r>
      <w:r>
        <w:t>26.18</w:t>
      </w:r>
      <w:r>
        <w:rPr>
          <w:spacing w:val="-7"/>
        </w:rPr>
        <w:t>%。主要原因是在脱贫攻坚中脱贫工作经费增加。</w:t>
      </w:r>
    </w:p>
    <w:p w14:paraId="657603AA">
      <w:pPr>
        <w:pStyle w:val="3"/>
        <w:spacing w:before="2"/>
      </w:pPr>
      <w:bookmarkStart w:id="42" w:name="（二）政府采购支出情况"/>
      <w:bookmarkEnd w:id="42"/>
      <w:r>
        <w:t>（二）政府采购支出情况</w:t>
      </w:r>
    </w:p>
    <w:p w14:paraId="30FAD88E">
      <w:pPr>
        <w:pStyle w:val="4"/>
        <w:ind w:left="880"/>
      </w:pPr>
      <w:r>
        <w:t>2018</w:t>
      </w:r>
      <w:r>
        <w:rPr>
          <w:spacing w:val="-17"/>
        </w:rPr>
        <w:t xml:space="preserve"> 年，石井铺镇政府采购支出总额 </w:t>
      </w:r>
      <w:r>
        <w:t>0</w:t>
      </w:r>
      <w:r>
        <w:rPr>
          <w:spacing w:val="-20"/>
        </w:rPr>
        <w:t xml:space="preserve"> 万元，其中：政</w:t>
      </w:r>
    </w:p>
    <w:p w14:paraId="17D02A74">
      <w:pPr>
        <w:pStyle w:val="4"/>
        <w:jc w:val="both"/>
      </w:pPr>
      <w:r>
        <w:rPr>
          <w:spacing w:val="-11"/>
        </w:rPr>
        <w:t xml:space="preserve">府采购货物支出 </w:t>
      </w:r>
      <w:r>
        <w:t>0</w:t>
      </w:r>
      <w:r>
        <w:rPr>
          <w:spacing w:val="-16"/>
        </w:rPr>
        <w:t xml:space="preserve"> 万元、政府采购工程支出 </w:t>
      </w:r>
      <w:r>
        <w:t>0</w:t>
      </w:r>
      <w:r>
        <w:rPr>
          <w:spacing w:val="-14"/>
        </w:rPr>
        <w:t xml:space="preserve"> 万元、政府采</w:t>
      </w:r>
    </w:p>
    <w:p w14:paraId="1601177B">
      <w:pPr>
        <w:pStyle w:val="4"/>
        <w:spacing w:line="350" w:lineRule="auto"/>
        <w:ind w:right="324"/>
        <w:jc w:val="both"/>
      </w:pPr>
      <w:r>
        <w:rPr>
          <w:spacing w:val="-14"/>
        </w:rPr>
        <w:t xml:space="preserve">购服务支出 </w:t>
      </w:r>
      <w:r>
        <w:t>0</w:t>
      </w:r>
      <w:r>
        <w:rPr>
          <w:spacing w:val="-15"/>
        </w:rPr>
        <w:t xml:space="preserve"> 万元。授予中小企业合同金额 </w:t>
      </w:r>
      <w:r>
        <w:t>0</w:t>
      </w:r>
      <w:r>
        <w:rPr>
          <w:spacing w:val="-14"/>
        </w:rPr>
        <w:t xml:space="preserve"> 万元，占政府</w:t>
      </w:r>
      <w:r>
        <w:rPr>
          <w:spacing w:val="-23"/>
        </w:rPr>
        <w:t xml:space="preserve">采购支出总额的 </w:t>
      </w:r>
      <w:r>
        <w:t>0</w:t>
      </w:r>
      <w:r>
        <w:rPr>
          <w:spacing w:val="-6"/>
        </w:rPr>
        <w:t xml:space="preserve">%，其中：授予小微企业合同金额 </w:t>
      </w:r>
      <w:r>
        <w:t>0</w:t>
      </w:r>
      <w:r>
        <w:rPr>
          <w:spacing w:val="-21"/>
        </w:rPr>
        <w:t xml:space="preserve"> 万元， </w:t>
      </w:r>
      <w:r>
        <w:rPr>
          <w:spacing w:val="10"/>
        </w:rPr>
        <w:t xml:space="preserve">占政府采购支出总额的 </w:t>
      </w:r>
      <w:r>
        <w:rPr>
          <w:spacing w:val="5"/>
        </w:rPr>
        <w:t>0%，2018</w:t>
      </w:r>
      <w:r>
        <w:rPr>
          <w:spacing w:val="10"/>
        </w:rPr>
        <w:t xml:space="preserve"> 年年末固定资产总额为</w:t>
      </w:r>
    </w:p>
    <w:p w14:paraId="39006B69">
      <w:pPr>
        <w:pStyle w:val="9"/>
        <w:numPr>
          <w:ilvl w:val="1"/>
          <w:numId w:val="4"/>
        </w:numPr>
        <w:tabs>
          <w:tab w:val="left" w:pos="1280"/>
        </w:tabs>
        <w:spacing w:before="5" w:after="0" w:line="240" w:lineRule="auto"/>
        <w:ind w:left="1279" w:right="0" w:hanging="1040"/>
        <w:jc w:val="both"/>
        <w:rPr>
          <w:sz w:val="32"/>
        </w:rPr>
      </w:pPr>
      <w:r>
        <w:rPr>
          <w:sz w:val="32"/>
        </w:rPr>
        <w:t>万元。</w:t>
      </w:r>
    </w:p>
    <w:p w14:paraId="66E420DF">
      <w:pPr>
        <w:pStyle w:val="3"/>
      </w:pPr>
      <w:bookmarkStart w:id="43" w:name="（三）国有资产占有使用情况"/>
      <w:bookmarkEnd w:id="43"/>
      <w:r>
        <w:t>（三）国有资产占有使用情况</w:t>
      </w:r>
    </w:p>
    <w:p w14:paraId="22E2D0EC">
      <w:pPr>
        <w:pStyle w:val="4"/>
        <w:spacing w:line="350" w:lineRule="auto"/>
        <w:ind w:right="259" w:firstLine="640"/>
      </w:pPr>
      <w:r>
        <w:t xml:space="preserve">截至2018年12月31日，石井铺政府资产总额为1625.46 </w:t>
      </w:r>
      <w:r>
        <w:rPr>
          <w:spacing w:val="-2"/>
          <w:w w:val="95"/>
        </w:rPr>
        <w:t>万元，其中固定资产</w:t>
      </w:r>
      <w:r>
        <w:rPr>
          <w:w w:val="95"/>
        </w:rPr>
        <w:t>314.61</w:t>
      </w:r>
      <w:r>
        <w:rPr>
          <w:spacing w:val="-2"/>
          <w:w w:val="95"/>
        </w:rPr>
        <w:t>万元，单位共有车辆</w:t>
      </w:r>
      <w:r>
        <w:rPr>
          <w:w w:val="95"/>
        </w:rPr>
        <w:t>0</w:t>
      </w:r>
      <w:r>
        <w:rPr>
          <w:spacing w:val="-2"/>
          <w:w w:val="95"/>
        </w:rPr>
        <w:t xml:space="preserve">辆，其中： </w:t>
      </w:r>
      <w:r>
        <w:rPr>
          <w:spacing w:val="-2"/>
        </w:rPr>
        <w:t>部级领导干部用车0</w:t>
      </w:r>
      <w:r>
        <w:rPr>
          <w:spacing w:val="-3"/>
        </w:rPr>
        <w:t>辆、一般公务用车</w:t>
      </w:r>
      <w:r>
        <w:t>0</w:t>
      </w:r>
      <w:r>
        <w:rPr>
          <w:spacing w:val="-3"/>
        </w:rPr>
        <w:t xml:space="preserve">辆、一般执法执勤用车0辆、特种专业技术用车0辆、其他用车0辆，单价50万元 </w:t>
      </w:r>
      <w:r>
        <w:rPr>
          <w:spacing w:val="-3"/>
          <w:w w:val="95"/>
        </w:rPr>
        <w:t>以上通用设备0</w:t>
      </w:r>
      <w:r>
        <w:rPr>
          <w:spacing w:val="-111"/>
          <w:w w:val="95"/>
        </w:rPr>
        <w:t>台</w:t>
      </w:r>
      <w:r>
        <w:rPr>
          <w:w w:val="95"/>
        </w:rPr>
        <w:t>（套</w:t>
      </w:r>
      <w:r>
        <w:rPr>
          <w:spacing w:val="-135"/>
          <w:w w:val="95"/>
        </w:rPr>
        <w:t>）</w:t>
      </w:r>
      <w:r>
        <w:rPr>
          <w:spacing w:val="-46"/>
          <w:w w:val="95"/>
        </w:rPr>
        <w:t>，单价</w:t>
      </w:r>
      <w:r>
        <w:rPr>
          <w:w w:val="95"/>
        </w:rPr>
        <w:t>100万元以上专用设备0</w:t>
      </w:r>
      <w:r>
        <w:rPr>
          <w:spacing w:val="-111"/>
          <w:w w:val="95"/>
        </w:rPr>
        <w:t>台</w:t>
      </w:r>
      <w:r>
        <w:rPr>
          <w:w w:val="95"/>
        </w:rPr>
        <w:t>（套</w:t>
      </w:r>
      <w:r>
        <w:rPr>
          <w:spacing w:val="-159"/>
          <w:w w:val="95"/>
        </w:rPr>
        <w:t>）</w:t>
      </w:r>
      <w:r>
        <w:rPr>
          <w:w w:val="95"/>
        </w:rPr>
        <w:t>。</w:t>
      </w:r>
    </w:p>
    <w:p w14:paraId="6F552EBA">
      <w:pPr>
        <w:spacing w:after="0" w:line="350" w:lineRule="auto"/>
        <w:sectPr>
          <w:pgSz w:w="11910" w:h="16840"/>
          <w:pgMar w:top="1540" w:right="1380" w:bottom="1380" w:left="1560" w:header="0" w:footer="1196" w:gutter="0"/>
          <w:cols w:space="720" w:num="1"/>
        </w:sectPr>
      </w:pPr>
    </w:p>
    <w:p w14:paraId="1348D645">
      <w:pPr>
        <w:pStyle w:val="2"/>
        <w:spacing w:before="23"/>
        <w:ind w:right="15"/>
      </w:pPr>
      <w:r>
        <w:t xml:space="preserve">第三部分 </w:t>
      </w:r>
      <w:r>
        <w:rPr>
          <w:b/>
        </w:rPr>
        <w:t>名</w:t>
      </w:r>
      <w:r>
        <w:t>词解释</w:t>
      </w:r>
    </w:p>
    <w:p w14:paraId="1C8832AD">
      <w:pPr>
        <w:pStyle w:val="4"/>
        <w:spacing w:before="0"/>
        <w:ind w:left="0"/>
        <w:rPr>
          <w:rFonts w:ascii="黑体"/>
          <w:sz w:val="59"/>
        </w:rPr>
      </w:pPr>
    </w:p>
    <w:p w14:paraId="78B2CA99">
      <w:pPr>
        <w:pStyle w:val="9"/>
        <w:numPr>
          <w:ilvl w:val="2"/>
          <w:numId w:val="4"/>
        </w:numPr>
        <w:tabs>
          <w:tab w:val="left" w:pos="1207"/>
        </w:tabs>
        <w:spacing w:before="0" w:after="0" w:line="350" w:lineRule="auto"/>
        <w:ind w:left="240" w:right="420" w:firstLine="645"/>
        <w:jc w:val="left"/>
        <w:rPr>
          <w:sz w:val="32"/>
        </w:rPr>
      </w:pPr>
      <w:r>
        <w:rPr>
          <w:spacing w:val="-3"/>
          <w:w w:val="95"/>
          <w:sz w:val="32"/>
        </w:rPr>
        <w:t xml:space="preserve">财政拨款收入：指单位从同级财政部门取得的财政预 </w:t>
      </w:r>
      <w:r>
        <w:rPr>
          <w:spacing w:val="-3"/>
          <w:sz w:val="32"/>
        </w:rPr>
        <w:t>算资金。</w:t>
      </w:r>
    </w:p>
    <w:p w14:paraId="7BE74E5B">
      <w:pPr>
        <w:pStyle w:val="9"/>
        <w:numPr>
          <w:ilvl w:val="2"/>
          <w:numId w:val="4"/>
        </w:numPr>
        <w:tabs>
          <w:tab w:val="left" w:pos="1207"/>
        </w:tabs>
        <w:spacing w:before="3" w:after="0" w:line="350" w:lineRule="auto"/>
        <w:ind w:left="240" w:right="417" w:firstLine="645"/>
        <w:jc w:val="left"/>
        <w:rPr>
          <w:sz w:val="32"/>
        </w:rPr>
      </w:pPr>
      <w:r>
        <w:rPr>
          <w:spacing w:val="-4"/>
          <w:w w:val="95"/>
          <w:sz w:val="32"/>
        </w:rPr>
        <w:t xml:space="preserve">事业收入：指事业单位开展专业业务活动及辅助活动 </w:t>
      </w:r>
      <w:r>
        <w:rPr>
          <w:spacing w:val="-4"/>
          <w:sz w:val="32"/>
        </w:rPr>
        <w:t>取得的收入。</w:t>
      </w:r>
    </w:p>
    <w:p w14:paraId="660292BC">
      <w:pPr>
        <w:pStyle w:val="9"/>
        <w:numPr>
          <w:ilvl w:val="2"/>
          <w:numId w:val="4"/>
        </w:numPr>
        <w:tabs>
          <w:tab w:val="left" w:pos="1207"/>
        </w:tabs>
        <w:spacing w:before="3" w:after="0" w:line="350" w:lineRule="auto"/>
        <w:ind w:left="240" w:right="417" w:firstLine="645"/>
        <w:jc w:val="left"/>
        <w:rPr>
          <w:sz w:val="32"/>
        </w:rPr>
      </w:pPr>
      <w:r>
        <w:rPr>
          <w:spacing w:val="-4"/>
          <w:w w:val="95"/>
          <w:sz w:val="32"/>
        </w:rPr>
        <w:t xml:space="preserve">经营收入：指事业单位在专业业务活动及其辅助活动 </w:t>
      </w:r>
      <w:r>
        <w:rPr>
          <w:spacing w:val="-4"/>
          <w:sz w:val="32"/>
        </w:rPr>
        <w:t>之外开展非独立核算经营活动取得的收入。</w:t>
      </w:r>
    </w:p>
    <w:p w14:paraId="05A30D92">
      <w:pPr>
        <w:pStyle w:val="9"/>
        <w:numPr>
          <w:ilvl w:val="2"/>
          <w:numId w:val="4"/>
        </w:numPr>
        <w:tabs>
          <w:tab w:val="left" w:pos="1207"/>
        </w:tabs>
        <w:spacing w:before="2" w:after="0" w:line="240" w:lineRule="auto"/>
        <w:ind w:left="1206" w:right="0" w:hanging="322"/>
        <w:jc w:val="left"/>
        <w:rPr>
          <w:sz w:val="32"/>
        </w:rPr>
      </w:pPr>
      <w:r>
        <w:rPr>
          <w:spacing w:val="-4"/>
          <w:sz w:val="32"/>
        </w:rPr>
        <w:t>其他收入：指单位取得的除上述收入以外的各项收入。</w:t>
      </w:r>
    </w:p>
    <w:p w14:paraId="2715A874">
      <w:pPr>
        <w:pStyle w:val="9"/>
        <w:numPr>
          <w:ilvl w:val="2"/>
          <w:numId w:val="4"/>
        </w:numPr>
        <w:tabs>
          <w:tab w:val="left" w:pos="562"/>
        </w:tabs>
        <w:spacing w:before="190" w:after="0" w:line="350" w:lineRule="auto"/>
        <w:ind w:left="240" w:right="420" w:firstLine="0"/>
        <w:jc w:val="both"/>
        <w:rPr>
          <w:sz w:val="32"/>
        </w:rPr>
      </w:pPr>
      <w:r>
        <w:rPr>
          <w:spacing w:val="-2"/>
          <w:w w:val="95"/>
          <w:sz w:val="32"/>
        </w:rPr>
        <w:t xml:space="preserve">用事业基金弥补收支差额：指事业单位在当年的财政拨款 </w:t>
      </w:r>
      <w:r>
        <w:rPr>
          <w:spacing w:val="-5"/>
          <w:sz w:val="32"/>
        </w:rPr>
        <w:t>收入、事业收入、经营收入、其他收入不足以安排当年支出</w:t>
      </w:r>
      <w:r>
        <w:rPr>
          <w:spacing w:val="-6"/>
          <w:sz w:val="32"/>
        </w:rPr>
        <w:t>的情况下，使用以前年度积累的事业基金</w:t>
      </w:r>
      <w:r>
        <w:rPr>
          <w:sz w:val="32"/>
        </w:rPr>
        <w:t>（</w:t>
      </w:r>
      <w:r>
        <w:rPr>
          <w:spacing w:val="-2"/>
          <w:sz w:val="32"/>
        </w:rPr>
        <w:t>事业单位当年收支相抵后按国家规定提取、用于弥补以后年度收支差额的基金）弥补本年度收支缺口的资金。</w:t>
      </w:r>
    </w:p>
    <w:p w14:paraId="1C6740BC">
      <w:pPr>
        <w:pStyle w:val="9"/>
        <w:numPr>
          <w:ilvl w:val="2"/>
          <w:numId w:val="4"/>
        </w:numPr>
        <w:tabs>
          <w:tab w:val="left" w:pos="1207"/>
        </w:tabs>
        <w:spacing w:before="7" w:after="0" w:line="350" w:lineRule="auto"/>
        <w:ind w:left="240" w:right="420" w:firstLine="645"/>
        <w:jc w:val="left"/>
        <w:rPr>
          <w:sz w:val="32"/>
        </w:rPr>
      </w:pPr>
      <w:r>
        <w:rPr>
          <w:spacing w:val="-2"/>
          <w:w w:val="95"/>
          <w:sz w:val="32"/>
        </w:rPr>
        <w:t xml:space="preserve">年初结转和结余：指以前年度尚未完成、结转到本年 </w:t>
      </w:r>
      <w:r>
        <w:rPr>
          <w:spacing w:val="-2"/>
          <w:sz w:val="32"/>
        </w:rPr>
        <w:t>按有关规定继续使用的资金。</w:t>
      </w:r>
    </w:p>
    <w:p w14:paraId="1FAE5837">
      <w:pPr>
        <w:pStyle w:val="9"/>
        <w:numPr>
          <w:ilvl w:val="2"/>
          <w:numId w:val="4"/>
        </w:numPr>
        <w:tabs>
          <w:tab w:val="left" w:pos="1207"/>
        </w:tabs>
        <w:spacing w:before="3" w:after="0" w:line="350" w:lineRule="auto"/>
        <w:ind w:left="240" w:right="417" w:firstLine="645"/>
        <w:jc w:val="left"/>
        <w:rPr>
          <w:sz w:val="32"/>
        </w:rPr>
      </w:pPr>
      <w:r>
        <w:rPr>
          <w:spacing w:val="-4"/>
          <w:w w:val="95"/>
          <w:sz w:val="32"/>
        </w:rPr>
        <w:t xml:space="preserve">结余分配：指事业单位按照事业单位会计制度的规定 </w:t>
      </w:r>
      <w:r>
        <w:rPr>
          <w:spacing w:val="-4"/>
          <w:sz w:val="32"/>
        </w:rPr>
        <w:t>从非财政补助结余中分配的事业基金和职工福利基金等。</w:t>
      </w:r>
    </w:p>
    <w:p w14:paraId="318DCF21">
      <w:pPr>
        <w:pStyle w:val="4"/>
        <w:spacing w:before="3" w:line="350" w:lineRule="auto"/>
        <w:ind w:right="419" w:firstLine="645"/>
      </w:pPr>
      <w:r>
        <w:rPr>
          <w:spacing w:val="6"/>
          <w:w w:val="95"/>
        </w:rPr>
        <w:t>8</w:t>
      </w:r>
      <w:r>
        <w:rPr>
          <w:spacing w:val="4"/>
          <w:w w:val="95"/>
        </w:rPr>
        <w:t xml:space="preserve">、年末结转和结余：指单位按有关规定结转到下年或 </w:t>
      </w:r>
      <w:r>
        <w:t>以后年度继续使用的资金。</w:t>
      </w:r>
    </w:p>
    <w:p w14:paraId="7046016F">
      <w:pPr>
        <w:pStyle w:val="9"/>
        <w:numPr>
          <w:ilvl w:val="0"/>
          <w:numId w:val="5"/>
        </w:numPr>
        <w:tabs>
          <w:tab w:val="left" w:pos="1205"/>
        </w:tabs>
        <w:spacing w:before="3" w:after="0" w:line="350" w:lineRule="auto"/>
        <w:ind w:left="240" w:right="420" w:firstLine="645"/>
        <w:jc w:val="left"/>
        <w:rPr>
          <w:sz w:val="32"/>
        </w:rPr>
      </w:pPr>
      <w:r>
        <w:rPr>
          <w:spacing w:val="-3"/>
          <w:w w:val="95"/>
          <w:sz w:val="32"/>
        </w:rPr>
        <w:t xml:space="preserve">基本支出：指为保障机构正常运转、完成日常工作任 </w:t>
      </w:r>
      <w:r>
        <w:rPr>
          <w:spacing w:val="-3"/>
          <w:sz w:val="32"/>
        </w:rPr>
        <w:t>务而发生的人员支出和公用支出。</w:t>
      </w:r>
    </w:p>
    <w:p w14:paraId="62B09650">
      <w:pPr>
        <w:pStyle w:val="9"/>
        <w:numPr>
          <w:ilvl w:val="0"/>
          <w:numId w:val="5"/>
        </w:numPr>
        <w:tabs>
          <w:tab w:val="left" w:pos="1371"/>
        </w:tabs>
        <w:spacing w:before="3" w:after="0" w:line="240" w:lineRule="auto"/>
        <w:ind w:left="1370" w:right="0" w:hanging="486"/>
        <w:jc w:val="left"/>
        <w:rPr>
          <w:sz w:val="32"/>
        </w:rPr>
      </w:pPr>
      <w:r>
        <w:rPr>
          <w:spacing w:val="6"/>
          <w:sz w:val="32"/>
        </w:rPr>
        <w:t>项目支出：指在基本支出之外为完成特定行政任务</w:t>
      </w:r>
    </w:p>
    <w:p w14:paraId="5755D98D">
      <w:pPr>
        <w:spacing w:after="0" w:line="240" w:lineRule="auto"/>
        <w:jc w:val="left"/>
        <w:rPr>
          <w:sz w:val="32"/>
        </w:rPr>
        <w:sectPr>
          <w:pgSz w:w="11910" w:h="16840"/>
          <w:pgMar w:top="1440" w:right="1380" w:bottom="1380" w:left="1560" w:header="0" w:footer="1196" w:gutter="0"/>
          <w:cols w:space="720" w:num="1"/>
        </w:sectPr>
      </w:pPr>
    </w:p>
    <w:p w14:paraId="4EB3F0AC">
      <w:pPr>
        <w:pStyle w:val="4"/>
        <w:spacing w:before="43"/>
      </w:pPr>
      <w:r>
        <w:t>和事业发展目标所发生的支出。</w:t>
      </w:r>
    </w:p>
    <w:p w14:paraId="6062E952">
      <w:pPr>
        <w:pStyle w:val="9"/>
        <w:numPr>
          <w:ilvl w:val="0"/>
          <w:numId w:val="5"/>
        </w:numPr>
        <w:tabs>
          <w:tab w:val="left" w:pos="1371"/>
        </w:tabs>
        <w:spacing w:before="190" w:after="0" w:line="350" w:lineRule="auto"/>
        <w:ind w:left="240" w:right="420" w:firstLine="645"/>
        <w:jc w:val="left"/>
        <w:rPr>
          <w:sz w:val="32"/>
        </w:rPr>
      </w:pPr>
      <w:r>
        <w:rPr>
          <w:spacing w:val="6"/>
          <w:w w:val="95"/>
          <w:sz w:val="32"/>
        </w:rPr>
        <w:t xml:space="preserve">经营支出：指事业单位在专业业务活动及其辅助活 </w:t>
      </w:r>
      <w:r>
        <w:rPr>
          <w:spacing w:val="6"/>
          <w:sz w:val="32"/>
        </w:rPr>
        <w:t>动之外开展非独立核算经营活动发生的支出。</w:t>
      </w:r>
    </w:p>
    <w:p w14:paraId="3435D7B1">
      <w:pPr>
        <w:pStyle w:val="9"/>
        <w:numPr>
          <w:ilvl w:val="0"/>
          <w:numId w:val="5"/>
        </w:numPr>
        <w:tabs>
          <w:tab w:val="left" w:pos="1371"/>
        </w:tabs>
        <w:spacing w:before="3" w:after="0" w:line="240" w:lineRule="auto"/>
        <w:ind w:left="1370" w:right="0" w:hanging="486"/>
        <w:jc w:val="left"/>
        <w:rPr>
          <w:sz w:val="32"/>
        </w:rPr>
      </w:pPr>
      <w:r>
        <w:rPr>
          <w:spacing w:val="6"/>
          <w:sz w:val="32"/>
        </w:rPr>
        <w:t>“三公”经费：指部门用财政拨款安排的因公出国</w:t>
      </w:r>
    </w:p>
    <w:p w14:paraId="1DB90622">
      <w:pPr>
        <w:pStyle w:val="4"/>
        <w:spacing w:line="350" w:lineRule="auto"/>
        <w:ind w:right="40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14:paraId="62621B62">
      <w:pPr>
        <w:pStyle w:val="9"/>
        <w:numPr>
          <w:ilvl w:val="0"/>
          <w:numId w:val="5"/>
        </w:numPr>
        <w:tabs>
          <w:tab w:val="left" w:pos="1371"/>
        </w:tabs>
        <w:spacing w:before="9" w:after="0" w:line="350" w:lineRule="auto"/>
        <w:ind w:left="240" w:right="417" w:firstLine="645"/>
        <w:jc w:val="both"/>
        <w:rPr>
          <w:sz w:val="32"/>
        </w:rPr>
      </w:pPr>
      <w:r>
        <w:rPr>
          <w:spacing w:val="7"/>
          <w:w w:val="95"/>
          <w:sz w:val="32"/>
        </w:rPr>
        <w:t>机关运行经费：为保障行政单位（</w:t>
      </w:r>
      <w:r>
        <w:rPr>
          <w:spacing w:val="5"/>
          <w:w w:val="95"/>
          <w:sz w:val="32"/>
        </w:rPr>
        <w:t>含参照公务员法 管理的事业单位</w:t>
      </w:r>
      <w:r>
        <w:rPr>
          <w:spacing w:val="-5"/>
          <w:w w:val="95"/>
          <w:sz w:val="32"/>
        </w:rPr>
        <w:t>）</w:t>
      </w:r>
      <w:r>
        <w:rPr>
          <w:spacing w:val="-1"/>
          <w:w w:val="95"/>
          <w:sz w:val="32"/>
        </w:rPr>
        <w:t xml:space="preserve">运行用于购买货物和服务的各项资金，包 </w:t>
      </w:r>
      <w:r>
        <w:rPr>
          <w:spacing w:val="-3"/>
          <w:sz w:val="32"/>
        </w:rPr>
        <w:t>括办公及印刷费、邮电费、差旅费、会议费、福利费、日常</w:t>
      </w:r>
      <w:r>
        <w:rPr>
          <w:spacing w:val="-4"/>
          <w:w w:val="95"/>
          <w:sz w:val="32"/>
        </w:rPr>
        <w:t xml:space="preserve">维修费、专用材料及一般设备购置费、办公用房水电费、办 </w:t>
      </w:r>
      <w:r>
        <w:rPr>
          <w:spacing w:val="-5"/>
          <w:sz w:val="32"/>
        </w:rPr>
        <w:t>公用房取暖费、办公用房物业管理费、公务用车运行维护费以及其他费用。</w:t>
      </w:r>
    </w:p>
    <w:p w14:paraId="5ED4C3F7">
      <w:pPr>
        <w:spacing w:after="0" w:line="350" w:lineRule="auto"/>
        <w:jc w:val="both"/>
        <w:rPr>
          <w:sz w:val="32"/>
        </w:rPr>
        <w:sectPr>
          <w:pgSz w:w="11910" w:h="16840"/>
          <w:pgMar w:top="1540" w:right="1380" w:bottom="1380" w:left="1560" w:header="0" w:footer="1196" w:gutter="0"/>
          <w:cols w:space="720" w:num="1"/>
        </w:sectPr>
      </w:pPr>
    </w:p>
    <w:p w14:paraId="0DE66DEA">
      <w:pPr>
        <w:pStyle w:val="4"/>
        <w:spacing w:before="0"/>
        <w:ind w:left="0"/>
        <w:rPr>
          <w:sz w:val="20"/>
        </w:rPr>
      </w:pPr>
    </w:p>
    <w:p w14:paraId="4DE77064">
      <w:pPr>
        <w:pStyle w:val="4"/>
        <w:spacing w:before="0"/>
        <w:ind w:left="0"/>
        <w:rPr>
          <w:sz w:val="20"/>
        </w:rPr>
      </w:pPr>
    </w:p>
    <w:p w14:paraId="34743E0E">
      <w:pPr>
        <w:pStyle w:val="4"/>
        <w:spacing w:before="0"/>
        <w:ind w:left="0"/>
        <w:rPr>
          <w:sz w:val="20"/>
        </w:rPr>
      </w:pPr>
    </w:p>
    <w:p w14:paraId="2DC24C7B">
      <w:pPr>
        <w:pStyle w:val="4"/>
        <w:spacing w:before="3"/>
        <w:ind w:left="0"/>
        <w:rPr>
          <w:sz w:val="15"/>
        </w:rPr>
      </w:pPr>
    </w:p>
    <w:p w14:paraId="68414A63">
      <w:pPr>
        <w:pStyle w:val="2"/>
        <w:spacing w:before="37"/>
        <w:ind w:right="669"/>
      </w:pPr>
      <w:bookmarkStart w:id="44" w:name="_bookmark15"/>
      <w:bookmarkEnd w:id="44"/>
      <w:bookmarkStart w:id="45" w:name="第四部分 附件"/>
      <w:bookmarkEnd w:id="45"/>
      <w:r>
        <w:t>第四部分 附件</w:t>
      </w:r>
    </w:p>
    <w:p w14:paraId="6E103BF4">
      <w:pPr>
        <w:pStyle w:val="4"/>
        <w:spacing w:before="0"/>
        <w:ind w:left="0"/>
        <w:rPr>
          <w:rFonts w:ascii="黑体"/>
          <w:sz w:val="20"/>
        </w:rPr>
      </w:pPr>
    </w:p>
    <w:p w14:paraId="65513401">
      <w:pPr>
        <w:pStyle w:val="4"/>
        <w:spacing w:before="0"/>
        <w:ind w:left="0"/>
        <w:rPr>
          <w:rFonts w:ascii="黑体"/>
          <w:sz w:val="20"/>
        </w:rPr>
      </w:pPr>
    </w:p>
    <w:p w14:paraId="421593D1">
      <w:pPr>
        <w:pStyle w:val="4"/>
        <w:spacing w:before="0"/>
        <w:ind w:left="0"/>
        <w:rPr>
          <w:rFonts w:ascii="黑体"/>
          <w:sz w:val="20"/>
        </w:rPr>
      </w:pPr>
    </w:p>
    <w:p w14:paraId="64BFFD68">
      <w:pPr>
        <w:spacing w:after="0"/>
        <w:rPr>
          <w:rFonts w:ascii="黑体"/>
          <w:sz w:val="20"/>
        </w:rPr>
        <w:sectPr>
          <w:pgSz w:w="11910" w:h="16840"/>
          <w:pgMar w:top="1580" w:right="1380" w:bottom="1380" w:left="1560" w:header="0" w:footer="1196" w:gutter="0"/>
          <w:cols w:space="720" w:num="1"/>
        </w:sectPr>
      </w:pPr>
    </w:p>
    <w:p w14:paraId="5ECB513E">
      <w:pPr>
        <w:pStyle w:val="4"/>
        <w:spacing w:before="196"/>
      </w:pPr>
      <w:bookmarkStart w:id="46" w:name="附件1"/>
      <w:bookmarkEnd w:id="46"/>
      <w:bookmarkStart w:id="47" w:name="_bookmark16"/>
      <w:bookmarkEnd w:id="47"/>
      <w:r>
        <w:rPr>
          <w:spacing w:val="-27"/>
        </w:rPr>
        <w:t xml:space="preserve">附件 </w:t>
      </w:r>
      <w:r>
        <w:t>1</w:t>
      </w:r>
    </w:p>
    <w:p w14:paraId="48603F14">
      <w:pPr>
        <w:pStyle w:val="4"/>
        <w:spacing w:before="7"/>
        <w:ind w:left="0"/>
        <w:rPr>
          <w:sz w:val="75"/>
        </w:rPr>
      </w:pPr>
      <w:r>
        <w:br w:type="column"/>
      </w:r>
    </w:p>
    <w:p w14:paraId="3ED02B30">
      <w:pPr>
        <w:pStyle w:val="2"/>
        <w:ind w:left="240"/>
        <w:jc w:val="left"/>
        <w:rPr>
          <w:rFonts w:hint="eastAsia" w:ascii="微软雅黑" w:eastAsia="微软雅黑"/>
        </w:rPr>
      </w:pPr>
      <w:bookmarkStart w:id="48" w:name="_bookmark17"/>
      <w:bookmarkEnd w:id="48"/>
      <w:r>
        <w:rPr>
          <w:rFonts w:hint="eastAsia" w:ascii="微软雅黑" w:eastAsia="微软雅黑"/>
        </w:rPr>
        <w:t>石井铺镇人民政府</w:t>
      </w:r>
    </w:p>
    <w:p w14:paraId="278CB5CA">
      <w:pPr>
        <w:spacing w:after="0"/>
        <w:jc w:val="left"/>
        <w:rPr>
          <w:rFonts w:hint="eastAsia" w:ascii="微软雅黑" w:eastAsia="微软雅黑"/>
        </w:rPr>
        <w:sectPr>
          <w:type w:val="continuous"/>
          <w:pgSz w:w="11910" w:h="16840"/>
          <w:pgMar w:top="1580" w:right="1380" w:bottom="280" w:left="1560" w:header="720" w:footer="720" w:gutter="0"/>
          <w:cols w:equalWidth="0" w:num="2">
            <w:col w:w="1160" w:space="1233"/>
            <w:col w:w="6577"/>
          </w:cols>
        </w:sectPr>
      </w:pPr>
    </w:p>
    <w:p w14:paraId="1A4F6223">
      <w:pPr>
        <w:spacing w:before="0" w:line="720" w:lineRule="exact"/>
        <w:ind w:left="741" w:right="0" w:firstLine="0"/>
        <w:jc w:val="left"/>
        <w:rPr>
          <w:rFonts w:hint="eastAsia" w:ascii="微软雅黑" w:eastAsia="微软雅黑"/>
          <w:sz w:val="44"/>
        </w:rPr>
      </w:pPr>
      <w:r>
        <w:rPr>
          <w:rFonts w:hint="eastAsia" w:ascii="微软雅黑" w:eastAsia="微软雅黑"/>
          <w:sz w:val="44"/>
        </w:rPr>
        <w:t>2018 年度部门支出绩效评价自评报告</w:t>
      </w:r>
    </w:p>
    <w:p w14:paraId="68043EC2">
      <w:pPr>
        <w:pStyle w:val="4"/>
        <w:spacing w:before="443"/>
        <w:ind w:left="880"/>
        <w:rPr>
          <w:rFonts w:hint="eastAsia" w:ascii="宋体" w:eastAsia="宋体"/>
        </w:rPr>
      </w:pPr>
      <w:r>
        <w:rPr>
          <w:rFonts w:hint="eastAsia" w:ascii="宋体" w:eastAsia="宋体"/>
        </w:rPr>
        <w:t>一、部门概况</w:t>
      </w:r>
    </w:p>
    <w:p w14:paraId="39ED0CBE">
      <w:pPr>
        <w:pStyle w:val="4"/>
        <w:spacing w:before="180" w:line="350" w:lineRule="auto"/>
        <w:ind w:right="417" w:firstLine="645"/>
        <w:jc w:val="both"/>
      </w:pPr>
      <w:r>
        <w:rPr>
          <w:spacing w:val="-2"/>
        </w:rPr>
        <w:t>石井铺镇是经昭化区委、区人民政府批准成立的行政</w:t>
      </w:r>
      <w:r>
        <w:rPr>
          <w:spacing w:val="-1"/>
        </w:rPr>
        <w:t xml:space="preserve">单位,位于广元市昭化区中心地带，国道 </w:t>
      </w:r>
      <w:r>
        <w:t>212</w:t>
      </w:r>
      <w:r>
        <w:rPr>
          <w:spacing w:val="-9"/>
        </w:rPr>
        <w:t xml:space="preserve"> 线从其境内穿</w:t>
      </w:r>
      <w:r>
        <w:rPr>
          <w:spacing w:val="-5"/>
          <w:w w:val="95"/>
        </w:rPr>
        <w:t>过，全乡所辖十村八十五个社和一个居委会。镇政府人员定</w:t>
      </w:r>
      <w:r>
        <w:rPr>
          <w:spacing w:val="-15"/>
        </w:rPr>
        <w:t xml:space="preserve">编定员情况：行政编制 </w:t>
      </w:r>
      <w:r>
        <w:t>12</w:t>
      </w:r>
      <w:r>
        <w:rPr>
          <w:spacing w:val="-26"/>
        </w:rPr>
        <w:t xml:space="preserve"> 人，事业编制 </w:t>
      </w:r>
      <w:r>
        <w:t>12</w:t>
      </w:r>
      <w:r>
        <w:rPr>
          <w:spacing w:val="-31"/>
        </w:rPr>
        <w:t xml:space="preserve"> 人，</w:t>
      </w:r>
      <w:r>
        <w:rPr>
          <w:spacing w:val="-7"/>
        </w:rPr>
        <w:t>2018</w:t>
      </w:r>
      <w:r>
        <w:rPr>
          <w:spacing w:val="-21"/>
        </w:rPr>
        <w:t xml:space="preserve"> 年在镇</w:t>
      </w:r>
    </w:p>
    <w:p w14:paraId="50C3AE43">
      <w:pPr>
        <w:pStyle w:val="4"/>
        <w:spacing w:before="6"/>
        <w:jc w:val="both"/>
      </w:pPr>
      <w:r>
        <w:rPr>
          <w:spacing w:val="-8"/>
        </w:rPr>
        <w:t xml:space="preserve">工作实有行政编制人员 </w:t>
      </w:r>
      <w:r>
        <w:t>12</w:t>
      </w:r>
      <w:r>
        <w:rPr>
          <w:spacing w:val="-23"/>
        </w:rPr>
        <w:t xml:space="preserve"> 人，事业编制 </w:t>
      </w:r>
      <w:r>
        <w:t>12</w:t>
      </w:r>
      <w:r>
        <w:rPr>
          <w:spacing w:val="-13"/>
        </w:rPr>
        <w:t xml:space="preserve"> 人，其中：工勤</w:t>
      </w:r>
    </w:p>
    <w:p w14:paraId="68ABA534">
      <w:pPr>
        <w:pStyle w:val="9"/>
        <w:numPr>
          <w:ilvl w:val="0"/>
          <w:numId w:val="6"/>
        </w:numPr>
        <w:tabs>
          <w:tab w:val="left" w:pos="480"/>
        </w:tabs>
        <w:spacing w:before="190" w:after="0" w:line="240" w:lineRule="auto"/>
        <w:ind w:left="480" w:right="0" w:hanging="240"/>
        <w:jc w:val="both"/>
        <w:rPr>
          <w:sz w:val="32"/>
        </w:rPr>
      </w:pPr>
      <w:r>
        <w:rPr>
          <w:sz w:val="32"/>
        </w:rPr>
        <w:t>人。</w:t>
      </w:r>
    </w:p>
    <w:p w14:paraId="7026C5AA">
      <w:pPr>
        <w:pStyle w:val="4"/>
        <w:spacing w:before="159"/>
        <w:ind w:left="866"/>
        <w:rPr>
          <w:rFonts w:hint="eastAsia" w:ascii="宋体" w:eastAsia="宋体"/>
        </w:rPr>
      </w:pPr>
      <w:r>
        <w:rPr>
          <w:rFonts w:hint="eastAsia" w:ascii="宋体" w:eastAsia="宋体"/>
        </w:rPr>
        <w:t>二、主要职能职责</w:t>
      </w:r>
    </w:p>
    <w:p w14:paraId="21F6B0DA">
      <w:pPr>
        <w:pStyle w:val="4"/>
        <w:spacing w:before="183" w:line="350" w:lineRule="auto"/>
        <w:ind w:right="258" w:firstLine="645"/>
      </w:pPr>
      <w:r>
        <w:t xml:space="preserve">贯彻执行国家有关财政管理等方面的法律、法规和规， </w:t>
      </w:r>
      <w:r>
        <w:rPr>
          <w:spacing w:val="-1"/>
        </w:rPr>
        <w:t>拟定和执行我镇财政发展规划及其他有关政策。编制年度财</w:t>
      </w:r>
      <w:r>
        <w:rPr>
          <w:spacing w:val="-2"/>
        </w:rPr>
        <w:t>政预算草案并组织执行，向人大报告财政收支管理和监督各</w:t>
      </w:r>
      <w:r>
        <w:rPr>
          <w:spacing w:val="-4"/>
        </w:rPr>
        <w:t>项财政收支。管理各类政策性补贴等资金，建立惠农资金补</w:t>
      </w:r>
      <w:r>
        <w:rPr>
          <w:spacing w:val="-15"/>
        </w:rPr>
        <w:t xml:space="preserve">助对象管理新机制，进一步完善财政补贴农民资金“一卡(折) </w:t>
      </w:r>
      <w:r>
        <w:rPr>
          <w:spacing w:val="-5"/>
        </w:rPr>
        <w:t>通”发放机制。负责对各类专项资金的监管，提高财政资金</w:t>
      </w:r>
    </w:p>
    <w:p w14:paraId="4E4DE735">
      <w:pPr>
        <w:spacing w:after="0" w:line="350" w:lineRule="auto"/>
        <w:sectPr>
          <w:type w:val="continuous"/>
          <w:pgSz w:w="11910" w:h="16840"/>
          <w:pgMar w:top="1580" w:right="1380" w:bottom="280" w:left="1560" w:header="720" w:footer="720" w:gutter="0"/>
          <w:cols w:space="720" w:num="1"/>
        </w:sectPr>
      </w:pPr>
    </w:p>
    <w:p w14:paraId="3D7256E3">
      <w:pPr>
        <w:pStyle w:val="4"/>
        <w:spacing w:before="43" w:line="350" w:lineRule="auto"/>
        <w:ind w:right="405"/>
        <w:jc w:val="both"/>
      </w:pPr>
      <w:r>
        <w:t>使用效率。负责非税收入。提出加强财政管理的政策建议， 负责财政、税收政策法规的宣传工作。执行会计集中核算， 落实“镇财县管、村帐乡管”等管理制度，严格按照上级财政部门规定的工作程序开展工作，充分发挥财政资金效益。负责本镇国有资产监督管理工作。负责做好农村综合改革和社会主义新农村建设相关工作。承办镇党委、政府及上级财政部门交办的其他事项。</w:t>
      </w:r>
    </w:p>
    <w:p w14:paraId="46BFE677">
      <w:pPr>
        <w:pStyle w:val="4"/>
        <w:spacing w:before="0" w:line="389" w:lineRule="exact"/>
        <w:ind w:left="880"/>
        <w:rPr>
          <w:rFonts w:hint="eastAsia" w:ascii="宋体" w:eastAsia="宋体"/>
        </w:rPr>
      </w:pPr>
      <w:r>
        <w:rPr>
          <w:rFonts w:hint="eastAsia" w:ascii="宋体" w:eastAsia="宋体"/>
        </w:rPr>
        <w:t>三、部门自评原则及方法</w:t>
      </w:r>
    </w:p>
    <w:p w14:paraId="6D44FD1D">
      <w:pPr>
        <w:pStyle w:val="4"/>
        <w:spacing w:before="180" w:line="350" w:lineRule="auto"/>
        <w:ind w:right="259" w:firstLine="645"/>
      </w:pPr>
      <w:r>
        <w:t>镇财政所根据昭财预[2018]2</w:t>
      </w:r>
      <w:r>
        <w:rPr>
          <w:spacing w:val="-18"/>
        </w:rPr>
        <w:t xml:space="preserve"> 号文件要求，由专人负责， </w:t>
      </w:r>
      <w:r>
        <w:rPr>
          <w:spacing w:val="-6"/>
        </w:rPr>
        <w:t>按照《广元市昭化区部门支出绩效评价指标体系》分类逐项一一进行比对自查。</w:t>
      </w:r>
    </w:p>
    <w:p w14:paraId="7BA6C281">
      <w:pPr>
        <w:pStyle w:val="4"/>
        <w:spacing w:before="4"/>
        <w:ind w:left="885"/>
      </w:pPr>
      <w:r>
        <w:t>（一）镇绩效评价原则</w:t>
      </w:r>
    </w:p>
    <w:p w14:paraId="60E07332">
      <w:pPr>
        <w:pStyle w:val="9"/>
        <w:numPr>
          <w:ilvl w:val="1"/>
          <w:numId w:val="6"/>
        </w:numPr>
        <w:tabs>
          <w:tab w:val="left" w:pos="1207"/>
        </w:tabs>
        <w:spacing w:before="190" w:after="0" w:line="350" w:lineRule="auto"/>
        <w:ind w:left="240" w:right="420" w:firstLine="645"/>
        <w:jc w:val="left"/>
        <w:rPr>
          <w:sz w:val="32"/>
        </w:rPr>
      </w:pPr>
      <w:r>
        <w:rPr>
          <w:spacing w:val="-4"/>
          <w:w w:val="95"/>
          <w:sz w:val="32"/>
        </w:rPr>
        <w:t xml:space="preserve">相关性原则。选定的绩效评价指标与其所做的工作和 </w:t>
      </w:r>
      <w:r>
        <w:rPr>
          <w:spacing w:val="-4"/>
          <w:sz w:val="32"/>
        </w:rPr>
        <w:t>完成的任务有直接的联系。</w:t>
      </w:r>
    </w:p>
    <w:p w14:paraId="1EE35BA9">
      <w:pPr>
        <w:pStyle w:val="9"/>
        <w:numPr>
          <w:ilvl w:val="1"/>
          <w:numId w:val="6"/>
        </w:numPr>
        <w:tabs>
          <w:tab w:val="left" w:pos="1207"/>
        </w:tabs>
        <w:spacing w:before="3" w:after="0" w:line="350" w:lineRule="auto"/>
        <w:ind w:left="240" w:right="420" w:firstLine="645"/>
        <w:jc w:val="both"/>
        <w:rPr>
          <w:sz w:val="32"/>
        </w:rPr>
      </w:pPr>
      <w:r>
        <w:rPr>
          <w:spacing w:val="-4"/>
          <w:w w:val="95"/>
          <w:sz w:val="32"/>
        </w:rPr>
        <w:t xml:space="preserve">重要性原则。对绩效评价指标在整个评价过程中的地 </w:t>
      </w:r>
      <w:r>
        <w:rPr>
          <w:spacing w:val="-7"/>
          <w:sz w:val="32"/>
        </w:rPr>
        <w:t>位和作用进行筛选，选择最具有代表性、最能反映评价要求</w:t>
      </w:r>
      <w:r>
        <w:rPr>
          <w:sz w:val="32"/>
        </w:rPr>
        <w:t>的绩效评价指标。</w:t>
      </w:r>
    </w:p>
    <w:p w14:paraId="68020211">
      <w:pPr>
        <w:pStyle w:val="9"/>
        <w:numPr>
          <w:ilvl w:val="1"/>
          <w:numId w:val="6"/>
        </w:numPr>
        <w:tabs>
          <w:tab w:val="left" w:pos="1207"/>
        </w:tabs>
        <w:spacing w:before="4" w:after="0" w:line="350" w:lineRule="auto"/>
        <w:ind w:left="240" w:right="420" w:firstLine="645"/>
        <w:jc w:val="left"/>
        <w:rPr>
          <w:sz w:val="32"/>
        </w:rPr>
      </w:pPr>
      <w:r>
        <w:rPr>
          <w:spacing w:val="-4"/>
          <w:w w:val="95"/>
          <w:sz w:val="32"/>
        </w:rPr>
        <w:t xml:space="preserve">可比性原则。对具有相似目标的工作选定共同的绩效 </w:t>
      </w:r>
      <w:r>
        <w:rPr>
          <w:spacing w:val="-4"/>
          <w:sz w:val="32"/>
        </w:rPr>
        <w:t>目标，保证绩效结果可以相互比较。</w:t>
      </w:r>
    </w:p>
    <w:p w14:paraId="655CAA04">
      <w:pPr>
        <w:pStyle w:val="9"/>
        <w:numPr>
          <w:ilvl w:val="1"/>
          <w:numId w:val="6"/>
        </w:numPr>
        <w:tabs>
          <w:tab w:val="left" w:pos="1207"/>
        </w:tabs>
        <w:spacing w:before="3" w:after="0" w:line="350" w:lineRule="auto"/>
        <w:ind w:left="240" w:right="405" w:firstLine="645"/>
        <w:jc w:val="left"/>
        <w:rPr>
          <w:spacing w:val="-4"/>
          <w:w w:val="95"/>
          <w:sz w:val="32"/>
        </w:rPr>
      </w:pPr>
      <w:r>
        <w:rPr>
          <w:spacing w:val="-4"/>
          <w:w w:val="95"/>
          <w:sz w:val="32"/>
        </w:rPr>
        <w:t xml:space="preserve">经济性原则。绩效评价指标要考虑现实条件和可操作 性，能在合理的成本基础上取得绩效目标数据并进行评价。 </w:t>
      </w:r>
    </w:p>
    <w:p w14:paraId="16AE1997">
      <w:pPr>
        <w:pStyle w:val="9"/>
        <w:numPr>
          <w:ilvl w:val="1"/>
          <w:numId w:val="6"/>
        </w:numPr>
        <w:tabs>
          <w:tab w:val="left" w:pos="1207"/>
        </w:tabs>
        <w:spacing w:before="3" w:after="0" w:line="350" w:lineRule="auto"/>
        <w:ind w:left="240" w:right="405" w:firstLine="645"/>
        <w:jc w:val="left"/>
        <w:rPr>
          <w:spacing w:val="-4"/>
          <w:w w:val="95"/>
          <w:sz w:val="32"/>
        </w:rPr>
      </w:pPr>
      <w:r>
        <w:rPr>
          <w:spacing w:val="-4"/>
          <w:w w:val="95"/>
          <w:sz w:val="32"/>
        </w:rPr>
        <w:t>动态性原则。项目绩效评价是一个动态过程，反映专项资金项目绩效的指标体系同样不能一成不变，而应是动态性的、可补充的，可根据绩效评价工作的开展情况，不断调整、完善基本指标。</w:t>
      </w:r>
    </w:p>
    <w:p w14:paraId="4DD17262">
      <w:pPr>
        <w:pStyle w:val="4"/>
        <w:spacing w:before="3" w:line="350" w:lineRule="auto"/>
        <w:ind w:right="417" w:firstLine="645"/>
      </w:pPr>
      <w:r>
        <w:rPr>
          <w:w w:val="95"/>
        </w:rPr>
        <w:t>6</w:t>
      </w:r>
      <w:r>
        <w:rPr>
          <w:spacing w:val="-3"/>
          <w:w w:val="95"/>
        </w:rPr>
        <w:t>.系统性原则。应当将定量指标与定性指标相结合，系</w:t>
      </w:r>
      <w:r>
        <w:rPr>
          <w:spacing w:val="-3"/>
        </w:rPr>
        <w:t>统反映预算支出所产生的效益。</w:t>
      </w:r>
    </w:p>
    <w:p w14:paraId="0107E2E3">
      <w:pPr>
        <w:pStyle w:val="4"/>
        <w:spacing w:before="2"/>
        <w:ind w:left="885"/>
      </w:pPr>
      <w:r>
        <w:t>（二）镇绩效评价方法</w:t>
      </w:r>
    </w:p>
    <w:p w14:paraId="6760F4E5">
      <w:pPr>
        <w:pStyle w:val="4"/>
        <w:spacing w:line="350" w:lineRule="auto"/>
        <w:ind w:right="420" w:firstLine="645"/>
        <w:jc w:val="both"/>
      </w:pPr>
      <w:r>
        <w:t>2018</w:t>
      </w:r>
      <w:r>
        <w:rPr>
          <w:spacing w:val="-3"/>
        </w:rPr>
        <w:t xml:space="preserve"> 年部门财务管理绩效评价指标体系按照《</w:t>
      </w:r>
      <w:r>
        <w:t>2018</w:t>
      </w:r>
      <w:r>
        <w:rPr>
          <w:spacing w:val="-42"/>
        </w:rPr>
        <w:t xml:space="preserve"> 年</w:t>
      </w:r>
      <w:r>
        <w:rPr>
          <w:spacing w:val="2"/>
        </w:rPr>
        <w:t>广元市昭化区部门绩效评价指标体系》 ，从以下几方面细</w:t>
      </w:r>
      <w:r>
        <w:t>化评价：</w:t>
      </w:r>
    </w:p>
    <w:p w14:paraId="389B316B">
      <w:pPr>
        <w:pStyle w:val="4"/>
        <w:spacing w:before="4"/>
        <w:ind w:left="885"/>
      </w:pPr>
      <w:r>
        <w:t>1、预决算编制指标</w:t>
      </w:r>
    </w:p>
    <w:p w14:paraId="44E34165">
      <w:pPr>
        <w:pStyle w:val="4"/>
        <w:ind w:left="885"/>
      </w:pPr>
      <w:r>
        <w:t>设置一级指标包含 2 个二级指标和 8 个三级指标，总分</w:t>
      </w:r>
    </w:p>
    <w:p w14:paraId="438333FE">
      <w:pPr>
        <w:pStyle w:val="4"/>
        <w:spacing w:line="350" w:lineRule="auto"/>
        <w:ind w:right="101"/>
      </w:pPr>
      <w:r>
        <w:rPr>
          <w:spacing w:val="-40"/>
        </w:rPr>
        <w:t xml:space="preserve">值 </w:t>
      </w:r>
      <w:r>
        <w:t>28</w:t>
      </w:r>
      <w:r>
        <w:rPr>
          <w:spacing w:val="-3"/>
        </w:rPr>
        <w:t xml:space="preserve"> 分。主要评价部门预算编制内容是否完整、编制是否</w:t>
      </w:r>
      <w:r>
        <w:rPr>
          <w:spacing w:val="-5"/>
        </w:rPr>
        <w:t xml:space="preserve">准确，是否正确使用功能科目与经济科目、准确编列资金性 质和资金级次；是否按政府审定的方案规范编制项目支出， 不少报、错报、漏报收支项目；部门综合绩效目标编制是否 </w:t>
      </w:r>
      <w:r>
        <w:rPr>
          <w:spacing w:val="-4"/>
        </w:rPr>
        <w:t xml:space="preserve">完整、合理，项目支出绩效目标编制是否明确、量化；是否 </w:t>
      </w:r>
      <w:r>
        <w:rPr>
          <w:spacing w:val="-5"/>
          <w:w w:val="95"/>
        </w:rPr>
        <w:t xml:space="preserve">按要求的时间报送部门预算及部门预算编制说明，发现有错、 </w:t>
      </w:r>
      <w:r>
        <w:rPr>
          <w:spacing w:val="-7"/>
        </w:rPr>
        <w:t xml:space="preserve">漏是否及时修改完善；部门决算是否账表一致、准确反映部 门收支情况；是否按规定口径填列，表内表间数据是否衔接 </w:t>
      </w:r>
      <w:r>
        <w:rPr>
          <w:spacing w:val="-5"/>
        </w:rPr>
        <w:t>一致，上下年度衔接是否一致，部门决算与其他上报报表或 者决算是否一致，项目及资金结转是否清晰、科目填报是否准确合理。</w:t>
      </w:r>
    </w:p>
    <w:p w14:paraId="51E48899">
      <w:pPr>
        <w:pStyle w:val="4"/>
        <w:spacing w:before="16"/>
        <w:ind w:left="885"/>
      </w:pPr>
      <w:r>
        <w:t>2、预算执行指标</w:t>
      </w:r>
    </w:p>
    <w:p w14:paraId="6EFE91FB">
      <w:pPr>
        <w:pStyle w:val="4"/>
        <w:ind w:left="885"/>
      </w:pPr>
      <w:r>
        <w:t>设置一级指标包含 4 个二级指标和 7 个三级指标，总分</w:t>
      </w:r>
    </w:p>
    <w:p w14:paraId="67E0EB8F">
      <w:pPr>
        <w:spacing w:after="0"/>
        <w:sectPr>
          <w:footerReference r:id="rId7" w:type="default"/>
          <w:pgSz w:w="11910" w:h="16840"/>
          <w:pgMar w:top="1540" w:right="1380" w:bottom="1380" w:left="1560" w:header="0" w:footer="1196" w:gutter="0"/>
          <w:pgNumType w:start="20"/>
          <w:cols w:space="720" w:num="1"/>
        </w:sectPr>
      </w:pPr>
    </w:p>
    <w:p w14:paraId="3148C983">
      <w:pPr>
        <w:pStyle w:val="4"/>
        <w:spacing w:before="43" w:line="350" w:lineRule="auto"/>
        <w:ind w:right="417"/>
        <w:jc w:val="both"/>
      </w:pPr>
      <w:r>
        <w:rPr>
          <w:spacing w:val="-43"/>
        </w:rPr>
        <w:t xml:space="preserve">值 </w:t>
      </w:r>
      <w:r>
        <w:t>20</w:t>
      </w:r>
      <w:r>
        <w:rPr>
          <w:spacing w:val="-4"/>
        </w:rPr>
        <w:t xml:space="preserve"> 分。主要评价收支是否按预算执行，账面收支记录真</w:t>
      </w:r>
      <w:r>
        <w:rPr>
          <w:spacing w:val="-5"/>
        </w:rPr>
        <w:t>实、完整，决算报表与账面记录是否一致。是否严格控制现金支付，支付范围比例逐年下降。按规定使用公务卡，提高</w:t>
      </w:r>
      <w:r>
        <w:rPr>
          <w:spacing w:val="-6"/>
        </w:rPr>
        <w:t>公务卡结算支付比例，公务卡使用资金占非转账授权支付资</w:t>
      </w:r>
      <w:r>
        <w:rPr>
          <w:spacing w:val="-42"/>
        </w:rPr>
        <w:t xml:space="preserve">金 </w:t>
      </w:r>
      <w:r>
        <w:t>60%及以上。不得随意新增财政借款；如有借款，及时还</w:t>
      </w:r>
      <w:r>
        <w:rPr>
          <w:spacing w:val="-3"/>
          <w:w w:val="95"/>
        </w:rPr>
        <w:t xml:space="preserve">款。单位所有账户是否纳入“大平台”管理，是否纳入“大 </w:t>
      </w:r>
      <w:r>
        <w:rPr>
          <w:spacing w:val="-3"/>
        </w:rPr>
        <w:t>平台”机打支票。</w:t>
      </w:r>
    </w:p>
    <w:p w14:paraId="3131F301">
      <w:pPr>
        <w:pStyle w:val="4"/>
        <w:spacing w:before="10"/>
        <w:ind w:left="885"/>
      </w:pPr>
      <w:r>
        <w:t>3、综合管理指标</w:t>
      </w:r>
    </w:p>
    <w:p w14:paraId="2F0C9C7B">
      <w:pPr>
        <w:pStyle w:val="4"/>
        <w:spacing w:before="189"/>
        <w:ind w:left="885"/>
      </w:pPr>
      <w:r>
        <w:t>设置一级指标包含 6 个二级指标和 15 个三级指标，总</w:t>
      </w:r>
    </w:p>
    <w:p w14:paraId="638B43F2">
      <w:pPr>
        <w:pStyle w:val="4"/>
        <w:spacing w:line="350" w:lineRule="auto"/>
        <w:ind w:right="258"/>
      </w:pPr>
      <w:r>
        <w:rPr>
          <w:spacing w:val="-29"/>
        </w:rPr>
        <w:t xml:space="preserve">分值 </w:t>
      </w:r>
      <w:r>
        <w:t>52</w:t>
      </w:r>
      <w:r>
        <w:rPr>
          <w:spacing w:val="-10"/>
        </w:rPr>
        <w:t xml:space="preserve"> 分。主要评价债务管理情况、政府采购、资产管理、绩效管理、内控制度管理、信息公开情况。</w:t>
      </w:r>
    </w:p>
    <w:p w14:paraId="0FCF1665">
      <w:pPr>
        <w:pStyle w:val="4"/>
        <w:spacing w:before="3"/>
        <w:ind w:left="885"/>
      </w:pPr>
      <w:r>
        <w:t>4、项目决策指标</w:t>
      </w:r>
    </w:p>
    <w:p w14:paraId="1E4C53D7">
      <w:pPr>
        <w:pStyle w:val="4"/>
        <w:ind w:left="885"/>
      </w:pPr>
      <w:r>
        <w:t>设置一级指标包含 4 个二级指标和 9 个三级指标，总分</w:t>
      </w:r>
    </w:p>
    <w:p w14:paraId="17388ABC">
      <w:pPr>
        <w:pStyle w:val="4"/>
        <w:spacing w:line="350" w:lineRule="auto"/>
        <w:ind w:right="259"/>
      </w:pPr>
      <w:r>
        <w:rPr>
          <w:spacing w:val="-40"/>
        </w:rPr>
        <w:t xml:space="preserve">值 </w:t>
      </w:r>
      <w:r>
        <w:t>20</w:t>
      </w:r>
      <w:r>
        <w:rPr>
          <w:spacing w:val="-3"/>
        </w:rPr>
        <w:t xml:space="preserve"> 分。主要评价项目绩效目标是否明确、细化、量化； </w:t>
      </w:r>
      <w:r>
        <w:rPr>
          <w:spacing w:val="-4"/>
        </w:rPr>
        <w:t>项目是否符合经济社会发展规划和部门年度工作计划；项目</w:t>
      </w:r>
      <w:r>
        <w:rPr>
          <w:spacing w:val="-15"/>
          <w:w w:val="95"/>
        </w:rPr>
        <w:t xml:space="preserve">是否符合申报条件；申报、批复程序是否符合相关管理办法； </w:t>
      </w:r>
      <w:r>
        <w:rPr>
          <w:spacing w:val="-15"/>
        </w:rPr>
        <w:t>是否根据需要制定相关资金管理办法，并在管理办法中明确</w:t>
      </w:r>
      <w:r>
        <w:rPr>
          <w:spacing w:val="-10"/>
        </w:rPr>
        <w:t>资金分配办法；资金分配因素是否全面、合理；分配结果是否合理。</w:t>
      </w:r>
    </w:p>
    <w:p w14:paraId="457DC91A">
      <w:pPr>
        <w:pStyle w:val="4"/>
        <w:spacing w:before="9"/>
        <w:ind w:left="885"/>
      </w:pPr>
      <w:r>
        <w:t>5、项目管理指标</w:t>
      </w:r>
    </w:p>
    <w:p w14:paraId="4F81774B">
      <w:pPr>
        <w:pStyle w:val="4"/>
        <w:spacing w:line="350" w:lineRule="auto"/>
        <w:ind w:right="420" w:firstLine="645"/>
        <w:jc w:val="both"/>
      </w:pPr>
      <w:r>
        <w:rPr>
          <w:spacing w:val="-9"/>
        </w:rPr>
        <w:t xml:space="preserve">设置一级指标包含 </w:t>
      </w:r>
      <w:r>
        <w:t>4</w:t>
      </w:r>
      <w:r>
        <w:rPr>
          <w:spacing w:val="-11"/>
        </w:rPr>
        <w:t xml:space="preserve"> 个二级指标，</w:t>
      </w:r>
      <w:r>
        <w:rPr>
          <w:spacing w:val="2"/>
        </w:rPr>
        <w:t>9</w:t>
      </w:r>
      <w:r>
        <w:rPr>
          <w:spacing w:val="-9"/>
        </w:rPr>
        <w:t xml:space="preserve"> 个三级指标，总分</w:t>
      </w:r>
      <w:r>
        <w:rPr>
          <w:spacing w:val="-48"/>
        </w:rPr>
        <w:t xml:space="preserve">值 </w:t>
      </w:r>
      <w:r>
        <w:t>25</w:t>
      </w:r>
      <w:r>
        <w:rPr>
          <w:spacing w:val="-4"/>
        </w:rPr>
        <w:t xml:space="preserve"> 分。主要评价项目资金是否到位、到位时间是否符合</w:t>
      </w:r>
      <w:r>
        <w:rPr>
          <w:spacing w:val="-5"/>
          <w:w w:val="95"/>
        </w:rPr>
        <w:t>相关规定，资金的使用范围、资金支付依据是否充分、开支</w:t>
      </w:r>
    </w:p>
    <w:p w14:paraId="6D6F6EFC">
      <w:pPr>
        <w:spacing w:after="0" w:line="350" w:lineRule="auto"/>
        <w:jc w:val="both"/>
        <w:sectPr>
          <w:pgSz w:w="11910" w:h="16840"/>
          <w:pgMar w:top="1540" w:right="1380" w:bottom="1380" w:left="1560" w:header="0" w:footer="1196" w:gutter="0"/>
          <w:cols w:space="720" w:num="1"/>
        </w:sectPr>
      </w:pPr>
    </w:p>
    <w:p w14:paraId="5AB863A0">
      <w:pPr>
        <w:pStyle w:val="4"/>
        <w:spacing w:before="43" w:line="350" w:lineRule="auto"/>
        <w:ind w:right="417"/>
        <w:jc w:val="both"/>
      </w:pPr>
      <w:r>
        <w:rPr>
          <w:spacing w:val="-2"/>
          <w:w w:val="95"/>
        </w:rPr>
        <w:t xml:space="preserve">标准是否符合相关规定、财务管理是否规范，是否有相关的 </w:t>
      </w:r>
      <w:r>
        <w:rPr>
          <w:spacing w:val="-4"/>
          <w:w w:val="95"/>
        </w:rPr>
        <w:t xml:space="preserve">管理制度，制度是否得到执行，项目组织实施情况，是否有 </w:t>
      </w:r>
      <w:r>
        <w:rPr>
          <w:spacing w:val="-5"/>
          <w:w w:val="95"/>
        </w:rPr>
        <w:t xml:space="preserve">相关计划，计划中是否有相关实施时间节点，项目实施后是 </w:t>
      </w:r>
      <w:r>
        <w:rPr>
          <w:spacing w:val="-5"/>
        </w:rPr>
        <w:t>否有项目实施总结等。</w:t>
      </w:r>
    </w:p>
    <w:p w14:paraId="7BC32AE2">
      <w:pPr>
        <w:pStyle w:val="4"/>
        <w:spacing w:before="5"/>
        <w:ind w:left="885"/>
      </w:pPr>
      <w:r>
        <w:t>6、项目绩效指标</w:t>
      </w:r>
    </w:p>
    <w:p w14:paraId="33F8F93B">
      <w:pPr>
        <w:pStyle w:val="4"/>
        <w:ind w:left="885"/>
      </w:pPr>
      <w:r>
        <w:t>设置一级指标包含 2 个二级指标和 6 个三级指标，总分</w:t>
      </w:r>
    </w:p>
    <w:p w14:paraId="3670733A">
      <w:pPr>
        <w:pStyle w:val="4"/>
        <w:spacing w:line="350" w:lineRule="auto"/>
        <w:ind w:right="375"/>
      </w:pPr>
      <w:r>
        <w:t>值 55 分。主要评价项目产出情况、社会效果、受益群众满意度。</w:t>
      </w:r>
    </w:p>
    <w:p w14:paraId="7C63421E">
      <w:pPr>
        <w:pStyle w:val="4"/>
        <w:spacing w:before="0" w:line="382" w:lineRule="exact"/>
        <w:ind w:left="880"/>
        <w:rPr>
          <w:rFonts w:hint="eastAsia" w:ascii="宋体" w:eastAsia="宋体"/>
        </w:rPr>
      </w:pPr>
      <w:r>
        <w:rPr>
          <w:rFonts w:hint="eastAsia" w:ascii="宋体" w:eastAsia="宋体"/>
          <w:w w:val="95"/>
        </w:rPr>
        <w:t>四、部门支出绩效评价自评得分情况</w:t>
      </w:r>
    </w:p>
    <w:p w14:paraId="45F21D4D">
      <w:pPr>
        <w:pStyle w:val="4"/>
        <w:spacing w:before="181" w:line="350" w:lineRule="auto"/>
        <w:ind w:right="259" w:firstLine="645"/>
      </w:pPr>
      <w:r>
        <mc:AlternateContent>
          <mc:Choice Requires="wps">
            <w:drawing>
              <wp:anchor distT="0" distB="0" distL="114300" distR="114300" simplePos="0" relativeHeight="251663360" behindDoc="0" locked="0" layoutInCell="1" allowOverlap="1">
                <wp:simplePos x="0" y="0"/>
                <wp:positionH relativeFrom="page">
                  <wp:posOffset>1055370</wp:posOffset>
                </wp:positionH>
                <wp:positionV relativeFrom="paragraph">
                  <wp:posOffset>1155700</wp:posOffset>
                </wp:positionV>
                <wp:extent cx="5452745" cy="11512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52745" cy="1151255"/>
                        </a:xfrm>
                        <a:prstGeom prst="rect">
                          <a:avLst/>
                        </a:prstGeom>
                        <a:noFill/>
                        <a:ln>
                          <a:noFill/>
                        </a:ln>
                      </wps:spPr>
                      <wps:txbx>
                        <w:txbxContent>
                          <w:tbl>
                            <w:tblPr>
                              <w:tblStyle w:val="6"/>
                              <w:tblW w:w="8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4"/>
                              <w:gridCol w:w="1714"/>
                              <w:gridCol w:w="1714"/>
                              <w:gridCol w:w="1716"/>
                              <w:gridCol w:w="1714"/>
                            </w:tblGrid>
                            <w:tr w14:paraId="75E3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14" w:type="dxa"/>
                                </w:tcPr>
                                <w:p w14:paraId="3EC50689">
                                  <w:pPr>
                                    <w:pStyle w:val="10"/>
                                    <w:spacing w:before="107"/>
                                    <w:ind w:right="184"/>
                                    <w:rPr>
                                      <w:b/>
                                      <w:sz w:val="32"/>
                                    </w:rPr>
                                  </w:pPr>
                                  <w:r>
                                    <w:rPr>
                                      <w:b/>
                                      <w:sz w:val="32"/>
                                    </w:rPr>
                                    <w:t>一级指标</w:t>
                                  </w:r>
                                </w:p>
                              </w:tc>
                              <w:tc>
                                <w:tcPr>
                                  <w:tcW w:w="1714" w:type="dxa"/>
                                </w:tcPr>
                                <w:p w14:paraId="32AFDEF1">
                                  <w:pPr>
                                    <w:pStyle w:val="10"/>
                                    <w:spacing w:before="107"/>
                                    <w:rPr>
                                      <w:b/>
                                      <w:sz w:val="32"/>
                                    </w:rPr>
                                  </w:pPr>
                                  <w:r>
                                    <w:rPr>
                                      <w:b/>
                                      <w:sz w:val="32"/>
                                    </w:rPr>
                                    <w:t>二级指标</w:t>
                                  </w:r>
                                </w:p>
                              </w:tc>
                              <w:tc>
                                <w:tcPr>
                                  <w:tcW w:w="1714" w:type="dxa"/>
                                </w:tcPr>
                                <w:p w14:paraId="0AF3C08B">
                                  <w:pPr>
                                    <w:pStyle w:val="10"/>
                                    <w:spacing w:before="107"/>
                                    <w:ind w:left="191"/>
                                    <w:rPr>
                                      <w:b/>
                                      <w:sz w:val="32"/>
                                    </w:rPr>
                                  </w:pPr>
                                  <w:r>
                                    <w:rPr>
                                      <w:b/>
                                      <w:sz w:val="32"/>
                                    </w:rPr>
                                    <w:t>三级指标</w:t>
                                  </w:r>
                                </w:p>
                              </w:tc>
                              <w:tc>
                                <w:tcPr>
                                  <w:tcW w:w="1716" w:type="dxa"/>
                                </w:tcPr>
                                <w:p w14:paraId="741CF5D7">
                                  <w:pPr>
                                    <w:pStyle w:val="10"/>
                                    <w:spacing w:before="107"/>
                                    <w:ind w:left="515" w:right="507"/>
                                    <w:rPr>
                                      <w:b/>
                                      <w:sz w:val="32"/>
                                    </w:rPr>
                                  </w:pPr>
                                  <w:r>
                                    <w:rPr>
                                      <w:b/>
                                      <w:sz w:val="32"/>
                                    </w:rPr>
                                    <w:t>分值</w:t>
                                  </w:r>
                                </w:p>
                              </w:tc>
                              <w:tc>
                                <w:tcPr>
                                  <w:tcW w:w="1714" w:type="dxa"/>
                                </w:tcPr>
                                <w:p w14:paraId="6E398A5A">
                                  <w:pPr>
                                    <w:pStyle w:val="10"/>
                                    <w:spacing w:before="107"/>
                                    <w:ind w:left="0" w:right="526"/>
                                    <w:jc w:val="right"/>
                                    <w:rPr>
                                      <w:b/>
                                      <w:sz w:val="32"/>
                                    </w:rPr>
                                  </w:pPr>
                                  <w:r>
                                    <w:rPr>
                                      <w:b/>
                                      <w:w w:val="95"/>
                                      <w:sz w:val="32"/>
                                    </w:rPr>
                                    <w:t>得分</w:t>
                                  </w:r>
                                </w:p>
                              </w:tc>
                            </w:tr>
                            <w:tr w14:paraId="5025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14" w:type="dxa"/>
                                </w:tcPr>
                                <w:p w14:paraId="11DE8530">
                                  <w:pPr>
                                    <w:pStyle w:val="10"/>
                                    <w:ind w:right="183"/>
                                    <w:rPr>
                                      <w:sz w:val="32"/>
                                    </w:rPr>
                                  </w:pPr>
                                  <w:r>
                                    <w:rPr>
                                      <w:sz w:val="32"/>
                                    </w:rPr>
                                    <w:t>100</w:t>
                                  </w:r>
                                </w:p>
                              </w:tc>
                              <w:tc>
                                <w:tcPr>
                                  <w:tcW w:w="1714" w:type="dxa"/>
                                </w:tcPr>
                                <w:p w14:paraId="278922EE">
                                  <w:pPr>
                                    <w:pStyle w:val="10"/>
                                    <w:ind w:right="181"/>
                                    <w:rPr>
                                      <w:sz w:val="32"/>
                                    </w:rPr>
                                  </w:pPr>
                                  <w:r>
                                    <w:rPr>
                                      <w:sz w:val="32"/>
                                    </w:rPr>
                                    <w:t>100</w:t>
                                  </w:r>
                                </w:p>
                              </w:tc>
                              <w:tc>
                                <w:tcPr>
                                  <w:tcW w:w="1714" w:type="dxa"/>
                                </w:tcPr>
                                <w:p w14:paraId="4A44A07B">
                                  <w:pPr>
                                    <w:pStyle w:val="10"/>
                                    <w:ind w:right="182"/>
                                    <w:rPr>
                                      <w:sz w:val="32"/>
                                    </w:rPr>
                                  </w:pPr>
                                  <w:r>
                                    <w:rPr>
                                      <w:sz w:val="32"/>
                                    </w:rPr>
                                    <w:t>100</w:t>
                                  </w:r>
                                </w:p>
                              </w:tc>
                              <w:tc>
                                <w:tcPr>
                                  <w:tcW w:w="1716" w:type="dxa"/>
                                </w:tcPr>
                                <w:p w14:paraId="5D6F013E">
                                  <w:pPr>
                                    <w:pStyle w:val="10"/>
                                    <w:ind w:left="515" w:right="505"/>
                                    <w:rPr>
                                      <w:sz w:val="32"/>
                                    </w:rPr>
                                  </w:pPr>
                                  <w:r>
                                    <w:rPr>
                                      <w:sz w:val="32"/>
                                    </w:rPr>
                                    <w:t>100</w:t>
                                  </w:r>
                                </w:p>
                              </w:tc>
                              <w:tc>
                                <w:tcPr>
                                  <w:tcW w:w="1714" w:type="dxa"/>
                                </w:tcPr>
                                <w:p w14:paraId="5D4D4285">
                                  <w:pPr>
                                    <w:pStyle w:val="10"/>
                                    <w:rPr>
                                      <w:sz w:val="32"/>
                                    </w:rPr>
                                  </w:pPr>
                                  <w:r>
                                    <w:rPr>
                                      <w:sz w:val="32"/>
                                    </w:rPr>
                                    <w:t>95</w:t>
                                  </w:r>
                                </w:p>
                              </w:tc>
                            </w:tr>
                            <w:tr w14:paraId="54041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858" w:type="dxa"/>
                                  <w:gridSpan w:val="4"/>
                                </w:tcPr>
                                <w:p w14:paraId="7B67CAC6">
                                  <w:pPr>
                                    <w:pStyle w:val="10"/>
                                    <w:spacing w:before="42"/>
                                    <w:ind w:left="3087" w:right="3080"/>
                                    <w:rPr>
                                      <w:sz w:val="32"/>
                                    </w:rPr>
                                  </w:pPr>
                                  <w:r>
                                    <w:rPr>
                                      <w:sz w:val="32"/>
                                    </w:rPr>
                                    <w:t>合计</w:t>
                                  </w:r>
                                </w:p>
                              </w:tc>
                              <w:tc>
                                <w:tcPr>
                                  <w:tcW w:w="1714" w:type="dxa"/>
                                </w:tcPr>
                                <w:p w14:paraId="5D39F304">
                                  <w:pPr>
                                    <w:pStyle w:val="10"/>
                                    <w:spacing w:before="42"/>
                                    <w:ind w:left="0" w:right="525"/>
                                    <w:jc w:val="right"/>
                                    <w:rPr>
                                      <w:sz w:val="32"/>
                                    </w:rPr>
                                  </w:pPr>
                                  <w:r>
                                    <w:rPr>
                                      <w:sz w:val="32"/>
                                    </w:rPr>
                                    <w:t>95</w:t>
                                  </w:r>
                                </w:p>
                              </w:tc>
                            </w:tr>
                          </w:tbl>
                          <w:p w14:paraId="523243F4">
                            <w:pPr>
                              <w:pStyle w:val="4"/>
                              <w:spacing w:before="0"/>
                              <w:ind w:left="0"/>
                            </w:pPr>
                          </w:p>
                        </w:txbxContent>
                      </wps:txbx>
                      <wps:bodyPr lIns="0" tIns="0" rIns="0" bIns="0" upright="1"/>
                    </wps:wsp>
                  </a:graphicData>
                </a:graphic>
              </wp:anchor>
            </w:drawing>
          </mc:Choice>
          <mc:Fallback>
            <w:pict>
              <v:shape id="文本框 2" o:spid="_x0000_s1026" o:spt="202" type="#_x0000_t202" style="position:absolute;left:0pt;margin-left:83.1pt;margin-top:91pt;height:90.65pt;width:429.35pt;mso-position-horizontal-relative:page;z-index:251663360;mso-width-relative:page;mso-height-relative:page;" filled="f" stroked="f" coordsize="21600,21600" o:gfxdata="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aES0jZAAAADAEAAA8AAAAAAAAAAQAgAAAAIgAAAGRycy9kb3ducmV2LnhtbFBL&#10;AQIUABQAAAAIAIdO4kBs+8NNvAEAAHMDAAAOAAAAAAAAAAEAIAAAACgBAABkcnMvZTJvRG9jLnht&#10;bFBLBQYAAAAABgAGAFkBAABWBQAAAAA=&#10;">
                <v:fill on="f" focussize="0,0"/>
                <v:stroke on="f"/>
                <v:imagedata o:title=""/>
                <o:lock v:ext="edit" aspectratio="f"/>
                <v:textbox inset="0mm,0mm,0mm,0mm">
                  <w:txbxContent>
                    <w:tbl>
                      <w:tblPr>
                        <w:tblStyle w:val="6"/>
                        <w:tblW w:w="8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4"/>
                        <w:gridCol w:w="1714"/>
                        <w:gridCol w:w="1714"/>
                        <w:gridCol w:w="1716"/>
                        <w:gridCol w:w="1714"/>
                      </w:tblGrid>
                      <w:tr w14:paraId="75E3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14" w:type="dxa"/>
                          </w:tcPr>
                          <w:p w14:paraId="3EC50689">
                            <w:pPr>
                              <w:pStyle w:val="10"/>
                              <w:spacing w:before="107"/>
                              <w:ind w:right="184"/>
                              <w:rPr>
                                <w:b/>
                                <w:sz w:val="32"/>
                              </w:rPr>
                            </w:pPr>
                            <w:r>
                              <w:rPr>
                                <w:b/>
                                <w:sz w:val="32"/>
                              </w:rPr>
                              <w:t>一级指标</w:t>
                            </w:r>
                          </w:p>
                        </w:tc>
                        <w:tc>
                          <w:tcPr>
                            <w:tcW w:w="1714" w:type="dxa"/>
                          </w:tcPr>
                          <w:p w14:paraId="32AFDEF1">
                            <w:pPr>
                              <w:pStyle w:val="10"/>
                              <w:spacing w:before="107"/>
                              <w:rPr>
                                <w:b/>
                                <w:sz w:val="32"/>
                              </w:rPr>
                            </w:pPr>
                            <w:r>
                              <w:rPr>
                                <w:b/>
                                <w:sz w:val="32"/>
                              </w:rPr>
                              <w:t>二级指标</w:t>
                            </w:r>
                          </w:p>
                        </w:tc>
                        <w:tc>
                          <w:tcPr>
                            <w:tcW w:w="1714" w:type="dxa"/>
                          </w:tcPr>
                          <w:p w14:paraId="0AF3C08B">
                            <w:pPr>
                              <w:pStyle w:val="10"/>
                              <w:spacing w:before="107"/>
                              <w:ind w:left="191"/>
                              <w:rPr>
                                <w:b/>
                                <w:sz w:val="32"/>
                              </w:rPr>
                            </w:pPr>
                            <w:r>
                              <w:rPr>
                                <w:b/>
                                <w:sz w:val="32"/>
                              </w:rPr>
                              <w:t>三级指标</w:t>
                            </w:r>
                          </w:p>
                        </w:tc>
                        <w:tc>
                          <w:tcPr>
                            <w:tcW w:w="1716" w:type="dxa"/>
                          </w:tcPr>
                          <w:p w14:paraId="741CF5D7">
                            <w:pPr>
                              <w:pStyle w:val="10"/>
                              <w:spacing w:before="107"/>
                              <w:ind w:left="515" w:right="507"/>
                              <w:rPr>
                                <w:b/>
                                <w:sz w:val="32"/>
                              </w:rPr>
                            </w:pPr>
                            <w:r>
                              <w:rPr>
                                <w:b/>
                                <w:sz w:val="32"/>
                              </w:rPr>
                              <w:t>分值</w:t>
                            </w:r>
                          </w:p>
                        </w:tc>
                        <w:tc>
                          <w:tcPr>
                            <w:tcW w:w="1714" w:type="dxa"/>
                          </w:tcPr>
                          <w:p w14:paraId="6E398A5A">
                            <w:pPr>
                              <w:pStyle w:val="10"/>
                              <w:spacing w:before="107"/>
                              <w:ind w:left="0" w:right="526"/>
                              <w:jc w:val="right"/>
                              <w:rPr>
                                <w:b/>
                                <w:sz w:val="32"/>
                              </w:rPr>
                            </w:pPr>
                            <w:r>
                              <w:rPr>
                                <w:b/>
                                <w:w w:val="95"/>
                                <w:sz w:val="32"/>
                              </w:rPr>
                              <w:t>得分</w:t>
                            </w:r>
                          </w:p>
                        </w:tc>
                      </w:tr>
                      <w:tr w14:paraId="5025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14" w:type="dxa"/>
                          </w:tcPr>
                          <w:p w14:paraId="11DE8530">
                            <w:pPr>
                              <w:pStyle w:val="10"/>
                              <w:ind w:right="183"/>
                              <w:rPr>
                                <w:sz w:val="32"/>
                              </w:rPr>
                            </w:pPr>
                            <w:r>
                              <w:rPr>
                                <w:sz w:val="32"/>
                              </w:rPr>
                              <w:t>100</w:t>
                            </w:r>
                          </w:p>
                        </w:tc>
                        <w:tc>
                          <w:tcPr>
                            <w:tcW w:w="1714" w:type="dxa"/>
                          </w:tcPr>
                          <w:p w14:paraId="278922EE">
                            <w:pPr>
                              <w:pStyle w:val="10"/>
                              <w:ind w:right="181"/>
                              <w:rPr>
                                <w:sz w:val="32"/>
                              </w:rPr>
                            </w:pPr>
                            <w:r>
                              <w:rPr>
                                <w:sz w:val="32"/>
                              </w:rPr>
                              <w:t>100</w:t>
                            </w:r>
                          </w:p>
                        </w:tc>
                        <w:tc>
                          <w:tcPr>
                            <w:tcW w:w="1714" w:type="dxa"/>
                          </w:tcPr>
                          <w:p w14:paraId="4A44A07B">
                            <w:pPr>
                              <w:pStyle w:val="10"/>
                              <w:ind w:right="182"/>
                              <w:rPr>
                                <w:sz w:val="32"/>
                              </w:rPr>
                            </w:pPr>
                            <w:r>
                              <w:rPr>
                                <w:sz w:val="32"/>
                              </w:rPr>
                              <w:t>100</w:t>
                            </w:r>
                          </w:p>
                        </w:tc>
                        <w:tc>
                          <w:tcPr>
                            <w:tcW w:w="1716" w:type="dxa"/>
                          </w:tcPr>
                          <w:p w14:paraId="5D6F013E">
                            <w:pPr>
                              <w:pStyle w:val="10"/>
                              <w:ind w:left="515" w:right="505"/>
                              <w:rPr>
                                <w:sz w:val="32"/>
                              </w:rPr>
                            </w:pPr>
                            <w:r>
                              <w:rPr>
                                <w:sz w:val="32"/>
                              </w:rPr>
                              <w:t>100</w:t>
                            </w:r>
                          </w:p>
                        </w:tc>
                        <w:tc>
                          <w:tcPr>
                            <w:tcW w:w="1714" w:type="dxa"/>
                          </w:tcPr>
                          <w:p w14:paraId="5D4D4285">
                            <w:pPr>
                              <w:pStyle w:val="10"/>
                              <w:rPr>
                                <w:sz w:val="32"/>
                              </w:rPr>
                            </w:pPr>
                            <w:r>
                              <w:rPr>
                                <w:sz w:val="32"/>
                              </w:rPr>
                              <w:t>95</w:t>
                            </w:r>
                          </w:p>
                        </w:tc>
                      </w:tr>
                      <w:tr w14:paraId="54041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858" w:type="dxa"/>
                            <w:gridSpan w:val="4"/>
                          </w:tcPr>
                          <w:p w14:paraId="7B67CAC6">
                            <w:pPr>
                              <w:pStyle w:val="10"/>
                              <w:spacing w:before="42"/>
                              <w:ind w:left="3087" w:right="3080"/>
                              <w:rPr>
                                <w:sz w:val="32"/>
                              </w:rPr>
                            </w:pPr>
                            <w:r>
                              <w:rPr>
                                <w:sz w:val="32"/>
                              </w:rPr>
                              <w:t>合计</w:t>
                            </w:r>
                          </w:p>
                        </w:tc>
                        <w:tc>
                          <w:tcPr>
                            <w:tcW w:w="1714" w:type="dxa"/>
                          </w:tcPr>
                          <w:p w14:paraId="5D39F304">
                            <w:pPr>
                              <w:pStyle w:val="10"/>
                              <w:spacing w:before="42"/>
                              <w:ind w:left="0" w:right="525"/>
                              <w:jc w:val="right"/>
                              <w:rPr>
                                <w:sz w:val="32"/>
                              </w:rPr>
                            </w:pPr>
                            <w:r>
                              <w:rPr>
                                <w:sz w:val="32"/>
                              </w:rPr>
                              <w:t>95</w:t>
                            </w:r>
                          </w:p>
                        </w:tc>
                      </w:tr>
                    </w:tbl>
                    <w:p w14:paraId="523243F4">
                      <w:pPr>
                        <w:pStyle w:val="4"/>
                        <w:spacing w:before="0"/>
                        <w:ind w:left="0"/>
                      </w:pPr>
                    </w:p>
                  </w:txbxContent>
                </v:textbox>
              </v:shape>
            </w:pict>
          </mc:Fallback>
        </mc:AlternateContent>
      </w:r>
      <w:r>
        <w:t>2018</w:t>
      </w:r>
      <w:r>
        <w:rPr>
          <w:spacing w:val="-14"/>
        </w:rPr>
        <w:t xml:space="preserve"> 年部门支出绩效评价，分别从预决算编制指标、预</w:t>
      </w:r>
      <w:r>
        <w:rPr>
          <w:spacing w:val="-18"/>
          <w:w w:val="95"/>
        </w:rPr>
        <w:t xml:space="preserve">算执行指标、综合管理指标、项目决策指标、项目管理指标、 </w:t>
      </w:r>
      <w:r>
        <w:rPr>
          <w:spacing w:val="-18"/>
        </w:rPr>
        <w:t>项目绩效指标等六个方面自评得分情况：</w:t>
      </w:r>
    </w:p>
    <w:p w14:paraId="2E7F303D">
      <w:pPr>
        <w:pStyle w:val="4"/>
        <w:spacing w:before="0"/>
        <w:ind w:left="0"/>
      </w:pPr>
    </w:p>
    <w:p w14:paraId="1A6D967B">
      <w:pPr>
        <w:pStyle w:val="4"/>
        <w:spacing w:before="0"/>
        <w:ind w:left="0"/>
      </w:pPr>
    </w:p>
    <w:p w14:paraId="677C6380">
      <w:pPr>
        <w:pStyle w:val="4"/>
        <w:spacing w:before="0"/>
        <w:ind w:left="0"/>
      </w:pPr>
    </w:p>
    <w:p w14:paraId="70784984">
      <w:pPr>
        <w:pStyle w:val="4"/>
        <w:spacing w:before="4"/>
        <w:ind w:left="0"/>
        <w:rPr>
          <w:sz w:val="43"/>
        </w:rPr>
      </w:pPr>
    </w:p>
    <w:p w14:paraId="1CAC4AB0">
      <w:pPr>
        <w:pStyle w:val="4"/>
        <w:spacing w:before="0"/>
        <w:ind w:left="880"/>
        <w:rPr>
          <w:rFonts w:hint="eastAsia" w:ascii="宋体" w:eastAsia="宋体"/>
        </w:rPr>
      </w:pPr>
      <w:r>
        <w:rPr>
          <w:rFonts w:hint="eastAsia" w:ascii="宋体" w:eastAsia="宋体"/>
        </w:rPr>
        <w:t>五、部门财政收入支出管理情况</w:t>
      </w:r>
    </w:p>
    <w:p w14:paraId="0C1D46E7">
      <w:pPr>
        <w:pStyle w:val="4"/>
        <w:spacing w:before="183"/>
        <w:ind w:left="885"/>
      </w:pPr>
      <w:r>
        <w:t>（一）年度任务目标</w:t>
      </w:r>
    </w:p>
    <w:p w14:paraId="3DB67498">
      <w:pPr>
        <w:pStyle w:val="4"/>
        <w:spacing w:line="350" w:lineRule="auto"/>
        <w:ind w:right="405" w:firstLine="645"/>
        <w:jc w:val="both"/>
      </w:pPr>
      <w:r>
        <w:t>2018</w:t>
      </w:r>
      <w:r>
        <w:rPr>
          <w:spacing w:val="-14"/>
        </w:rPr>
        <w:t xml:space="preserve"> 年，在财政所在镇党委、政府的直接领导下，在上</w:t>
      </w:r>
      <w:r>
        <w:rPr>
          <w:spacing w:val="-3"/>
          <w:w w:val="95"/>
        </w:rPr>
        <w:t xml:space="preserve">级财政部门的指导下，认真贯彻执行《预算法》，一是确保 </w:t>
      </w:r>
      <w:r>
        <w:rPr>
          <w:spacing w:val="-3"/>
        </w:rPr>
        <w:t xml:space="preserve">镇党委政府日常工作正常运转；二是维护社会的和谐稳定； </w:t>
      </w:r>
      <w:r>
        <w:rPr>
          <w:spacing w:val="-4"/>
        </w:rPr>
        <w:t>三是积极推进镇级各项事业的健康发展，实现了本级财政收支平衡。</w:t>
      </w:r>
    </w:p>
    <w:p w14:paraId="51250612">
      <w:pPr>
        <w:pStyle w:val="4"/>
        <w:spacing w:before="7"/>
        <w:ind w:left="885"/>
      </w:pPr>
      <w:r>
        <w:t>1.部门决算收支情况</w:t>
      </w:r>
    </w:p>
    <w:p w14:paraId="0EB84573">
      <w:pPr>
        <w:spacing w:after="0"/>
        <w:sectPr>
          <w:pgSz w:w="11910" w:h="16840"/>
          <w:pgMar w:top="1540" w:right="1380" w:bottom="1380" w:left="1560" w:header="0" w:footer="1196" w:gutter="0"/>
          <w:cols w:space="720" w:num="1"/>
        </w:sectPr>
      </w:pPr>
    </w:p>
    <w:p w14:paraId="206255F5">
      <w:pPr>
        <w:pStyle w:val="4"/>
        <w:spacing w:before="43"/>
        <w:ind w:left="0" w:right="416"/>
        <w:jc w:val="right"/>
      </w:pPr>
      <w:r>
        <w:t>2018</w:t>
      </w:r>
      <w:r>
        <w:rPr>
          <w:spacing w:val="-18"/>
        </w:rPr>
        <w:t xml:space="preserve"> 年年初下达预算资金 </w:t>
      </w:r>
      <w:r>
        <w:t>609.62</w:t>
      </w:r>
      <w:r>
        <w:rPr>
          <w:spacing w:val="-39"/>
        </w:rPr>
        <w:t xml:space="preserve"> 万元，调整预算 </w:t>
      </w:r>
      <w:r>
        <w:t>77.97</w:t>
      </w:r>
    </w:p>
    <w:p w14:paraId="7D264946">
      <w:pPr>
        <w:pStyle w:val="4"/>
        <w:ind w:left="0" w:right="405"/>
        <w:jc w:val="right"/>
      </w:pPr>
      <w:r>
        <w:rPr>
          <w:spacing w:val="-9"/>
        </w:rPr>
        <w:t xml:space="preserve">万元，本年预算收入 </w:t>
      </w:r>
      <w:r>
        <w:t>687.59</w:t>
      </w:r>
      <w:r>
        <w:rPr>
          <w:spacing w:val="-20"/>
        </w:rPr>
        <w:t xml:space="preserve"> 万元，上年结转 </w:t>
      </w:r>
      <w:r>
        <w:t>214.46</w:t>
      </w:r>
      <w:r>
        <w:rPr>
          <w:spacing w:val="-21"/>
        </w:rPr>
        <w:t xml:space="preserve"> 万元。</w:t>
      </w:r>
    </w:p>
    <w:p w14:paraId="677D3FD1">
      <w:pPr>
        <w:pStyle w:val="4"/>
        <w:ind w:left="0" w:right="418"/>
        <w:jc w:val="right"/>
      </w:pPr>
      <w:r>
        <w:t>2018</w:t>
      </w:r>
      <w:r>
        <w:rPr>
          <w:spacing w:val="-19"/>
        </w:rPr>
        <w:t xml:space="preserve"> 年预算支出 </w:t>
      </w:r>
      <w:r>
        <w:t>902.05</w:t>
      </w:r>
      <w:r>
        <w:rPr>
          <w:spacing w:val="-9"/>
        </w:rPr>
        <w:t xml:space="preserve"> 万元，其中：基本支出 </w:t>
      </w:r>
      <w:r>
        <w:t>764.2</w:t>
      </w:r>
    </w:p>
    <w:p w14:paraId="0D692877">
      <w:pPr>
        <w:pStyle w:val="4"/>
        <w:ind w:left="0" w:right="418"/>
        <w:jc w:val="right"/>
      </w:pPr>
      <w:r>
        <w:rPr>
          <w:spacing w:val="-18"/>
        </w:rPr>
        <w:t xml:space="preserve">万元，项目支出 </w:t>
      </w:r>
      <w:r>
        <w:t>137.85</w:t>
      </w:r>
      <w:r>
        <w:rPr>
          <w:spacing w:val="-18"/>
        </w:rPr>
        <w:t xml:space="preserve"> 万元，其中上年结转项目资金 </w:t>
      </w:r>
      <w:r>
        <w:t>82.85</w:t>
      </w:r>
    </w:p>
    <w:p w14:paraId="5B564048">
      <w:pPr>
        <w:pStyle w:val="4"/>
        <w:spacing w:line="350" w:lineRule="auto"/>
        <w:ind w:left="885" w:right="5203" w:hanging="646"/>
      </w:pPr>
      <w:r>
        <w:rPr>
          <w:spacing w:val="-11"/>
        </w:rPr>
        <w:t xml:space="preserve">万元，年末结转 </w:t>
      </w:r>
      <w:r>
        <w:t>0</w:t>
      </w:r>
      <w:r>
        <w:rPr>
          <w:spacing w:val="-25"/>
        </w:rPr>
        <w:t xml:space="preserve"> 万元。</w:t>
      </w:r>
      <w:r>
        <w:t>2.项目基本情况</w:t>
      </w:r>
    </w:p>
    <w:p w14:paraId="7EBE44FC">
      <w:pPr>
        <w:pStyle w:val="4"/>
        <w:spacing w:before="3"/>
        <w:ind w:left="885"/>
      </w:pPr>
      <w:r>
        <w:t>2018</w:t>
      </w:r>
      <w:r>
        <w:rPr>
          <w:spacing w:val="-19"/>
        </w:rPr>
        <w:t xml:space="preserve"> 年，区财政局下达农村公共运行维护资金 </w:t>
      </w:r>
      <w:r>
        <w:t>55</w:t>
      </w:r>
      <w:r>
        <w:rPr>
          <w:spacing w:val="-21"/>
        </w:rPr>
        <w:t xml:space="preserve"> 万元，</w:t>
      </w:r>
    </w:p>
    <w:p w14:paraId="3CE423F5">
      <w:pPr>
        <w:pStyle w:val="4"/>
      </w:pPr>
      <w:r>
        <w:rPr>
          <w:spacing w:val="-9"/>
        </w:rPr>
        <w:t xml:space="preserve">用于石井铺镇 </w:t>
      </w:r>
      <w:r>
        <w:t>10</w:t>
      </w:r>
      <w:r>
        <w:rPr>
          <w:spacing w:val="-4"/>
        </w:rPr>
        <w:t xml:space="preserve"> 村一社区基础设施和公共服务设施维护。</w:t>
      </w:r>
    </w:p>
    <w:p w14:paraId="65F575C1">
      <w:pPr>
        <w:pStyle w:val="4"/>
        <w:spacing w:before="189"/>
      </w:pPr>
      <w:r>
        <w:rPr>
          <w:spacing w:val="-28"/>
        </w:rPr>
        <w:t xml:space="preserve">项目 </w:t>
      </w:r>
      <w:r>
        <w:t>10</w:t>
      </w:r>
      <w:r>
        <w:rPr>
          <w:spacing w:val="-15"/>
        </w:rPr>
        <w:t xml:space="preserve"> 村一社区召开村民代表会确定建设方案，于 </w:t>
      </w:r>
      <w:r>
        <w:t>2018</w:t>
      </w:r>
      <w:r>
        <w:rPr>
          <w:spacing w:val="-42"/>
        </w:rPr>
        <w:t xml:space="preserve"> 年</w:t>
      </w:r>
    </w:p>
    <w:p w14:paraId="112EBDD9">
      <w:pPr>
        <w:pStyle w:val="9"/>
        <w:numPr>
          <w:ilvl w:val="0"/>
          <w:numId w:val="6"/>
        </w:numPr>
        <w:tabs>
          <w:tab w:val="left" w:pos="480"/>
        </w:tabs>
        <w:spacing w:before="190" w:after="0" w:line="240" w:lineRule="auto"/>
        <w:ind w:left="480" w:right="0" w:hanging="240"/>
        <w:jc w:val="left"/>
        <w:rPr>
          <w:sz w:val="32"/>
        </w:rPr>
      </w:pPr>
      <w:r>
        <w:rPr>
          <w:sz w:val="32"/>
        </w:rPr>
        <w:t>月申报，2018</w:t>
      </w:r>
      <w:r>
        <w:rPr>
          <w:spacing w:val="-10"/>
          <w:sz w:val="32"/>
        </w:rPr>
        <w:t xml:space="preserve"> 年底全面结束验收。</w:t>
      </w:r>
    </w:p>
    <w:p w14:paraId="58F5F31E">
      <w:pPr>
        <w:pStyle w:val="4"/>
        <w:ind w:left="885"/>
      </w:pPr>
      <w:r>
        <w:t>（二）绩效评价总目标</w:t>
      </w:r>
    </w:p>
    <w:p w14:paraId="17F7F6C6">
      <w:pPr>
        <w:pStyle w:val="9"/>
        <w:numPr>
          <w:ilvl w:val="1"/>
          <w:numId w:val="6"/>
        </w:numPr>
        <w:tabs>
          <w:tab w:val="left" w:pos="1207"/>
        </w:tabs>
        <w:spacing w:before="190" w:after="0" w:line="240" w:lineRule="auto"/>
        <w:ind w:left="1206" w:right="0" w:hanging="322"/>
        <w:jc w:val="left"/>
        <w:rPr>
          <w:sz w:val="32"/>
        </w:rPr>
      </w:pPr>
      <w:r>
        <w:rPr>
          <w:sz w:val="32"/>
        </w:rPr>
        <w:t>部门财务管理绩效评价总目标</w:t>
      </w:r>
    </w:p>
    <w:p w14:paraId="6214D02A">
      <w:pPr>
        <w:pStyle w:val="4"/>
        <w:spacing w:line="350" w:lineRule="auto"/>
        <w:ind w:right="259" w:firstLine="645"/>
      </w:pPr>
      <w:r>
        <w:rPr>
          <w:spacing w:val="-3"/>
        </w:rPr>
        <w:t>执行国家有关财经法规，厉行节约，量入为出，降低行</w:t>
      </w:r>
      <w:r>
        <w:rPr>
          <w:spacing w:val="-16"/>
          <w:w w:val="95"/>
        </w:rPr>
        <w:t xml:space="preserve">政事业成本，提高资金使用效益；合理编制预算，统筹安排， </w:t>
      </w:r>
      <w:r>
        <w:rPr>
          <w:spacing w:val="-9"/>
        </w:rPr>
        <w:t>节约资金，以保障单位正常运转；严格预算执行，完整、准</w:t>
      </w:r>
      <w:r>
        <w:rPr>
          <w:spacing w:val="-15"/>
          <w:w w:val="95"/>
        </w:rPr>
        <w:t xml:space="preserve">确、及时编制决算，真实反映单位财务状况和预算执行情况； </w:t>
      </w:r>
      <w:r>
        <w:rPr>
          <w:spacing w:val="-13"/>
        </w:rPr>
        <w:t>定期单位编制财务报告，进行财务活动分析，建立健全财务</w:t>
      </w:r>
      <w:r>
        <w:rPr>
          <w:spacing w:val="-8"/>
        </w:rPr>
        <w:t>管理制度，实施预算绩效管理，加强对单位财务活动的控制</w:t>
      </w:r>
      <w:r>
        <w:rPr>
          <w:spacing w:val="-5"/>
        </w:rPr>
        <w:t>和监督；加强单位资产管理，合理配置、有效利用、规范处置资产，防止国有资产流失。</w:t>
      </w:r>
    </w:p>
    <w:p w14:paraId="67DAB857">
      <w:pPr>
        <w:pStyle w:val="9"/>
        <w:numPr>
          <w:ilvl w:val="1"/>
          <w:numId w:val="6"/>
        </w:numPr>
        <w:tabs>
          <w:tab w:val="left" w:pos="1207"/>
        </w:tabs>
        <w:spacing w:before="12" w:after="0" w:line="240" w:lineRule="auto"/>
        <w:ind w:left="1206" w:right="0" w:hanging="322"/>
        <w:jc w:val="left"/>
        <w:rPr>
          <w:sz w:val="32"/>
        </w:rPr>
      </w:pPr>
      <w:r>
        <w:rPr>
          <w:sz w:val="32"/>
        </w:rPr>
        <w:t>项目支出绩效评价总目标</w:t>
      </w:r>
    </w:p>
    <w:p w14:paraId="3AE6B529">
      <w:pPr>
        <w:pStyle w:val="4"/>
        <w:spacing w:line="350" w:lineRule="auto"/>
        <w:ind w:right="371" w:firstLine="645"/>
      </w:pPr>
      <w:r>
        <w:t>加强基层组织建设，提高基层公共服务保障水平和社会治理能力，按照《广元市昭化区基层组织活动和公共服务运</w:t>
      </w:r>
    </w:p>
    <w:p w14:paraId="6154867B">
      <w:pPr>
        <w:spacing w:after="0" w:line="350" w:lineRule="auto"/>
        <w:sectPr>
          <w:pgSz w:w="11910" w:h="16840"/>
          <w:pgMar w:top="1540" w:right="1380" w:bottom="1380" w:left="1560" w:header="0" w:footer="1196" w:gutter="0"/>
          <w:cols w:space="720" w:num="1"/>
        </w:sectPr>
      </w:pPr>
    </w:p>
    <w:p w14:paraId="37EA472E">
      <w:pPr>
        <w:pStyle w:val="4"/>
        <w:spacing w:before="43"/>
      </w:pPr>
      <w:r>
        <w:rPr>
          <w:spacing w:val="-18"/>
        </w:rPr>
        <w:t xml:space="preserve">行经费使用管理办法》，开展组织活动 </w:t>
      </w:r>
      <w:r>
        <w:t>22</w:t>
      </w:r>
      <w:r>
        <w:rPr>
          <w:spacing w:val="-13"/>
        </w:rPr>
        <w:t xml:space="preserve"> 次，党员干部培训</w:t>
      </w:r>
    </w:p>
    <w:p w14:paraId="54C72897">
      <w:pPr>
        <w:pStyle w:val="4"/>
      </w:pPr>
      <w:r>
        <w:t>22</w:t>
      </w:r>
      <w:r>
        <w:rPr>
          <w:spacing w:val="-26"/>
        </w:rPr>
        <w:t xml:space="preserve"> 次，走访慰问 </w:t>
      </w:r>
      <w:r>
        <w:t>11</w:t>
      </w:r>
      <w:r>
        <w:rPr>
          <w:spacing w:val="-34"/>
        </w:rPr>
        <w:t xml:space="preserve"> 次，完成 </w:t>
      </w:r>
      <w:r>
        <w:t>11</w:t>
      </w:r>
      <w:r>
        <w:rPr>
          <w:spacing w:val="-11"/>
        </w:rPr>
        <w:t xml:space="preserve"> 村组织活动场所维护，完成</w:t>
      </w:r>
    </w:p>
    <w:p w14:paraId="5EDD338E">
      <w:pPr>
        <w:pStyle w:val="4"/>
        <w:spacing w:line="350" w:lineRule="auto"/>
        <w:ind w:right="417"/>
      </w:pPr>
      <w:r>
        <w:t>11</w:t>
      </w:r>
      <w:r>
        <w:rPr>
          <w:spacing w:val="-41"/>
        </w:rPr>
        <w:t xml:space="preserve"> 村</w:t>
      </w:r>
      <w:r>
        <w:rPr>
          <w:spacing w:val="5"/>
        </w:rPr>
        <w:t>（</w:t>
      </w:r>
      <w:r>
        <w:rPr>
          <w:spacing w:val="2"/>
        </w:rPr>
        <w:t>社区</w:t>
      </w:r>
      <w:r>
        <w:t>）</w:t>
      </w:r>
      <w:r>
        <w:rPr>
          <w:spacing w:val="-8"/>
        </w:rPr>
        <w:t xml:space="preserve">基础设施维护，维持 </w:t>
      </w:r>
      <w:r>
        <w:t>11</w:t>
      </w:r>
      <w:r>
        <w:rPr>
          <w:spacing w:val="-39"/>
        </w:rPr>
        <w:t xml:space="preserve"> 村</w:t>
      </w:r>
      <w:r>
        <w:rPr>
          <w:spacing w:val="5"/>
        </w:rPr>
        <w:t>（</w:t>
      </w:r>
      <w:r>
        <w:rPr>
          <w:spacing w:val="2"/>
        </w:rPr>
        <w:t>社区</w:t>
      </w:r>
      <w:r>
        <w:t>）</w:t>
      </w:r>
      <w:r>
        <w:rPr>
          <w:spacing w:val="2"/>
        </w:rPr>
        <w:t>正常运行并提供了基本保障。</w:t>
      </w:r>
    </w:p>
    <w:p w14:paraId="1BC152B1">
      <w:pPr>
        <w:pStyle w:val="4"/>
        <w:spacing w:before="3" w:line="350" w:lineRule="auto"/>
        <w:ind w:left="885" w:right="4879"/>
      </w:pPr>
      <w:r>
        <w:t>（三）预算编制和执行1.部门预决算编制</w:t>
      </w:r>
    </w:p>
    <w:p w14:paraId="0B66FAFE">
      <w:pPr>
        <w:pStyle w:val="4"/>
        <w:spacing w:before="2" w:line="350" w:lineRule="auto"/>
        <w:ind w:right="416" w:firstLine="645"/>
        <w:jc w:val="both"/>
      </w:pPr>
      <w:r>
        <w:rPr>
          <w:spacing w:val="-4"/>
        </w:rPr>
        <w:t>按照区财政局“人员经费按标准，公用经费按定额”的</w:t>
      </w:r>
      <w:r>
        <w:rPr>
          <w:spacing w:val="-15"/>
        </w:rPr>
        <w:t>预算原则，石井铺镇</w:t>
      </w:r>
      <w:r>
        <w:t>2018</w:t>
      </w:r>
      <w:r>
        <w:rPr>
          <w:spacing w:val="-9"/>
        </w:rPr>
        <w:t xml:space="preserve"> 年年初区财政下达预算资金</w:t>
      </w:r>
      <w:r>
        <w:t>609.62</w:t>
      </w:r>
    </w:p>
    <w:p w14:paraId="1957CAB8">
      <w:pPr>
        <w:pStyle w:val="4"/>
        <w:spacing w:before="3"/>
        <w:jc w:val="both"/>
      </w:pPr>
      <w:r>
        <w:rPr>
          <w:spacing w:val="-5"/>
        </w:rPr>
        <w:t xml:space="preserve">万元，调整预算 </w:t>
      </w:r>
      <w:r>
        <w:t>77.97</w:t>
      </w:r>
      <w:r>
        <w:rPr>
          <w:spacing w:val="-11"/>
        </w:rPr>
        <w:t xml:space="preserve"> 万元，本年预算收入 </w:t>
      </w:r>
      <w:r>
        <w:t>687.59</w:t>
      </w:r>
      <w:r>
        <w:rPr>
          <w:spacing w:val="-16"/>
        </w:rPr>
        <w:t xml:space="preserve"> 万元，</w:t>
      </w:r>
    </w:p>
    <w:p w14:paraId="24AC1A1B">
      <w:pPr>
        <w:pStyle w:val="4"/>
        <w:jc w:val="both"/>
      </w:pPr>
      <w:r>
        <w:t>上年结转 214.46 万元。</w:t>
      </w:r>
    </w:p>
    <w:p w14:paraId="773FA26B">
      <w:pPr>
        <w:pStyle w:val="4"/>
        <w:spacing w:line="350" w:lineRule="auto"/>
        <w:ind w:right="416" w:firstLine="645"/>
        <w:jc w:val="both"/>
      </w:pPr>
      <w:r>
        <w:rPr>
          <w:spacing w:val="-3"/>
        </w:rPr>
        <w:t xml:space="preserve">根据区财政局关于做好 </w:t>
      </w:r>
      <w:r>
        <w:t>2018</w:t>
      </w:r>
      <w:r>
        <w:rPr>
          <w:spacing w:val="-3"/>
        </w:rPr>
        <w:t xml:space="preserve"> 年财务工作决算的通知要</w:t>
      </w:r>
      <w:r>
        <w:rPr>
          <w:spacing w:val="-8"/>
        </w:rPr>
        <w:t xml:space="preserve">求，客观真实编制了 </w:t>
      </w:r>
      <w:r>
        <w:t>2018</w:t>
      </w:r>
      <w:r>
        <w:rPr>
          <w:spacing w:val="-12"/>
        </w:rPr>
        <w:t xml:space="preserve"> 年部门决算，</w:t>
      </w:r>
      <w:r>
        <w:t>2018</w:t>
      </w:r>
      <w:r>
        <w:rPr>
          <w:spacing w:val="-11"/>
        </w:rPr>
        <w:t xml:space="preserve"> 年财政资金总</w:t>
      </w:r>
      <w:r>
        <w:rPr>
          <w:spacing w:val="-35"/>
        </w:rPr>
        <w:t xml:space="preserve">支出为 </w:t>
      </w:r>
      <w:r>
        <w:t>902.05</w:t>
      </w:r>
      <w:r>
        <w:rPr>
          <w:spacing w:val="-87"/>
        </w:rPr>
        <w:t xml:space="preserve"> 万元</w:t>
      </w:r>
      <w:r>
        <w:t>（</w:t>
      </w:r>
      <w:r>
        <w:rPr>
          <w:spacing w:val="-20"/>
        </w:rPr>
        <w:t xml:space="preserve">基本支出 </w:t>
      </w:r>
      <w:r>
        <w:t>764.20</w:t>
      </w:r>
      <w:r>
        <w:rPr>
          <w:spacing w:val="-43"/>
        </w:rPr>
        <w:t xml:space="preserve"> 万元，项目支出 </w:t>
      </w:r>
      <w:r>
        <w:t>137.85</w:t>
      </w:r>
    </w:p>
    <w:p w14:paraId="327B08C5">
      <w:pPr>
        <w:pStyle w:val="4"/>
        <w:spacing w:before="4"/>
        <w:jc w:val="both"/>
      </w:pPr>
      <w:r>
        <w:rPr>
          <w:spacing w:val="1"/>
          <w:w w:val="99"/>
        </w:rPr>
        <w:t>万元</w:t>
      </w:r>
      <w:r>
        <w:rPr>
          <w:spacing w:val="-161"/>
          <w:w w:val="99"/>
        </w:rPr>
        <w:t>）</w:t>
      </w:r>
      <w:r>
        <w:rPr>
          <w:w w:val="99"/>
        </w:rPr>
        <w:t>，含运用上年结转资金安排支出</w:t>
      </w:r>
      <w:r>
        <w:rPr>
          <w:spacing w:val="-79"/>
        </w:rPr>
        <w:t xml:space="preserve"> </w:t>
      </w:r>
      <w:r>
        <w:rPr>
          <w:spacing w:val="1"/>
          <w:w w:val="99"/>
        </w:rPr>
        <w:t>21</w:t>
      </w:r>
      <w:r>
        <w:rPr>
          <w:spacing w:val="-2"/>
          <w:w w:val="99"/>
        </w:rPr>
        <w:t>4</w:t>
      </w:r>
      <w:r>
        <w:rPr>
          <w:spacing w:val="1"/>
          <w:w w:val="99"/>
        </w:rPr>
        <w:t>.4</w:t>
      </w:r>
      <w:r>
        <w:rPr>
          <w:w w:val="99"/>
        </w:rPr>
        <w:t>6</w:t>
      </w:r>
      <w:r>
        <w:rPr>
          <w:spacing w:val="-80"/>
        </w:rPr>
        <w:t xml:space="preserve"> </w:t>
      </w:r>
      <w:r>
        <w:rPr>
          <w:w w:val="99"/>
        </w:rPr>
        <w:t>万元。</w:t>
      </w:r>
    </w:p>
    <w:p w14:paraId="405D54DC">
      <w:pPr>
        <w:pStyle w:val="4"/>
        <w:spacing w:line="350" w:lineRule="auto"/>
        <w:ind w:right="259" w:firstLine="645"/>
      </w:pPr>
      <w:r>
        <w:rPr>
          <w:spacing w:val="-2"/>
        </w:rPr>
        <w:t>部门预决算编制内容基本真实、完整，部门决算按规定</w:t>
      </w:r>
      <w:r>
        <w:rPr>
          <w:spacing w:val="-3"/>
        </w:rPr>
        <w:t>口径填列，表内表间数据衔接一致，上下年度衔接一致，部</w:t>
      </w:r>
      <w:r>
        <w:rPr>
          <w:spacing w:val="-4"/>
        </w:rPr>
        <w:t>门决算与其他上报报表或者决算基本一致，项目及资金结转</w:t>
      </w:r>
      <w:r>
        <w:rPr>
          <w:spacing w:val="-15"/>
          <w:w w:val="95"/>
        </w:rPr>
        <w:t xml:space="preserve">清晰、科目填报准确合理。能够按要求的时间报送部门预算、 </w:t>
      </w:r>
      <w:r>
        <w:rPr>
          <w:spacing w:val="-15"/>
        </w:rPr>
        <w:t>部门预算编制说明以及部门决算。</w:t>
      </w:r>
    </w:p>
    <w:p w14:paraId="1D18A465">
      <w:pPr>
        <w:pStyle w:val="4"/>
        <w:spacing w:before="7"/>
        <w:ind w:left="885"/>
      </w:pPr>
      <w:r>
        <w:t>2.预算执行</w:t>
      </w:r>
    </w:p>
    <w:p w14:paraId="548B44D8">
      <w:pPr>
        <w:pStyle w:val="9"/>
        <w:numPr>
          <w:ilvl w:val="0"/>
          <w:numId w:val="7"/>
        </w:numPr>
        <w:tabs>
          <w:tab w:val="left" w:pos="1704"/>
        </w:tabs>
        <w:spacing w:before="190" w:after="0" w:line="350" w:lineRule="auto"/>
        <w:ind w:left="240" w:right="417" w:firstLine="645"/>
        <w:jc w:val="both"/>
        <w:rPr>
          <w:sz w:val="32"/>
        </w:rPr>
      </w:pPr>
      <w:r>
        <w:rPr>
          <w:spacing w:val="4"/>
          <w:w w:val="95"/>
          <w:sz w:val="32"/>
        </w:rPr>
        <w:t xml:space="preserve">预算收入方面。单位的各项收入做到应收尽收， </w:t>
      </w:r>
      <w:r>
        <w:rPr>
          <w:spacing w:val="-1"/>
          <w:sz w:val="32"/>
        </w:rPr>
        <w:t>所有收入均纳入收入科目，各项收入无虚挂往来现象，并做到了及时入账。</w:t>
      </w:r>
    </w:p>
    <w:p w14:paraId="1177218E">
      <w:pPr>
        <w:spacing w:after="0" w:line="350" w:lineRule="auto"/>
        <w:jc w:val="both"/>
        <w:rPr>
          <w:sz w:val="32"/>
        </w:rPr>
        <w:sectPr>
          <w:pgSz w:w="11910" w:h="16840"/>
          <w:pgMar w:top="1540" w:right="1380" w:bottom="1380" w:left="1560" w:header="0" w:footer="1196" w:gutter="0"/>
          <w:cols w:space="720" w:num="1"/>
        </w:sectPr>
      </w:pPr>
    </w:p>
    <w:p w14:paraId="2CB00914">
      <w:pPr>
        <w:pStyle w:val="9"/>
        <w:numPr>
          <w:ilvl w:val="0"/>
          <w:numId w:val="7"/>
        </w:numPr>
        <w:tabs>
          <w:tab w:val="left" w:pos="1704"/>
        </w:tabs>
        <w:spacing w:before="43" w:after="0" w:line="350" w:lineRule="auto"/>
        <w:ind w:left="240" w:right="405" w:firstLine="645"/>
        <w:jc w:val="both"/>
        <w:rPr>
          <w:sz w:val="32"/>
        </w:rPr>
      </w:pPr>
      <w:r>
        <w:rPr>
          <w:spacing w:val="4"/>
          <w:w w:val="95"/>
          <w:sz w:val="32"/>
        </w:rPr>
        <w:t xml:space="preserve">预算支出方面。预算支出未发现无预算、超预算 </w:t>
      </w:r>
      <w:r>
        <w:rPr>
          <w:spacing w:val="-1"/>
          <w:sz w:val="32"/>
        </w:rPr>
        <w:t>支出，未发现虚列支出和预算科目间相互挤占问题，所有财</w:t>
      </w:r>
      <w:r>
        <w:rPr>
          <w:spacing w:val="-3"/>
          <w:sz w:val="32"/>
        </w:rPr>
        <w:t xml:space="preserve">政资金支出均履行了严格审批手续，未发现挤占、挪用、转移财政资金行为。基本支出严格执行国家有关政策及规定， </w:t>
      </w:r>
      <w:r>
        <w:rPr>
          <w:spacing w:val="-5"/>
          <w:sz w:val="32"/>
        </w:rPr>
        <w:t>无擅自扩大开支范围的提高开支标准，单位津补贴、奖金和</w:t>
      </w:r>
      <w:r>
        <w:rPr>
          <w:spacing w:val="-6"/>
          <w:sz w:val="32"/>
        </w:rPr>
        <w:t xml:space="preserve">福利均按照国家或地方的规定发放，项目支出均按照批准的项目和用途以及项目实施方案执行，无自行改变项目内容， </w:t>
      </w:r>
      <w:r>
        <w:rPr>
          <w:spacing w:val="-7"/>
          <w:sz w:val="32"/>
        </w:rPr>
        <w:t>扩大支出范围现象。无自行调整项目支出预算问题，所有项目支出均合理合规。未发现利用财政或自由资金对外借、贷款问题。</w:t>
      </w:r>
    </w:p>
    <w:p w14:paraId="00A95E68">
      <w:pPr>
        <w:pStyle w:val="9"/>
        <w:numPr>
          <w:ilvl w:val="0"/>
          <w:numId w:val="7"/>
        </w:numPr>
        <w:tabs>
          <w:tab w:val="left" w:pos="1704"/>
        </w:tabs>
        <w:spacing w:before="14" w:after="0" w:line="350" w:lineRule="auto"/>
        <w:ind w:left="240" w:right="417" w:firstLine="645"/>
        <w:jc w:val="both"/>
        <w:rPr>
          <w:sz w:val="32"/>
        </w:rPr>
      </w:pPr>
      <w:r>
        <w:rPr>
          <w:spacing w:val="4"/>
          <w:w w:val="95"/>
          <w:sz w:val="32"/>
        </w:rPr>
        <w:t xml:space="preserve">内部管理制度方面。按照上级要求并结合本单位 </w:t>
      </w:r>
      <w:r>
        <w:rPr>
          <w:spacing w:val="-2"/>
          <w:sz w:val="32"/>
        </w:rPr>
        <w:t>实际，充实和完善了财政财务制度，部分上墙，部分装订成册。</w:t>
      </w:r>
    </w:p>
    <w:p w14:paraId="5508B222">
      <w:pPr>
        <w:pStyle w:val="9"/>
        <w:numPr>
          <w:ilvl w:val="0"/>
          <w:numId w:val="7"/>
        </w:numPr>
        <w:tabs>
          <w:tab w:val="left" w:pos="1704"/>
        </w:tabs>
        <w:spacing w:before="4" w:after="0" w:line="350" w:lineRule="auto"/>
        <w:ind w:left="240" w:right="417" w:firstLine="645"/>
        <w:jc w:val="left"/>
        <w:rPr>
          <w:sz w:val="32"/>
        </w:rPr>
      </w:pPr>
      <w:r>
        <w:rPr>
          <w:spacing w:val="4"/>
          <w:w w:val="95"/>
          <w:sz w:val="32"/>
        </w:rPr>
        <w:t xml:space="preserve">会计核算方面。执行上级财政统一账套，并按国 </w:t>
      </w:r>
      <w:r>
        <w:rPr>
          <w:spacing w:val="4"/>
          <w:sz w:val="32"/>
        </w:rPr>
        <w:t>家规定采用会计制度，基本准确、合规地进行会计核算。</w:t>
      </w:r>
    </w:p>
    <w:p w14:paraId="409CCAD1">
      <w:pPr>
        <w:pStyle w:val="9"/>
        <w:numPr>
          <w:ilvl w:val="0"/>
          <w:numId w:val="7"/>
        </w:numPr>
        <w:tabs>
          <w:tab w:val="left" w:pos="1686"/>
        </w:tabs>
        <w:spacing w:before="3" w:after="0" w:line="240" w:lineRule="auto"/>
        <w:ind w:left="1685" w:right="0" w:hanging="801"/>
        <w:jc w:val="left"/>
        <w:rPr>
          <w:sz w:val="32"/>
        </w:rPr>
      </w:pPr>
      <w:r>
        <w:rPr>
          <w:sz w:val="32"/>
        </w:rPr>
        <w:t>财政政策执行方面。</w:t>
      </w:r>
    </w:p>
    <w:p w14:paraId="43EB1DF1">
      <w:pPr>
        <w:pStyle w:val="4"/>
        <w:spacing w:line="350" w:lineRule="auto"/>
        <w:ind w:right="371" w:firstLine="645"/>
      </w:pPr>
      <w:r>
        <w:t>①国库集中支付。我镇财政所 2018 年度财政直接和授权转账支付率达 100%。</w:t>
      </w:r>
    </w:p>
    <w:p w14:paraId="314D10E4">
      <w:pPr>
        <w:pStyle w:val="4"/>
        <w:spacing w:before="2" w:line="350" w:lineRule="auto"/>
        <w:ind w:right="371" w:firstLine="645"/>
      </w:pPr>
      <w:r>
        <w:t>②公务卡改革。严格按照公务卡强制结算目录，使用公务卡进行结算。</w:t>
      </w:r>
    </w:p>
    <w:p w14:paraId="45738B5E">
      <w:pPr>
        <w:pStyle w:val="4"/>
        <w:spacing w:before="3" w:line="350" w:lineRule="auto"/>
        <w:ind w:right="372" w:firstLine="645"/>
      </w:pPr>
      <w:r>
        <w:t>③政府采购政策执行。年初无政府采购预算，当年财政支出过程中无政府采购支出发生。</w:t>
      </w:r>
    </w:p>
    <w:p w14:paraId="170A528B">
      <w:pPr>
        <w:pStyle w:val="4"/>
        <w:spacing w:before="3"/>
        <w:ind w:left="885"/>
      </w:pPr>
      <w:r>
        <w:t>④非税收入征收管理。严格执行非税收入征管政策，按</w:t>
      </w:r>
    </w:p>
    <w:p w14:paraId="53FF9744">
      <w:pPr>
        <w:spacing w:after="0"/>
        <w:sectPr>
          <w:pgSz w:w="11910" w:h="16840"/>
          <w:pgMar w:top="1540" w:right="1380" w:bottom="1380" w:left="1560" w:header="0" w:footer="1196" w:gutter="0"/>
          <w:cols w:space="720" w:num="1"/>
        </w:sectPr>
      </w:pPr>
    </w:p>
    <w:p w14:paraId="20D6BA14">
      <w:pPr>
        <w:pStyle w:val="4"/>
        <w:spacing w:before="43" w:line="350" w:lineRule="auto"/>
        <w:ind w:right="373"/>
      </w:pPr>
      <w:r>
        <w:t>规定项目和标准执收，无擅自设立项目、提高标准、扩大范围等现象发生，无截留，票据使用规范。</w:t>
      </w:r>
    </w:p>
    <w:p w14:paraId="6254AB2B">
      <w:pPr>
        <w:pStyle w:val="4"/>
        <w:spacing w:before="3" w:line="350" w:lineRule="auto"/>
        <w:ind w:right="258" w:firstLine="645"/>
      </w:pPr>
      <w:r>
        <w:rPr>
          <w:spacing w:val="-16"/>
        </w:rPr>
        <w:t xml:space="preserve">⑤厉行节约。坚持镇长一支笔审签，经费开支符合标准， </w:t>
      </w:r>
      <w:r>
        <w:rPr>
          <w:spacing w:val="-7"/>
        </w:rPr>
        <w:t>无奢侈浪费发生。“三公”经费严格按照规定的目标进行限制和压缩。</w:t>
      </w:r>
    </w:p>
    <w:p w14:paraId="2E9F157A">
      <w:pPr>
        <w:pStyle w:val="9"/>
        <w:numPr>
          <w:ilvl w:val="0"/>
          <w:numId w:val="7"/>
        </w:numPr>
        <w:tabs>
          <w:tab w:val="left" w:pos="1686"/>
        </w:tabs>
        <w:spacing w:before="4" w:after="0" w:line="240" w:lineRule="auto"/>
        <w:ind w:left="1685" w:right="0" w:hanging="801"/>
        <w:jc w:val="left"/>
        <w:rPr>
          <w:sz w:val="32"/>
        </w:rPr>
      </w:pPr>
      <w:r>
        <w:rPr>
          <w:sz w:val="32"/>
        </w:rPr>
        <w:t>财经纪律执行方面。</w:t>
      </w:r>
    </w:p>
    <w:p w14:paraId="0976B733">
      <w:pPr>
        <w:pStyle w:val="4"/>
        <w:spacing w:line="350" w:lineRule="auto"/>
        <w:ind w:right="420" w:firstLine="645"/>
      </w:pPr>
      <w:r>
        <w:rPr>
          <w:spacing w:val="-17"/>
        </w:rPr>
        <w:t>①审计监察。</w:t>
      </w:r>
      <w:r>
        <w:t>2018</w:t>
      </w:r>
      <w:r>
        <w:rPr>
          <w:spacing w:val="-10"/>
        </w:rPr>
        <w:t xml:space="preserve"> 年度积极主动按照上级要求进行各项自查和接受检查，报送自查和检查资料。</w:t>
      </w:r>
    </w:p>
    <w:p w14:paraId="583A08B9">
      <w:pPr>
        <w:pStyle w:val="4"/>
        <w:spacing w:before="2"/>
        <w:ind w:left="885"/>
      </w:pPr>
      <w:r>
        <w:t>②预算执行动态监控。一切按程序操作进行。</w:t>
      </w:r>
    </w:p>
    <w:p w14:paraId="7FD29909">
      <w:pPr>
        <w:pStyle w:val="9"/>
        <w:numPr>
          <w:ilvl w:val="0"/>
          <w:numId w:val="7"/>
        </w:numPr>
        <w:tabs>
          <w:tab w:val="left" w:pos="1686"/>
        </w:tabs>
        <w:spacing w:before="190" w:after="0" w:line="350" w:lineRule="auto"/>
        <w:ind w:left="240" w:right="417" w:firstLine="645"/>
        <w:jc w:val="both"/>
        <w:rPr>
          <w:sz w:val="32"/>
        </w:rPr>
      </w:pPr>
      <w:r>
        <w:rPr>
          <w:spacing w:val="-4"/>
          <w:sz w:val="32"/>
        </w:rPr>
        <w:t xml:space="preserve">、账户管理方面。银行账户基本能按规定管理， </w:t>
      </w:r>
      <w:r>
        <w:rPr>
          <w:spacing w:val="-5"/>
          <w:sz w:val="32"/>
        </w:rPr>
        <w:t xml:space="preserve">未发现违规开立银行账户现象，单位共有 </w:t>
      </w:r>
      <w:r>
        <w:rPr>
          <w:sz w:val="32"/>
        </w:rPr>
        <w:t>2</w:t>
      </w:r>
      <w:r>
        <w:rPr>
          <w:spacing w:val="-11"/>
          <w:sz w:val="32"/>
        </w:rPr>
        <w:t xml:space="preserve"> 个银行账户：</w:t>
      </w:r>
      <w:r>
        <w:rPr>
          <w:sz w:val="32"/>
        </w:rPr>
        <w:t xml:space="preserve">1 </w:t>
      </w:r>
      <w:r>
        <w:rPr>
          <w:spacing w:val="-10"/>
          <w:sz w:val="32"/>
        </w:rPr>
        <w:t xml:space="preserve">个基本存款账户和 </w:t>
      </w:r>
      <w:r>
        <w:rPr>
          <w:sz w:val="32"/>
        </w:rPr>
        <w:t>1</w:t>
      </w:r>
      <w:r>
        <w:rPr>
          <w:spacing w:val="-11"/>
          <w:sz w:val="32"/>
        </w:rPr>
        <w:t xml:space="preserve"> 个专用存款账户。基本存款账户和专用存款账户均纳入“大平台”管理。</w:t>
      </w:r>
    </w:p>
    <w:p w14:paraId="3F003725">
      <w:pPr>
        <w:pStyle w:val="4"/>
        <w:spacing w:before="6"/>
        <w:ind w:left="885"/>
      </w:pPr>
      <w:r>
        <w:t>（四）综合管理方面</w:t>
      </w:r>
    </w:p>
    <w:p w14:paraId="25D3CA47">
      <w:pPr>
        <w:pStyle w:val="9"/>
        <w:numPr>
          <w:ilvl w:val="0"/>
          <w:numId w:val="8"/>
        </w:numPr>
        <w:tabs>
          <w:tab w:val="left" w:pos="1686"/>
        </w:tabs>
        <w:spacing w:before="190" w:after="0" w:line="240" w:lineRule="auto"/>
        <w:ind w:left="1685" w:right="0" w:hanging="801"/>
        <w:jc w:val="left"/>
        <w:rPr>
          <w:sz w:val="32"/>
        </w:rPr>
      </w:pPr>
      <w:r>
        <w:rPr>
          <w:sz w:val="32"/>
        </w:rPr>
        <w:t>内控制度管理</w:t>
      </w:r>
    </w:p>
    <w:p w14:paraId="11E4175D">
      <w:pPr>
        <w:pStyle w:val="4"/>
        <w:spacing w:line="350" w:lineRule="auto"/>
        <w:ind w:right="405" w:firstLine="645"/>
        <w:jc w:val="both"/>
      </w:pPr>
      <w:r>
        <w:rPr>
          <w:spacing w:val="-19"/>
          <w:w w:val="95"/>
        </w:rPr>
        <w:t xml:space="preserve">石井铺镇建立了《“三重一大”事项决策制度》、《财务 </w:t>
      </w:r>
      <w:r>
        <w:rPr>
          <w:spacing w:val="-44"/>
        </w:rPr>
        <w:t>管理制度》、《预算管理制度》、《收支管理制度》、《政府采购</w:t>
      </w:r>
      <w:r>
        <w:rPr>
          <w:spacing w:val="-67"/>
        </w:rPr>
        <w:t>管理制度》</w:t>
      </w:r>
      <w:r>
        <w:rPr>
          <w:spacing w:val="-41"/>
        </w:rPr>
        <w:t>、《政府采购管理制度》、《建设项目管理制度》</w:t>
      </w:r>
      <w:r>
        <w:rPr>
          <w:spacing w:val="-90"/>
        </w:rPr>
        <w:t>、《资</w:t>
      </w:r>
      <w:r>
        <w:rPr>
          <w:spacing w:val="-35"/>
          <w:w w:val="95"/>
        </w:rPr>
        <w:t>产管理制度》、《合同管理制度》等内控制度，并执行有效。</w:t>
      </w:r>
    </w:p>
    <w:p w14:paraId="2172DEFE">
      <w:pPr>
        <w:pStyle w:val="9"/>
        <w:numPr>
          <w:ilvl w:val="0"/>
          <w:numId w:val="8"/>
        </w:numPr>
        <w:tabs>
          <w:tab w:val="left" w:pos="1686"/>
        </w:tabs>
        <w:spacing w:before="6" w:after="0" w:line="240" w:lineRule="auto"/>
        <w:ind w:left="1685" w:right="0" w:hanging="801"/>
        <w:jc w:val="left"/>
        <w:rPr>
          <w:sz w:val="32"/>
        </w:rPr>
      </w:pPr>
      <w:r>
        <w:rPr>
          <w:sz w:val="32"/>
        </w:rPr>
        <w:t>资产管理</w:t>
      </w:r>
    </w:p>
    <w:p w14:paraId="0A806790">
      <w:pPr>
        <w:pStyle w:val="4"/>
        <w:spacing w:line="350" w:lineRule="auto"/>
        <w:ind w:right="258" w:firstLine="645"/>
      </w:pPr>
      <w:r>
        <w:rPr>
          <w:spacing w:val="-14"/>
        </w:rPr>
        <w:t xml:space="preserve">石井铺镇按照国家、省、市、区国有资产管理部门要求， </w:t>
      </w:r>
      <w:r>
        <w:rPr>
          <w:spacing w:val="-1"/>
        </w:rPr>
        <w:t>将国有资产纳入资产信息系统管理和会计核算平台，及时反</w:t>
      </w:r>
      <w:r>
        <w:rPr>
          <w:spacing w:val="-4"/>
        </w:rPr>
        <w:t>映资产增减变动情况，尽量做到账卡相符、账账相符、账实</w:t>
      </w:r>
    </w:p>
    <w:p w14:paraId="5AFD20DD">
      <w:pPr>
        <w:spacing w:after="0" w:line="350" w:lineRule="auto"/>
        <w:sectPr>
          <w:pgSz w:w="11910" w:h="16840"/>
          <w:pgMar w:top="1540" w:right="1380" w:bottom="1380" w:left="1560" w:header="0" w:footer="1196" w:gutter="0"/>
          <w:cols w:space="720" w:num="1"/>
        </w:sectPr>
      </w:pPr>
    </w:p>
    <w:p w14:paraId="5A81A48D">
      <w:pPr>
        <w:pStyle w:val="4"/>
        <w:spacing w:before="43" w:line="350" w:lineRule="auto"/>
        <w:ind w:right="373"/>
      </w:pPr>
      <w:r>
        <w:t>相符，确保资产信息清晰完整。同时，按要求上报单位资产报表，报表数据基本及时、真实、准确、全面。</w:t>
      </w:r>
    </w:p>
    <w:p w14:paraId="7CE9F709">
      <w:pPr>
        <w:pStyle w:val="9"/>
        <w:numPr>
          <w:ilvl w:val="0"/>
          <w:numId w:val="8"/>
        </w:numPr>
        <w:tabs>
          <w:tab w:val="left" w:pos="1686"/>
        </w:tabs>
        <w:spacing w:before="3" w:after="0" w:line="240" w:lineRule="auto"/>
        <w:ind w:left="1685" w:right="0" w:hanging="801"/>
        <w:jc w:val="left"/>
        <w:rPr>
          <w:sz w:val="32"/>
        </w:rPr>
      </w:pPr>
      <w:r>
        <w:rPr>
          <w:sz w:val="32"/>
        </w:rPr>
        <w:t>信息公开管理</w:t>
      </w:r>
    </w:p>
    <w:p w14:paraId="5E47933E">
      <w:pPr>
        <w:pStyle w:val="4"/>
        <w:ind w:left="885"/>
      </w:pPr>
      <w:r>
        <w:rPr>
          <w:spacing w:val="-17"/>
        </w:rPr>
        <w:t xml:space="preserve">石井铺镇 </w:t>
      </w:r>
      <w:r>
        <w:t>2018</w:t>
      </w:r>
      <w:r>
        <w:rPr>
          <w:spacing w:val="-28"/>
        </w:rPr>
        <w:t xml:space="preserve"> 年预算，于 </w:t>
      </w:r>
      <w:r>
        <w:t>2018</w:t>
      </w:r>
      <w:r>
        <w:rPr>
          <w:spacing w:val="-54"/>
        </w:rPr>
        <w:t xml:space="preserve"> 年 </w:t>
      </w:r>
      <w:r>
        <w:t>3</w:t>
      </w:r>
      <w:r>
        <w:rPr>
          <w:spacing w:val="-11"/>
        </w:rPr>
        <w:t xml:space="preserve"> 月在昭化区人民政</w:t>
      </w:r>
    </w:p>
    <w:p w14:paraId="73659157">
      <w:pPr>
        <w:pStyle w:val="4"/>
      </w:pPr>
      <w:r>
        <w:t>府已进行公开，2018</w:t>
      </w:r>
      <w:r>
        <w:rPr>
          <w:spacing w:val="-28"/>
        </w:rPr>
        <w:t xml:space="preserve"> 年决算在 </w:t>
      </w:r>
      <w:r>
        <w:t>2018</w:t>
      </w:r>
      <w:r>
        <w:rPr>
          <w:spacing w:val="-54"/>
        </w:rPr>
        <w:t xml:space="preserve"> 年 </w:t>
      </w:r>
      <w:r>
        <w:t>9</w:t>
      </w:r>
      <w:r>
        <w:rPr>
          <w:spacing w:val="-55"/>
        </w:rPr>
        <w:t xml:space="preserve"> 月 </w:t>
      </w:r>
      <w:r>
        <w:t>28</w:t>
      </w:r>
      <w:r>
        <w:rPr>
          <w:spacing w:val="-17"/>
        </w:rPr>
        <w:t xml:space="preserve"> 日公开。</w:t>
      </w:r>
    </w:p>
    <w:p w14:paraId="19BA06D3">
      <w:pPr>
        <w:pStyle w:val="4"/>
        <w:spacing w:line="350" w:lineRule="auto"/>
        <w:ind w:left="885" w:right="4238"/>
      </w:pPr>
      <w:r>
        <w:t>（五）项目支出的绩效效果1.项目资金情况</w:t>
      </w:r>
    </w:p>
    <w:p w14:paraId="04F27A95">
      <w:pPr>
        <w:pStyle w:val="9"/>
        <w:numPr>
          <w:ilvl w:val="0"/>
          <w:numId w:val="9"/>
        </w:numPr>
        <w:tabs>
          <w:tab w:val="left" w:pos="1686"/>
        </w:tabs>
        <w:spacing w:before="2" w:after="0" w:line="240" w:lineRule="auto"/>
        <w:ind w:left="1685" w:right="0" w:hanging="801"/>
        <w:jc w:val="left"/>
        <w:rPr>
          <w:sz w:val="32"/>
        </w:rPr>
      </w:pPr>
      <w:r>
        <w:rPr>
          <w:sz w:val="32"/>
        </w:rPr>
        <w:t>项目资金到位情况</w:t>
      </w:r>
    </w:p>
    <w:p w14:paraId="76B55E90">
      <w:pPr>
        <w:pStyle w:val="4"/>
        <w:ind w:left="885"/>
      </w:pPr>
      <w:r>
        <w:t>2018 年昭化区财政局预算指标农村公共运行维护资金</w:t>
      </w:r>
    </w:p>
    <w:p w14:paraId="2F22010D">
      <w:pPr>
        <w:pStyle w:val="4"/>
        <w:spacing w:line="350" w:lineRule="auto"/>
        <w:ind w:right="420"/>
      </w:pPr>
      <w:r>
        <w:t>55</w:t>
      </w:r>
      <w:r>
        <w:rPr>
          <w:spacing w:val="-26"/>
        </w:rPr>
        <w:t xml:space="preserve"> 万元，石井铺镇 </w:t>
      </w:r>
      <w:r>
        <w:t>2018</w:t>
      </w:r>
      <w:r>
        <w:rPr>
          <w:spacing w:val="-17"/>
        </w:rPr>
        <w:t xml:space="preserve"> 年已收到该项目资金 </w:t>
      </w:r>
      <w:r>
        <w:t>55</w:t>
      </w:r>
      <w:r>
        <w:rPr>
          <w:spacing w:val="-23"/>
        </w:rPr>
        <w:t xml:space="preserve"> 万元，资金</w:t>
      </w:r>
      <w:r>
        <w:rPr>
          <w:spacing w:val="-38"/>
        </w:rPr>
        <w:t xml:space="preserve">到位率 </w:t>
      </w:r>
      <w:r>
        <w:t>100%。</w:t>
      </w:r>
    </w:p>
    <w:p w14:paraId="5FACCEFC">
      <w:pPr>
        <w:pStyle w:val="9"/>
        <w:numPr>
          <w:ilvl w:val="0"/>
          <w:numId w:val="9"/>
        </w:numPr>
        <w:tabs>
          <w:tab w:val="left" w:pos="1686"/>
        </w:tabs>
        <w:spacing w:before="3" w:after="0" w:line="240" w:lineRule="auto"/>
        <w:ind w:left="1685" w:right="0" w:hanging="801"/>
        <w:jc w:val="left"/>
        <w:rPr>
          <w:sz w:val="32"/>
        </w:rPr>
      </w:pPr>
      <w:r>
        <w:rPr>
          <w:sz w:val="32"/>
        </w:rPr>
        <w:t>项目资金使用情况</w:t>
      </w:r>
    </w:p>
    <w:p w14:paraId="124AAFC6">
      <w:pPr>
        <w:pStyle w:val="4"/>
        <w:ind w:left="885"/>
      </w:pPr>
      <w:r>
        <w:rPr>
          <w:spacing w:val="-23"/>
        </w:rPr>
        <w:t xml:space="preserve">截止 </w:t>
      </w:r>
      <w:r>
        <w:t>2018</w:t>
      </w:r>
      <w:r>
        <w:rPr>
          <w:spacing w:val="-51"/>
        </w:rPr>
        <w:t xml:space="preserve"> 年 </w:t>
      </w:r>
      <w:r>
        <w:t>12</w:t>
      </w:r>
      <w:r>
        <w:rPr>
          <w:spacing w:val="-51"/>
        </w:rPr>
        <w:t xml:space="preserve"> 月 </w:t>
      </w:r>
      <w:r>
        <w:t>31</w:t>
      </w:r>
      <w:r>
        <w:rPr>
          <w:spacing w:val="-2"/>
        </w:rPr>
        <w:t xml:space="preserve"> 日，已将农村公共运行维护资金</w:t>
      </w:r>
    </w:p>
    <w:p w14:paraId="47BEF212">
      <w:pPr>
        <w:pStyle w:val="4"/>
        <w:ind w:left="0" w:right="4805"/>
        <w:jc w:val="right"/>
      </w:pPr>
      <w:r>
        <w:t>55 万元支付到项目实施人。</w:t>
      </w:r>
    </w:p>
    <w:p w14:paraId="49BCD6F8">
      <w:pPr>
        <w:pStyle w:val="9"/>
        <w:numPr>
          <w:ilvl w:val="0"/>
          <w:numId w:val="9"/>
        </w:numPr>
        <w:tabs>
          <w:tab w:val="left" w:pos="1686"/>
        </w:tabs>
        <w:spacing w:before="190" w:after="0" w:line="240" w:lineRule="auto"/>
        <w:ind w:left="1685" w:right="4718" w:hanging="1686"/>
        <w:jc w:val="right"/>
        <w:rPr>
          <w:sz w:val="32"/>
        </w:rPr>
      </w:pPr>
      <w:r>
        <w:rPr>
          <w:w w:val="95"/>
          <w:sz w:val="32"/>
        </w:rPr>
        <w:t>项目资金管理情况</w:t>
      </w:r>
    </w:p>
    <w:p w14:paraId="138339A8">
      <w:pPr>
        <w:pStyle w:val="4"/>
        <w:spacing w:line="350" w:lineRule="auto"/>
        <w:ind w:right="417" w:firstLine="645"/>
        <w:jc w:val="both"/>
      </w:pPr>
      <w:r>
        <w:rPr>
          <w:spacing w:val="-2"/>
          <w:w w:val="95"/>
        </w:rPr>
        <w:t xml:space="preserve">石井铺镇制定了财务管理办法，对项目管理、资金使用 </w:t>
      </w:r>
      <w:r>
        <w:rPr>
          <w:spacing w:val="-4"/>
        </w:rPr>
        <w:t>提出明确规定，专项资金的支付范围、支付标准基本合规合法，支付依据基本充分。</w:t>
      </w:r>
    </w:p>
    <w:p w14:paraId="7AA6BF4A">
      <w:pPr>
        <w:pStyle w:val="9"/>
        <w:numPr>
          <w:ilvl w:val="0"/>
          <w:numId w:val="10"/>
        </w:numPr>
        <w:tabs>
          <w:tab w:val="left" w:pos="1207"/>
        </w:tabs>
        <w:spacing w:before="4" w:after="0" w:line="240" w:lineRule="auto"/>
        <w:ind w:left="1206" w:right="0" w:hanging="322"/>
        <w:jc w:val="left"/>
        <w:rPr>
          <w:sz w:val="32"/>
        </w:rPr>
      </w:pPr>
      <w:r>
        <w:rPr>
          <w:sz w:val="32"/>
        </w:rPr>
        <w:t>项目实施情况</w:t>
      </w:r>
    </w:p>
    <w:p w14:paraId="0BB1F2A0">
      <w:pPr>
        <w:pStyle w:val="9"/>
        <w:numPr>
          <w:ilvl w:val="0"/>
          <w:numId w:val="11"/>
        </w:numPr>
        <w:tabs>
          <w:tab w:val="left" w:pos="1686"/>
        </w:tabs>
        <w:spacing w:before="190" w:after="0" w:line="240" w:lineRule="auto"/>
        <w:ind w:left="1685" w:right="0" w:hanging="801"/>
        <w:jc w:val="left"/>
        <w:rPr>
          <w:sz w:val="32"/>
        </w:rPr>
      </w:pPr>
      <w:r>
        <w:rPr>
          <w:sz w:val="32"/>
        </w:rPr>
        <w:t>项目组织情况</w:t>
      </w:r>
    </w:p>
    <w:p w14:paraId="27F119DA">
      <w:pPr>
        <w:pStyle w:val="4"/>
        <w:spacing w:line="350" w:lineRule="auto"/>
        <w:ind w:right="259" w:firstLine="645"/>
        <w:jc w:val="both"/>
      </w:pPr>
      <w:r>
        <w:t xml:space="preserve">石井铺镇成立了领导小组，由镇党组书记牵头，镇指定专人对十村一社区的农村公共运行维护项目实施进行督导， </w:t>
      </w:r>
      <w:r>
        <w:rPr>
          <w:w w:val="95"/>
        </w:rPr>
        <w:t>项目严格按照村民初议、“两会”审议、村民代表会议决议，</w:t>
      </w:r>
    </w:p>
    <w:p w14:paraId="723C197D">
      <w:pPr>
        <w:spacing w:after="0" w:line="350" w:lineRule="auto"/>
        <w:jc w:val="both"/>
        <w:sectPr>
          <w:pgSz w:w="11910" w:h="16840"/>
          <w:pgMar w:top="1540" w:right="1380" w:bottom="1380" w:left="1560" w:header="0" w:footer="1196" w:gutter="0"/>
          <w:cols w:space="720" w:num="1"/>
        </w:sectPr>
      </w:pPr>
    </w:p>
    <w:p w14:paraId="1FB2E340">
      <w:pPr>
        <w:pStyle w:val="4"/>
        <w:spacing w:before="43" w:line="350" w:lineRule="auto"/>
        <w:ind w:right="417"/>
        <w:jc w:val="both"/>
      </w:pPr>
      <w:r>
        <w:rPr>
          <w:spacing w:val="-3"/>
          <w:w w:val="95"/>
        </w:rPr>
        <w:t xml:space="preserve">坚持征求意见结果公开、决议公开、实施结果公开，村廉勤 </w:t>
      </w:r>
      <w:r>
        <w:rPr>
          <w:spacing w:val="-5"/>
          <w:w w:val="95"/>
        </w:rPr>
        <w:t xml:space="preserve">委监督的程序实施项目的立项、实施和资金支付。项目完成 </w:t>
      </w:r>
      <w:r>
        <w:rPr>
          <w:spacing w:val="-3"/>
          <w:w w:val="95"/>
        </w:rPr>
        <w:t xml:space="preserve">后，由镇分管领导、财政所、农经部、联村干部、监督委员 </w:t>
      </w:r>
      <w:r>
        <w:rPr>
          <w:spacing w:val="-3"/>
        </w:rPr>
        <w:t>会、村民委员会共同进行验收。</w:t>
      </w:r>
    </w:p>
    <w:p w14:paraId="49895FD2">
      <w:pPr>
        <w:pStyle w:val="9"/>
        <w:numPr>
          <w:ilvl w:val="0"/>
          <w:numId w:val="11"/>
        </w:numPr>
        <w:tabs>
          <w:tab w:val="left" w:pos="1686"/>
        </w:tabs>
        <w:spacing w:before="5" w:after="0" w:line="240" w:lineRule="auto"/>
        <w:ind w:left="1685" w:right="0" w:hanging="801"/>
        <w:jc w:val="left"/>
        <w:rPr>
          <w:sz w:val="32"/>
        </w:rPr>
      </w:pPr>
      <w:r>
        <w:rPr>
          <w:sz w:val="32"/>
        </w:rPr>
        <w:t>项目财务管理情况</w:t>
      </w:r>
    </w:p>
    <w:p w14:paraId="24128645">
      <w:pPr>
        <w:pStyle w:val="4"/>
        <w:spacing w:line="350" w:lineRule="auto"/>
        <w:ind w:right="405" w:firstLine="645"/>
        <w:jc w:val="both"/>
      </w:pPr>
      <w:r>
        <w:t>石井铺镇建立了基本健全的内部控制制度，内部控制管理运行有效。同时制定《资金管理办法》等相关财务管理制度，保证项目严格执行预算；资金支付合法合规，支付手续完备；项目验收后，村委将项目实施资料收集上报财政所， 由财政所将经费拨付给实施方。专项资金的财务管理及使用监督管理做到了资金分配合理，资金管理、使用基本规范。</w:t>
      </w:r>
    </w:p>
    <w:p w14:paraId="215DB609">
      <w:pPr>
        <w:pStyle w:val="9"/>
        <w:numPr>
          <w:ilvl w:val="0"/>
          <w:numId w:val="10"/>
        </w:numPr>
        <w:tabs>
          <w:tab w:val="left" w:pos="1207"/>
        </w:tabs>
        <w:spacing w:before="9" w:after="0" w:line="240" w:lineRule="auto"/>
        <w:ind w:left="1206" w:right="0" w:hanging="322"/>
        <w:jc w:val="left"/>
        <w:rPr>
          <w:sz w:val="32"/>
        </w:rPr>
      </w:pPr>
      <w:r>
        <w:rPr>
          <w:sz w:val="32"/>
        </w:rPr>
        <w:t>绩效评价结论</w:t>
      </w:r>
    </w:p>
    <w:p w14:paraId="55511B17">
      <w:pPr>
        <w:pStyle w:val="4"/>
        <w:spacing w:line="350" w:lineRule="auto"/>
        <w:ind w:right="259" w:firstLine="645"/>
        <w:jc w:val="both"/>
      </w:pPr>
      <w:r>
        <w:t>2018 年石井铺镇财务和项目支出基本符合国家财经法规和财务管理制度规定以及有关专项资金管理办法的规定， 资金的拨付有完整的审批过程和手续，支出基本符合部门预算批复的用途，资金使用无截留、挤占、挪用、虚列支出等情况。根据区政府绩效考核文件精神，绩效目标在 2018 年</w:t>
      </w:r>
      <w:r>
        <w:rPr>
          <w:w w:val="95"/>
        </w:rPr>
        <w:t>基本完成，在保障机关运转、履行职能职责上整体情况良好。</w:t>
      </w:r>
    </w:p>
    <w:p w14:paraId="26A7723D">
      <w:pPr>
        <w:pStyle w:val="4"/>
        <w:spacing w:before="0" w:line="387" w:lineRule="exact"/>
        <w:ind w:left="880"/>
        <w:rPr>
          <w:rFonts w:hint="eastAsia" w:ascii="宋体" w:eastAsia="宋体"/>
        </w:rPr>
      </w:pPr>
      <w:r>
        <w:rPr>
          <w:rFonts w:hint="eastAsia" w:ascii="宋体" w:eastAsia="宋体"/>
        </w:rPr>
        <w:t>六、评价结论及建议</w:t>
      </w:r>
    </w:p>
    <w:p w14:paraId="2BCADF5E">
      <w:pPr>
        <w:pStyle w:val="4"/>
        <w:spacing w:before="180" w:line="350" w:lineRule="auto"/>
        <w:ind w:right="258" w:firstLine="645"/>
      </w:pPr>
      <w:r>
        <w:rPr>
          <w:rFonts w:hint="eastAsia" w:ascii="宋体" w:hAnsi="宋体" w:eastAsia="宋体"/>
        </w:rPr>
        <w:t>（</w:t>
      </w:r>
      <w:r>
        <w:t>一</w:t>
      </w:r>
      <w:r>
        <w:rPr>
          <w:spacing w:val="-127"/>
        </w:rPr>
        <w:t>）</w:t>
      </w:r>
      <w:r>
        <w:rPr>
          <w:spacing w:val="-26"/>
        </w:rPr>
        <w:t>评价结论。</w:t>
      </w:r>
      <w:r>
        <w:t>2018</w:t>
      </w:r>
      <w:r>
        <w:rPr>
          <w:spacing w:val="-10"/>
        </w:rPr>
        <w:t xml:space="preserve"> 年度我镇财政运行情况基本不稳， </w:t>
      </w:r>
      <w:r>
        <w:rPr>
          <w:spacing w:val="-8"/>
        </w:rPr>
        <w:t>运转情况良好。在坚持“两保一压”的前提下，完成当年的财政目标任务，实现了财政收支平衡。</w:t>
      </w:r>
    </w:p>
    <w:p w14:paraId="6009927A">
      <w:pPr>
        <w:pStyle w:val="4"/>
        <w:spacing w:before="4"/>
        <w:ind w:left="885"/>
      </w:pPr>
      <w:r>
        <w:t>（二）存在问题。一是财政所人员结构和配备不合理，</w:t>
      </w:r>
    </w:p>
    <w:p w14:paraId="6F4EA777">
      <w:pPr>
        <w:spacing w:after="0"/>
        <w:sectPr>
          <w:pgSz w:w="11910" w:h="16840"/>
          <w:pgMar w:top="1540" w:right="1380" w:bottom="1380" w:left="1560" w:header="0" w:footer="1196" w:gutter="0"/>
          <w:cols w:space="720" w:num="1"/>
        </w:sectPr>
      </w:pPr>
    </w:p>
    <w:p w14:paraId="69A07616">
      <w:pPr>
        <w:pStyle w:val="4"/>
        <w:spacing w:before="43" w:line="350" w:lineRule="auto"/>
        <w:ind w:right="373"/>
      </w:pPr>
      <w:r>
        <w:t>难以适应新时期财政工作的基本要求；二是暂存暂付资金余额较大；三是资产实物管理不够规范。</w:t>
      </w:r>
    </w:p>
    <w:p w14:paraId="3624E719">
      <w:pPr>
        <w:pStyle w:val="4"/>
        <w:spacing w:before="3" w:line="350" w:lineRule="auto"/>
        <w:ind w:right="417" w:firstLine="645"/>
        <w:jc w:val="both"/>
      </w:pPr>
      <w:r>
        <w:t>（三</w:t>
      </w:r>
      <w:r>
        <w:rPr>
          <w:spacing w:val="-5"/>
        </w:rPr>
        <w:t>）</w:t>
      </w:r>
      <w:r>
        <w:rPr>
          <w:spacing w:val="-3"/>
        </w:rPr>
        <w:t>改进建议。一是增加财政所最低人员配备，确保</w:t>
      </w:r>
      <w:r>
        <w:rPr>
          <w:spacing w:val="-5"/>
        </w:rPr>
        <w:t>财政工作的有序开展；二是乡镇定期异地交流和工作，降低</w:t>
      </w:r>
      <w:r>
        <w:rPr>
          <w:spacing w:val="-6"/>
        </w:rPr>
        <w:t>和减少财政人员的工作风险；三是排忧解难财政工作人员的后顾之忧。</w:t>
      </w:r>
    </w:p>
    <w:p w14:paraId="2F55E52E">
      <w:pPr>
        <w:spacing w:after="0" w:line="350" w:lineRule="auto"/>
        <w:jc w:val="both"/>
        <w:sectPr>
          <w:pgSz w:w="11910" w:h="16840"/>
          <w:pgMar w:top="1540" w:right="1380" w:bottom="1380" w:left="1560" w:header="0" w:footer="1196" w:gutter="0"/>
          <w:cols w:space="720" w:num="1"/>
        </w:sectPr>
      </w:pPr>
    </w:p>
    <w:p w14:paraId="244897B1">
      <w:pPr>
        <w:pStyle w:val="2"/>
        <w:spacing w:before="23"/>
        <w:ind w:right="29"/>
      </w:pPr>
      <w:r>
        <w:t>第五部分 附表</w:t>
      </w:r>
    </w:p>
    <w:p w14:paraId="59849C99">
      <w:pPr>
        <w:pStyle w:val="4"/>
        <w:spacing w:before="0"/>
        <w:ind w:left="0"/>
        <w:rPr>
          <w:rFonts w:ascii="黑体"/>
          <w:sz w:val="44"/>
        </w:rPr>
      </w:pPr>
    </w:p>
    <w:p w14:paraId="0A1AE9F6">
      <w:pPr>
        <w:pStyle w:val="4"/>
        <w:spacing w:before="1"/>
        <w:ind w:left="0"/>
        <w:rPr>
          <w:rFonts w:ascii="黑体"/>
          <w:sz w:val="31"/>
        </w:rPr>
      </w:pPr>
    </w:p>
    <w:p w14:paraId="613528AD">
      <w:pPr>
        <w:pStyle w:val="4"/>
        <w:spacing w:before="0" w:line="518" w:lineRule="auto"/>
        <w:ind w:right="5525"/>
      </w:pPr>
      <w:bookmarkStart w:id="49" w:name="一、收入支出决算总表"/>
      <w:bookmarkEnd w:id="49"/>
      <w:bookmarkStart w:id="50" w:name="_bookmark18"/>
      <w:bookmarkEnd w:id="50"/>
      <w:r>
        <w:rPr>
          <w:spacing w:val="-2"/>
        </w:rPr>
        <w:t>一、收入支出决算总表</w:t>
      </w:r>
      <w:bookmarkStart w:id="51" w:name="二、收入总表"/>
      <w:bookmarkEnd w:id="51"/>
      <w:bookmarkStart w:id="52" w:name="_bookmark19"/>
      <w:bookmarkEnd w:id="52"/>
      <w:r>
        <w:t>二、收入总表</w:t>
      </w:r>
    </w:p>
    <w:p w14:paraId="243691E0">
      <w:pPr>
        <w:pStyle w:val="4"/>
        <w:spacing w:before="0" w:line="408" w:lineRule="exact"/>
      </w:pPr>
      <w:bookmarkStart w:id="53" w:name="三、支出总表"/>
      <w:bookmarkEnd w:id="53"/>
      <w:bookmarkStart w:id="54" w:name="_bookmark20"/>
      <w:bookmarkEnd w:id="54"/>
      <w:r>
        <w:rPr>
          <w:w w:val="95"/>
        </w:rPr>
        <w:t>三、支出总表</w:t>
      </w:r>
    </w:p>
    <w:p w14:paraId="7937DB2B">
      <w:pPr>
        <w:pStyle w:val="4"/>
        <w:spacing w:before="12"/>
        <w:ind w:left="0"/>
        <w:rPr>
          <w:sz w:val="36"/>
        </w:rPr>
      </w:pPr>
    </w:p>
    <w:p w14:paraId="140DFADF">
      <w:pPr>
        <w:pStyle w:val="4"/>
        <w:spacing w:before="0"/>
      </w:pPr>
      <w:bookmarkStart w:id="55" w:name="_bookmark21"/>
      <w:bookmarkEnd w:id="55"/>
      <w:bookmarkStart w:id="56" w:name="四、财政拨款收入支出决算总表"/>
      <w:bookmarkEnd w:id="56"/>
      <w:r>
        <w:t>四、财政拨款收入支出决算总表</w:t>
      </w:r>
    </w:p>
    <w:p w14:paraId="122FB214">
      <w:pPr>
        <w:pStyle w:val="4"/>
        <w:spacing w:before="2"/>
        <w:ind w:left="0"/>
        <w:rPr>
          <w:sz w:val="37"/>
        </w:rPr>
      </w:pPr>
    </w:p>
    <w:p w14:paraId="207DCEE3">
      <w:pPr>
        <w:pStyle w:val="4"/>
        <w:spacing w:before="0" w:line="516" w:lineRule="auto"/>
        <w:ind w:right="1367"/>
      </w:pPr>
      <w:bookmarkStart w:id="57" w:name="_bookmark22"/>
      <w:bookmarkEnd w:id="57"/>
      <w:bookmarkStart w:id="58" w:name="五、财政拨款支出决算明细表（政府经济分类科目）"/>
      <w:bookmarkEnd w:id="58"/>
      <w:r>
        <w:t xml:space="preserve">五、财政拨款支出决算明细表（政府经济分类科目） </w:t>
      </w:r>
      <w:bookmarkStart w:id="59" w:name="六、一般公共预算财政拨款支出决算表"/>
      <w:bookmarkEnd w:id="59"/>
      <w:bookmarkStart w:id="60" w:name="_bookmark23"/>
      <w:bookmarkEnd w:id="60"/>
      <w:r>
        <w:t>六、一般公共预算财政拨款支出决算表</w:t>
      </w:r>
    </w:p>
    <w:p w14:paraId="7D6E21DB">
      <w:pPr>
        <w:pStyle w:val="4"/>
        <w:spacing w:before="3" w:line="518" w:lineRule="auto"/>
        <w:ind w:right="2645"/>
        <w:jc w:val="both"/>
      </w:pPr>
      <w:bookmarkStart w:id="61" w:name="七、一般公共预算财政拨款支出决算明细表"/>
      <w:bookmarkEnd w:id="61"/>
      <w:bookmarkStart w:id="62" w:name="_bookmark24"/>
      <w:bookmarkEnd w:id="62"/>
      <w:r>
        <w:t>七、一般公共预算财政拨款支出决算明细表</w:t>
      </w:r>
      <w:bookmarkStart w:id="63" w:name="_bookmark25"/>
      <w:bookmarkEnd w:id="63"/>
      <w:bookmarkStart w:id="64" w:name="八、一般公共预算财政拨款基本支出决算表"/>
      <w:bookmarkEnd w:id="64"/>
      <w:r>
        <w:t>八、一般公共预算财政拨款基本支出决算表</w:t>
      </w:r>
      <w:bookmarkStart w:id="65" w:name="_bookmark26"/>
      <w:bookmarkEnd w:id="65"/>
      <w:bookmarkStart w:id="66" w:name="九、一般公共预算财政拨款项目支出决算表"/>
      <w:bookmarkEnd w:id="66"/>
      <w:r>
        <w:t>九、一般公共预算财政拨款项目支出决算表</w:t>
      </w:r>
    </w:p>
    <w:p w14:paraId="7713D852">
      <w:pPr>
        <w:pStyle w:val="4"/>
        <w:spacing w:before="0" w:line="518" w:lineRule="auto"/>
        <w:ind w:right="1365"/>
      </w:pPr>
      <w:bookmarkStart w:id="67" w:name="十、一般公共预算财政拨款“三公”经费支出决算表"/>
      <w:bookmarkEnd w:id="67"/>
      <w:bookmarkStart w:id="68" w:name="_bookmark27"/>
      <w:bookmarkEnd w:id="68"/>
      <w:r>
        <w:t>十、一般公共预算财政拨款“三公”经费支出决算表</w:t>
      </w:r>
      <w:bookmarkStart w:id="69" w:name="_bookmark28"/>
      <w:bookmarkEnd w:id="69"/>
      <w:bookmarkStart w:id="70" w:name="十一、政府性基金预算财政拨款收入支出决算表"/>
      <w:bookmarkEnd w:id="70"/>
      <w:r>
        <w:t>十一、政府性基金预算财政拨款收入支出决算表</w:t>
      </w:r>
    </w:p>
    <w:p w14:paraId="5EB53CBF">
      <w:pPr>
        <w:pStyle w:val="4"/>
        <w:spacing w:before="0" w:line="516" w:lineRule="auto"/>
        <w:ind w:right="725"/>
      </w:pPr>
      <w:bookmarkStart w:id="71" w:name="十二、政府性基金预算财政拨款“三公”经费支出决算表"/>
      <w:bookmarkEnd w:id="71"/>
      <w:bookmarkStart w:id="72" w:name="_bookmark29"/>
      <w:bookmarkEnd w:id="72"/>
      <w:r>
        <w:t>十二、政府性基金预算财政拨款“三公”经费支出决算表</w:t>
      </w:r>
      <w:bookmarkStart w:id="73" w:name="十三、国有资本经营预算支出决算表"/>
      <w:bookmarkEnd w:id="73"/>
      <w:bookmarkStart w:id="74" w:name="_bookmark30"/>
      <w:bookmarkEnd w:id="74"/>
      <w:r>
        <w:t>十三、国有资本经营预算支出决算表</w:t>
      </w:r>
    </w:p>
    <w:sectPr>
      <w:footerReference r:id="rId8" w:type="default"/>
      <w:pgSz w:w="11910" w:h="16840"/>
      <w:pgMar w:top="1440" w:right="1380" w:bottom="1380" w:left="1560" w:header="0" w:footer="1196" w:gutter="0"/>
      <w:pgNumType w:start="3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5F72">
    <w:pPr>
      <w:pStyle w:val="4"/>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68A7FE50">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DW3+2gAAAA0BAAAPAAAAAAAAAAEAIAAAACIAAABkcnMvZG93bnJldi54bWxQSwEC&#10;FAAUAAAACACHTuJAucwS+7kBAABxAwAADgAAAAAAAAABACAAAAApAQAAZHJzL2Uyb0RvYy54bWxQ&#10;SwUGAAAAAAYABgBZAQAAVAUAAAAA&#10;">
              <v:fill on="f" focussize="0,0"/>
              <v:stroke on="f"/>
              <v:imagedata o:title=""/>
              <o:lock v:ext="edit" aspectratio="f"/>
              <v:textbox inset="0mm,0mm,0mm,0mm">
                <w:txbxContent>
                  <w:p w14:paraId="68A7FE50">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E7AC">
    <w:pPr>
      <w:pStyle w:val="4"/>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80029F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71.1pt;height:11pt;width:13.15pt;mso-position-horizontal-relative:page;mso-position-vertical-relative:page;z-index:-251656192;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EOVTaAAAADQEAAA8AAAAAAAAAAQAgAAAAIgAAAGRycy9kb3ducmV2LnhtbFBLAQIU&#10;ABQAAAAIAIdO4kCp3oReuAEAAHEDAAAOAAAAAAAAAAEAIAAAACkBAABkcnMvZTJvRG9jLnhtbFBL&#10;BQYAAAAABgAGAFkBAABTBQAAAAA=&#10;">
              <v:fill on="f" focussize="0,0"/>
              <v:stroke on="f"/>
              <v:imagedata o:title=""/>
              <o:lock v:ext="edit" aspectratio="f"/>
              <v:textbox inset="0mm,0mm,0mm,0mm">
                <w:txbxContent>
                  <w:p w14:paraId="280029F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3A7C">
    <w:pPr>
      <w:pStyle w:val="4"/>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716A469">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pt;margin-top:771.1pt;height:11pt;width:13.15pt;mso-position-horizontal-relative:page;mso-position-vertical-relative:page;z-index:-251655168;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RDlU2gAAAA0BAAAPAAAAAAAAAAEAIAAAACIAAABkcnMvZG93bnJldi54bWxQSwEC&#10;FAAUAAAACACHTuJAxbc2tbkBAABxAwAADgAAAAAAAAABACAAAAApAQAAZHJzL2Uyb0RvYy54bWxQ&#10;SwUGAAAAAAYABgBZAQAAVAUAAAAA&#10;">
              <v:fill on="f" focussize="0,0"/>
              <v:stroke on="f"/>
              <v:imagedata o:title=""/>
              <o:lock v:ext="edit" aspectratio="f"/>
              <v:textbox inset="0mm,0mm,0mm,0mm">
                <w:txbxContent>
                  <w:p w14:paraId="7716A469">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1785">
    <w:pPr>
      <w:pStyle w:val="4"/>
      <w:spacing w:before="0"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50B8C26">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71.1pt;height:11pt;width:13.15pt;mso-position-horizontal-relative:page;mso-position-vertical-relative:page;z-index:-251654144;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kQ5VNoAAAANAQAADwAAAAAAAAABACAAAAAiAAAAZHJzL2Rvd25yZXYueG1sUEsBAhQA&#10;FAAAAAgAh07iQBX2kiK3AQAAcQMAAA4AAAAAAAAAAQAgAAAAKQEAAGRycy9lMm9Eb2MueG1sUEsF&#10;BgAAAAAGAAYAWQEAAFIFAAAAAA==&#10;">
              <v:fill on="f" focussize="0,0"/>
              <v:stroke on="f"/>
              <v:imagedata o:title=""/>
              <o:lock v:ext="edit" aspectratio="f"/>
              <v:textbox inset="0mm,0mm,0mm,0mm">
                <w:txbxContent>
                  <w:p w14:paraId="350B8C26">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6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408" w:hanging="800"/>
      </w:pPr>
      <w:rPr>
        <w:rFonts w:hint="default"/>
        <w:lang w:val="zh-CN" w:eastAsia="zh-CN" w:bidi="zh-CN"/>
      </w:rPr>
    </w:lvl>
    <w:lvl w:ilvl="2" w:tentative="0">
      <w:start w:val="0"/>
      <w:numFmt w:val="bullet"/>
      <w:lvlText w:val="•"/>
      <w:lvlJc w:val="left"/>
      <w:pPr>
        <w:ind w:left="3137" w:hanging="800"/>
      </w:pPr>
      <w:rPr>
        <w:rFonts w:hint="default"/>
        <w:lang w:val="zh-CN" w:eastAsia="zh-CN" w:bidi="zh-CN"/>
      </w:rPr>
    </w:lvl>
    <w:lvl w:ilvl="3" w:tentative="0">
      <w:start w:val="0"/>
      <w:numFmt w:val="bullet"/>
      <w:lvlText w:val="•"/>
      <w:lvlJc w:val="left"/>
      <w:pPr>
        <w:ind w:left="3865" w:hanging="800"/>
      </w:pPr>
      <w:rPr>
        <w:rFonts w:hint="default"/>
        <w:lang w:val="zh-CN" w:eastAsia="zh-CN" w:bidi="zh-CN"/>
      </w:rPr>
    </w:lvl>
    <w:lvl w:ilvl="4" w:tentative="0">
      <w:start w:val="0"/>
      <w:numFmt w:val="bullet"/>
      <w:lvlText w:val="•"/>
      <w:lvlJc w:val="left"/>
      <w:pPr>
        <w:ind w:left="4594" w:hanging="800"/>
      </w:pPr>
      <w:rPr>
        <w:rFonts w:hint="default"/>
        <w:lang w:val="zh-CN" w:eastAsia="zh-CN" w:bidi="zh-CN"/>
      </w:rPr>
    </w:lvl>
    <w:lvl w:ilvl="5" w:tentative="0">
      <w:start w:val="0"/>
      <w:numFmt w:val="bullet"/>
      <w:lvlText w:val="•"/>
      <w:lvlJc w:val="left"/>
      <w:pPr>
        <w:ind w:left="5323" w:hanging="800"/>
      </w:pPr>
      <w:rPr>
        <w:rFonts w:hint="default"/>
        <w:lang w:val="zh-CN" w:eastAsia="zh-CN" w:bidi="zh-CN"/>
      </w:rPr>
    </w:lvl>
    <w:lvl w:ilvl="6" w:tentative="0">
      <w:start w:val="0"/>
      <w:numFmt w:val="bullet"/>
      <w:lvlText w:val="•"/>
      <w:lvlJc w:val="left"/>
      <w:pPr>
        <w:ind w:left="6051" w:hanging="800"/>
      </w:pPr>
      <w:rPr>
        <w:rFonts w:hint="default"/>
        <w:lang w:val="zh-CN" w:eastAsia="zh-CN" w:bidi="zh-CN"/>
      </w:rPr>
    </w:lvl>
    <w:lvl w:ilvl="7" w:tentative="0">
      <w:start w:val="0"/>
      <w:numFmt w:val="bullet"/>
      <w:lvlText w:val="•"/>
      <w:lvlJc w:val="left"/>
      <w:pPr>
        <w:ind w:left="6780" w:hanging="800"/>
      </w:pPr>
      <w:rPr>
        <w:rFonts w:hint="default"/>
        <w:lang w:val="zh-CN" w:eastAsia="zh-CN" w:bidi="zh-CN"/>
      </w:rPr>
    </w:lvl>
    <w:lvl w:ilvl="8" w:tentative="0">
      <w:start w:val="0"/>
      <w:numFmt w:val="bullet"/>
      <w:lvlText w:val="•"/>
      <w:lvlJc w:val="left"/>
      <w:pPr>
        <w:ind w:left="7508" w:hanging="800"/>
      </w:pPr>
      <w:rPr>
        <w:rFonts w:hint="default"/>
        <w:lang w:val="zh-CN" w:eastAsia="zh-CN" w:bidi="zh-CN"/>
      </w:rPr>
    </w:lvl>
  </w:abstractNum>
  <w:abstractNum w:abstractNumId="1">
    <w:nsid w:val="C8879AEF"/>
    <w:multiLevelType w:val="multilevel"/>
    <w:tmpl w:val="C8879AEF"/>
    <w:lvl w:ilvl="0" w:tentative="0">
      <w:start w:val="59"/>
      <w:numFmt w:val="decimal"/>
      <w:lvlText w:val="%1"/>
      <w:lvlJc w:val="left"/>
      <w:pPr>
        <w:ind w:left="240" w:hanging="641"/>
        <w:jc w:val="left"/>
      </w:pPr>
      <w:rPr>
        <w:rFonts w:hint="default"/>
        <w:lang w:val="zh-CN" w:eastAsia="zh-CN" w:bidi="zh-CN"/>
      </w:rPr>
    </w:lvl>
    <w:lvl w:ilvl="1" w:tentative="0">
      <w:start w:val="9"/>
      <w:numFmt w:val="decimal"/>
      <w:lvlText w:val="%1.%2"/>
      <w:lvlJc w:val="left"/>
      <w:pPr>
        <w:ind w:left="240" w:hanging="641"/>
        <w:jc w:val="left"/>
      </w:pPr>
      <w:rPr>
        <w:rFonts w:hint="default" w:ascii="仿宋" w:hAnsi="仿宋" w:eastAsia="仿宋" w:cs="仿宋"/>
        <w:spacing w:val="-2"/>
        <w:w w:val="99"/>
        <w:sz w:val="30"/>
        <w:szCs w:val="30"/>
        <w:lang w:val="zh-CN" w:eastAsia="zh-CN" w:bidi="zh-CN"/>
      </w:rPr>
    </w:lvl>
    <w:lvl w:ilvl="2" w:tentative="0">
      <w:start w:val="1"/>
      <w:numFmt w:val="decimal"/>
      <w:lvlText w:val="%3."/>
      <w:lvlJc w:val="left"/>
      <w:pPr>
        <w:ind w:left="240" w:hanging="329"/>
        <w:jc w:val="left"/>
      </w:pPr>
      <w:rPr>
        <w:rFonts w:hint="default"/>
        <w:b/>
        <w:bCs/>
        <w:spacing w:val="1"/>
        <w:w w:val="98"/>
        <w:lang w:val="zh-CN" w:eastAsia="zh-CN" w:bidi="zh-CN"/>
      </w:rPr>
    </w:lvl>
    <w:lvl w:ilvl="3" w:tentative="0">
      <w:start w:val="0"/>
      <w:numFmt w:val="bullet"/>
      <w:lvlText w:val="•"/>
      <w:lvlJc w:val="left"/>
      <w:pPr>
        <w:ind w:left="2857" w:hanging="329"/>
      </w:pPr>
      <w:rPr>
        <w:rFonts w:hint="default"/>
        <w:lang w:val="zh-CN" w:eastAsia="zh-CN" w:bidi="zh-CN"/>
      </w:rPr>
    </w:lvl>
    <w:lvl w:ilvl="4" w:tentative="0">
      <w:start w:val="0"/>
      <w:numFmt w:val="bullet"/>
      <w:lvlText w:val="•"/>
      <w:lvlJc w:val="left"/>
      <w:pPr>
        <w:ind w:left="3730" w:hanging="329"/>
      </w:pPr>
      <w:rPr>
        <w:rFonts w:hint="default"/>
        <w:lang w:val="zh-CN" w:eastAsia="zh-CN" w:bidi="zh-CN"/>
      </w:rPr>
    </w:lvl>
    <w:lvl w:ilvl="5" w:tentative="0">
      <w:start w:val="0"/>
      <w:numFmt w:val="bullet"/>
      <w:lvlText w:val="•"/>
      <w:lvlJc w:val="left"/>
      <w:pPr>
        <w:ind w:left="4603" w:hanging="329"/>
      </w:pPr>
      <w:rPr>
        <w:rFonts w:hint="default"/>
        <w:lang w:val="zh-CN" w:eastAsia="zh-CN" w:bidi="zh-CN"/>
      </w:rPr>
    </w:lvl>
    <w:lvl w:ilvl="6" w:tentative="0">
      <w:start w:val="0"/>
      <w:numFmt w:val="bullet"/>
      <w:lvlText w:val="•"/>
      <w:lvlJc w:val="left"/>
      <w:pPr>
        <w:ind w:left="5475" w:hanging="329"/>
      </w:pPr>
      <w:rPr>
        <w:rFonts w:hint="default"/>
        <w:lang w:val="zh-CN" w:eastAsia="zh-CN" w:bidi="zh-CN"/>
      </w:rPr>
    </w:lvl>
    <w:lvl w:ilvl="7" w:tentative="0">
      <w:start w:val="0"/>
      <w:numFmt w:val="bullet"/>
      <w:lvlText w:val="•"/>
      <w:lvlJc w:val="left"/>
      <w:pPr>
        <w:ind w:left="6348" w:hanging="329"/>
      </w:pPr>
      <w:rPr>
        <w:rFonts w:hint="default"/>
        <w:lang w:val="zh-CN" w:eastAsia="zh-CN" w:bidi="zh-CN"/>
      </w:rPr>
    </w:lvl>
    <w:lvl w:ilvl="8" w:tentative="0">
      <w:start w:val="0"/>
      <w:numFmt w:val="bullet"/>
      <w:lvlText w:val="•"/>
      <w:lvlJc w:val="left"/>
      <w:pPr>
        <w:ind w:left="7220" w:hanging="329"/>
      </w:pPr>
      <w:rPr>
        <w:rFonts w:hint="default"/>
        <w:lang w:val="zh-CN" w:eastAsia="zh-CN" w:bidi="zh-CN"/>
      </w:rPr>
    </w:lvl>
  </w:abstractNum>
  <w:abstractNum w:abstractNumId="2">
    <w:nsid w:val="D7F9FE59"/>
    <w:multiLevelType w:val="multilevel"/>
    <w:tmpl w:val="D7F9FE59"/>
    <w:lvl w:ilvl="0" w:tentative="0">
      <w:start w:val="1"/>
      <w:numFmt w:val="decimal"/>
      <w:lvlText w:val="（%1）"/>
      <w:lvlJc w:val="left"/>
      <w:pPr>
        <w:ind w:left="240" w:hanging="819"/>
        <w:jc w:val="left"/>
      </w:pPr>
      <w:rPr>
        <w:rFonts w:hint="default" w:ascii="仿宋" w:hAnsi="仿宋" w:eastAsia="仿宋" w:cs="仿宋"/>
        <w:spacing w:val="6"/>
        <w:w w:val="99"/>
        <w:sz w:val="30"/>
        <w:szCs w:val="30"/>
        <w:lang w:val="zh-CN" w:eastAsia="zh-CN" w:bidi="zh-CN"/>
      </w:rPr>
    </w:lvl>
    <w:lvl w:ilvl="1" w:tentative="0">
      <w:start w:val="0"/>
      <w:numFmt w:val="bullet"/>
      <w:lvlText w:val="•"/>
      <w:lvlJc w:val="left"/>
      <w:pPr>
        <w:ind w:left="1112" w:hanging="819"/>
      </w:pPr>
      <w:rPr>
        <w:rFonts w:hint="default"/>
        <w:lang w:val="zh-CN" w:eastAsia="zh-CN" w:bidi="zh-CN"/>
      </w:rPr>
    </w:lvl>
    <w:lvl w:ilvl="2" w:tentative="0">
      <w:start w:val="0"/>
      <w:numFmt w:val="bullet"/>
      <w:lvlText w:val="•"/>
      <w:lvlJc w:val="left"/>
      <w:pPr>
        <w:ind w:left="1985" w:hanging="819"/>
      </w:pPr>
      <w:rPr>
        <w:rFonts w:hint="default"/>
        <w:lang w:val="zh-CN" w:eastAsia="zh-CN" w:bidi="zh-CN"/>
      </w:rPr>
    </w:lvl>
    <w:lvl w:ilvl="3" w:tentative="0">
      <w:start w:val="0"/>
      <w:numFmt w:val="bullet"/>
      <w:lvlText w:val="•"/>
      <w:lvlJc w:val="left"/>
      <w:pPr>
        <w:ind w:left="2857" w:hanging="819"/>
      </w:pPr>
      <w:rPr>
        <w:rFonts w:hint="default"/>
        <w:lang w:val="zh-CN" w:eastAsia="zh-CN" w:bidi="zh-CN"/>
      </w:rPr>
    </w:lvl>
    <w:lvl w:ilvl="4" w:tentative="0">
      <w:start w:val="0"/>
      <w:numFmt w:val="bullet"/>
      <w:lvlText w:val="•"/>
      <w:lvlJc w:val="left"/>
      <w:pPr>
        <w:ind w:left="3730" w:hanging="819"/>
      </w:pPr>
      <w:rPr>
        <w:rFonts w:hint="default"/>
        <w:lang w:val="zh-CN" w:eastAsia="zh-CN" w:bidi="zh-CN"/>
      </w:rPr>
    </w:lvl>
    <w:lvl w:ilvl="5" w:tentative="0">
      <w:start w:val="0"/>
      <w:numFmt w:val="bullet"/>
      <w:lvlText w:val="•"/>
      <w:lvlJc w:val="left"/>
      <w:pPr>
        <w:ind w:left="4603" w:hanging="819"/>
      </w:pPr>
      <w:rPr>
        <w:rFonts w:hint="default"/>
        <w:lang w:val="zh-CN" w:eastAsia="zh-CN" w:bidi="zh-CN"/>
      </w:rPr>
    </w:lvl>
    <w:lvl w:ilvl="6" w:tentative="0">
      <w:start w:val="0"/>
      <w:numFmt w:val="bullet"/>
      <w:lvlText w:val="•"/>
      <w:lvlJc w:val="left"/>
      <w:pPr>
        <w:ind w:left="5475" w:hanging="819"/>
      </w:pPr>
      <w:rPr>
        <w:rFonts w:hint="default"/>
        <w:lang w:val="zh-CN" w:eastAsia="zh-CN" w:bidi="zh-CN"/>
      </w:rPr>
    </w:lvl>
    <w:lvl w:ilvl="7" w:tentative="0">
      <w:start w:val="0"/>
      <w:numFmt w:val="bullet"/>
      <w:lvlText w:val="•"/>
      <w:lvlJc w:val="left"/>
      <w:pPr>
        <w:ind w:left="6348" w:hanging="819"/>
      </w:pPr>
      <w:rPr>
        <w:rFonts w:hint="default"/>
        <w:lang w:val="zh-CN" w:eastAsia="zh-CN" w:bidi="zh-CN"/>
      </w:rPr>
    </w:lvl>
    <w:lvl w:ilvl="8" w:tentative="0">
      <w:start w:val="0"/>
      <w:numFmt w:val="bullet"/>
      <w:lvlText w:val="•"/>
      <w:lvlJc w:val="left"/>
      <w:pPr>
        <w:ind w:left="7220" w:hanging="819"/>
      </w:pPr>
      <w:rPr>
        <w:rFonts w:hint="default"/>
        <w:lang w:val="zh-CN" w:eastAsia="zh-CN" w:bidi="zh-CN"/>
      </w:rPr>
    </w:lvl>
  </w:abstractNum>
  <w:abstractNum w:abstractNumId="3">
    <w:nsid w:val="DCBA6B53"/>
    <w:multiLevelType w:val="multilevel"/>
    <w:tmpl w:val="DCBA6B53"/>
    <w:lvl w:ilvl="0" w:tentative="0">
      <w:start w:val="4"/>
      <w:numFmt w:val="decimal"/>
      <w:lvlText w:val="%1"/>
      <w:lvlJc w:val="left"/>
      <w:pPr>
        <w:ind w:left="480" w:hanging="240"/>
        <w:jc w:val="left"/>
      </w:pPr>
      <w:rPr>
        <w:rFonts w:hint="default" w:ascii="仿宋" w:hAnsi="仿宋" w:eastAsia="仿宋" w:cs="仿宋"/>
        <w:w w:val="99"/>
        <w:sz w:val="32"/>
        <w:szCs w:val="32"/>
        <w:lang w:val="zh-CN" w:eastAsia="zh-CN" w:bidi="zh-CN"/>
      </w:rPr>
    </w:lvl>
    <w:lvl w:ilvl="1" w:tentative="0">
      <w:start w:val="1"/>
      <w:numFmt w:val="decimal"/>
      <w:lvlText w:val="%2."/>
      <w:lvlJc w:val="left"/>
      <w:pPr>
        <w:ind w:left="240" w:hanging="322"/>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1200" w:hanging="322"/>
      </w:pPr>
      <w:rPr>
        <w:rFonts w:hint="default"/>
        <w:lang w:val="zh-CN" w:eastAsia="zh-CN" w:bidi="zh-CN"/>
      </w:rPr>
    </w:lvl>
    <w:lvl w:ilvl="3" w:tentative="0">
      <w:start w:val="0"/>
      <w:numFmt w:val="bullet"/>
      <w:lvlText w:val="•"/>
      <w:lvlJc w:val="left"/>
      <w:pPr>
        <w:ind w:left="2170" w:hanging="322"/>
      </w:pPr>
      <w:rPr>
        <w:rFonts w:hint="default"/>
        <w:lang w:val="zh-CN" w:eastAsia="zh-CN" w:bidi="zh-CN"/>
      </w:rPr>
    </w:lvl>
    <w:lvl w:ilvl="4" w:tentative="0">
      <w:start w:val="0"/>
      <w:numFmt w:val="bullet"/>
      <w:lvlText w:val="•"/>
      <w:lvlJc w:val="left"/>
      <w:pPr>
        <w:ind w:left="3141" w:hanging="322"/>
      </w:pPr>
      <w:rPr>
        <w:rFonts w:hint="default"/>
        <w:lang w:val="zh-CN" w:eastAsia="zh-CN" w:bidi="zh-CN"/>
      </w:rPr>
    </w:lvl>
    <w:lvl w:ilvl="5" w:tentative="0">
      <w:start w:val="0"/>
      <w:numFmt w:val="bullet"/>
      <w:lvlText w:val="•"/>
      <w:lvlJc w:val="left"/>
      <w:pPr>
        <w:ind w:left="4112" w:hanging="322"/>
      </w:pPr>
      <w:rPr>
        <w:rFonts w:hint="default"/>
        <w:lang w:val="zh-CN" w:eastAsia="zh-CN" w:bidi="zh-CN"/>
      </w:rPr>
    </w:lvl>
    <w:lvl w:ilvl="6" w:tentative="0">
      <w:start w:val="0"/>
      <w:numFmt w:val="bullet"/>
      <w:lvlText w:val="•"/>
      <w:lvlJc w:val="left"/>
      <w:pPr>
        <w:ind w:left="5083" w:hanging="322"/>
      </w:pPr>
      <w:rPr>
        <w:rFonts w:hint="default"/>
        <w:lang w:val="zh-CN" w:eastAsia="zh-CN" w:bidi="zh-CN"/>
      </w:rPr>
    </w:lvl>
    <w:lvl w:ilvl="7" w:tentative="0">
      <w:start w:val="0"/>
      <w:numFmt w:val="bullet"/>
      <w:lvlText w:val="•"/>
      <w:lvlJc w:val="left"/>
      <w:pPr>
        <w:ind w:left="6053" w:hanging="322"/>
      </w:pPr>
      <w:rPr>
        <w:rFonts w:hint="default"/>
        <w:lang w:val="zh-CN" w:eastAsia="zh-CN" w:bidi="zh-CN"/>
      </w:rPr>
    </w:lvl>
    <w:lvl w:ilvl="8" w:tentative="0">
      <w:start w:val="0"/>
      <w:numFmt w:val="bullet"/>
      <w:lvlText w:val="•"/>
      <w:lvlJc w:val="left"/>
      <w:pPr>
        <w:ind w:left="7024" w:hanging="322"/>
      </w:pPr>
      <w:rPr>
        <w:rFonts w:hint="default"/>
        <w:lang w:val="zh-CN" w:eastAsia="zh-CN" w:bidi="zh-CN"/>
      </w:rPr>
    </w:lvl>
  </w:abstractNum>
  <w:abstractNum w:abstractNumId="4">
    <w:nsid w:val="E503D750"/>
    <w:multiLevelType w:val="singleLevel"/>
    <w:tmpl w:val="E503D750"/>
    <w:lvl w:ilvl="0" w:tentative="0">
      <w:start w:val="8"/>
      <w:numFmt w:val="chineseCounting"/>
      <w:suff w:val="nothing"/>
      <w:lvlText w:val="%1、"/>
      <w:lvlJc w:val="left"/>
      <w:rPr>
        <w:rFonts w:hint="eastAsia"/>
      </w:rPr>
    </w:lvl>
  </w:abstractNum>
  <w:abstractNum w:abstractNumId="5">
    <w:nsid w:val="F4B5D9F5"/>
    <w:multiLevelType w:val="multilevel"/>
    <w:tmpl w:val="F4B5D9F5"/>
    <w:lvl w:ilvl="0" w:tentative="0">
      <w:start w:val="314"/>
      <w:numFmt w:val="decimal"/>
      <w:lvlText w:val="%1"/>
      <w:lvlJc w:val="left"/>
      <w:pPr>
        <w:ind w:left="1279" w:hanging="1040"/>
        <w:jc w:val="left"/>
      </w:pPr>
      <w:rPr>
        <w:rFonts w:hint="default"/>
        <w:lang w:val="zh-CN" w:eastAsia="zh-CN" w:bidi="zh-CN"/>
      </w:rPr>
    </w:lvl>
    <w:lvl w:ilvl="1" w:tentative="0">
      <w:start w:val="61"/>
      <w:numFmt w:val="decimal"/>
      <w:lvlText w:val="%1.%2"/>
      <w:lvlJc w:val="left"/>
      <w:pPr>
        <w:ind w:left="1279" w:hanging="1040"/>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240" w:hanging="322"/>
        <w:jc w:val="righ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2988" w:hanging="322"/>
      </w:pPr>
      <w:rPr>
        <w:rFonts w:hint="default"/>
        <w:lang w:val="zh-CN" w:eastAsia="zh-CN" w:bidi="zh-CN"/>
      </w:rPr>
    </w:lvl>
    <w:lvl w:ilvl="4" w:tentative="0">
      <w:start w:val="0"/>
      <w:numFmt w:val="bullet"/>
      <w:lvlText w:val="•"/>
      <w:lvlJc w:val="left"/>
      <w:pPr>
        <w:ind w:left="3842" w:hanging="322"/>
      </w:pPr>
      <w:rPr>
        <w:rFonts w:hint="default"/>
        <w:lang w:val="zh-CN" w:eastAsia="zh-CN" w:bidi="zh-CN"/>
      </w:rPr>
    </w:lvl>
    <w:lvl w:ilvl="5" w:tentative="0">
      <w:start w:val="0"/>
      <w:numFmt w:val="bullet"/>
      <w:lvlText w:val="•"/>
      <w:lvlJc w:val="left"/>
      <w:pPr>
        <w:ind w:left="4696" w:hanging="322"/>
      </w:pPr>
      <w:rPr>
        <w:rFonts w:hint="default"/>
        <w:lang w:val="zh-CN" w:eastAsia="zh-CN" w:bidi="zh-CN"/>
      </w:rPr>
    </w:lvl>
    <w:lvl w:ilvl="6" w:tentative="0">
      <w:start w:val="0"/>
      <w:numFmt w:val="bullet"/>
      <w:lvlText w:val="•"/>
      <w:lvlJc w:val="left"/>
      <w:pPr>
        <w:ind w:left="5550" w:hanging="322"/>
      </w:pPr>
      <w:rPr>
        <w:rFonts w:hint="default"/>
        <w:lang w:val="zh-CN" w:eastAsia="zh-CN" w:bidi="zh-CN"/>
      </w:rPr>
    </w:lvl>
    <w:lvl w:ilvl="7" w:tentative="0">
      <w:start w:val="0"/>
      <w:numFmt w:val="bullet"/>
      <w:lvlText w:val="•"/>
      <w:lvlJc w:val="left"/>
      <w:pPr>
        <w:ind w:left="6404" w:hanging="322"/>
      </w:pPr>
      <w:rPr>
        <w:rFonts w:hint="default"/>
        <w:lang w:val="zh-CN" w:eastAsia="zh-CN" w:bidi="zh-CN"/>
      </w:rPr>
    </w:lvl>
    <w:lvl w:ilvl="8" w:tentative="0">
      <w:start w:val="0"/>
      <w:numFmt w:val="bullet"/>
      <w:lvlText w:val="•"/>
      <w:lvlJc w:val="left"/>
      <w:pPr>
        <w:ind w:left="7258" w:hanging="322"/>
      </w:pPr>
      <w:rPr>
        <w:rFonts w:hint="default"/>
        <w:lang w:val="zh-CN" w:eastAsia="zh-CN" w:bidi="zh-CN"/>
      </w:rPr>
    </w:lvl>
  </w:abstractNum>
  <w:abstractNum w:abstractNumId="6">
    <w:nsid w:val="0E640482"/>
    <w:multiLevelType w:val="multilevel"/>
    <w:tmpl w:val="0E640482"/>
    <w:lvl w:ilvl="0" w:tentative="0">
      <w:start w:val="1"/>
      <w:numFmt w:val="decimal"/>
      <w:lvlText w:val="（%1）"/>
      <w:lvlJc w:val="left"/>
      <w:pPr>
        <w:ind w:left="16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408" w:hanging="800"/>
      </w:pPr>
      <w:rPr>
        <w:rFonts w:hint="default"/>
        <w:lang w:val="zh-CN" w:eastAsia="zh-CN" w:bidi="zh-CN"/>
      </w:rPr>
    </w:lvl>
    <w:lvl w:ilvl="2" w:tentative="0">
      <w:start w:val="0"/>
      <w:numFmt w:val="bullet"/>
      <w:lvlText w:val="•"/>
      <w:lvlJc w:val="left"/>
      <w:pPr>
        <w:ind w:left="3137" w:hanging="800"/>
      </w:pPr>
      <w:rPr>
        <w:rFonts w:hint="default"/>
        <w:lang w:val="zh-CN" w:eastAsia="zh-CN" w:bidi="zh-CN"/>
      </w:rPr>
    </w:lvl>
    <w:lvl w:ilvl="3" w:tentative="0">
      <w:start w:val="0"/>
      <w:numFmt w:val="bullet"/>
      <w:lvlText w:val="•"/>
      <w:lvlJc w:val="left"/>
      <w:pPr>
        <w:ind w:left="3865" w:hanging="800"/>
      </w:pPr>
      <w:rPr>
        <w:rFonts w:hint="default"/>
        <w:lang w:val="zh-CN" w:eastAsia="zh-CN" w:bidi="zh-CN"/>
      </w:rPr>
    </w:lvl>
    <w:lvl w:ilvl="4" w:tentative="0">
      <w:start w:val="0"/>
      <w:numFmt w:val="bullet"/>
      <w:lvlText w:val="•"/>
      <w:lvlJc w:val="left"/>
      <w:pPr>
        <w:ind w:left="4594" w:hanging="800"/>
      </w:pPr>
      <w:rPr>
        <w:rFonts w:hint="default"/>
        <w:lang w:val="zh-CN" w:eastAsia="zh-CN" w:bidi="zh-CN"/>
      </w:rPr>
    </w:lvl>
    <w:lvl w:ilvl="5" w:tentative="0">
      <w:start w:val="0"/>
      <w:numFmt w:val="bullet"/>
      <w:lvlText w:val="•"/>
      <w:lvlJc w:val="left"/>
      <w:pPr>
        <w:ind w:left="5323" w:hanging="800"/>
      </w:pPr>
      <w:rPr>
        <w:rFonts w:hint="default"/>
        <w:lang w:val="zh-CN" w:eastAsia="zh-CN" w:bidi="zh-CN"/>
      </w:rPr>
    </w:lvl>
    <w:lvl w:ilvl="6" w:tentative="0">
      <w:start w:val="0"/>
      <w:numFmt w:val="bullet"/>
      <w:lvlText w:val="•"/>
      <w:lvlJc w:val="left"/>
      <w:pPr>
        <w:ind w:left="6051" w:hanging="800"/>
      </w:pPr>
      <w:rPr>
        <w:rFonts w:hint="default"/>
        <w:lang w:val="zh-CN" w:eastAsia="zh-CN" w:bidi="zh-CN"/>
      </w:rPr>
    </w:lvl>
    <w:lvl w:ilvl="7" w:tentative="0">
      <w:start w:val="0"/>
      <w:numFmt w:val="bullet"/>
      <w:lvlText w:val="•"/>
      <w:lvlJc w:val="left"/>
      <w:pPr>
        <w:ind w:left="6780" w:hanging="800"/>
      </w:pPr>
      <w:rPr>
        <w:rFonts w:hint="default"/>
        <w:lang w:val="zh-CN" w:eastAsia="zh-CN" w:bidi="zh-CN"/>
      </w:rPr>
    </w:lvl>
    <w:lvl w:ilvl="8" w:tentative="0">
      <w:start w:val="0"/>
      <w:numFmt w:val="bullet"/>
      <w:lvlText w:val="•"/>
      <w:lvlJc w:val="left"/>
      <w:pPr>
        <w:ind w:left="7508" w:hanging="800"/>
      </w:pPr>
      <w:rPr>
        <w:rFonts w:hint="default"/>
        <w:lang w:val="zh-CN" w:eastAsia="zh-CN" w:bidi="zh-CN"/>
      </w:rPr>
    </w:lvl>
  </w:abstractNum>
  <w:abstractNum w:abstractNumId="7">
    <w:nsid w:val="2470EC97"/>
    <w:multiLevelType w:val="multilevel"/>
    <w:tmpl w:val="2470EC97"/>
    <w:lvl w:ilvl="0" w:tentative="0">
      <w:start w:val="9"/>
      <w:numFmt w:val="decimal"/>
      <w:lvlText w:val="%1."/>
      <w:lvlJc w:val="left"/>
      <w:pPr>
        <w:ind w:left="24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12" w:hanging="320"/>
      </w:pPr>
      <w:rPr>
        <w:rFonts w:hint="default"/>
        <w:lang w:val="zh-CN" w:eastAsia="zh-CN" w:bidi="zh-CN"/>
      </w:rPr>
    </w:lvl>
    <w:lvl w:ilvl="2" w:tentative="0">
      <w:start w:val="0"/>
      <w:numFmt w:val="bullet"/>
      <w:lvlText w:val="•"/>
      <w:lvlJc w:val="left"/>
      <w:pPr>
        <w:ind w:left="1985" w:hanging="320"/>
      </w:pPr>
      <w:rPr>
        <w:rFonts w:hint="default"/>
        <w:lang w:val="zh-CN" w:eastAsia="zh-CN" w:bidi="zh-CN"/>
      </w:rPr>
    </w:lvl>
    <w:lvl w:ilvl="3" w:tentative="0">
      <w:start w:val="0"/>
      <w:numFmt w:val="bullet"/>
      <w:lvlText w:val="•"/>
      <w:lvlJc w:val="left"/>
      <w:pPr>
        <w:ind w:left="2857" w:hanging="320"/>
      </w:pPr>
      <w:rPr>
        <w:rFonts w:hint="default"/>
        <w:lang w:val="zh-CN" w:eastAsia="zh-CN" w:bidi="zh-CN"/>
      </w:rPr>
    </w:lvl>
    <w:lvl w:ilvl="4" w:tentative="0">
      <w:start w:val="0"/>
      <w:numFmt w:val="bullet"/>
      <w:lvlText w:val="•"/>
      <w:lvlJc w:val="left"/>
      <w:pPr>
        <w:ind w:left="3730" w:hanging="320"/>
      </w:pPr>
      <w:rPr>
        <w:rFonts w:hint="default"/>
        <w:lang w:val="zh-CN" w:eastAsia="zh-CN" w:bidi="zh-CN"/>
      </w:rPr>
    </w:lvl>
    <w:lvl w:ilvl="5" w:tentative="0">
      <w:start w:val="0"/>
      <w:numFmt w:val="bullet"/>
      <w:lvlText w:val="•"/>
      <w:lvlJc w:val="left"/>
      <w:pPr>
        <w:ind w:left="4603" w:hanging="320"/>
      </w:pPr>
      <w:rPr>
        <w:rFonts w:hint="default"/>
        <w:lang w:val="zh-CN" w:eastAsia="zh-CN" w:bidi="zh-CN"/>
      </w:rPr>
    </w:lvl>
    <w:lvl w:ilvl="6" w:tentative="0">
      <w:start w:val="0"/>
      <w:numFmt w:val="bullet"/>
      <w:lvlText w:val="•"/>
      <w:lvlJc w:val="left"/>
      <w:pPr>
        <w:ind w:left="5475" w:hanging="320"/>
      </w:pPr>
      <w:rPr>
        <w:rFonts w:hint="default"/>
        <w:lang w:val="zh-CN" w:eastAsia="zh-CN" w:bidi="zh-CN"/>
      </w:rPr>
    </w:lvl>
    <w:lvl w:ilvl="7" w:tentative="0">
      <w:start w:val="0"/>
      <w:numFmt w:val="bullet"/>
      <w:lvlText w:val="•"/>
      <w:lvlJc w:val="left"/>
      <w:pPr>
        <w:ind w:left="6348" w:hanging="320"/>
      </w:pPr>
      <w:rPr>
        <w:rFonts w:hint="default"/>
        <w:lang w:val="zh-CN" w:eastAsia="zh-CN" w:bidi="zh-CN"/>
      </w:rPr>
    </w:lvl>
    <w:lvl w:ilvl="8" w:tentative="0">
      <w:start w:val="0"/>
      <w:numFmt w:val="bullet"/>
      <w:lvlText w:val="•"/>
      <w:lvlJc w:val="left"/>
      <w:pPr>
        <w:ind w:left="7220" w:hanging="320"/>
      </w:pPr>
      <w:rPr>
        <w:rFonts w:hint="default"/>
        <w:lang w:val="zh-CN" w:eastAsia="zh-CN" w:bidi="zh-CN"/>
      </w:rPr>
    </w:lvl>
  </w:abstractNum>
  <w:abstractNum w:abstractNumId="8">
    <w:nsid w:val="4C1BAE26"/>
    <w:multiLevelType w:val="multilevel"/>
    <w:tmpl w:val="4C1BAE26"/>
    <w:lvl w:ilvl="0" w:tentative="0">
      <w:start w:val="1"/>
      <w:numFmt w:val="decimal"/>
      <w:lvlText w:val="（%1）"/>
      <w:lvlJc w:val="left"/>
      <w:pPr>
        <w:ind w:left="16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408" w:hanging="800"/>
      </w:pPr>
      <w:rPr>
        <w:rFonts w:hint="default"/>
        <w:lang w:val="zh-CN" w:eastAsia="zh-CN" w:bidi="zh-CN"/>
      </w:rPr>
    </w:lvl>
    <w:lvl w:ilvl="2" w:tentative="0">
      <w:start w:val="0"/>
      <w:numFmt w:val="bullet"/>
      <w:lvlText w:val="•"/>
      <w:lvlJc w:val="left"/>
      <w:pPr>
        <w:ind w:left="3137" w:hanging="800"/>
      </w:pPr>
      <w:rPr>
        <w:rFonts w:hint="default"/>
        <w:lang w:val="zh-CN" w:eastAsia="zh-CN" w:bidi="zh-CN"/>
      </w:rPr>
    </w:lvl>
    <w:lvl w:ilvl="3" w:tentative="0">
      <w:start w:val="0"/>
      <w:numFmt w:val="bullet"/>
      <w:lvlText w:val="•"/>
      <w:lvlJc w:val="left"/>
      <w:pPr>
        <w:ind w:left="3865" w:hanging="800"/>
      </w:pPr>
      <w:rPr>
        <w:rFonts w:hint="default"/>
        <w:lang w:val="zh-CN" w:eastAsia="zh-CN" w:bidi="zh-CN"/>
      </w:rPr>
    </w:lvl>
    <w:lvl w:ilvl="4" w:tentative="0">
      <w:start w:val="0"/>
      <w:numFmt w:val="bullet"/>
      <w:lvlText w:val="•"/>
      <w:lvlJc w:val="left"/>
      <w:pPr>
        <w:ind w:left="4594" w:hanging="800"/>
      </w:pPr>
      <w:rPr>
        <w:rFonts w:hint="default"/>
        <w:lang w:val="zh-CN" w:eastAsia="zh-CN" w:bidi="zh-CN"/>
      </w:rPr>
    </w:lvl>
    <w:lvl w:ilvl="5" w:tentative="0">
      <w:start w:val="0"/>
      <w:numFmt w:val="bullet"/>
      <w:lvlText w:val="•"/>
      <w:lvlJc w:val="left"/>
      <w:pPr>
        <w:ind w:left="5323" w:hanging="800"/>
      </w:pPr>
      <w:rPr>
        <w:rFonts w:hint="default"/>
        <w:lang w:val="zh-CN" w:eastAsia="zh-CN" w:bidi="zh-CN"/>
      </w:rPr>
    </w:lvl>
    <w:lvl w:ilvl="6" w:tentative="0">
      <w:start w:val="0"/>
      <w:numFmt w:val="bullet"/>
      <w:lvlText w:val="•"/>
      <w:lvlJc w:val="left"/>
      <w:pPr>
        <w:ind w:left="6051" w:hanging="800"/>
      </w:pPr>
      <w:rPr>
        <w:rFonts w:hint="default"/>
        <w:lang w:val="zh-CN" w:eastAsia="zh-CN" w:bidi="zh-CN"/>
      </w:rPr>
    </w:lvl>
    <w:lvl w:ilvl="7" w:tentative="0">
      <w:start w:val="0"/>
      <w:numFmt w:val="bullet"/>
      <w:lvlText w:val="•"/>
      <w:lvlJc w:val="left"/>
      <w:pPr>
        <w:ind w:left="6780" w:hanging="800"/>
      </w:pPr>
      <w:rPr>
        <w:rFonts w:hint="default"/>
        <w:lang w:val="zh-CN" w:eastAsia="zh-CN" w:bidi="zh-CN"/>
      </w:rPr>
    </w:lvl>
    <w:lvl w:ilvl="8" w:tentative="0">
      <w:start w:val="0"/>
      <w:numFmt w:val="bullet"/>
      <w:lvlText w:val="•"/>
      <w:lvlJc w:val="left"/>
      <w:pPr>
        <w:ind w:left="7508" w:hanging="800"/>
      </w:pPr>
      <w:rPr>
        <w:rFonts w:hint="default"/>
        <w:lang w:val="zh-CN" w:eastAsia="zh-CN" w:bidi="zh-CN"/>
      </w:rPr>
    </w:lvl>
  </w:abstractNum>
  <w:abstractNum w:abstractNumId="9">
    <w:nsid w:val="4D4DC07F"/>
    <w:multiLevelType w:val="multilevel"/>
    <w:tmpl w:val="4D4DC07F"/>
    <w:lvl w:ilvl="0" w:tentative="0">
      <w:start w:val="1"/>
      <w:numFmt w:val="decimal"/>
      <w:lvlText w:val="%1."/>
      <w:lvlJc w:val="left"/>
      <w:pPr>
        <w:ind w:left="240" w:hanging="620"/>
        <w:jc w:val="left"/>
      </w:pPr>
      <w:rPr>
        <w:rFonts w:hint="default"/>
        <w:spacing w:val="0"/>
        <w:w w:val="99"/>
        <w:lang w:val="zh-CN" w:eastAsia="zh-CN" w:bidi="zh-CN"/>
      </w:rPr>
    </w:lvl>
    <w:lvl w:ilvl="1" w:tentative="0">
      <w:start w:val="0"/>
      <w:numFmt w:val="bullet"/>
      <w:lvlText w:val="•"/>
      <w:lvlJc w:val="left"/>
      <w:pPr>
        <w:ind w:left="1112" w:hanging="620"/>
      </w:pPr>
      <w:rPr>
        <w:rFonts w:hint="default"/>
        <w:lang w:val="zh-CN" w:eastAsia="zh-CN" w:bidi="zh-CN"/>
      </w:rPr>
    </w:lvl>
    <w:lvl w:ilvl="2" w:tentative="0">
      <w:start w:val="0"/>
      <w:numFmt w:val="bullet"/>
      <w:lvlText w:val="•"/>
      <w:lvlJc w:val="left"/>
      <w:pPr>
        <w:ind w:left="1985" w:hanging="620"/>
      </w:pPr>
      <w:rPr>
        <w:rFonts w:hint="default"/>
        <w:lang w:val="zh-CN" w:eastAsia="zh-CN" w:bidi="zh-CN"/>
      </w:rPr>
    </w:lvl>
    <w:lvl w:ilvl="3" w:tentative="0">
      <w:start w:val="0"/>
      <w:numFmt w:val="bullet"/>
      <w:lvlText w:val="•"/>
      <w:lvlJc w:val="left"/>
      <w:pPr>
        <w:ind w:left="2857" w:hanging="620"/>
      </w:pPr>
      <w:rPr>
        <w:rFonts w:hint="default"/>
        <w:lang w:val="zh-CN" w:eastAsia="zh-CN" w:bidi="zh-CN"/>
      </w:rPr>
    </w:lvl>
    <w:lvl w:ilvl="4" w:tentative="0">
      <w:start w:val="0"/>
      <w:numFmt w:val="bullet"/>
      <w:lvlText w:val="•"/>
      <w:lvlJc w:val="left"/>
      <w:pPr>
        <w:ind w:left="3730" w:hanging="620"/>
      </w:pPr>
      <w:rPr>
        <w:rFonts w:hint="default"/>
        <w:lang w:val="zh-CN" w:eastAsia="zh-CN" w:bidi="zh-CN"/>
      </w:rPr>
    </w:lvl>
    <w:lvl w:ilvl="5" w:tentative="0">
      <w:start w:val="0"/>
      <w:numFmt w:val="bullet"/>
      <w:lvlText w:val="•"/>
      <w:lvlJc w:val="left"/>
      <w:pPr>
        <w:ind w:left="4603" w:hanging="620"/>
      </w:pPr>
      <w:rPr>
        <w:rFonts w:hint="default"/>
        <w:lang w:val="zh-CN" w:eastAsia="zh-CN" w:bidi="zh-CN"/>
      </w:rPr>
    </w:lvl>
    <w:lvl w:ilvl="6" w:tentative="0">
      <w:start w:val="0"/>
      <w:numFmt w:val="bullet"/>
      <w:lvlText w:val="•"/>
      <w:lvlJc w:val="left"/>
      <w:pPr>
        <w:ind w:left="5475" w:hanging="620"/>
      </w:pPr>
      <w:rPr>
        <w:rFonts w:hint="default"/>
        <w:lang w:val="zh-CN" w:eastAsia="zh-CN" w:bidi="zh-CN"/>
      </w:rPr>
    </w:lvl>
    <w:lvl w:ilvl="7" w:tentative="0">
      <w:start w:val="0"/>
      <w:numFmt w:val="bullet"/>
      <w:lvlText w:val="•"/>
      <w:lvlJc w:val="left"/>
      <w:pPr>
        <w:ind w:left="6348" w:hanging="620"/>
      </w:pPr>
      <w:rPr>
        <w:rFonts w:hint="default"/>
        <w:lang w:val="zh-CN" w:eastAsia="zh-CN" w:bidi="zh-CN"/>
      </w:rPr>
    </w:lvl>
    <w:lvl w:ilvl="8" w:tentative="0">
      <w:start w:val="0"/>
      <w:numFmt w:val="bullet"/>
      <w:lvlText w:val="•"/>
      <w:lvlJc w:val="left"/>
      <w:pPr>
        <w:ind w:left="7220" w:hanging="620"/>
      </w:pPr>
      <w:rPr>
        <w:rFonts w:hint="default"/>
        <w:lang w:val="zh-CN" w:eastAsia="zh-CN" w:bidi="zh-CN"/>
      </w:rPr>
    </w:lvl>
  </w:abstractNum>
  <w:abstractNum w:abstractNumId="10">
    <w:nsid w:val="60382F6E"/>
    <w:multiLevelType w:val="multilevel"/>
    <w:tmpl w:val="60382F6E"/>
    <w:lvl w:ilvl="0" w:tentative="0">
      <w:start w:val="2"/>
      <w:numFmt w:val="decimal"/>
      <w:lvlText w:val="%1."/>
      <w:lvlJc w:val="left"/>
      <w:pPr>
        <w:ind w:left="1206"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76" w:hanging="322"/>
      </w:pPr>
      <w:rPr>
        <w:rFonts w:hint="default"/>
        <w:lang w:val="zh-CN" w:eastAsia="zh-CN" w:bidi="zh-CN"/>
      </w:rPr>
    </w:lvl>
    <w:lvl w:ilvl="2" w:tentative="0">
      <w:start w:val="0"/>
      <w:numFmt w:val="bullet"/>
      <w:lvlText w:val="•"/>
      <w:lvlJc w:val="left"/>
      <w:pPr>
        <w:ind w:left="2753" w:hanging="322"/>
      </w:pPr>
      <w:rPr>
        <w:rFonts w:hint="default"/>
        <w:lang w:val="zh-CN" w:eastAsia="zh-CN" w:bidi="zh-CN"/>
      </w:rPr>
    </w:lvl>
    <w:lvl w:ilvl="3" w:tentative="0">
      <w:start w:val="0"/>
      <w:numFmt w:val="bullet"/>
      <w:lvlText w:val="•"/>
      <w:lvlJc w:val="left"/>
      <w:pPr>
        <w:ind w:left="3529" w:hanging="322"/>
      </w:pPr>
      <w:rPr>
        <w:rFonts w:hint="default"/>
        <w:lang w:val="zh-CN" w:eastAsia="zh-CN" w:bidi="zh-CN"/>
      </w:rPr>
    </w:lvl>
    <w:lvl w:ilvl="4" w:tentative="0">
      <w:start w:val="0"/>
      <w:numFmt w:val="bullet"/>
      <w:lvlText w:val="•"/>
      <w:lvlJc w:val="left"/>
      <w:pPr>
        <w:ind w:left="4306" w:hanging="322"/>
      </w:pPr>
      <w:rPr>
        <w:rFonts w:hint="default"/>
        <w:lang w:val="zh-CN" w:eastAsia="zh-CN" w:bidi="zh-CN"/>
      </w:rPr>
    </w:lvl>
    <w:lvl w:ilvl="5" w:tentative="0">
      <w:start w:val="0"/>
      <w:numFmt w:val="bullet"/>
      <w:lvlText w:val="•"/>
      <w:lvlJc w:val="left"/>
      <w:pPr>
        <w:ind w:left="5083" w:hanging="322"/>
      </w:pPr>
      <w:rPr>
        <w:rFonts w:hint="default"/>
        <w:lang w:val="zh-CN" w:eastAsia="zh-CN" w:bidi="zh-CN"/>
      </w:rPr>
    </w:lvl>
    <w:lvl w:ilvl="6" w:tentative="0">
      <w:start w:val="0"/>
      <w:numFmt w:val="bullet"/>
      <w:lvlText w:val="•"/>
      <w:lvlJc w:val="left"/>
      <w:pPr>
        <w:ind w:left="5859" w:hanging="322"/>
      </w:pPr>
      <w:rPr>
        <w:rFonts w:hint="default"/>
        <w:lang w:val="zh-CN" w:eastAsia="zh-CN" w:bidi="zh-CN"/>
      </w:rPr>
    </w:lvl>
    <w:lvl w:ilvl="7" w:tentative="0">
      <w:start w:val="0"/>
      <w:numFmt w:val="bullet"/>
      <w:lvlText w:val="•"/>
      <w:lvlJc w:val="left"/>
      <w:pPr>
        <w:ind w:left="6636" w:hanging="322"/>
      </w:pPr>
      <w:rPr>
        <w:rFonts w:hint="default"/>
        <w:lang w:val="zh-CN" w:eastAsia="zh-CN" w:bidi="zh-CN"/>
      </w:rPr>
    </w:lvl>
    <w:lvl w:ilvl="8" w:tentative="0">
      <w:start w:val="0"/>
      <w:numFmt w:val="bullet"/>
      <w:lvlText w:val="•"/>
      <w:lvlJc w:val="left"/>
      <w:pPr>
        <w:ind w:left="7412" w:hanging="322"/>
      </w:pPr>
      <w:rPr>
        <w:rFonts w:hint="default"/>
        <w:lang w:val="zh-CN" w:eastAsia="zh-CN" w:bidi="zh-CN"/>
      </w:rPr>
    </w:lvl>
  </w:abstractNum>
  <w:num w:numId="1">
    <w:abstractNumId w:val="1"/>
  </w:num>
  <w:num w:numId="2">
    <w:abstractNumId w:val="9"/>
  </w:num>
  <w:num w:numId="3">
    <w:abstractNumId w:val="4"/>
  </w:num>
  <w:num w:numId="4">
    <w:abstractNumId w:val="5"/>
  </w:num>
  <w:num w:numId="5">
    <w:abstractNumId w:val="7"/>
  </w:num>
  <w:num w:numId="6">
    <w:abstractNumId w:val="3"/>
  </w:num>
  <w:num w:numId="7">
    <w:abstractNumId w:val="2"/>
  </w:num>
  <w:num w:numId="8">
    <w:abstractNumId w:val="0"/>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36700B1"/>
    <w:rsid w:val="05D05E9C"/>
    <w:rsid w:val="1D8E6D11"/>
    <w:rsid w:val="44D1658F"/>
    <w:rsid w:val="4EC92025"/>
    <w:rsid w:val="58C80682"/>
    <w:rsid w:val="74794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9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190"/>
      <w:ind w:left="880"/>
      <w:outlineLvl w:val="2"/>
    </w:pPr>
    <w:rPr>
      <w:rFonts w:ascii="仿宋" w:hAnsi="仿宋" w:eastAsia="仿宋" w:cs="仿宋"/>
      <w:b/>
      <w:bCs/>
      <w:sz w:val="32"/>
      <w:szCs w:val="32"/>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90"/>
      <w:ind w:left="240"/>
    </w:pPr>
    <w:rPr>
      <w:rFonts w:ascii="仿宋" w:hAnsi="仿宋" w:eastAsia="仿宋" w:cs="仿宋"/>
      <w:sz w:val="32"/>
      <w:szCs w:val="32"/>
      <w:lang w:val="zh-CN" w:eastAsia="zh-CN" w:bidi="zh-CN"/>
    </w:rPr>
  </w:style>
  <w:style w:type="paragraph" w:styleId="5">
    <w:name w:val="toc 1"/>
    <w:basedOn w:val="1"/>
    <w:next w:val="1"/>
    <w:qFormat/>
    <w:uiPriority w:val="1"/>
    <w:pPr>
      <w:spacing w:before="265"/>
      <w:ind w:right="428"/>
      <w:jc w:val="right"/>
    </w:pPr>
    <w:rPr>
      <w:rFonts w:ascii="仿宋" w:hAnsi="仿宋" w:eastAsia="仿宋" w:cs="仿宋"/>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240" w:firstLine="645"/>
    </w:pPr>
    <w:rPr>
      <w:rFonts w:ascii="仿宋" w:hAnsi="仿宋" w:eastAsia="仿宋" w:cs="仿宋"/>
      <w:lang w:val="zh-CN" w:eastAsia="zh-CN" w:bidi="zh-CN"/>
    </w:rPr>
  </w:style>
  <w:style w:type="paragraph" w:customStyle="1" w:styleId="10">
    <w:name w:val="Table Paragraph"/>
    <w:basedOn w:val="1"/>
    <w:qFormat/>
    <w:uiPriority w:val="1"/>
    <w:pPr>
      <w:spacing w:before="63"/>
      <w:ind w:left="192" w:right="18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12188</Words>
  <Characters>13028</Characters>
  <TotalTime>9</TotalTime>
  <ScaleCrop>false</ScaleCrop>
  <LinksUpToDate>false</LinksUpToDate>
  <CharactersWithSpaces>13824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2021-05-23T07:03:00Z</dcterms:created>
  <dc:creator>张彬茜</dc:creator>
  <cp:lastModifiedBy>昭化融媒体</cp:lastModifiedBy>
  <dcterms:modified xsi:type="dcterms:W3CDTF">2024-12-05T02:17:02Z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WPS 文字</vt:lpwstr>
  </property>
  <property fmtid="{D5CDD505-2E9C-101B-9397-08002B2CF9AE}" pid="4" name="LastSaved">
    <vt:filetime>2021-05-23T00:00:00Z</vt:filetime>
  </property>
  <property fmtid="{D5CDD505-2E9C-101B-9397-08002B2CF9AE}" pid="5" name="KSOProductBuildVer">
    <vt:lpwstr>2052-12.1.0.18372</vt:lpwstr>
  </property>
  <property fmtid="{D5CDD505-2E9C-101B-9397-08002B2CF9AE}" pid="6" name="ICV">
    <vt:lpwstr>BE7E35E355AA4F849F29E1E8D846B38C_12</vt:lpwstr>
  </property>
</Properties>
</file>