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883AF0">
      <w:pPr>
        <w:keepNext w:val="0"/>
        <w:keepLines w:val="0"/>
        <w:pageBreakBefore w:val="0"/>
        <w:kinsoku/>
        <w:wordWrap/>
        <w:overflowPunct/>
        <w:topLinePunct w:val="0"/>
        <w:autoSpaceDE/>
        <w:autoSpaceDN/>
        <w:bidi w:val="0"/>
        <w:adjustRightInd/>
        <w:spacing w:line="576" w:lineRule="exact"/>
        <w:ind w:left="0" w:leftChars="0" w:right="0" w:rightChars="0"/>
        <w:textAlignment w:val="auto"/>
        <w:rPr>
          <w:rFonts w:hint="eastAsia" w:ascii="黑体" w:hAnsi="Calibri" w:eastAsia="黑体"/>
          <w:b w:val="0"/>
          <w:bCs w:val="0"/>
          <w:color w:val="auto"/>
          <w:sz w:val="32"/>
          <w:szCs w:val="32"/>
        </w:rPr>
      </w:pPr>
      <w:r>
        <w:rPr>
          <w:rFonts w:hint="eastAsia" w:ascii="黑体" w:hAnsi="Calibri" w:eastAsia="黑体"/>
          <w:b w:val="0"/>
          <w:bCs w:val="0"/>
          <w:color w:val="auto"/>
          <w:sz w:val="32"/>
          <w:szCs w:val="32"/>
        </w:rPr>
        <w:t>附件1</w:t>
      </w:r>
    </w:p>
    <w:p w14:paraId="7D1CF750">
      <w:pPr>
        <w:keepNext w:val="0"/>
        <w:keepLines w:val="0"/>
        <w:pageBreakBefore w:val="0"/>
        <w:widowControl/>
        <w:kinsoku/>
        <w:wordWrap/>
        <w:overflowPunct/>
        <w:topLinePunct w:val="0"/>
        <w:autoSpaceDE/>
        <w:autoSpaceDN/>
        <w:bidi w:val="0"/>
        <w:adjustRightInd/>
        <w:snapToGrid w:val="0"/>
        <w:spacing w:line="576" w:lineRule="exact"/>
        <w:ind w:left="0" w:leftChars="0" w:right="0" w:rightChars="0"/>
        <w:jc w:val="center"/>
        <w:textAlignment w:val="auto"/>
        <w:rPr>
          <w:rFonts w:hint="eastAsia" w:ascii="方正小标宋简体" w:hAnsi="宋体" w:eastAsia="方正小标宋简体" w:cs="宋体"/>
          <w:color w:val="auto"/>
          <w:kern w:val="0"/>
          <w:sz w:val="44"/>
          <w:szCs w:val="52"/>
        </w:rPr>
      </w:pPr>
      <w:r>
        <w:rPr>
          <w:rFonts w:hint="eastAsia" w:ascii="方正小标宋简体" w:hAnsi="宋体" w:eastAsia="方正小标宋简体" w:cs="宋体"/>
          <w:color w:val="auto"/>
          <w:kern w:val="0"/>
          <w:sz w:val="44"/>
          <w:szCs w:val="52"/>
        </w:rPr>
        <w:t>行政执法主体</w:t>
      </w:r>
      <w:r>
        <w:rPr>
          <w:rFonts w:hint="eastAsia" w:ascii="方正小标宋简体" w:hAnsi="宋体" w:eastAsia="方正小标宋简体" w:cs="宋体"/>
          <w:color w:val="auto"/>
          <w:kern w:val="0"/>
          <w:sz w:val="44"/>
          <w:szCs w:val="52"/>
          <w:lang w:eastAsia="zh-CN"/>
        </w:rPr>
        <w:t>资格清理</w:t>
      </w:r>
      <w:r>
        <w:rPr>
          <w:rFonts w:hint="eastAsia" w:ascii="方正小标宋简体" w:hAnsi="宋体" w:eastAsia="方正小标宋简体" w:cs="宋体"/>
          <w:color w:val="auto"/>
          <w:kern w:val="0"/>
          <w:sz w:val="44"/>
          <w:szCs w:val="52"/>
        </w:rPr>
        <w:t>表</w:t>
      </w:r>
    </w:p>
    <w:p w14:paraId="05B1D8B9">
      <w:pPr>
        <w:keepNext w:val="0"/>
        <w:keepLines w:val="0"/>
        <w:pageBreakBefore w:val="0"/>
        <w:widowControl/>
        <w:kinsoku/>
        <w:wordWrap/>
        <w:overflowPunct/>
        <w:topLinePunct w:val="0"/>
        <w:autoSpaceDE/>
        <w:autoSpaceDN/>
        <w:bidi w:val="0"/>
        <w:adjustRightInd/>
        <w:snapToGrid w:val="0"/>
        <w:spacing w:line="576" w:lineRule="exact"/>
        <w:ind w:left="0" w:leftChars="0" w:right="0" w:rightChars="0"/>
        <w:jc w:val="center"/>
        <w:textAlignment w:val="auto"/>
        <w:rPr>
          <w:rFonts w:hint="eastAsia" w:ascii="仿宋_GB2312" w:hAnsi="仿宋_GB2312" w:eastAsia="仿宋_GB2312" w:cs="仿宋_GB2312"/>
          <w:color w:val="auto"/>
          <w:kern w:val="0"/>
          <w:sz w:val="24"/>
          <w:szCs w:val="24"/>
          <w:lang w:eastAsia="zh-CN"/>
        </w:rPr>
      </w:pPr>
      <w:r>
        <w:rPr>
          <w:rFonts w:hint="eastAsia" w:ascii="仿宋_GB2312" w:hAnsi="仿宋_GB2312" w:eastAsia="仿宋_GB2312" w:cs="仿宋_GB2312"/>
          <w:color w:val="auto"/>
          <w:kern w:val="0"/>
          <w:sz w:val="24"/>
          <w:szCs w:val="24"/>
          <w:lang w:eastAsia="zh-CN"/>
        </w:rPr>
        <w:t>（此表由各级行政执法主体填写）</w:t>
      </w:r>
    </w:p>
    <w:p w14:paraId="02B98D63">
      <w:pPr>
        <w:keepNext w:val="0"/>
        <w:keepLines w:val="0"/>
        <w:pageBreakBefore w:val="0"/>
        <w:kinsoku/>
        <w:wordWrap/>
        <w:overflowPunct/>
        <w:topLinePunct w:val="0"/>
        <w:autoSpaceDE/>
        <w:autoSpaceDN/>
        <w:bidi w:val="0"/>
        <w:adjustRightInd/>
        <w:spacing w:line="576" w:lineRule="exact"/>
        <w:ind w:left="0" w:leftChars="0" w:right="0" w:rightChars="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填表人：</w:t>
      </w:r>
      <w:r>
        <w:rPr>
          <w:rFonts w:hint="eastAsia" w:ascii="宋体" w:hAnsi="宋体" w:eastAsia="宋体" w:cs="宋体"/>
          <w:color w:val="auto"/>
          <w:sz w:val="21"/>
          <w:szCs w:val="21"/>
          <w:lang w:eastAsia="zh-CN"/>
        </w:rPr>
        <w:t>李开彬</w:t>
      </w:r>
      <w:r>
        <w:rPr>
          <w:rFonts w:hint="eastAsia" w:ascii="宋体" w:hAnsi="宋体" w:cs="宋体"/>
          <w:color w:val="auto"/>
          <w:sz w:val="21"/>
          <w:szCs w:val="21"/>
          <w:lang w:val="en-US" w:eastAsia="zh-CN"/>
        </w:rPr>
        <w:t xml:space="preserve">        </w:t>
      </w:r>
      <w:r>
        <w:rPr>
          <w:rFonts w:hint="eastAsia" w:ascii="宋体" w:hAnsi="宋体" w:eastAsia="宋体" w:cs="宋体"/>
          <w:color w:val="auto"/>
          <w:sz w:val="21"/>
          <w:szCs w:val="21"/>
        </w:rPr>
        <w:t xml:space="preserve"> 联系电话：</w:t>
      </w:r>
      <w:r>
        <w:rPr>
          <w:rFonts w:hint="eastAsia" w:ascii="宋体" w:hAnsi="宋体" w:cs="宋体"/>
          <w:color w:val="auto"/>
          <w:sz w:val="21"/>
          <w:szCs w:val="21"/>
          <w:lang w:val="en-US" w:eastAsia="zh-CN"/>
        </w:rPr>
        <w:t xml:space="preserve">18398753613   </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 xml:space="preserve">  填表时间：</w:t>
      </w:r>
      <w:r>
        <w:rPr>
          <w:rFonts w:hint="eastAsia" w:ascii="宋体" w:hAnsi="宋体" w:cs="宋体"/>
          <w:color w:val="auto"/>
          <w:sz w:val="21"/>
          <w:szCs w:val="21"/>
          <w:lang w:val="en-US" w:eastAsia="zh-CN"/>
        </w:rPr>
        <w:t>2025</w:t>
      </w:r>
      <w:r>
        <w:rPr>
          <w:rFonts w:hint="eastAsia" w:ascii="宋体" w:hAnsi="宋体" w:eastAsia="宋体" w:cs="宋体"/>
          <w:color w:val="auto"/>
          <w:sz w:val="21"/>
          <w:szCs w:val="21"/>
        </w:rPr>
        <w:t xml:space="preserve">年 </w:t>
      </w:r>
      <w:r>
        <w:rPr>
          <w:rFonts w:hint="eastAsia" w:ascii="宋体" w:hAnsi="宋体" w:cs="宋体"/>
          <w:color w:val="auto"/>
          <w:sz w:val="21"/>
          <w:szCs w:val="21"/>
          <w:lang w:val="en-US" w:eastAsia="zh-CN"/>
        </w:rPr>
        <w:t>3</w:t>
      </w:r>
      <w:r>
        <w:rPr>
          <w:rFonts w:hint="eastAsia" w:ascii="宋体" w:hAnsi="宋体" w:eastAsia="宋体" w:cs="宋体"/>
          <w:color w:val="auto"/>
          <w:sz w:val="21"/>
          <w:szCs w:val="21"/>
        </w:rPr>
        <w:t xml:space="preserve"> 月 </w:t>
      </w:r>
      <w:r>
        <w:rPr>
          <w:rFonts w:hint="eastAsia" w:ascii="宋体" w:hAnsi="宋体" w:eastAsia="宋体" w:cs="宋体"/>
          <w:color w:val="auto"/>
          <w:sz w:val="21"/>
          <w:szCs w:val="21"/>
          <w:lang w:val="en-US" w:eastAsia="zh-CN"/>
        </w:rPr>
        <w:t>24</w:t>
      </w:r>
      <w:r>
        <w:rPr>
          <w:rFonts w:hint="eastAsia" w:ascii="宋体" w:hAnsi="宋体" w:eastAsia="宋体" w:cs="宋体"/>
          <w:color w:val="auto"/>
          <w:sz w:val="21"/>
          <w:szCs w:val="21"/>
        </w:rPr>
        <w:t xml:space="preserve"> 日</w:t>
      </w:r>
    </w:p>
    <w:tbl>
      <w:tblPr>
        <w:tblStyle w:val="6"/>
        <w:tblW w:w="942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81"/>
        <w:gridCol w:w="5476"/>
        <w:gridCol w:w="654"/>
        <w:gridCol w:w="1910"/>
      </w:tblGrid>
      <w:tr w14:paraId="460BB8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exact"/>
          <w:jc w:val="center"/>
        </w:trPr>
        <w:tc>
          <w:tcPr>
            <w:tcW w:w="1381" w:type="dxa"/>
            <w:tcBorders>
              <w:top w:val="single" w:color="auto" w:sz="8" w:space="0"/>
              <w:left w:val="single" w:color="auto" w:sz="8" w:space="0"/>
              <w:bottom w:val="single" w:color="000000" w:sz="6" w:space="0"/>
              <w:right w:val="single" w:color="000000" w:sz="6" w:space="0"/>
            </w:tcBorders>
            <w:noWrap w:val="0"/>
            <w:vAlign w:val="center"/>
          </w:tcPr>
          <w:p w14:paraId="4BBAE5B1">
            <w:pPr>
              <w:jc w:val="center"/>
              <w:rPr>
                <w:rFonts w:ascii="仿宋_GB2312" w:hAnsi="宋体" w:eastAsia="仿宋_GB2312"/>
                <w:color w:val="auto"/>
              </w:rPr>
            </w:pPr>
            <w:r>
              <w:rPr>
                <w:rFonts w:hint="eastAsia" w:ascii="仿宋_GB2312" w:hAnsi="宋体" w:eastAsia="仿宋_GB2312"/>
                <w:color w:val="auto"/>
              </w:rPr>
              <w:t>单位全称</w:t>
            </w:r>
          </w:p>
        </w:tc>
        <w:tc>
          <w:tcPr>
            <w:tcW w:w="8040" w:type="dxa"/>
            <w:gridSpan w:val="3"/>
            <w:tcBorders>
              <w:top w:val="single" w:color="auto" w:sz="8" w:space="0"/>
              <w:left w:val="single" w:color="000000" w:sz="6" w:space="0"/>
              <w:bottom w:val="single" w:color="000000" w:sz="6" w:space="0"/>
              <w:right w:val="single" w:color="auto" w:sz="8" w:space="0"/>
            </w:tcBorders>
            <w:noWrap w:val="0"/>
            <w:vAlign w:val="center"/>
          </w:tcPr>
          <w:p w14:paraId="1460D8C1">
            <w:pPr>
              <w:spacing w:line="260" w:lineRule="exact"/>
              <w:jc w:val="center"/>
              <w:rPr>
                <w:rFonts w:ascii="仿宋_GB2312" w:hAnsi="宋体" w:eastAsia="仿宋_GB2312"/>
                <w:color w:val="auto"/>
              </w:rPr>
            </w:pPr>
            <w:r>
              <w:rPr>
                <w:rFonts w:hint="eastAsia" w:ascii="宋体" w:hAnsi="宋体" w:cs="宋体"/>
                <w:color w:val="auto"/>
                <w:sz w:val="21"/>
                <w:szCs w:val="21"/>
                <w:lang w:eastAsia="zh-CN"/>
              </w:rPr>
              <w:t>广元市昭化区柏林沟镇人民政府</w:t>
            </w:r>
            <w:r>
              <w:rPr>
                <w:rFonts w:hint="eastAsia" w:ascii="宋体" w:hAnsi="宋体" w:cs="宋体"/>
                <w:color w:val="auto"/>
                <w:sz w:val="21"/>
                <w:szCs w:val="21"/>
                <w:lang w:val="en-US" w:eastAsia="zh-CN"/>
              </w:rPr>
              <w:t xml:space="preserve"> </w:t>
            </w:r>
          </w:p>
        </w:tc>
      </w:tr>
      <w:tr w14:paraId="479DE4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7" w:hRule="exact"/>
          <w:jc w:val="center"/>
        </w:trPr>
        <w:tc>
          <w:tcPr>
            <w:tcW w:w="1381" w:type="dxa"/>
            <w:tcBorders>
              <w:top w:val="single" w:color="000000" w:sz="6" w:space="0"/>
              <w:left w:val="single" w:color="auto" w:sz="8" w:space="0"/>
              <w:bottom w:val="single" w:color="000000" w:sz="6" w:space="0"/>
              <w:right w:val="single" w:color="000000" w:sz="6" w:space="0"/>
            </w:tcBorders>
            <w:noWrap w:val="0"/>
            <w:vAlign w:val="center"/>
          </w:tcPr>
          <w:p w14:paraId="3E108E95">
            <w:pPr>
              <w:spacing w:line="260" w:lineRule="exact"/>
              <w:jc w:val="center"/>
              <w:rPr>
                <w:rFonts w:ascii="仿宋_GB2312" w:hAnsi="宋体" w:eastAsia="仿宋_GB2312"/>
                <w:color w:val="auto"/>
              </w:rPr>
            </w:pPr>
            <w:r>
              <w:rPr>
                <w:rFonts w:hint="eastAsia" w:ascii="仿宋_GB2312" w:hAnsi="宋体" w:eastAsia="仿宋_GB2312"/>
                <w:color w:val="auto"/>
              </w:rPr>
              <w:t>办公地址</w:t>
            </w:r>
          </w:p>
        </w:tc>
        <w:tc>
          <w:tcPr>
            <w:tcW w:w="5476" w:type="dxa"/>
            <w:tcBorders>
              <w:top w:val="single" w:color="000000" w:sz="6" w:space="0"/>
              <w:left w:val="single" w:color="000000" w:sz="6" w:space="0"/>
              <w:bottom w:val="single" w:color="000000" w:sz="6" w:space="0"/>
              <w:right w:val="single" w:color="000000" w:sz="6" w:space="0"/>
            </w:tcBorders>
            <w:noWrap w:val="0"/>
            <w:vAlign w:val="center"/>
          </w:tcPr>
          <w:p w14:paraId="32415A72">
            <w:pPr>
              <w:spacing w:line="260" w:lineRule="exact"/>
              <w:jc w:val="center"/>
              <w:rPr>
                <w:rFonts w:hint="default" w:ascii="仿宋_GB2312" w:hAnsi="宋体" w:eastAsia="仿宋_GB2312"/>
                <w:color w:val="auto"/>
                <w:lang w:val="en-US" w:eastAsia="zh-CN"/>
              </w:rPr>
            </w:pPr>
            <w:r>
              <w:rPr>
                <w:rFonts w:hint="eastAsia" w:ascii="仿宋_GB2312" w:hAnsi="宋体" w:eastAsia="仿宋_GB2312"/>
                <w:color w:val="auto"/>
                <w:lang w:eastAsia="zh-CN"/>
              </w:rPr>
              <w:t>广元市昭化区柏林沟镇人民政府</w:t>
            </w:r>
            <w:r>
              <w:rPr>
                <w:rFonts w:hint="eastAsia" w:ascii="仿宋_GB2312" w:hAnsi="宋体" w:eastAsia="仿宋_GB2312"/>
                <w:color w:val="auto"/>
                <w:lang w:val="en-US" w:eastAsia="zh-CN"/>
              </w:rPr>
              <w:t>008乡道</w:t>
            </w:r>
          </w:p>
        </w:tc>
        <w:tc>
          <w:tcPr>
            <w:tcW w:w="654" w:type="dxa"/>
            <w:tcBorders>
              <w:top w:val="single" w:color="000000" w:sz="6" w:space="0"/>
              <w:left w:val="single" w:color="000000" w:sz="6" w:space="0"/>
              <w:bottom w:val="single" w:color="000000" w:sz="6" w:space="0"/>
              <w:right w:val="single" w:color="000000" w:sz="6" w:space="0"/>
            </w:tcBorders>
            <w:noWrap w:val="0"/>
            <w:vAlign w:val="center"/>
          </w:tcPr>
          <w:p w14:paraId="07E3E608">
            <w:pPr>
              <w:spacing w:line="260" w:lineRule="exact"/>
              <w:rPr>
                <w:rFonts w:ascii="仿宋_GB2312" w:hAnsi="宋体" w:eastAsia="仿宋_GB2312"/>
                <w:color w:val="auto"/>
              </w:rPr>
            </w:pPr>
            <w:r>
              <w:rPr>
                <w:rFonts w:hint="eastAsia" w:ascii="仿宋_GB2312" w:hAnsi="宋体" w:eastAsia="仿宋_GB2312"/>
                <w:color w:val="auto"/>
              </w:rPr>
              <w:t>邮编</w:t>
            </w:r>
          </w:p>
        </w:tc>
        <w:tc>
          <w:tcPr>
            <w:tcW w:w="1910" w:type="dxa"/>
            <w:tcBorders>
              <w:top w:val="single" w:color="000000" w:sz="6" w:space="0"/>
              <w:left w:val="single" w:color="000000" w:sz="6" w:space="0"/>
              <w:bottom w:val="single" w:color="000000" w:sz="6" w:space="0"/>
              <w:right w:val="single" w:color="auto" w:sz="8" w:space="0"/>
            </w:tcBorders>
            <w:noWrap w:val="0"/>
            <w:vAlign w:val="center"/>
          </w:tcPr>
          <w:p w14:paraId="4958D552">
            <w:pPr>
              <w:spacing w:line="260" w:lineRule="exact"/>
              <w:jc w:val="center"/>
              <w:rPr>
                <w:rFonts w:hint="default" w:ascii="仿宋_GB2312" w:hAnsi="宋体" w:eastAsia="仿宋_GB2312"/>
                <w:color w:val="auto"/>
                <w:lang w:val="en-US" w:eastAsia="zh-CN"/>
              </w:rPr>
            </w:pPr>
            <w:r>
              <w:rPr>
                <w:rFonts w:hint="eastAsia" w:ascii="仿宋_GB2312" w:hAnsi="宋体" w:eastAsia="仿宋_GB2312"/>
                <w:color w:val="auto"/>
                <w:lang w:val="en-US" w:eastAsia="zh-CN"/>
              </w:rPr>
              <w:t>628021</w:t>
            </w:r>
          </w:p>
        </w:tc>
      </w:tr>
      <w:tr w14:paraId="7158CA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3" w:hRule="exact"/>
          <w:jc w:val="center"/>
        </w:trPr>
        <w:tc>
          <w:tcPr>
            <w:tcW w:w="1381" w:type="dxa"/>
            <w:tcBorders>
              <w:top w:val="single" w:color="000000" w:sz="6" w:space="0"/>
              <w:left w:val="single" w:color="auto" w:sz="8" w:space="0"/>
              <w:bottom w:val="single" w:color="000000" w:sz="6" w:space="0"/>
              <w:right w:val="single" w:color="000000" w:sz="6" w:space="0"/>
            </w:tcBorders>
            <w:noWrap w:val="0"/>
            <w:vAlign w:val="center"/>
          </w:tcPr>
          <w:p w14:paraId="31F1B3E8">
            <w:pPr>
              <w:spacing w:line="260" w:lineRule="exact"/>
              <w:jc w:val="center"/>
              <w:rPr>
                <w:rFonts w:ascii="仿宋_GB2312" w:hAnsi="宋体" w:eastAsia="仿宋_GB2312"/>
                <w:color w:val="auto"/>
              </w:rPr>
            </w:pPr>
            <w:r>
              <w:rPr>
                <w:rFonts w:hint="eastAsia" w:ascii="仿宋_GB2312" w:hAnsi="宋体" w:eastAsia="仿宋_GB2312"/>
                <w:color w:val="auto"/>
              </w:rPr>
              <w:t>机构性质</w:t>
            </w:r>
          </w:p>
        </w:tc>
        <w:tc>
          <w:tcPr>
            <w:tcW w:w="8040" w:type="dxa"/>
            <w:gridSpan w:val="3"/>
            <w:tcBorders>
              <w:top w:val="single" w:color="000000" w:sz="6" w:space="0"/>
              <w:left w:val="single" w:color="000000" w:sz="6" w:space="0"/>
              <w:bottom w:val="single" w:color="000000" w:sz="6" w:space="0"/>
              <w:right w:val="single" w:color="auto" w:sz="8" w:space="0"/>
            </w:tcBorders>
            <w:noWrap w:val="0"/>
            <w:vAlign w:val="center"/>
          </w:tcPr>
          <w:p w14:paraId="5C0E1602">
            <w:pPr>
              <w:spacing w:line="440" w:lineRule="exact"/>
              <w:ind w:firstLine="420" w:firstLineChars="200"/>
              <w:rPr>
                <w:rFonts w:ascii="仿宋_GB2312" w:hAnsi="宋体" w:eastAsia="仿宋_GB2312"/>
                <w:color w:val="auto"/>
              </w:rPr>
            </w:pPr>
            <w:r>
              <w:rPr>
                <w:rFonts w:hint="eastAsia" w:ascii="仿宋_GB2312" w:hAnsi="宋体" w:eastAsia="仿宋_GB2312"/>
                <w:color w:val="auto"/>
                <w:szCs w:val="32"/>
              </w:rPr>
              <w:sym w:font="Wingdings 2" w:char="0052"/>
            </w:r>
            <w:r>
              <w:rPr>
                <w:rFonts w:hint="eastAsia" w:ascii="仿宋_GB2312" w:hAnsi="宋体" w:eastAsia="仿宋_GB2312"/>
                <w:color w:val="auto"/>
              </w:rPr>
              <w:t xml:space="preserve">行政机关  </w:t>
            </w:r>
            <w:r>
              <w:rPr>
                <w:rFonts w:hint="eastAsia" w:ascii="仿宋_GB2312" w:hAnsi="宋体" w:eastAsia="仿宋_GB2312"/>
                <w:color w:val="auto"/>
                <w:szCs w:val="32"/>
              </w:rPr>
              <w:t xml:space="preserve"> □</w:t>
            </w:r>
            <w:r>
              <w:rPr>
                <w:rFonts w:hint="eastAsia" w:ascii="仿宋_GB2312" w:hAnsi="宋体" w:eastAsia="仿宋_GB2312"/>
                <w:color w:val="auto"/>
              </w:rPr>
              <w:t xml:space="preserve">事业单位 </w:t>
            </w:r>
            <w:r>
              <w:rPr>
                <w:rFonts w:hint="eastAsia" w:ascii="仿宋_GB2312" w:hAnsi="宋体" w:eastAsia="仿宋_GB2312"/>
                <w:color w:val="auto"/>
                <w:szCs w:val="32"/>
              </w:rPr>
              <w:t xml:space="preserve"> </w:t>
            </w:r>
            <w:r>
              <w:rPr>
                <w:rFonts w:hint="eastAsia" w:ascii="仿宋_GB2312" w:hAnsi="宋体" w:eastAsia="仿宋_GB2312"/>
                <w:color w:val="auto"/>
              </w:rPr>
              <w:t xml:space="preserve">   </w:t>
            </w:r>
            <w:r>
              <w:rPr>
                <w:rFonts w:hint="eastAsia" w:ascii="仿宋_GB2312" w:hAnsi="宋体" w:eastAsia="仿宋_GB2312"/>
                <w:color w:val="auto"/>
                <w:szCs w:val="32"/>
              </w:rPr>
              <w:sym w:font="Wingdings 2" w:char="00A3"/>
            </w:r>
            <w:r>
              <w:rPr>
                <w:rFonts w:hint="eastAsia" w:ascii="仿宋_GB2312" w:hAnsi="宋体" w:eastAsia="仿宋_GB2312"/>
                <w:color w:val="auto"/>
              </w:rPr>
              <w:t xml:space="preserve">内设机构  </w:t>
            </w:r>
            <w:r>
              <w:rPr>
                <w:rFonts w:hint="eastAsia" w:ascii="仿宋_GB2312" w:hAnsi="宋体" w:eastAsia="仿宋_GB2312"/>
                <w:color w:val="auto"/>
                <w:szCs w:val="36"/>
              </w:rPr>
              <w:t xml:space="preserve"> </w:t>
            </w:r>
            <w:r>
              <w:rPr>
                <w:rFonts w:hint="eastAsia" w:ascii="仿宋_GB2312" w:hAnsi="宋体" w:eastAsia="仿宋_GB2312"/>
                <w:color w:val="auto"/>
                <w:szCs w:val="32"/>
              </w:rPr>
              <w:t>□</w:t>
            </w:r>
            <w:r>
              <w:rPr>
                <w:rFonts w:hint="eastAsia" w:ascii="仿宋_GB2312" w:hAnsi="宋体" w:eastAsia="仿宋_GB2312"/>
                <w:color w:val="auto"/>
              </w:rPr>
              <w:t xml:space="preserve">临时机构     </w:t>
            </w:r>
            <w:r>
              <w:rPr>
                <w:rFonts w:hint="eastAsia" w:ascii="仿宋_GB2312" w:hAnsi="宋体" w:eastAsia="仿宋_GB2312"/>
                <w:color w:val="auto"/>
                <w:szCs w:val="32"/>
              </w:rPr>
              <w:t>□</w:t>
            </w:r>
            <w:r>
              <w:rPr>
                <w:rFonts w:hint="eastAsia" w:ascii="仿宋_GB2312" w:hAnsi="宋体" w:eastAsia="仿宋_GB2312"/>
                <w:color w:val="auto"/>
              </w:rPr>
              <w:t>其他</w:t>
            </w:r>
          </w:p>
        </w:tc>
      </w:tr>
      <w:tr w14:paraId="3F017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4" w:hRule="exact"/>
          <w:jc w:val="center"/>
        </w:trPr>
        <w:tc>
          <w:tcPr>
            <w:tcW w:w="1381" w:type="dxa"/>
            <w:tcBorders>
              <w:top w:val="single" w:color="000000" w:sz="6" w:space="0"/>
              <w:left w:val="single" w:color="auto" w:sz="8" w:space="0"/>
              <w:bottom w:val="single" w:color="auto" w:sz="4" w:space="0"/>
              <w:right w:val="single" w:color="auto" w:sz="8" w:space="0"/>
            </w:tcBorders>
            <w:noWrap w:val="0"/>
            <w:vAlign w:val="center"/>
          </w:tcPr>
          <w:p w14:paraId="1627EAD0">
            <w:pPr>
              <w:spacing w:line="260" w:lineRule="exact"/>
              <w:jc w:val="center"/>
              <w:rPr>
                <w:rFonts w:ascii="仿宋_GB2312" w:hAnsi="宋体" w:eastAsia="仿宋_GB2312"/>
                <w:color w:val="auto"/>
              </w:rPr>
            </w:pPr>
            <w:r>
              <w:rPr>
                <w:rFonts w:hint="eastAsia" w:ascii="仿宋_GB2312" w:hAnsi="宋体" w:eastAsia="仿宋_GB2312"/>
                <w:color w:val="auto"/>
              </w:rPr>
              <w:t>执法主体</w:t>
            </w:r>
          </w:p>
          <w:p w14:paraId="1CA9BF03">
            <w:pPr>
              <w:spacing w:line="260" w:lineRule="exact"/>
              <w:jc w:val="center"/>
              <w:rPr>
                <w:rFonts w:ascii="仿宋_GB2312" w:hAnsi="宋体" w:eastAsia="仿宋_GB2312"/>
                <w:color w:val="auto"/>
                <w:szCs w:val="21"/>
              </w:rPr>
            </w:pPr>
            <w:r>
              <w:rPr>
                <w:rFonts w:hint="eastAsia" w:ascii="仿宋_GB2312" w:hAnsi="宋体" w:eastAsia="仿宋_GB2312"/>
                <w:color w:val="auto"/>
              </w:rPr>
              <w:t>类别</w:t>
            </w:r>
          </w:p>
        </w:tc>
        <w:tc>
          <w:tcPr>
            <w:tcW w:w="8040" w:type="dxa"/>
            <w:gridSpan w:val="3"/>
            <w:tcBorders>
              <w:top w:val="single" w:color="000000" w:sz="6" w:space="0"/>
              <w:left w:val="single" w:color="000000" w:sz="6" w:space="0"/>
              <w:bottom w:val="single" w:color="auto" w:sz="4" w:space="0"/>
              <w:right w:val="single" w:color="auto" w:sz="8" w:space="0"/>
            </w:tcBorders>
            <w:noWrap w:val="0"/>
            <w:vAlign w:val="center"/>
          </w:tcPr>
          <w:p w14:paraId="4440A245">
            <w:pPr>
              <w:spacing w:line="260" w:lineRule="exact"/>
              <w:rPr>
                <w:rFonts w:hint="eastAsia" w:ascii="仿宋_GB2312" w:hAnsi="宋体" w:eastAsia="仿宋_GB2312"/>
                <w:color w:val="auto"/>
                <w:szCs w:val="21"/>
                <w:lang w:eastAsia="zh-CN"/>
              </w:rPr>
            </w:pPr>
            <w:r>
              <w:rPr>
                <w:rFonts w:hint="eastAsia" w:ascii="仿宋_GB2312" w:hAnsi="宋体" w:eastAsia="仿宋_GB2312" w:cs="宋体"/>
                <w:color w:val="auto"/>
                <w:kern w:val="0"/>
                <w:szCs w:val="21"/>
              </w:rPr>
              <w:t xml:space="preserve">    </w:t>
            </w:r>
            <w:r>
              <w:rPr>
                <w:rFonts w:hint="eastAsia" w:ascii="仿宋_GB2312" w:hAnsi="宋体" w:eastAsia="仿宋_GB2312" w:cs="宋体"/>
                <w:color w:val="auto"/>
                <w:kern w:val="0"/>
                <w:szCs w:val="21"/>
                <w:lang w:eastAsia="zh-CN"/>
              </w:rPr>
              <w:t>☑</w:t>
            </w:r>
            <w:r>
              <w:rPr>
                <w:rFonts w:hint="eastAsia" w:ascii="仿宋_GB2312" w:hAnsi="宋体" w:eastAsia="仿宋_GB2312" w:cs="宋体"/>
                <w:color w:val="auto"/>
                <w:kern w:val="0"/>
                <w:szCs w:val="21"/>
              </w:rPr>
              <w:t xml:space="preserve">法定行政机关   </w:t>
            </w:r>
            <w:r>
              <w:rPr>
                <w:rFonts w:hint="eastAsia" w:ascii="仿宋_GB2312" w:hAnsi="宋体" w:eastAsia="仿宋_GB2312" w:cs="宋体"/>
                <w:color w:val="auto"/>
                <w:kern w:val="0"/>
                <w:szCs w:val="21"/>
                <w:lang w:eastAsia="zh-CN"/>
              </w:rPr>
              <w:t>☑</w:t>
            </w:r>
            <w:r>
              <w:rPr>
                <w:rFonts w:hint="eastAsia" w:ascii="仿宋_GB2312" w:hAnsi="宋体" w:eastAsia="仿宋_GB2312" w:cs="宋体"/>
                <w:color w:val="auto"/>
                <w:kern w:val="0"/>
                <w:szCs w:val="21"/>
              </w:rPr>
              <w:t>法律法规</w:t>
            </w:r>
            <w:r>
              <w:rPr>
                <w:rFonts w:hint="eastAsia" w:ascii="仿宋_GB2312" w:hAnsi="宋体" w:eastAsia="仿宋_GB2312" w:cs="宋体"/>
                <w:color w:val="auto"/>
                <w:kern w:val="0"/>
                <w:szCs w:val="21"/>
                <w:lang w:eastAsia="zh-CN"/>
              </w:rPr>
              <w:t>规章</w:t>
            </w:r>
            <w:r>
              <w:rPr>
                <w:rFonts w:hint="eastAsia" w:ascii="仿宋_GB2312" w:hAnsi="宋体" w:eastAsia="仿宋_GB2312" w:cs="宋体"/>
                <w:color w:val="auto"/>
                <w:kern w:val="0"/>
                <w:szCs w:val="21"/>
              </w:rPr>
              <w:t xml:space="preserve">授权的组织 </w:t>
            </w:r>
            <w:r>
              <w:rPr>
                <w:rFonts w:hint="eastAsia" w:ascii="仿宋_GB2312" w:hAnsi="宋体" w:eastAsia="仿宋_GB2312" w:cs="宋体"/>
                <w:color w:val="auto"/>
                <w:kern w:val="0"/>
                <w:szCs w:val="21"/>
              </w:rPr>
              <w:sym w:font="Wingdings 2" w:char="00A3"/>
            </w:r>
            <w:r>
              <w:rPr>
                <w:rFonts w:hint="eastAsia" w:ascii="仿宋_GB2312" w:hAnsi="宋体" w:eastAsia="仿宋_GB2312" w:cs="宋体"/>
                <w:color w:val="auto"/>
                <w:kern w:val="0"/>
                <w:szCs w:val="21"/>
                <w:lang w:eastAsia="zh-CN"/>
              </w:rPr>
              <w:t>受委托</w:t>
            </w:r>
            <w:r>
              <w:rPr>
                <w:rFonts w:hint="eastAsia" w:ascii="仿宋_GB2312" w:hAnsi="宋体" w:eastAsia="仿宋_GB2312" w:cs="宋体"/>
                <w:color w:val="auto"/>
                <w:kern w:val="0"/>
                <w:szCs w:val="21"/>
              </w:rPr>
              <w:t>的</w:t>
            </w:r>
            <w:r>
              <w:rPr>
                <w:rFonts w:hint="eastAsia" w:ascii="仿宋_GB2312" w:hAnsi="宋体" w:eastAsia="仿宋_GB2312" w:cs="宋体"/>
                <w:color w:val="auto"/>
                <w:kern w:val="0"/>
                <w:szCs w:val="21"/>
                <w:lang w:eastAsia="zh-CN"/>
              </w:rPr>
              <w:t>机关</w:t>
            </w:r>
            <w:bookmarkStart w:id="0" w:name="_GoBack"/>
            <w:bookmarkEnd w:id="0"/>
            <w:r>
              <w:rPr>
                <w:rFonts w:hint="eastAsia" w:ascii="仿宋_GB2312" w:hAnsi="宋体" w:eastAsia="仿宋_GB2312" w:cs="宋体"/>
                <w:color w:val="auto"/>
                <w:kern w:val="0"/>
                <w:szCs w:val="21"/>
                <w:lang w:eastAsia="zh-CN"/>
              </w:rPr>
              <w:t>或</w:t>
            </w:r>
            <w:r>
              <w:rPr>
                <w:rFonts w:hint="eastAsia" w:ascii="仿宋_GB2312" w:hAnsi="宋体" w:eastAsia="仿宋_GB2312" w:cs="宋体"/>
                <w:color w:val="auto"/>
                <w:kern w:val="0"/>
                <w:szCs w:val="21"/>
              </w:rPr>
              <w:t>组织 □</w:t>
            </w:r>
            <w:r>
              <w:rPr>
                <w:rFonts w:hint="eastAsia" w:ascii="仿宋_GB2312" w:hAnsi="宋体" w:eastAsia="仿宋_GB2312" w:cs="宋体"/>
                <w:color w:val="auto"/>
                <w:kern w:val="0"/>
                <w:szCs w:val="21"/>
                <w:lang w:eastAsia="zh-CN"/>
              </w:rPr>
              <w:t>行使相对集中行政执法权的机关</w:t>
            </w:r>
          </w:p>
        </w:tc>
      </w:tr>
      <w:tr w14:paraId="26758D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71" w:hRule="atLeast"/>
          <w:jc w:val="center"/>
        </w:trPr>
        <w:tc>
          <w:tcPr>
            <w:tcW w:w="1381" w:type="dxa"/>
            <w:tcBorders>
              <w:top w:val="single" w:color="000000" w:sz="6" w:space="0"/>
              <w:left w:val="single" w:color="auto" w:sz="8" w:space="0"/>
              <w:bottom w:val="single" w:color="000000" w:sz="6" w:space="0"/>
              <w:right w:val="single" w:color="000000" w:sz="6" w:space="0"/>
            </w:tcBorders>
            <w:noWrap w:val="0"/>
            <w:vAlign w:val="center"/>
          </w:tcPr>
          <w:p w14:paraId="5578F41E">
            <w:pPr>
              <w:spacing w:line="260" w:lineRule="exact"/>
              <w:jc w:val="center"/>
              <w:rPr>
                <w:rFonts w:hint="eastAsia" w:ascii="仿宋_GB2312" w:hAnsi="宋体" w:eastAsia="仿宋_GB2312"/>
                <w:color w:val="auto"/>
              </w:rPr>
            </w:pPr>
            <w:r>
              <w:rPr>
                <w:rFonts w:hint="eastAsia" w:ascii="仿宋_GB2312" w:hAnsi="宋体" w:eastAsia="仿宋_GB2312"/>
                <w:color w:val="auto"/>
              </w:rPr>
              <w:t>执法职权</w:t>
            </w:r>
          </w:p>
          <w:p w14:paraId="277651B3">
            <w:pPr>
              <w:spacing w:line="260" w:lineRule="exact"/>
              <w:jc w:val="center"/>
              <w:rPr>
                <w:rFonts w:ascii="仿宋_GB2312" w:hAnsi="宋体" w:eastAsia="仿宋_GB2312"/>
                <w:color w:val="auto"/>
              </w:rPr>
            </w:pPr>
            <w:r>
              <w:rPr>
                <w:rFonts w:hint="eastAsia" w:ascii="仿宋_GB2312" w:hAnsi="宋体" w:eastAsia="仿宋_GB2312"/>
                <w:color w:val="auto"/>
              </w:rPr>
              <w:t>类型</w:t>
            </w:r>
          </w:p>
        </w:tc>
        <w:tc>
          <w:tcPr>
            <w:tcW w:w="8040" w:type="dxa"/>
            <w:gridSpan w:val="3"/>
            <w:tcBorders>
              <w:top w:val="single" w:color="000000" w:sz="6" w:space="0"/>
              <w:left w:val="single" w:color="000000" w:sz="6" w:space="0"/>
              <w:right w:val="single" w:color="auto" w:sz="8" w:space="0"/>
            </w:tcBorders>
            <w:noWrap w:val="0"/>
            <w:vAlign w:val="center"/>
          </w:tcPr>
          <w:p w14:paraId="3EF580DA">
            <w:pPr>
              <w:spacing w:line="260" w:lineRule="exact"/>
              <w:rPr>
                <w:rFonts w:ascii="仿宋_GB2312" w:hAnsi="宋体" w:eastAsia="仿宋_GB2312"/>
                <w:color w:val="auto"/>
                <w:szCs w:val="32"/>
              </w:rPr>
            </w:pPr>
            <w:r>
              <w:rPr>
                <w:rFonts w:hint="eastAsia" w:ascii="仿宋_GB2312" w:hAnsi="宋体" w:eastAsia="仿宋_GB2312"/>
                <w:color w:val="auto"/>
                <w:szCs w:val="32"/>
              </w:rPr>
              <w:t xml:space="preserve">    </w:t>
            </w:r>
            <w:r>
              <w:rPr>
                <w:rFonts w:hint="eastAsia" w:ascii="仿宋_GB2312" w:hAnsi="宋体" w:eastAsia="仿宋_GB2312"/>
                <w:color w:val="auto"/>
                <w:szCs w:val="32"/>
              </w:rPr>
              <w:sym w:font="Wingdings 2" w:char="0052"/>
            </w:r>
            <w:r>
              <w:rPr>
                <w:rFonts w:hint="eastAsia" w:ascii="仿宋_GB2312" w:hAnsi="宋体" w:eastAsia="仿宋_GB2312"/>
                <w:color w:val="auto"/>
                <w:szCs w:val="32"/>
              </w:rPr>
              <w:t xml:space="preserve">行政许可  </w:t>
            </w:r>
            <w:r>
              <w:rPr>
                <w:rFonts w:hint="eastAsia" w:ascii="仿宋_GB2312" w:hAnsi="宋体" w:eastAsia="仿宋_GB2312"/>
                <w:color w:val="auto"/>
                <w:szCs w:val="32"/>
              </w:rPr>
              <w:sym w:font="Wingdings 2" w:char="0052"/>
            </w:r>
            <w:r>
              <w:rPr>
                <w:rFonts w:hint="eastAsia" w:ascii="仿宋_GB2312" w:hAnsi="宋体" w:eastAsia="仿宋_GB2312"/>
                <w:color w:val="auto"/>
                <w:szCs w:val="32"/>
              </w:rPr>
              <w:t xml:space="preserve">行政处罚  </w:t>
            </w:r>
            <w:r>
              <w:rPr>
                <w:rFonts w:hint="eastAsia" w:ascii="仿宋_GB2312" w:hAnsi="宋体" w:eastAsia="仿宋_GB2312"/>
                <w:color w:val="auto"/>
                <w:szCs w:val="32"/>
              </w:rPr>
              <w:sym w:font="Wingdings 2" w:char="0052"/>
            </w:r>
            <w:r>
              <w:rPr>
                <w:rFonts w:hint="eastAsia" w:ascii="仿宋_GB2312" w:hAnsi="宋体" w:eastAsia="仿宋_GB2312"/>
                <w:color w:val="auto"/>
                <w:szCs w:val="32"/>
              </w:rPr>
              <w:t xml:space="preserve">行政强制  </w:t>
            </w:r>
            <w:r>
              <w:rPr>
                <w:rFonts w:hint="eastAsia" w:ascii="仿宋_GB2312" w:hAnsi="宋体" w:eastAsia="仿宋_GB2312"/>
                <w:color w:val="auto"/>
                <w:szCs w:val="32"/>
              </w:rPr>
              <w:sym w:font="Wingdings 2" w:char="0052"/>
            </w:r>
            <w:r>
              <w:rPr>
                <w:rFonts w:hint="eastAsia" w:ascii="仿宋_GB2312" w:hAnsi="宋体" w:eastAsia="仿宋_GB2312"/>
                <w:color w:val="auto"/>
                <w:szCs w:val="32"/>
              </w:rPr>
              <w:t>行政征收</w:t>
            </w:r>
          </w:p>
          <w:p w14:paraId="69B01A27">
            <w:pPr>
              <w:spacing w:line="260" w:lineRule="exact"/>
              <w:rPr>
                <w:rFonts w:ascii="仿宋_GB2312" w:hAnsi="宋体" w:eastAsia="仿宋_GB2312"/>
                <w:color w:val="auto"/>
              </w:rPr>
            </w:pPr>
            <w:r>
              <w:rPr>
                <w:rFonts w:hint="eastAsia" w:ascii="仿宋_GB2312" w:hAnsi="宋体" w:eastAsia="仿宋_GB2312"/>
                <w:color w:val="auto"/>
                <w:szCs w:val="32"/>
              </w:rPr>
              <w:t xml:space="preserve">    </w:t>
            </w:r>
            <w:r>
              <w:rPr>
                <w:rFonts w:hint="eastAsia" w:ascii="仿宋_GB2312" w:hAnsi="宋体" w:eastAsia="仿宋_GB2312"/>
                <w:color w:val="auto"/>
                <w:szCs w:val="32"/>
              </w:rPr>
              <w:sym w:font="Wingdings 2" w:char="00A3"/>
            </w:r>
            <w:r>
              <w:rPr>
                <w:rFonts w:hint="eastAsia" w:ascii="仿宋_GB2312" w:hAnsi="宋体" w:eastAsia="仿宋_GB2312"/>
                <w:color w:val="auto"/>
                <w:szCs w:val="32"/>
              </w:rPr>
              <w:t xml:space="preserve">行政征用  </w:t>
            </w:r>
            <w:r>
              <w:rPr>
                <w:rFonts w:hint="eastAsia" w:ascii="仿宋_GB2312" w:hAnsi="宋体" w:eastAsia="仿宋_GB2312"/>
                <w:color w:val="auto"/>
                <w:szCs w:val="32"/>
              </w:rPr>
              <w:sym w:font="Wingdings 2" w:char="0052"/>
            </w:r>
            <w:r>
              <w:rPr>
                <w:rFonts w:hint="eastAsia" w:ascii="仿宋_GB2312" w:hAnsi="宋体" w:eastAsia="仿宋_GB2312"/>
                <w:color w:val="auto"/>
                <w:szCs w:val="32"/>
              </w:rPr>
              <w:t xml:space="preserve">行政检查  </w:t>
            </w:r>
            <w:r>
              <w:rPr>
                <w:rFonts w:hint="eastAsia" w:ascii="仿宋_GB2312" w:hAnsi="宋体" w:eastAsia="仿宋_GB2312"/>
                <w:color w:val="auto"/>
                <w:szCs w:val="32"/>
              </w:rPr>
              <w:sym w:font="Wingdings 2" w:char="0052"/>
            </w:r>
            <w:r>
              <w:rPr>
                <w:rFonts w:hint="eastAsia" w:ascii="仿宋_GB2312" w:hAnsi="宋体" w:eastAsia="仿宋_GB2312"/>
                <w:color w:val="auto"/>
                <w:szCs w:val="32"/>
              </w:rPr>
              <w:t>其他行政执法行为</w:t>
            </w:r>
            <w:r>
              <w:rPr>
                <w:rFonts w:hint="eastAsia" w:ascii="仿宋_GB2312" w:hAnsi="宋体" w:eastAsia="仿宋_GB2312"/>
                <w:color w:val="auto"/>
                <w:szCs w:val="21"/>
                <w:u w:val="single"/>
              </w:rPr>
              <w:t xml:space="preserve"> </w:t>
            </w:r>
            <w:r>
              <w:rPr>
                <w:rFonts w:hint="eastAsia" w:ascii="仿宋_GB2312" w:hAnsi="宋体" w:eastAsia="仿宋_GB2312"/>
                <w:color w:val="auto"/>
                <w:szCs w:val="21"/>
                <w:u w:val="single"/>
                <w:lang w:eastAsia="zh-CN"/>
              </w:rPr>
              <w:t>行政确认、行政裁决、行政给付、行政奖励、其他行政权</w:t>
            </w:r>
            <w:r>
              <w:rPr>
                <w:rFonts w:hint="eastAsia" w:ascii="仿宋_GB2312" w:hAnsi="宋体" w:eastAsia="仿宋_GB2312"/>
                <w:color w:val="auto"/>
                <w:szCs w:val="21"/>
                <w:u w:val="single"/>
                <w:lang w:val="en-US" w:eastAsia="zh-CN"/>
              </w:rPr>
              <w:t>力</w:t>
            </w:r>
            <w:r>
              <w:rPr>
                <w:rFonts w:hint="eastAsia" w:ascii="仿宋_GB2312" w:hAnsi="宋体" w:eastAsia="仿宋_GB2312"/>
                <w:color w:val="auto"/>
                <w:szCs w:val="21"/>
                <w:u w:val="single"/>
              </w:rPr>
              <w:t xml:space="preserve">       </w:t>
            </w:r>
          </w:p>
        </w:tc>
      </w:tr>
      <w:tr w14:paraId="520502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2" w:hRule="exact"/>
          <w:jc w:val="center"/>
        </w:trPr>
        <w:tc>
          <w:tcPr>
            <w:tcW w:w="1381" w:type="dxa"/>
            <w:tcBorders>
              <w:top w:val="single" w:color="000000" w:sz="6" w:space="0"/>
              <w:left w:val="single" w:color="auto" w:sz="8" w:space="0"/>
              <w:bottom w:val="single" w:color="auto" w:sz="4" w:space="0"/>
              <w:right w:val="single" w:color="000000" w:sz="6" w:space="0"/>
            </w:tcBorders>
            <w:noWrap w:val="0"/>
            <w:vAlign w:val="center"/>
          </w:tcPr>
          <w:p w14:paraId="69DE14C3">
            <w:pPr>
              <w:spacing w:line="260" w:lineRule="exact"/>
              <w:ind w:firstLine="105" w:firstLineChars="50"/>
              <w:rPr>
                <w:rFonts w:ascii="仿宋_GB2312" w:hAnsi="宋体" w:eastAsia="仿宋_GB2312"/>
                <w:color w:val="auto"/>
                <w:szCs w:val="21"/>
              </w:rPr>
            </w:pPr>
            <w:r>
              <w:rPr>
                <w:rFonts w:hint="eastAsia" w:ascii="仿宋_GB2312" w:hAnsi="宋体" w:eastAsia="仿宋_GB2312"/>
                <w:color w:val="auto"/>
                <w:szCs w:val="21"/>
              </w:rPr>
              <w:t>经费来源</w:t>
            </w:r>
          </w:p>
        </w:tc>
        <w:tc>
          <w:tcPr>
            <w:tcW w:w="8040" w:type="dxa"/>
            <w:gridSpan w:val="3"/>
            <w:tcBorders>
              <w:top w:val="single" w:color="000000" w:sz="6" w:space="0"/>
              <w:left w:val="single" w:color="000000" w:sz="6" w:space="0"/>
              <w:bottom w:val="single" w:color="auto" w:sz="4" w:space="0"/>
              <w:right w:val="single" w:color="auto" w:sz="8" w:space="0"/>
            </w:tcBorders>
            <w:noWrap w:val="0"/>
            <w:vAlign w:val="center"/>
          </w:tcPr>
          <w:p w14:paraId="32A71196">
            <w:pPr>
              <w:spacing w:line="260" w:lineRule="exact"/>
              <w:rPr>
                <w:rFonts w:ascii="仿宋_GB2312" w:hAnsi="宋体" w:eastAsia="仿宋_GB2312"/>
                <w:color w:val="auto"/>
                <w:szCs w:val="21"/>
              </w:rPr>
            </w:pPr>
            <w:r>
              <w:rPr>
                <w:rFonts w:hint="eastAsia" w:ascii="仿宋_GB2312" w:hAnsi="宋体" w:eastAsia="仿宋_GB2312"/>
                <w:color w:val="auto"/>
                <w:szCs w:val="21"/>
              </w:rPr>
              <w:t xml:space="preserve">    </w:t>
            </w:r>
            <w:r>
              <w:rPr>
                <w:rFonts w:hint="eastAsia" w:ascii="仿宋_GB2312" w:hAnsi="宋体" w:eastAsia="仿宋_GB2312"/>
                <w:color w:val="auto"/>
                <w:szCs w:val="21"/>
              </w:rPr>
              <w:sym w:font="Wingdings 2" w:char="0052"/>
            </w:r>
            <w:r>
              <w:rPr>
                <w:rFonts w:hint="eastAsia" w:ascii="仿宋_GB2312" w:hAnsi="宋体" w:eastAsia="仿宋_GB2312"/>
                <w:color w:val="auto"/>
                <w:szCs w:val="21"/>
              </w:rPr>
              <w:t>财政全额拨款</w:t>
            </w:r>
            <w:r>
              <w:rPr>
                <w:rFonts w:hint="eastAsia" w:ascii="仿宋_GB2312" w:hAnsi="Arial" w:eastAsia="仿宋_GB2312" w:cs="Arial"/>
                <w:color w:val="auto"/>
                <w:szCs w:val="21"/>
              </w:rPr>
              <w:t xml:space="preserve">   </w:t>
            </w:r>
            <w:r>
              <w:rPr>
                <w:rFonts w:hint="eastAsia" w:ascii="仿宋_GB2312" w:hAnsi="宋体" w:eastAsia="仿宋_GB2312"/>
                <w:color w:val="auto"/>
                <w:szCs w:val="21"/>
              </w:rPr>
              <w:t>□财政差额拨款   □自收自支   □其他</w:t>
            </w:r>
            <w:r>
              <w:rPr>
                <w:rFonts w:hint="eastAsia" w:ascii="仿宋_GB2312" w:hAnsi="宋体" w:eastAsia="仿宋_GB2312"/>
                <w:color w:val="auto"/>
                <w:szCs w:val="21"/>
                <w:u w:val="single"/>
              </w:rPr>
              <w:t xml:space="preserve">        </w:t>
            </w:r>
          </w:p>
        </w:tc>
      </w:tr>
      <w:tr w14:paraId="4626E0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53" w:hRule="atLeast"/>
          <w:jc w:val="center"/>
        </w:trPr>
        <w:tc>
          <w:tcPr>
            <w:tcW w:w="1381" w:type="dxa"/>
            <w:tcBorders>
              <w:top w:val="single" w:color="auto" w:sz="4" w:space="0"/>
              <w:left w:val="single" w:color="auto" w:sz="8" w:space="0"/>
              <w:right w:val="single" w:color="000000" w:sz="6" w:space="0"/>
            </w:tcBorders>
            <w:noWrap w:val="0"/>
            <w:vAlign w:val="center"/>
          </w:tcPr>
          <w:p w14:paraId="28FAE39F">
            <w:pPr>
              <w:spacing w:line="400" w:lineRule="exact"/>
              <w:jc w:val="center"/>
              <w:rPr>
                <w:rFonts w:ascii="仿宋_GB2312" w:eastAsia="仿宋_GB2312"/>
                <w:color w:val="auto"/>
                <w:sz w:val="24"/>
              </w:rPr>
            </w:pPr>
            <w:r>
              <w:rPr>
                <w:rFonts w:hint="eastAsia" w:ascii="仿宋_GB2312" w:hAnsi="Calibri" w:eastAsia="仿宋_GB2312"/>
                <w:color w:val="auto"/>
                <w:sz w:val="24"/>
              </w:rPr>
              <w:t>执法依据</w:t>
            </w:r>
          </w:p>
        </w:tc>
        <w:tc>
          <w:tcPr>
            <w:tcW w:w="8040" w:type="dxa"/>
            <w:gridSpan w:val="3"/>
            <w:tcBorders>
              <w:top w:val="single" w:color="auto" w:sz="4" w:space="0"/>
              <w:left w:val="single" w:color="000000" w:sz="6" w:space="0"/>
              <w:right w:val="single" w:color="auto" w:sz="8" w:space="0"/>
            </w:tcBorders>
            <w:noWrap w:val="0"/>
            <w:vAlign w:val="center"/>
          </w:tcPr>
          <w:p w14:paraId="4A0B780A">
            <w:pPr>
              <w:pStyle w:val="2"/>
              <w:ind w:left="0" w:leftChars="0" w:firstLine="0" w:firstLineChars="0"/>
              <w:rPr>
                <w:rFonts w:hint="eastAsia" w:ascii="宋体" w:hAnsi="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一、行政处罚</w:t>
            </w:r>
          </w:p>
          <w:p w14:paraId="250A01E5">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w:t>
            </w:r>
            <w:r>
              <w:rPr>
                <w:rFonts w:ascii="宋体" w:hAnsi="宋体" w:eastAsia="宋体" w:cs="宋体"/>
                <w:i w:val="0"/>
                <w:iCs w:val="0"/>
                <w:color w:val="auto"/>
                <w:kern w:val="0"/>
                <w:sz w:val="21"/>
                <w:szCs w:val="21"/>
                <w:u w:val="none"/>
                <w:lang w:val="en-US" w:eastAsia="zh-CN" w:bidi="ar"/>
              </w:rPr>
              <w:t>《四川省城乡规划条例》</w:t>
            </w:r>
          </w:p>
          <w:p w14:paraId="61558B1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Style w:val="12"/>
                <w:color w:val="auto"/>
                <w:lang w:val="en-US" w:eastAsia="zh-CN" w:bidi="ar"/>
              </w:rPr>
            </w:pPr>
            <w:r>
              <w:rPr>
                <w:rStyle w:val="11"/>
                <w:rFonts w:hint="eastAsia"/>
                <w:color w:val="auto"/>
                <w:lang w:val="en-US" w:eastAsia="zh-CN" w:bidi="ar"/>
              </w:rPr>
              <w:t>2.</w:t>
            </w:r>
            <w:r>
              <w:rPr>
                <w:rStyle w:val="11"/>
                <w:rFonts w:eastAsia="宋体"/>
                <w:color w:val="auto"/>
                <w:lang w:val="en-US" w:eastAsia="zh-CN" w:bidi="ar"/>
              </w:rPr>
              <w:t>.</w:t>
            </w:r>
            <w:r>
              <w:rPr>
                <w:rStyle w:val="12"/>
                <w:color w:val="auto"/>
                <w:lang w:val="en-US" w:eastAsia="zh-CN" w:bidi="ar"/>
              </w:rPr>
              <w:t>《村庄和集镇规划建设管理条例》</w:t>
            </w:r>
          </w:p>
          <w:p w14:paraId="112F919C">
            <w:pPr>
              <w:rPr>
                <w:rStyle w:val="12"/>
                <w:color w:val="auto"/>
                <w:lang w:val="en-US" w:eastAsia="zh-CN" w:bidi="ar"/>
              </w:rPr>
            </w:pPr>
            <w:r>
              <w:rPr>
                <w:rStyle w:val="11"/>
                <w:rFonts w:hint="eastAsia"/>
                <w:color w:val="auto"/>
                <w:lang w:val="en-US" w:eastAsia="zh-CN" w:bidi="ar"/>
              </w:rPr>
              <w:t>3</w:t>
            </w:r>
            <w:r>
              <w:rPr>
                <w:rStyle w:val="11"/>
                <w:rFonts w:eastAsia="宋体"/>
                <w:color w:val="auto"/>
                <w:lang w:val="en-US" w:eastAsia="zh-CN" w:bidi="ar"/>
              </w:rPr>
              <w:t>.</w:t>
            </w:r>
            <w:r>
              <w:rPr>
                <w:rStyle w:val="12"/>
                <w:color w:val="auto"/>
                <w:lang w:val="en-US" w:eastAsia="zh-CN" w:bidi="ar"/>
              </w:rPr>
              <w:t>《四川省村镇规划建设管理条例》</w:t>
            </w:r>
          </w:p>
          <w:p w14:paraId="3BCE11F3">
            <w:pPr>
              <w:pStyle w:val="2"/>
              <w:ind w:left="0" w:leftChars="0" w:firstLine="0" w:firstLineChars="0"/>
              <w:rPr>
                <w:rStyle w:val="10"/>
                <w:color w:val="auto"/>
                <w:lang w:val="en-US" w:eastAsia="zh-CN" w:bidi="ar"/>
              </w:rPr>
            </w:pPr>
            <w:r>
              <w:rPr>
                <w:rStyle w:val="10"/>
                <w:rFonts w:hint="eastAsia"/>
                <w:color w:val="auto"/>
                <w:lang w:val="en-US" w:eastAsia="zh-CN" w:bidi="ar"/>
              </w:rPr>
              <w:t>4.</w:t>
            </w:r>
            <w:r>
              <w:rPr>
                <w:rStyle w:val="10"/>
                <w:color w:val="auto"/>
                <w:lang w:val="en-US" w:eastAsia="zh-CN" w:bidi="ar"/>
              </w:rPr>
              <w:t>《四川省水上交通安全管理条例》</w:t>
            </w:r>
          </w:p>
          <w:p w14:paraId="1EDEF6BE">
            <w:pPr>
              <w:rPr>
                <w:rStyle w:val="10"/>
                <w:color w:val="auto"/>
                <w:lang w:val="en-US" w:eastAsia="zh-CN" w:bidi="ar"/>
              </w:rPr>
            </w:pPr>
            <w:r>
              <w:rPr>
                <w:rStyle w:val="10"/>
                <w:rFonts w:hint="eastAsia"/>
                <w:color w:val="auto"/>
                <w:lang w:val="en-US" w:eastAsia="zh-CN" w:bidi="ar"/>
              </w:rPr>
              <w:t>5.</w:t>
            </w:r>
            <w:r>
              <w:rPr>
                <w:rStyle w:val="10"/>
                <w:color w:val="auto"/>
                <w:lang w:val="en-US" w:eastAsia="zh-CN" w:bidi="ar"/>
              </w:rPr>
              <w:t>《血吸虫病防治条例》</w:t>
            </w:r>
          </w:p>
          <w:p w14:paraId="72E017F6">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6.</w:t>
            </w:r>
            <w:r>
              <w:rPr>
                <w:rFonts w:ascii="宋体" w:hAnsi="宋体" w:eastAsia="宋体" w:cs="宋体"/>
                <w:i w:val="0"/>
                <w:iCs w:val="0"/>
                <w:color w:val="auto"/>
                <w:kern w:val="0"/>
                <w:sz w:val="21"/>
                <w:szCs w:val="21"/>
                <w:u w:val="none"/>
                <w:lang w:val="en-US" w:eastAsia="zh-CN" w:bidi="ar"/>
              </w:rPr>
              <w:t>《中华人民共和国城乡规划法》</w:t>
            </w:r>
          </w:p>
          <w:p w14:paraId="42E867CF">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7.</w:t>
            </w:r>
            <w:r>
              <w:rPr>
                <w:rFonts w:ascii="宋体" w:hAnsi="宋体" w:eastAsia="宋体" w:cs="宋体"/>
                <w:i w:val="0"/>
                <w:iCs w:val="0"/>
                <w:color w:val="auto"/>
                <w:kern w:val="0"/>
                <w:sz w:val="21"/>
                <w:szCs w:val="21"/>
                <w:u w:val="none"/>
                <w:lang w:val="en-US" w:eastAsia="zh-CN" w:bidi="ar"/>
              </w:rPr>
              <w:t>《城市照明管理规定》</w:t>
            </w:r>
          </w:p>
          <w:p w14:paraId="0D256E8E">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8.</w:t>
            </w:r>
            <w:r>
              <w:rPr>
                <w:rFonts w:ascii="宋体" w:hAnsi="宋体" w:eastAsia="宋体" w:cs="宋体"/>
                <w:i w:val="0"/>
                <w:iCs w:val="0"/>
                <w:color w:val="auto"/>
                <w:kern w:val="0"/>
                <w:sz w:val="21"/>
                <w:szCs w:val="21"/>
                <w:u w:val="none"/>
                <w:lang w:val="en-US" w:eastAsia="zh-CN" w:bidi="ar"/>
              </w:rPr>
              <w:t>《历史文化名城名镇名村保护条例》</w:t>
            </w:r>
          </w:p>
          <w:p w14:paraId="2D9D8263">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9.</w:t>
            </w:r>
            <w:r>
              <w:rPr>
                <w:rFonts w:ascii="宋体" w:hAnsi="宋体" w:eastAsia="宋体" w:cs="宋体"/>
                <w:i w:val="0"/>
                <w:iCs w:val="0"/>
                <w:color w:val="auto"/>
                <w:kern w:val="0"/>
                <w:sz w:val="21"/>
                <w:szCs w:val="21"/>
                <w:u w:val="none"/>
                <w:lang w:val="en-US" w:eastAsia="zh-CN" w:bidi="ar"/>
              </w:rPr>
              <w:t>《城市市容和环境卫生管理条例》</w:t>
            </w:r>
          </w:p>
          <w:p w14:paraId="5EAC0CC1">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10.</w:t>
            </w:r>
            <w:r>
              <w:rPr>
                <w:rFonts w:ascii="宋体" w:hAnsi="宋体" w:eastAsia="宋体" w:cs="宋体"/>
                <w:i w:val="0"/>
                <w:iCs w:val="0"/>
                <w:color w:val="auto"/>
                <w:kern w:val="0"/>
                <w:sz w:val="21"/>
                <w:szCs w:val="21"/>
                <w:u w:val="none"/>
                <w:lang w:val="en-US" w:eastAsia="zh-CN" w:bidi="ar"/>
              </w:rPr>
              <w:t>《四川省城乡环境综合治理条例》</w:t>
            </w:r>
          </w:p>
          <w:p w14:paraId="42B99D43">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11.</w:t>
            </w:r>
            <w:r>
              <w:rPr>
                <w:rFonts w:ascii="宋体" w:hAnsi="宋体" w:eastAsia="宋体" w:cs="宋体"/>
                <w:i w:val="0"/>
                <w:iCs w:val="0"/>
                <w:color w:val="auto"/>
                <w:kern w:val="0"/>
                <w:sz w:val="21"/>
                <w:szCs w:val="21"/>
                <w:u w:val="none"/>
                <w:lang w:val="en-US" w:eastAsia="zh-CN" w:bidi="ar"/>
              </w:rPr>
              <w:t>《城市建筑垃圾管理规定》</w:t>
            </w:r>
          </w:p>
          <w:p w14:paraId="191F2452">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12.</w:t>
            </w:r>
            <w:r>
              <w:rPr>
                <w:rFonts w:ascii="宋体" w:hAnsi="宋体" w:eastAsia="宋体" w:cs="宋体"/>
                <w:i w:val="0"/>
                <w:iCs w:val="0"/>
                <w:color w:val="auto"/>
                <w:kern w:val="0"/>
                <w:sz w:val="21"/>
                <w:szCs w:val="21"/>
                <w:u w:val="none"/>
                <w:lang w:val="en-US" w:eastAsia="zh-CN" w:bidi="ar"/>
              </w:rPr>
              <w:t>《城市生活垃圾管理办法》</w:t>
            </w:r>
          </w:p>
          <w:p w14:paraId="47C4390C">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13.</w:t>
            </w:r>
            <w:r>
              <w:rPr>
                <w:rFonts w:ascii="宋体" w:hAnsi="宋体" w:eastAsia="宋体" w:cs="宋体"/>
                <w:i w:val="0"/>
                <w:iCs w:val="0"/>
                <w:color w:val="auto"/>
                <w:kern w:val="0"/>
                <w:sz w:val="21"/>
                <w:szCs w:val="21"/>
                <w:u w:val="none"/>
                <w:lang w:val="en-US" w:eastAsia="zh-CN" w:bidi="ar"/>
              </w:rPr>
              <w:t>《城市绿化条例》</w:t>
            </w:r>
          </w:p>
          <w:p w14:paraId="1FE9C145">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14.</w:t>
            </w:r>
            <w:r>
              <w:rPr>
                <w:rFonts w:ascii="宋体" w:hAnsi="宋体" w:eastAsia="宋体" w:cs="宋体"/>
                <w:i w:val="0"/>
                <w:iCs w:val="0"/>
                <w:color w:val="auto"/>
                <w:kern w:val="0"/>
                <w:sz w:val="21"/>
                <w:szCs w:val="21"/>
                <w:u w:val="none"/>
                <w:lang w:val="en-US" w:eastAsia="zh-CN" w:bidi="ar"/>
              </w:rPr>
              <w:t>《四川省城市园林绿化条例》</w:t>
            </w:r>
            <w:r>
              <w:rPr>
                <w:rFonts w:ascii="宋体" w:hAnsi="宋体" w:eastAsia="宋体" w:cs="宋体"/>
                <w:i w:val="0"/>
                <w:iCs w:val="0"/>
                <w:color w:val="auto"/>
                <w:kern w:val="0"/>
                <w:sz w:val="21"/>
                <w:szCs w:val="21"/>
                <w:u w:val="none"/>
                <w:lang w:val="en-US" w:eastAsia="zh-CN" w:bidi="ar"/>
              </w:rPr>
              <w:br w:type="textWrapping"/>
            </w:r>
            <w:r>
              <w:rPr>
                <w:rFonts w:hint="eastAsia" w:ascii="宋体" w:hAnsi="宋体" w:eastAsia="宋体" w:cs="宋体"/>
                <w:i w:val="0"/>
                <w:iCs w:val="0"/>
                <w:color w:val="auto"/>
                <w:kern w:val="0"/>
                <w:sz w:val="21"/>
                <w:szCs w:val="21"/>
                <w:u w:val="none"/>
                <w:lang w:val="en-US" w:eastAsia="zh-CN" w:bidi="ar"/>
              </w:rPr>
              <w:t>15.</w:t>
            </w:r>
            <w:r>
              <w:rPr>
                <w:rFonts w:ascii="宋体" w:hAnsi="宋体" w:eastAsia="宋体" w:cs="宋体"/>
                <w:i w:val="0"/>
                <w:iCs w:val="0"/>
                <w:color w:val="auto"/>
                <w:kern w:val="0"/>
                <w:sz w:val="21"/>
                <w:szCs w:val="21"/>
                <w:u w:val="none"/>
                <w:lang w:val="en-US" w:eastAsia="zh-CN" w:bidi="ar"/>
              </w:rPr>
              <w:t>《四川省城市供水条例》</w:t>
            </w:r>
          </w:p>
          <w:p w14:paraId="6B00C700">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16.</w:t>
            </w:r>
            <w:r>
              <w:rPr>
                <w:rFonts w:ascii="宋体" w:hAnsi="宋体" w:eastAsia="宋体" w:cs="宋体"/>
                <w:i w:val="0"/>
                <w:iCs w:val="0"/>
                <w:color w:val="auto"/>
                <w:kern w:val="0"/>
                <w:sz w:val="21"/>
                <w:szCs w:val="21"/>
                <w:u w:val="none"/>
                <w:lang w:val="en-US" w:eastAsia="zh-CN" w:bidi="ar"/>
              </w:rPr>
              <w:t>《城市绿线管理办法》</w:t>
            </w:r>
          </w:p>
          <w:p w14:paraId="032B922D">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17.</w:t>
            </w:r>
            <w:r>
              <w:rPr>
                <w:rFonts w:ascii="宋体" w:hAnsi="宋体" w:eastAsia="宋体" w:cs="宋体"/>
                <w:i w:val="0"/>
                <w:iCs w:val="0"/>
                <w:color w:val="auto"/>
                <w:kern w:val="0"/>
                <w:sz w:val="21"/>
                <w:szCs w:val="21"/>
                <w:u w:val="none"/>
                <w:lang w:val="en-US" w:eastAsia="zh-CN" w:bidi="ar"/>
              </w:rPr>
              <w:t>《中华人民共和国大气污染防治法》</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《中华人民共和国大气污染防治法》第一百一十九条第一款  违反本法规定，在人口集中地区对树木、花草喷洒剧毒、高毒农药，或者露天焚烧秸秆、落叶等产生烟尘污染的物质的，由县级以上地方人民政府确定的监督管理部门责令改正，并可以处五百元以上二千元以下的罚款。</w:t>
            </w:r>
          </w:p>
          <w:p w14:paraId="27FA3812">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18.</w:t>
            </w:r>
            <w:r>
              <w:rPr>
                <w:rFonts w:ascii="宋体" w:hAnsi="宋体" w:eastAsia="宋体" w:cs="宋体"/>
                <w:i w:val="0"/>
                <w:iCs w:val="0"/>
                <w:color w:val="auto"/>
                <w:kern w:val="0"/>
                <w:sz w:val="21"/>
                <w:szCs w:val="21"/>
                <w:u w:val="none"/>
                <w:lang w:val="en-US" w:eastAsia="zh-CN" w:bidi="ar"/>
              </w:rPr>
              <w:t>《中华人民共和国公路法》</w:t>
            </w:r>
          </w:p>
          <w:p w14:paraId="4B3DDB83">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19.</w:t>
            </w:r>
            <w:r>
              <w:rPr>
                <w:rFonts w:ascii="宋体" w:hAnsi="宋体" w:eastAsia="宋体" w:cs="宋体"/>
                <w:i w:val="0"/>
                <w:iCs w:val="0"/>
                <w:color w:val="auto"/>
                <w:kern w:val="0"/>
                <w:sz w:val="21"/>
                <w:szCs w:val="21"/>
                <w:u w:val="none"/>
                <w:lang w:val="en-US" w:eastAsia="zh-CN" w:bidi="ar"/>
              </w:rPr>
              <w:t>《公路安全保护条例》</w:t>
            </w:r>
          </w:p>
          <w:p w14:paraId="671889DE">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20.</w:t>
            </w:r>
            <w:r>
              <w:rPr>
                <w:rFonts w:ascii="宋体" w:hAnsi="宋体" w:eastAsia="宋体" w:cs="宋体"/>
                <w:i w:val="0"/>
                <w:iCs w:val="0"/>
                <w:color w:val="auto"/>
                <w:kern w:val="0"/>
                <w:sz w:val="21"/>
                <w:szCs w:val="21"/>
                <w:u w:val="none"/>
                <w:lang w:val="en-US" w:eastAsia="zh-CN" w:bidi="ar"/>
              </w:rPr>
              <w:t>《四川省农村公路条例》</w:t>
            </w:r>
          </w:p>
          <w:p w14:paraId="6335B0E3">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21.</w:t>
            </w:r>
            <w:r>
              <w:rPr>
                <w:rFonts w:ascii="宋体" w:hAnsi="宋体" w:eastAsia="宋体" w:cs="宋体"/>
                <w:i w:val="0"/>
                <w:iCs w:val="0"/>
                <w:color w:val="auto"/>
                <w:kern w:val="0"/>
                <w:sz w:val="21"/>
                <w:szCs w:val="21"/>
                <w:u w:val="none"/>
                <w:lang w:val="en-US" w:eastAsia="zh-CN" w:bidi="ar"/>
              </w:rPr>
              <w:t>《中华人民共和国水土保持法》</w:t>
            </w:r>
          </w:p>
          <w:p w14:paraId="27114326">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22.</w:t>
            </w:r>
            <w:r>
              <w:rPr>
                <w:rFonts w:ascii="宋体" w:hAnsi="宋体" w:eastAsia="宋体" w:cs="宋体"/>
                <w:i w:val="0"/>
                <w:iCs w:val="0"/>
                <w:color w:val="auto"/>
                <w:kern w:val="0"/>
                <w:sz w:val="21"/>
                <w:szCs w:val="21"/>
                <w:u w:val="none"/>
                <w:lang w:val="en-US" w:eastAsia="zh-CN" w:bidi="ar"/>
              </w:rPr>
              <w:t>《四川省〈中华人民共和国防洪法〉实施办法》</w:t>
            </w:r>
          </w:p>
          <w:p w14:paraId="6855201C">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23.</w:t>
            </w:r>
            <w:r>
              <w:rPr>
                <w:rFonts w:ascii="宋体" w:hAnsi="宋体" w:eastAsia="宋体" w:cs="宋体"/>
                <w:i w:val="0"/>
                <w:iCs w:val="0"/>
                <w:color w:val="auto"/>
                <w:kern w:val="0"/>
                <w:sz w:val="21"/>
                <w:szCs w:val="21"/>
                <w:u w:val="none"/>
                <w:lang w:val="en-US" w:eastAsia="zh-CN" w:bidi="ar"/>
              </w:rPr>
              <w:t>《四川省水利工程管理条例》</w:t>
            </w:r>
          </w:p>
          <w:p w14:paraId="66A0B17E">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24.</w:t>
            </w:r>
            <w:r>
              <w:rPr>
                <w:rFonts w:ascii="宋体" w:hAnsi="宋体" w:eastAsia="宋体" w:cs="宋体"/>
                <w:i w:val="0"/>
                <w:iCs w:val="0"/>
                <w:color w:val="auto"/>
                <w:kern w:val="0"/>
                <w:sz w:val="21"/>
                <w:szCs w:val="21"/>
                <w:u w:val="none"/>
                <w:lang w:val="en-US" w:eastAsia="zh-CN" w:bidi="ar"/>
              </w:rPr>
              <w:t>《四川省村镇供水条例》</w:t>
            </w:r>
          </w:p>
          <w:p w14:paraId="283761E0">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25.</w:t>
            </w:r>
            <w:r>
              <w:rPr>
                <w:rFonts w:ascii="宋体" w:hAnsi="宋体" w:eastAsia="宋体" w:cs="宋体"/>
                <w:i w:val="0"/>
                <w:iCs w:val="0"/>
                <w:color w:val="auto"/>
                <w:kern w:val="0"/>
                <w:sz w:val="21"/>
                <w:szCs w:val="21"/>
                <w:u w:val="none"/>
                <w:lang w:val="en-US" w:eastAsia="zh-CN" w:bidi="ar"/>
              </w:rPr>
              <w:t>《中华人民共和国河道管理条例》</w:t>
            </w:r>
          </w:p>
          <w:p w14:paraId="74B545D0">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26.</w:t>
            </w:r>
            <w:r>
              <w:rPr>
                <w:rFonts w:ascii="宋体" w:hAnsi="宋体" w:eastAsia="宋体" w:cs="宋体"/>
                <w:i w:val="0"/>
                <w:iCs w:val="0"/>
                <w:color w:val="auto"/>
                <w:kern w:val="0"/>
                <w:sz w:val="21"/>
                <w:szCs w:val="21"/>
                <w:u w:val="none"/>
                <w:lang w:val="en-US" w:eastAsia="zh-CN" w:bidi="ar"/>
              </w:rPr>
              <w:t>《四川省水利工程管理条例》</w:t>
            </w:r>
          </w:p>
          <w:p w14:paraId="5C6D506E">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27.</w:t>
            </w:r>
            <w:r>
              <w:rPr>
                <w:rFonts w:ascii="宋体" w:hAnsi="宋体" w:eastAsia="宋体" w:cs="宋体"/>
                <w:i w:val="0"/>
                <w:iCs w:val="0"/>
                <w:color w:val="auto"/>
                <w:kern w:val="0"/>
                <w:sz w:val="21"/>
                <w:szCs w:val="21"/>
                <w:u w:val="none"/>
                <w:lang w:val="en-US" w:eastAsia="zh-CN" w:bidi="ar"/>
              </w:rPr>
              <w:t>《中华人民共和国土壤污染防治法》</w:t>
            </w:r>
          </w:p>
          <w:p w14:paraId="10BD65B3">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28.</w:t>
            </w:r>
            <w:r>
              <w:rPr>
                <w:rFonts w:ascii="宋体" w:hAnsi="宋体" w:eastAsia="宋体" w:cs="宋体"/>
                <w:i w:val="0"/>
                <w:iCs w:val="0"/>
                <w:color w:val="auto"/>
                <w:kern w:val="0"/>
                <w:sz w:val="21"/>
                <w:szCs w:val="21"/>
                <w:u w:val="none"/>
                <w:lang w:val="en-US" w:eastAsia="zh-CN" w:bidi="ar"/>
              </w:rPr>
              <w:t>《农药包装废弃物回收处理管理办法》</w:t>
            </w:r>
          </w:p>
          <w:p w14:paraId="10142460">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29.</w:t>
            </w:r>
            <w:r>
              <w:rPr>
                <w:rFonts w:ascii="宋体" w:hAnsi="宋体" w:eastAsia="宋体" w:cs="宋体"/>
                <w:i w:val="0"/>
                <w:iCs w:val="0"/>
                <w:color w:val="auto"/>
                <w:kern w:val="0"/>
                <w:sz w:val="21"/>
                <w:szCs w:val="21"/>
                <w:u w:val="none"/>
                <w:lang w:val="en-US" w:eastAsia="zh-CN" w:bidi="ar"/>
              </w:rPr>
              <w:t>《农用薄膜管理办法》</w:t>
            </w:r>
          </w:p>
          <w:p w14:paraId="5BEC2360">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30.</w:t>
            </w:r>
            <w:r>
              <w:rPr>
                <w:rFonts w:ascii="宋体" w:hAnsi="宋体" w:eastAsia="宋体" w:cs="宋体"/>
                <w:i w:val="0"/>
                <w:iCs w:val="0"/>
                <w:color w:val="auto"/>
                <w:kern w:val="0"/>
                <w:sz w:val="21"/>
                <w:szCs w:val="21"/>
                <w:u w:val="none"/>
                <w:lang w:val="en-US" w:eastAsia="zh-CN" w:bidi="ar"/>
              </w:rPr>
              <w:t>《农作物病虫害防治条例》</w:t>
            </w:r>
          </w:p>
          <w:p w14:paraId="2C43B0B4">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31.</w:t>
            </w:r>
            <w:r>
              <w:rPr>
                <w:rFonts w:ascii="宋体" w:hAnsi="宋体" w:eastAsia="宋体" w:cs="宋体"/>
                <w:i w:val="0"/>
                <w:iCs w:val="0"/>
                <w:color w:val="auto"/>
                <w:kern w:val="0"/>
                <w:sz w:val="21"/>
                <w:szCs w:val="21"/>
                <w:u w:val="none"/>
                <w:lang w:val="en-US" w:eastAsia="zh-CN" w:bidi="ar"/>
              </w:rPr>
              <w:t>《四川省饮用水水源保护管理条例》</w:t>
            </w:r>
          </w:p>
          <w:p w14:paraId="38B90783">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32.</w:t>
            </w:r>
            <w:r>
              <w:rPr>
                <w:rFonts w:ascii="宋体" w:hAnsi="宋体" w:eastAsia="宋体" w:cs="宋体"/>
                <w:i w:val="0"/>
                <w:iCs w:val="0"/>
                <w:color w:val="auto"/>
                <w:kern w:val="0"/>
                <w:sz w:val="21"/>
                <w:szCs w:val="21"/>
                <w:u w:val="none"/>
                <w:lang w:val="en-US" w:eastAsia="zh-CN" w:bidi="ar"/>
              </w:rPr>
              <w:t>《四川省〈中华人民共和国农产品质量安全法〉实施办法》</w:t>
            </w:r>
          </w:p>
          <w:p w14:paraId="75A6881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33.</w:t>
            </w:r>
            <w:r>
              <w:rPr>
                <w:rFonts w:ascii="宋体" w:hAnsi="宋体" w:eastAsia="宋体" w:cs="宋体"/>
                <w:i w:val="0"/>
                <w:iCs w:val="0"/>
                <w:color w:val="auto"/>
                <w:kern w:val="0"/>
                <w:sz w:val="21"/>
                <w:szCs w:val="21"/>
                <w:u w:val="none"/>
                <w:lang w:val="en-US" w:eastAsia="zh-CN" w:bidi="ar"/>
              </w:rPr>
              <w:t>《中华人民共和国农产品质量安全法》</w:t>
            </w:r>
          </w:p>
          <w:p w14:paraId="76AC3B07">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34.</w:t>
            </w:r>
            <w:r>
              <w:rPr>
                <w:rFonts w:ascii="宋体" w:hAnsi="宋体" w:eastAsia="宋体" w:cs="宋体"/>
                <w:i w:val="0"/>
                <w:iCs w:val="0"/>
                <w:color w:val="auto"/>
                <w:kern w:val="0"/>
                <w:sz w:val="21"/>
                <w:szCs w:val="21"/>
                <w:u w:val="none"/>
                <w:lang w:val="en-US" w:eastAsia="zh-CN" w:bidi="ar"/>
              </w:rPr>
              <w:t>《农产品包装和标识管理办法》</w:t>
            </w:r>
          </w:p>
          <w:p w14:paraId="1967606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35.</w:t>
            </w:r>
            <w:r>
              <w:rPr>
                <w:rFonts w:ascii="宋体" w:hAnsi="宋体" w:eastAsia="宋体" w:cs="宋体"/>
                <w:i w:val="0"/>
                <w:iCs w:val="0"/>
                <w:color w:val="auto"/>
                <w:kern w:val="0"/>
                <w:sz w:val="21"/>
                <w:szCs w:val="21"/>
                <w:u w:val="none"/>
                <w:lang w:val="en-US" w:eastAsia="zh-CN" w:bidi="ar"/>
              </w:rPr>
              <w:t>《农产品产地安全管理办法》</w:t>
            </w:r>
          </w:p>
          <w:p w14:paraId="7C8A2322">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36.</w:t>
            </w:r>
            <w:r>
              <w:rPr>
                <w:rFonts w:ascii="宋体" w:hAnsi="宋体" w:eastAsia="宋体" w:cs="宋体"/>
                <w:i w:val="0"/>
                <w:iCs w:val="0"/>
                <w:color w:val="auto"/>
                <w:kern w:val="0"/>
                <w:sz w:val="21"/>
                <w:szCs w:val="21"/>
                <w:u w:val="none"/>
                <w:lang w:val="en-US" w:eastAsia="zh-CN" w:bidi="ar"/>
              </w:rPr>
              <w:t>《国务院关于加强食品等产品安全监督管理的特别规定》</w:t>
            </w:r>
          </w:p>
          <w:p w14:paraId="291E89F6">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37.</w:t>
            </w:r>
            <w:r>
              <w:rPr>
                <w:rFonts w:ascii="宋体" w:hAnsi="宋体" w:eastAsia="宋体" w:cs="宋体"/>
                <w:i w:val="0"/>
                <w:iCs w:val="0"/>
                <w:color w:val="auto"/>
                <w:kern w:val="0"/>
                <w:sz w:val="21"/>
                <w:szCs w:val="21"/>
                <w:u w:val="none"/>
                <w:lang w:val="en-US" w:eastAsia="zh-CN" w:bidi="ar"/>
              </w:rPr>
              <w:t>《农业机械安全监督管理条例》</w:t>
            </w:r>
          </w:p>
          <w:p w14:paraId="7D1FD94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38.</w:t>
            </w:r>
            <w:r>
              <w:rPr>
                <w:rFonts w:ascii="宋体" w:hAnsi="宋体" w:eastAsia="宋体" w:cs="宋体"/>
                <w:i w:val="0"/>
                <w:iCs w:val="0"/>
                <w:color w:val="auto"/>
                <w:kern w:val="0"/>
                <w:sz w:val="21"/>
                <w:szCs w:val="21"/>
                <w:u w:val="none"/>
                <w:lang w:val="en-US" w:eastAsia="zh-CN" w:bidi="ar"/>
              </w:rPr>
              <w:t>《中华人民共和国农业机械化促进法》</w:t>
            </w:r>
          </w:p>
          <w:p w14:paraId="57049242">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39.</w:t>
            </w:r>
            <w:r>
              <w:rPr>
                <w:rFonts w:ascii="宋体" w:hAnsi="宋体" w:eastAsia="宋体" w:cs="宋体"/>
                <w:i w:val="0"/>
                <w:iCs w:val="0"/>
                <w:color w:val="auto"/>
                <w:kern w:val="0"/>
                <w:sz w:val="21"/>
                <w:szCs w:val="21"/>
                <w:u w:val="none"/>
                <w:lang w:val="en-US" w:eastAsia="zh-CN" w:bidi="ar"/>
              </w:rPr>
              <w:t>《农业机械安全监督管理条例》</w:t>
            </w:r>
          </w:p>
          <w:p w14:paraId="53F69B91">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40.</w:t>
            </w:r>
            <w:r>
              <w:rPr>
                <w:rFonts w:ascii="宋体" w:hAnsi="宋体" w:eastAsia="宋体" w:cs="宋体"/>
                <w:i w:val="0"/>
                <w:iCs w:val="0"/>
                <w:color w:val="auto"/>
                <w:kern w:val="0"/>
                <w:sz w:val="21"/>
                <w:szCs w:val="21"/>
                <w:u w:val="none"/>
                <w:lang w:val="en-US" w:eastAsia="zh-CN" w:bidi="ar"/>
              </w:rPr>
              <w:t>《四川省农村机电提灌管理条例》</w:t>
            </w:r>
          </w:p>
          <w:p w14:paraId="18E4C305">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41.</w:t>
            </w:r>
            <w:r>
              <w:rPr>
                <w:rFonts w:ascii="宋体" w:hAnsi="宋体" w:eastAsia="宋体" w:cs="宋体"/>
                <w:i w:val="0"/>
                <w:iCs w:val="0"/>
                <w:color w:val="auto"/>
                <w:kern w:val="0"/>
                <w:sz w:val="21"/>
                <w:szCs w:val="21"/>
                <w:u w:val="none"/>
                <w:lang w:val="en-US" w:eastAsia="zh-CN" w:bidi="ar"/>
              </w:rPr>
              <w:t>《饲料和饲料添加剂管理条例》</w:t>
            </w:r>
          </w:p>
          <w:p w14:paraId="42F403DA">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42.</w:t>
            </w:r>
            <w:r>
              <w:rPr>
                <w:rFonts w:ascii="宋体" w:hAnsi="宋体" w:eastAsia="宋体" w:cs="宋体"/>
                <w:i w:val="0"/>
                <w:iCs w:val="0"/>
                <w:color w:val="auto"/>
                <w:kern w:val="0"/>
                <w:sz w:val="21"/>
                <w:szCs w:val="21"/>
                <w:u w:val="none"/>
                <w:lang w:val="en-US" w:eastAsia="zh-CN" w:bidi="ar"/>
              </w:rPr>
              <w:t>《四川省〈中华人民共和国渔业法〉实施办法》</w:t>
            </w:r>
          </w:p>
          <w:p w14:paraId="2F4ADDF1">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44.</w:t>
            </w:r>
            <w:r>
              <w:rPr>
                <w:rFonts w:ascii="宋体" w:hAnsi="宋体" w:eastAsia="宋体" w:cs="宋体"/>
                <w:i w:val="0"/>
                <w:iCs w:val="0"/>
                <w:color w:val="auto"/>
                <w:kern w:val="0"/>
                <w:sz w:val="21"/>
                <w:szCs w:val="21"/>
                <w:u w:val="none"/>
                <w:lang w:val="en-US" w:eastAsia="zh-CN" w:bidi="ar"/>
              </w:rPr>
              <w:t>《生猪屠宰管理条例》</w:t>
            </w:r>
          </w:p>
          <w:p w14:paraId="22D6F0E3">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45.</w:t>
            </w:r>
            <w:r>
              <w:rPr>
                <w:rFonts w:ascii="宋体" w:hAnsi="宋体" w:eastAsia="宋体" w:cs="宋体"/>
                <w:i w:val="0"/>
                <w:iCs w:val="0"/>
                <w:color w:val="auto"/>
                <w:kern w:val="0"/>
                <w:sz w:val="21"/>
                <w:szCs w:val="21"/>
                <w:u w:val="none"/>
                <w:lang w:val="en-US" w:eastAsia="zh-CN" w:bidi="ar"/>
              </w:rPr>
              <w:t>《农药管理条例》</w:t>
            </w:r>
          </w:p>
          <w:p w14:paraId="11F25820">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46.</w:t>
            </w:r>
            <w:r>
              <w:rPr>
                <w:rFonts w:ascii="宋体" w:hAnsi="宋体" w:eastAsia="宋体" w:cs="宋体"/>
                <w:i w:val="0"/>
                <w:iCs w:val="0"/>
                <w:color w:val="auto"/>
                <w:kern w:val="0"/>
                <w:sz w:val="21"/>
                <w:szCs w:val="21"/>
                <w:u w:val="none"/>
                <w:lang w:val="en-US" w:eastAsia="zh-CN" w:bidi="ar"/>
              </w:rPr>
              <w:t>《农药经营许可管理办法》</w:t>
            </w:r>
          </w:p>
          <w:p w14:paraId="1CD9AC67">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47.</w:t>
            </w:r>
            <w:r>
              <w:rPr>
                <w:rFonts w:ascii="宋体" w:hAnsi="宋体" w:eastAsia="宋体" w:cs="宋体"/>
                <w:i w:val="0"/>
                <w:iCs w:val="0"/>
                <w:color w:val="auto"/>
                <w:kern w:val="0"/>
                <w:sz w:val="21"/>
                <w:szCs w:val="21"/>
                <w:u w:val="none"/>
                <w:lang w:val="en-US" w:eastAsia="zh-CN" w:bidi="ar"/>
              </w:rPr>
              <w:t>《中华人民共和国渔业法》</w:t>
            </w:r>
          </w:p>
          <w:p w14:paraId="14EE0205">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48.</w:t>
            </w:r>
            <w:r>
              <w:rPr>
                <w:rFonts w:ascii="宋体" w:hAnsi="宋体" w:eastAsia="宋体" w:cs="宋体"/>
                <w:i w:val="0"/>
                <w:iCs w:val="0"/>
                <w:color w:val="auto"/>
                <w:kern w:val="0"/>
                <w:sz w:val="21"/>
                <w:szCs w:val="21"/>
                <w:u w:val="none"/>
                <w:lang w:val="en-US" w:eastAsia="zh-CN" w:bidi="ar"/>
              </w:rPr>
              <w:t>《中华人民共和国土地管理法》</w:t>
            </w:r>
          </w:p>
          <w:p w14:paraId="5423D411">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49.</w:t>
            </w:r>
            <w:r>
              <w:rPr>
                <w:rFonts w:ascii="宋体" w:hAnsi="宋体" w:eastAsia="宋体" w:cs="宋体"/>
                <w:i w:val="0"/>
                <w:iCs w:val="0"/>
                <w:color w:val="auto"/>
                <w:kern w:val="0"/>
                <w:sz w:val="21"/>
                <w:szCs w:val="21"/>
                <w:u w:val="none"/>
                <w:lang w:val="en-US" w:eastAsia="zh-CN" w:bidi="ar"/>
              </w:rPr>
              <w:t>《互联网上网服务营业场所管理条例》</w:t>
            </w:r>
          </w:p>
          <w:p w14:paraId="751F842E">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50.</w:t>
            </w:r>
            <w:r>
              <w:rPr>
                <w:rFonts w:ascii="宋体" w:hAnsi="宋体" w:eastAsia="宋体" w:cs="宋体"/>
                <w:i w:val="0"/>
                <w:iCs w:val="0"/>
                <w:color w:val="auto"/>
                <w:kern w:val="0"/>
                <w:sz w:val="21"/>
                <w:szCs w:val="21"/>
                <w:u w:val="none"/>
                <w:lang w:val="en-US" w:eastAsia="zh-CN" w:bidi="ar"/>
              </w:rPr>
              <w:t>《营业性演出管理条例》</w:t>
            </w:r>
          </w:p>
          <w:p w14:paraId="2A06B6B8">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51.</w:t>
            </w:r>
            <w:r>
              <w:rPr>
                <w:rFonts w:ascii="宋体" w:hAnsi="宋体" w:eastAsia="宋体" w:cs="宋体"/>
                <w:i w:val="0"/>
                <w:iCs w:val="0"/>
                <w:color w:val="auto"/>
                <w:kern w:val="0"/>
                <w:sz w:val="21"/>
                <w:szCs w:val="21"/>
                <w:u w:val="none"/>
                <w:lang w:val="en-US" w:eastAsia="zh-CN" w:bidi="ar"/>
              </w:rPr>
              <w:t>《娱乐场所管理条例》</w:t>
            </w:r>
          </w:p>
          <w:p w14:paraId="64B09A8F">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52.</w:t>
            </w:r>
            <w:r>
              <w:rPr>
                <w:rFonts w:ascii="宋体" w:hAnsi="宋体" w:eastAsia="宋体" w:cs="宋体"/>
                <w:i w:val="0"/>
                <w:iCs w:val="0"/>
                <w:color w:val="auto"/>
                <w:kern w:val="0"/>
                <w:sz w:val="21"/>
                <w:szCs w:val="21"/>
                <w:u w:val="none"/>
                <w:lang w:val="en-US" w:eastAsia="zh-CN" w:bidi="ar"/>
              </w:rPr>
              <w:t>《娱乐场所管理办法》</w:t>
            </w:r>
          </w:p>
          <w:p w14:paraId="4452CCB7">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53.</w:t>
            </w:r>
            <w:r>
              <w:rPr>
                <w:rFonts w:ascii="宋体" w:hAnsi="宋体" w:eastAsia="宋体" w:cs="宋体"/>
                <w:i w:val="0"/>
                <w:iCs w:val="0"/>
                <w:color w:val="auto"/>
                <w:kern w:val="0"/>
                <w:sz w:val="21"/>
                <w:szCs w:val="21"/>
                <w:u w:val="none"/>
                <w:lang w:val="en-US" w:eastAsia="zh-CN" w:bidi="ar"/>
              </w:rPr>
              <w:t>《四川省娱乐场所管理办法》</w:t>
            </w:r>
          </w:p>
          <w:p w14:paraId="18B43F9A">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54.</w:t>
            </w:r>
            <w:r>
              <w:rPr>
                <w:rFonts w:ascii="宋体" w:hAnsi="宋体" w:eastAsia="宋体" w:cs="宋体"/>
                <w:i w:val="0"/>
                <w:iCs w:val="0"/>
                <w:color w:val="auto"/>
                <w:kern w:val="0"/>
                <w:sz w:val="21"/>
                <w:szCs w:val="21"/>
                <w:u w:val="none"/>
                <w:lang w:val="en-US" w:eastAsia="zh-CN" w:bidi="ar"/>
              </w:rPr>
              <w:t>《烟花爆竹安全管理条例》</w:t>
            </w:r>
          </w:p>
          <w:p w14:paraId="7CCB4022">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55.</w:t>
            </w:r>
            <w:r>
              <w:rPr>
                <w:rFonts w:ascii="宋体" w:hAnsi="宋体" w:eastAsia="宋体" w:cs="宋体"/>
                <w:i w:val="0"/>
                <w:iCs w:val="0"/>
                <w:color w:val="auto"/>
                <w:kern w:val="0"/>
                <w:sz w:val="21"/>
                <w:szCs w:val="21"/>
                <w:u w:val="none"/>
                <w:lang w:val="en-US" w:eastAsia="zh-CN" w:bidi="ar"/>
              </w:rPr>
              <w:t>《烟花爆竹经营许可实施办法》</w:t>
            </w:r>
          </w:p>
          <w:p w14:paraId="75698DA2">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56.</w:t>
            </w:r>
            <w:r>
              <w:rPr>
                <w:rFonts w:ascii="宋体" w:hAnsi="宋体" w:eastAsia="宋体" w:cs="宋体"/>
                <w:i w:val="0"/>
                <w:iCs w:val="0"/>
                <w:color w:val="auto"/>
                <w:kern w:val="0"/>
                <w:sz w:val="21"/>
                <w:szCs w:val="21"/>
                <w:u w:val="none"/>
                <w:lang w:val="en-US" w:eastAsia="zh-CN" w:bidi="ar"/>
              </w:rPr>
              <w:t>《生产安全事故应急预案管理办法》</w:t>
            </w:r>
          </w:p>
          <w:p w14:paraId="50199726">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57.</w:t>
            </w:r>
            <w:r>
              <w:rPr>
                <w:rFonts w:ascii="宋体" w:hAnsi="宋体" w:eastAsia="宋体" w:cs="宋体"/>
                <w:i w:val="0"/>
                <w:iCs w:val="0"/>
                <w:color w:val="auto"/>
                <w:kern w:val="0"/>
                <w:sz w:val="21"/>
                <w:szCs w:val="21"/>
                <w:u w:val="none"/>
                <w:lang w:val="en-US" w:eastAsia="zh-CN" w:bidi="ar"/>
              </w:rPr>
              <w:t>《四川省古树名木保护条例》</w:t>
            </w:r>
          </w:p>
          <w:p w14:paraId="20D5A952">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58.</w:t>
            </w:r>
            <w:r>
              <w:rPr>
                <w:rFonts w:ascii="宋体" w:hAnsi="宋体" w:eastAsia="宋体" w:cs="宋体"/>
                <w:i w:val="0"/>
                <w:iCs w:val="0"/>
                <w:color w:val="auto"/>
                <w:kern w:val="0"/>
                <w:sz w:val="21"/>
                <w:szCs w:val="21"/>
                <w:u w:val="none"/>
                <w:lang w:val="en-US" w:eastAsia="zh-CN" w:bidi="ar"/>
              </w:rPr>
              <w:t>《森林防火条例》</w:t>
            </w:r>
          </w:p>
          <w:p w14:paraId="3F76C186">
            <w:pP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59.</w:t>
            </w:r>
            <w:r>
              <w:rPr>
                <w:rFonts w:ascii="宋体" w:hAnsi="宋体" w:eastAsia="宋体" w:cs="宋体"/>
                <w:i w:val="0"/>
                <w:iCs w:val="0"/>
                <w:color w:val="auto"/>
                <w:kern w:val="0"/>
                <w:sz w:val="21"/>
                <w:szCs w:val="21"/>
                <w:u w:val="none"/>
                <w:lang w:val="en-US" w:eastAsia="zh-CN" w:bidi="ar"/>
              </w:rPr>
              <w:t>《四川省森林防火条例》</w:t>
            </w:r>
          </w:p>
          <w:p w14:paraId="258DAEE2">
            <w:pPr>
              <w:pStyle w:val="2"/>
              <w:ind w:left="0" w:leftChars="0" w:firstLine="0" w:firstLineChars="0"/>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60.</w:t>
            </w:r>
            <w:r>
              <w:rPr>
                <w:rFonts w:ascii="宋体" w:hAnsi="宋体" w:eastAsia="宋体" w:cs="宋体"/>
                <w:i w:val="0"/>
                <w:iCs w:val="0"/>
                <w:color w:val="auto"/>
                <w:kern w:val="0"/>
                <w:sz w:val="21"/>
                <w:szCs w:val="21"/>
                <w:u w:val="none"/>
                <w:lang w:val="en-US" w:eastAsia="zh-CN" w:bidi="ar"/>
              </w:rPr>
              <w:t>《四川省野生植物保护条例》</w:t>
            </w:r>
          </w:p>
          <w:p w14:paraId="12BD27CE">
            <w:pPr>
              <w:rPr>
                <w:lang w:val="en-US" w:eastAsia="zh-CN"/>
              </w:rPr>
            </w:pPr>
            <w:r>
              <w:rPr>
                <w:rFonts w:hint="eastAsia" w:ascii="宋体" w:hAnsi="宋体" w:eastAsia="宋体" w:cs="宋体"/>
                <w:i w:val="0"/>
                <w:iCs w:val="0"/>
                <w:color w:val="auto"/>
                <w:kern w:val="0"/>
                <w:sz w:val="21"/>
                <w:szCs w:val="21"/>
                <w:u w:val="none"/>
                <w:lang w:val="en-US" w:eastAsia="zh-CN" w:bidi="ar"/>
              </w:rPr>
              <w:t>61.</w:t>
            </w:r>
            <w:r>
              <w:rPr>
                <w:rFonts w:ascii="宋体" w:hAnsi="宋体" w:eastAsia="宋体" w:cs="宋体"/>
                <w:i w:val="0"/>
                <w:iCs w:val="0"/>
                <w:color w:val="auto"/>
                <w:kern w:val="0"/>
                <w:sz w:val="21"/>
                <w:szCs w:val="21"/>
                <w:u w:val="none"/>
                <w:lang w:val="en-US" w:eastAsia="zh-CN" w:bidi="ar"/>
              </w:rPr>
              <w:t>《中华人民共和国森林法》</w:t>
            </w:r>
          </w:p>
          <w:p w14:paraId="44DB18FC">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二、行政许可</w:t>
            </w:r>
          </w:p>
          <w:p w14:paraId="1B96F9AC">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《中华人民共和国义务教育法》</w:t>
            </w:r>
          </w:p>
          <w:p w14:paraId="24BC2FBC">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《村庄和集镇规划建设管理条例》</w:t>
            </w:r>
          </w:p>
          <w:p w14:paraId="4911E5E9">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《四川省村镇规划建设管理条例》</w:t>
            </w:r>
          </w:p>
          <w:p w14:paraId="6C91E54A">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《四川省城乡规划条例》</w:t>
            </w:r>
          </w:p>
          <w:p w14:paraId="65C97A49">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《四川省&lt;中华人民共和国土地管理法&gt;实施办法》</w:t>
            </w:r>
          </w:p>
          <w:p w14:paraId="3AC85687">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《中华人民共和国农村土地承包法》</w:t>
            </w:r>
          </w:p>
          <w:p w14:paraId="072F15FD">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《中华人民共和国土地管理法》</w:t>
            </w:r>
          </w:p>
          <w:p w14:paraId="7543D888">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《四川省预防控制狂犬病条例》</w:t>
            </w:r>
          </w:p>
          <w:p w14:paraId="7588748E">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三、行政确认</w:t>
            </w:r>
          </w:p>
          <w:p w14:paraId="064EC92E">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1、《幼儿园管理条例》</w:t>
            </w:r>
          </w:p>
          <w:p w14:paraId="17D1778D">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2、《婚姻登记条例》</w:t>
            </w:r>
          </w:p>
          <w:p w14:paraId="5F3137B1">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3、《四川省水上交通安全管理条例》</w:t>
            </w:r>
          </w:p>
          <w:p w14:paraId="09E36AAA">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4、《四川省食品安全条例》</w:t>
            </w:r>
          </w:p>
          <w:p w14:paraId="19E47221">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5、《征兵工作条例》</w:t>
            </w:r>
          </w:p>
          <w:p w14:paraId="3E4E7ADA">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6、《四川省农村机电提灌管理条例》</w:t>
            </w:r>
          </w:p>
          <w:p w14:paraId="41715F87">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四、行政征收</w:t>
            </w:r>
          </w:p>
          <w:p w14:paraId="426E3F86">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1、《中华人民共和国突发事件应对法》</w:t>
            </w:r>
          </w:p>
          <w:p w14:paraId="2DFF5E8A">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2、《城市生活垃圾管理办法》</w:t>
            </w:r>
          </w:p>
          <w:p w14:paraId="3CF5B917">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3、《四川省城市生活垃圾及危险废物处理收费管理暂行办法》</w:t>
            </w:r>
          </w:p>
          <w:p w14:paraId="1F13E421">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4、《城镇排水与污水处理条例》</w:t>
            </w:r>
          </w:p>
          <w:p w14:paraId="7538C264">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5、《污水处理费征收使用管理办法》</w:t>
            </w:r>
          </w:p>
          <w:p w14:paraId="081E82B0">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6、《城市建筑垃圾管理规定》</w:t>
            </w:r>
          </w:p>
          <w:p w14:paraId="1BAC58F4">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五、行政给付</w:t>
            </w:r>
          </w:p>
          <w:p w14:paraId="70443041">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1、《森林病虫害防治条例》</w:t>
            </w:r>
          </w:p>
          <w:p w14:paraId="45E7A1FC">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六、行政强制</w:t>
            </w:r>
          </w:p>
          <w:p w14:paraId="54B39EF7">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1、《中华人民共和国电力法》</w:t>
            </w:r>
          </w:p>
          <w:p w14:paraId="50CF7816">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2、《中华人民共和国禁毒法》</w:t>
            </w:r>
          </w:p>
          <w:p w14:paraId="5B0D69BC">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3、《地质灾害防治条例》</w:t>
            </w:r>
          </w:p>
          <w:p w14:paraId="160EA60E">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4、《中华人民共和国城乡规划法》</w:t>
            </w:r>
          </w:p>
          <w:p w14:paraId="46FBCEF2">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七、行政裁决</w:t>
            </w:r>
          </w:p>
          <w:p w14:paraId="51E2A540">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1、《中华人民共和国土地管理法》</w:t>
            </w:r>
          </w:p>
          <w:p w14:paraId="0A037E50">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2、《土地权属争议调查处理办法》</w:t>
            </w:r>
          </w:p>
          <w:p w14:paraId="05A3AC3F">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3、《中华人民共和国森林法》</w:t>
            </w:r>
          </w:p>
          <w:p w14:paraId="061F8246">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八、其他类</w:t>
            </w:r>
          </w:p>
          <w:p w14:paraId="1768DE25">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1、《中华人民共和国义务教育法》</w:t>
            </w:r>
          </w:p>
          <w:p w14:paraId="13B16543">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2、《学校体育工作条例》</w:t>
            </w:r>
          </w:p>
          <w:p w14:paraId="598488D4">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3、《中华人民共和国村民委员会组织法》</w:t>
            </w:r>
          </w:p>
          <w:p w14:paraId="7FE9B0A9">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4、《殡葬管理条例》</w:t>
            </w:r>
          </w:p>
          <w:p w14:paraId="0574016C">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5、《农村五保供养工作条例》</w:t>
            </w:r>
          </w:p>
          <w:p w14:paraId="36543DFB">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6、《社会救助暂行办法》</w:t>
            </w:r>
          </w:p>
          <w:p w14:paraId="3329F4A5">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7、《四川省〈农村五保供养工作条例〉实施办法》</w:t>
            </w:r>
          </w:p>
          <w:p w14:paraId="49B0E5A6">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8、《中华人民共和国人民调解法》</w:t>
            </w:r>
          </w:p>
          <w:p w14:paraId="330CCD42">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9、《民间纠纷处理办法》</w:t>
            </w:r>
          </w:p>
          <w:p w14:paraId="6CE24983">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10、《四川省纠纷多元化解条例》</w:t>
            </w:r>
          </w:p>
          <w:p w14:paraId="2EFD14BF">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11、《中华人民共和国土地管理法》</w:t>
            </w:r>
          </w:p>
          <w:p w14:paraId="46965DA4">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12、《中华人民共和国城乡规划法》</w:t>
            </w:r>
          </w:p>
          <w:p w14:paraId="45D2664A">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13、《村庄和集镇规划建设管理条例》</w:t>
            </w:r>
          </w:p>
          <w:p w14:paraId="5708011B">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14、《四川省村镇规划建设管理条例》</w:t>
            </w:r>
          </w:p>
          <w:p w14:paraId="09C8EB17">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15、《经济适用住房管理办法》</w:t>
            </w:r>
          </w:p>
          <w:p w14:paraId="3BEF3F0B">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16、《物业管理条例》</w:t>
            </w:r>
          </w:p>
          <w:p w14:paraId="1FA85E78">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17、《四川省物业管理条例》</w:t>
            </w:r>
          </w:p>
          <w:p w14:paraId="643EF225">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18、《四川省城乡环境综合治理条例》</w:t>
            </w:r>
          </w:p>
          <w:p w14:paraId="7F6B342F">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19、《四川省渡口管理办法》</w:t>
            </w:r>
          </w:p>
          <w:p w14:paraId="4EE79D87">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20、《公路安全保护条例》</w:t>
            </w:r>
          </w:p>
          <w:p w14:paraId="0239F98B">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21、《四川省农村公路条例》</w:t>
            </w:r>
          </w:p>
          <w:p w14:paraId="32D7EC23">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《四川省农业机械管理条例》</w:t>
            </w:r>
          </w:p>
          <w:p w14:paraId="57888E06">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23、《中华人民共和国农村土地承包法》</w:t>
            </w:r>
          </w:p>
          <w:p w14:paraId="78CBC35F">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24、《农村土地承包经营权流转管理办法》</w:t>
            </w:r>
          </w:p>
          <w:p w14:paraId="5396BD22">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25、《中华人民共和国农业法》</w:t>
            </w:r>
          </w:p>
          <w:p w14:paraId="435C4991">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26、《中华人民共和国动物防疫法》</w:t>
            </w:r>
          </w:p>
          <w:p w14:paraId="4E1B71D8">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27、《禁止非医学需要的胎儿性别鉴定和选择性别人工终止妊娠的规定》</w:t>
            </w:r>
          </w:p>
          <w:p w14:paraId="4E192B55">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28、《四川省人口与计划生育条例》</w:t>
            </w:r>
          </w:p>
          <w:p w14:paraId="60EAAF0B">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29、《四川省安全生产条例》</w:t>
            </w:r>
          </w:p>
          <w:p w14:paraId="0858AE2B">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30、《自然灾害救助条例》</w:t>
            </w:r>
          </w:p>
          <w:p w14:paraId="367761D7">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31、《四川省食品安全条例》</w:t>
            </w:r>
          </w:p>
          <w:p w14:paraId="0A4F2903">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32、《中华人民共和国乡村集体所有制企业条例》</w:t>
            </w:r>
          </w:p>
          <w:p w14:paraId="4BE54280">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33、《健身气功管理办法》</w:t>
            </w:r>
          </w:p>
          <w:p w14:paraId="31F2FC98">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34、《四川省农村扶贫开发条例》</w:t>
            </w:r>
          </w:p>
          <w:p w14:paraId="16C447B0">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35、《大中型水利水电工程建设征地补偿和移民安置条例》</w:t>
            </w:r>
          </w:p>
          <w:p w14:paraId="5D606BE6">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36、《中华人民共和国妇女权益保障法》</w:t>
            </w:r>
          </w:p>
          <w:p w14:paraId="77E3B27D">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37、《中华人民共和国传染病防治法实施办法》</w:t>
            </w:r>
          </w:p>
          <w:p w14:paraId="3A77E27D">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38、《中华人民共和国禁毒法》</w:t>
            </w:r>
          </w:p>
          <w:p w14:paraId="36D45B74">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39、《中华人民共和国突发事件应对法》</w:t>
            </w:r>
          </w:p>
          <w:p w14:paraId="56590AA4">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40、《畜禽规模养殖污染防治条例》</w:t>
            </w:r>
          </w:p>
          <w:p w14:paraId="2D51B89B">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41、《四川省环境保护条例》</w:t>
            </w:r>
          </w:p>
          <w:p w14:paraId="2E51574A">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42、《保障农民工工资支付条例》</w:t>
            </w:r>
          </w:p>
          <w:p w14:paraId="6F39EB96">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43、《禁止使用童工规定》</w:t>
            </w:r>
          </w:p>
          <w:p w14:paraId="0F16A111">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44、《征兵工作条例》</w:t>
            </w:r>
          </w:p>
          <w:p w14:paraId="6C67F576">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45、《中华人民共和国土地管理法实施条例》</w:t>
            </w:r>
          </w:p>
          <w:p w14:paraId="18058107">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46、《四川省〈中华人民共和国土地管理法〉实施办法》</w:t>
            </w:r>
          </w:p>
          <w:p w14:paraId="6F1508F4">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47、《商品房屋租赁管理办法》</w:t>
            </w:r>
          </w:p>
          <w:p w14:paraId="15953259">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48、《四川省道路货物运输管理办法》</w:t>
            </w:r>
          </w:p>
          <w:p w14:paraId="7BBBC310">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49、《四川省植物检疫条例》</w:t>
            </w:r>
          </w:p>
          <w:p w14:paraId="251A9D11">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50、《中华人民共和国动物防疫法》</w:t>
            </w:r>
          </w:p>
          <w:p w14:paraId="1746120B">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51、《中华人民共和国畜牧法》</w:t>
            </w:r>
          </w:p>
          <w:p w14:paraId="1B51F69F">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52、《中华人民共和国体育法》</w:t>
            </w:r>
          </w:p>
          <w:p w14:paraId="20A0DDB0">
            <w:pPr>
              <w:pStyle w:val="2"/>
              <w:ind w:left="0" w:leftChars="0" w:firstLine="0" w:firstLineChars="0"/>
              <w:rPr>
                <w:rStyle w:val="10"/>
                <w:rFonts w:hint="eastAsia"/>
                <w:color w:val="auto"/>
                <w:lang w:val="en-US" w:eastAsia="zh-CN" w:bidi="ar"/>
              </w:rPr>
            </w:pPr>
            <w:r>
              <w:rPr>
                <w:rStyle w:val="10"/>
                <w:rFonts w:hint="eastAsia"/>
                <w:color w:val="auto"/>
                <w:lang w:val="en-US" w:eastAsia="zh-CN" w:bidi="ar"/>
              </w:rPr>
              <w:t>53、《四川省全民健身条例》</w:t>
            </w:r>
          </w:p>
          <w:p w14:paraId="4E294EAE">
            <w:pPr>
              <w:pStyle w:val="2"/>
              <w:ind w:left="0" w:leftChars="0" w:firstLine="0" w:firstLineChars="0"/>
              <w:rPr>
                <w:rFonts w:hint="eastAsia" w:ascii="仿宋_GB2312" w:eastAsia="仿宋_GB2312"/>
                <w:color w:val="auto"/>
                <w:sz w:val="24"/>
                <w:lang w:val="en-US" w:eastAsia="zh-CN"/>
              </w:rPr>
            </w:pPr>
            <w:r>
              <w:rPr>
                <w:rStyle w:val="10"/>
                <w:rFonts w:hint="eastAsia"/>
                <w:color w:val="auto"/>
                <w:lang w:val="en-US" w:eastAsia="zh-CN" w:bidi="ar"/>
              </w:rPr>
              <w:t>54、《森林防火条例》</w:t>
            </w:r>
          </w:p>
        </w:tc>
      </w:tr>
      <w:tr w14:paraId="4A590B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07" w:hRule="exact"/>
          <w:jc w:val="center"/>
        </w:trPr>
        <w:tc>
          <w:tcPr>
            <w:tcW w:w="1381" w:type="dxa"/>
            <w:tcBorders>
              <w:top w:val="single" w:color="auto" w:sz="4" w:space="0"/>
              <w:left w:val="single" w:color="auto" w:sz="8" w:space="0"/>
              <w:bottom w:val="single" w:color="auto" w:sz="4" w:space="0"/>
              <w:right w:val="single" w:color="000000" w:sz="6" w:space="0"/>
            </w:tcBorders>
            <w:noWrap w:val="0"/>
            <w:vAlign w:val="center"/>
          </w:tcPr>
          <w:p w14:paraId="52918A58">
            <w:pPr>
              <w:spacing w:line="400" w:lineRule="exact"/>
              <w:jc w:val="center"/>
              <w:rPr>
                <w:rFonts w:ascii="仿宋_GB2312" w:eastAsia="仿宋_GB2312"/>
                <w:color w:val="auto"/>
                <w:sz w:val="24"/>
              </w:rPr>
            </w:pPr>
            <w:r>
              <w:rPr>
                <w:rFonts w:hint="eastAsia" w:ascii="仿宋_GB2312" w:hAnsi="Calibri" w:eastAsia="仿宋_GB2312"/>
                <w:color w:val="auto"/>
                <w:sz w:val="24"/>
              </w:rPr>
              <w:t>部门</w:t>
            </w:r>
          </w:p>
          <w:p w14:paraId="44CC1A37">
            <w:pPr>
              <w:spacing w:line="400" w:lineRule="exact"/>
              <w:jc w:val="center"/>
              <w:rPr>
                <w:rFonts w:ascii="仿宋_GB2312" w:eastAsia="仿宋_GB2312"/>
                <w:color w:val="auto"/>
                <w:sz w:val="24"/>
              </w:rPr>
            </w:pPr>
            <w:r>
              <w:rPr>
                <w:rFonts w:hint="eastAsia" w:ascii="仿宋_GB2312" w:hAnsi="Calibri" w:eastAsia="仿宋_GB2312"/>
                <w:color w:val="auto"/>
                <w:sz w:val="24"/>
              </w:rPr>
              <w:t>（单位）</w:t>
            </w:r>
          </w:p>
          <w:p w14:paraId="3F5EB2D3">
            <w:pPr>
              <w:spacing w:line="400" w:lineRule="exact"/>
              <w:jc w:val="center"/>
              <w:rPr>
                <w:rFonts w:ascii="仿宋_GB2312" w:eastAsia="仿宋_GB2312"/>
                <w:color w:val="auto"/>
                <w:sz w:val="24"/>
              </w:rPr>
            </w:pPr>
            <w:r>
              <w:rPr>
                <w:rFonts w:hint="eastAsia" w:ascii="仿宋_GB2312" w:hAnsi="Calibri" w:eastAsia="仿宋_GB2312"/>
                <w:color w:val="auto"/>
                <w:sz w:val="24"/>
              </w:rPr>
              <w:t>意见</w:t>
            </w:r>
          </w:p>
        </w:tc>
        <w:tc>
          <w:tcPr>
            <w:tcW w:w="8040" w:type="dxa"/>
            <w:gridSpan w:val="3"/>
            <w:tcBorders>
              <w:top w:val="single" w:color="auto" w:sz="4" w:space="0"/>
              <w:left w:val="single" w:color="000000" w:sz="6" w:space="0"/>
              <w:bottom w:val="single" w:color="auto" w:sz="4" w:space="0"/>
              <w:right w:val="single" w:color="auto" w:sz="8" w:space="0"/>
            </w:tcBorders>
            <w:noWrap w:val="0"/>
            <w:vAlign w:val="center"/>
          </w:tcPr>
          <w:p w14:paraId="00E91DE9">
            <w:pPr>
              <w:wordWrap w:val="0"/>
              <w:spacing w:line="400" w:lineRule="exact"/>
              <w:ind w:right="840"/>
              <w:rPr>
                <w:rFonts w:ascii="仿宋_GB2312" w:eastAsia="仿宋_GB2312"/>
                <w:color w:val="auto"/>
                <w:sz w:val="24"/>
              </w:rPr>
            </w:pPr>
            <w:r>
              <w:rPr>
                <w:rFonts w:hint="eastAsia" w:ascii="仿宋_GB2312" w:hAnsi="Calibri" w:eastAsia="仿宋_GB2312"/>
                <w:color w:val="auto"/>
                <w:sz w:val="24"/>
              </w:rPr>
              <w:t xml:space="preserve"> </w:t>
            </w:r>
          </w:p>
          <w:p w14:paraId="343A2D44">
            <w:pPr>
              <w:wordWrap w:val="0"/>
              <w:spacing w:line="400" w:lineRule="exact"/>
              <w:ind w:right="840" w:firstLine="240" w:firstLineChars="100"/>
              <w:rPr>
                <w:rFonts w:ascii="仿宋_GB2312" w:eastAsia="仿宋_GB2312"/>
                <w:color w:val="auto"/>
                <w:sz w:val="24"/>
              </w:rPr>
            </w:pPr>
            <w:r>
              <w:rPr>
                <w:rFonts w:hint="eastAsia" w:ascii="仿宋_GB2312" w:hAnsi="Calibri" w:eastAsia="仿宋_GB2312"/>
                <w:color w:val="auto"/>
                <w:sz w:val="24"/>
              </w:rPr>
              <w:t xml:space="preserve">负责人： </w:t>
            </w:r>
            <w:r>
              <w:rPr>
                <w:rFonts w:hint="eastAsia" w:ascii="仿宋_GB2312" w:hAnsi="Calibri" w:eastAsia="仿宋_GB2312"/>
                <w:color w:val="auto"/>
                <w:sz w:val="24"/>
                <w:lang w:eastAsia="zh-CN"/>
              </w:rPr>
              <w:t>林海</w:t>
            </w:r>
            <w:r>
              <w:rPr>
                <w:rFonts w:hint="eastAsia" w:ascii="仿宋_GB2312" w:hAnsi="Calibri" w:eastAsia="仿宋_GB2312"/>
                <w:color w:val="auto"/>
                <w:sz w:val="24"/>
              </w:rPr>
              <w:t xml:space="preserve">                          </w:t>
            </w:r>
            <w:r>
              <w:rPr>
                <w:rFonts w:hint="eastAsia" w:ascii="仿宋_GB2312" w:hAnsi="Calibri" w:eastAsia="仿宋_GB2312"/>
                <w:color w:val="auto"/>
                <w:sz w:val="24"/>
                <w:lang w:val="en-US" w:eastAsia="zh-CN"/>
              </w:rPr>
              <w:t>2025</w:t>
            </w:r>
            <w:r>
              <w:rPr>
                <w:rFonts w:hint="eastAsia" w:ascii="仿宋_GB2312" w:hAnsi="Calibri" w:eastAsia="仿宋_GB2312"/>
                <w:color w:val="auto"/>
                <w:sz w:val="24"/>
              </w:rPr>
              <w:t xml:space="preserve">年 </w:t>
            </w:r>
            <w:r>
              <w:rPr>
                <w:rFonts w:hint="eastAsia" w:ascii="仿宋_GB2312" w:hAnsi="Calibri" w:eastAsia="仿宋_GB2312"/>
                <w:color w:val="auto"/>
                <w:sz w:val="24"/>
                <w:lang w:val="en-US" w:eastAsia="zh-CN"/>
              </w:rPr>
              <w:t>3</w:t>
            </w:r>
            <w:r>
              <w:rPr>
                <w:rFonts w:hint="eastAsia" w:ascii="仿宋_GB2312" w:hAnsi="Calibri" w:eastAsia="仿宋_GB2312"/>
                <w:color w:val="auto"/>
                <w:sz w:val="24"/>
              </w:rPr>
              <w:t xml:space="preserve"> 月 </w:t>
            </w:r>
            <w:r>
              <w:rPr>
                <w:rFonts w:hint="eastAsia" w:ascii="仿宋_GB2312" w:hAnsi="Calibri" w:eastAsia="仿宋_GB2312"/>
                <w:color w:val="auto"/>
                <w:sz w:val="24"/>
                <w:lang w:val="en-US" w:eastAsia="zh-CN"/>
              </w:rPr>
              <w:t>24</w:t>
            </w:r>
            <w:r>
              <w:rPr>
                <w:rFonts w:hint="eastAsia" w:ascii="仿宋_GB2312" w:hAnsi="Calibri" w:eastAsia="仿宋_GB2312"/>
                <w:color w:val="auto"/>
                <w:sz w:val="24"/>
              </w:rPr>
              <w:t>日</w:t>
            </w:r>
          </w:p>
        </w:tc>
      </w:tr>
      <w:tr w14:paraId="3A0FE2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1" w:hRule="exact"/>
          <w:jc w:val="center"/>
        </w:trPr>
        <w:tc>
          <w:tcPr>
            <w:tcW w:w="1381" w:type="dxa"/>
            <w:tcBorders>
              <w:top w:val="single" w:color="auto" w:sz="4" w:space="0"/>
              <w:left w:val="single" w:color="auto" w:sz="8" w:space="0"/>
              <w:bottom w:val="single" w:color="auto" w:sz="8" w:space="0"/>
              <w:right w:val="single" w:color="000000" w:sz="6" w:space="0"/>
            </w:tcBorders>
            <w:noWrap w:val="0"/>
            <w:vAlign w:val="center"/>
          </w:tcPr>
          <w:p w14:paraId="0694A7F7">
            <w:pPr>
              <w:spacing w:line="400" w:lineRule="exact"/>
              <w:jc w:val="center"/>
              <w:rPr>
                <w:rFonts w:ascii="仿宋_GB2312" w:eastAsia="仿宋_GB2312"/>
                <w:color w:val="auto"/>
                <w:sz w:val="24"/>
              </w:rPr>
            </w:pPr>
            <w:r>
              <w:rPr>
                <w:rFonts w:hint="eastAsia" w:ascii="仿宋_GB2312" w:hAnsi="Calibri" w:eastAsia="仿宋_GB2312"/>
                <w:color w:val="auto"/>
                <w:sz w:val="24"/>
              </w:rPr>
              <w:t>备注</w:t>
            </w:r>
          </w:p>
        </w:tc>
        <w:tc>
          <w:tcPr>
            <w:tcW w:w="8040" w:type="dxa"/>
            <w:gridSpan w:val="3"/>
            <w:tcBorders>
              <w:top w:val="single" w:color="auto" w:sz="4" w:space="0"/>
              <w:left w:val="single" w:color="000000" w:sz="6" w:space="0"/>
              <w:bottom w:val="single" w:color="auto" w:sz="8" w:space="0"/>
              <w:right w:val="single" w:color="auto" w:sz="8" w:space="0"/>
            </w:tcBorders>
            <w:noWrap w:val="0"/>
            <w:vAlign w:val="center"/>
          </w:tcPr>
          <w:p w14:paraId="1F6CFC83">
            <w:pPr>
              <w:wordWrap w:val="0"/>
              <w:spacing w:line="400" w:lineRule="exact"/>
              <w:ind w:right="840"/>
              <w:rPr>
                <w:rFonts w:ascii="仿宋_GB2312" w:eastAsia="仿宋_GB2312"/>
                <w:color w:val="auto"/>
                <w:sz w:val="24"/>
              </w:rPr>
            </w:pPr>
          </w:p>
        </w:tc>
      </w:tr>
    </w:tbl>
    <w:p w14:paraId="688642B0">
      <w:pPr>
        <w:spacing w:line="300" w:lineRule="exact"/>
        <w:ind w:firstLine="422" w:firstLineChars="200"/>
        <w:rPr>
          <w:rFonts w:hint="eastAsia" w:ascii="仿宋_GB2312" w:hAnsi="仿宋_GB2312" w:eastAsia="仿宋_GB2312" w:cs="仿宋_GB2312"/>
          <w:b/>
          <w:bCs/>
          <w:color w:val="auto"/>
        </w:rPr>
      </w:pPr>
      <w:r>
        <w:rPr>
          <w:rFonts w:hint="eastAsia" w:ascii="仿宋_GB2312" w:hAnsi="仿宋_GB2312" w:eastAsia="仿宋_GB2312" w:cs="仿宋_GB2312"/>
          <w:b/>
          <w:bCs/>
          <w:color w:val="auto"/>
        </w:rPr>
        <w:t>填表说明：</w:t>
      </w:r>
    </w:p>
    <w:p w14:paraId="6CA9BD34">
      <w:pPr>
        <w:spacing w:line="300" w:lineRule="exact"/>
        <w:ind w:firstLine="420" w:firstLineChars="200"/>
        <w:rPr>
          <w:rFonts w:hint="eastAsia" w:ascii="仿宋_GB2312" w:hAnsi="仿宋_GB2312" w:eastAsia="仿宋_GB2312" w:cs="仿宋_GB2312"/>
          <w:color w:val="auto"/>
        </w:rPr>
      </w:pPr>
      <w:r>
        <w:rPr>
          <w:rFonts w:hint="eastAsia" w:ascii="仿宋_GB2312" w:hAnsi="仿宋_GB2312" w:eastAsia="仿宋_GB2312" w:cs="仿宋_GB2312"/>
          <w:color w:val="auto"/>
        </w:rPr>
        <w:t>1.执法职权类型按照本单位实际行使的行政执法权类别填写，没有的在备注栏填无。有本表未列明的其他执法职权类型的，写明实际执法类型名称。</w:t>
      </w:r>
    </w:p>
    <w:p w14:paraId="31CCFC5B">
      <w:pPr>
        <w:spacing w:line="300" w:lineRule="exact"/>
        <w:ind w:firstLine="420" w:firstLineChars="200"/>
        <w:rPr>
          <w:rFonts w:hint="eastAsia" w:ascii="仿宋_GB2312" w:hAnsi="仿宋_GB2312" w:eastAsia="仿宋_GB2312" w:cs="仿宋_GB2312"/>
          <w:color w:val="auto"/>
        </w:rPr>
        <w:sectPr>
          <w:pgSz w:w="11906" w:h="16838"/>
          <w:pgMar w:top="2098" w:right="1474" w:bottom="1984" w:left="1587" w:header="851" w:footer="1587" w:gutter="0"/>
          <w:pgNumType w:fmt="decimal"/>
          <w:cols w:space="720" w:num="1"/>
          <w:rtlGutter w:val="0"/>
          <w:docGrid w:type="lines" w:linePitch="312" w:charSpace="0"/>
        </w:sectPr>
      </w:pPr>
      <w:r>
        <w:rPr>
          <w:rFonts w:hint="eastAsia" w:ascii="仿宋_GB2312" w:hAnsi="仿宋_GB2312" w:eastAsia="仿宋_GB2312" w:cs="仿宋_GB2312"/>
          <w:color w:val="auto"/>
        </w:rPr>
        <w:t>2.执法依据应当根据执法职权类型，分别填写相关依据。依据应当为规章以上的依据，</w:t>
      </w:r>
      <w:r>
        <w:rPr>
          <w:rFonts w:hint="eastAsia" w:ascii="仿宋_GB2312" w:hAnsi="仿宋_GB2312" w:eastAsia="仿宋_GB2312" w:cs="仿宋_GB2312"/>
          <w:b/>
          <w:bCs/>
          <w:color w:val="auto"/>
        </w:rPr>
        <w:t>列明至少一项</w:t>
      </w:r>
      <w:r>
        <w:rPr>
          <w:rFonts w:hint="eastAsia" w:ascii="仿宋_GB2312" w:hAnsi="仿宋_GB2312" w:eastAsia="仿宋_GB2312" w:cs="仿宋_GB2312"/>
          <w:color w:val="auto"/>
        </w:rPr>
        <w:t>依据名称和具体条款内容。</w:t>
      </w:r>
    </w:p>
    <w:p w14:paraId="67CEFECF">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2-1</w:t>
      </w:r>
    </w:p>
    <w:p w14:paraId="0F83DE88">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36"/>
          <w:szCs w:val="32"/>
          <w:lang w:eastAsia="zh-CN"/>
        </w:rPr>
      </w:pPr>
    </w:p>
    <w:p w14:paraId="047560E0">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行政执法依据梳理表（行政处罚类）</w:t>
      </w:r>
    </w:p>
    <w:p w14:paraId="70F0D7D6">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行政执法部门名称：广元市昭化区柏林沟镇人民政府                                 填表时间：2025年3月24日</w:t>
      </w:r>
    </w:p>
    <w:tbl>
      <w:tblPr>
        <w:tblStyle w:val="6"/>
        <w:tblW w:w="138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6"/>
        <w:gridCol w:w="2625"/>
        <w:gridCol w:w="1391"/>
        <w:gridCol w:w="1240"/>
        <w:gridCol w:w="1214"/>
        <w:gridCol w:w="1145"/>
        <w:gridCol w:w="4787"/>
        <w:gridCol w:w="913"/>
      </w:tblGrid>
      <w:tr w14:paraId="4A4B7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566" w:type="dxa"/>
            <w:noWrap w:val="0"/>
            <w:vAlign w:val="center"/>
          </w:tcPr>
          <w:p w14:paraId="394870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625" w:type="dxa"/>
            <w:noWrap w:val="0"/>
            <w:vAlign w:val="center"/>
          </w:tcPr>
          <w:p w14:paraId="0F4DD60F">
            <w:pPr>
              <w:keepNext w:val="0"/>
              <w:keepLines w:val="0"/>
              <w:pageBreakBefore w:val="0"/>
              <w:widowControl w:val="0"/>
              <w:kinsoku/>
              <w:wordWrap/>
              <w:overflowPunct/>
              <w:topLinePunct w:val="0"/>
              <w:autoSpaceDE/>
              <w:autoSpaceDN/>
              <w:bidi w:val="0"/>
              <w:adjustRightInd/>
              <w:snapToGrid/>
              <w:spacing w:line="0" w:lineRule="atLeast"/>
              <w:ind w:firstLine="240" w:firstLineChars="100"/>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行政处罚</w:t>
            </w:r>
          </w:p>
          <w:p w14:paraId="52FA5DE4">
            <w:pPr>
              <w:keepNext w:val="0"/>
              <w:keepLines w:val="0"/>
              <w:pageBreakBefore w:val="0"/>
              <w:widowControl w:val="0"/>
              <w:kinsoku/>
              <w:wordWrap/>
              <w:overflowPunct/>
              <w:topLinePunct w:val="0"/>
              <w:autoSpaceDE/>
              <w:autoSpaceDN/>
              <w:bidi w:val="0"/>
              <w:adjustRightInd/>
              <w:snapToGrid/>
              <w:spacing w:line="0" w:lineRule="atLeast"/>
              <w:ind w:firstLine="240" w:firstLineChars="100"/>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适用的情形</w:t>
            </w:r>
          </w:p>
        </w:tc>
        <w:tc>
          <w:tcPr>
            <w:tcW w:w="1391" w:type="dxa"/>
            <w:noWrap w:val="0"/>
            <w:vAlign w:val="center"/>
          </w:tcPr>
          <w:p w14:paraId="699D4E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行政处罚依据的法</w:t>
            </w:r>
          </w:p>
          <w:p w14:paraId="60CACA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律、法规、规章名称</w:t>
            </w:r>
          </w:p>
        </w:tc>
        <w:tc>
          <w:tcPr>
            <w:tcW w:w="1240" w:type="dxa"/>
            <w:noWrap w:val="0"/>
            <w:vAlign w:val="center"/>
          </w:tcPr>
          <w:p w14:paraId="15C3D4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214" w:type="dxa"/>
            <w:noWrap w:val="0"/>
            <w:vAlign w:val="center"/>
          </w:tcPr>
          <w:p w14:paraId="3C3034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1145" w:type="dxa"/>
            <w:noWrap w:val="0"/>
            <w:vAlign w:val="center"/>
          </w:tcPr>
          <w:p w14:paraId="3CE995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行政处罚的种类</w:t>
            </w:r>
          </w:p>
        </w:tc>
        <w:tc>
          <w:tcPr>
            <w:tcW w:w="4787" w:type="dxa"/>
            <w:noWrap w:val="0"/>
            <w:vAlign w:val="center"/>
          </w:tcPr>
          <w:p w14:paraId="6CF411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行政处罚依据的</w:t>
            </w:r>
          </w:p>
          <w:p w14:paraId="4305EB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具体条款</w:t>
            </w:r>
          </w:p>
        </w:tc>
        <w:tc>
          <w:tcPr>
            <w:tcW w:w="913" w:type="dxa"/>
            <w:noWrap w:val="0"/>
            <w:vAlign w:val="center"/>
          </w:tcPr>
          <w:p w14:paraId="17BDAA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32A24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0BED35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w:t>
            </w:r>
          </w:p>
        </w:tc>
        <w:tc>
          <w:tcPr>
            <w:tcW w:w="2625" w:type="dxa"/>
            <w:noWrap w:val="0"/>
            <w:vAlign w:val="center"/>
          </w:tcPr>
          <w:p w14:paraId="597AD361">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lang w:val="en-US" w:eastAsia="zh-CN"/>
              </w:rPr>
            </w:pPr>
            <w:r>
              <w:rPr>
                <w:rFonts w:ascii="宋体" w:hAnsi="宋体" w:eastAsia="宋体" w:cs="宋体"/>
                <w:i w:val="0"/>
                <w:iCs w:val="0"/>
                <w:color w:val="auto"/>
                <w:kern w:val="0"/>
                <w:sz w:val="21"/>
                <w:szCs w:val="21"/>
                <w:u w:val="none"/>
                <w:lang w:val="en-US" w:eastAsia="zh-CN" w:bidi="ar"/>
              </w:rPr>
              <w:t>对在城市、镇和乡、村规划区内未经批准进行临时建设的、未按批准用途进行临时建设的、临时建设超过批准规定期限不拆除的、建设单位或者个人改变经批准的临时建（构）筑物使用性质或者转让、出租、抵押等的处罚</w:t>
            </w:r>
          </w:p>
        </w:tc>
        <w:tc>
          <w:tcPr>
            <w:tcW w:w="1391" w:type="dxa"/>
            <w:noWrap w:val="0"/>
            <w:vAlign w:val="center"/>
          </w:tcPr>
          <w:p w14:paraId="2F10E6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《四川省城乡规划条例》</w:t>
            </w:r>
          </w:p>
        </w:tc>
        <w:tc>
          <w:tcPr>
            <w:tcW w:w="1240" w:type="dxa"/>
            <w:noWrap w:val="0"/>
            <w:vAlign w:val="center"/>
          </w:tcPr>
          <w:p w14:paraId="411B4C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59EAC5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2011年9月29日</w:t>
            </w:r>
          </w:p>
        </w:tc>
        <w:tc>
          <w:tcPr>
            <w:tcW w:w="1145" w:type="dxa"/>
            <w:noWrap w:val="0"/>
            <w:vAlign w:val="center"/>
          </w:tcPr>
          <w:p w14:paraId="6A50D3B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责令限期拆除</w:t>
            </w:r>
            <w:r>
              <w:rPr>
                <w:rFonts w:hint="eastAsia" w:ascii="宋体" w:hAnsi="宋体" w:cs="宋体"/>
                <w:i w:val="0"/>
                <w:iCs w:val="0"/>
                <w:color w:val="auto"/>
                <w:kern w:val="0"/>
                <w:sz w:val="21"/>
                <w:szCs w:val="21"/>
                <w:u w:val="none"/>
                <w:lang w:val="en-US" w:eastAsia="zh-CN" w:bidi="ar"/>
              </w:rPr>
              <w:t>、</w:t>
            </w:r>
            <w:r>
              <w:rPr>
                <w:rFonts w:hint="default" w:ascii="宋体" w:hAnsi="宋体" w:eastAsia="宋体" w:cs="宋体"/>
                <w:i w:val="0"/>
                <w:iCs w:val="0"/>
                <w:color w:val="auto"/>
                <w:kern w:val="0"/>
                <w:sz w:val="21"/>
                <w:szCs w:val="21"/>
                <w:u w:val="none"/>
                <w:lang w:val="en-US" w:eastAsia="zh-CN" w:bidi="ar"/>
              </w:rPr>
              <w:t>罚款</w:t>
            </w:r>
          </w:p>
        </w:tc>
        <w:tc>
          <w:tcPr>
            <w:tcW w:w="4787" w:type="dxa"/>
            <w:noWrap w:val="0"/>
            <w:vAlign w:val="top"/>
          </w:tcPr>
          <w:p w14:paraId="4EC34294">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《四川省城乡规划条例》第八十四条 在城市、镇和乡、村规划区内未经批准进行临时建设的、未按批准用途进行临时建设的、临时建设超过批准规定期限不拆除的、建设单位或者个人改变经批准的临时建（构）筑物使用性质或者转让、出租、抵押等的，由所在地城市、县人民政府城乡规划主管部门或者镇、乡人民政府责令限期拆除，可以并处临时建设工程造价一倍以下的罚款。</w:t>
            </w:r>
          </w:p>
        </w:tc>
        <w:tc>
          <w:tcPr>
            <w:tcW w:w="913" w:type="dxa"/>
            <w:noWrap w:val="0"/>
            <w:vAlign w:val="center"/>
          </w:tcPr>
          <w:p w14:paraId="588F22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121E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F8B2E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w:t>
            </w:r>
          </w:p>
        </w:tc>
        <w:tc>
          <w:tcPr>
            <w:tcW w:w="2625" w:type="dxa"/>
            <w:noWrap w:val="0"/>
            <w:vAlign w:val="center"/>
          </w:tcPr>
          <w:p w14:paraId="53022E19">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对在村庄、集镇规划区内，村民未经批准或者违反村镇规划修建住宅的处罚</w:t>
            </w:r>
          </w:p>
        </w:tc>
        <w:tc>
          <w:tcPr>
            <w:tcW w:w="1391" w:type="dxa"/>
            <w:noWrap w:val="0"/>
            <w:vAlign w:val="center"/>
          </w:tcPr>
          <w:p w14:paraId="49ED46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color w:val="auto"/>
                <w:lang w:val="en-US" w:eastAsia="zh-CN" w:bidi="ar"/>
              </w:rPr>
            </w:pPr>
            <w:r>
              <w:rPr>
                <w:rStyle w:val="11"/>
                <w:rFonts w:eastAsia="宋体"/>
                <w:color w:val="auto"/>
                <w:lang w:val="en-US" w:eastAsia="zh-CN" w:bidi="ar"/>
              </w:rPr>
              <w:t>1.</w:t>
            </w:r>
            <w:r>
              <w:rPr>
                <w:rStyle w:val="12"/>
                <w:color w:val="auto"/>
                <w:lang w:val="en-US" w:eastAsia="zh-CN" w:bidi="ar"/>
              </w:rPr>
              <w:t>《村庄和集镇规划建设管理条例》</w:t>
            </w:r>
          </w:p>
          <w:p w14:paraId="1F5E56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11"/>
                <w:rFonts w:eastAsia="宋体"/>
                <w:color w:val="auto"/>
                <w:lang w:val="en-US" w:eastAsia="zh-CN" w:bidi="ar"/>
              </w:rPr>
              <w:t>2.</w:t>
            </w:r>
            <w:r>
              <w:rPr>
                <w:rStyle w:val="12"/>
                <w:color w:val="auto"/>
                <w:lang w:val="en-US" w:eastAsia="zh-CN" w:bidi="ar"/>
              </w:rPr>
              <w:t>《四川省村镇规划建设管理条例》</w:t>
            </w:r>
          </w:p>
        </w:tc>
        <w:tc>
          <w:tcPr>
            <w:tcW w:w="1240" w:type="dxa"/>
            <w:noWrap w:val="0"/>
            <w:vAlign w:val="center"/>
          </w:tcPr>
          <w:p w14:paraId="5B0EE8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00A81B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2A8254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1993年6月29日2004年9月24日</w:t>
            </w:r>
          </w:p>
        </w:tc>
        <w:tc>
          <w:tcPr>
            <w:tcW w:w="1145" w:type="dxa"/>
            <w:noWrap w:val="0"/>
            <w:vAlign w:val="center"/>
          </w:tcPr>
          <w:p w14:paraId="4890DB6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宋体" w:cs="仿宋_GB2312"/>
                <w:color w:val="auto"/>
                <w:sz w:val="24"/>
                <w:szCs w:val="24"/>
                <w:vertAlign w:val="baseline"/>
                <w:lang w:eastAsia="zh-CN"/>
              </w:rPr>
            </w:pPr>
            <w:r>
              <w:rPr>
                <w:rStyle w:val="12"/>
                <w:color w:val="auto"/>
                <w:lang w:val="en-US" w:eastAsia="zh-CN" w:bidi="ar"/>
              </w:rPr>
              <w:t>责令停止建设</w:t>
            </w:r>
            <w:r>
              <w:rPr>
                <w:rStyle w:val="12"/>
                <w:rFonts w:hint="eastAsia"/>
                <w:color w:val="auto"/>
                <w:lang w:val="en-US" w:eastAsia="zh-CN" w:bidi="ar"/>
              </w:rPr>
              <w:t>、</w:t>
            </w:r>
            <w:r>
              <w:rPr>
                <w:rStyle w:val="12"/>
                <w:color w:val="auto"/>
                <w:lang w:val="en-US" w:eastAsia="zh-CN" w:bidi="ar"/>
              </w:rPr>
              <w:t>责令限期改正并处罚款</w:t>
            </w:r>
            <w:r>
              <w:rPr>
                <w:rStyle w:val="12"/>
                <w:rFonts w:hint="eastAsia"/>
                <w:color w:val="auto"/>
                <w:lang w:val="en-US" w:eastAsia="zh-CN" w:bidi="ar"/>
              </w:rPr>
              <w:t>、</w:t>
            </w:r>
            <w:r>
              <w:rPr>
                <w:rStyle w:val="12"/>
                <w:color w:val="auto"/>
                <w:lang w:val="en-US" w:eastAsia="zh-CN" w:bidi="ar"/>
              </w:rPr>
              <w:t>限期拆除或没收违法建筑物、构筑物和其他设施</w:t>
            </w:r>
          </w:p>
        </w:tc>
        <w:tc>
          <w:tcPr>
            <w:tcW w:w="4787" w:type="dxa"/>
            <w:noWrap w:val="0"/>
            <w:vAlign w:val="top"/>
          </w:tcPr>
          <w:p w14:paraId="13BAD5F4">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Style w:val="11"/>
                <w:rFonts w:eastAsia="宋体"/>
                <w:color w:val="auto"/>
                <w:lang w:val="en-US" w:eastAsia="zh-CN" w:bidi="ar"/>
              </w:rPr>
              <w:t>1.</w:t>
            </w:r>
            <w:r>
              <w:rPr>
                <w:rStyle w:val="12"/>
                <w:color w:val="auto"/>
                <w:lang w:val="en-US" w:eastAsia="zh-CN" w:bidi="ar"/>
              </w:rPr>
              <w:t>《村庄和集镇规划建设管理条例》第三十七条 在村庄、集镇规划区内，未按规划审批程序批准或者违反规划的规定进行建设，严重影响村庄、集镇规划的，由县级人民政府建设行政主管部门责令停止建设，限期拆除或者没收违法建筑物、构筑物和其他设施；影响村庄、集镇规划，尚可采取改正措施的，由县级人民政府建设行政主管部门责令限期改正，处以罚款。农村居民未经批准或者违反规划的规定建住宅的，乡级人民政府可以依照前款规定处罚。</w:t>
            </w:r>
            <w:r>
              <w:rPr>
                <w:rStyle w:val="12"/>
                <w:color w:val="auto"/>
                <w:lang w:val="en-US" w:eastAsia="zh-CN" w:bidi="ar"/>
              </w:rPr>
              <w:br w:type="textWrapping"/>
            </w:r>
            <w:r>
              <w:rPr>
                <w:rStyle w:val="11"/>
                <w:rFonts w:eastAsia="宋体"/>
                <w:color w:val="auto"/>
                <w:lang w:val="en-US" w:eastAsia="zh-CN" w:bidi="ar"/>
              </w:rPr>
              <w:t>2.</w:t>
            </w:r>
            <w:r>
              <w:rPr>
                <w:rStyle w:val="12"/>
                <w:color w:val="auto"/>
                <w:lang w:val="en-US" w:eastAsia="zh-CN" w:bidi="ar"/>
              </w:rPr>
              <w:t>《四川省村镇规划建设管理条例》第四十四条第二款 村民未经批准或者违反村镇规划修建住宅的，由乡级人民政府责令其停止建设或者限期拆除；尚可采取措施的，责令其限期改正，并可对责任人处以五百元以下罚款。</w:t>
            </w:r>
          </w:p>
        </w:tc>
        <w:tc>
          <w:tcPr>
            <w:tcW w:w="913" w:type="dxa"/>
            <w:noWrap w:val="0"/>
            <w:vAlign w:val="center"/>
          </w:tcPr>
          <w:p w14:paraId="4CC2092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E33D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7CA0A3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w:t>
            </w:r>
          </w:p>
        </w:tc>
        <w:tc>
          <w:tcPr>
            <w:tcW w:w="2625" w:type="dxa"/>
            <w:noWrap w:val="0"/>
            <w:vAlign w:val="center"/>
          </w:tcPr>
          <w:p w14:paraId="283271BE">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对擅自在村庄、集镇规划区内的街道、广场、市场和车站等场所以及道路两旁修建临时建筑物、构筑物和其他设施的处罚</w:t>
            </w:r>
          </w:p>
        </w:tc>
        <w:tc>
          <w:tcPr>
            <w:tcW w:w="1391" w:type="dxa"/>
            <w:noWrap w:val="0"/>
            <w:vAlign w:val="center"/>
          </w:tcPr>
          <w:p w14:paraId="3A04A9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color w:val="auto"/>
                <w:lang w:val="en-US" w:eastAsia="zh-CN" w:bidi="ar"/>
              </w:rPr>
            </w:pPr>
            <w:r>
              <w:rPr>
                <w:rStyle w:val="11"/>
                <w:rFonts w:eastAsia="宋体"/>
                <w:color w:val="auto"/>
                <w:lang w:val="en-US" w:eastAsia="zh-CN" w:bidi="ar"/>
              </w:rPr>
              <w:t>1.</w:t>
            </w:r>
            <w:r>
              <w:rPr>
                <w:rStyle w:val="12"/>
                <w:color w:val="auto"/>
                <w:lang w:val="en-US" w:eastAsia="zh-CN" w:bidi="ar"/>
              </w:rPr>
              <w:t>《村庄和集镇规划建设管理条例》</w:t>
            </w:r>
          </w:p>
          <w:p w14:paraId="00C20D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11"/>
                <w:rFonts w:eastAsia="宋体"/>
                <w:color w:val="auto"/>
                <w:lang w:val="en-US" w:eastAsia="zh-CN" w:bidi="ar"/>
              </w:rPr>
              <w:t>2.</w:t>
            </w:r>
            <w:r>
              <w:rPr>
                <w:rStyle w:val="12"/>
                <w:color w:val="auto"/>
                <w:lang w:val="en-US" w:eastAsia="zh-CN" w:bidi="ar"/>
              </w:rPr>
              <w:t>《四川省村镇规划建设管理条例》</w:t>
            </w:r>
          </w:p>
        </w:tc>
        <w:tc>
          <w:tcPr>
            <w:tcW w:w="1240" w:type="dxa"/>
            <w:noWrap w:val="0"/>
            <w:vAlign w:val="center"/>
          </w:tcPr>
          <w:p w14:paraId="3B18CC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47A4D6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7CEBBE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1993年6月29日2004年9月24日</w:t>
            </w:r>
          </w:p>
        </w:tc>
        <w:tc>
          <w:tcPr>
            <w:tcW w:w="1145" w:type="dxa"/>
            <w:noWrap w:val="0"/>
            <w:vAlign w:val="center"/>
          </w:tcPr>
          <w:p w14:paraId="3D11F4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责令限期拆除、罚款</w:t>
            </w:r>
          </w:p>
        </w:tc>
        <w:tc>
          <w:tcPr>
            <w:tcW w:w="4787" w:type="dxa"/>
            <w:noWrap w:val="0"/>
            <w:vAlign w:val="top"/>
          </w:tcPr>
          <w:p w14:paraId="3999B98E">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Style w:val="14"/>
                <w:rFonts w:eastAsia="宋体"/>
                <w:color w:val="auto"/>
                <w:lang w:val="en-US" w:eastAsia="zh-CN" w:bidi="ar"/>
              </w:rPr>
              <w:t>1.</w:t>
            </w:r>
            <w:r>
              <w:rPr>
                <w:rStyle w:val="10"/>
                <w:color w:val="auto"/>
                <w:lang w:val="en-US" w:eastAsia="zh-CN" w:bidi="ar"/>
              </w:rPr>
              <w:t>《村庄和集镇规划建设管理条例》第四十条 擅自在村庄、集镇规划区内的街道、广场、市场和车站等场所修建临时建筑物、构筑物和其他设施的，由乡级人民政府责令限期拆除，并可处以罚款。</w:t>
            </w:r>
            <w:r>
              <w:rPr>
                <w:rStyle w:val="10"/>
                <w:color w:val="auto"/>
                <w:lang w:val="en-US" w:eastAsia="zh-CN" w:bidi="ar"/>
              </w:rPr>
              <w:br w:type="textWrapping"/>
            </w:r>
            <w:r>
              <w:rPr>
                <w:rStyle w:val="14"/>
                <w:rFonts w:eastAsia="宋体"/>
                <w:color w:val="auto"/>
                <w:lang w:val="en-US" w:eastAsia="zh-CN" w:bidi="ar"/>
              </w:rPr>
              <w:t>2.</w:t>
            </w:r>
            <w:r>
              <w:rPr>
                <w:rStyle w:val="10"/>
                <w:color w:val="auto"/>
                <w:lang w:val="en-US" w:eastAsia="zh-CN" w:bidi="ar"/>
              </w:rPr>
              <w:t>《四川省村镇规划建设管理条例》第四十五条 擅自在村镇规划区内广场、市场和车站等场所以及道路两旁修建临时建筑物、构筑物和其他设施的，由乡级人民政府责令限期拆除，并可处以五百元以下罚款。</w:t>
            </w:r>
          </w:p>
        </w:tc>
        <w:tc>
          <w:tcPr>
            <w:tcW w:w="913" w:type="dxa"/>
            <w:noWrap w:val="0"/>
            <w:vAlign w:val="center"/>
          </w:tcPr>
          <w:p w14:paraId="77FA39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BF27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EB1A0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w:t>
            </w:r>
          </w:p>
        </w:tc>
        <w:tc>
          <w:tcPr>
            <w:tcW w:w="2625" w:type="dxa"/>
            <w:noWrap w:val="0"/>
            <w:vAlign w:val="center"/>
          </w:tcPr>
          <w:p w14:paraId="45FB48BC">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对损坏村庄和集镇的房屋、公共设施；乱堆粪便、垃圾、柴草、杂物，破坏村容镇貌和环境卫生的处罚</w:t>
            </w:r>
          </w:p>
        </w:tc>
        <w:tc>
          <w:tcPr>
            <w:tcW w:w="1391" w:type="dxa"/>
            <w:noWrap w:val="0"/>
            <w:vAlign w:val="center"/>
          </w:tcPr>
          <w:p w14:paraId="72472E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color w:val="auto"/>
                <w:lang w:val="en-US" w:eastAsia="zh-CN" w:bidi="ar"/>
              </w:rPr>
            </w:pPr>
            <w:r>
              <w:rPr>
                <w:rStyle w:val="11"/>
                <w:rFonts w:eastAsia="宋体"/>
                <w:color w:val="auto"/>
                <w:lang w:val="en-US" w:eastAsia="zh-CN" w:bidi="ar"/>
              </w:rPr>
              <w:t>1.</w:t>
            </w:r>
            <w:r>
              <w:rPr>
                <w:rStyle w:val="12"/>
                <w:color w:val="auto"/>
                <w:lang w:val="en-US" w:eastAsia="zh-CN" w:bidi="ar"/>
              </w:rPr>
              <w:t>《村庄和集镇规划建设管理条例》</w:t>
            </w:r>
          </w:p>
          <w:p w14:paraId="4F1F7B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11"/>
                <w:rFonts w:eastAsia="宋体"/>
                <w:color w:val="auto"/>
                <w:lang w:val="en-US" w:eastAsia="zh-CN" w:bidi="ar"/>
              </w:rPr>
              <w:t>2.</w:t>
            </w:r>
            <w:r>
              <w:rPr>
                <w:rStyle w:val="12"/>
                <w:color w:val="auto"/>
                <w:lang w:val="en-US" w:eastAsia="zh-CN" w:bidi="ar"/>
              </w:rPr>
              <w:t>《四川省村镇规划建设管理条例》</w:t>
            </w:r>
          </w:p>
        </w:tc>
        <w:tc>
          <w:tcPr>
            <w:tcW w:w="1240" w:type="dxa"/>
            <w:noWrap w:val="0"/>
            <w:vAlign w:val="center"/>
          </w:tcPr>
          <w:p w14:paraId="211B722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5085E6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57668C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1993年6月29日2004年9月24日</w:t>
            </w:r>
          </w:p>
        </w:tc>
        <w:tc>
          <w:tcPr>
            <w:tcW w:w="1145" w:type="dxa"/>
            <w:noWrap w:val="0"/>
            <w:vAlign w:val="center"/>
          </w:tcPr>
          <w:p w14:paraId="1782D6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12"/>
                <w:color w:val="auto"/>
                <w:lang w:val="en-US" w:eastAsia="zh-CN" w:bidi="ar"/>
              </w:rPr>
              <w:t>责令停止侵害</w:t>
            </w:r>
            <w:r>
              <w:rPr>
                <w:rStyle w:val="12"/>
                <w:rFonts w:hint="eastAsia"/>
                <w:color w:val="auto"/>
                <w:lang w:val="en-US" w:eastAsia="zh-CN" w:bidi="ar"/>
              </w:rPr>
              <w:t>、罚款、</w:t>
            </w:r>
            <w:r>
              <w:rPr>
                <w:rStyle w:val="12"/>
                <w:color w:val="auto"/>
                <w:lang w:val="en-US" w:eastAsia="zh-CN" w:bidi="ar"/>
              </w:rPr>
              <w:t>恢复原状</w:t>
            </w:r>
          </w:p>
        </w:tc>
        <w:tc>
          <w:tcPr>
            <w:tcW w:w="4787" w:type="dxa"/>
            <w:noWrap w:val="0"/>
            <w:vAlign w:val="top"/>
          </w:tcPr>
          <w:p w14:paraId="72DF31AC">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Style w:val="11"/>
                <w:rFonts w:eastAsia="宋体"/>
                <w:color w:val="auto"/>
                <w:lang w:val="en-US" w:eastAsia="zh-CN" w:bidi="ar"/>
              </w:rPr>
              <w:t>1.</w:t>
            </w:r>
            <w:r>
              <w:rPr>
                <w:rStyle w:val="12"/>
                <w:color w:val="auto"/>
                <w:lang w:val="en-US" w:eastAsia="zh-CN" w:bidi="ar"/>
              </w:rPr>
              <w:t>《村庄和集镇规划建设管理条例》第三十九条 有下列行为之一的，由乡级人民政府责令停止侵害，可以处以罚款；造成损失的，并应当赔偿：（一）损坏村庄和集镇的房屋、公共设施的；（二）乱堆粪便、垃圾、柴草，破坏村容镇貌和环境卫生的。</w:t>
            </w:r>
            <w:r>
              <w:rPr>
                <w:rStyle w:val="12"/>
                <w:color w:val="auto"/>
                <w:lang w:val="en-US" w:eastAsia="zh-CN" w:bidi="ar"/>
              </w:rPr>
              <w:br w:type="textWrapping"/>
            </w:r>
            <w:r>
              <w:rPr>
                <w:rStyle w:val="11"/>
                <w:rFonts w:eastAsia="宋体"/>
                <w:color w:val="auto"/>
                <w:lang w:val="en-US" w:eastAsia="zh-CN" w:bidi="ar"/>
              </w:rPr>
              <w:t>2.</w:t>
            </w:r>
            <w:r>
              <w:rPr>
                <w:rStyle w:val="12"/>
                <w:color w:val="auto"/>
                <w:lang w:val="en-US" w:eastAsia="zh-CN" w:bidi="ar"/>
              </w:rPr>
              <w:t>《四川省村镇规划建设管理条例》第四十六条 违反本条例规定，乱堆垃圾、粪便、杂物，影响村容镇貌和环境卫生的，由乡级人民政府责令停止侵害、恢复原状。损坏村镇公用基础设施的，除赔偿损失外，并由乡级人民政府处以直接损失金额一倍以下罚款。</w:t>
            </w:r>
          </w:p>
        </w:tc>
        <w:tc>
          <w:tcPr>
            <w:tcW w:w="913" w:type="dxa"/>
            <w:noWrap w:val="0"/>
            <w:vAlign w:val="center"/>
          </w:tcPr>
          <w:p w14:paraId="738CC9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9F92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527A5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w:t>
            </w:r>
          </w:p>
        </w:tc>
        <w:tc>
          <w:tcPr>
            <w:tcW w:w="2625" w:type="dxa"/>
            <w:noWrap w:val="0"/>
            <w:vAlign w:val="center"/>
          </w:tcPr>
          <w:p w14:paraId="3FDB92BE">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对自用船舶所有人拒不进行自用船舶登记或者自用船舶不按照限定区域航行；超载、非法载客和从事营业性运输的处罚</w:t>
            </w:r>
          </w:p>
        </w:tc>
        <w:tc>
          <w:tcPr>
            <w:tcW w:w="1391" w:type="dxa"/>
            <w:noWrap w:val="0"/>
            <w:vAlign w:val="center"/>
          </w:tcPr>
          <w:p w14:paraId="743EAC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10"/>
                <w:color w:val="auto"/>
                <w:lang w:val="en-US" w:eastAsia="zh-CN" w:bidi="ar"/>
              </w:rPr>
              <w:t>《四川省水上交通安全管理条例》</w:t>
            </w:r>
          </w:p>
        </w:tc>
        <w:tc>
          <w:tcPr>
            <w:tcW w:w="1240" w:type="dxa"/>
            <w:noWrap w:val="0"/>
            <w:vAlign w:val="center"/>
          </w:tcPr>
          <w:p w14:paraId="72D752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6617CD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2012年7月27日</w:t>
            </w:r>
          </w:p>
        </w:tc>
        <w:tc>
          <w:tcPr>
            <w:tcW w:w="1145" w:type="dxa"/>
            <w:noWrap w:val="0"/>
            <w:vAlign w:val="center"/>
          </w:tcPr>
          <w:p w14:paraId="7545A2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10"/>
                <w:color w:val="auto"/>
                <w:lang w:val="en-US" w:eastAsia="zh-CN" w:bidi="ar"/>
              </w:rPr>
              <w:t>责令改正</w:t>
            </w:r>
            <w:r>
              <w:rPr>
                <w:rStyle w:val="10"/>
                <w:rFonts w:hint="eastAsia"/>
                <w:color w:val="auto"/>
                <w:lang w:val="en-US" w:eastAsia="zh-CN" w:bidi="ar"/>
              </w:rPr>
              <w:t>、罚款</w:t>
            </w:r>
          </w:p>
        </w:tc>
        <w:tc>
          <w:tcPr>
            <w:tcW w:w="4787" w:type="dxa"/>
            <w:noWrap w:val="0"/>
            <w:vAlign w:val="top"/>
          </w:tcPr>
          <w:p w14:paraId="686B224A">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Style w:val="10"/>
                <w:color w:val="auto"/>
                <w:lang w:val="en-US" w:eastAsia="zh-CN" w:bidi="ar"/>
              </w:rPr>
              <w:t xml:space="preserve">《四川省水上交通安全管理条例》第五十九条第二款 自用船舶所有人拒不进行自用船舶登记或者自用船舶不按照限定区域航行；超载、非法载客和从事营业性运输的，由乡（镇）人民政府责令其改正，并处以 </w:t>
            </w:r>
            <w:r>
              <w:rPr>
                <w:rStyle w:val="14"/>
                <w:rFonts w:eastAsia="宋体"/>
                <w:color w:val="auto"/>
                <w:lang w:val="en-US" w:eastAsia="zh-CN" w:bidi="ar"/>
              </w:rPr>
              <w:t xml:space="preserve">100  </w:t>
            </w:r>
            <w:r>
              <w:rPr>
                <w:rStyle w:val="10"/>
                <w:color w:val="auto"/>
                <w:lang w:val="en-US" w:eastAsia="zh-CN" w:bidi="ar"/>
              </w:rPr>
              <w:t>元</w:t>
            </w:r>
            <w:r>
              <w:rPr>
                <w:rStyle w:val="10"/>
                <w:color w:val="auto"/>
                <w:lang w:val="en-US" w:eastAsia="zh-CN" w:bidi="ar"/>
              </w:rPr>
              <w:br w:type="textWrapping"/>
            </w:r>
            <w:r>
              <w:rPr>
                <w:rStyle w:val="10"/>
                <w:color w:val="auto"/>
                <w:lang w:val="en-US" w:eastAsia="zh-CN" w:bidi="ar"/>
              </w:rPr>
              <w:t xml:space="preserve">以上 </w:t>
            </w:r>
            <w:r>
              <w:rPr>
                <w:rStyle w:val="14"/>
                <w:rFonts w:eastAsia="宋体"/>
                <w:color w:val="auto"/>
                <w:lang w:val="en-US" w:eastAsia="zh-CN" w:bidi="ar"/>
              </w:rPr>
              <w:t xml:space="preserve">500  </w:t>
            </w:r>
            <w:r>
              <w:rPr>
                <w:rStyle w:val="10"/>
                <w:color w:val="auto"/>
                <w:lang w:val="en-US" w:eastAsia="zh-CN" w:bidi="ar"/>
              </w:rPr>
              <w:t>元以下的罚款；情节严重的，可依法没收其船舶。</w:t>
            </w:r>
          </w:p>
        </w:tc>
        <w:tc>
          <w:tcPr>
            <w:tcW w:w="913" w:type="dxa"/>
            <w:noWrap w:val="0"/>
            <w:vAlign w:val="center"/>
          </w:tcPr>
          <w:p w14:paraId="3FD3DF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9E2F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BB733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w:t>
            </w:r>
          </w:p>
        </w:tc>
        <w:tc>
          <w:tcPr>
            <w:tcW w:w="2625" w:type="dxa"/>
            <w:noWrap w:val="0"/>
            <w:vAlign w:val="center"/>
          </w:tcPr>
          <w:p w14:paraId="2CEFBABD">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对单位和个人损坏或者擅自移动有钉螺地带警示标志的处罚</w:t>
            </w:r>
          </w:p>
        </w:tc>
        <w:tc>
          <w:tcPr>
            <w:tcW w:w="1391" w:type="dxa"/>
            <w:noWrap w:val="0"/>
            <w:vAlign w:val="center"/>
          </w:tcPr>
          <w:p w14:paraId="6A6D8C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10"/>
                <w:color w:val="auto"/>
                <w:lang w:val="en-US" w:eastAsia="zh-CN" w:bidi="ar"/>
              </w:rPr>
              <w:t>《血吸虫病防治条例》</w:t>
            </w:r>
          </w:p>
        </w:tc>
        <w:tc>
          <w:tcPr>
            <w:tcW w:w="1240" w:type="dxa"/>
            <w:noWrap w:val="0"/>
            <w:vAlign w:val="center"/>
          </w:tcPr>
          <w:p w14:paraId="278B5D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712EF1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019</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3</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w:t>
            </w:r>
            <w:r>
              <w:rPr>
                <w:rFonts w:hint="eastAsia" w:ascii="宋体" w:hAnsi="宋体" w:eastAsia="宋体" w:cs="宋体"/>
                <w:i w:val="0"/>
                <w:iCs w:val="0"/>
                <w:caps w:val="0"/>
                <w:color w:val="auto"/>
                <w:spacing w:val="0"/>
                <w:sz w:val="21"/>
                <w:szCs w:val="21"/>
              </w:rPr>
              <w:t>日</w:t>
            </w:r>
          </w:p>
        </w:tc>
        <w:tc>
          <w:tcPr>
            <w:tcW w:w="1145" w:type="dxa"/>
            <w:noWrap w:val="0"/>
            <w:vAlign w:val="center"/>
          </w:tcPr>
          <w:p w14:paraId="6150E4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10"/>
                <w:color w:val="auto"/>
                <w:lang w:val="en-US" w:eastAsia="zh-CN" w:bidi="ar"/>
              </w:rPr>
              <w:t>责令修复或赔偿损失</w:t>
            </w:r>
            <w:r>
              <w:rPr>
                <w:rStyle w:val="10"/>
                <w:rFonts w:hint="eastAsia"/>
                <w:color w:val="auto"/>
                <w:lang w:val="en-US" w:eastAsia="zh-CN" w:bidi="ar"/>
              </w:rPr>
              <w:t>、警告、罚款</w:t>
            </w:r>
          </w:p>
        </w:tc>
        <w:tc>
          <w:tcPr>
            <w:tcW w:w="4787" w:type="dxa"/>
            <w:noWrap w:val="0"/>
            <w:vAlign w:val="top"/>
          </w:tcPr>
          <w:p w14:paraId="4B5A546F">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Style w:val="10"/>
                <w:color w:val="auto"/>
                <w:lang w:val="en-US" w:eastAsia="zh-CN" w:bidi="ar"/>
              </w:rPr>
              <w:t xml:space="preserve">《血吸虫病防治条例》五十一条 单位和个人损坏或者擅自移动有钉螺地带警示标志的，由乡（镇）人民政府责令修复或赔偿损失，给予警告；情节严重的，对单位处 </w:t>
            </w:r>
            <w:r>
              <w:rPr>
                <w:rStyle w:val="14"/>
                <w:rFonts w:eastAsia="宋体"/>
                <w:color w:val="auto"/>
                <w:lang w:val="en-US" w:eastAsia="zh-CN" w:bidi="ar"/>
              </w:rPr>
              <w:t xml:space="preserve">1000  </w:t>
            </w:r>
            <w:r>
              <w:rPr>
                <w:rStyle w:val="10"/>
                <w:color w:val="auto"/>
                <w:lang w:val="en-US" w:eastAsia="zh-CN" w:bidi="ar"/>
              </w:rPr>
              <w:t xml:space="preserve">元以上 </w:t>
            </w:r>
            <w:r>
              <w:rPr>
                <w:rStyle w:val="14"/>
                <w:rFonts w:eastAsia="宋体"/>
                <w:color w:val="auto"/>
                <w:lang w:val="en-US" w:eastAsia="zh-CN" w:bidi="ar"/>
              </w:rPr>
              <w:t xml:space="preserve">3000  </w:t>
            </w:r>
            <w:r>
              <w:rPr>
                <w:rStyle w:val="10"/>
                <w:color w:val="auto"/>
                <w:lang w:val="en-US" w:eastAsia="zh-CN" w:bidi="ar"/>
              </w:rPr>
              <w:t xml:space="preserve">元以下的罚款；对个人处 </w:t>
            </w:r>
            <w:r>
              <w:rPr>
                <w:rStyle w:val="14"/>
                <w:rFonts w:eastAsia="宋体"/>
                <w:color w:val="auto"/>
                <w:lang w:val="en-US" w:eastAsia="zh-CN" w:bidi="ar"/>
              </w:rPr>
              <w:t xml:space="preserve">50  </w:t>
            </w:r>
            <w:r>
              <w:rPr>
                <w:rStyle w:val="10"/>
                <w:color w:val="auto"/>
                <w:lang w:val="en-US" w:eastAsia="zh-CN" w:bidi="ar"/>
              </w:rPr>
              <w:t xml:space="preserve">元以上 </w:t>
            </w:r>
            <w:r>
              <w:rPr>
                <w:rStyle w:val="14"/>
                <w:rFonts w:eastAsia="宋体"/>
                <w:color w:val="auto"/>
                <w:lang w:val="en-US" w:eastAsia="zh-CN" w:bidi="ar"/>
              </w:rPr>
              <w:t xml:space="preserve">200  </w:t>
            </w:r>
            <w:r>
              <w:rPr>
                <w:rStyle w:val="10"/>
                <w:color w:val="auto"/>
                <w:lang w:val="en-US" w:eastAsia="zh-CN" w:bidi="ar"/>
              </w:rPr>
              <w:t>元以下的款。</w:t>
            </w:r>
          </w:p>
        </w:tc>
        <w:tc>
          <w:tcPr>
            <w:tcW w:w="913" w:type="dxa"/>
            <w:noWrap w:val="0"/>
            <w:vAlign w:val="center"/>
          </w:tcPr>
          <w:p w14:paraId="1D373E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3054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8BFC2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w:t>
            </w:r>
          </w:p>
        </w:tc>
        <w:tc>
          <w:tcPr>
            <w:tcW w:w="2625" w:type="dxa"/>
            <w:noWrap w:val="0"/>
            <w:vAlign w:val="center"/>
          </w:tcPr>
          <w:p w14:paraId="5C38C5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对未经批准或者未按照批准内容进行临时建设以及临时建筑物、构筑物超过批准期限不拆除的行政处罚</w:t>
            </w:r>
          </w:p>
        </w:tc>
        <w:tc>
          <w:tcPr>
            <w:tcW w:w="1391" w:type="dxa"/>
            <w:noWrap w:val="0"/>
            <w:vAlign w:val="center"/>
          </w:tcPr>
          <w:p w14:paraId="37C707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《中华人民共和国城乡规划法》</w:t>
            </w:r>
          </w:p>
        </w:tc>
        <w:tc>
          <w:tcPr>
            <w:tcW w:w="1240" w:type="dxa"/>
            <w:noWrap w:val="0"/>
            <w:vAlign w:val="center"/>
          </w:tcPr>
          <w:p w14:paraId="72409ED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214" w:type="dxa"/>
            <w:noWrap w:val="0"/>
            <w:vAlign w:val="center"/>
          </w:tcPr>
          <w:p w14:paraId="49FF199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default" w:ascii="宋体" w:hAnsi="宋体" w:eastAsia="宋体" w:cs="宋体"/>
                <w:i w:val="0"/>
                <w:iCs w:val="0"/>
                <w:caps w:val="0"/>
                <w:color w:val="auto"/>
                <w:spacing w:val="0"/>
                <w:sz w:val="21"/>
                <w:szCs w:val="21"/>
              </w:rPr>
              <w:t>2019年4</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23</w:t>
            </w:r>
            <w:r>
              <w:rPr>
                <w:rFonts w:hint="eastAsia" w:ascii="宋体" w:hAnsi="宋体" w:eastAsia="宋体" w:cs="宋体"/>
                <w:i w:val="0"/>
                <w:iCs w:val="0"/>
                <w:caps w:val="0"/>
                <w:color w:val="auto"/>
                <w:spacing w:val="0"/>
                <w:sz w:val="21"/>
                <w:szCs w:val="21"/>
              </w:rPr>
              <w:t>日</w:t>
            </w:r>
          </w:p>
        </w:tc>
        <w:tc>
          <w:tcPr>
            <w:tcW w:w="1145" w:type="dxa"/>
            <w:noWrap w:val="0"/>
            <w:vAlign w:val="center"/>
          </w:tcPr>
          <w:p w14:paraId="58B45D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责令限期拆除</w:t>
            </w:r>
            <w:r>
              <w:rPr>
                <w:rFonts w:hint="eastAsia" w:ascii="宋体" w:hAnsi="宋体" w:cs="宋体"/>
                <w:i w:val="0"/>
                <w:iCs w:val="0"/>
                <w:color w:val="auto"/>
                <w:kern w:val="0"/>
                <w:sz w:val="21"/>
                <w:szCs w:val="21"/>
                <w:u w:val="none"/>
                <w:lang w:val="en-US" w:eastAsia="zh-CN" w:bidi="ar"/>
              </w:rPr>
              <w:t>、罚款</w:t>
            </w:r>
          </w:p>
        </w:tc>
        <w:tc>
          <w:tcPr>
            <w:tcW w:w="4787" w:type="dxa"/>
            <w:noWrap w:val="0"/>
            <w:vAlign w:val="center"/>
          </w:tcPr>
          <w:p w14:paraId="02AFCE0F">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《中华人民共和国城乡规划法》第六十六条  建设单位或者个人有下列行为之一的，由所在地城市、县人民政府城乡规划主管部门责令限期拆除，可以并处临时建设工程造价一倍以下的罚款：（一）未经批准进行临时建设的；（二）未按照批准内容进行临时建设的；（三）临时建筑物、构筑物超过批准期限不拆除的。</w:t>
            </w:r>
          </w:p>
        </w:tc>
        <w:tc>
          <w:tcPr>
            <w:tcW w:w="913" w:type="dxa"/>
            <w:noWrap w:val="0"/>
            <w:vAlign w:val="center"/>
          </w:tcPr>
          <w:p w14:paraId="292DC2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15"/>
                <w:szCs w:val="15"/>
                <w:u w:val="none"/>
                <w:lang w:val="en-US" w:eastAsia="zh-CN" w:bidi="ar"/>
              </w:rPr>
              <w:t>不含“对未按照批准 内容进行临时建设以 及临时建筑物、构筑 物超过批准期限不拆 除的行政处罚”。</w:t>
            </w:r>
          </w:p>
        </w:tc>
      </w:tr>
      <w:tr w14:paraId="5C68D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9D059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w:t>
            </w:r>
          </w:p>
        </w:tc>
        <w:tc>
          <w:tcPr>
            <w:tcW w:w="2625" w:type="dxa"/>
            <w:noWrap w:val="0"/>
            <w:vAlign w:val="center"/>
          </w:tcPr>
          <w:p w14:paraId="6A292FBC">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在城市照明设施上刻划、涂污；在城市照明设施安全距离内，擅自植树、挖坑取土或者设置其他物体，或者倾倒含酸、碱、盐等腐蚀物或者具有腐蚀性的废渣、废液；擅自在城市照明设施上张贴、悬挂、设置宣传品、广告；擅自在城市照明设施上架设线缆、安置其它设施或者接用电源；擅自迁移、拆除、利用城市照明设施；其他可能影响城市照明设施正常运行的行为的行政处罚</w:t>
            </w:r>
          </w:p>
        </w:tc>
        <w:tc>
          <w:tcPr>
            <w:tcW w:w="1391" w:type="dxa"/>
            <w:noWrap w:val="0"/>
            <w:vAlign w:val="center"/>
          </w:tcPr>
          <w:p w14:paraId="1D79DCF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《城市照明管理规定》</w:t>
            </w:r>
          </w:p>
        </w:tc>
        <w:tc>
          <w:tcPr>
            <w:tcW w:w="1240" w:type="dxa"/>
            <w:noWrap w:val="0"/>
            <w:vAlign w:val="center"/>
          </w:tcPr>
          <w:p w14:paraId="262F0F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国务院</w:t>
            </w:r>
          </w:p>
        </w:tc>
        <w:tc>
          <w:tcPr>
            <w:tcW w:w="1214" w:type="dxa"/>
            <w:noWrap w:val="0"/>
            <w:vAlign w:val="center"/>
          </w:tcPr>
          <w:p w14:paraId="5DA01F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2010年5月27日</w:t>
            </w:r>
          </w:p>
        </w:tc>
        <w:tc>
          <w:tcPr>
            <w:tcW w:w="1145" w:type="dxa"/>
            <w:noWrap w:val="0"/>
            <w:vAlign w:val="center"/>
          </w:tcPr>
          <w:p w14:paraId="3D67A89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63551E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《城市照明管理规定》 第二十八条  任何单位和个人都应当保护城市照明设施，不得实施下列行为：（一）在城市照明设施上刻划、涂污；（二）在城市照明设施安全距离内，擅自植树、挖坑取土或者设置其他物体，或者倾倒含酸、碱、盐等腐蚀物或者具有腐蚀性的废渣、废液；（三）擅自在城市照明设施上张贴、悬挂、设置宣传品、广告；（四）擅自在城市照明设施上架设线缆、安置其它设施或者接用电源；（五）擅自迁移、拆除、利用城市照明设施；（六）其他可能影响城市照明设施正常运行的行为。</w:t>
            </w:r>
          </w:p>
          <w:p w14:paraId="4D980BF9">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第三十二条  违反本规定，有第二十八条规定行为之一的，由城市照明主管部门责令限期改正，对个人处以200元以上1000元以下的罚款；对单位处以1000元以上3万元以下的罚款；造成损失的，依法赔偿损失。</w:t>
            </w:r>
          </w:p>
        </w:tc>
        <w:tc>
          <w:tcPr>
            <w:tcW w:w="913" w:type="dxa"/>
            <w:noWrap w:val="0"/>
            <w:vAlign w:val="center"/>
          </w:tcPr>
          <w:p w14:paraId="757E1D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B6F5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689149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w:t>
            </w:r>
          </w:p>
        </w:tc>
        <w:tc>
          <w:tcPr>
            <w:tcW w:w="2625" w:type="dxa"/>
            <w:noWrap w:val="0"/>
            <w:vAlign w:val="center"/>
          </w:tcPr>
          <w:p w14:paraId="19FB49EC">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对在历史文化名城、名镇、名村保护范围内在历史建筑上刻划、涂污的行政处罚</w:t>
            </w:r>
          </w:p>
        </w:tc>
        <w:tc>
          <w:tcPr>
            <w:tcW w:w="1391" w:type="dxa"/>
            <w:noWrap w:val="0"/>
            <w:vAlign w:val="center"/>
          </w:tcPr>
          <w:p w14:paraId="026F5E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《历史文化名城名镇名村保护条例》</w:t>
            </w:r>
          </w:p>
        </w:tc>
        <w:tc>
          <w:tcPr>
            <w:tcW w:w="1240" w:type="dxa"/>
            <w:noWrap w:val="0"/>
            <w:vAlign w:val="center"/>
          </w:tcPr>
          <w:p w14:paraId="32397A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452A27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2017年10月7日</w:t>
            </w:r>
          </w:p>
        </w:tc>
        <w:tc>
          <w:tcPr>
            <w:tcW w:w="1145" w:type="dxa"/>
            <w:noWrap w:val="0"/>
            <w:vAlign w:val="center"/>
          </w:tcPr>
          <w:p w14:paraId="306011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责令恢复原状或者采取其他补救措施</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F470AF6">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《历史文化名城名镇名村保护条例》第四十二条  违反本条例规定，在历史建筑上刻划、涂污的，由城市、县人民政府城乡规划主管部门责令恢复原状或者采取其他补救措施，处 50 元的罚款。</w:t>
            </w:r>
          </w:p>
        </w:tc>
        <w:tc>
          <w:tcPr>
            <w:tcW w:w="913" w:type="dxa"/>
            <w:noWrap w:val="0"/>
            <w:vAlign w:val="center"/>
          </w:tcPr>
          <w:p w14:paraId="744091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7A28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6B223E8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w:t>
            </w:r>
          </w:p>
        </w:tc>
        <w:tc>
          <w:tcPr>
            <w:tcW w:w="2625" w:type="dxa"/>
            <w:noWrap w:val="0"/>
            <w:vAlign w:val="center"/>
          </w:tcPr>
          <w:p w14:paraId="4FB5D07F">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对在历史文化名城、名镇、名村保护范围内擅自设置、移动、涂改或者损毁历史文化街区、名镇、名村标志牌的行政处罚</w:t>
            </w:r>
          </w:p>
        </w:tc>
        <w:tc>
          <w:tcPr>
            <w:tcW w:w="1391" w:type="dxa"/>
            <w:noWrap w:val="0"/>
            <w:vAlign w:val="center"/>
          </w:tcPr>
          <w:p w14:paraId="6B45A6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c>
          <w:tcPr>
            <w:tcW w:w="1240" w:type="dxa"/>
            <w:noWrap w:val="0"/>
            <w:vAlign w:val="center"/>
          </w:tcPr>
          <w:p w14:paraId="393DE8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c>
          <w:tcPr>
            <w:tcW w:w="1214" w:type="dxa"/>
            <w:noWrap w:val="0"/>
            <w:vAlign w:val="center"/>
          </w:tcPr>
          <w:p w14:paraId="7A2B95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c>
          <w:tcPr>
            <w:tcW w:w="1145" w:type="dxa"/>
            <w:noWrap w:val="0"/>
            <w:vAlign w:val="center"/>
          </w:tcPr>
          <w:p w14:paraId="3A57C6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c>
          <w:tcPr>
            <w:tcW w:w="4787" w:type="dxa"/>
            <w:noWrap w:val="0"/>
            <w:vAlign w:val="center"/>
          </w:tcPr>
          <w:p w14:paraId="4473C943">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《历史文化名城名镇名村保护条例》第四十五条  违反本条例规定，擅自设置、移动、涂改或者损毁历史文化街区、名镇、名村标志牌的，由城市、县人民政府城乡规划主管部门责令限期改正；逾期不改正的，对单位处 1 万元以上 5 万元以下的罚款，对个人处 1000 元以上 1 万元以下的罚款。</w:t>
            </w:r>
          </w:p>
        </w:tc>
        <w:tc>
          <w:tcPr>
            <w:tcW w:w="913" w:type="dxa"/>
            <w:noWrap w:val="0"/>
            <w:vAlign w:val="center"/>
          </w:tcPr>
          <w:p w14:paraId="40FD3B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7A01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BC1C8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w:t>
            </w:r>
          </w:p>
        </w:tc>
        <w:tc>
          <w:tcPr>
            <w:tcW w:w="2625" w:type="dxa"/>
            <w:noWrap w:val="0"/>
            <w:vAlign w:val="center"/>
          </w:tcPr>
          <w:p w14:paraId="335B45F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城市建筑物、设施以及树木上涂写、刻画或者未经批准张挂、张贴宣传品；不履行卫生责任区清扫保洁义务或者不按规定清运、处理垃圾和粪便；车辆运输液体、散装货物、易飘洒物未采取覆盖或者密闭措施，造成泄漏遗撒的或者违规倾倒；临街工地不设置护栏或者不作遮挡、停工场地不及时整理并作必要覆盖或者竣工后不及时清理和平整场地，影响市容和</w:t>
            </w:r>
          </w:p>
          <w:p w14:paraId="5A0029E5">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环境卫生的行政处罚</w:t>
            </w:r>
          </w:p>
        </w:tc>
        <w:tc>
          <w:tcPr>
            <w:tcW w:w="1391" w:type="dxa"/>
            <w:noWrap w:val="0"/>
            <w:vAlign w:val="center"/>
          </w:tcPr>
          <w:p w14:paraId="30C539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《城市市容和环境卫生管理条例》</w:t>
            </w:r>
          </w:p>
        </w:tc>
        <w:tc>
          <w:tcPr>
            <w:tcW w:w="1240" w:type="dxa"/>
            <w:noWrap w:val="0"/>
            <w:vAlign w:val="center"/>
          </w:tcPr>
          <w:p w14:paraId="300E20E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68CC38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2017年3月1日</w:t>
            </w:r>
          </w:p>
        </w:tc>
        <w:tc>
          <w:tcPr>
            <w:tcW w:w="1145" w:type="dxa"/>
            <w:noWrap w:val="0"/>
            <w:vAlign w:val="center"/>
          </w:tcPr>
          <w:p w14:paraId="5AAE21B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责令纠正违法行为</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警告、罚款</w:t>
            </w:r>
          </w:p>
        </w:tc>
        <w:tc>
          <w:tcPr>
            <w:tcW w:w="4787" w:type="dxa"/>
            <w:noWrap w:val="0"/>
            <w:vAlign w:val="center"/>
          </w:tcPr>
          <w:p w14:paraId="37F04880">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《城市市容和环境卫生管理条例》第三十四条  有下列行为之一者，城市人民政府市容环境卫生行政主管部门或者其委托的单位除责令其纠正违法行为、采取补救措施外，可以并处警告、罚款：（一）随地吐痰、便溺，乱扔果皮、纸屑和烟头等废弃物的；（二）在城市建筑物、设施以及树木上涂写、刻画或者未经批准张挂、张贴宣传品等的；（三）在城市人民政府规定的街道的临街建筑物的阳台和窗外，堆放、吊挂有碍市容的物品的；（四）不按规定的时间、地点、方式，倾倒垃圾、粪便的；（五）不履行卫生责任区清扫保洁义务或者不按规定清运、处理垃圾和粪便的；（六）运输液体、散装货物不作密封、包扎、覆盖，造成泄漏、遗撒的；（七）临街工地不设置护栏或者不作遮挡、停工场地不及时整理并作必要覆盖或者竣工后不及时清理和平整场地，影响市容和环境卫生的。</w:t>
            </w:r>
          </w:p>
        </w:tc>
        <w:tc>
          <w:tcPr>
            <w:tcW w:w="913" w:type="dxa"/>
            <w:noWrap w:val="0"/>
            <w:vAlign w:val="center"/>
          </w:tcPr>
          <w:p w14:paraId="2703B5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2020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5D9A344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12</w:t>
            </w:r>
          </w:p>
        </w:tc>
        <w:tc>
          <w:tcPr>
            <w:tcW w:w="2625" w:type="dxa"/>
            <w:noWrap w:val="0"/>
            <w:vAlign w:val="center"/>
          </w:tcPr>
          <w:p w14:paraId="229292F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经城市人民政府市容环境卫生行政主管部门同意，擅自设置大型户外广告，影响市容；未经城市人民政府市容环境卫生行政主管部门批准，擅自在街道两侧和公共场地堆放物料，搭建建筑物、构筑物或者其他设施，影响市容；未经批准擅自拆除环境卫生设施或者未按批准的拆迁方案进行拆迁的行政处罚</w:t>
            </w:r>
          </w:p>
        </w:tc>
        <w:tc>
          <w:tcPr>
            <w:tcW w:w="1391" w:type="dxa"/>
            <w:noWrap w:val="0"/>
            <w:vAlign w:val="center"/>
          </w:tcPr>
          <w:p w14:paraId="53C8D7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《城市市容和环境卫生管理条例》</w:t>
            </w:r>
          </w:p>
        </w:tc>
        <w:tc>
          <w:tcPr>
            <w:tcW w:w="1240" w:type="dxa"/>
            <w:noWrap w:val="0"/>
            <w:vAlign w:val="center"/>
          </w:tcPr>
          <w:p w14:paraId="33C1BA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0CE3CB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2017年3月1日</w:t>
            </w:r>
          </w:p>
        </w:tc>
        <w:tc>
          <w:tcPr>
            <w:tcW w:w="1145" w:type="dxa"/>
            <w:noWrap w:val="0"/>
            <w:vAlign w:val="center"/>
          </w:tcPr>
          <w:p w14:paraId="340588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限期清理、拆除或者采取其他补救措施</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罚款</w:t>
            </w:r>
          </w:p>
        </w:tc>
        <w:tc>
          <w:tcPr>
            <w:tcW w:w="4787" w:type="dxa"/>
            <w:noWrap w:val="0"/>
            <w:vAlign w:val="top"/>
          </w:tcPr>
          <w:p w14:paraId="2A81E87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《城市市容和环境卫生管理条例》第三十六条  有下列行为之一者，由城市人民政府市容环境卫生行政主管部门或者其委托的单位责令其停止违法行为，限期清理、拆除或者采取其他补救措施，并可处以罚款：（一）未经城市人民政府市容环境卫生行政主管部门同意，擅自设置大型户外广告，影响市容的；（二）未经城市人民政府市容环境卫生行政主管部门批准，擅自在街道两侧和公共场地堆放物料，搭建建筑物、构筑物或者其他设施，影响市容的；（三）未经批准擅自拆除环境卫生设施或者未按批准的拆迁方案进行拆迁的。</w:t>
            </w:r>
          </w:p>
        </w:tc>
        <w:tc>
          <w:tcPr>
            <w:tcW w:w="913" w:type="dxa"/>
            <w:noWrap w:val="0"/>
            <w:vAlign w:val="center"/>
          </w:tcPr>
          <w:p w14:paraId="112483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20B3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639BB7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13</w:t>
            </w:r>
          </w:p>
        </w:tc>
        <w:tc>
          <w:tcPr>
            <w:tcW w:w="2625" w:type="dxa"/>
            <w:noWrap w:val="0"/>
            <w:vAlign w:val="center"/>
          </w:tcPr>
          <w:p w14:paraId="245D259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对损坏各类环境卫生设施及附属设施的行政处罚</w:t>
            </w:r>
          </w:p>
        </w:tc>
        <w:tc>
          <w:tcPr>
            <w:tcW w:w="1391" w:type="dxa"/>
            <w:noWrap w:val="0"/>
            <w:vAlign w:val="center"/>
          </w:tcPr>
          <w:p w14:paraId="5B77FE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《城市市容和环境卫生管理条例》</w:t>
            </w:r>
          </w:p>
        </w:tc>
        <w:tc>
          <w:tcPr>
            <w:tcW w:w="1240" w:type="dxa"/>
            <w:noWrap w:val="0"/>
            <w:vAlign w:val="center"/>
          </w:tcPr>
          <w:p w14:paraId="5B1FA8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2C0075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2017年3月1日</w:t>
            </w:r>
          </w:p>
        </w:tc>
        <w:tc>
          <w:tcPr>
            <w:tcW w:w="1145" w:type="dxa"/>
            <w:noWrap w:val="0"/>
            <w:vAlign w:val="center"/>
          </w:tcPr>
          <w:p w14:paraId="696D27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责令恢复原状外</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罚款</w:t>
            </w:r>
          </w:p>
        </w:tc>
        <w:tc>
          <w:tcPr>
            <w:tcW w:w="4787" w:type="dxa"/>
            <w:noWrap w:val="0"/>
            <w:vAlign w:val="top"/>
          </w:tcPr>
          <w:p w14:paraId="553AB2F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《城市市容和环境卫生管理条例》第三十八条  损坏各类环境卫生设施及其附属设施的，城市人民政府市容环境卫生行政主管部门或者其委托的单位除责令其恢复原状外，可以并处罚款；盗窃、损坏各类环境卫生设施及其附属设施，应当给予治安管理处罚的，依照《中华人民共和国治安管理处罚条例》的规定处罚；构成犯罪的，依法追究刑事责任。</w:t>
            </w:r>
          </w:p>
        </w:tc>
        <w:tc>
          <w:tcPr>
            <w:tcW w:w="913" w:type="dxa"/>
            <w:noWrap w:val="0"/>
            <w:vAlign w:val="center"/>
          </w:tcPr>
          <w:p w14:paraId="21B932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F3B2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51AB5F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14</w:t>
            </w:r>
          </w:p>
        </w:tc>
        <w:tc>
          <w:tcPr>
            <w:tcW w:w="2625" w:type="dxa"/>
            <w:noWrap w:val="0"/>
            <w:vAlign w:val="center"/>
          </w:tcPr>
          <w:p w14:paraId="42690C2F">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对违反摊点卫生管理规定的行政处罚</w:t>
            </w:r>
          </w:p>
        </w:tc>
        <w:tc>
          <w:tcPr>
            <w:tcW w:w="1391" w:type="dxa"/>
            <w:noWrap w:val="0"/>
            <w:vAlign w:val="center"/>
          </w:tcPr>
          <w:p w14:paraId="2FD849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40" w:type="dxa"/>
            <w:noWrap w:val="0"/>
            <w:vAlign w:val="center"/>
          </w:tcPr>
          <w:p w14:paraId="787D58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499203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2017年3月1日</w:t>
            </w:r>
          </w:p>
        </w:tc>
        <w:tc>
          <w:tcPr>
            <w:tcW w:w="1145" w:type="dxa"/>
            <w:noWrap w:val="0"/>
            <w:vAlign w:val="center"/>
          </w:tcPr>
          <w:p w14:paraId="10D924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责令改正或者限期清除</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1B58692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 第三十七条第二款   集贸市场内的经营者应当保持摊位和经营场所的整洁。餐饮、农产品等易产生垃圾的摊位应当配置垃圾收集容器，保持摊点干净和卫生。</w:t>
            </w:r>
          </w:p>
          <w:p w14:paraId="305A773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第三十八条  早市、夜市、摊区、临时农副产品市场应当定时定点经营，保持摊位整洁，收市时应当将垃圾、污渍清理干净。临时饮食摊点应当采取有效措施防止油污、污水和垃圾污染环境。</w:t>
            </w:r>
          </w:p>
          <w:p w14:paraId="4D89A6E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第六十五条第四项  单位或者个人有下列情形之一的，责令改正或者限期清除；拒不改正或者清除的，依法代为清除，其费用由违法行为人承担。可以并处五十元以上二百元以下罚款：（四）违反本条例第三十七条第二款、第三十八条摊点卫生管理规定的。</w:t>
            </w:r>
          </w:p>
        </w:tc>
        <w:tc>
          <w:tcPr>
            <w:tcW w:w="913" w:type="dxa"/>
            <w:noWrap w:val="0"/>
            <w:vAlign w:val="center"/>
          </w:tcPr>
          <w:p w14:paraId="25B286A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48C9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6883C6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15</w:t>
            </w:r>
          </w:p>
        </w:tc>
        <w:tc>
          <w:tcPr>
            <w:tcW w:w="2625" w:type="dxa"/>
            <w:noWrap w:val="0"/>
            <w:vAlign w:val="center"/>
          </w:tcPr>
          <w:p w14:paraId="08D0D4F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对侵占、毁损、围挡园林绿地；损毁、盗窃、占用城乡环境卫生设施，擅自关闭、拆除、迁移或者改变用途的行政处罚</w:t>
            </w:r>
          </w:p>
        </w:tc>
        <w:tc>
          <w:tcPr>
            <w:tcW w:w="1391" w:type="dxa"/>
            <w:noWrap w:val="0"/>
            <w:vAlign w:val="center"/>
          </w:tcPr>
          <w:p w14:paraId="73B4B2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40" w:type="dxa"/>
            <w:noWrap w:val="0"/>
            <w:vAlign w:val="center"/>
          </w:tcPr>
          <w:p w14:paraId="458F02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6DB2285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2017年3月1日</w:t>
            </w:r>
          </w:p>
        </w:tc>
        <w:tc>
          <w:tcPr>
            <w:tcW w:w="1145" w:type="dxa"/>
            <w:noWrap w:val="0"/>
            <w:vAlign w:val="center"/>
          </w:tcPr>
          <w:p w14:paraId="7E51E1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1E650F2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《四川省城乡环境综合治理条例》第二十五条第一款  城镇园林绿地建设应当具有市容美化、防灾避险功能，应当定期维护，保持整洁美观，禁止侵占、毁损、围挡园林绿地。</w:t>
            </w:r>
          </w:p>
          <w:p w14:paraId="6450F0C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第五十五条  单位和个人应当保护和正确使用城乡环境卫生设施，禁止损毁、盗窃、占用；禁止擅自关闭、拆除、迁移或者改变其使用性质和内部结构。</w:t>
            </w:r>
          </w:p>
          <w:p w14:paraId="3B9D7A2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第六十六条  违反本条例第二十五条第一款规定，侵占、毁损、围挡园林绿地的，或者违反本条例第五十五条规定损毁、盗窃、占用相关设施设备，擅自关闭、拆除、迁移或者改变用途的，责令限期改正，并处两千元以上一万元以下罚款，依法承担相应民事赔偿责任；违反《中华人民共和国治安管理处罚法》的，由公安机关予以处罚；构成犯罪的，依法追究刑事责任。</w:t>
            </w:r>
          </w:p>
        </w:tc>
        <w:tc>
          <w:tcPr>
            <w:tcW w:w="913" w:type="dxa"/>
            <w:noWrap w:val="0"/>
            <w:vAlign w:val="center"/>
          </w:tcPr>
          <w:p w14:paraId="1DDD46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B198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D05C26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16</w:t>
            </w:r>
          </w:p>
        </w:tc>
        <w:tc>
          <w:tcPr>
            <w:tcW w:w="2625" w:type="dxa"/>
            <w:noWrap w:val="0"/>
            <w:vAlign w:val="center"/>
          </w:tcPr>
          <w:p w14:paraId="4336B67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对占用公共道路和公共场所从事车辆修理、清洗、装饰和再生资源回收的行政处罚</w:t>
            </w:r>
          </w:p>
        </w:tc>
        <w:tc>
          <w:tcPr>
            <w:tcW w:w="1391" w:type="dxa"/>
            <w:noWrap w:val="0"/>
            <w:vAlign w:val="center"/>
          </w:tcPr>
          <w:p w14:paraId="4BEF79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40" w:type="dxa"/>
            <w:noWrap w:val="0"/>
            <w:vAlign w:val="center"/>
          </w:tcPr>
          <w:p w14:paraId="4FCED0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2238C1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2017年3月1日</w:t>
            </w:r>
          </w:p>
        </w:tc>
        <w:tc>
          <w:tcPr>
            <w:tcW w:w="1145" w:type="dxa"/>
            <w:noWrap w:val="0"/>
            <w:vAlign w:val="center"/>
          </w:tcPr>
          <w:p w14:paraId="570648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责令改正，恢复原状</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61F8F4D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 第三十九条  从事车辆修理、清洗、装饰和再生资源回收的，应当符合国土空间规划、城乡容貌管理的要求，保持经营场所及周边环境整洁卫生，不得占用公共道路和公共场所。</w:t>
            </w:r>
          </w:p>
          <w:p w14:paraId="4B2E090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第六十九条  违反本条例第三十九条规定，占用公共道路和公共场所从事车辆修理、清洗、装饰和再生资源回收的，责令改正，恢复原状，并处五百元以上两千元以下罚款。</w:t>
            </w:r>
          </w:p>
        </w:tc>
        <w:tc>
          <w:tcPr>
            <w:tcW w:w="913" w:type="dxa"/>
            <w:noWrap w:val="0"/>
            <w:vAlign w:val="center"/>
          </w:tcPr>
          <w:p w14:paraId="5E44A1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1997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F4079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17</w:t>
            </w:r>
          </w:p>
        </w:tc>
        <w:tc>
          <w:tcPr>
            <w:tcW w:w="2625" w:type="dxa"/>
            <w:noWrap w:val="0"/>
            <w:vAlign w:val="center"/>
          </w:tcPr>
          <w:p w14:paraId="5ECA5B0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对施工单位未及时清运工程施工过程中产生的建筑垃圾，造成环境污染的行政处罚</w:t>
            </w:r>
          </w:p>
        </w:tc>
        <w:tc>
          <w:tcPr>
            <w:tcW w:w="1391" w:type="dxa"/>
            <w:noWrap w:val="0"/>
            <w:vAlign w:val="center"/>
          </w:tcPr>
          <w:p w14:paraId="1623F5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《城市建筑垃圾管理规定》</w:t>
            </w:r>
          </w:p>
        </w:tc>
        <w:tc>
          <w:tcPr>
            <w:tcW w:w="1240" w:type="dxa"/>
            <w:noWrap w:val="0"/>
            <w:vAlign w:val="center"/>
          </w:tcPr>
          <w:p w14:paraId="111C43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lang w:eastAsia="zh-CN"/>
              </w:rPr>
              <w:t>国务院</w:t>
            </w:r>
          </w:p>
        </w:tc>
        <w:tc>
          <w:tcPr>
            <w:tcW w:w="1214" w:type="dxa"/>
            <w:noWrap w:val="0"/>
            <w:vAlign w:val="center"/>
          </w:tcPr>
          <w:p w14:paraId="68D592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2005年3月23日</w:t>
            </w:r>
          </w:p>
        </w:tc>
        <w:tc>
          <w:tcPr>
            <w:tcW w:w="1145" w:type="dxa"/>
            <w:noWrap w:val="0"/>
            <w:vAlign w:val="center"/>
          </w:tcPr>
          <w:p w14:paraId="017426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、警告、罚款</w:t>
            </w:r>
          </w:p>
        </w:tc>
        <w:tc>
          <w:tcPr>
            <w:tcW w:w="4787" w:type="dxa"/>
            <w:noWrap w:val="0"/>
            <w:vAlign w:val="top"/>
          </w:tcPr>
          <w:p w14:paraId="5265C24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《城市建筑垃圾管理规定》第二十二条第一款  施工单位未及时清运工程施工过程中产生的建筑垃圾，造成环境污染的，由城市人民政府市容环境卫生主管部门责令限期改正，给予警告，处 5000 元以上 5 万元以下罚款。</w:t>
            </w:r>
          </w:p>
        </w:tc>
        <w:tc>
          <w:tcPr>
            <w:tcW w:w="913" w:type="dxa"/>
            <w:noWrap w:val="0"/>
            <w:vAlign w:val="center"/>
          </w:tcPr>
          <w:p w14:paraId="49B03C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5804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1ACFA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18</w:t>
            </w:r>
          </w:p>
        </w:tc>
        <w:tc>
          <w:tcPr>
            <w:tcW w:w="2625" w:type="dxa"/>
            <w:noWrap w:val="0"/>
            <w:vAlign w:val="center"/>
          </w:tcPr>
          <w:p w14:paraId="17ABC9A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对单位和个人未按规定缴纳城市生活垃圾处理费的行政处罚</w:t>
            </w:r>
          </w:p>
        </w:tc>
        <w:tc>
          <w:tcPr>
            <w:tcW w:w="1391" w:type="dxa"/>
            <w:noWrap w:val="0"/>
            <w:vAlign w:val="center"/>
          </w:tcPr>
          <w:p w14:paraId="2537CB6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《城市生活垃圾管理办法》</w:t>
            </w:r>
          </w:p>
        </w:tc>
        <w:tc>
          <w:tcPr>
            <w:tcW w:w="1240" w:type="dxa"/>
            <w:noWrap w:val="0"/>
            <w:vAlign w:val="center"/>
          </w:tcPr>
          <w:p w14:paraId="2287B1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lang w:eastAsia="zh-CN"/>
              </w:rPr>
              <w:t>国务院</w:t>
            </w:r>
          </w:p>
        </w:tc>
        <w:tc>
          <w:tcPr>
            <w:tcW w:w="1214" w:type="dxa"/>
            <w:noWrap w:val="0"/>
            <w:vAlign w:val="center"/>
          </w:tcPr>
          <w:p w14:paraId="4AE18C3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Arial" w:hAnsi="Arial" w:eastAsia="宋体" w:cs="Arial"/>
                <w:i w:val="0"/>
                <w:iCs w:val="0"/>
                <w:caps w:val="0"/>
                <w:color w:val="auto"/>
                <w:spacing w:val="0"/>
                <w:sz w:val="19"/>
                <w:szCs w:val="19"/>
                <w:shd w:val="clear" w:fill="FFFFFF"/>
              </w:rPr>
              <w:t>2007年4月10日</w:t>
            </w:r>
          </w:p>
        </w:tc>
        <w:tc>
          <w:tcPr>
            <w:tcW w:w="1145" w:type="dxa"/>
            <w:noWrap w:val="0"/>
            <w:vAlign w:val="center"/>
          </w:tcPr>
          <w:p w14:paraId="6F33A65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B2BF5C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《城市生活垃圾管理办法》 第三十八条  单位和个人未按规定缴纳城市生活垃圾处理费的，由直辖市、市、县人民政府建设（环境卫生）主管部门责令限期改正，逾期不改正的，对单位可处以应交城市生活垃圾处理费三倍以下且不超过 3 万元的罚款，对个人可处以应交城市生活垃圾处理费三倍以下且不超过 1000 元的罚款。</w:t>
            </w:r>
          </w:p>
        </w:tc>
        <w:tc>
          <w:tcPr>
            <w:tcW w:w="913" w:type="dxa"/>
            <w:noWrap w:val="0"/>
            <w:vAlign w:val="center"/>
          </w:tcPr>
          <w:p w14:paraId="625195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F440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0F20EA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19</w:t>
            </w:r>
          </w:p>
        </w:tc>
        <w:tc>
          <w:tcPr>
            <w:tcW w:w="2625" w:type="dxa"/>
            <w:noWrap w:val="0"/>
            <w:vAlign w:val="center"/>
          </w:tcPr>
          <w:p w14:paraId="5F38B8D4">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对随意倾倒、抛洒、堆放城市生活垃圾的行政处罚</w:t>
            </w:r>
          </w:p>
        </w:tc>
        <w:tc>
          <w:tcPr>
            <w:tcW w:w="1391" w:type="dxa"/>
            <w:noWrap w:val="0"/>
            <w:vAlign w:val="center"/>
          </w:tcPr>
          <w:p w14:paraId="30D13C3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《城市生活垃圾管理办法》</w:t>
            </w:r>
          </w:p>
        </w:tc>
        <w:tc>
          <w:tcPr>
            <w:tcW w:w="1240" w:type="dxa"/>
            <w:noWrap w:val="0"/>
            <w:vAlign w:val="center"/>
          </w:tcPr>
          <w:p w14:paraId="72FA92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eastAsia="zh-CN"/>
              </w:rPr>
              <w:t>国务院</w:t>
            </w:r>
          </w:p>
        </w:tc>
        <w:tc>
          <w:tcPr>
            <w:tcW w:w="1214" w:type="dxa"/>
            <w:noWrap w:val="0"/>
            <w:vAlign w:val="center"/>
          </w:tcPr>
          <w:p w14:paraId="2FAB39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Arial" w:hAnsi="Arial" w:eastAsia="宋体" w:cs="Arial"/>
                <w:i w:val="0"/>
                <w:iCs w:val="0"/>
                <w:caps w:val="0"/>
                <w:color w:val="auto"/>
                <w:spacing w:val="0"/>
                <w:sz w:val="19"/>
                <w:szCs w:val="19"/>
                <w:shd w:val="clear" w:fill="FFFFFF"/>
              </w:rPr>
              <w:t>2007年4月10日</w:t>
            </w:r>
          </w:p>
        </w:tc>
        <w:tc>
          <w:tcPr>
            <w:tcW w:w="1145" w:type="dxa"/>
            <w:noWrap w:val="0"/>
            <w:vAlign w:val="center"/>
          </w:tcPr>
          <w:p w14:paraId="00A61B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责令停止违法行为，限期改正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643BBE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《城市生活垃圾管理办法》第十六条  单位和个人应当按照规定的地点、时间等要求，将生活垃圾投放到指定的垃圾容器或者收集场所。废旧家具等大件垃圾应当按规定时间投放在指定的收集场所。城市生活垃圾实行分类收集的地区，单位和个人应当按照规定的分类要求，将生活垃圾装入相应的垃圾袋内，投入指定的垃圾容器或者收集场所。宾馆、饭店、餐馆以及机关、院校等单位应当按照规定单独收集、存放本单位产生的餐厨垃圾，并交符合本办法要求的城市生活垃圾收集、运输企业运至规定的城市生活垃圾处理场所。禁止随意倾倒、抛洒或者堆放城市生活垃圾。</w:t>
            </w:r>
          </w:p>
          <w:p w14:paraId="745DB38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第四十二条  违反本办法第十六条规定，随意倾倒、抛洒、堆放城市生活垃圾的，由直辖市、市、县人民政府建设（环境卫生）主管部门责令停止违法行为，限期改正，对单位处以 5000 元以上 5 万元以下的罚款。个人有以上行为的，处以 200 元以下的罚款。</w:t>
            </w:r>
          </w:p>
        </w:tc>
        <w:tc>
          <w:tcPr>
            <w:tcW w:w="913" w:type="dxa"/>
            <w:noWrap w:val="0"/>
            <w:vAlign w:val="center"/>
          </w:tcPr>
          <w:p w14:paraId="1AA65F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F0E2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7A47E4E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w:t>
            </w:r>
          </w:p>
        </w:tc>
        <w:tc>
          <w:tcPr>
            <w:tcW w:w="2625" w:type="dxa"/>
            <w:noWrap w:val="0"/>
            <w:vAlign w:val="center"/>
          </w:tcPr>
          <w:p w14:paraId="3545F67B">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对擅自砍伐、损坏城市树竹花草或者损毁城市园林绿地；因养护不善致使古树名木受到损伤或者死亡；损坏城市园林绿化设施的行政处罚</w:t>
            </w:r>
          </w:p>
        </w:tc>
        <w:tc>
          <w:tcPr>
            <w:tcW w:w="1391" w:type="dxa"/>
            <w:noWrap w:val="0"/>
            <w:vAlign w:val="center"/>
          </w:tcPr>
          <w:p w14:paraId="7A562A7A">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1.《城市绿化条例》</w:t>
            </w:r>
          </w:p>
          <w:p w14:paraId="39DDC948">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2.《四川省城市园林绿化条例》</w:t>
            </w:r>
          </w:p>
        </w:tc>
        <w:tc>
          <w:tcPr>
            <w:tcW w:w="1240" w:type="dxa"/>
            <w:noWrap w:val="0"/>
            <w:vAlign w:val="center"/>
          </w:tcPr>
          <w:p w14:paraId="2E9E7C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402E91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0F5289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Arial" w:hAnsi="Arial" w:eastAsia="宋体" w:cs="Arial"/>
                <w:i w:val="0"/>
                <w:iCs w:val="0"/>
                <w:caps w:val="0"/>
                <w:color w:val="auto"/>
                <w:spacing w:val="0"/>
                <w:sz w:val="19"/>
                <w:szCs w:val="19"/>
                <w:shd w:val="clear" w:fill="FFFFFF"/>
              </w:rPr>
            </w:pPr>
            <w:r>
              <w:rPr>
                <w:rFonts w:ascii="Arial" w:hAnsi="Arial" w:eastAsia="宋体" w:cs="Arial"/>
                <w:i w:val="0"/>
                <w:iCs w:val="0"/>
                <w:caps w:val="0"/>
                <w:color w:val="auto"/>
                <w:spacing w:val="0"/>
                <w:sz w:val="19"/>
                <w:szCs w:val="19"/>
                <w:shd w:val="clear" w:fill="FFFFFF"/>
              </w:rPr>
              <w:t>2</w:t>
            </w:r>
            <w:r>
              <w:rPr>
                <w:rFonts w:hint="eastAsia" w:ascii="Arial" w:hAnsi="Arial" w:eastAsia="宋体" w:cs="Arial"/>
                <w:i w:val="0"/>
                <w:iCs w:val="0"/>
                <w:caps w:val="0"/>
                <w:color w:val="auto"/>
                <w:spacing w:val="0"/>
                <w:sz w:val="19"/>
                <w:szCs w:val="19"/>
                <w:shd w:val="clear" w:fill="FFFFFF"/>
              </w:rPr>
              <w:t>017年3月1日</w:t>
            </w:r>
          </w:p>
          <w:p w14:paraId="188B1D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Arial" w:hAnsi="Arial" w:eastAsia="宋体" w:cs="Arial"/>
                <w:i w:val="0"/>
                <w:iCs w:val="0"/>
                <w:caps w:val="0"/>
                <w:color w:val="auto"/>
                <w:spacing w:val="0"/>
                <w:sz w:val="19"/>
                <w:szCs w:val="19"/>
                <w:shd w:val="clear" w:fill="FFFFFF"/>
              </w:rPr>
            </w:pPr>
            <w:r>
              <w:rPr>
                <w:rFonts w:hint="eastAsia" w:ascii="Arial" w:hAnsi="Arial" w:eastAsia="宋体" w:cs="Arial"/>
                <w:i w:val="0"/>
                <w:iCs w:val="0"/>
                <w:caps w:val="0"/>
                <w:color w:val="auto"/>
                <w:spacing w:val="0"/>
                <w:sz w:val="19"/>
                <w:szCs w:val="19"/>
                <w:shd w:val="clear" w:fill="FFFFFF"/>
              </w:rPr>
              <w:t>2018年7月26日</w:t>
            </w:r>
          </w:p>
        </w:tc>
        <w:tc>
          <w:tcPr>
            <w:tcW w:w="1145" w:type="dxa"/>
            <w:noWrap w:val="0"/>
            <w:vAlign w:val="center"/>
          </w:tcPr>
          <w:p w14:paraId="26669F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责令停止侵害</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赔偿损失</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追缴非法所得</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CACA78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1.《城市绿化条例》第二十六条  违反本条例规定，有下列行为之一的，由城市人民政府城市绿化行政主管部门或者其授权的单位责令停止侵害，可以并处罚款；造成损失的，应当负赔偿责任；应当给予治安管理处罚的，依照《中华人民共和国治安管理处罚法》的有关规定处罚；构成犯罪的，依法追究刑事责任：（一）损坏城市树木花草的；（二）擅自砍伐城市树木的；（三）砍伐、擅自迁移古树名木或者因养护不善致使古树名木受到损伤或者死亡的；（四）损坏城市绿化设施的。</w:t>
            </w:r>
          </w:p>
          <w:p w14:paraId="25A1243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2.《四川省城市园林绿化条例》第四十条  擅自砍伐、损坏城市树竹花草或者损毁城市园林绿地的，由城市园林绿化行政主管部门或者其授权单位责令改正、赔偿损失，可以并处赔偿金额二倍以下的罚款。损坏城市园林绿化设施的，由城市园林绿化行政主管部门或者其授权单位责令停止侵害，赔偿损失，可以并处二千元以上一万元以下罚款。</w:t>
            </w:r>
          </w:p>
          <w:p w14:paraId="4281DB1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第四十二条  砍伐、擅自迁移古树名木或者因养护不善，致使古树名木受到损伤或者死亡的，由城市园林绿化行政主管部门或其授权单位责令停止侵害，赔偿损失，追缴非法所得，对直接责任人处以每株树木一千元以下罚款，对直接责任单位处以每株树木五万元以下罚款；应当给予治安管理处罚的，依照《中华人民共和国治安管理处罚法》有关规定处罚；构成犯罪的，依法追究刑事责任。</w:t>
            </w:r>
          </w:p>
        </w:tc>
        <w:tc>
          <w:tcPr>
            <w:tcW w:w="913" w:type="dxa"/>
            <w:noWrap w:val="0"/>
            <w:vAlign w:val="center"/>
          </w:tcPr>
          <w:p w14:paraId="092B36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8F21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E74A0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21</w:t>
            </w:r>
          </w:p>
        </w:tc>
        <w:tc>
          <w:tcPr>
            <w:tcW w:w="2625" w:type="dxa"/>
            <w:noWrap w:val="0"/>
            <w:vAlign w:val="center"/>
          </w:tcPr>
          <w:p w14:paraId="41137F9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随地吐痰、吐口香糖，乱扔烟蒂、纸屑、果皮及食品包装等废弃物，随地便溺；从车辆内或者建（构）筑物上向外抛掷杂物、废弃物；在非指定地点倾倒垃圾、污水、粪便等废弃物或者将废弃物扫入、排入城市排水沟、地下管道；在非指定区域、指定时间燃放烟花爆竹；在露天场所或者垃圾收集容器内焚烧秸秆、树叶、垃圾或者其他废弃物；在住宅区内从事产生废气、废水、废渣的经营活动，影响居民正常生活；占用道路、桥梁、人行天桥、地下通道、广场等公共场所摆摊设点、堆放物料及从事经营性活动的行政处罚</w:t>
            </w:r>
          </w:p>
        </w:tc>
        <w:tc>
          <w:tcPr>
            <w:tcW w:w="1391" w:type="dxa"/>
            <w:noWrap w:val="0"/>
            <w:vAlign w:val="center"/>
          </w:tcPr>
          <w:p w14:paraId="4EC153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40" w:type="dxa"/>
            <w:noWrap w:val="0"/>
            <w:vAlign w:val="center"/>
          </w:tcPr>
          <w:p w14:paraId="1528A5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63BF85F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Arial" w:hAnsi="Arial" w:eastAsia="宋体" w:cs="Arial"/>
                <w:i w:val="0"/>
                <w:iCs w:val="0"/>
                <w:caps w:val="0"/>
                <w:color w:val="auto"/>
                <w:spacing w:val="0"/>
                <w:sz w:val="19"/>
                <w:szCs w:val="19"/>
                <w:shd w:val="clear" w:fill="FFFFFF"/>
              </w:rPr>
            </w:pPr>
            <w:r>
              <w:rPr>
                <w:rFonts w:hint="eastAsia" w:ascii="仿宋_GB2312" w:hAnsi="仿宋_GB2312" w:eastAsia="仿宋_GB2312" w:cs="仿宋_GB2312"/>
                <w:color w:val="auto"/>
                <w:sz w:val="24"/>
                <w:szCs w:val="24"/>
                <w:vertAlign w:val="baseline"/>
              </w:rPr>
              <w:t>2017年3月1日</w:t>
            </w:r>
          </w:p>
        </w:tc>
        <w:tc>
          <w:tcPr>
            <w:tcW w:w="1145" w:type="dxa"/>
            <w:noWrap w:val="0"/>
            <w:vAlign w:val="center"/>
          </w:tcPr>
          <w:p w14:paraId="31FC94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责令改正或者清除</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7F5BD97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《四川省城乡环境综合治理条例》第四十五条  禁止影响城镇环境卫生的下列行为：（一）随地吐痰、吐口香糖，乱扔烟蒂、纸屑、果皮及食品包装等废弃物，随地便溺；（二）从车辆内或者建（构）筑物上向外抛掷杂物、废弃物；（三）在非指定地点倾倒垃圾、污水、粪便等废弃物或者将废弃物扫入、排入城市排水沟、地下管道；（四）在非指定区域、指定时间燃放烟花爆竹；（五）在露天场所或者垃圾收集容器内焚烧秸秆、树叶、垃圾或者其他废弃物；（六）在住宅区内从事产生废气、废水、废渣的经营活动，影响居民正常生活；（七）占用道路、桥梁、人行天桥、地下通道、广场等公共场地摆摊设点、堆放物料及从事经营性活动。</w:t>
            </w:r>
          </w:p>
          <w:p w14:paraId="001ADCE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第七十一条  单位或者个人有本条例第四十五条规定影响城镇环境卫生行为之一的，责令改正或者清除；拒不改正或者清除的，代为清除，其费用由违法行为人承担；情节严重或者造成严重后果的，并处个人五十元以上二百元以下罚款，单位五百元以上二千元以下罚款。</w:t>
            </w:r>
          </w:p>
        </w:tc>
        <w:tc>
          <w:tcPr>
            <w:tcW w:w="913" w:type="dxa"/>
            <w:noWrap w:val="0"/>
            <w:vAlign w:val="center"/>
          </w:tcPr>
          <w:p w14:paraId="075DFA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FF06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3D671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22</w:t>
            </w:r>
          </w:p>
        </w:tc>
        <w:tc>
          <w:tcPr>
            <w:tcW w:w="2625" w:type="dxa"/>
            <w:noWrap w:val="0"/>
            <w:vAlign w:val="center"/>
          </w:tcPr>
          <w:p w14:paraId="70DF1245">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对堆放、吊挂影响市容市貌物品的行政处罚</w:t>
            </w:r>
          </w:p>
        </w:tc>
        <w:tc>
          <w:tcPr>
            <w:tcW w:w="1391" w:type="dxa"/>
            <w:noWrap w:val="0"/>
            <w:vAlign w:val="center"/>
          </w:tcPr>
          <w:p w14:paraId="6D10AF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40" w:type="dxa"/>
            <w:noWrap w:val="0"/>
            <w:vAlign w:val="center"/>
          </w:tcPr>
          <w:p w14:paraId="036945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293710F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Arial" w:hAnsi="Arial" w:eastAsia="宋体" w:cs="Arial"/>
                <w:i w:val="0"/>
                <w:iCs w:val="0"/>
                <w:caps w:val="0"/>
                <w:color w:val="auto"/>
                <w:spacing w:val="0"/>
                <w:sz w:val="19"/>
                <w:szCs w:val="19"/>
                <w:shd w:val="clear" w:fill="FFFFFF"/>
              </w:rPr>
            </w:pPr>
            <w:r>
              <w:rPr>
                <w:rFonts w:hint="eastAsia" w:ascii="仿宋_GB2312" w:hAnsi="仿宋_GB2312" w:eastAsia="仿宋_GB2312" w:cs="仿宋_GB2312"/>
                <w:color w:val="auto"/>
                <w:sz w:val="24"/>
                <w:szCs w:val="24"/>
                <w:vertAlign w:val="baseline"/>
              </w:rPr>
              <w:t>2017年3月1日</w:t>
            </w:r>
          </w:p>
        </w:tc>
        <w:tc>
          <w:tcPr>
            <w:tcW w:w="1145" w:type="dxa"/>
            <w:noWrap w:val="0"/>
            <w:vAlign w:val="center"/>
          </w:tcPr>
          <w:p w14:paraId="094F3D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责令改正或者限期清除</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ACB5BC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《四川省城乡环境综合治理条例》第二十条第一款   城镇临街建（构）筑物立面应当保持整洁、完好，其造型、色调和风格应当与周围环境景观相协调。屋顶、阳台、平台、外走廊及窗外不得堆放、吊挂影响市容市貌的物品；各类附属设施应当规范设置。</w:t>
            </w:r>
          </w:p>
          <w:p w14:paraId="036C27A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第六十五条第一项  单位或者个人有下列情形之一的，责令改正或者限期清除；拒不改正或者清除的，依法代为清除，其费用由违法行为人承担。可以并处五十元以上二百元以下罚款：（一）违反本条例第二十条第一款规定，堆放、吊挂影响市容市貌物品的。</w:t>
            </w:r>
          </w:p>
        </w:tc>
        <w:tc>
          <w:tcPr>
            <w:tcW w:w="913" w:type="dxa"/>
            <w:noWrap w:val="0"/>
            <w:vAlign w:val="center"/>
          </w:tcPr>
          <w:p w14:paraId="3B05B2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8D9B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5B9DFA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23</w:t>
            </w:r>
          </w:p>
        </w:tc>
        <w:tc>
          <w:tcPr>
            <w:tcW w:w="2625" w:type="dxa"/>
            <w:noWrap w:val="0"/>
            <w:vAlign w:val="center"/>
          </w:tcPr>
          <w:p w14:paraId="6A043F2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对在城镇住宅区内饲养家畜家禽，饲养宠物和信鸽影响环境卫生和周围居民正常生活的行政处罚</w:t>
            </w:r>
          </w:p>
        </w:tc>
        <w:tc>
          <w:tcPr>
            <w:tcW w:w="1391" w:type="dxa"/>
            <w:noWrap w:val="0"/>
            <w:vAlign w:val="center"/>
          </w:tcPr>
          <w:p w14:paraId="0FD89D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40" w:type="dxa"/>
            <w:noWrap w:val="0"/>
            <w:vAlign w:val="center"/>
          </w:tcPr>
          <w:p w14:paraId="0BCB44F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1CFACA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Arial" w:hAnsi="Arial" w:eastAsia="宋体" w:cs="Arial"/>
                <w:i w:val="0"/>
                <w:iCs w:val="0"/>
                <w:caps w:val="0"/>
                <w:color w:val="auto"/>
                <w:spacing w:val="0"/>
                <w:sz w:val="19"/>
                <w:szCs w:val="19"/>
                <w:shd w:val="clear" w:fill="FFFFFF"/>
              </w:rPr>
            </w:pPr>
            <w:r>
              <w:rPr>
                <w:rFonts w:hint="eastAsia" w:ascii="仿宋_GB2312" w:hAnsi="仿宋_GB2312" w:eastAsia="仿宋_GB2312" w:cs="仿宋_GB2312"/>
                <w:color w:val="auto"/>
                <w:sz w:val="24"/>
                <w:szCs w:val="24"/>
                <w:vertAlign w:val="baseline"/>
              </w:rPr>
              <w:t>2017年3月1日</w:t>
            </w:r>
          </w:p>
        </w:tc>
        <w:tc>
          <w:tcPr>
            <w:tcW w:w="1145" w:type="dxa"/>
            <w:noWrap w:val="0"/>
            <w:vAlign w:val="center"/>
          </w:tcPr>
          <w:p w14:paraId="6FE099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责令改正或者限期清除</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60BF67D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 第三十六条第二款  禁止在城镇住宅区内饲养家禽家畜。城镇居民经批准饲养宠物和信鸽的，不得影响环境卫生和周围居民正常生活。携带宠物出户，应当携带清洁用具，及时清除宠物排泄物，维护公共环境卫生。</w:t>
            </w:r>
          </w:p>
          <w:p w14:paraId="4065515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第六十五条第三项  单位或者个人有下列情形之一的，责令改正或者限期清除；拒不改正或者清除的，依法代为清除，其费用由违法行为人承担。可以并处五十元以上二百元以下罚款：（三）违反本条例第三十六条第二款规定，在城镇住宅区内饲养家禽家畜的，饲养宠物和信鸽影响环境卫生和周围居民正常生活的。</w:t>
            </w:r>
          </w:p>
        </w:tc>
        <w:tc>
          <w:tcPr>
            <w:tcW w:w="913" w:type="dxa"/>
            <w:noWrap w:val="0"/>
            <w:vAlign w:val="center"/>
          </w:tcPr>
          <w:p w14:paraId="2760ED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10E0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7C17FD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24</w:t>
            </w:r>
          </w:p>
        </w:tc>
        <w:tc>
          <w:tcPr>
            <w:tcW w:w="2625" w:type="dxa"/>
            <w:noWrap w:val="0"/>
            <w:vAlign w:val="center"/>
          </w:tcPr>
          <w:p w14:paraId="1BF44987">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对单位和个人擅自开启公共消火栓的行政处罚</w:t>
            </w:r>
          </w:p>
        </w:tc>
        <w:tc>
          <w:tcPr>
            <w:tcW w:w="1391" w:type="dxa"/>
            <w:noWrap w:val="0"/>
            <w:vAlign w:val="center"/>
          </w:tcPr>
          <w:p w14:paraId="0C1829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《四川省城市供水条例》</w:t>
            </w:r>
          </w:p>
        </w:tc>
        <w:tc>
          <w:tcPr>
            <w:tcW w:w="1240" w:type="dxa"/>
            <w:noWrap w:val="0"/>
            <w:vAlign w:val="center"/>
          </w:tcPr>
          <w:p w14:paraId="0B36FE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26F8B9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012</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7</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27</w:t>
            </w:r>
            <w:r>
              <w:rPr>
                <w:rFonts w:hint="eastAsia" w:ascii="宋体" w:hAnsi="宋体" w:eastAsia="宋体" w:cs="宋体"/>
                <w:i w:val="0"/>
                <w:iCs w:val="0"/>
                <w:caps w:val="0"/>
                <w:color w:val="auto"/>
                <w:spacing w:val="0"/>
                <w:sz w:val="21"/>
                <w:szCs w:val="21"/>
              </w:rPr>
              <w:t>日</w:t>
            </w:r>
          </w:p>
        </w:tc>
        <w:tc>
          <w:tcPr>
            <w:tcW w:w="1145" w:type="dxa"/>
            <w:noWrap w:val="0"/>
            <w:vAlign w:val="center"/>
          </w:tcPr>
          <w:p w14:paraId="618382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2C8BA74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《四川省城市供水条例》第四十四条第三款  公共消火栓实行专管专用制度，除训练演练、灭火救援用水外，任何单位和个人不得擅自动用。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第五十七条第六项  任何单位和个人违反本条例规定，有下列行为之一的，由城市供水行政主管部门责令改正，按照以下规定予以处罚；造成损失的，赔偿损失；构成犯罪的，依法追究刑事责任：</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（六）违反本条例第四十四条第三款规定，擅自开启公共消火栓的，处以一千元以上三千元以下罚款，并依法追究刑事责任。</w:t>
            </w:r>
          </w:p>
        </w:tc>
        <w:tc>
          <w:tcPr>
            <w:tcW w:w="913" w:type="dxa"/>
            <w:noWrap w:val="0"/>
            <w:vAlign w:val="center"/>
          </w:tcPr>
          <w:p w14:paraId="3840F2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AFB4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FB221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25</w:t>
            </w:r>
          </w:p>
        </w:tc>
        <w:tc>
          <w:tcPr>
            <w:tcW w:w="2625" w:type="dxa"/>
            <w:noWrap w:val="0"/>
            <w:vAlign w:val="center"/>
          </w:tcPr>
          <w:p w14:paraId="473D2E0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对在城市绿地范围内进行拦河截溪、取土采石、设置垃圾堆场、排放污水以及其他对城市生态环境造成破坏活动的行政处罚</w:t>
            </w:r>
          </w:p>
        </w:tc>
        <w:tc>
          <w:tcPr>
            <w:tcW w:w="1391" w:type="dxa"/>
            <w:noWrap w:val="0"/>
            <w:vAlign w:val="center"/>
          </w:tcPr>
          <w:p w14:paraId="5AECFD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《城市绿线管理办法》</w:t>
            </w:r>
          </w:p>
        </w:tc>
        <w:tc>
          <w:tcPr>
            <w:tcW w:w="1240" w:type="dxa"/>
            <w:noWrap w:val="0"/>
            <w:vAlign w:val="center"/>
          </w:tcPr>
          <w:p w14:paraId="5BAC43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214" w:type="dxa"/>
            <w:noWrap w:val="0"/>
            <w:vAlign w:val="center"/>
          </w:tcPr>
          <w:p w14:paraId="6EF7D4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2002年9月13日</w:t>
            </w:r>
          </w:p>
        </w:tc>
        <w:tc>
          <w:tcPr>
            <w:tcW w:w="1145" w:type="dxa"/>
            <w:noWrap w:val="0"/>
            <w:vAlign w:val="center"/>
          </w:tcPr>
          <w:p w14:paraId="6A5456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64030C7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《城市绿线管理办法》第十七条  违反本办法规定，在城市绿地范围内进行拦河截溪、取土采石、设置垃圾堆场、排放污水以及其他对城市生态环境造成破坏活动的，由城市园林绿化行政主管部门责令改正，并处一万元以上三万元以下的罚款。</w:t>
            </w:r>
          </w:p>
        </w:tc>
        <w:tc>
          <w:tcPr>
            <w:tcW w:w="913" w:type="dxa"/>
            <w:noWrap w:val="0"/>
            <w:vAlign w:val="center"/>
          </w:tcPr>
          <w:p w14:paraId="72AFE5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CC0E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74A4CD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26</w:t>
            </w:r>
          </w:p>
        </w:tc>
        <w:tc>
          <w:tcPr>
            <w:tcW w:w="2625" w:type="dxa"/>
            <w:noWrap w:val="0"/>
            <w:vAlign w:val="center"/>
          </w:tcPr>
          <w:p w14:paraId="5498AD1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对违反施工现场容貌管理规定逾期不改正的行政处罚</w:t>
            </w:r>
          </w:p>
        </w:tc>
        <w:tc>
          <w:tcPr>
            <w:tcW w:w="1391" w:type="dxa"/>
            <w:noWrap w:val="0"/>
            <w:vAlign w:val="center"/>
          </w:tcPr>
          <w:p w14:paraId="2B71A2E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40" w:type="dxa"/>
            <w:noWrap w:val="0"/>
            <w:vAlign w:val="center"/>
          </w:tcPr>
          <w:p w14:paraId="198911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17F9E1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rPr>
              <w:t>2017年3月1日</w:t>
            </w:r>
          </w:p>
        </w:tc>
        <w:tc>
          <w:tcPr>
            <w:tcW w:w="1145" w:type="dxa"/>
            <w:noWrap w:val="0"/>
            <w:vAlign w:val="center"/>
          </w:tcPr>
          <w:p w14:paraId="6AE550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045C2B7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《四川省城乡环境综合治理条例》第二十七条第一款  建筑施工现场应当按照规定设置隔离护栏、警示标志和施工公告牌等；施工现场材料、机具应当放置整齐；施工中应当采取封闭、降尘、降噪等措施控制扬尘、噪声等污染，产生的建筑垃圾应当按规定及时清运；工程竣工后应当及时清理和平整场地。</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第六十八条   违反本条例第二十七条第一款施工现场容貌管理规定的，责令限期改正，处二万元以上十万元以下罚款；拒不改正的，责令停工整治。</w:t>
            </w:r>
          </w:p>
        </w:tc>
        <w:tc>
          <w:tcPr>
            <w:tcW w:w="913" w:type="dxa"/>
            <w:noWrap w:val="0"/>
            <w:vAlign w:val="center"/>
          </w:tcPr>
          <w:p w14:paraId="492AF22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CC07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0A4C75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27</w:t>
            </w:r>
          </w:p>
        </w:tc>
        <w:tc>
          <w:tcPr>
            <w:tcW w:w="2625" w:type="dxa"/>
            <w:noWrap w:val="0"/>
            <w:vAlign w:val="center"/>
          </w:tcPr>
          <w:p w14:paraId="17034C8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对城乡环境综合治理责任人不履行义务，责任区的容貌秩序、环境卫生未达到有关标准的行政处罚</w:t>
            </w:r>
          </w:p>
        </w:tc>
        <w:tc>
          <w:tcPr>
            <w:tcW w:w="1391" w:type="dxa"/>
            <w:noWrap w:val="0"/>
            <w:vAlign w:val="center"/>
          </w:tcPr>
          <w:p w14:paraId="6BAB2C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40" w:type="dxa"/>
            <w:noWrap w:val="0"/>
            <w:vAlign w:val="center"/>
          </w:tcPr>
          <w:p w14:paraId="13423C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5428C7C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rPr>
              <w:t>2017年3月1日</w:t>
            </w:r>
          </w:p>
        </w:tc>
        <w:tc>
          <w:tcPr>
            <w:tcW w:w="1145" w:type="dxa"/>
            <w:noWrap w:val="0"/>
            <w:vAlign w:val="center"/>
          </w:tcPr>
          <w:p w14:paraId="6B8004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警告、责令改正、罚款</w:t>
            </w:r>
          </w:p>
        </w:tc>
        <w:tc>
          <w:tcPr>
            <w:tcW w:w="4787" w:type="dxa"/>
            <w:noWrap w:val="0"/>
            <w:vAlign w:val="top"/>
          </w:tcPr>
          <w:p w14:paraId="4315942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《四川省城乡环境综合治理条例》第六十四条  城乡环境综合治理责任人不履行义务，责任区的容貌秩序、环境卫生未达到有关标准的，予以警告，责令改正；拒不改正的，可以对个人处一百元以上二百元以下罚款，对单位处五百元以上二千元以下罚款，或者建议其上级主管部门对直接责任人及其主管人员给予处分。</w:t>
            </w:r>
          </w:p>
        </w:tc>
        <w:tc>
          <w:tcPr>
            <w:tcW w:w="913" w:type="dxa"/>
            <w:noWrap w:val="0"/>
            <w:vAlign w:val="center"/>
          </w:tcPr>
          <w:p w14:paraId="326463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1FCC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7BA648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28</w:t>
            </w:r>
          </w:p>
        </w:tc>
        <w:tc>
          <w:tcPr>
            <w:tcW w:w="2625" w:type="dxa"/>
            <w:noWrap w:val="0"/>
            <w:vAlign w:val="center"/>
          </w:tcPr>
          <w:p w14:paraId="3627FFF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对运输煤炭、垃圾、渣土、砂石、土方、灰浆等散装、流体物料的车辆，未采取密闭或者其他措施防止物料遗撒的行政处罚</w:t>
            </w:r>
          </w:p>
        </w:tc>
        <w:tc>
          <w:tcPr>
            <w:tcW w:w="1391" w:type="dxa"/>
            <w:noWrap w:val="0"/>
            <w:vAlign w:val="center"/>
          </w:tcPr>
          <w:p w14:paraId="6D898AD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w:t>
            </w:r>
          </w:p>
        </w:tc>
        <w:tc>
          <w:tcPr>
            <w:tcW w:w="1240" w:type="dxa"/>
            <w:noWrap w:val="0"/>
            <w:vAlign w:val="center"/>
          </w:tcPr>
          <w:p w14:paraId="4B81A1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全国人民代表大会常务委员会</w:t>
            </w:r>
          </w:p>
        </w:tc>
        <w:tc>
          <w:tcPr>
            <w:tcW w:w="1214" w:type="dxa"/>
            <w:noWrap w:val="0"/>
            <w:vAlign w:val="center"/>
          </w:tcPr>
          <w:p w14:paraId="323644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2018年10月26日</w:t>
            </w:r>
          </w:p>
        </w:tc>
        <w:tc>
          <w:tcPr>
            <w:tcW w:w="1145" w:type="dxa"/>
            <w:noWrap w:val="0"/>
            <w:vAlign w:val="center"/>
          </w:tcPr>
          <w:p w14:paraId="419CA54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782756E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《中华人民共和国大气污染防治法》第一百一十六条  违反本法规定，运输煤炭、垃圾、渣土、砂石、土方、灰浆等散装、流体物料的车辆，未采取密闭或者其他措施防止物料遗撒的，由县级以上地方人民政府确定的监督管理部门责令改正，处二千元以上二万元以下的罚款；拒不改正的，车辆不得上道路行驶。</w:t>
            </w:r>
          </w:p>
        </w:tc>
        <w:tc>
          <w:tcPr>
            <w:tcW w:w="913" w:type="dxa"/>
            <w:noWrap w:val="0"/>
            <w:vAlign w:val="center"/>
          </w:tcPr>
          <w:p w14:paraId="7804576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2E74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1F5A0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29</w:t>
            </w:r>
          </w:p>
        </w:tc>
        <w:tc>
          <w:tcPr>
            <w:tcW w:w="2625" w:type="dxa"/>
            <w:noWrap w:val="0"/>
            <w:vAlign w:val="center"/>
          </w:tcPr>
          <w:p w14:paraId="7A8E080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对车辆未采取覆盖或者密闭措施，造成泄漏遗撒的或者违规倾倒的行政处罚</w:t>
            </w:r>
          </w:p>
        </w:tc>
        <w:tc>
          <w:tcPr>
            <w:tcW w:w="1391" w:type="dxa"/>
            <w:noWrap w:val="0"/>
            <w:vAlign w:val="center"/>
          </w:tcPr>
          <w:p w14:paraId="3FB33F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40" w:type="dxa"/>
            <w:noWrap w:val="0"/>
            <w:vAlign w:val="center"/>
          </w:tcPr>
          <w:p w14:paraId="3E45E8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603B0C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rPr>
              <w:t>2017年3月1日</w:t>
            </w:r>
          </w:p>
        </w:tc>
        <w:tc>
          <w:tcPr>
            <w:tcW w:w="1145" w:type="dxa"/>
            <w:noWrap w:val="0"/>
            <w:vAlign w:val="center"/>
          </w:tcPr>
          <w:p w14:paraId="4D37A4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责令清除改正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0821D27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《四川省城乡环境综合治理条例》第二十六条第二款  城乡道路上行驶的各种机动车辆应当保持车容整洁。运载垃圾、泥土、砂石、水泥、混凝土、灰浆、煤炭等易飘洒物和液体的机动车辆，应当采取外层覆盖或者密闭措施，不得泄漏遗撒和违规倾倒。</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第六十七条  违反本条例第二十六条第二款规定，车辆未采取覆盖或者密闭措施，造成泄漏遗撒的或者违规倾倒的，责令清除改正；代为清除的，其费用由违法行为人承担；并处两千元以上二万元以下罚款；拒不改正的，车辆不得上道路行驶。</w:t>
            </w:r>
          </w:p>
        </w:tc>
        <w:tc>
          <w:tcPr>
            <w:tcW w:w="913" w:type="dxa"/>
            <w:noWrap w:val="0"/>
            <w:vAlign w:val="center"/>
          </w:tcPr>
          <w:p w14:paraId="7077CA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D95B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7C6399A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30</w:t>
            </w:r>
          </w:p>
        </w:tc>
        <w:tc>
          <w:tcPr>
            <w:tcW w:w="2625" w:type="dxa"/>
            <w:noWrap w:val="0"/>
            <w:vAlign w:val="center"/>
          </w:tcPr>
          <w:p w14:paraId="013C186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对排放油烟的餐饮服务业经营者未安装油烟净化设施、不正常使用油烟净化设施或者未采取其他油烟净化措施，超过排放标准排放油烟的行政处罚</w:t>
            </w:r>
          </w:p>
        </w:tc>
        <w:tc>
          <w:tcPr>
            <w:tcW w:w="1391" w:type="dxa"/>
            <w:noWrap w:val="0"/>
            <w:vAlign w:val="center"/>
          </w:tcPr>
          <w:p w14:paraId="77A5BF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w:t>
            </w:r>
          </w:p>
        </w:tc>
        <w:tc>
          <w:tcPr>
            <w:tcW w:w="1240" w:type="dxa"/>
            <w:noWrap w:val="0"/>
            <w:vAlign w:val="center"/>
          </w:tcPr>
          <w:p w14:paraId="2B8B10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214" w:type="dxa"/>
            <w:noWrap w:val="0"/>
            <w:vAlign w:val="center"/>
          </w:tcPr>
          <w:p w14:paraId="72D40C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2018年10月26日</w:t>
            </w:r>
          </w:p>
        </w:tc>
        <w:tc>
          <w:tcPr>
            <w:tcW w:w="1145" w:type="dxa"/>
            <w:noWrap w:val="0"/>
            <w:vAlign w:val="center"/>
          </w:tcPr>
          <w:p w14:paraId="472A12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责令停业整治</w:t>
            </w:r>
          </w:p>
        </w:tc>
        <w:tc>
          <w:tcPr>
            <w:tcW w:w="4787" w:type="dxa"/>
            <w:noWrap w:val="0"/>
            <w:vAlign w:val="top"/>
          </w:tcPr>
          <w:p w14:paraId="376010A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《中华人民共和国大气污染防治法》第一百一十八条第一款  违反本法规定，排放油烟的餐饮服务业经营者未安装油烟净化设施、不正常使用油烟净化设施或者未采取其他油烟净化措施，超过排放标准排放油烟的，由县级以上地方人民政府确定的监督管理部门责令改正，处五千元以上五万元以下的罚款；拒不改正的，责令停业整治。</w:t>
            </w:r>
          </w:p>
        </w:tc>
        <w:tc>
          <w:tcPr>
            <w:tcW w:w="913" w:type="dxa"/>
            <w:noWrap w:val="0"/>
            <w:vAlign w:val="top"/>
          </w:tcPr>
          <w:p w14:paraId="18815DBC">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由生态环境部门实施的区域除外。</w:t>
            </w:r>
          </w:p>
        </w:tc>
      </w:tr>
      <w:tr w14:paraId="2BE9E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A4641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31</w:t>
            </w:r>
          </w:p>
        </w:tc>
        <w:tc>
          <w:tcPr>
            <w:tcW w:w="2625" w:type="dxa"/>
            <w:noWrap w:val="0"/>
            <w:vAlign w:val="center"/>
          </w:tcPr>
          <w:p w14:paraId="34028C9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对在当地人民政府禁止的时段和区域内露天烧烤食品或者为露天烧烤食品提供场地的行政处罚</w:t>
            </w:r>
          </w:p>
        </w:tc>
        <w:tc>
          <w:tcPr>
            <w:tcW w:w="1391" w:type="dxa"/>
            <w:noWrap w:val="0"/>
            <w:vAlign w:val="center"/>
          </w:tcPr>
          <w:p w14:paraId="3B17F44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w:t>
            </w:r>
          </w:p>
        </w:tc>
        <w:tc>
          <w:tcPr>
            <w:tcW w:w="1240" w:type="dxa"/>
            <w:noWrap w:val="0"/>
            <w:vAlign w:val="center"/>
          </w:tcPr>
          <w:p w14:paraId="020BB8E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214" w:type="dxa"/>
            <w:noWrap w:val="0"/>
            <w:vAlign w:val="center"/>
          </w:tcPr>
          <w:p w14:paraId="2E5771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2018年10月26日</w:t>
            </w:r>
          </w:p>
        </w:tc>
        <w:tc>
          <w:tcPr>
            <w:tcW w:w="1145" w:type="dxa"/>
            <w:noWrap w:val="0"/>
            <w:vAlign w:val="center"/>
          </w:tcPr>
          <w:p w14:paraId="3421DD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、没收所得、罚款</w:t>
            </w:r>
          </w:p>
        </w:tc>
        <w:tc>
          <w:tcPr>
            <w:tcW w:w="4787" w:type="dxa"/>
            <w:noWrap w:val="0"/>
            <w:vAlign w:val="top"/>
          </w:tcPr>
          <w:p w14:paraId="23AD277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《中华人民共和国大气污染防治法》第一百一十八条第三款  违反本法规定，在当地人民政府禁止的时段和区域内露天烧烤食品或者为露天烧烤食品提供场地的，由县级以上地方人民政府确定的监督管理部门责令改正，没收烧烤工具和违法所得，并处五百元以上二万元以下的罚款。</w:t>
            </w:r>
          </w:p>
        </w:tc>
        <w:tc>
          <w:tcPr>
            <w:tcW w:w="913" w:type="dxa"/>
            <w:noWrap w:val="0"/>
            <w:vAlign w:val="top"/>
          </w:tcPr>
          <w:p w14:paraId="14F63C4F">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由生态环境部门实施的区域除外。</w:t>
            </w:r>
          </w:p>
        </w:tc>
      </w:tr>
      <w:tr w14:paraId="7D6B0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A5CD5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32</w:t>
            </w:r>
          </w:p>
        </w:tc>
        <w:tc>
          <w:tcPr>
            <w:tcW w:w="2625" w:type="dxa"/>
            <w:noWrap w:val="0"/>
            <w:vAlign w:val="center"/>
          </w:tcPr>
          <w:p w14:paraId="109097A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对露天焚烧秸秆、落叶等产生烟尘污染的物质的行政处罚</w:t>
            </w:r>
          </w:p>
        </w:tc>
        <w:tc>
          <w:tcPr>
            <w:tcW w:w="1391" w:type="dxa"/>
            <w:noWrap w:val="0"/>
            <w:vAlign w:val="center"/>
          </w:tcPr>
          <w:p w14:paraId="4CB207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w:t>
            </w:r>
          </w:p>
        </w:tc>
        <w:tc>
          <w:tcPr>
            <w:tcW w:w="1240" w:type="dxa"/>
            <w:noWrap w:val="0"/>
            <w:vAlign w:val="center"/>
          </w:tcPr>
          <w:p w14:paraId="6A8A45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214" w:type="dxa"/>
            <w:noWrap w:val="0"/>
            <w:vAlign w:val="center"/>
          </w:tcPr>
          <w:p w14:paraId="0E982E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2018年10月26日</w:t>
            </w:r>
          </w:p>
        </w:tc>
        <w:tc>
          <w:tcPr>
            <w:tcW w:w="1145" w:type="dxa"/>
            <w:noWrap w:val="0"/>
            <w:vAlign w:val="center"/>
          </w:tcPr>
          <w:p w14:paraId="19B096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19657ED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《中华人民共和国大气污染防治法》第一百一十九条第一款  违反本法规定，在人口集中地区对树木、花草喷洒剧毒、高毒农药，或者露天焚烧秸秆、落叶等产生烟尘污染的物质的，由县级以上地方人民政府确定的监督管理部门责令改正，并可以处五百元以上二千元以下的罚款。</w:t>
            </w:r>
          </w:p>
        </w:tc>
        <w:tc>
          <w:tcPr>
            <w:tcW w:w="913" w:type="dxa"/>
            <w:noWrap w:val="0"/>
            <w:vAlign w:val="top"/>
          </w:tcPr>
          <w:p w14:paraId="0F20CB27">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由生态环境部门实施的区域除外。</w:t>
            </w:r>
          </w:p>
        </w:tc>
      </w:tr>
      <w:tr w14:paraId="5DB6E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5B40E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33</w:t>
            </w:r>
          </w:p>
        </w:tc>
        <w:tc>
          <w:tcPr>
            <w:tcW w:w="2625" w:type="dxa"/>
            <w:noWrap w:val="0"/>
            <w:vAlign w:val="center"/>
          </w:tcPr>
          <w:p w14:paraId="719E6E8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对在人口集中地区和其他依法需要特殊保护的区域内，焚烧沥青、油毡、橡胶、塑料、皮革、垃圾以及其他产生有毒有害烟尘和恶臭气体的物质的行政处罚</w:t>
            </w:r>
          </w:p>
        </w:tc>
        <w:tc>
          <w:tcPr>
            <w:tcW w:w="1391" w:type="dxa"/>
            <w:noWrap w:val="0"/>
            <w:vAlign w:val="center"/>
          </w:tcPr>
          <w:p w14:paraId="3EF396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w:t>
            </w:r>
          </w:p>
        </w:tc>
        <w:tc>
          <w:tcPr>
            <w:tcW w:w="1240" w:type="dxa"/>
            <w:noWrap w:val="0"/>
            <w:vAlign w:val="center"/>
          </w:tcPr>
          <w:p w14:paraId="0609B8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214" w:type="dxa"/>
            <w:noWrap w:val="0"/>
            <w:vAlign w:val="center"/>
          </w:tcPr>
          <w:p w14:paraId="504B0E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2018年10月26日</w:t>
            </w:r>
          </w:p>
        </w:tc>
        <w:tc>
          <w:tcPr>
            <w:tcW w:w="1145" w:type="dxa"/>
            <w:noWrap w:val="0"/>
            <w:vAlign w:val="center"/>
          </w:tcPr>
          <w:p w14:paraId="3FFD6B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2E811C3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《中华人民共和国大气污染防治法》第一百一十九条第二款  违反本法规定，在人口集中地区和其他依法需要特殊保护的区域内，焚烧沥青、油毡、橡胶、塑料、皮革、垃圾以及其他产生有毒有害烟尘和恶臭气体的物质的，由县级人民政府确定的监督管理部门责令改正，对单位处一万元以上十万元以下的罚款，对个人处五百元以上二千元以下的罚款。</w:t>
            </w:r>
          </w:p>
        </w:tc>
        <w:tc>
          <w:tcPr>
            <w:tcW w:w="913" w:type="dxa"/>
            <w:noWrap w:val="0"/>
            <w:vAlign w:val="top"/>
          </w:tcPr>
          <w:p w14:paraId="35FAA552">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由生态环境部门实施的区域除外。</w:t>
            </w:r>
          </w:p>
        </w:tc>
      </w:tr>
      <w:tr w14:paraId="5BC1B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D6F0E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34</w:t>
            </w:r>
          </w:p>
        </w:tc>
        <w:tc>
          <w:tcPr>
            <w:tcW w:w="2625" w:type="dxa"/>
            <w:noWrap w:val="0"/>
            <w:vAlign w:val="center"/>
          </w:tcPr>
          <w:p w14:paraId="3615501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对擅自进行涉路施工等行为的行政处罚</w:t>
            </w:r>
          </w:p>
        </w:tc>
        <w:tc>
          <w:tcPr>
            <w:tcW w:w="1391" w:type="dxa"/>
            <w:noWrap w:val="0"/>
            <w:vAlign w:val="center"/>
          </w:tcPr>
          <w:p w14:paraId="68A87F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w:t>
            </w:r>
            <w:r>
              <w:rPr>
                <w:rFonts w:ascii="宋体" w:hAnsi="宋体" w:eastAsia="宋体" w:cs="宋体"/>
                <w:i w:val="0"/>
                <w:iCs w:val="0"/>
                <w:color w:val="auto"/>
                <w:kern w:val="0"/>
                <w:sz w:val="21"/>
                <w:szCs w:val="21"/>
                <w:u w:val="none"/>
                <w:lang w:val="en-US" w:eastAsia="zh-CN" w:bidi="ar"/>
              </w:rPr>
              <w:t>《中华人民共和国公路法》</w:t>
            </w:r>
          </w:p>
          <w:p w14:paraId="2BCE31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2.《公路安全保护条例》</w:t>
            </w:r>
          </w:p>
          <w:p w14:paraId="4BC81A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3.《四川省农村公路条例》</w:t>
            </w:r>
          </w:p>
        </w:tc>
        <w:tc>
          <w:tcPr>
            <w:tcW w:w="1240" w:type="dxa"/>
            <w:noWrap w:val="0"/>
            <w:vAlign w:val="center"/>
          </w:tcPr>
          <w:p w14:paraId="5DC9317A">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1.</w:t>
            </w:r>
            <w:r>
              <w:rPr>
                <w:rFonts w:hint="eastAsia" w:ascii="宋体" w:hAnsi="宋体" w:eastAsia="宋体" w:cs="宋体"/>
                <w:i w:val="0"/>
                <w:iCs w:val="0"/>
                <w:caps w:val="0"/>
                <w:color w:val="auto"/>
                <w:spacing w:val="0"/>
                <w:sz w:val="21"/>
                <w:szCs w:val="21"/>
              </w:rPr>
              <w:t>全国人民代表大会常务委员会</w:t>
            </w:r>
          </w:p>
          <w:p w14:paraId="32E335DB">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default"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w:t>
            </w:r>
            <w:r>
              <w:rPr>
                <w:rFonts w:hint="eastAsia" w:ascii="宋体" w:hAnsi="宋体" w:eastAsia="宋体" w:cs="宋体"/>
                <w:i w:val="0"/>
                <w:iCs w:val="0"/>
                <w:caps w:val="0"/>
                <w:color w:val="auto"/>
                <w:spacing w:val="0"/>
                <w:sz w:val="21"/>
                <w:szCs w:val="21"/>
              </w:rPr>
              <w:t>国务院</w:t>
            </w:r>
            <w:r>
              <w:rPr>
                <w:rFonts w:hint="eastAsia" w:ascii="宋体" w:hAnsi="宋体" w:eastAsia="宋体" w:cs="宋体"/>
                <w:i w:val="0"/>
                <w:iCs w:val="0"/>
                <w:caps w:val="0"/>
                <w:color w:val="auto"/>
                <w:spacing w:val="0"/>
                <w:sz w:val="21"/>
                <w:szCs w:val="21"/>
                <w:lang w:val="en-US" w:eastAsia="zh-CN"/>
              </w:rPr>
              <w:t>3.</w:t>
            </w:r>
            <w:r>
              <w:rPr>
                <w:rFonts w:hint="eastAsia" w:ascii="宋体" w:hAnsi="宋体" w:eastAsia="宋体" w:cs="宋体"/>
                <w:i w:val="0"/>
                <w:iCs w:val="0"/>
                <w:caps w:val="0"/>
                <w:color w:val="auto"/>
                <w:spacing w:val="0"/>
                <w:sz w:val="21"/>
                <w:szCs w:val="21"/>
              </w:rPr>
              <w:t>四川省人民代表大会常务委员会</w:t>
            </w:r>
          </w:p>
          <w:p w14:paraId="0CC3CA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214" w:type="dxa"/>
            <w:noWrap w:val="0"/>
            <w:vAlign w:val="center"/>
          </w:tcPr>
          <w:p w14:paraId="18BEF3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2017年11月4日2011年3月7日2017年7月27日</w:t>
            </w:r>
          </w:p>
        </w:tc>
        <w:tc>
          <w:tcPr>
            <w:tcW w:w="1145" w:type="dxa"/>
            <w:noWrap w:val="0"/>
            <w:vAlign w:val="center"/>
          </w:tcPr>
          <w:p w14:paraId="31C666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责令恢复原状</w:t>
            </w:r>
          </w:p>
        </w:tc>
        <w:tc>
          <w:tcPr>
            <w:tcW w:w="4787" w:type="dxa"/>
            <w:noWrap w:val="0"/>
            <w:vAlign w:val="top"/>
          </w:tcPr>
          <w:p w14:paraId="0EB94CCD">
            <w:pPr>
              <w:keepNext w:val="0"/>
              <w:keepLines w:val="0"/>
              <w:widowControl/>
              <w:numPr>
                <w:ilvl w:val="0"/>
                <w:numId w:val="1"/>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《中华人民共和国公路法》第四十四条第一款  任何单位和个人不得擅自占用、挖掘公路。</w:t>
            </w:r>
          </w:p>
          <w:p w14:paraId="4053297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第四十五条  跨越、穿越公路修建桥梁、渡槽或者架设、埋设管线等设施的，以及在公路用地范围内架设、埋设管线、电缆等设施的，应当事先经有关交通主管部门同意，影响交通安全的，还须征得有关公安机关的同意；所修建、架设或者埋设的设施应当符合公路工程技术标准的要求。对公路造成损坏的，应当按照损坏程度给予补偿。</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第五十五条  在公路上增设平面交叉道口，必须按照国家有关规定经过批准，并按照国家规定的技术标准建设。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第七十六条第一项、第二项  有下列违法行为之一的，由交通主管部门责令停止违法行为，可以处三万元以下的罚款：（一）违反本法第四十四条第一款规定，擅自占用、挖掘公路的;（二）违反本法第四十五条规定，未经同意或者未按照公路工程技术标准的要求修建桥梁、渡槽或者架设、埋设管线、电缆等设施的。</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第八十条  违反本法第五十五条规定，未经批准在公路上增设平面交叉道口的，由交通主管部门责令恢复原状，处五万元以下的罚款。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2.《公路安全保护条例》第二十七条  进行下列涉路施工活动，建设单位应当向公路管理机构提出申请：（一）因修建铁路、机场、供电、水利、通信等建设工程需要占用、挖掘公路、公路用地或者使公路改线；（二）跨越、穿越公路修建桥梁、渡槽或者架设、埋设管道、电缆等设施；（三）在公路用地范围内架设、埋设管道、电缆等设施；（四）利用公路桥梁、公路隧道、涵洞铺设电缆等设施；（五）利用跨越公路的设施悬挂非公路标志；（六）在公路上增设或者改造平面交叉道口；（七）在公路建筑控制区内埋设管道、电缆等设施。</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第六十二条  违反本条例的规定，未经许可进行本条例第二十七条第一项至第五项规定的涉路施工活动的，由公路管理机构责令改正，可以处 3 万元以下的罚款；未经许可进行本条例第二十七条第六项规定的涉路施工活动的，由公路管理机构责令改正，处 5 万元以下的罚款。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3.《四川省农村公路条例》第二十八条  其他建设工程需要占用、挖掘村道等影响村道畅通安全的行为，应当征求村民委员会的意见，并报乡（镇）人民政府同意，由乡（镇）人民政府报县（市、区）人民政府交通运输主管部门公路管理机构备案。</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第五十五条  违反本条例第二十八条规定，实施占用、挖掘村道等影响村道畅通安全的行为，未经乡（镇）人民政府同意的，县（市、区）人民政府交通运输主管部门公路管理机构可以处三万元以下的罚款。</w:t>
            </w:r>
          </w:p>
        </w:tc>
        <w:tc>
          <w:tcPr>
            <w:tcW w:w="913" w:type="dxa"/>
            <w:noWrap w:val="0"/>
            <w:vAlign w:val="top"/>
          </w:tcPr>
          <w:p w14:paraId="5B256D86">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1.不含“对未按照公路工程技术标准的要求修建桥梁、渡槽或者架设、埋设管线、电缆等设施和未经批准在公路上增设或者改造平面交叉道口的行政处罚”。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2.仅适用农村公路</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（根据《四川省农村公路条例》第二条第二款，农村公路是指纳入农村公路规划，按照国家、交通运输部和省制定的公路建设有关标准修建的县道、乡道、村道及其附属设施，下同）。</w:t>
            </w:r>
          </w:p>
        </w:tc>
      </w:tr>
      <w:tr w14:paraId="31859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E2ED1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35</w:t>
            </w:r>
          </w:p>
        </w:tc>
        <w:tc>
          <w:tcPr>
            <w:tcW w:w="2625" w:type="dxa"/>
            <w:noWrap w:val="0"/>
            <w:vAlign w:val="center"/>
          </w:tcPr>
          <w:p w14:paraId="3586F79E">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对从事挖砂、爆破及其他危及公路、公路桥梁等安全的作业行为的行政处罚</w:t>
            </w:r>
          </w:p>
        </w:tc>
        <w:tc>
          <w:tcPr>
            <w:tcW w:w="1391" w:type="dxa"/>
            <w:noWrap w:val="0"/>
            <w:vAlign w:val="center"/>
          </w:tcPr>
          <w:p w14:paraId="311C1B4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w:t>
            </w:r>
            <w:r>
              <w:rPr>
                <w:rFonts w:ascii="宋体" w:hAnsi="宋体" w:eastAsia="宋体" w:cs="宋体"/>
                <w:i w:val="0"/>
                <w:iCs w:val="0"/>
                <w:color w:val="auto"/>
                <w:kern w:val="0"/>
                <w:sz w:val="21"/>
                <w:szCs w:val="21"/>
                <w:u w:val="none"/>
                <w:lang w:val="en-US" w:eastAsia="zh-CN" w:bidi="ar"/>
              </w:rPr>
              <w:t>《中华人民共和国公路法》</w:t>
            </w:r>
          </w:p>
          <w:p w14:paraId="3EACC9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2.《四川省农村公路条例》</w:t>
            </w:r>
          </w:p>
        </w:tc>
        <w:tc>
          <w:tcPr>
            <w:tcW w:w="1240" w:type="dxa"/>
            <w:noWrap w:val="0"/>
            <w:vAlign w:val="center"/>
          </w:tcPr>
          <w:p w14:paraId="2628932A">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1.</w:t>
            </w:r>
            <w:r>
              <w:rPr>
                <w:rFonts w:hint="eastAsia" w:ascii="宋体" w:hAnsi="宋体" w:eastAsia="宋体" w:cs="宋体"/>
                <w:i w:val="0"/>
                <w:iCs w:val="0"/>
                <w:caps w:val="0"/>
                <w:color w:val="auto"/>
                <w:spacing w:val="0"/>
                <w:sz w:val="21"/>
                <w:szCs w:val="21"/>
              </w:rPr>
              <w:t>全国人民代表大会常务委员会</w:t>
            </w:r>
          </w:p>
          <w:p w14:paraId="365ECDD1">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default" w:ascii="宋体" w:hAnsi="宋体" w:eastAsia="宋体" w:cs="宋体"/>
                <w:i w:val="0"/>
                <w:iCs w:val="0"/>
                <w:caps w:val="0"/>
                <w:color w:val="auto"/>
                <w:spacing w:val="0"/>
                <w:sz w:val="21"/>
                <w:szCs w:val="21"/>
                <w:lang w:val="en-US" w:eastAsia="zh-CN"/>
              </w:rPr>
            </w:pPr>
            <w:r>
              <w:rPr>
                <w:rFonts w:hint="eastAsia" w:ascii="宋体" w:hAnsi="宋体" w:cs="宋体"/>
                <w:i w:val="0"/>
                <w:iCs w:val="0"/>
                <w:caps w:val="0"/>
                <w:color w:val="auto"/>
                <w:spacing w:val="0"/>
                <w:sz w:val="21"/>
                <w:szCs w:val="21"/>
                <w:lang w:val="en-US" w:eastAsia="zh-CN"/>
              </w:rPr>
              <w:t>2.</w:t>
            </w:r>
            <w:r>
              <w:rPr>
                <w:rFonts w:hint="eastAsia" w:ascii="宋体" w:hAnsi="宋体" w:eastAsia="宋体" w:cs="宋体"/>
                <w:i w:val="0"/>
                <w:iCs w:val="0"/>
                <w:caps w:val="0"/>
                <w:color w:val="auto"/>
                <w:spacing w:val="0"/>
                <w:sz w:val="21"/>
                <w:szCs w:val="21"/>
              </w:rPr>
              <w:t>四川省人民代表大会常务委员会</w:t>
            </w:r>
          </w:p>
          <w:p w14:paraId="21A817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214" w:type="dxa"/>
            <w:noWrap w:val="0"/>
            <w:vAlign w:val="center"/>
          </w:tcPr>
          <w:p w14:paraId="44C422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2017年11月4日2017年7月27日</w:t>
            </w:r>
          </w:p>
        </w:tc>
        <w:tc>
          <w:tcPr>
            <w:tcW w:w="1145" w:type="dxa"/>
            <w:noWrap w:val="0"/>
            <w:vAlign w:val="center"/>
          </w:tcPr>
          <w:p w14:paraId="3A55F5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责令改正</w:t>
            </w:r>
          </w:p>
        </w:tc>
        <w:tc>
          <w:tcPr>
            <w:tcW w:w="4787" w:type="dxa"/>
            <w:noWrap w:val="0"/>
            <w:vAlign w:val="top"/>
          </w:tcPr>
          <w:p w14:paraId="23F22C4E">
            <w:pPr>
              <w:keepNext w:val="0"/>
              <w:keepLines w:val="0"/>
              <w:widowControl/>
              <w:numPr>
                <w:ilvl w:val="0"/>
                <w:numId w:val="2"/>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《中华人民共和国公路法》第四十七条  在大中型公路桥梁和渡口周围二百米、公路隧道上方和洞口外一百米范围内，以及在公路两侧一定距离内，不得挖砂、采石、取土、倾倒废弃物，不得进行爆破作业及其他危及公路、公路桥梁、公路隧道、公路渡口安全的活动。</w:t>
            </w:r>
          </w:p>
          <w:p w14:paraId="1DF66B8A">
            <w:pPr>
              <w:keepNext w:val="0"/>
              <w:keepLines w:val="0"/>
              <w:widowControl/>
              <w:numPr>
                <w:ilvl w:val="0"/>
                <w:numId w:val="0"/>
              </w:numPr>
              <w:suppressLineNumbers w:val="0"/>
              <w:ind w:left="0" w:leftChars="0" w:firstLine="0" w:firstLineChars="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在前款范围内因抢险、防汛需要修筑堤坝、压缩或者拓宽河床的，应当事先报经省、自治区、直辖市人民政府交通主管部门会同水行政主管部门批准，并采取有效的保护有关的公路、公路桥梁、公路隧道、公路渡口安全的措施。</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第七十六条第三项  有下列违法行为之一的，由交通主管部门责令停止违法行为，可以处三万元以下的罚款：（三）违反本法第四十七条规定，从事危及公路安全的作业的。</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2.《四川省农村公路条例》第三十一条  禁止在村道的公路用地外缘起向外五十米、大中型桥梁和渡口周围二百米、隧道上方和洞口外一百米范围内从事采矿、爆破等危及村道安全的活动。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第五十七条  违反本条例第三十一条规定，实施危及村道安全活动的，由县（市、区）人民政府交通运输主管部门公路管理机构责令改正，可以处二千元以上一万元以下的罚款；情节严重的，可以处一万元以上三万元以下的罚款。</w:t>
            </w:r>
          </w:p>
        </w:tc>
        <w:tc>
          <w:tcPr>
            <w:tcW w:w="913" w:type="dxa"/>
            <w:noWrap w:val="0"/>
            <w:vAlign w:val="top"/>
          </w:tcPr>
          <w:p w14:paraId="195034D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仅适用农村公路。</w:t>
            </w:r>
          </w:p>
        </w:tc>
      </w:tr>
      <w:tr w14:paraId="07054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A6047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36</w:t>
            </w:r>
          </w:p>
        </w:tc>
        <w:tc>
          <w:tcPr>
            <w:tcW w:w="2625" w:type="dxa"/>
            <w:noWrap w:val="0"/>
            <w:vAlign w:val="center"/>
          </w:tcPr>
          <w:p w14:paraId="2BEC8E6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对利用公路桥梁进行牵拉、吊装等危及公路桥梁安全的施工作业行为的行政处罚</w:t>
            </w:r>
          </w:p>
        </w:tc>
        <w:tc>
          <w:tcPr>
            <w:tcW w:w="1391" w:type="dxa"/>
            <w:noWrap w:val="0"/>
            <w:vAlign w:val="center"/>
          </w:tcPr>
          <w:p w14:paraId="3894EF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《公路安全保护条例》</w:t>
            </w:r>
          </w:p>
        </w:tc>
        <w:tc>
          <w:tcPr>
            <w:tcW w:w="1240" w:type="dxa"/>
            <w:noWrap w:val="0"/>
            <w:vAlign w:val="center"/>
          </w:tcPr>
          <w:p w14:paraId="1396DB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214" w:type="dxa"/>
            <w:noWrap w:val="0"/>
            <w:vAlign w:val="center"/>
          </w:tcPr>
          <w:p w14:paraId="16232B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2011年3月7日</w:t>
            </w:r>
          </w:p>
        </w:tc>
        <w:tc>
          <w:tcPr>
            <w:tcW w:w="1145" w:type="dxa"/>
            <w:noWrap w:val="0"/>
            <w:vAlign w:val="center"/>
          </w:tcPr>
          <w:p w14:paraId="5B15E7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11E8C35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《公路安全保护条例》第二十二条第一款  禁止利用公路桥梁进行牵拉、吊装等危及公路桥梁安全的施工作业。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第五十九条  违反本条例第二十二条规定的，由公路管理机构责令改正，处 2 万元以上 10 万元以下的罚款。</w:t>
            </w:r>
          </w:p>
        </w:tc>
        <w:tc>
          <w:tcPr>
            <w:tcW w:w="913" w:type="dxa"/>
            <w:noWrap w:val="0"/>
            <w:vAlign w:val="top"/>
          </w:tcPr>
          <w:p w14:paraId="1D19E8D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仅适用农村公路。</w:t>
            </w:r>
          </w:p>
        </w:tc>
      </w:tr>
      <w:tr w14:paraId="6D79C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DD9DF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37</w:t>
            </w:r>
          </w:p>
        </w:tc>
        <w:tc>
          <w:tcPr>
            <w:tcW w:w="2625" w:type="dxa"/>
            <w:shd w:val="clear" w:color="auto" w:fill="auto"/>
            <w:noWrap w:val="0"/>
            <w:vAlign w:val="center"/>
          </w:tcPr>
          <w:p w14:paraId="2D2BB495">
            <w:pPr>
              <w:keepNext w:val="0"/>
              <w:keepLines w:val="0"/>
              <w:widowControl/>
              <w:suppressLineNumbers w:val="0"/>
              <w:jc w:val="left"/>
              <w:textAlignment w:val="top"/>
              <w:rPr>
                <w:rFonts w:ascii="宋体" w:hAnsi="宋体" w:eastAsia="宋体" w:cs="宋体"/>
                <w:i w:val="0"/>
                <w:iCs w:val="0"/>
                <w:color w:val="auto"/>
                <w:kern w:val="2"/>
                <w:sz w:val="21"/>
                <w:szCs w:val="21"/>
                <w:u w:val="none"/>
                <w:lang w:val="en-US" w:eastAsia="zh-CN" w:bidi="ar-SA"/>
              </w:rPr>
            </w:pPr>
            <w:r>
              <w:rPr>
                <w:rFonts w:ascii="宋体" w:hAnsi="宋体" w:eastAsia="宋体" w:cs="宋体"/>
                <w:i w:val="0"/>
                <w:iCs w:val="0"/>
                <w:color w:val="auto"/>
                <w:kern w:val="0"/>
                <w:sz w:val="21"/>
                <w:szCs w:val="21"/>
                <w:u w:val="none"/>
                <w:lang w:val="en-US" w:eastAsia="zh-CN" w:bidi="ar"/>
              </w:rPr>
              <w:t>对利用公路桥梁进行牵拉、吊装等危及公路桥梁安全的施工作业行为的行政处罚</w:t>
            </w:r>
          </w:p>
        </w:tc>
        <w:tc>
          <w:tcPr>
            <w:tcW w:w="1391" w:type="dxa"/>
            <w:noWrap w:val="0"/>
            <w:vAlign w:val="center"/>
          </w:tcPr>
          <w:p w14:paraId="66CAFB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《公路安全保护条例》</w:t>
            </w:r>
          </w:p>
        </w:tc>
        <w:tc>
          <w:tcPr>
            <w:tcW w:w="1240" w:type="dxa"/>
            <w:noWrap w:val="0"/>
            <w:vAlign w:val="center"/>
          </w:tcPr>
          <w:p w14:paraId="1594D69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214" w:type="dxa"/>
            <w:noWrap w:val="0"/>
            <w:vAlign w:val="center"/>
          </w:tcPr>
          <w:p w14:paraId="2F23E7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2011年3月7日</w:t>
            </w:r>
          </w:p>
        </w:tc>
        <w:tc>
          <w:tcPr>
            <w:tcW w:w="1145" w:type="dxa"/>
            <w:noWrap w:val="0"/>
            <w:vAlign w:val="center"/>
          </w:tcPr>
          <w:p w14:paraId="4FCE48B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责令改正、罚款</w:t>
            </w:r>
          </w:p>
        </w:tc>
        <w:tc>
          <w:tcPr>
            <w:tcW w:w="4787" w:type="dxa"/>
            <w:noWrap w:val="0"/>
            <w:vAlign w:val="top"/>
          </w:tcPr>
          <w:p w14:paraId="5063014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《公路安全保护条例》第二十二条第一款  禁止利用公路桥梁进行牵拉、吊装等危及公路桥梁安全的施工作业。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第五十九条  违反本条例第二十二条规定的，由公路管理机构责令改正，处 2 万元以上 10 万元以下的罚款。</w:t>
            </w:r>
          </w:p>
        </w:tc>
        <w:tc>
          <w:tcPr>
            <w:tcW w:w="913" w:type="dxa"/>
            <w:shd w:val="clear" w:color="auto" w:fill="auto"/>
            <w:noWrap w:val="0"/>
            <w:vAlign w:val="top"/>
          </w:tcPr>
          <w:p w14:paraId="5BFAA75D">
            <w:pPr>
              <w:keepNext w:val="0"/>
              <w:keepLines w:val="0"/>
              <w:widowControl/>
              <w:suppressLineNumbers w:val="0"/>
              <w:jc w:val="left"/>
              <w:textAlignment w:val="top"/>
              <w:rPr>
                <w:rFonts w:ascii="宋体" w:hAnsi="宋体" w:eastAsia="宋体" w:cs="宋体"/>
                <w:i w:val="0"/>
                <w:iCs w:val="0"/>
                <w:color w:val="auto"/>
                <w:kern w:val="2"/>
                <w:sz w:val="21"/>
                <w:szCs w:val="21"/>
                <w:u w:val="none"/>
                <w:lang w:val="en-US" w:eastAsia="zh-CN" w:bidi="ar-SA"/>
              </w:rPr>
            </w:pPr>
            <w:r>
              <w:rPr>
                <w:rFonts w:ascii="宋体" w:hAnsi="宋体" w:eastAsia="宋体" w:cs="宋体"/>
                <w:i w:val="0"/>
                <w:iCs w:val="0"/>
                <w:color w:val="auto"/>
                <w:kern w:val="0"/>
                <w:sz w:val="21"/>
                <w:szCs w:val="21"/>
                <w:u w:val="none"/>
                <w:lang w:val="en-US" w:eastAsia="zh-CN" w:bidi="ar"/>
              </w:rPr>
              <w:t>仅适用农村公路。</w:t>
            </w:r>
          </w:p>
        </w:tc>
      </w:tr>
      <w:tr w14:paraId="5280D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7EF6C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38</w:t>
            </w:r>
          </w:p>
        </w:tc>
        <w:tc>
          <w:tcPr>
            <w:tcW w:w="2625" w:type="dxa"/>
            <w:shd w:val="clear" w:color="auto" w:fill="auto"/>
            <w:noWrap w:val="0"/>
            <w:vAlign w:val="center"/>
          </w:tcPr>
          <w:p w14:paraId="223001CE">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对铁轮车、履带车和其他可能损害路面的机具擅自在公路上行驶行为的行政处罚</w:t>
            </w:r>
          </w:p>
        </w:tc>
        <w:tc>
          <w:tcPr>
            <w:tcW w:w="1391" w:type="dxa"/>
            <w:noWrap w:val="0"/>
            <w:vAlign w:val="center"/>
          </w:tcPr>
          <w:p w14:paraId="386750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《中华人民共和国公路法》</w:t>
            </w:r>
          </w:p>
        </w:tc>
        <w:tc>
          <w:tcPr>
            <w:tcW w:w="1240" w:type="dxa"/>
            <w:noWrap w:val="0"/>
            <w:vAlign w:val="center"/>
          </w:tcPr>
          <w:p w14:paraId="62E59F7D">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5D058F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p>
        </w:tc>
        <w:tc>
          <w:tcPr>
            <w:tcW w:w="1214" w:type="dxa"/>
            <w:noWrap w:val="0"/>
            <w:vAlign w:val="center"/>
          </w:tcPr>
          <w:p w14:paraId="416024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2017年11月4日</w:t>
            </w:r>
          </w:p>
        </w:tc>
        <w:tc>
          <w:tcPr>
            <w:tcW w:w="1145" w:type="dxa"/>
            <w:noWrap w:val="0"/>
            <w:vAlign w:val="center"/>
          </w:tcPr>
          <w:p w14:paraId="24CF97A8">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5287617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《中华人民共和国公路法》第四十八条  铁轮车、履带车和其他可能损害公路路面的机具，不得在公路上行驶。</w:t>
            </w:r>
          </w:p>
          <w:p w14:paraId="06406AE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农业机械因当地田间作业需要在公路上短距离行驶或者军用车辆执行任务需要在公路上行驶的，可以不受前款限制，但是应当采取安全保护措施。对公路造成损坏的，应当按照损坏程度给予补偿。</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第七十六条第四项  有下列违法行为之一的，由交通主管部门责令停止违法行为，可以处三万元以下的罚款：（四）违反本法第四十八条规定，铁轮车、履带车和其他可能损害路面的机具擅自在公路上行驶的。</w:t>
            </w:r>
          </w:p>
        </w:tc>
        <w:tc>
          <w:tcPr>
            <w:tcW w:w="913" w:type="dxa"/>
            <w:shd w:val="clear" w:color="auto" w:fill="auto"/>
            <w:noWrap w:val="0"/>
            <w:vAlign w:val="top"/>
          </w:tcPr>
          <w:p w14:paraId="484AFD0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仅适用农村公路。</w:t>
            </w:r>
          </w:p>
        </w:tc>
      </w:tr>
      <w:tr w14:paraId="02F4A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6AFC32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39</w:t>
            </w:r>
          </w:p>
        </w:tc>
        <w:tc>
          <w:tcPr>
            <w:tcW w:w="2625" w:type="dxa"/>
            <w:shd w:val="clear" w:color="auto" w:fill="auto"/>
            <w:noWrap w:val="0"/>
            <w:vAlign w:val="center"/>
          </w:tcPr>
          <w:p w14:paraId="2780513D">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对损坏、擅自移动、涂改、遮挡公路附属设施或者利用公路附属设施架设管道、悬挂物品或者损坏、擅自挪动建筑控制区的标桩、界桩等可能危及公路安全等行为的行政处罚</w:t>
            </w:r>
          </w:p>
        </w:tc>
        <w:tc>
          <w:tcPr>
            <w:tcW w:w="1391" w:type="dxa"/>
            <w:noWrap w:val="0"/>
            <w:vAlign w:val="center"/>
          </w:tcPr>
          <w:p w14:paraId="65DC64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w:t>
            </w:r>
            <w:r>
              <w:rPr>
                <w:rFonts w:ascii="宋体" w:hAnsi="宋体" w:eastAsia="宋体" w:cs="宋体"/>
                <w:i w:val="0"/>
                <w:iCs w:val="0"/>
                <w:color w:val="auto"/>
                <w:kern w:val="0"/>
                <w:sz w:val="21"/>
                <w:szCs w:val="21"/>
                <w:u w:val="none"/>
                <w:lang w:val="en-US" w:eastAsia="zh-CN" w:bidi="ar"/>
              </w:rPr>
              <w:t>《中华人民共和国公路法》</w:t>
            </w:r>
          </w:p>
          <w:p w14:paraId="68E2C8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2.《公路安全保护条例》</w:t>
            </w:r>
          </w:p>
        </w:tc>
        <w:tc>
          <w:tcPr>
            <w:tcW w:w="1240" w:type="dxa"/>
            <w:noWrap w:val="0"/>
            <w:vAlign w:val="center"/>
          </w:tcPr>
          <w:p w14:paraId="47D47D10">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1.</w:t>
            </w:r>
            <w:r>
              <w:rPr>
                <w:rFonts w:hint="eastAsia" w:ascii="宋体" w:hAnsi="宋体" w:eastAsia="宋体" w:cs="宋体"/>
                <w:i w:val="0"/>
                <w:iCs w:val="0"/>
                <w:caps w:val="0"/>
                <w:color w:val="auto"/>
                <w:spacing w:val="0"/>
                <w:sz w:val="21"/>
                <w:szCs w:val="21"/>
              </w:rPr>
              <w:t>全国人民代表大会常务委员会</w:t>
            </w:r>
          </w:p>
          <w:p w14:paraId="0A17F002">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default"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w:t>
            </w:r>
            <w:r>
              <w:rPr>
                <w:rFonts w:hint="eastAsia" w:ascii="宋体" w:hAnsi="宋体" w:eastAsia="宋体" w:cs="宋体"/>
                <w:i w:val="0"/>
                <w:iCs w:val="0"/>
                <w:caps w:val="0"/>
                <w:color w:val="auto"/>
                <w:spacing w:val="0"/>
                <w:sz w:val="21"/>
                <w:szCs w:val="21"/>
              </w:rPr>
              <w:t>国务院</w:t>
            </w:r>
          </w:p>
          <w:p w14:paraId="1A48CE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p>
        </w:tc>
        <w:tc>
          <w:tcPr>
            <w:tcW w:w="1214" w:type="dxa"/>
            <w:noWrap w:val="0"/>
            <w:vAlign w:val="center"/>
          </w:tcPr>
          <w:p w14:paraId="666442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2017年11月4日2011年3月7日</w:t>
            </w:r>
          </w:p>
        </w:tc>
        <w:tc>
          <w:tcPr>
            <w:tcW w:w="1145" w:type="dxa"/>
            <w:noWrap w:val="0"/>
            <w:vAlign w:val="center"/>
          </w:tcPr>
          <w:p w14:paraId="6E4424F8">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B2B4BDB">
            <w:pPr>
              <w:keepNext w:val="0"/>
              <w:keepLines w:val="0"/>
              <w:widowControl/>
              <w:numPr>
                <w:ilvl w:val="0"/>
                <w:numId w:val="3"/>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《中华人民共和国公路法》第五十二条  任何单位和个人不得损坏、擅自移动、涂改公路附属设施。</w:t>
            </w:r>
          </w:p>
          <w:p w14:paraId="7279B66E">
            <w:pPr>
              <w:keepNext w:val="0"/>
              <w:keepLines w:val="0"/>
              <w:widowControl/>
              <w:numPr>
                <w:ilvl w:val="0"/>
                <w:numId w:val="0"/>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前款公路附属设施，是指为保护、养护公路和保障公路安全畅通所设置的公路防护、排水、养护、管理、服务、交通安全、渡运、监控、通信、收费等设施、设备以及专用建筑物、构筑物等。</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第五十六条  除公路防护、养护需要的以外，禁止在公路两侧的建筑控制区内修建建筑物和地面构筑物；需要在建筑控制区内埋设管线、电缆等设施的，应当事先经县级以上地方人民政府交通主管部门批准。</w:t>
            </w:r>
          </w:p>
          <w:p w14:paraId="6CAAF9D5">
            <w:pPr>
              <w:keepNext w:val="0"/>
              <w:keepLines w:val="0"/>
              <w:widowControl/>
              <w:numPr>
                <w:ilvl w:val="0"/>
                <w:numId w:val="0"/>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前款规定的建筑控制区的范围，由县级以上地方人民政府按照保障公路运行安全和节约用地的原则，依照国务院的规定划定。</w:t>
            </w:r>
          </w:p>
          <w:p w14:paraId="6EF4C26E">
            <w:pPr>
              <w:keepNext w:val="0"/>
              <w:keepLines w:val="0"/>
              <w:widowControl/>
              <w:numPr>
                <w:ilvl w:val="0"/>
                <w:numId w:val="0"/>
              </w:numPr>
              <w:suppressLineNumbers w:val="0"/>
              <w:ind w:left="0" w:leftChars="0" w:firstLine="0" w:firstLineChars="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建筑控制区范围经县级以上地方人民政府依照前款规定划定后，由县级以上地方人民政府交通主管部门设置标桩、界桩。任何单位和个人不得损坏、擅自挪动该标桩、界桩。</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第七十六条第六项  有下列违法行为之一的，由交通主管部门责令停止违法行为，可以处三万元以下的罚款：（六）违反本法第五十二条、第五十六条规定，损坏、移动、涂改公路附属设施或者损坏、挪动建筑控制区的标桩、界桩，可能危及公路安全的。</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2.《公路安全保护条例》第二十五条  禁止损坏、擅自移动、涂改、遮挡公路附属设施或者利用公路附属设施架设管道、悬挂物品。</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第六十条第一项  违反本条例的规定，有下列行为之一的，由公路管理机构责令改正，可以处 3万元以下的罚款：（一）损坏、擅自移动、涂改、遮挡公路附属设施或者利用公路附属设施架设管道、悬挂物品，可能危及公路安全的。</w:t>
            </w:r>
          </w:p>
        </w:tc>
        <w:tc>
          <w:tcPr>
            <w:tcW w:w="913" w:type="dxa"/>
            <w:shd w:val="clear" w:color="auto" w:fill="auto"/>
            <w:noWrap w:val="0"/>
            <w:vAlign w:val="top"/>
          </w:tcPr>
          <w:p w14:paraId="12671BB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仅适用农村公路。</w:t>
            </w:r>
          </w:p>
        </w:tc>
      </w:tr>
      <w:tr w14:paraId="7F8FE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0B575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40</w:t>
            </w:r>
          </w:p>
        </w:tc>
        <w:tc>
          <w:tcPr>
            <w:tcW w:w="2625" w:type="dxa"/>
            <w:shd w:val="clear" w:color="auto" w:fill="auto"/>
            <w:noWrap w:val="0"/>
            <w:vAlign w:val="center"/>
          </w:tcPr>
          <w:p w14:paraId="599D687B">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对造成公路路面损坏、污染或者影响公路畅通行为的行政处罚</w:t>
            </w:r>
          </w:p>
        </w:tc>
        <w:tc>
          <w:tcPr>
            <w:tcW w:w="1391" w:type="dxa"/>
            <w:noWrap w:val="0"/>
            <w:vAlign w:val="center"/>
          </w:tcPr>
          <w:p w14:paraId="296D20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w:t>
            </w:r>
            <w:r>
              <w:rPr>
                <w:rFonts w:ascii="宋体" w:hAnsi="宋体" w:eastAsia="宋体" w:cs="宋体"/>
                <w:i w:val="0"/>
                <w:iCs w:val="0"/>
                <w:color w:val="auto"/>
                <w:kern w:val="0"/>
                <w:sz w:val="21"/>
                <w:szCs w:val="21"/>
                <w:u w:val="none"/>
                <w:lang w:val="en-US" w:eastAsia="zh-CN" w:bidi="ar"/>
              </w:rPr>
              <w:t>《中华人民共和国公路法》</w:t>
            </w:r>
          </w:p>
          <w:p w14:paraId="0C3DF1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2.《公路安全保护条例》</w:t>
            </w:r>
          </w:p>
        </w:tc>
        <w:tc>
          <w:tcPr>
            <w:tcW w:w="1240" w:type="dxa"/>
            <w:noWrap w:val="0"/>
            <w:vAlign w:val="center"/>
          </w:tcPr>
          <w:p w14:paraId="065BE499">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1.</w:t>
            </w:r>
            <w:r>
              <w:rPr>
                <w:rFonts w:hint="eastAsia" w:ascii="宋体" w:hAnsi="宋体" w:eastAsia="宋体" w:cs="宋体"/>
                <w:i w:val="0"/>
                <w:iCs w:val="0"/>
                <w:caps w:val="0"/>
                <w:color w:val="auto"/>
                <w:spacing w:val="0"/>
                <w:sz w:val="21"/>
                <w:szCs w:val="21"/>
              </w:rPr>
              <w:t>全国人民代表大会常务委员会</w:t>
            </w:r>
          </w:p>
          <w:p w14:paraId="067FB33B">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default"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w:t>
            </w:r>
            <w:r>
              <w:rPr>
                <w:rFonts w:hint="eastAsia" w:ascii="宋体" w:hAnsi="宋体" w:eastAsia="宋体" w:cs="宋体"/>
                <w:i w:val="0"/>
                <w:iCs w:val="0"/>
                <w:caps w:val="0"/>
                <w:color w:val="auto"/>
                <w:spacing w:val="0"/>
                <w:sz w:val="21"/>
                <w:szCs w:val="21"/>
              </w:rPr>
              <w:t>国务院</w:t>
            </w:r>
          </w:p>
          <w:p w14:paraId="7F22E9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p>
        </w:tc>
        <w:tc>
          <w:tcPr>
            <w:tcW w:w="1214" w:type="dxa"/>
            <w:noWrap w:val="0"/>
            <w:vAlign w:val="center"/>
          </w:tcPr>
          <w:p w14:paraId="2C0FBD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2017年11月4日2011年3月7日</w:t>
            </w:r>
          </w:p>
        </w:tc>
        <w:tc>
          <w:tcPr>
            <w:tcW w:w="1145" w:type="dxa"/>
            <w:noWrap w:val="0"/>
            <w:vAlign w:val="center"/>
          </w:tcPr>
          <w:p w14:paraId="6BDE6AE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3D34261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1.《中华人民共和国公路法》第四十六条  任何单位和个人不得在公路上及公路用地范围内摆摊设点、堆放物品、倾倒垃圾、设置障碍、挖沟引水、利用公路边沟排放污物或者进行其他损坏、污染公路和影响公路畅通的活动。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第七十七条  违反本法第四十六条的规定，造成公路路面损坏、污染或者影响公路畅通的，或者违反本法第五十一条规定，将公路作为试车场地的，由交通主管部门责令停止违法行为，可以处五千元以下的罚款。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2.《公路安全保护条例》第六十九条  车辆装载物触地拖行、掉落、遗洒或者飘散，造成公路路面损坏、污染的，由公路管理机构责令改正，处 5000 元以下的罚款。</w:t>
            </w:r>
          </w:p>
        </w:tc>
        <w:tc>
          <w:tcPr>
            <w:tcW w:w="913" w:type="dxa"/>
            <w:shd w:val="clear" w:color="auto" w:fill="auto"/>
            <w:noWrap w:val="0"/>
            <w:vAlign w:val="top"/>
          </w:tcPr>
          <w:p w14:paraId="58B294D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仅适用农村公路。</w:t>
            </w:r>
          </w:p>
        </w:tc>
      </w:tr>
      <w:tr w14:paraId="6232A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78AA7B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41</w:t>
            </w:r>
          </w:p>
        </w:tc>
        <w:tc>
          <w:tcPr>
            <w:tcW w:w="2625" w:type="dxa"/>
            <w:shd w:val="clear" w:color="auto" w:fill="auto"/>
            <w:noWrap w:val="0"/>
            <w:vAlign w:val="center"/>
          </w:tcPr>
          <w:p w14:paraId="3C044676">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对在公路建筑控制区内修建、扩建建筑物、地面构筑物或擅自埋设管道、电缆等设施行为的行政处罚</w:t>
            </w:r>
          </w:p>
        </w:tc>
        <w:tc>
          <w:tcPr>
            <w:tcW w:w="1391" w:type="dxa"/>
            <w:noWrap w:val="0"/>
            <w:vAlign w:val="center"/>
          </w:tcPr>
          <w:p w14:paraId="57EE95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w:t>
            </w:r>
            <w:r>
              <w:rPr>
                <w:rFonts w:ascii="宋体" w:hAnsi="宋体" w:eastAsia="宋体" w:cs="宋体"/>
                <w:i w:val="0"/>
                <w:iCs w:val="0"/>
                <w:color w:val="auto"/>
                <w:kern w:val="0"/>
                <w:sz w:val="21"/>
                <w:szCs w:val="21"/>
                <w:u w:val="none"/>
                <w:lang w:val="en-US" w:eastAsia="zh-CN" w:bidi="ar"/>
              </w:rPr>
              <w:t>《中华人民共和国公路法》</w:t>
            </w:r>
          </w:p>
          <w:p w14:paraId="0F8AF6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2.《公路安全保护条例》</w:t>
            </w:r>
          </w:p>
          <w:p w14:paraId="6572F3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3.《四川省农村公路条例》</w:t>
            </w:r>
          </w:p>
        </w:tc>
        <w:tc>
          <w:tcPr>
            <w:tcW w:w="1240" w:type="dxa"/>
            <w:noWrap w:val="0"/>
            <w:vAlign w:val="center"/>
          </w:tcPr>
          <w:p w14:paraId="71628200">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1.</w:t>
            </w:r>
            <w:r>
              <w:rPr>
                <w:rFonts w:hint="eastAsia" w:ascii="宋体" w:hAnsi="宋体" w:eastAsia="宋体" w:cs="宋体"/>
                <w:i w:val="0"/>
                <w:iCs w:val="0"/>
                <w:caps w:val="0"/>
                <w:color w:val="auto"/>
                <w:spacing w:val="0"/>
                <w:sz w:val="21"/>
                <w:szCs w:val="21"/>
              </w:rPr>
              <w:t>全国人民代表大会常务委员会</w:t>
            </w:r>
          </w:p>
          <w:p w14:paraId="1C072D42">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default"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w:t>
            </w:r>
            <w:r>
              <w:rPr>
                <w:rFonts w:hint="eastAsia" w:ascii="宋体" w:hAnsi="宋体" w:eastAsia="宋体" w:cs="宋体"/>
                <w:i w:val="0"/>
                <w:iCs w:val="0"/>
                <w:caps w:val="0"/>
                <w:color w:val="auto"/>
                <w:spacing w:val="0"/>
                <w:sz w:val="21"/>
                <w:szCs w:val="21"/>
              </w:rPr>
              <w:t>国务院</w:t>
            </w:r>
            <w:r>
              <w:rPr>
                <w:rFonts w:hint="eastAsia" w:ascii="宋体" w:hAnsi="宋体" w:eastAsia="宋体" w:cs="宋体"/>
                <w:i w:val="0"/>
                <w:iCs w:val="0"/>
                <w:caps w:val="0"/>
                <w:color w:val="auto"/>
                <w:spacing w:val="0"/>
                <w:sz w:val="21"/>
                <w:szCs w:val="21"/>
                <w:lang w:val="en-US" w:eastAsia="zh-CN"/>
              </w:rPr>
              <w:t>3.</w:t>
            </w:r>
            <w:r>
              <w:rPr>
                <w:rFonts w:hint="eastAsia" w:ascii="宋体" w:hAnsi="宋体" w:eastAsia="宋体" w:cs="宋体"/>
                <w:i w:val="0"/>
                <w:iCs w:val="0"/>
                <w:caps w:val="0"/>
                <w:color w:val="auto"/>
                <w:spacing w:val="0"/>
                <w:sz w:val="21"/>
                <w:szCs w:val="21"/>
              </w:rPr>
              <w:t>四川省人民代表大会常务委员会</w:t>
            </w:r>
          </w:p>
          <w:p w14:paraId="01FF96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p>
        </w:tc>
        <w:tc>
          <w:tcPr>
            <w:tcW w:w="1214" w:type="dxa"/>
            <w:noWrap w:val="0"/>
            <w:vAlign w:val="center"/>
          </w:tcPr>
          <w:p w14:paraId="55FE86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2017年11月4日2011年3月7日2017年7月27日</w:t>
            </w:r>
          </w:p>
        </w:tc>
        <w:tc>
          <w:tcPr>
            <w:tcW w:w="1145" w:type="dxa"/>
            <w:noWrap w:val="0"/>
            <w:vAlign w:val="center"/>
          </w:tcPr>
          <w:p w14:paraId="53A602E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责令限期拆除</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2C799C64">
            <w:pPr>
              <w:keepNext w:val="0"/>
              <w:keepLines w:val="0"/>
              <w:widowControl/>
              <w:numPr>
                <w:ilvl w:val="0"/>
                <w:numId w:val="4"/>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《中华人民共和国公路法》第五十六条  除公路防护、养护需要的以外，禁止在公路两侧的建筑控制区内修建建筑物和地面构筑物；需要在建筑控制区内增设管线、电缆等设施的，应当事先经县级以上地方人民政府交通主管部门批准。</w:t>
            </w:r>
          </w:p>
          <w:p w14:paraId="0EBE0407">
            <w:pPr>
              <w:keepNext w:val="0"/>
              <w:keepLines w:val="0"/>
              <w:widowControl/>
              <w:numPr>
                <w:ilvl w:val="0"/>
                <w:numId w:val="0"/>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前款规定的建筑控制区的范围，由县级以上地方人民政府按照保障公路运行安全和节约用地的原则，依照国务院的规定划定。</w:t>
            </w:r>
          </w:p>
          <w:p w14:paraId="3AA90813">
            <w:pPr>
              <w:keepNext w:val="0"/>
              <w:keepLines w:val="0"/>
              <w:widowControl/>
              <w:numPr>
                <w:ilvl w:val="0"/>
                <w:numId w:val="0"/>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建筑控制区范围经县级以上地方人民政府依照前款规定划定后，由县级以上地方人民政府交通主管部门设置标桩、界桩。任何单位和个人不得损坏、擅自挪动该标桩、界桩。</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第八十一条  违反本法第五十六条规定，在公路建筑控制区内修建建筑物、地面构筑物或者擅自埋设管线、电缆等设施的，由交通主管部门责令限期拆除，并可以处五万元以下的罚款。逾期不拆除的，由交通主管部门拆除，有关费用由建筑者、构筑者承担。</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2.《公路安全保护条例》第五十六条第一项  违反本条例的规定，有下列情形之一的，由公路管理机构责令限期拆除，可以处 5 万元以下的罚款。逾期不拆除的，由公路管理机构拆除，有关费用由违法行为人承担：（一）在公路建筑控制区内修建、扩建建筑物、地面构筑物或者未经许可埋设管道、电缆等设施的。</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3.《四川省农村公路条例》第二十七条  在农村公路建筑控制区内，除农村公路保护需要外，禁止修建建筑物和地面构筑物。农村公路建筑控制区划定前已经合法修建的不得扩建，因农村公路建设、养护或者保障公路通行安全等原因需要拆除的应当依法给予补偿。</w:t>
            </w:r>
          </w:p>
          <w:p w14:paraId="44980163">
            <w:pPr>
              <w:keepNext w:val="0"/>
              <w:keepLines w:val="0"/>
              <w:widowControl/>
              <w:numPr>
                <w:ilvl w:val="0"/>
                <w:numId w:val="0"/>
              </w:numPr>
              <w:suppressLineNumbers w:val="0"/>
              <w:ind w:left="0" w:leftChars="0" w:firstLine="0" w:firstLineChars="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在农村公路建筑控制区外修建的建筑物、地面构筑物以及其他设施不得遮挡公路安全标志、妨碍安全视距。</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第五十四条  违反本条例第二十七条规定，在村道建筑控制区内修建、扩建建筑物、地面构筑物，或者在村道建筑控制区外修建的建筑物、地面构筑物以及其他设施遮挡公路安全标志、妨碍安全视距影响交通安全的，由县（市、区）人民政府交通运输主管部门公路管理机构责令限期拆除，可以处二百元以上二千元以下的罚款；情节严重的，处二千元以上五千元以下的罚款。</w:t>
            </w:r>
          </w:p>
        </w:tc>
        <w:tc>
          <w:tcPr>
            <w:tcW w:w="913" w:type="dxa"/>
            <w:shd w:val="clear" w:color="auto" w:fill="auto"/>
            <w:noWrap w:val="0"/>
            <w:vAlign w:val="top"/>
          </w:tcPr>
          <w:p w14:paraId="4D0B414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仅适用农村公路。</w:t>
            </w:r>
          </w:p>
        </w:tc>
      </w:tr>
      <w:tr w14:paraId="6E1CD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75592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42</w:t>
            </w:r>
          </w:p>
        </w:tc>
        <w:tc>
          <w:tcPr>
            <w:tcW w:w="2625" w:type="dxa"/>
            <w:shd w:val="clear" w:color="auto" w:fill="auto"/>
            <w:noWrap w:val="0"/>
            <w:vAlign w:val="center"/>
          </w:tcPr>
          <w:p w14:paraId="7263558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对在崩塌、滑坡危险区或者泥石流易发区从事取土、挖砂、采石等可能造成水土流失的活动的行政处罚</w:t>
            </w:r>
          </w:p>
        </w:tc>
        <w:tc>
          <w:tcPr>
            <w:tcW w:w="1391" w:type="dxa"/>
            <w:noWrap w:val="0"/>
            <w:vAlign w:val="center"/>
          </w:tcPr>
          <w:p w14:paraId="18C796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《中华人民共和国水土保持法》</w:t>
            </w:r>
          </w:p>
        </w:tc>
        <w:tc>
          <w:tcPr>
            <w:tcW w:w="1240" w:type="dxa"/>
            <w:noWrap w:val="0"/>
            <w:vAlign w:val="center"/>
          </w:tcPr>
          <w:p w14:paraId="1EECECD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全国人民代表大会常务委员会</w:t>
            </w:r>
          </w:p>
        </w:tc>
        <w:tc>
          <w:tcPr>
            <w:tcW w:w="1214" w:type="dxa"/>
            <w:noWrap w:val="0"/>
            <w:vAlign w:val="center"/>
          </w:tcPr>
          <w:p w14:paraId="6C164A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2010年12月25日</w:t>
            </w:r>
          </w:p>
        </w:tc>
        <w:tc>
          <w:tcPr>
            <w:tcW w:w="1145" w:type="dxa"/>
            <w:noWrap w:val="0"/>
            <w:vAlign w:val="center"/>
          </w:tcPr>
          <w:p w14:paraId="3662755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停止违法行为</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DD6AC3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《中华人民共和国水土保持法》第四十八条  违反本法规定，在崩塌、滑坡危险区或者泥石流易发区从事取土、挖砂、采石等可能造成水土流失的活动的，由县级以上地方人民政府水行政主管部门责令停止违法行为，没收违法所得，对个人处一千元以上一万元以下的罚款，对单位处二万元以上二十万元以下的罚款。</w:t>
            </w:r>
          </w:p>
        </w:tc>
        <w:tc>
          <w:tcPr>
            <w:tcW w:w="913" w:type="dxa"/>
            <w:shd w:val="clear" w:color="auto" w:fill="auto"/>
            <w:noWrap w:val="0"/>
            <w:vAlign w:val="top"/>
          </w:tcPr>
          <w:p w14:paraId="1E02E4B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8D02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293FB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43</w:t>
            </w:r>
          </w:p>
        </w:tc>
        <w:tc>
          <w:tcPr>
            <w:tcW w:w="2625" w:type="dxa"/>
            <w:shd w:val="clear" w:color="auto" w:fill="auto"/>
            <w:noWrap w:val="0"/>
            <w:vAlign w:val="center"/>
          </w:tcPr>
          <w:p w14:paraId="260E009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对在禁止开垦坡度以上陡坡地开垦种植农作物或者在禁止开垦、开发的植物保护带内开垦、开发的行政处罚</w:t>
            </w:r>
          </w:p>
        </w:tc>
        <w:tc>
          <w:tcPr>
            <w:tcW w:w="1391" w:type="dxa"/>
            <w:noWrap w:val="0"/>
            <w:vAlign w:val="center"/>
          </w:tcPr>
          <w:p w14:paraId="7325B4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《中华人民共和国水土保持法》</w:t>
            </w:r>
          </w:p>
        </w:tc>
        <w:tc>
          <w:tcPr>
            <w:tcW w:w="1240" w:type="dxa"/>
            <w:noWrap w:val="0"/>
            <w:vAlign w:val="center"/>
          </w:tcPr>
          <w:p w14:paraId="7604D2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全国人民代表大会常务委员会</w:t>
            </w:r>
          </w:p>
        </w:tc>
        <w:tc>
          <w:tcPr>
            <w:tcW w:w="1214" w:type="dxa"/>
            <w:noWrap w:val="0"/>
            <w:vAlign w:val="center"/>
          </w:tcPr>
          <w:p w14:paraId="7248EF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2010年12月25日</w:t>
            </w:r>
          </w:p>
        </w:tc>
        <w:tc>
          <w:tcPr>
            <w:tcW w:w="1145" w:type="dxa"/>
            <w:noWrap w:val="0"/>
            <w:vAlign w:val="center"/>
          </w:tcPr>
          <w:p w14:paraId="3F7686F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责令停止违法行为，采取退耕、恢复植被等补救措施</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356FD3F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《中华人民共和国水土保持法》第四十九条  违反本法规定，在禁止开垦坡度以上陡坡地开垦种植农作物，或者在禁止开垦、开发的植物保护带内开垦、开发的，由县级以上地方人民政府水行政主管部门责令停止违法行为，采取退耕、恢复植被等补救措施；按照开垦或者开发面积，可以对个人处每平方米二元以下的罚款、对单位处每平方米十元以下的罚款。</w:t>
            </w:r>
          </w:p>
        </w:tc>
        <w:tc>
          <w:tcPr>
            <w:tcW w:w="913" w:type="dxa"/>
            <w:shd w:val="clear" w:color="auto" w:fill="auto"/>
            <w:noWrap w:val="0"/>
            <w:vAlign w:val="top"/>
          </w:tcPr>
          <w:p w14:paraId="006E7DF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7EEDE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13963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44</w:t>
            </w:r>
          </w:p>
        </w:tc>
        <w:tc>
          <w:tcPr>
            <w:tcW w:w="2625" w:type="dxa"/>
            <w:shd w:val="clear" w:color="auto" w:fill="auto"/>
            <w:noWrap w:val="0"/>
            <w:vAlign w:val="center"/>
          </w:tcPr>
          <w:p w14:paraId="5AC3EFD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对采集发菜，或者在水土流失重点预防区和重点治理区铲草皮、挖树兜、滥挖虫草、甘草、麻黄等的行政处罚</w:t>
            </w:r>
          </w:p>
        </w:tc>
        <w:tc>
          <w:tcPr>
            <w:tcW w:w="1391" w:type="dxa"/>
            <w:noWrap w:val="0"/>
            <w:vAlign w:val="center"/>
          </w:tcPr>
          <w:p w14:paraId="63FE26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《中华人民共和国水土保持法》</w:t>
            </w:r>
          </w:p>
        </w:tc>
        <w:tc>
          <w:tcPr>
            <w:tcW w:w="1240" w:type="dxa"/>
            <w:noWrap w:val="0"/>
            <w:vAlign w:val="center"/>
          </w:tcPr>
          <w:p w14:paraId="2932D7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214" w:type="dxa"/>
            <w:noWrap w:val="0"/>
            <w:vAlign w:val="center"/>
          </w:tcPr>
          <w:p w14:paraId="740C90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2010年12月25日</w:t>
            </w:r>
          </w:p>
        </w:tc>
        <w:tc>
          <w:tcPr>
            <w:tcW w:w="1145" w:type="dxa"/>
            <w:noWrap w:val="0"/>
            <w:vAlign w:val="center"/>
          </w:tcPr>
          <w:p w14:paraId="5DE3025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AA04B5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《中华人民共和国水土保持法》第五十一条  违反本法规定，采集发菜，或者在水土流失重点预防区和重点治理区铲草皮、挖树兜、滥挖虫草、甘草、麻黄等的，由县级以上地方人民政府水行政主管部门责令停止违法行为，采取补救措施，没收违法所得，并处违法所得一倍以上五倍以下的罚款；没有违法所得的，可以处五万元以下的罚款。</w:t>
            </w:r>
          </w:p>
          <w:p w14:paraId="734535D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在草原地区有前款规定违法行为的，依照《中华人民共和国草原法》的有关规定处罚。</w:t>
            </w:r>
          </w:p>
        </w:tc>
        <w:tc>
          <w:tcPr>
            <w:tcW w:w="913" w:type="dxa"/>
            <w:shd w:val="clear" w:color="auto" w:fill="auto"/>
            <w:noWrap w:val="0"/>
            <w:vAlign w:val="top"/>
          </w:tcPr>
          <w:p w14:paraId="0790E7D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46FB1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533C1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45</w:t>
            </w:r>
          </w:p>
        </w:tc>
        <w:tc>
          <w:tcPr>
            <w:tcW w:w="2625" w:type="dxa"/>
            <w:shd w:val="clear" w:color="auto" w:fill="auto"/>
            <w:noWrap w:val="0"/>
            <w:vAlign w:val="center"/>
          </w:tcPr>
          <w:p w14:paraId="6EC0EC0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对破坏、侵占、毁损防洪排涝设施的行政处罚</w:t>
            </w:r>
          </w:p>
        </w:tc>
        <w:tc>
          <w:tcPr>
            <w:tcW w:w="1391" w:type="dxa"/>
            <w:noWrap w:val="0"/>
            <w:vAlign w:val="center"/>
          </w:tcPr>
          <w:p w14:paraId="360933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《四川省〈中华人民共和国防洪法〉实施办法》</w:t>
            </w:r>
          </w:p>
        </w:tc>
        <w:tc>
          <w:tcPr>
            <w:tcW w:w="1240" w:type="dxa"/>
            <w:noWrap w:val="0"/>
            <w:vAlign w:val="center"/>
          </w:tcPr>
          <w:p w14:paraId="776A54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294D4F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2007年5月31日</w:t>
            </w:r>
          </w:p>
        </w:tc>
        <w:tc>
          <w:tcPr>
            <w:tcW w:w="1145" w:type="dxa"/>
            <w:noWrap w:val="0"/>
            <w:vAlign w:val="center"/>
          </w:tcPr>
          <w:p w14:paraId="4661655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责令停止违法行为，恢复原状，赔偿损失</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7CA3441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《四川省〈中华人民共和国防洪法〉实施办法》第十条  任何单位和个人不得破坏、侵占、毁损防洪排涝设施，不得向行洪道倾倒固体废弃物。</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第二十九条   违反本实施办法第十条规定的，由县级以上地方人民政府水行政主管部门责令停止违法行为，恢复原状，赔偿损失，可并处 1 万元以上 5 万元以下罚款。</w:t>
            </w:r>
          </w:p>
        </w:tc>
        <w:tc>
          <w:tcPr>
            <w:tcW w:w="913" w:type="dxa"/>
            <w:shd w:val="clear" w:color="auto" w:fill="auto"/>
            <w:noWrap w:val="0"/>
            <w:vAlign w:val="top"/>
          </w:tcPr>
          <w:p w14:paraId="0753903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09D44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51AAAC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46</w:t>
            </w:r>
          </w:p>
        </w:tc>
        <w:tc>
          <w:tcPr>
            <w:tcW w:w="2625" w:type="dxa"/>
            <w:shd w:val="clear" w:color="auto" w:fill="auto"/>
            <w:noWrap w:val="0"/>
            <w:vAlign w:val="center"/>
          </w:tcPr>
          <w:p w14:paraId="16113F3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对在供生活饮用水的重要水域，从事集约化养殖等危害饮用水水源水质的活动的行政处罚</w:t>
            </w:r>
          </w:p>
        </w:tc>
        <w:tc>
          <w:tcPr>
            <w:tcW w:w="1391" w:type="dxa"/>
            <w:noWrap w:val="0"/>
            <w:vAlign w:val="center"/>
          </w:tcPr>
          <w:p w14:paraId="62184A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《四川省〈中华人民共和国水法〉实施办法》</w:t>
            </w:r>
          </w:p>
        </w:tc>
        <w:tc>
          <w:tcPr>
            <w:tcW w:w="1240" w:type="dxa"/>
            <w:noWrap w:val="0"/>
            <w:vAlign w:val="center"/>
          </w:tcPr>
          <w:p w14:paraId="17A85FF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3064725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2012年7月27日</w:t>
            </w:r>
          </w:p>
        </w:tc>
        <w:tc>
          <w:tcPr>
            <w:tcW w:w="1145" w:type="dxa"/>
            <w:noWrap w:val="0"/>
            <w:vAlign w:val="center"/>
          </w:tcPr>
          <w:p w14:paraId="3772600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责令限期拆除、恢复原状</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68807D0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《四川省〈中华人民共和国水法〉实施办法》第十五条第二款  供生活饮用水的重要水域，不得从事集约化养殖等危害饮用水水源水质的活动。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第三十九条  违反本办法第十五条第二款规定的，责令限期拆除、恢复原状；逾期不拆除、不恢复原状的，代为拆除、恢复原状，费用由违法单位或者个人承担，并处 1 万元以上 5 万元以下的罚款。</w:t>
            </w:r>
          </w:p>
        </w:tc>
        <w:tc>
          <w:tcPr>
            <w:tcW w:w="913" w:type="dxa"/>
            <w:shd w:val="clear" w:color="auto" w:fill="auto"/>
            <w:noWrap w:val="0"/>
            <w:vAlign w:val="top"/>
          </w:tcPr>
          <w:p w14:paraId="7AEDE23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7833C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3EFFE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47</w:t>
            </w:r>
          </w:p>
        </w:tc>
        <w:tc>
          <w:tcPr>
            <w:tcW w:w="2625" w:type="dxa"/>
            <w:shd w:val="clear" w:color="auto" w:fill="auto"/>
            <w:noWrap w:val="0"/>
            <w:vAlign w:val="center"/>
          </w:tcPr>
          <w:p w14:paraId="783915F2">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对未经许可在水利工程管理范围内建设项目的行政处罚</w:t>
            </w:r>
          </w:p>
        </w:tc>
        <w:tc>
          <w:tcPr>
            <w:tcW w:w="1391" w:type="dxa"/>
            <w:noWrap w:val="0"/>
            <w:vAlign w:val="center"/>
          </w:tcPr>
          <w:p w14:paraId="139E12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《四川省水利工程管理条例》</w:t>
            </w:r>
          </w:p>
        </w:tc>
        <w:tc>
          <w:tcPr>
            <w:tcW w:w="1240" w:type="dxa"/>
            <w:noWrap w:val="0"/>
            <w:vAlign w:val="center"/>
          </w:tcPr>
          <w:p w14:paraId="001322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54EF87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2021年9月29日</w:t>
            </w:r>
          </w:p>
        </w:tc>
        <w:tc>
          <w:tcPr>
            <w:tcW w:w="1145" w:type="dxa"/>
            <w:noWrap w:val="0"/>
            <w:vAlign w:val="center"/>
          </w:tcPr>
          <w:p w14:paraId="46C43DE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责令停止施工</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005E656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《四川省水利工程管理条例》第二十三条  在水利工程管理范围内新建、改建、扩建各类建设项目，建设单位或者个人应当事先征得水利工程管理单位或者项目法人同意，并报有管辖权的水行政主管部门审批。工程竣工后，水行政主管部门应当参加验收，未经验收或者验收不合格的不得投入使用。</w:t>
            </w:r>
          </w:p>
          <w:p w14:paraId="4AE1883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在水利工程管理范围内新建、改建、扩建各类建设项目，应当符合国家规定的防洪标准和其他有关技术要求，确保安全生产和消除有毒有害因素，不得影响水利工程安全，不得破坏水生态环境，保持行洪畅通。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第四十九条  违反本条例第二十三条、第二十四条规定的，由水行政主管部门责令停止施工，处一万元以上十万元以下的罚款，造成损失的依法赔偿。</w:t>
            </w:r>
          </w:p>
        </w:tc>
        <w:tc>
          <w:tcPr>
            <w:tcW w:w="913" w:type="dxa"/>
            <w:shd w:val="clear" w:color="auto" w:fill="auto"/>
            <w:noWrap w:val="0"/>
            <w:vAlign w:val="top"/>
          </w:tcPr>
          <w:p w14:paraId="67B7FAB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仅适用乡镇及以下管理的小型水利工程。</w:t>
            </w:r>
          </w:p>
        </w:tc>
      </w:tr>
      <w:tr w14:paraId="331B0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02765B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48</w:t>
            </w:r>
          </w:p>
        </w:tc>
        <w:tc>
          <w:tcPr>
            <w:tcW w:w="2625" w:type="dxa"/>
            <w:shd w:val="clear" w:color="auto" w:fill="auto"/>
            <w:noWrap w:val="0"/>
            <w:vAlign w:val="center"/>
          </w:tcPr>
          <w:p w14:paraId="415E4EF8">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对在水利工程管理和保护范围内从事相关违法行为的行政处罚</w:t>
            </w:r>
          </w:p>
        </w:tc>
        <w:tc>
          <w:tcPr>
            <w:tcW w:w="1391" w:type="dxa"/>
            <w:noWrap w:val="0"/>
            <w:vAlign w:val="center"/>
          </w:tcPr>
          <w:p w14:paraId="67FCE7F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《四川省〈中华人民共和国水法〉实施办法》</w:t>
            </w:r>
          </w:p>
        </w:tc>
        <w:tc>
          <w:tcPr>
            <w:tcW w:w="1240" w:type="dxa"/>
            <w:noWrap w:val="0"/>
            <w:vAlign w:val="center"/>
          </w:tcPr>
          <w:p w14:paraId="4F4402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5E4F1A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2012年7月27日</w:t>
            </w:r>
          </w:p>
        </w:tc>
        <w:tc>
          <w:tcPr>
            <w:tcW w:w="1145" w:type="dxa"/>
            <w:noWrap w:val="0"/>
            <w:vAlign w:val="center"/>
          </w:tcPr>
          <w:p w14:paraId="5981D2C3">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责令停止违法行为，采取补救措施</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1D9077A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《四川省〈中华人民共和国水法〉实施办法》第二十条第二款  在水工程管理范围内（包括水利工程用地、护渠地、护堤地），禁止从事下列活动：（一）损害水工程建筑物及其附属设施；（二）擅自砍伐水工程防护林木；（三）在堤坝上垦植、铲草、放牧；（四）未经批准修建建筑物；（五）进行爆破、采矿、打井、筑坟、采石（砂）、取土；（六）向水库、渠道水域、滩地倾倒固体废弃物和液体污染物；（七）其他危害水工程安全的活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第三款  在水工程保护范围内，禁止从事影响水工程运行、危害水工程安全和防洪设施以及污染水源的爆破、打井、取土、采石（砂）、陡坡开垦、伐木、开矿、建筑等活动。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第四十三条  违反本办法第二十条第二款、第三款规定的，责令停止违法行为，采取补救措施，处 1 万元以上 5 万元以下的罚款。</w:t>
            </w:r>
          </w:p>
        </w:tc>
        <w:tc>
          <w:tcPr>
            <w:tcW w:w="913" w:type="dxa"/>
            <w:shd w:val="clear" w:color="auto" w:fill="auto"/>
            <w:noWrap w:val="0"/>
            <w:vAlign w:val="top"/>
          </w:tcPr>
          <w:p w14:paraId="124F32D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仅适用乡镇及以下管理的小型水利工程。</w:t>
            </w:r>
          </w:p>
        </w:tc>
      </w:tr>
      <w:tr w14:paraId="3E592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5F0EB1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49</w:t>
            </w:r>
          </w:p>
        </w:tc>
        <w:tc>
          <w:tcPr>
            <w:tcW w:w="2625" w:type="dxa"/>
            <w:shd w:val="clear" w:color="auto" w:fill="auto"/>
            <w:noWrap w:val="0"/>
            <w:vAlign w:val="center"/>
          </w:tcPr>
          <w:p w14:paraId="2FBA0028">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对在村镇供水工程保护控制范围内从事禁止性活动的行政处罚</w:t>
            </w:r>
          </w:p>
        </w:tc>
        <w:tc>
          <w:tcPr>
            <w:tcW w:w="1391" w:type="dxa"/>
            <w:noWrap w:val="0"/>
            <w:vAlign w:val="center"/>
          </w:tcPr>
          <w:p w14:paraId="683B61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w:t>
            </w:r>
          </w:p>
        </w:tc>
        <w:tc>
          <w:tcPr>
            <w:tcW w:w="1240" w:type="dxa"/>
            <w:noWrap w:val="0"/>
            <w:vAlign w:val="center"/>
          </w:tcPr>
          <w:p w14:paraId="794E8E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2C907D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2013年11月28日</w:t>
            </w:r>
          </w:p>
        </w:tc>
        <w:tc>
          <w:tcPr>
            <w:tcW w:w="1145" w:type="dxa"/>
            <w:noWrap w:val="0"/>
            <w:vAlign w:val="center"/>
          </w:tcPr>
          <w:p w14:paraId="0BC31955">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依法承担赔偿责任</w:t>
            </w:r>
          </w:p>
        </w:tc>
        <w:tc>
          <w:tcPr>
            <w:tcW w:w="4787" w:type="dxa"/>
            <w:noWrap w:val="0"/>
            <w:vAlign w:val="top"/>
          </w:tcPr>
          <w:p w14:paraId="08200DE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 第二十六条第二款  供水工程保护控制范围内，不得修建筑物、构筑物，不得挖坑（沟）、取土、堆渣，严禁爆破、打桩、顶进作业等危害供水工程及设施安全的活动。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第三款  净水构筑物、调节构筑物、泵站（加压站）保护范围内，不得设立生活区和修建畜禽饲养场、厕所、渗水坑、污水沟道，不得堆放垃圾、粪便等污染物，严禁排放有毒有害物质。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第五十条  违反本条例第二十六条第二款、第三款规定，在村镇供水工程保护控制范围内从事禁止性活动的，由县级以上地方人民政府水行政主管部门责令改正；拒不改正的，处以二千元以上二万元以下罚款。造成损失的，依法承担赔偿责任。</w:t>
            </w:r>
          </w:p>
        </w:tc>
        <w:tc>
          <w:tcPr>
            <w:tcW w:w="913" w:type="dxa"/>
            <w:shd w:val="clear" w:color="auto" w:fill="auto"/>
            <w:noWrap w:val="0"/>
            <w:vAlign w:val="top"/>
          </w:tcPr>
          <w:p w14:paraId="13A321B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6F0A6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BF1F49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50</w:t>
            </w:r>
          </w:p>
        </w:tc>
        <w:tc>
          <w:tcPr>
            <w:tcW w:w="2625" w:type="dxa"/>
            <w:shd w:val="clear" w:color="auto" w:fill="auto"/>
            <w:noWrap w:val="0"/>
            <w:vAlign w:val="center"/>
          </w:tcPr>
          <w:p w14:paraId="26064BFA">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对擅自改装、迁移、拆除公共供水设施，拆卸、启封、损坏结算水表或者干扰水表正常计量的行政处罚</w:t>
            </w:r>
          </w:p>
        </w:tc>
        <w:tc>
          <w:tcPr>
            <w:tcW w:w="1391" w:type="dxa"/>
            <w:noWrap w:val="0"/>
            <w:vAlign w:val="center"/>
          </w:tcPr>
          <w:p w14:paraId="23121BA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w:t>
            </w:r>
          </w:p>
        </w:tc>
        <w:tc>
          <w:tcPr>
            <w:tcW w:w="1240" w:type="dxa"/>
            <w:noWrap w:val="0"/>
            <w:vAlign w:val="center"/>
          </w:tcPr>
          <w:p w14:paraId="358749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73AD9C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2013年11月28日</w:t>
            </w:r>
          </w:p>
        </w:tc>
        <w:tc>
          <w:tcPr>
            <w:tcW w:w="1145" w:type="dxa"/>
            <w:noWrap w:val="0"/>
            <w:vAlign w:val="center"/>
          </w:tcPr>
          <w:p w14:paraId="23B9BEC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责令改正，恢复原状</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依法承担赔偿责任</w:t>
            </w:r>
          </w:p>
        </w:tc>
        <w:tc>
          <w:tcPr>
            <w:tcW w:w="4787" w:type="dxa"/>
            <w:noWrap w:val="0"/>
            <w:vAlign w:val="top"/>
          </w:tcPr>
          <w:p w14:paraId="3EA343F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《四川省村镇供水条例》第二十八条  任何单位和个人不得擅自改装、迁移或者拆除公共供水设施；不得拆卸、启封、损坏结算水表或者干扰水表正常计量。建设工程确需改装、迁移或者拆除公共供水设施的，建设单位应当征得县级以上地方人民政府水行政主管部门同意，并会同供水单位和施工单位采取相应的补救措施，所需费用由建设单位承担。</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第五十一条  违反本条例第二十八条规定，擅自改装、迁移、拆除公共供水设施，拆卸、启封、损坏结算水表或者干扰水表正常计量的，由县级以上地方人民政府水行政主管部门责令改正，恢复原状，并处以二千元以上一万元以下罚款；情节严重的，处以一万元以上五万元以下罚款。造成损失的，依法承担赔偿责任。</w:t>
            </w:r>
          </w:p>
        </w:tc>
        <w:tc>
          <w:tcPr>
            <w:tcW w:w="913" w:type="dxa"/>
            <w:shd w:val="clear" w:color="auto" w:fill="auto"/>
            <w:noWrap w:val="0"/>
            <w:vAlign w:val="top"/>
          </w:tcPr>
          <w:p w14:paraId="585F1C3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2B116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38CBB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51</w:t>
            </w:r>
          </w:p>
        </w:tc>
        <w:tc>
          <w:tcPr>
            <w:tcW w:w="2625" w:type="dxa"/>
            <w:shd w:val="clear" w:color="auto" w:fill="auto"/>
            <w:noWrap w:val="0"/>
            <w:vAlign w:val="center"/>
          </w:tcPr>
          <w:p w14:paraId="0E68FA5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对擅自在村镇公共供水管道上连接取水设施的行政处罚</w:t>
            </w:r>
          </w:p>
        </w:tc>
        <w:tc>
          <w:tcPr>
            <w:tcW w:w="1391" w:type="dxa"/>
            <w:noWrap w:val="0"/>
            <w:vAlign w:val="center"/>
          </w:tcPr>
          <w:p w14:paraId="35F293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w:t>
            </w:r>
          </w:p>
        </w:tc>
        <w:tc>
          <w:tcPr>
            <w:tcW w:w="1240" w:type="dxa"/>
            <w:noWrap w:val="0"/>
            <w:vAlign w:val="center"/>
          </w:tcPr>
          <w:p w14:paraId="59F63CD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2C6CEF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2013年11月28日</w:t>
            </w:r>
          </w:p>
        </w:tc>
        <w:tc>
          <w:tcPr>
            <w:tcW w:w="1145" w:type="dxa"/>
            <w:noWrap w:val="0"/>
            <w:vAlign w:val="center"/>
          </w:tcPr>
          <w:p w14:paraId="15EEA48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责令改正，恢复原状</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责令纠正，排除危害</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5F9962E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《四川省村镇供水条例》第二十九条  未经供水单位同意，任何单位和个人不得在村镇公共供水管道上连接取水设施。禁止生产或者使用有毒有害物质的单位和个人将生产设施与村镇公共供水管道连接。</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第五十二条  违反本条例第二十九条规定，擅自在村镇公共供水管道上连接取水设施的，由县级以上地方人民政府水行政主管部门责令改正，恢复原状，并处以一千元以上五千元以下罚款；擅自将生产、使用有毒有害物质的设施与村镇公共供水管道连接的，由县级水行政主管部门责令纠正，排除危害，并处以二万元以上十万元以下罚款。</w:t>
            </w:r>
          </w:p>
        </w:tc>
        <w:tc>
          <w:tcPr>
            <w:tcW w:w="913" w:type="dxa"/>
            <w:shd w:val="clear" w:color="auto" w:fill="auto"/>
            <w:noWrap w:val="0"/>
            <w:vAlign w:val="top"/>
          </w:tcPr>
          <w:p w14:paraId="044F99C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43951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36229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52</w:t>
            </w:r>
          </w:p>
        </w:tc>
        <w:tc>
          <w:tcPr>
            <w:tcW w:w="2625" w:type="dxa"/>
            <w:shd w:val="clear" w:color="auto" w:fill="auto"/>
            <w:noWrap w:val="0"/>
            <w:vAlign w:val="center"/>
          </w:tcPr>
          <w:p w14:paraId="6E50242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对擅自将生产、使用有毒有害物质的设施与村镇公共供水管道连接的行政处罚</w:t>
            </w:r>
          </w:p>
        </w:tc>
        <w:tc>
          <w:tcPr>
            <w:tcW w:w="1391" w:type="dxa"/>
            <w:noWrap w:val="0"/>
            <w:vAlign w:val="center"/>
          </w:tcPr>
          <w:p w14:paraId="1708CCE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w:t>
            </w:r>
          </w:p>
        </w:tc>
        <w:tc>
          <w:tcPr>
            <w:tcW w:w="1240" w:type="dxa"/>
            <w:noWrap w:val="0"/>
            <w:vAlign w:val="center"/>
          </w:tcPr>
          <w:p w14:paraId="41BBB6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4A77E2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2013年11月28日</w:t>
            </w:r>
          </w:p>
        </w:tc>
        <w:tc>
          <w:tcPr>
            <w:tcW w:w="1145" w:type="dxa"/>
            <w:noWrap w:val="0"/>
            <w:vAlign w:val="center"/>
          </w:tcPr>
          <w:p w14:paraId="061E926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责令改正，恢复原状</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责令纠正，排除危害</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20D2F49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《四川省村镇供水条例》第二十九条  未经供水单位同意，任何单位和个人不得在村镇公共供水管道上连接取水设施。禁止生产或者使用有毒有害物质的单位和个人将生产设施与村镇公共供水管道连接。</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第五十二条  违反本条例第二十九条规定，擅自在村镇公共供水管道上连接取水设施的，由县级以上地方人民政府水行政主管部门责令改正，恢复原状，并处以一千元以上五千元以下罚款；擅自将生产、使用有毒有害物质的设施与村镇公共供水管道连接的，由县级水行政主管部门责令纠正，排除危害，并处以二万元以上十万元以下罚款。</w:t>
            </w:r>
          </w:p>
        </w:tc>
        <w:tc>
          <w:tcPr>
            <w:tcW w:w="913" w:type="dxa"/>
            <w:shd w:val="clear" w:color="auto" w:fill="auto"/>
            <w:noWrap w:val="0"/>
            <w:vAlign w:val="top"/>
          </w:tcPr>
          <w:p w14:paraId="748BA51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BD6C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7E703EA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53</w:t>
            </w:r>
          </w:p>
        </w:tc>
        <w:tc>
          <w:tcPr>
            <w:tcW w:w="2625" w:type="dxa"/>
            <w:shd w:val="clear" w:color="auto" w:fill="auto"/>
            <w:noWrap w:val="0"/>
            <w:vAlign w:val="center"/>
          </w:tcPr>
          <w:p w14:paraId="21A2553B">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对供水单位擅自停止营运的行政处罚</w:t>
            </w:r>
          </w:p>
        </w:tc>
        <w:tc>
          <w:tcPr>
            <w:tcW w:w="1391" w:type="dxa"/>
            <w:noWrap w:val="0"/>
            <w:vAlign w:val="center"/>
          </w:tcPr>
          <w:p w14:paraId="0A89F2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w:t>
            </w:r>
          </w:p>
        </w:tc>
        <w:tc>
          <w:tcPr>
            <w:tcW w:w="1240" w:type="dxa"/>
            <w:noWrap w:val="0"/>
            <w:vAlign w:val="center"/>
          </w:tcPr>
          <w:p w14:paraId="129C21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5F4943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2013年11月28日</w:t>
            </w:r>
          </w:p>
        </w:tc>
        <w:tc>
          <w:tcPr>
            <w:tcW w:w="1145" w:type="dxa"/>
            <w:noWrap w:val="0"/>
            <w:vAlign w:val="center"/>
          </w:tcPr>
          <w:p w14:paraId="09EE822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责</w:t>
            </w:r>
            <w:r>
              <w:rPr>
                <w:rFonts w:ascii="宋体" w:hAnsi="宋体" w:eastAsia="宋体" w:cs="宋体"/>
                <w:i w:val="0"/>
                <w:iCs w:val="0"/>
                <w:color w:val="auto"/>
                <w:kern w:val="0"/>
                <w:sz w:val="21"/>
                <w:szCs w:val="21"/>
                <w:u w:val="none"/>
                <w:lang w:val="en-US" w:eastAsia="zh-CN" w:bidi="ar"/>
              </w:rPr>
              <w:t>令限期恢复营运</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1047731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《四川省村镇供水条例》第三十四条  已在营运的供水单位不得擅自停止营运。供水单位需退出营运的，应当提前三个月向县级水行政主管部门提出申请。供水单位退出营运的管理办法由省人民政府另行制定。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第五十三条  供水单位违反本条例第三十四条规定，供水单位擅自停止营运的，由县级以上地方人民政府水行政主管部门责令限期恢复营运，并对供水单位处一万元以上五万元以下罚款。</w:t>
            </w:r>
          </w:p>
        </w:tc>
        <w:tc>
          <w:tcPr>
            <w:tcW w:w="913" w:type="dxa"/>
            <w:shd w:val="clear" w:color="auto" w:fill="auto"/>
            <w:noWrap w:val="0"/>
            <w:vAlign w:val="top"/>
          </w:tcPr>
          <w:p w14:paraId="21F1DAF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392E5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168CC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54</w:t>
            </w:r>
          </w:p>
        </w:tc>
        <w:tc>
          <w:tcPr>
            <w:tcW w:w="2625" w:type="dxa"/>
            <w:shd w:val="clear" w:color="auto" w:fill="auto"/>
            <w:noWrap w:val="0"/>
            <w:vAlign w:val="center"/>
          </w:tcPr>
          <w:p w14:paraId="7B93175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对擅自开启公共消防栓的行政处罚</w:t>
            </w:r>
          </w:p>
        </w:tc>
        <w:tc>
          <w:tcPr>
            <w:tcW w:w="1391" w:type="dxa"/>
            <w:noWrap w:val="0"/>
            <w:vAlign w:val="center"/>
          </w:tcPr>
          <w:p w14:paraId="43C6B0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w:t>
            </w:r>
          </w:p>
        </w:tc>
        <w:tc>
          <w:tcPr>
            <w:tcW w:w="1240" w:type="dxa"/>
            <w:noWrap w:val="0"/>
            <w:vAlign w:val="center"/>
          </w:tcPr>
          <w:p w14:paraId="13C57F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四川省人民代表大会常务委员会</w:t>
            </w:r>
          </w:p>
        </w:tc>
        <w:tc>
          <w:tcPr>
            <w:tcW w:w="1214" w:type="dxa"/>
            <w:noWrap w:val="0"/>
            <w:vAlign w:val="center"/>
          </w:tcPr>
          <w:p w14:paraId="1F5DC5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2013年11月28日</w:t>
            </w:r>
          </w:p>
        </w:tc>
        <w:tc>
          <w:tcPr>
            <w:tcW w:w="1145" w:type="dxa"/>
            <w:noWrap w:val="0"/>
            <w:vAlign w:val="center"/>
          </w:tcPr>
          <w:p w14:paraId="5A7614A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依法承担赔偿责任</w:t>
            </w:r>
          </w:p>
        </w:tc>
        <w:tc>
          <w:tcPr>
            <w:tcW w:w="4787" w:type="dxa"/>
            <w:noWrap w:val="0"/>
            <w:vAlign w:val="top"/>
          </w:tcPr>
          <w:p w14:paraId="6AAF975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《四川省村镇供水条例》第四十五条第二款  公共消火栓实行专管专用制度，除训练演练、灭火救援用水外，任何单位和个人不得擅自动用。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第五十四条  违反本条例第四十五条第二款规定，擅自开启公共消防栓的，由县级以上地方人民政府水行政主管部门对行为人处以五百元以上五千元以下罚款，并依法承担赔偿责任。</w:t>
            </w:r>
          </w:p>
        </w:tc>
        <w:tc>
          <w:tcPr>
            <w:tcW w:w="913" w:type="dxa"/>
            <w:shd w:val="clear" w:color="auto" w:fill="auto"/>
            <w:noWrap w:val="0"/>
            <w:vAlign w:val="top"/>
          </w:tcPr>
          <w:p w14:paraId="71CC997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4787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93676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55</w:t>
            </w:r>
          </w:p>
        </w:tc>
        <w:tc>
          <w:tcPr>
            <w:tcW w:w="2625" w:type="dxa"/>
            <w:shd w:val="clear" w:color="auto" w:fill="auto"/>
            <w:noWrap w:val="0"/>
            <w:vAlign w:val="center"/>
          </w:tcPr>
          <w:p w14:paraId="4B94E13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对擅自砍伐护堤护岸林木的行政处罚</w:t>
            </w:r>
          </w:p>
        </w:tc>
        <w:tc>
          <w:tcPr>
            <w:tcW w:w="1391" w:type="dxa"/>
            <w:noWrap w:val="0"/>
            <w:vAlign w:val="center"/>
          </w:tcPr>
          <w:p w14:paraId="5C0C41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《中华人民共和国河道管理条例》</w:t>
            </w:r>
          </w:p>
        </w:tc>
        <w:tc>
          <w:tcPr>
            <w:tcW w:w="1240" w:type="dxa"/>
            <w:noWrap w:val="0"/>
            <w:vAlign w:val="center"/>
          </w:tcPr>
          <w:p w14:paraId="6A62B5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国务院</w:t>
            </w:r>
          </w:p>
        </w:tc>
        <w:tc>
          <w:tcPr>
            <w:tcW w:w="1214" w:type="dxa"/>
            <w:noWrap w:val="0"/>
            <w:vAlign w:val="center"/>
          </w:tcPr>
          <w:p w14:paraId="3510A2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2018年3月19日</w:t>
            </w:r>
          </w:p>
        </w:tc>
        <w:tc>
          <w:tcPr>
            <w:tcW w:w="1145" w:type="dxa"/>
            <w:noWrap w:val="0"/>
            <w:vAlign w:val="center"/>
          </w:tcPr>
          <w:p w14:paraId="2CD04BD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责令其纠正违法行为、采取补救措施外，警告、罚款、没收非法所得</w:t>
            </w:r>
          </w:p>
        </w:tc>
        <w:tc>
          <w:tcPr>
            <w:tcW w:w="4787" w:type="dxa"/>
            <w:noWrap w:val="0"/>
            <w:vAlign w:val="top"/>
          </w:tcPr>
          <w:p w14:paraId="49719E3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《中华人民共和国河道管理条例》第四十四条第七项  违反本条例规定，有下列行为之一的，县级以上地方人民政府河道主管机关除责令其纠正违法行为、采取补救措施外，可以并处警告、罚款、没收非法所得；对有关责任人员，由其所在单位或者上级主管机关给予行政处分；构成犯罪的，依法追究刑事责任：（七）擅自砍伐护堤护岸林木的。</w:t>
            </w:r>
          </w:p>
        </w:tc>
        <w:tc>
          <w:tcPr>
            <w:tcW w:w="913" w:type="dxa"/>
            <w:shd w:val="clear" w:color="auto" w:fill="auto"/>
            <w:noWrap w:val="0"/>
            <w:vAlign w:val="top"/>
          </w:tcPr>
          <w:p w14:paraId="02FA7BA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6EEBD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AA6C5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56</w:t>
            </w:r>
          </w:p>
        </w:tc>
        <w:tc>
          <w:tcPr>
            <w:tcW w:w="2625" w:type="dxa"/>
            <w:shd w:val="clear" w:color="auto" w:fill="auto"/>
            <w:noWrap w:val="0"/>
            <w:vAlign w:val="center"/>
          </w:tcPr>
          <w:p w14:paraId="299D992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对在堤防安全保护区内进行打井、钻探、爆破、挖筑鱼塘、采石、取土、建房、开渠等危害堤防安全的活动的行政处罚</w:t>
            </w:r>
          </w:p>
        </w:tc>
        <w:tc>
          <w:tcPr>
            <w:tcW w:w="1391" w:type="dxa"/>
            <w:noWrap w:val="0"/>
            <w:vAlign w:val="center"/>
          </w:tcPr>
          <w:p w14:paraId="76B21DA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《中华人民共和国河道管理条例》</w:t>
            </w:r>
          </w:p>
        </w:tc>
        <w:tc>
          <w:tcPr>
            <w:tcW w:w="1240" w:type="dxa"/>
            <w:noWrap w:val="0"/>
            <w:vAlign w:val="center"/>
          </w:tcPr>
          <w:p w14:paraId="768AA5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仿宋_GB2312" w:hAnsi="仿宋_GB2312" w:eastAsia="仿宋_GB2312" w:cs="仿宋_GB2312"/>
                <w:color w:val="auto"/>
                <w:sz w:val="24"/>
                <w:szCs w:val="24"/>
                <w:vertAlign w:val="baseline"/>
                <w:lang w:val="en-US" w:eastAsia="zh-CN"/>
              </w:rPr>
              <w:t>国务院</w:t>
            </w:r>
          </w:p>
        </w:tc>
        <w:tc>
          <w:tcPr>
            <w:tcW w:w="1214" w:type="dxa"/>
            <w:noWrap w:val="0"/>
            <w:vAlign w:val="center"/>
          </w:tcPr>
          <w:p w14:paraId="373721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2018年3月19日</w:t>
            </w:r>
          </w:p>
        </w:tc>
        <w:tc>
          <w:tcPr>
            <w:tcW w:w="1145" w:type="dxa"/>
            <w:noWrap w:val="0"/>
            <w:vAlign w:val="center"/>
          </w:tcPr>
          <w:p w14:paraId="3384AC9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责令其纠正违法行为、赔偿损失、采取补救措施外，警告、罚款</w:t>
            </w:r>
          </w:p>
        </w:tc>
        <w:tc>
          <w:tcPr>
            <w:tcW w:w="4787" w:type="dxa"/>
            <w:noWrap w:val="0"/>
            <w:vAlign w:val="top"/>
          </w:tcPr>
          <w:p w14:paraId="24A6EF3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《中华人民共和国河道管理条例》第四十五条第二项  违反本条例规定，有下列行为之一的，县级以上地方人民政府河道主管机关除责令其纠正违法行为、赔偿损失、采取补救措施外，可以并处警告、罚款；应当给予治安管理处罚的，按照《中华人民共和国治安管理处罚法》的规定处罚；构成犯罪的，依法追究刑事责任：（二）在堤防安全保护区内进行打井、钻探、爆破、挖筑鱼塘、采石、取土等危害堤防安全的活动的。</w:t>
            </w:r>
          </w:p>
        </w:tc>
        <w:tc>
          <w:tcPr>
            <w:tcW w:w="913" w:type="dxa"/>
            <w:shd w:val="clear" w:color="auto" w:fill="auto"/>
            <w:noWrap w:val="0"/>
            <w:vAlign w:val="top"/>
          </w:tcPr>
          <w:p w14:paraId="4E564C3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93E0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71D503D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57</w:t>
            </w:r>
          </w:p>
        </w:tc>
        <w:tc>
          <w:tcPr>
            <w:tcW w:w="2625" w:type="dxa"/>
            <w:shd w:val="clear" w:color="auto" w:fill="auto"/>
            <w:noWrap w:val="0"/>
            <w:vAlign w:val="center"/>
          </w:tcPr>
          <w:p w14:paraId="42C0438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对擅自移动、损坏水利工程的界桩、公告牌的行政处罚</w:t>
            </w:r>
          </w:p>
        </w:tc>
        <w:tc>
          <w:tcPr>
            <w:tcW w:w="1391" w:type="dxa"/>
            <w:noWrap w:val="0"/>
            <w:vAlign w:val="center"/>
          </w:tcPr>
          <w:p w14:paraId="57A2FE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《四川省水利工程管理条例》</w:t>
            </w:r>
          </w:p>
        </w:tc>
        <w:tc>
          <w:tcPr>
            <w:tcW w:w="1240" w:type="dxa"/>
            <w:noWrap w:val="0"/>
            <w:vAlign w:val="center"/>
          </w:tcPr>
          <w:p w14:paraId="38FE81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42F90C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2021年9月29日</w:t>
            </w:r>
          </w:p>
        </w:tc>
        <w:tc>
          <w:tcPr>
            <w:tcW w:w="1145" w:type="dxa"/>
            <w:noWrap w:val="0"/>
            <w:vAlign w:val="center"/>
          </w:tcPr>
          <w:p w14:paraId="0E83431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9CBD08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《四川省水利工程管理条例》第二十五条  县级以上地方人民政府应当对本行政区域内水利工程划定管理范围和保护范围并向社会公告。任何单位和个人不得擅自移动、损坏设置的界桩、公告牌。</w:t>
            </w:r>
          </w:p>
          <w:p w14:paraId="749A41D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水利工程应当在竣工验收合格两年内完成划界，确定工程所有权和使用权。</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第五十条  违反本条例第二十五条规定，擅自移动、损坏水利工程的界桩、公告牌的，由水行政主管部门责令改正，可处五百元以上二千元以下的罚款。</w:t>
            </w:r>
          </w:p>
        </w:tc>
        <w:tc>
          <w:tcPr>
            <w:tcW w:w="913" w:type="dxa"/>
            <w:shd w:val="clear" w:color="auto" w:fill="auto"/>
            <w:noWrap w:val="0"/>
            <w:vAlign w:val="top"/>
          </w:tcPr>
          <w:p w14:paraId="04E4B07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仅适用乡镇及以下管理的水利工程。</w:t>
            </w:r>
          </w:p>
        </w:tc>
      </w:tr>
      <w:tr w14:paraId="1422A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B3DBC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58</w:t>
            </w:r>
          </w:p>
        </w:tc>
        <w:tc>
          <w:tcPr>
            <w:tcW w:w="2625" w:type="dxa"/>
            <w:shd w:val="clear" w:color="auto" w:fill="auto"/>
            <w:noWrap w:val="0"/>
            <w:vAlign w:val="center"/>
          </w:tcPr>
          <w:p w14:paraId="55D619C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对农业投入品生产者、销售者、使用者未按照规定及时回收肥料等农业投入品的包装废弃物或者农用薄膜，或者未按照规定及时回收农药包装废弃物交由专门的机构或者组织进行无害化处理的行政处罚</w:t>
            </w:r>
          </w:p>
        </w:tc>
        <w:tc>
          <w:tcPr>
            <w:tcW w:w="1391" w:type="dxa"/>
            <w:noWrap w:val="0"/>
            <w:vAlign w:val="center"/>
          </w:tcPr>
          <w:p w14:paraId="469E038D">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1.《中华人民共和国土壤污染防治法》</w:t>
            </w:r>
          </w:p>
          <w:p w14:paraId="655C5E71">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2.《农药包装废弃物回收处理管理办法》</w:t>
            </w:r>
          </w:p>
          <w:p w14:paraId="15CB4A1B">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3.</w:t>
            </w:r>
            <w:r>
              <w:rPr>
                <w:rFonts w:ascii="宋体" w:hAnsi="宋体" w:eastAsia="宋体" w:cs="宋体"/>
                <w:i w:val="0"/>
                <w:iCs w:val="0"/>
                <w:color w:val="auto"/>
                <w:kern w:val="0"/>
                <w:sz w:val="21"/>
                <w:szCs w:val="21"/>
                <w:u w:val="none"/>
                <w:lang w:val="en-US" w:eastAsia="zh-CN" w:bidi="ar"/>
              </w:rPr>
              <w:t>《农用薄膜管理办法》</w:t>
            </w:r>
          </w:p>
        </w:tc>
        <w:tc>
          <w:tcPr>
            <w:tcW w:w="1240" w:type="dxa"/>
            <w:noWrap w:val="0"/>
            <w:vAlign w:val="center"/>
          </w:tcPr>
          <w:p w14:paraId="4E23ECEF">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1.</w:t>
            </w:r>
            <w:r>
              <w:rPr>
                <w:rFonts w:hint="eastAsia" w:ascii="宋体" w:hAnsi="宋体" w:eastAsia="宋体" w:cs="宋体"/>
                <w:i w:val="0"/>
                <w:iCs w:val="0"/>
                <w:caps w:val="0"/>
                <w:color w:val="auto"/>
                <w:spacing w:val="0"/>
                <w:sz w:val="21"/>
                <w:szCs w:val="21"/>
              </w:rPr>
              <w:t>全国人民代表大会常务委员会</w:t>
            </w:r>
          </w:p>
          <w:p w14:paraId="399B6FAD">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2.国务院</w:t>
            </w:r>
          </w:p>
          <w:p w14:paraId="4C07974E">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3.国务院</w:t>
            </w:r>
          </w:p>
        </w:tc>
        <w:tc>
          <w:tcPr>
            <w:tcW w:w="1214" w:type="dxa"/>
            <w:noWrap w:val="0"/>
            <w:vAlign w:val="center"/>
          </w:tcPr>
          <w:p w14:paraId="71E8BB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2018年8月31日2020年8月27日2020年7月3日</w:t>
            </w:r>
          </w:p>
        </w:tc>
        <w:tc>
          <w:tcPr>
            <w:tcW w:w="1145" w:type="dxa"/>
            <w:noWrap w:val="0"/>
            <w:vAlign w:val="center"/>
          </w:tcPr>
          <w:p w14:paraId="124369D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03CB752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1.《中华人民共和国土壤污染防治法》第八十八条  违反本法规定，农业投入品生产者、销售者、使用者未按照规定及时回收肥料等农业投入品的包装废弃物或者农用薄膜，或者未按照规定及时回收农药包装废弃物交由专门的机构或者组织进行无害化处理的，由地方人民政府农业农村主管部门责令改正，处一万元以上十万元以下的罚款；农业投入品使用者为个人的，可以处二百元以上二千元以下的罚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2.《农药包装废弃物回收处理管理办法》第十九条  农药生产者、经营者、使用者未按规定履行农药包装废弃物回收处理义务的，由地方人民政府农业农村主管部门按照《中华人民共和国土壤污染防治法》第八十八条规定予以处罚。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3.《农用薄膜管理办法》第二十四条  农用薄膜生产者、销售者、使用者未按照规定回收农用薄膜的，依照《中华人民共和国土壤污染防治法》第八十八条规定处罚。</w:t>
            </w:r>
          </w:p>
        </w:tc>
        <w:tc>
          <w:tcPr>
            <w:tcW w:w="913" w:type="dxa"/>
            <w:shd w:val="clear" w:color="auto" w:fill="auto"/>
            <w:noWrap w:val="0"/>
            <w:vAlign w:val="top"/>
          </w:tcPr>
          <w:p w14:paraId="61C97A3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3F57E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328E5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59</w:t>
            </w:r>
          </w:p>
        </w:tc>
        <w:tc>
          <w:tcPr>
            <w:tcW w:w="2625" w:type="dxa"/>
            <w:shd w:val="clear" w:color="auto" w:fill="auto"/>
            <w:noWrap w:val="0"/>
            <w:vAlign w:val="center"/>
          </w:tcPr>
          <w:p w14:paraId="3C2D052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对农药经营者和农药包装废弃物回收站（点）未按规定建立农药包装废弃物回收台账的行政处罚</w:t>
            </w:r>
          </w:p>
        </w:tc>
        <w:tc>
          <w:tcPr>
            <w:tcW w:w="1391" w:type="dxa"/>
            <w:noWrap w:val="0"/>
            <w:vAlign w:val="center"/>
          </w:tcPr>
          <w:p w14:paraId="53C5BC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《农药包装废弃物回收处理管理办法》</w:t>
            </w:r>
          </w:p>
        </w:tc>
        <w:tc>
          <w:tcPr>
            <w:tcW w:w="1240" w:type="dxa"/>
            <w:noWrap w:val="0"/>
            <w:vAlign w:val="center"/>
          </w:tcPr>
          <w:p w14:paraId="72A2B3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国务院</w:t>
            </w:r>
          </w:p>
        </w:tc>
        <w:tc>
          <w:tcPr>
            <w:tcW w:w="1214" w:type="dxa"/>
            <w:noWrap w:val="0"/>
            <w:vAlign w:val="center"/>
          </w:tcPr>
          <w:p w14:paraId="61967F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2020年8月27日</w:t>
            </w:r>
          </w:p>
        </w:tc>
        <w:tc>
          <w:tcPr>
            <w:tcW w:w="1145" w:type="dxa"/>
            <w:noWrap w:val="0"/>
            <w:vAlign w:val="center"/>
          </w:tcPr>
          <w:p w14:paraId="3DA38E35">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17AEDD8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《农药包装废弃物回收处理管理办法》第二十一条  农药经营者和农药包装废弃物回收站（点）未按规定建立农药包装废弃物回收台账的，由地方人民政府农业农村主管部门责令改正；拒不改正或者情节严重的，可处二千元以上二万元以下罚款。</w:t>
            </w:r>
          </w:p>
        </w:tc>
        <w:tc>
          <w:tcPr>
            <w:tcW w:w="913" w:type="dxa"/>
            <w:shd w:val="clear" w:color="auto" w:fill="auto"/>
            <w:noWrap w:val="0"/>
            <w:vAlign w:val="top"/>
          </w:tcPr>
          <w:p w14:paraId="04E3D8C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D0D8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0BE990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60</w:t>
            </w:r>
          </w:p>
        </w:tc>
        <w:tc>
          <w:tcPr>
            <w:tcW w:w="2625" w:type="dxa"/>
            <w:shd w:val="clear" w:color="auto" w:fill="auto"/>
            <w:noWrap w:val="0"/>
            <w:vAlign w:val="center"/>
          </w:tcPr>
          <w:p w14:paraId="323CD0D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对侵占、损毁、拆除、擅自移动农作物病虫害监测设施设备或者以其他方式妨害农作物病虫害监测设施设备正常运行的行政处罚</w:t>
            </w:r>
          </w:p>
        </w:tc>
        <w:tc>
          <w:tcPr>
            <w:tcW w:w="1391" w:type="dxa"/>
            <w:noWrap w:val="0"/>
            <w:vAlign w:val="center"/>
          </w:tcPr>
          <w:p w14:paraId="17293E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《农作物病虫害防治条例》</w:t>
            </w:r>
          </w:p>
        </w:tc>
        <w:tc>
          <w:tcPr>
            <w:tcW w:w="1240" w:type="dxa"/>
            <w:noWrap w:val="0"/>
            <w:vAlign w:val="center"/>
          </w:tcPr>
          <w:p w14:paraId="567721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0DFCB4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2020年3月26日</w:t>
            </w:r>
          </w:p>
        </w:tc>
        <w:tc>
          <w:tcPr>
            <w:tcW w:w="1145" w:type="dxa"/>
            <w:noWrap w:val="0"/>
            <w:vAlign w:val="center"/>
          </w:tcPr>
          <w:p w14:paraId="38B40BF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责令停止违法行为，限期恢复原状或者采取其他补救措施</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216E519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《农作物病虫害防治条例》第四十条  违反本条例规定，侵占、损毁、拆除、擅自移动农作物病虫害监测设施设备或者以其他方式妨害农作物病虫害监测设施设备正常运行的，由县级以上人民政府农业农村主管部门责令停止违法行为，限期恢复原状或者采取其他补救措施，可以处 5 万元以下罚款；造成损失的，依法承担赔偿责任；构成犯罪的，依法追究刑事责任。</w:t>
            </w:r>
          </w:p>
        </w:tc>
        <w:tc>
          <w:tcPr>
            <w:tcW w:w="913" w:type="dxa"/>
            <w:shd w:val="clear" w:color="auto" w:fill="auto"/>
            <w:noWrap w:val="0"/>
            <w:vAlign w:val="top"/>
          </w:tcPr>
          <w:p w14:paraId="11BC462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876E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9A0D8E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61</w:t>
            </w:r>
          </w:p>
        </w:tc>
        <w:tc>
          <w:tcPr>
            <w:tcW w:w="2625" w:type="dxa"/>
            <w:shd w:val="clear" w:color="auto" w:fill="auto"/>
            <w:noWrap w:val="0"/>
            <w:vAlign w:val="center"/>
          </w:tcPr>
          <w:p w14:paraId="6950AB9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对在地表水饮用水水源二级保护区内违反规定使用化肥行为的行政处罚</w:t>
            </w:r>
          </w:p>
        </w:tc>
        <w:tc>
          <w:tcPr>
            <w:tcW w:w="1391" w:type="dxa"/>
            <w:noWrap w:val="0"/>
            <w:vAlign w:val="center"/>
          </w:tcPr>
          <w:p w14:paraId="69DF22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《四川省饮用水水源保护管理条例》</w:t>
            </w:r>
          </w:p>
        </w:tc>
        <w:tc>
          <w:tcPr>
            <w:tcW w:w="1240" w:type="dxa"/>
            <w:noWrap w:val="0"/>
            <w:vAlign w:val="center"/>
          </w:tcPr>
          <w:p w14:paraId="4BB3C4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68D49D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2011年11月25日</w:t>
            </w:r>
          </w:p>
        </w:tc>
        <w:tc>
          <w:tcPr>
            <w:tcW w:w="1145" w:type="dxa"/>
            <w:noWrap w:val="0"/>
            <w:vAlign w:val="center"/>
          </w:tcPr>
          <w:p w14:paraId="7EF2352C">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7387534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《四川省饮用水水源保护管理条例》第十八条第四项  地表水饮用水水源二级保护区内，除遵守本条例第十七条规定外，还应当遵守下列规定：（四）禁止使用农药；禁止丢弃农药、农药包装物或者清洗施药器械；限制使用化肥。</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第四十条第三款  违反本条例第十八条第四项，使用化肥的，由县级以上地方人民政府农业农村主管部门责令改正；情节严重的，处五千元以上二万元以下的罚款。违反本条例第十九条第二项规定，使用化肥的，由县级以上地方人民政府农业农村主管部门责令改正，处一万元以上五万元以下的罚款。</w:t>
            </w:r>
          </w:p>
        </w:tc>
        <w:tc>
          <w:tcPr>
            <w:tcW w:w="913" w:type="dxa"/>
            <w:shd w:val="clear" w:color="auto" w:fill="auto"/>
            <w:noWrap w:val="0"/>
            <w:vAlign w:val="top"/>
          </w:tcPr>
          <w:p w14:paraId="51884A5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7E98A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B7B1B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62</w:t>
            </w:r>
          </w:p>
        </w:tc>
        <w:tc>
          <w:tcPr>
            <w:tcW w:w="2625" w:type="dxa"/>
            <w:shd w:val="clear" w:color="auto" w:fill="auto"/>
            <w:noWrap w:val="0"/>
            <w:vAlign w:val="center"/>
          </w:tcPr>
          <w:p w14:paraId="17FDADD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对在地表水饮用水水源保护一级保护区内使用化肥行为的行政处罚</w:t>
            </w:r>
          </w:p>
        </w:tc>
        <w:tc>
          <w:tcPr>
            <w:tcW w:w="1391" w:type="dxa"/>
            <w:noWrap w:val="0"/>
            <w:vAlign w:val="center"/>
          </w:tcPr>
          <w:p w14:paraId="3F02510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《四川省饮用水水源保护管理条例》</w:t>
            </w:r>
          </w:p>
        </w:tc>
        <w:tc>
          <w:tcPr>
            <w:tcW w:w="1240" w:type="dxa"/>
            <w:noWrap w:val="0"/>
            <w:vAlign w:val="center"/>
          </w:tcPr>
          <w:p w14:paraId="494C1C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6F4F9C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2011年11月25日</w:t>
            </w:r>
          </w:p>
        </w:tc>
        <w:tc>
          <w:tcPr>
            <w:tcW w:w="1145" w:type="dxa"/>
            <w:noWrap w:val="0"/>
            <w:vAlign w:val="center"/>
          </w:tcPr>
          <w:p w14:paraId="41BDD1D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5889A62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《四川省饮用水水源保护管理条例》第十九条第二项  地表水饮用水水源一级保护区内，除遵守本条例第十七条和第十八条规定外，还应当遵守下列规定：（二）禁止使用化肥。</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第四十条第三款  违反本条例第十八条第四项，使用化肥的，由县级以上地方人民政府农业农村主管部门责令改正；情节严重的，处五千元以上二万元以下的罚款。违反本条例第十九条第二项规定，使用化肥的，由县级以上地方人民政府农业农村主管部门责令改正，处一万元以上五万元以下的罚款。</w:t>
            </w:r>
          </w:p>
        </w:tc>
        <w:tc>
          <w:tcPr>
            <w:tcW w:w="913" w:type="dxa"/>
            <w:shd w:val="clear" w:color="auto" w:fill="auto"/>
            <w:noWrap w:val="0"/>
            <w:vAlign w:val="top"/>
          </w:tcPr>
          <w:p w14:paraId="389766E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CF2A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7A49DA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63</w:t>
            </w:r>
          </w:p>
        </w:tc>
        <w:tc>
          <w:tcPr>
            <w:tcW w:w="2625" w:type="dxa"/>
            <w:shd w:val="clear" w:color="auto" w:fill="auto"/>
            <w:noWrap w:val="0"/>
            <w:vAlign w:val="center"/>
          </w:tcPr>
          <w:p w14:paraId="12CEF5F2">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对未按规定建立、保存或者伪造农产品生产记录的行政处罚</w:t>
            </w:r>
          </w:p>
        </w:tc>
        <w:tc>
          <w:tcPr>
            <w:tcW w:w="1391" w:type="dxa"/>
            <w:noWrap w:val="0"/>
            <w:vAlign w:val="center"/>
          </w:tcPr>
          <w:p w14:paraId="0C0A483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1.《中华人民共和国农产品质量安全法》</w:t>
            </w:r>
          </w:p>
          <w:p w14:paraId="00B1B5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2.《四川省〈中华人民共和国农产品质量安全法〉实施办法》</w:t>
            </w:r>
          </w:p>
        </w:tc>
        <w:tc>
          <w:tcPr>
            <w:tcW w:w="1240" w:type="dxa"/>
            <w:noWrap w:val="0"/>
            <w:vAlign w:val="center"/>
          </w:tcPr>
          <w:p w14:paraId="1A3141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4600754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3A42A8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2022年9月2日</w:t>
            </w:r>
          </w:p>
          <w:p w14:paraId="49CB6C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2009年3月24日</w:t>
            </w:r>
          </w:p>
        </w:tc>
        <w:tc>
          <w:tcPr>
            <w:tcW w:w="1145" w:type="dxa"/>
            <w:noWrap w:val="0"/>
            <w:vAlign w:val="center"/>
          </w:tcPr>
          <w:p w14:paraId="7094F47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F6CD0D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1.《中华人民共和国农产品质量安全法》第六十九条　农产品生产企业、农民专业合作社、农业社会化服务组织未依照本法规定建立、保存农产品生产记录，或者伪造、变造农产品生产记录的，由县级以上地方人民政府农业农村主管部门责令限期改正；逾期不改正的，处二千元以上二万元以下罚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2.《四川省〈中华人民共和国农产品质量安全法〉实施办法》第二十一条  农产品生产企业、农民专业合作经济组织应当建立农产品生产记录，如实记载下列内容：（一）使用农业投入品的名称、生产企业、采购地点、购入数量、产品批准文号、用法、用量、使用日期、停用日期、休药期、间隔期；（二）动物疫病、植物病虫草害发生和防治情况；（三）收获、屠宰、捕捞的日期。农产品生产记录应当保存二年。禁止伪造农产品生产记录。</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第四十三条  违反本办法第二十一条规定的，由县级以上地方人民政府农业行政主管部门责令限期改正；逾期不改正的，处 2000 元以下罚款。</w:t>
            </w:r>
          </w:p>
        </w:tc>
        <w:tc>
          <w:tcPr>
            <w:tcW w:w="913" w:type="dxa"/>
            <w:shd w:val="clear" w:color="auto" w:fill="auto"/>
            <w:noWrap w:val="0"/>
            <w:vAlign w:val="top"/>
          </w:tcPr>
          <w:p w14:paraId="4998B7F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78AFD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0EDA9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64</w:t>
            </w:r>
          </w:p>
        </w:tc>
        <w:tc>
          <w:tcPr>
            <w:tcW w:w="2625" w:type="dxa"/>
            <w:shd w:val="clear" w:color="auto" w:fill="auto"/>
            <w:noWrap w:val="0"/>
            <w:vAlign w:val="center"/>
          </w:tcPr>
          <w:p w14:paraId="42AE9489">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对销售的农产品未按照规定进行包装、标识的行政处罚</w:t>
            </w:r>
          </w:p>
        </w:tc>
        <w:tc>
          <w:tcPr>
            <w:tcW w:w="1391" w:type="dxa"/>
            <w:noWrap w:val="0"/>
            <w:vAlign w:val="center"/>
          </w:tcPr>
          <w:p w14:paraId="2FA1B8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1.《中华人民共和国农产品质量安全法》</w:t>
            </w:r>
          </w:p>
          <w:p w14:paraId="67137F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2.《农产品包装和标识管理办法》</w:t>
            </w:r>
          </w:p>
        </w:tc>
        <w:tc>
          <w:tcPr>
            <w:tcW w:w="1240" w:type="dxa"/>
            <w:noWrap w:val="0"/>
            <w:vAlign w:val="center"/>
          </w:tcPr>
          <w:p w14:paraId="5A2691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542341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214" w:type="dxa"/>
            <w:noWrap w:val="0"/>
            <w:vAlign w:val="center"/>
          </w:tcPr>
          <w:p w14:paraId="273432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2022年9月2日</w:t>
            </w:r>
          </w:p>
          <w:p w14:paraId="4C36BE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2006年10月17日</w:t>
            </w:r>
          </w:p>
        </w:tc>
        <w:tc>
          <w:tcPr>
            <w:tcW w:w="1145" w:type="dxa"/>
            <w:noWrap w:val="0"/>
            <w:vAlign w:val="center"/>
          </w:tcPr>
          <w:p w14:paraId="00562693">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p>
        </w:tc>
        <w:tc>
          <w:tcPr>
            <w:tcW w:w="4787" w:type="dxa"/>
            <w:noWrap w:val="0"/>
            <w:vAlign w:val="top"/>
          </w:tcPr>
          <w:p w14:paraId="2458C1E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1.《中华人民共和国农产品质量安全法》第三十八条　农产品生产企业、农民专业合作社以及从事农产品收购的单位或者个人销售的农产品，按照规定应当包装或者附加承诺达标合格证等标识的，须经包装或者附加标识后方可销售。包装物或者标识上应当按照规定标明产品的品名、产地、生产者、生产日期、保质期、产品质量等级等内容；使用添加剂的，还应当按照规定标明添加剂的名称。具体办法由国务院农业农村主管部门制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2.《农产品包装和标识管理办法》第十六条第一项、第三项、第五项  有下列情形之一的，由县级以上人民政府农业行政主管部门按照《中华人民共和国农产品质量安全法》第四十八条、四十九条、五十一条、五十二条的规定处理、处罚：（一）使用的农产品包装材料不符合强制性技术规范要求的；（三）应当包装的农产品未经包装销售的；（五）农产品未按照规定标识的。</w:t>
            </w:r>
          </w:p>
        </w:tc>
        <w:tc>
          <w:tcPr>
            <w:tcW w:w="913" w:type="dxa"/>
            <w:shd w:val="clear" w:color="auto" w:fill="auto"/>
            <w:noWrap w:val="0"/>
            <w:vAlign w:val="top"/>
          </w:tcPr>
          <w:p w14:paraId="71EA2F6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65896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21B00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65</w:t>
            </w:r>
          </w:p>
        </w:tc>
        <w:tc>
          <w:tcPr>
            <w:tcW w:w="2625" w:type="dxa"/>
            <w:shd w:val="clear" w:color="auto" w:fill="auto"/>
            <w:noWrap w:val="0"/>
            <w:vAlign w:val="center"/>
          </w:tcPr>
          <w:p w14:paraId="04FAB98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对擅自移动、损毁禁止生产区标牌的行政处罚</w:t>
            </w:r>
          </w:p>
        </w:tc>
        <w:tc>
          <w:tcPr>
            <w:tcW w:w="1391" w:type="dxa"/>
            <w:noWrap w:val="0"/>
            <w:vAlign w:val="center"/>
          </w:tcPr>
          <w:p w14:paraId="0DC16A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1.《农产品产地安全管理办法》</w:t>
            </w:r>
          </w:p>
          <w:p w14:paraId="4E0EB5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2.《四川省〈中华人民共和国农产品质量安全法〉实施办法》</w:t>
            </w:r>
          </w:p>
        </w:tc>
        <w:tc>
          <w:tcPr>
            <w:tcW w:w="1240" w:type="dxa"/>
            <w:noWrap w:val="0"/>
            <w:vAlign w:val="center"/>
          </w:tcPr>
          <w:p w14:paraId="113FFF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p w14:paraId="43DB7C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280983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2006年10月17日</w:t>
            </w:r>
          </w:p>
          <w:p w14:paraId="601A73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2009年3月24日</w:t>
            </w:r>
          </w:p>
        </w:tc>
        <w:tc>
          <w:tcPr>
            <w:tcW w:w="1145" w:type="dxa"/>
            <w:noWrap w:val="0"/>
            <w:vAlign w:val="center"/>
          </w:tcPr>
          <w:p w14:paraId="32FA7EF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3A241E7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1.《农产品产地安全管理办法》第二十六条第二款  违反本办法规定，擅自移动、损毁禁止生产区标牌的，由县级以上地方人民政府农业行政主管部门责令限期改正，可处以一千元以下罚款。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2.《四川省〈中华人民共和国农产品质量安全法〉实施办法》第十一条第二款  任何单位和个人不得擅自移动和损毁标识。</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第四十条  违反本办法第十一条第二款规定，擅自移动、损毁禁止生产区标识的，由县级以上地方人民政府农业行政主管部门责令限期改正，可处 1000 元以下罚款。</w:t>
            </w:r>
          </w:p>
        </w:tc>
        <w:tc>
          <w:tcPr>
            <w:tcW w:w="913" w:type="dxa"/>
            <w:shd w:val="clear" w:color="auto" w:fill="auto"/>
            <w:noWrap w:val="0"/>
            <w:vAlign w:val="top"/>
          </w:tcPr>
          <w:p w14:paraId="03BB6B2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2D7CE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FD0F1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66</w:t>
            </w:r>
          </w:p>
        </w:tc>
        <w:tc>
          <w:tcPr>
            <w:tcW w:w="2625" w:type="dxa"/>
            <w:shd w:val="clear" w:color="auto" w:fill="auto"/>
            <w:noWrap w:val="0"/>
            <w:vAlign w:val="center"/>
          </w:tcPr>
          <w:p w14:paraId="3726CDE1">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对未建立、保存农业投入品进销货台账或者未向购买者出具销售凭证的行政处罚</w:t>
            </w:r>
          </w:p>
        </w:tc>
        <w:tc>
          <w:tcPr>
            <w:tcW w:w="1391" w:type="dxa"/>
            <w:noWrap w:val="0"/>
            <w:vAlign w:val="center"/>
          </w:tcPr>
          <w:p w14:paraId="6A4BCE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《四川省〈中华人民共和国农产品质量安全法〉实施办法》</w:t>
            </w:r>
          </w:p>
        </w:tc>
        <w:tc>
          <w:tcPr>
            <w:tcW w:w="1240" w:type="dxa"/>
            <w:noWrap w:val="0"/>
            <w:vAlign w:val="center"/>
          </w:tcPr>
          <w:p w14:paraId="1AEC9F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70D7B6A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2009年3月24日</w:t>
            </w:r>
          </w:p>
        </w:tc>
        <w:tc>
          <w:tcPr>
            <w:tcW w:w="1145" w:type="dxa"/>
            <w:noWrap w:val="0"/>
            <w:vAlign w:val="center"/>
          </w:tcPr>
          <w:p w14:paraId="6E5FEDB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C8EE79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《四川省〈中华人民共和国农产品质量安全法〉实施办法》第十九条第一款  农业投入品经营者应当建立农业投入品进货和销售台账，如实记录投入品名称、规格、数量、供货商及其联系方式、进销货时间、销售去向等内容，保存期限不得少于二年；应当向购买者出具销售凭证，正确说明农业投入品使用方法和注意事项。</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第四十二条  违反本办法第十九条第一款规定，未建立、保存进销货台账或者未向购买者出具销售凭证的，由县级以上地方人民政府农业行政主管部门责令其限期改正；逾期不改正的，处 200 元以上 1000 元以下罚款；未向购买者说明或未正确说明农业投入品使用方法和注意事项，给农业投入品使用者造成损失的，依法予以赔偿。</w:t>
            </w:r>
          </w:p>
        </w:tc>
        <w:tc>
          <w:tcPr>
            <w:tcW w:w="913" w:type="dxa"/>
            <w:shd w:val="clear" w:color="auto" w:fill="auto"/>
            <w:noWrap w:val="0"/>
            <w:vAlign w:val="top"/>
          </w:tcPr>
          <w:p w14:paraId="2482D53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6DC4A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56767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67</w:t>
            </w:r>
          </w:p>
        </w:tc>
        <w:tc>
          <w:tcPr>
            <w:tcW w:w="2625" w:type="dxa"/>
            <w:shd w:val="clear" w:color="auto" w:fill="auto"/>
            <w:noWrap w:val="0"/>
            <w:vAlign w:val="center"/>
          </w:tcPr>
          <w:p w14:paraId="3274329A">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对农产品生产过程中违规行为的行政处罚</w:t>
            </w:r>
          </w:p>
        </w:tc>
        <w:tc>
          <w:tcPr>
            <w:tcW w:w="1391" w:type="dxa"/>
            <w:noWrap w:val="0"/>
            <w:vAlign w:val="center"/>
          </w:tcPr>
          <w:p w14:paraId="08DB57F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《国务院关于加强食品等产品安全监督管理的特别规定》</w:t>
            </w:r>
          </w:p>
        </w:tc>
        <w:tc>
          <w:tcPr>
            <w:tcW w:w="1240" w:type="dxa"/>
            <w:noWrap w:val="0"/>
            <w:vAlign w:val="center"/>
          </w:tcPr>
          <w:p w14:paraId="10CECE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214" w:type="dxa"/>
            <w:noWrap w:val="0"/>
            <w:vAlign w:val="center"/>
          </w:tcPr>
          <w:p w14:paraId="3C66E5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2007年7月26日</w:t>
            </w:r>
          </w:p>
        </w:tc>
        <w:tc>
          <w:tcPr>
            <w:tcW w:w="1145" w:type="dxa"/>
            <w:noWrap w:val="0"/>
            <w:vAlign w:val="center"/>
          </w:tcPr>
          <w:p w14:paraId="48E76DE3">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没收违法所得、产品和用于违法生产的工具、设备、原材料等物品</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吊销许可证照</w:t>
            </w:r>
          </w:p>
        </w:tc>
        <w:tc>
          <w:tcPr>
            <w:tcW w:w="4787" w:type="dxa"/>
            <w:noWrap w:val="0"/>
            <w:vAlign w:val="top"/>
          </w:tcPr>
          <w:p w14:paraId="284534F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《国务院关于加强食品等产品安全监督管理的特别规定》第三条第二款  依照法律、行政法规规定生产、销售产品需要取得许可证照或者需要经过认证的，应当按照法定条件、要求从事生产经营活动。不按照法定条件、要求从事生产经营活动或者生产、销售不符合法定要求产品的，由农业、卫生、质检、商务、工商、药品等监督管理部门依据各自职责，没收违法所得、产品和用于违法生产的工具、设备、原材料等物品，货值金额不足 5000 元的，并处 5 万元罚款；货值金额 5000 元以上不足 1 万元的，并处 10 万元罚款；货值金额 1 万元以上的，并处货值金额 10 倍以上 20 倍以下的罚款；造成严重后果的，由原发证部门吊销许可证照；构成非法经营罪或者生产、销售伪劣商品罪等犯罪的，依法追究刑事责任。</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第三款  生产经营者不再符合法定条件、要求，继续从事生产经营活动的，由原发证部门吊销许可证照，并在当地主要媒体上公告被吊销许可证照的生产经营者名单；构成非法经营罪或者生产、销售伪劣商品罪等犯罪的，依法追究刑事责任。</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第四款  依法应当取得许可证照而未取得许可证照从事生产经营活动的，由农业、卫生、质检、商务、工商、药品等监督管理部门依据各自职责，没收违法所得、产品和用于违法生产的工具、设备、原材料等物品，货值金额不足 1 万元的，并处 10 万元罚款；货值金额 1 万元以上的，并处货值金额10 倍以上 20 倍以下的罚款；构成非法经营罪的，依法追究刑事责任。</w:t>
            </w:r>
          </w:p>
        </w:tc>
        <w:tc>
          <w:tcPr>
            <w:tcW w:w="913" w:type="dxa"/>
            <w:shd w:val="clear" w:color="auto" w:fill="auto"/>
            <w:noWrap w:val="0"/>
            <w:vAlign w:val="top"/>
          </w:tcPr>
          <w:p w14:paraId="67A78E0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D450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706CBE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68</w:t>
            </w:r>
          </w:p>
        </w:tc>
        <w:tc>
          <w:tcPr>
            <w:tcW w:w="2625" w:type="dxa"/>
            <w:shd w:val="clear" w:color="auto" w:fill="auto"/>
            <w:noWrap w:val="0"/>
            <w:vAlign w:val="center"/>
          </w:tcPr>
          <w:p w14:paraId="0915C40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对农产品运载工具、垫料、包装物、容器等不符合卫生、植物检疫和动物防疫条件，或将农产品与有毒有害物品混装运输的行政处罚</w:t>
            </w:r>
          </w:p>
        </w:tc>
        <w:tc>
          <w:tcPr>
            <w:tcW w:w="1391" w:type="dxa"/>
            <w:noWrap w:val="0"/>
            <w:vAlign w:val="center"/>
          </w:tcPr>
          <w:p w14:paraId="320EBC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《四川省〈中华人民共和国农产品质量安全法〉实施办法》</w:t>
            </w:r>
          </w:p>
        </w:tc>
        <w:tc>
          <w:tcPr>
            <w:tcW w:w="1240" w:type="dxa"/>
            <w:noWrap w:val="0"/>
            <w:vAlign w:val="center"/>
          </w:tcPr>
          <w:p w14:paraId="513ABF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5E682C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2009年3月24日</w:t>
            </w:r>
          </w:p>
        </w:tc>
        <w:tc>
          <w:tcPr>
            <w:tcW w:w="1145" w:type="dxa"/>
            <w:noWrap w:val="0"/>
            <w:vAlign w:val="center"/>
          </w:tcPr>
          <w:p w14:paraId="60101C4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2A4758C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《四川省〈中华人民共和国农产品质量安全法〉实施办法》第二十四条第一款  农产品的运载工具、垫料、包装物、容器等应当符合国家规定的卫生、植物检疫和动物防疫条件，不得将农产品与有毒有害物品混装运输。</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第四十五条  违反本办法第二十四条第一款规定的，由县级以上地方人民政府农业行政主管部门或者其他有关部门责令改正，监督其对被污染的农产品进行无害化处理；对不能进行无害化处理的，予以监督销毁，并处 5000 元以上 2 万元以下罚款。</w:t>
            </w:r>
          </w:p>
        </w:tc>
        <w:tc>
          <w:tcPr>
            <w:tcW w:w="913" w:type="dxa"/>
            <w:shd w:val="clear" w:color="auto" w:fill="auto"/>
            <w:noWrap w:val="0"/>
            <w:vAlign w:val="top"/>
          </w:tcPr>
          <w:p w14:paraId="4ADB862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4A6F6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9" w:hRule="atLeast"/>
          <w:jc w:val="center"/>
        </w:trPr>
        <w:tc>
          <w:tcPr>
            <w:tcW w:w="566" w:type="dxa"/>
            <w:noWrap w:val="0"/>
            <w:vAlign w:val="center"/>
          </w:tcPr>
          <w:p w14:paraId="155F57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69</w:t>
            </w:r>
          </w:p>
        </w:tc>
        <w:tc>
          <w:tcPr>
            <w:tcW w:w="2625" w:type="dxa"/>
            <w:shd w:val="clear" w:color="auto" w:fill="auto"/>
            <w:noWrap w:val="0"/>
            <w:vAlign w:val="center"/>
          </w:tcPr>
          <w:p w14:paraId="32650511">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对未按照规定登记、使用拖拉机、联合收割机的行政处罚</w:t>
            </w:r>
          </w:p>
        </w:tc>
        <w:tc>
          <w:tcPr>
            <w:tcW w:w="1391" w:type="dxa"/>
            <w:noWrap w:val="0"/>
            <w:vAlign w:val="center"/>
          </w:tcPr>
          <w:p w14:paraId="71FC79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《农业机械安全监督管理条例》</w:t>
            </w:r>
          </w:p>
        </w:tc>
        <w:tc>
          <w:tcPr>
            <w:tcW w:w="1240" w:type="dxa"/>
            <w:noWrap w:val="0"/>
            <w:vAlign w:val="center"/>
          </w:tcPr>
          <w:p w14:paraId="7F65E8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214" w:type="dxa"/>
            <w:noWrap w:val="0"/>
            <w:vAlign w:val="center"/>
          </w:tcPr>
          <w:p w14:paraId="3F151C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2019年3月2日</w:t>
            </w:r>
          </w:p>
        </w:tc>
        <w:tc>
          <w:tcPr>
            <w:tcW w:w="1145" w:type="dxa"/>
            <w:noWrap w:val="0"/>
            <w:vAlign w:val="center"/>
          </w:tcPr>
          <w:p w14:paraId="3DF798B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责令限期补办相关手续</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责令停止使用</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741A01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《农业机械安全监督管理条例》第五十条  未按照规定办理登记手续并取得相应的证书和牌照，擅自将拖拉机、联合收割机投入使用，或者未按照规定办理变更登记手续的，由县级以上地方人民政府农业机械化主管部门责令限期补办相关手续；逾期不补办的，责令停止使用；拒不停止使用的，扣押拖拉机、联合收割机，并处 200 元以上 2000 元以下罚款。</w:t>
            </w:r>
          </w:p>
          <w:p w14:paraId="7CC52C2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当事人补办相关手续的，应当及时退还扣押的拖拉机、联合收割机。</w:t>
            </w:r>
          </w:p>
        </w:tc>
        <w:tc>
          <w:tcPr>
            <w:tcW w:w="913" w:type="dxa"/>
            <w:shd w:val="clear" w:color="auto" w:fill="auto"/>
            <w:noWrap w:val="0"/>
            <w:vAlign w:val="top"/>
          </w:tcPr>
          <w:p w14:paraId="67FE834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7AC81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AA91B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70</w:t>
            </w:r>
          </w:p>
        </w:tc>
        <w:tc>
          <w:tcPr>
            <w:tcW w:w="2625" w:type="dxa"/>
            <w:shd w:val="clear" w:color="auto" w:fill="auto"/>
            <w:noWrap w:val="0"/>
            <w:vAlign w:val="center"/>
          </w:tcPr>
          <w:p w14:paraId="0FD1713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对未取得操作证件操作拖拉机、联合收割机的行政处罚</w:t>
            </w:r>
          </w:p>
        </w:tc>
        <w:tc>
          <w:tcPr>
            <w:tcW w:w="1391" w:type="dxa"/>
            <w:noWrap w:val="0"/>
            <w:vAlign w:val="center"/>
          </w:tcPr>
          <w:p w14:paraId="71C054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《农业机械安全监督管理条例》</w:t>
            </w:r>
          </w:p>
        </w:tc>
        <w:tc>
          <w:tcPr>
            <w:tcW w:w="1240" w:type="dxa"/>
            <w:noWrap w:val="0"/>
            <w:vAlign w:val="center"/>
          </w:tcPr>
          <w:p w14:paraId="2EDF5B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cs="宋体"/>
                <w:i w:val="0"/>
                <w:iCs w:val="0"/>
                <w:caps w:val="0"/>
                <w:color w:val="auto"/>
                <w:spacing w:val="0"/>
                <w:sz w:val="21"/>
                <w:szCs w:val="21"/>
                <w:lang w:eastAsia="zh-CN"/>
              </w:rPr>
              <w:t>国务院</w:t>
            </w:r>
          </w:p>
        </w:tc>
        <w:tc>
          <w:tcPr>
            <w:tcW w:w="1214" w:type="dxa"/>
            <w:noWrap w:val="0"/>
            <w:vAlign w:val="center"/>
          </w:tcPr>
          <w:p w14:paraId="5A6851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2019年3月2日</w:t>
            </w:r>
          </w:p>
        </w:tc>
        <w:tc>
          <w:tcPr>
            <w:tcW w:w="1145" w:type="dxa"/>
            <w:noWrap w:val="0"/>
            <w:vAlign w:val="center"/>
          </w:tcPr>
          <w:p w14:paraId="6017A93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6015ED2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《农业机械安全监督管理条例》第五十二条  未取得拖拉机、联合收割机操作证件而操作拖拉机、联合收割机的，由县级以上地方人民政府农业机械化主管部门责令改正，处 100 元以上 500 元以下罚款。</w:t>
            </w:r>
          </w:p>
        </w:tc>
        <w:tc>
          <w:tcPr>
            <w:tcW w:w="913" w:type="dxa"/>
            <w:shd w:val="clear" w:color="auto" w:fill="auto"/>
            <w:noWrap w:val="0"/>
            <w:vAlign w:val="top"/>
          </w:tcPr>
          <w:p w14:paraId="0F09F29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3B6AD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6C8272A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71</w:t>
            </w:r>
          </w:p>
        </w:tc>
        <w:tc>
          <w:tcPr>
            <w:tcW w:w="2625" w:type="dxa"/>
            <w:shd w:val="clear" w:color="auto" w:fill="auto"/>
            <w:noWrap w:val="0"/>
            <w:vAlign w:val="center"/>
          </w:tcPr>
          <w:p w14:paraId="1C87D0E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对未按照规定操作拖拉机、联合收割机的行政处罚</w:t>
            </w:r>
          </w:p>
        </w:tc>
        <w:tc>
          <w:tcPr>
            <w:tcW w:w="1391" w:type="dxa"/>
            <w:noWrap w:val="0"/>
            <w:vAlign w:val="center"/>
          </w:tcPr>
          <w:p w14:paraId="37FAA9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《农业机械安全监督管理条例》</w:t>
            </w:r>
          </w:p>
        </w:tc>
        <w:tc>
          <w:tcPr>
            <w:tcW w:w="1240" w:type="dxa"/>
            <w:noWrap w:val="0"/>
            <w:vAlign w:val="center"/>
          </w:tcPr>
          <w:p w14:paraId="60B901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cs="宋体"/>
                <w:i w:val="0"/>
                <w:iCs w:val="0"/>
                <w:caps w:val="0"/>
                <w:color w:val="auto"/>
                <w:spacing w:val="0"/>
                <w:sz w:val="21"/>
                <w:szCs w:val="21"/>
                <w:lang w:eastAsia="zh-CN"/>
              </w:rPr>
              <w:t>国务院</w:t>
            </w:r>
          </w:p>
        </w:tc>
        <w:tc>
          <w:tcPr>
            <w:tcW w:w="1214" w:type="dxa"/>
            <w:noWrap w:val="0"/>
            <w:vAlign w:val="center"/>
          </w:tcPr>
          <w:p w14:paraId="32F3D6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2019年3月2日</w:t>
            </w:r>
          </w:p>
        </w:tc>
        <w:tc>
          <w:tcPr>
            <w:tcW w:w="1145" w:type="dxa"/>
            <w:noWrap w:val="0"/>
            <w:vAlign w:val="center"/>
          </w:tcPr>
          <w:p w14:paraId="22FC947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60356D3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《农业机械安全监督管理条例》第五十三条  拖拉机、联合收割机操作人员操作与本人操作证件规定不相符的拖拉机、联合收割机，或者操作未按照规定登记、检验或者检验不合格、安全设施不全、机件失效的拖拉机、联合收割机，或者使用国家管制的精神药品、麻醉品后操作拖拉机、联合收割机，或者患有妨碍安全操作的疾病操作拖拉机、联合收割机的，由县级以上地方人民政府农业机械化主管部门对违法行为人予以批评教育，责令改正；拒不改正的，处 100 元以上 500 元以下罚款；情节严重的，吊销有关人员的操作证件。</w:t>
            </w:r>
          </w:p>
        </w:tc>
        <w:tc>
          <w:tcPr>
            <w:tcW w:w="913" w:type="dxa"/>
            <w:shd w:val="clear" w:color="auto" w:fill="auto"/>
            <w:noWrap w:val="0"/>
            <w:vAlign w:val="top"/>
          </w:tcPr>
          <w:p w14:paraId="20683DE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不含“吊销有关人员的操作证件”。</w:t>
            </w:r>
          </w:p>
        </w:tc>
      </w:tr>
      <w:tr w14:paraId="2912D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F7608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72</w:t>
            </w:r>
          </w:p>
        </w:tc>
        <w:tc>
          <w:tcPr>
            <w:tcW w:w="2625" w:type="dxa"/>
            <w:shd w:val="clear" w:color="auto" w:fill="auto"/>
            <w:noWrap w:val="0"/>
            <w:vAlign w:val="center"/>
          </w:tcPr>
          <w:p w14:paraId="52D2DF79">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对使用拖拉机、联合收割机违反规定载人的行政处罚</w:t>
            </w:r>
          </w:p>
        </w:tc>
        <w:tc>
          <w:tcPr>
            <w:tcW w:w="1391" w:type="dxa"/>
            <w:noWrap w:val="0"/>
            <w:vAlign w:val="center"/>
          </w:tcPr>
          <w:p w14:paraId="2576DB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w:t>
            </w:r>
            <w:r>
              <w:rPr>
                <w:rFonts w:ascii="宋体" w:hAnsi="宋体" w:eastAsia="宋体" w:cs="宋体"/>
                <w:i w:val="0"/>
                <w:iCs w:val="0"/>
                <w:color w:val="auto"/>
                <w:kern w:val="0"/>
                <w:sz w:val="21"/>
                <w:szCs w:val="21"/>
                <w:u w:val="none"/>
                <w:lang w:val="en-US" w:eastAsia="zh-CN" w:bidi="ar"/>
              </w:rPr>
              <w:t>《中华人民共和国农业机械化促进法》</w:t>
            </w:r>
          </w:p>
          <w:p w14:paraId="0A3AC3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2.</w:t>
            </w:r>
            <w:r>
              <w:rPr>
                <w:rFonts w:ascii="宋体" w:hAnsi="宋体" w:eastAsia="宋体" w:cs="宋体"/>
                <w:i w:val="0"/>
                <w:iCs w:val="0"/>
                <w:color w:val="auto"/>
                <w:kern w:val="0"/>
                <w:sz w:val="21"/>
                <w:szCs w:val="21"/>
                <w:u w:val="none"/>
                <w:lang w:val="en-US" w:eastAsia="zh-CN" w:bidi="ar"/>
              </w:rPr>
              <w:t>《农业机械安全监督管理条例》</w:t>
            </w:r>
          </w:p>
        </w:tc>
        <w:tc>
          <w:tcPr>
            <w:tcW w:w="1240" w:type="dxa"/>
            <w:noWrap w:val="0"/>
            <w:vAlign w:val="center"/>
          </w:tcPr>
          <w:p w14:paraId="6640E7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34754B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214" w:type="dxa"/>
            <w:noWrap w:val="0"/>
            <w:vAlign w:val="center"/>
          </w:tcPr>
          <w:p w14:paraId="376C26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2018年10月26日2019年3月2日</w:t>
            </w:r>
          </w:p>
        </w:tc>
        <w:tc>
          <w:tcPr>
            <w:tcW w:w="1145" w:type="dxa"/>
            <w:noWrap w:val="0"/>
            <w:vAlign w:val="center"/>
          </w:tcPr>
          <w:p w14:paraId="612955E5">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p>
        </w:tc>
        <w:tc>
          <w:tcPr>
            <w:tcW w:w="4787" w:type="dxa"/>
            <w:noWrap w:val="0"/>
            <w:vAlign w:val="top"/>
          </w:tcPr>
          <w:p w14:paraId="0335BA62">
            <w:pPr>
              <w:keepNext w:val="0"/>
              <w:keepLines w:val="0"/>
              <w:widowControl/>
              <w:numPr>
                <w:ilvl w:val="0"/>
                <w:numId w:val="5"/>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《中华人民共和国农业机械化促进法》第三十一条  农业机械驾驶、操作人员违反国家规定的安全操作规程，违章作业的，责令改正，依照有关法律、行政法规的规定予以处罚；构成犯罪的，依法追究刑事责任。</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2.《农业机械安全监督管理条例》第五十四条  使用拖拉机、联合收割机违反规定载人的，由县级以上地方人民政府农业机械化主管部门对违法行为人予以批评教育，责令改正；拒不改正的，扣押拖拉机、联合收割机的证书、牌照；情节严重的，吊销有关人员的操作证件。非法从事经营性道路旅客运输的，由交通主管部门依照道路运输管理法律、行政法规处罚。</w:t>
            </w:r>
          </w:p>
          <w:p w14:paraId="4CBB9E3B">
            <w:pPr>
              <w:keepNext w:val="0"/>
              <w:keepLines w:val="0"/>
              <w:widowControl/>
              <w:numPr>
                <w:ilvl w:val="0"/>
                <w:numId w:val="0"/>
              </w:numPr>
              <w:suppressLineNumbers w:val="0"/>
              <w:ind w:left="0" w:leftChars="0" w:firstLine="0" w:firstLineChars="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当事人改正违法行为的，应当及时退还扣押的拖拉机、联合收割机的证书、牌照。</w:t>
            </w:r>
          </w:p>
        </w:tc>
        <w:tc>
          <w:tcPr>
            <w:tcW w:w="913" w:type="dxa"/>
            <w:shd w:val="clear" w:color="auto" w:fill="auto"/>
            <w:noWrap w:val="0"/>
            <w:vAlign w:val="top"/>
          </w:tcPr>
          <w:p w14:paraId="5CB86E0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不含“吊销有关人员的操作证件”。</w:t>
            </w:r>
          </w:p>
        </w:tc>
      </w:tr>
      <w:tr w14:paraId="5F36B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0EC592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73</w:t>
            </w:r>
          </w:p>
        </w:tc>
        <w:tc>
          <w:tcPr>
            <w:tcW w:w="2625" w:type="dxa"/>
            <w:shd w:val="clear" w:color="auto" w:fill="auto"/>
            <w:noWrap w:val="0"/>
            <w:vAlign w:val="center"/>
          </w:tcPr>
          <w:p w14:paraId="7727C419">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对农业机械操作人员违规操作的行政处罚</w:t>
            </w:r>
          </w:p>
        </w:tc>
        <w:tc>
          <w:tcPr>
            <w:tcW w:w="1391" w:type="dxa"/>
            <w:noWrap w:val="0"/>
            <w:vAlign w:val="center"/>
          </w:tcPr>
          <w:p w14:paraId="0C508C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《农业机械安全监督管理条例》</w:t>
            </w:r>
          </w:p>
        </w:tc>
        <w:tc>
          <w:tcPr>
            <w:tcW w:w="1240" w:type="dxa"/>
            <w:noWrap w:val="0"/>
            <w:vAlign w:val="center"/>
          </w:tcPr>
          <w:p w14:paraId="517DD8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214" w:type="dxa"/>
            <w:noWrap w:val="0"/>
            <w:vAlign w:val="center"/>
          </w:tcPr>
          <w:p w14:paraId="0701D7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2019年3月2日</w:t>
            </w:r>
          </w:p>
        </w:tc>
        <w:tc>
          <w:tcPr>
            <w:tcW w:w="1145" w:type="dxa"/>
            <w:noWrap w:val="0"/>
            <w:vAlign w:val="center"/>
          </w:tcPr>
          <w:p w14:paraId="51E4ABA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6FDA97F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《四川省农业机械安全监督管理条例》 第二十八条第一项至第三项、第六项至第八项  农业机械操作人员作业时，应当遵守下列规定：（一）拖拉机、联合收割机应当按照规定粘贴安全反光标识；</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二）农业机械在易燃易爆区作业时，应当有防火防爆等安全防护措施；（三）农业机械及作业场所的危险处应当设置明显警示标志和安全防护设施；（六）农业机械拖带挂车或者牵引（悬挂）配套机具时应当符合国家规定的技术标准，拖拉机以外的其他农业机械不得拖带或者牵引挂车上道路行驶；</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（七）从事有可能被运转机械绞碾伤害的作业时，应当采取安全防护措施；（八）从事植保作业时，应当采取安全防护和防污染措施。</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第二十九条第七项  操作拖拉机、联合收割机应当严格执行有关安全操作规程，不得有下列行为：</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（七）操作拼装或者报废的拖拉机、联合收割机。</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第四十五条  违反本条例第二十八条第一、二、三、六、七、八项和第二十九条第七项规定的，由县级人民政府农业机械化主管部门责令改正，并处以一百元以上五百元以下罚款。</w:t>
            </w:r>
          </w:p>
        </w:tc>
        <w:tc>
          <w:tcPr>
            <w:tcW w:w="913" w:type="dxa"/>
            <w:shd w:val="clear" w:color="auto" w:fill="auto"/>
            <w:noWrap w:val="0"/>
            <w:vAlign w:val="top"/>
          </w:tcPr>
          <w:p w14:paraId="0C255AF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9F09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0A451E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74</w:t>
            </w:r>
          </w:p>
        </w:tc>
        <w:tc>
          <w:tcPr>
            <w:tcW w:w="2625" w:type="dxa"/>
            <w:shd w:val="clear" w:color="auto" w:fill="auto"/>
            <w:noWrap w:val="0"/>
            <w:vAlign w:val="center"/>
          </w:tcPr>
          <w:p w14:paraId="3EFDD24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对影响提灌站正常使用行为的行政处罚</w:t>
            </w:r>
          </w:p>
        </w:tc>
        <w:tc>
          <w:tcPr>
            <w:tcW w:w="1391" w:type="dxa"/>
            <w:noWrap w:val="0"/>
            <w:vAlign w:val="center"/>
          </w:tcPr>
          <w:p w14:paraId="5311A2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《四川省农村机电提灌管理条例》</w:t>
            </w:r>
          </w:p>
        </w:tc>
        <w:tc>
          <w:tcPr>
            <w:tcW w:w="1240" w:type="dxa"/>
            <w:noWrap w:val="0"/>
            <w:vAlign w:val="center"/>
          </w:tcPr>
          <w:p w14:paraId="2DBF16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6D5E4A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2012年7月27日</w:t>
            </w:r>
          </w:p>
        </w:tc>
        <w:tc>
          <w:tcPr>
            <w:tcW w:w="1145" w:type="dxa"/>
            <w:noWrap w:val="0"/>
            <w:vAlign w:val="center"/>
          </w:tcPr>
          <w:p w14:paraId="08C0369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责令停止或者纠正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52EF87A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《四川省农村机电提灌管理条例》第三十八条  违反本条例的规定，有下列行为之一的，由县级以上人民政府农业机械主管部门责令停止或者纠正；拒不停止或者纠正的，可并处 2000 元以下的罚款：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一）堆放妨碍提灌站正常作业和安全生产物品的；（二）兴建妨碍提灌站安全生产建筑物的；（三）种植植物的生长高度影响输电线安全运行的；（四）扰乱农村机电提灌站正常的生产秩序的；（五）堵塞提灌设施进出水管的；（六）擅自在提灌站专用输变电线路上搭线接电，影响输电线路和变压器安全的。</w:t>
            </w:r>
          </w:p>
        </w:tc>
        <w:tc>
          <w:tcPr>
            <w:tcW w:w="913" w:type="dxa"/>
            <w:shd w:val="clear" w:color="auto" w:fill="auto"/>
            <w:noWrap w:val="0"/>
            <w:vAlign w:val="top"/>
          </w:tcPr>
          <w:p w14:paraId="3B7FCD2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6F8B0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0E46CD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75</w:t>
            </w:r>
          </w:p>
        </w:tc>
        <w:tc>
          <w:tcPr>
            <w:tcW w:w="2625" w:type="dxa"/>
            <w:shd w:val="clear" w:color="auto" w:fill="auto"/>
            <w:noWrap w:val="0"/>
            <w:vAlign w:val="center"/>
          </w:tcPr>
          <w:p w14:paraId="20838967">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对养殖者违规使用饲料和添加物质的行政处罚</w:t>
            </w:r>
          </w:p>
        </w:tc>
        <w:tc>
          <w:tcPr>
            <w:tcW w:w="1391" w:type="dxa"/>
            <w:noWrap w:val="0"/>
            <w:vAlign w:val="center"/>
          </w:tcPr>
          <w:p w14:paraId="7F6667D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《饲料和饲料添加剂管理条例》</w:t>
            </w:r>
          </w:p>
        </w:tc>
        <w:tc>
          <w:tcPr>
            <w:tcW w:w="1240" w:type="dxa"/>
            <w:noWrap w:val="0"/>
            <w:vAlign w:val="center"/>
          </w:tcPr>
          <w:p w14:paraId="268ACC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4AA443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2017年3月1日</w:t>
            </w:r>
          </w:p>
        </w:tc>
        <w:tc>
          <w:tcPr>
            <w:tcW w:w="1145" w:type="dxa"/>
            <w:noWrap w:val="0"/>
            <w:vAlign w:val="center"/>
          </w:tcPr>
          <w:p w14:paraId="01EC954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没收违法使用的产品和非法添加物质</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820195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《饲料和饲料添加剂管理条例》第四十七条第一款  养殖者有下列行为之一的，由县级人民政府饲料管理部门没收违法使用的产品和非法添加物质，对单位处 1 万元以上 5 万元以下罚款，对个人处5000 元以下罚款；构成犯罪的，依法追究刑事责任：（一）使用未取得新饲料、新饲料添加剂证书的新饲料、新饲料添加剂或者未取得饲料、饲料添加剂进口登记证的进口饲料、进口饲料添加剂的；（二）使用无产品标签、无生产许可证、无产品质量标准、无产品质量检验合格证的饲料、饲料添加剂的；（三）使用无产品批准文号的饲料添加剂、添加剂预混合饲料的；（四）在饲料或者动物饮用水中添加饲料添加剂，不遵守国务院农业行政主管部门制定的饲料添加剂安全使用规范的；（五）使用自行配制的饲料，不遵守国务院农业行政主管部门制定的自行配制饲料使用规范的；（六）使用限制使用的物质养殖动物，不遵守国务院农业行政主管部门的限制性规定的；（七）在反刍动物饲料中添加乳和乳制品以外的动物源性成分的。</w:t>
            </w:r>
          </w:p>
        </w:tc>
        <w:tc>
          <w:tcPr>
            <w:tcW w:w="913" w:type="dxa"/>
            <w:shd w:val="clear" w:color="auto" w:fill="auto"/>
            <w:noWrap w:val="0"/>
            <w:vAlign w:val="top"/>
          </w:tcPr>
          <w:p w14:paraId="7DEB979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不含“对违反《饲料和饲料添加剂管理条例》第四十七条第一款第四项至第七项的行政处罚”。</w:t>
            </w:r>
          </w:p>
        </w:tc>
      </w:tr>
      <w:tr w14:paraId="582D6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55421F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76</w:t>
            </w:r>
          </w:p>
        </w:tc>
        <w:tc>
          <w:tcPr>
            <w:tcW w:w="2625" w:type="dxa"/>
            <w:shd w:val="clear" w:color="auto" w:fill="auto"/>
            <w:noWrap w:val="0"/>
            <w:vAlign w:val="center"/>
          </w:tcPr>
          <w:p w14:paraId="7B9803D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对在不能从事养殖活动的水域从事养殖业的行政处罚</w:t>
            </w:r>
          </w:p>
        </w:tc>
        <w:tc>
          <w:tcPr>
            <w:tcW w:w="1391" w:type="dxa"/>
            <w:noWrap w:val="0"/>
            <w:vAlign w:val="center"/>
          </w:tcPr>
          <w:p w14:paraId="505315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《四川省〈中华人民共和国渔业法〉实施办法》</w:t>
            </w:r>
          </w:p>
        </w:tc>
        <w:tc>
          <w:tcPr>
            <w:tcW w:w="1240" w:type="dxa"/>
            <w:noWrap w:val="0"/>
            <w:vAlign w:val="center"/>
          </w:tcPr>
          <w:p w14:paraId="3E3726E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0C66E0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2016年11月30日</w:t>
            </w:r>
          </w:p>
        </w:tc>
        <w:tc>
          <w:tcPr>
            <w:tcW w:w="1145" w:type="dxa"/>
            <w:noWrap w:val="0"/>
            <w:vAlign w:val="center"/>
          </w:tcPr>
          <w:p w14:paraId="4EDF89FC">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限期拆除养殖设施，没收渔获物和违法所得</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111D0C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《四川省〈中华人民共和国渔业法〉实施办法》第七条  禁止在生活饮用水地表水源一级保护区和县级以上人民政府确定的不能从事养殖活动的水域从事养殖业。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第三十一条  违反本办法第七条规定，在县级以上人民政府确定的不能从事养殖活动的水域从事养殖业的，责令停止养殖生产，限期拆除养殖设施，没收渔获物和违法所得，可并处 1000 元以上 1 万元以下罚款。</w:t>
            </w:r>
          </w:p>
        </w:tc>
        <w:tc>
          <w:tcPr>
            <w:tcW w:w="913" w:type="dxa"/>
            <w:shd w:val="clear" w:color="auto" w:fill="auto"/>
            <w:noWrap w:val="0"/>
            <w:vAlign w:val="top"/>
          </w:tcPr>
          <w:p w14:paraId="4459876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004E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7AB6B4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77</w:t>
            </w:r>
          </w:p>
        </w:tc>
        <w:tc>
          <w:tcPr>
            <w:tcW w:w="2625" w:type="dxa"/>
            <w:shd w:val="clear" w:color="auto" w:fill="auto"/>
            <w:noWrap w:val="0"/>
            <w:vAlign w:val="center"/>
          </w:tcPr>
          <w:p w14:paraId="179E972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对在禁渔区、禁渔期内从事游钓、水禽放养、扎巢取卵和挖沙取石，或者销售、收购在禁渔区、禁渔期内捕捞的渔获物的行政处罚</w:t>
            </w:r>
          </w:p>
        </w:tc>
        <w:tc>
          <w:tcPr>
            <w:tcW w:w="1391" w:type="dxa"/>
            <w:noWrap w:val="0"/>
            <w:vAlign w:val="center"/>
          </w:tcPr>
          <w:p w14:paraId="29F1B7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《四川省〈中华人民共和国渔业法〉实施办法》</w:t>
            </w:r>
          </w:p>
        </w:tc>
        <w:tc>
          <w:tcPr>
            <w:tcW w:w="1240" w:type="dxa"/>
            <w:noWrap w:val="0"/>
            <w:vAlign w:val="center"/>
          </w:tcPr>
          <w:p w14:paraId="725040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4A9135A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2016年11月30日</w:t>
            </w:r>
          </w:p>
        </w:tc>
        <w:tc>
          <w:tcPr>
            <w:tcW w:w="1145" w:type="dxa"/>
            <w:noWrap w:val="0"/>
            <w:vAlign w:val="center"/>
          </w:tcPr>
          <w:p w14:paraId="272EE5A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警告，责令改正</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没收非法渔获物和违法所得</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2F93D02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《四川省〈中华人民共和国渔业法〉实施办法》第二十六条第三款  在禁渔期和禁渔区内，禁止捕捞作业、游钓和水禽放养，禁止扎巢取卵、挖沙采石，禁止销售、收购在禁渔期和禁渔区内捕捞的渔获物。</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第三十五条  违反本办法第二十六条第三款规定的，按以下规定处罚：（一）在禁渔期和禁渔区内从事游钓和水禽放养及扎巢取卵、挖沙采石的，给予警告，责令改正；拒不改正的，可并处 100 元以上 1000 元以下罚款；（二）销售、收购在禁渔区、禁渔期内捕捞的渔获物的，没收非法渔获物和违法所得，可并处相当于实物价值 1 至 5 倍的罚款。</w:t>
            </w:r>
          </w:p>
        </w:tc>
        <w:tc>
          <w:tcPr>
            <w:tcW w:w="913" w:type="dxa"/>
            <w:shd w:val="clear" w:color="auto" w:fill="auto"/>
            <w:noWrap w:val="0"/>
            <w:vAlign w:val="top"/>
          </w:tcPr>
          <w:p w14:paraId="25D1828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07F90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DA0BF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78</w:t>
            </w:r>
          </w:p>
        </w:tc>
        <w:tc>
          <w:tcPr>
            <w:tcW w:w="2625" w:type="dxa"/>
            <w:shd w:val="clear" w:color="auto" w:fill="auto"/>
            <w:noWrap w:val="0"/>
            <w:vAlign w:val="center"/>
          </w:tcPr>
          <w:p w14:paraId="05D275B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对未经定点从事生猪屠宰活动，冒用、使用伪造、出借、转让生猪定点屠宰证书或者生猪定点屠宰标志牌的行政处罚</w:t>
            </w:r>
          </w:p>
        </w:tc>
        <w:tc>
          <w:tcPr>
            <w:tcW w:w="1391" w:type="dxa"/>
            <w:noWrap w:val="0"/>
            <w:vAlign w:val="center"/>
          </w:tcPr>
          <w:p w14:paraId="0A8EF9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《生猪屠宰管理条例》</w:t>
            </w:r>
          </w:p>
        </w:tc>
        <w:tc>
          <w:tcPr>
            <w:tcW w:w="1240" w:type="dxa"/>
            <w:noWrap w:val="0"/>
            <w:vAlign w:val="center"/>
          </w:tcPr>
          <w:p w14:paraId="7D97E0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6A6649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2021年6月25日</w:t>
            </w:r>
          </w:p>
        </w:tc>
        <w:tc>
          <w:tcPr>
            <w:tcW w:w="1145" w:type="dxa"/>
            <w:noWrap w:val="0"/>
            <w:vAlign w:val="center"/>
          </w:tcPr>
          <w:p w14:paraId="0FCB496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责令关闭</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没收生猪、生猪产品、屠宰工具和设备以及违法所得</w:t>
            </w:r>
            <w:r>
              <w:rPr>
                <w:rFonts w:hint="eastAsia" w:ascii="宋体" w:hAnsi="宋体" w:cs="宋体"/>
                <w:i w:val="0"/>
                <w:iCs w:val="0"/>
                <w:color w:val="auto"/>
                <w:kern w:val="0"/>
                <w:sz w:val="21"/>
                <w:szCs w:val="21"/>
                <w:u w:val="none"/>
                <w:lang w:val="en-US" w:eastAsia="zh-CN" w:bidi="ar"/>
              </w:rPr>
              <w:t>，罚款</w:t>
            </w:r>
          </w:p>
        </w:tc>
        <w:tc>
          <w:tcPr>
            <w:tcW w:w="4787" w:type="dxa"/>
            <w:shd w:val="clear" w:color="auto" w:fill="auto"/>
            <w:noWrap w:val="0"/>
            <w:vAlign w:val="top"/>
          </w:tcPr>
          <w:p w14:paraId="03602F4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《生猪屠宰管理条例》第三十一条  违反本条例规定，未经定点从事生猪屠宰活动的，由农业农村主管部门责令关闭，没收生猪、生猪产品、屠宰工具和设备以及违法所得；货值金额不足 1 万元的，并处 5 万元以上 10 万元以下的罚款；货值金额 1 万元以上的，并处货值金额 10 倍以上 20 倍以下的罚款。</w:t>
            </w:r>
          </w:p>
          <w:p w14:paraId="066DEB1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冒用或者使用伪造的生猪定点屠宰证书或者生猪定点屠宰标志牌的，依照前款的规定处罚。</w:t>
            </w:r>
          </w:p>
          <w:p w14:paraId="2FAF74E5">
            <w:pPr>
              <w:keepNext w:val="0"/>
              <w:keepLines w:val="0"/>
              <w:widowControl/>
              <w:suppressLineNumbers w:val="0"/>
              <w:jc w:val="left"/>
              <w:textAlignment w:val="top"/>
              <w:rPr>
                <w:rFonts w:ascii="宋体" w:hAnsi="宋体" w:eastAsia="宋体" w:cs="宋体"/>
                <w:i w:val="0"/>
                <w:iCs w:val="0"/>
                <w:color w:val="auto"/>
                <w:kern w:val="2"/>
                <w:sz w:val="21"/>
                <w:szCs w:val="21"/>
                <w:u w:val="none"/>
                <w:lang w:val="en-US" w:eastAsia="zh-CN" w:bidi="ar-SA"/>
              </w:rPr>
            </w:pPr>
            <w:r>
              <w:rPr>
                <w:rFonts w:ascii="宋体" w:hAnsi="宋体" w:eastAsia="宋体" w:cs="宋体"/>
                <w:i w:val="0"/>
                <w:iCs w:val="0"/>
                <w:color w:val="auto"/>
                <w:kern w:val="0"/>
                <w:sz w:val="21"/>
                <w:szCs w:val="21"/>
                <w:u w:val="none"/>
                <w:lang w:val="en-US" w:eastAsia="zh-CN" w:bidi="ar"/>
              </w:rPr>
              <w:t>生猪定点屠宰厂（场）出借、转让生猪定点屠宰证书或者生猪定点屠宰标志牌的，由设区的市级人民政府吊销生猪定点屠宰证书，收回生猪定点屠宰标志牌；有违法所得的，由农业农村主管部门没收违法所得，并处 5 万元以上 10 万元以下的罚款。</w:t>
            </w:r>
          </w:p>
        </w:tc>
        <w:tc>
          <w:tcPr>
            <w:tcW w:w="913" w:type="dxa"/>
            <w:shd w:val="clear" w:color="auto" w:fill="auto"/>
            <w:noWrap w:val="0"/>
            <w:vAlign w:val="top"/>
          </w:tcPr>
          <w:p w14:paraId="78AC418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不含“对出借、转让生猪定点屠宰证书或者生猪定点屠宰标志牌的行政处罚”</w:t>
            </w:r>
          </w:p>
        </w:tc>
      </w:tr>
      <w:tr w14:paraId="307CE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9B6D3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79</w:t>
            </w:r>
          </w:p>
        </w:tc>
        <w:tc>
          <w:tcPr>
            <w:tcW w:w="2625" w:type="dxa"/>
            <w:shd w:val="clear" w:color="auto" w:fill="auto"/>
            <w:noWrap w:val="0"/>
            <w:vAlign w:val="center"/>
          </w:tcPr>
          <w:p w14:paraId="6FE992A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对为违法生猪屠宰相关活动提供场所的行政处罚</w:t>
            </w:r>
          </w:p>
        </w:tc>
        <w:tc>
          <w:tcPr>
            <w:tcW w:w="1391" w:type="dxa"/>
            <w:noWrap w:val="0"/>
            <w:vAlign w:val="center"/>
          </w:tcPr>
          <w:p w14:paraId="3080D3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《生猪屠宰管理条例》</w:t>
            </w:r>
          </w:p>
        </w:tc>
        <w:tc>
          <w:tcPr>
            <w:tcW w:w="1240" w:type="dxa"/>
            <w:noWrap w:val="0"/>
            <w:vAlign w:val="center"/>
          </w:tcPr>
          <w:p w14:paraId="272065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5343E1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2021年6月25日</w:t>
            </w:r>
          </w:p>
        </w:tc>
        <w:tc>
          <w:tcPr>
            <w:tcW w:w="1145" w:type="dxa"/>
            <w:noWrap w:val="0"/>
            <w:vAlign w:val="center"/>
          </w:tcPr>
          <w:p w14:paraId="6803EF7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责令改正，没收违法所得</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0107B3E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《生猪屠宰管理条例》第三十七条  违反本条例规定，为未经定点违法从事生猪屠宰活动的单位和个人提供生猪屠宰场所或者生猪产品储存设施，或者为对生猪、生猪产品注水或者注入其他物质的单位和个人提供场所的，由农业农村主管部门责令改正，没收违法所得，并处 5 万元以上 10 万以下的罚款。</w:t>
            </w:r>
          </w:p>
        </w:tc>
        <w:tc>
          <w:tcPr>
            <w:tcW w:w="913" w:type="dxa"/>
            <w:shd w:val="clear" w:color="auto" w:fill="auto"/>
            <w:noWrap w:val="0"/>
            <w:vAlign w:val="top"/>
          </w:tcPr>
          <w:p w14:paraId="11A04BF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不含“对为对生猪、生猪产品注水或者注入其他物质的单位和个人提供场所的行政处罚”。</w:t>
            </w:r>
          </w:p>
        </w:tc>
      </w:tr>
      <w:tr w14:paraId="1B823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535F2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80</w:t>
            </w:r>
          </w:p>
        </w:tc>
        <w:tc>
          <w:tcPr>
            <w:tcW w:w="2625" w:type="dxa"/>
            <w:shd w:val="clear" w:color="auto" w:fill="auto"/>
            <w:noWrap w:val="0"/>
            <w:vAlign w:val="center"/>
          </w:tcPr>
          <w:p w14:paraId="37C33117">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对未取得农药经营许可证经营农药的行政处罚</w:t>
            </w:r>
          </w:p>
        </w:tc>
        <w:tc>
          <w:tcPr>
            <w:tcW w:w="1391" w:type="dxa"/>
            <w:noWrap w:val="0"/>
            <w:vAlign w:val="center"/>
          </w:tcPr>
          <w:p w14:paraId="6BBA46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1.《农药管理条例》</w:t>
            </w:r>
          </w:p>
          <w:p w14:paraId="4059B2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2.《农药经营许可管理办法》</w:t>
            </w:r>
          </w:p>
        </w:tc>
        <w:tc>
          <w:tcPr>
            <w:tcW w:w="1240" w:type="dxa"/>
            <w:noWrap w:val="0"/>
            <w:vAlign w:val="center"/>
          </w:tcPr>
          <w:p w14:paraId="416A5E9E">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10F19E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214" w:type="dxa"/>
            <w:noWrap w:val="0"/>
            <w:vAlign w:val="center"/>
          </w:tcPr>
          <w:p w14:paraId="5540A5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2022年3月29日2017年6月21日</w:t>
            </w:r>
          </w:p>
        </w:tc>
        <w:tc>
          <w:tcPr>
            <w:tcW w:w="1145" w:type="dxa"/>
            <w:noWrap w:val="0"/>
            <w:vAlign w:val="center"/>
          </w:tcPr>
          <w:p w14:paraId="33C72F6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责令停止经营，没收违法所得、违法经营的农药和用于违法经营的工具、设备等</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6DFAA53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1.《农药管理条例》第五十五条第一款第一项  农药经营者有下列行为之一的，由县级以上地方人民政府农业主管部门责令停止经营，没收违法所得、违法经营的农药和用于违法经营的工具、设备等，违法经营的农药货值金额不足 1 万元的，并处 5000 元以上 5 万元以下罚款，货值金额 1 万元以上的，并处货值金额 5 倍以上 10 倍以下罚款；构成犯罪的，依法追究刑事责任：（一）违反本条例规定，未取得农药经营许可证经营农药。</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2.《农药经营许可管理办法》第二十一条  限制使用农药不得利用互联网经营。利用互联网经营其他农药的，应当取得农药经营许可证。超出经营范围经营限制使用农药，或者利用互联网经营限制使用农药的，按照未取得农药经营许可证处理。</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第三十条  农药经营者违法从事农药经营活动的，按照《农药管理条例》的规定处罚；构成犯罪的，依法追究刑事责任。</w:t>
            </w:r>
          </w:p>
        </w:tc>
        <w:tc>
          <w:tcPr>
            <w:tcW w:w="913" w:type="dxa"/>
            <w:shd w:val="clear" w:color="auto" w:fill="auto"/>
            <w:noWrap w:val="0"/>
            <w:vAlign w:val="top"/>
          </w:tcPr>
          <w:p w14:paraId="2D9BFEA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25B1D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58881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81</w:t>
            </w:r>
          </w:p>
        </w:tc>
        <w:tc>
          <w:tcPr>
            <w:tcW w:w="2625" w:type="dxa"/>
            <w:shd w:val="clear" w:color="auto" w:fill="auto"/>
            <w:noWrap w:val="0"/>
            <w:vAlign w:val="center"/>
          </w:tcPr>
          <w:p w14:paraId="379FFF5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对向未取得农药生产许可证的农药生产企业或者未取得农药经营许可证的其他农药经营者采购农药的行政处罚</w:t>
            </w:r>
          </w:p>
        </w:tc>
        <w:tc>
          <w:tcPr>
            <w:tcW w:w="1391" w:type="dxa"/>
            <w:noWrap w:val="0"/>
            <w:vAlign w:val="center"/>
          </w:tcPr>
          <w:p w14:paraId="4E0D93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40" w:type="dxa"/>
            <w:noWrap w:val="0"/>
            <w:vAlign w:val="center"/>
          </w:tcPr>
          <w:p w14:paraId="7E7A1F0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7A51EE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214" w:type="dxa"/>
            <w:noWrap w:val="0"/>
            <w:vAlign w:val="center"/>
          </w:tcPr>
          <w:p w14:paraId="5E1378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145" w:type="dxa"/>
            <w:noWrap w:val="0"/>
            <w:vAlign w:val="center"/>
          </w:tcPr>
          <w:p w14:paraId="6D39C57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没收违法所得和违法经营的农药</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12CEA65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《农药管理条例》第五十七条第二项  农药经营者有下列行为之一的，由县级以上地方人民政府农业主管部门责令改正，没收违法所得和违法经营的农药，并处 5000 元以上 5 万元以下罚款；拒不改正或者情节严重的，由发证机关吊销农药经营许可证：（二）向未取得农药生产许可证的农药生产企业或者未取得农药经营许可证的其他农药经营者采购农药。</w:t>
            </w:r>
          </w:p>
        </w:tc>
        <w:tc>
          <w:tcPr>
            <w:tcW w:w="913" w:type="dxa"/>
            <w:shd w:val="clear" w:color="auto" w:fill="auto"/>
            <w:noWrap w:val="0"/>
            <w:vAlign w:val="top"/>
          </w:tcPr>
          <w:p w14:paraId="6B5A9F1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不含“吊销农药经营许可证”。</w:t>
            </w:r>
          </w:p>
        </w:tc>
      </w:tr>
      <w:tr w14:paraId="207B0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5AAA5A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82</w:t>
            </w:r>
          </w:p>
        </w:tc>
        <w:tc>
          <w:tcPr>
            <w:tcW w:w="2625" w:type="dxa"/>
            <w:shd w:val="clear" w:color="auto" w:fill="auto"/>
            <w:noWrap w:val="0"/>
            <w:vAlign w:val="center"/>
          </w:tcPr>
          <w:p w14:paraId="2208E8B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对采购、销售未附具产品质量检验合格证或者包装、标签不符合规定的农药的行政处罚</w:t>
            </w:r>
          </w:p>
        </w:tc>
        <w:tc>
          <w:tcPr>
            <w:tcW w:w="1391" w:type="dxa"/>
            <w:noWrap w:val="0"/>
            <w:vAlign w:val="center"/>
          </w:tcPr>
          <w:p w14:paraId="74D745E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40" w:type="dxa"/>
            <w:noWrap w:val="0"/>
            <w:vAlign w:val="center"/>
          </w:tcPr>
          <w:p w14:paraId="2981E61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5FDC29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214" w:type="dxa"/>
            <w:noWrap w:val="0"/>
            <w:vAlign w:val="center"/>
          </w:tcPr>
          <w:p w14:paraId="22F008E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145" w:type="dxa"/>
            <w:noWrap w:val="0"/>
            <w:vAlign w:val="center"/>
          </w:tcPr>
          <w:p w14:paraId="497ED33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没收违法所得和违法经营的农药</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7F9C20C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《农药管理条例》第五十七条第三项  农药经营者有下列行为之一的，由县级以上地方人民政府农业主管部门责令改正，没收违法所得和违法经营的农药，并处 5000 元以上 5 万元以下罚款；拒不改正或者情节严重的，由发证机关吊销农药经营许可证：（三）采购、销售未附具产品质量检验合格证或者包装、标签不符合规定的农药。</w:t>
            </w:r>
          </w:p>
        </w:tc>
        <w:tc>
          <w:tcPr>
            <w:tcW w:w="913" w:type="dxa"/>
            <w:shd w:val="clear" w:color="auto" w:fill="auto"/>
            <w:noWrap w:val="0"/>
            <w:vAlign w:val="top"/>
          </w:tcPr>
          <w:p w14:paraId="38702BF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不含“吊销农药经营许可证”。</w:t>
            </w:r>
          </w:p>
        </w:tc>
      </w:tr>
      <w:tr w14:paraId="285F4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61B97B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83</w:t>
            </w:r>
          </w:p>
        </w:tc>
        <w:tc>
          <w:tcPr>
            <w:tcW w:w="2625" w:type="dxa"/>
            <w:shd w:val="clear" w:color="auto" w:fill="auto"/>
            <w:noWrap w:val="0"/>
            <w:vAlign w:val="center"/>
          </w:tcPr>
          <w:p w14:paraId="581BE93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对不停止销售依法应当召回的农药的行政处罚</w:t>
            </w:r>
          </w:p>
        </w:tc>
        <w:tc>
          <w:tcPr>
            <w:tcW w:w="1391" w:type="dxa"/>
            <w:noWrap w:val="0"/>
            <w:vAlign w:val="center"/>
          </w:tcPr>
          <w:p w14:paraId="648A8F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40" w:type="dxa"/>
            <w:noWrap w:val="0"/>
            <w:vAlign w:val="center"/>
          </w:tcPr>
          <w:p w14:paraId="3ECA6638">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33D4F5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214" w:type="dxa"/>
            <w:noWrap w:val="0"/>
            <w:vAlign w:val="center"/>
          </w:tcPr>
          <w:p w14:paraId="13BD4B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145" w:type="dxa"/>
            <w:noWrap w:val="0"/>
            <w:vAlign w:val="center"/>
          </w:tcPr>
          <w:p w14:paraId="7F47F5B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没收违法所得和违法经营的农药</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02FDBFF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《农药管理条例》第五十七条第四项  农药经营者有下列行为之一的，由县级以上地方人民政府农业主管部门责令改正，没收违法所得和违法经营的农药，并处 5000 元以上 5 万元以下罚款；拒不改正或者情节严重的，由发证机关吊销农药经营许可证：（四）不停止销售依法应当召回的农药。</w:t>
            </w:r>
          </w:p>
        </w:tc>
        <w:tc>
          <w:tcPr>
            <w:tcW w:w="913" w:type="dxa"/>
            <w:shd w:val="clear" w:color="auto" w:fill="auto"/>
            <w:noWrap w:val="0"/>
            <w:vAlign w:val="top"/>
          </w:tcPr>
          <w:p w14:paraId="47BE742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不含“吊销农药经营许可证”。</w:t>
            </w:r>
          </w:p>
        </w:tc>
      </w:tr>
      <w:tr w14:paraId="22A8A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AE3D0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84</w:t>
            </w:r>
          </w:p>
        </w:tc>
        <w:tc>
          <w:tcPr>
            <w:tcW w:w="2625" w:type="dxa"/>
            <w:shd w:val="clear" w:color="auto" w:fill="auto"/>
            <w:noWrap w:val="0"/>
            <w:vAlign w:val="center"/>
          </w:tcPr>
          <w:p w14:paraId="249A16B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对不执行农药采购台账、销售台账制度的行政处罚</w:t>
            </w:r>
          </w:p>
        </w:tc>
        <w:tc>
          <w:tcPr>
            <w:tcW w:w="1391" w:type="dxa"/>
            <w:noWrap w:val="0"/>
            <w:vAlign w:val="center"/>
          </w:tcPr>
          <w:p w14:paraId="08AF5BB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40" w:type="dxa"/>
            <w:noWrap w:val="0"/>
            <w:vAlign w:val="center"/>
          </w:tcPr>
          <w:p w14:paraId="26A5E65B">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7C20E4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214" w:type="dxa"/>
            <w:noWrap w:val="0"/>
            <w:vAlign w:val="center"/>
          </w:tcPr>
          <w:p w14:paraId="0E8C98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145" w:type="dxa"/>
            <w:noWrap w:val="0"/>
            <w:vAlign w:val="center"/>
          </w:tcPr>
          <w:p w14:paraId="3020D1CC">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0C333AF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《农药管理条例》第五十八条第一项  农药经营者有下列行为之一的，由县级以上地方人民政府农业主管部门责令改正；拒不改正或者情节严重的，处 2000 元以上 2 万元以下罚款，并由发证机关吊销农药经营许可证：（一）不执行农药采购台账、销售台账制度。</w:t>
            </w:r>
          </w:p>
        </w:tc>
        <w:tc>
          <w:tcPr>
            <w:tcW w:w="913" w:type="dxa"/>
            <w:shd w:val="clear" w:color="auto" w:fill="auto"/>
            <w:noWrap w:val="0"/>
            <w:vAlign w:val="top"/>
          </w:tcPr>
          <w:p w14:paraId="3FC66AC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不含“吊销农药经营许可证”。</w:t>
            </w:r>
          </w:p>
        </w:tc>
      </w:tr>
      <w:tr w14:paraId="0EE6C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06138D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85</w:t>
            </w:r>
          </w:p>
        </w:tc>
        <w:tc>
          <w:tcPr>
            <w:tcW w:w="2625" w:type="dxa"/>
            <w:shd w:val="clear" w:color="auto" w:fill="auto"/>
            <w:noWrap w:val="0"/>
            <w:vAlign w:val="center"/>
          </w:tcPr>
          <w:p w14:paraId="35A33C9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对在卫生用农药以外的农药经营场所内经营食品、食用农产品、饲料等的行政处罚</w:t>
            </w:r>
          </w:p>
        </w:tc>
        <w:tc>
          <w:tcPr>
            <w:tcW w:w="1391" w:type="dxa"/>
            <w:noWrap w:val="0"/>
            <w:vAlign w:val="center"/>
          </w:tcPr>
          <w:p w14:paraId="3AEAEE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40" w:type="dxa"/>
            <w:noWrap w:val="0"/>
            <w:vAlign w:val="center"/>
          </w:tcPr>
          <w:p w14:paraId="2E69973E">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7E753C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214" w:type="dxa"/>
            <w:noWrap w:val="0"/>
            <w:vAlign w:val="center"/>
          </w:tcPr>
          <w:p w14:paraId="0D4423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145" w:type="dxa"/>
            <w:noWrap w:val="0"/>
            <w:vAlign w:val="center"/>
          </w:tcPr>
          <w:p w14:paraId="3FE05B8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5616A72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《农药管理条例》第五十八条第二项  农药经营者有下列行为之一的，由县级以上地方人民政府农业主管部门责令改正；拒不改正或者情节严重的，处 2000 元以上 2 万元以下罚款，并由发证机关吊销农药经营许可证：（二）在卫生用农药以外的农药经营场所内经营食品、食用农产品、饲料等。</w:t>
            </w:r>
          </w:p>
        </w:tc>
        <w:tc>
          <w:tcPr>
            <w:tcW w:w="913" w:type="dxa"/>
            <w:shd w:val="clear" w:color="auto" w:fill="auto"/>
            <w:noWrap w:val="0"/>
            <w:vAlign w:val="top"/>
          </w:tcPr>
          <w:p w14:paraId="33873FC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不含“吊销农药经营许可证”。</w:t>
            </w:r>
          </w:p>
        </w:tc>
      </w:tr>
      <w:tr w14:paraId="0E0AA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727DD4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86</w:t>
            </w:r>
          </w:p>
        </w:tc>
        <w:tc>
          <w:tcPr>
            <w:tcW w:w="2625" w:type="dxa"/>
            <w:shd w:val="clear" w:color="auto" w:fill="auto"/>
            <w:noWrap w:val="0"/>
            <w:vAlign w:val="center"/>
          </w:tcPr>
          <w:p w14:paraId="66D728F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对未将卫生用农药与其他商品分柜销售的行政处罚</w:t>
            </w:r>
          </w:p>
        </w:tc>
        <w:tc>
          <w:tcPr>
            <w:tcW w:w="1391" w:type="dxa"/>
            <w:noWrap w:val="0"/>
            <w:vAlign w:val="center"/>
          </w:tcPr>
          <w:p w14:paraId="020550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40" w:type="dxa"/>
            <w:noWrap w:val="0"/>
            <w:vAlign w:val="center"/>
          </w:tcPr>
          <w:p w14:paraId="62A4AE51">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20E40F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214" w:type="dxa"/>
            <w:noWrap w:val="0"/>
            <w:vAlign w:val="center"/>
          </w:tcPr>
          <w:p w14:paraId="17CACB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145" w:type="dxa"/>
            <w:noWrap w:val="0"/>
            <w:vAlign w:val="center"/>
          </w:tcPr>
          <w:p w14:paraId="7170702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5A870A6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《农药管理条例》第五十八条第三项  农药经营者有下列行为之一的，由县级以上地方人民政府农业主管部门责令改正；拒不改正或者情节严重的，处 2000 元以上 2 万元以下罚款，并由发证机关吊销农药经营许可证：（三）未将卫生用农药与其他商品分柜销售。</w:t>
            </w:r>
          </w:p>
        </w:tc>
        <w:tc>
          <w:tcPr>
            <w:tcW w:w="913" w:type="dxa"/>
            <w:shd w:val="clear" w:color="auto" w:fill="auto"/>
            <w:noWrap w:val="0"/>
            <w:vAlign w:val="top"/>
          </w:tcPr>
          <w:p w14:paraId="7CD547C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不含“吊销农药经营许可证”。</w:t>
            </w:r>
          </w:p>
        </w:tc>
      </w:tr>
      <w:tr w14:paraId="1ED00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37853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87</w:t>
            </w:r>
          </w:p>
        </w:tc>
        <w:tc>
          <w:tcPr>
            <w:tcW w:w="2625" w:type="dxa"/>
            <w:shd w:val="clear" w:color="auto" w:fill="auto"/>
            <w:noWrap w:val="0"/>
            <w:vAlign w:val="center"/>
          </w:tcPr>
          <w:p w14:paraId="4AA2725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对不履行农药废弃物回收义务的行政处罚</w:t>
            </w:r>
          </w:p>
        </w:tc>
        <w:tc>
          <w:tcPr>
            <w:tcW w:w="1391" w:type="dxa"/>
            <w:noWrap w:val="0"/>
            <w:vAlign w:val="center"/>
          </w:tcPr>
          <w:p w14:paraId="0C244B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40" w:type="dxa"/>
            <w:noWrap w:val="0"/>
            <w:vAlign w:val="center"/>
          </w:tcPr>
          <w:p w14:paraId="657F60E6">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04D6FB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214" w:type="dxa"/>
            <w:noWrap w:val="0"/>
            <w:vAlign w:val="center"/>
          </w:tcPr>
          <w:p w14:paraId="52AFA16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145" w:type="dxa"/>
            <w:noWrap w:val="0"/>
            <w:vAlign w:val="center"/>
          </w:tcPr>
          <w:p w14:paraId="054E53F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4CB2AC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《农药管理条例》第五十八条第四项  农药经营者有下列行为之一的，由县级以上地方人民政府农业主管部门责令改正；拒不改正或者情节严重的，处 2000 元以上 2 万元以下罚款，并由发证机关吊销农药经营许可证：（四）不履行农药废弃物回收义务。</w:t>
            </w:r>
          </w:p>
        </w:tc>
        <w:tc>
          <w:tcPr>
            <w:tcW w:w="913" w:type="dxa"/>
            <w:shd w:val="clear" w:color="auto" w:fill="auto"/>
            <w:noWrap w:val="0"/>
            <w:vAlign w:val="top"/>
          </w:tcPr>
          <w:p w14:paraId="0E50B8A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不含“吊销农药经营许可证”。</w:t>
            </w:r>
          </w:p>
        </w:tc>
      </w:tr>
      <w:tr w14:paraId="1C21E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08DAAEB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88</w:t>
            </w:r>
          </w:p>
        </w:tc>
        <w:tc>
          <w:tcPr>
            <w:tcW w:w="2625" w:type="dxa"/>
            <w:shd w:val="clear" w:color="auto" w:fill="auto"/>
            <w:noWrap w:val="0"/>
            <w:vAlign w:val="center"/>
          </w:tcPr>
          <w:p w14:paraId="3C77377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对农药使用者不按照农药的标签标注的使用范围、使用方法和剂量、使用技术要求和注意事项、安全间隔期使用农药的行政处罚</w:t>
            </w:r>
          </w:p>
        </w:tc>
        <w:tc>
          <w:tcPr>
            <w:tcW w:w="1391" w:type="dxa"/>
            <w:noWrap w:val="0"/>
            <w:vAlign w:val="center"/>
          </w:tcPr>
          <w:p w14:paraId="1BB590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40" w:type="dxa"/>
            <w:noWrap w:val="0"/>
            <w:vAlign w:val="center"/>
          </w:tcPr>
          <w:p w14:paraId="5AF74029">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3FA928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214" w:type="dxa"/>
            <w:noWrap w:val="0"/>
            <w:vAlign w:val="center"/>
          </w:tcPr>
          <w:p w14:paraId="111332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145" w:type="dxa"/>
            <w:noWrap w:val="0"/>
            <w:vAlign w:val="center"/>
          </w:tcPr>
          <w:p w14:paraId="77568F4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7A8E16C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《农药管理条例》第六十条第一款第一项  农药使用者有下列行为之一的，由县级人民政府农业主管部门责令改正，农药使用者为农产品生产企业、食品和食用农产品仓储企业、专业化病虫害防治服务组织和从事农产品生产的农民专业合作社等单位的，处 5 万元以上 10 万元以下罚款，农药使用者为个人的，处 1 万元以下罚款；构成犯罪的，依法追究刑事</w:t>
            </w:r>
            <w:r>
              <w:rPr>
                <w:rFonts w:hint="eastAsia" w:ascii="宋体" w:hAnsi="宋体" w:cs="宋体"/>
                <w:i w:val="0"/>
                <w:iCs w:val="0"/>
                <w:color w:val="auto"/>
                <w:kern w:val="0"/>
                <w:sz w:val="21"/>
                <w:szCs w:val="21"/>
                <w:u w:val="none"/>
                <w:lang w:val="en-US" w:eastAsia="zh-CN" w:bidi="ar"/>
              </w:rPr>
              <w:t>责任</w:t>
            </w:r>
            <w:r>
              <w:rPr>
                <w:rFonts w:ascii="宋体" w:hAnsi="宋体" w:eastAsia="宋体" w:cs="宋体"/>
                <w:i w:val="0"/>
                <w:iCs w:val="0"/>
                <w:color w:val="auto"/>
                <w:kern w:val="0"/>
                <w:sz w:val="21"/>
                <w:szCs w:val="21"/>
                <w:u w:val="none"/>
                <w:lang w:val="en-US" w:eastAsia="zh-CN" w:bidi="ar"/>
              </w:rPr>
              <w:t>：（一）不按照农药的标签标注的使用范围、使用方法和剂量、使用技术要求和注意事项、安全间隔期使用农药。</w:t>
            </w:r>
          </w:p>
        </w:tc>
        <w:tc>
          <w:tcPr>
            <w:tcW w:w="913" w:type="dxa"/>
            <w:shd w:val="clear" w:color="auto" w:fill="auto"/>
            <w:noWrap w:val="0"/>
            <w:vAlign w:val="top"/>
          </w:tcPr>
          <w:p w14:paraId="004F827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不含对农药使用者为农产品生产企业、食品和食用农产品仓储企业、专业化病虫害防治服务组织和从事农产品生产的农民专业合作社等单位的行政处罚。</w:t>
            </w:r>
          </w:p>
        </w:tc>
      </w:tr>
      <w:tr w14:paraId="474AB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99DD7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89</w:t>
            </w:r>
          </w:p>
        </w:tc>
        <w:tc>
          <w:tcPr>
            <w:tcW w:w="2625" w:type="dxa"/>
            <w:shd w:val="clear" w:color="auto" w:fill="auto"/>
            <w:noWrap w:val="0"/>
            <w:vAlign w:val="center"/>
          </w:tcPr>
          <w:p w14:paraId="568AA26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对使用禁用的农药的行政处罚</w:t>
            </w:r>
          </w:p>
        </w:tc>
        <w:tc>
          <w:tcPr>
            <w:tcW w:w="1391" w:type="dxa"/>
            <w:noWrap w:val="0"/>
            <w:vAlign w:val="center"/>
          </w:tcPr>
          <w:p w14:paraId="42EDD5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40" w:type="dxa"/>
            <w:noWrap w:val="0"/>
            <w:vAlign w:val="center"/>
          </w:tcPr>
          <w:p w14:paraId="2297DA28">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1E67AE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214" w:type="dxa"/>
            <w:noWrap w:val="0"/>
            <w:vAlign w:val="center"/>
          </w:tcPr>
          <w:p w14:paraId="11432D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145" w:type="dxa"/>
            <w:noWrap w:val="0"/>
            <w:vAlign w:val="center"/>
          </w:tcPr>
          <w:p w14:paraId="42C9D62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7A7090E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《农药管理条例》第六十条第一款第二项  农药使用者有下列行为之一的，由县级人民政府农业主管部门责令改正，农药使用者为农产品生产企业、食品和食用农产品仓储企业、专业化病虫害防治服务组织和从事农产品生产的农民专业合作社等单位的，处 5 万元以上 10 万元以下罚款，农药使用者为个人的，处 1 万元以下罚款；构成犯罪的，依法追究刑事责任：（二）使用禁用的农药。</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第二款  有前款第二项规定的行为的，县级人民政府农业主管部门还应当没收禁用的农药。</w:t>
            </w:r>
          </w:p>
        </w:tc>
        <w:tc>
          <w:tcPr>
            <w:tcW w:w="913" w:type="dxa"/>
            <w:shd w:val="clear" w:color="auto" w:fill="auto"/>
            <w:noWrap w:val="0"/>
            <w:vAlign w:val="top"/>
          </w:tcPr>
          <w:p w14:paraId="51D07DE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不含对农药使用者为农产品生产企业、食品和食用农产品仓储企业、专业化病虫害防治服务组织和从事农产品生产的农民专业合作社等单位的行政处罚。</w:t>
            </w:r>
          </w:p>
        </w:tc>
      </w:tr>
      <w:tr w14:paraId="6EA5F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6DC365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90</w:t>
            </w:r>
          </w:p>
        </w:tc>
        <w:tc>
          <w:tcPr>
            <w:tcW w:w="2625" w:type="dxa"/>
            <w:shd w:val="clear" w:color="auto" w:fill="auto"/>
            <w:noWrap w:val="0"/>
            <w:vAlign w:val="center"/>
          </w:tcPr>
          <w:p w14:paraId="603196C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对将剧毒、高毒农药用于防治卫生害虫，用于蔬菜、瓜果、茶叶、菌类、中草药材生产或者用于水生植物的病虫害防治的行政处罚</w:t>
            </w:r>
          </w:p>
        </w:tc>
        <w:tc>
          <w:tcPr>
            <w:tcW w:w="1391" w:type="dxa"/>
            <w:noWrap w:val="0"/>
            <w:vAlign w:val="center"/>
          </w:tcPr>
          <w:p w14:paraId="2621A1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40" w:type="dxa"/>
            <w:noWrap w:val="0"/>
            <w:vAlign w:val="center"/>
          </w:tcPr>
          <w:p w14:paraId="7FB93552">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7F0B18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214" w:type="dxa"/>
            <w:noWrap w:val="0"/>
            <w:vAlign w:val="center"/>
          </w:tcPr>
          <w:p w14:paraId="313506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145" w:type="dxa"/>
            <w:noWrap w:val="0"/>
            <w:vAlign w:val="center"/>
          </w:tcPr>
          <w:p w14:paraId="6343AB8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009F778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《农药管理条例》第六十条第一款第三项  农药使用者有下列行为之一的，由县级人民政府农业主管部门责令改正，农药使用者为农产品生产企业、食品和食用农产品仓储企业、专业化病虫害防治服务组织和从事农产品生产的农民专业合作社等单位的，处 5 万元以上 10 万元以下罚款，农药使用者为个人的，处 1 万元以下罚款；构成犯罪的，依法追究刑事责任：（三）将剧毒、高毒农药用于防治卫生害虫，用于蔬菜、瓜果、茶叶、菌类、中草药材生产或者用于水生植物的病虫害防治。</w:t>
            </w:r>
          </w:p>
        </w:tc>
        <w:tc>
          <w:tcPr>
            <w:tcW w:w="913" w:type="dxa"/>
            <w:shd w:val="clear" w:color="auto" w:fill="auto"/>
            <w:noWrap w:val="0"/>
            <w:vAlign w:val="top"/>
          </w:tcPr>
          <w:p w14:paraId="6F7F100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不含对农药使用者为农产品生产企业、食品和食用农产品仓储企业、专业化病虫害防治服务组织和从事农产品生产的农民专业合作社等单位的行政处罚。</w:t>
            </w:r>
          </w:p>
        </w:tc>
      </w:tr>
      <w:tr w14:paraId="69C16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B6898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91</w:t>
            </w:r>
          </w:p>
        </w:tc>
        <w:tc>
          <w:tcPr>
            <w:tcW w:w="2625" w:type="dxa"/>
            <w:shd w:val="clear" w:color="auto" w:fill="auto"/>
            <w:noWrap w:val="0"/>
            <w:vAlign w:val="center"/>
          </w:tcPr>
          <w:p w14:paraId="66BFB45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对使用农药毒鱼、虾、鸟、兽等的行政处罚</w:t>
            </w:r>
          </w:p>
        </w:tc>
        <w:tc>
          <w:tcPr>
            <w:tcW w:w="1391" w:type="dxa"/>
            <w:noWrap w:val="0"/>
            <w:vAlign w:val="center"/>
          </w:tcPr>
          <w:p w14:paraId="1F2681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40" w:type="dxa"/>
            <w:noWrap w:val="0"/>
            <w:vAlign w:val="center"/>
          </w:tcPr>
          <w:p w14:paraId="64290AEB">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143D72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214" w:type="dxa"/>
            <w:noWrap w:val="0"/>
            <w:vAlign w:val="center"/>
          </w:tcPr>
          <w:p w14:paraId="4822816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145" w:type="dxa"/>
            <w:noWrap w:val="0"/>
            <w:vAlign w:val="center"/>
          </w:tcPr>
          <w:p w14:paraId="1C4E750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3648092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《农药管理条例》第六十条第一款第五项  农药使用者有下列行为之一的，由县级人民政府农业主管部门责令改正，农药使用者为农产品生产企业、食品和食用农产品仓储企业、专业化病虫害防治服务组织和从事农产品生产的农民专业合作社等单位的，处 5 万元以上 10 万元以下罚款，农药使用者为个人的，处 1 万元以下罚款；构成犯罪的，依法追究刑事责任：（五）使用农药毒鱼、虾、鸟、兽等。</w:t>
            </w:r>
          </w:p>
        </w:tc>
        <w:tc>
          <w:tcPr>
            <w:tcW w:w="913" w:type="dxa"/>
            <w:shd w:val="clear" w:color="auto" w:fill="auto"/>
            <w:noWrap w:val="0"/>
            <w:vAlign w:val="top"/>
          </w:tcPr>
          <w:p w14:paraId="1A75B71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不含对农药使用者为农产品生产企业、食品和食用农产品仓储企业、专业化病虫害防治服务组织和从事农产品生产的农民专业合作社等单位的行政处罚。</w:t>
            </w:r>
          </w:p>
        </w:tc>
      </w:tr>
      <w:tr w14:paraId="1BDBD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5E152A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92</w:t>
            </w:r>
          </w:p>
        </w:tc>
        <w:tc>
          <w:tcPr>
            <w:tcW w:w="2625" w:type="dxa"/>
            <w:shd w:val="clear" w:color="auto" w:fill="auto"/>
            <w:noWrap w:val="0"/>
            <w:vAlign w:val="center"/>
          </w:tcPr>
          <w:p w14:paraId="0E801FE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对农产品生产企业、食品和食用农产品仓储企业、专业化病虫害防治服务组织和从事农产品生产的农民专业合作社等不执行农药使用记录制度的行政处罚</w:t>
            </w:r>
          </w:p>
        </w:tc>
        <w:tc>
          <w:tcPr>
            <w:tcW w:w="1391" w:type="dxa"/>
            <w:noWrap w:val="0"/>
            <w:vAlign w:val="center"/>
          </w:tcPr>
          <w:p w14:paraId="4174AC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40" w:type="dxa"/>
            <w:noWrap w:val="0"/>
            <w:vAlign w:val="center"/>
          </w:tcPr>
          <w:p w14:paraId="157401EA">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0E01F7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214" w:type="dxa"/>
            <w:noWrap w:val="0"/>
            <w:vAlign w:val="center"/>
          </w:tcPr>
          <w:p w14:paraId="7BE562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145" w:type="dxa"/>
            <w:noWrap w:val="0"/>
            <w:vAlign w:val="center"/>
          </w:tcPr>
          <w:p w14:paraId="34780D6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1C98F7F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《农药管理条例》第六十一条  农产品生产企业、食品和食用农产品仓储企业、专业化病虫害防治服务组织和从事农产品生产的农民专业合作社等不执行农药使用记录制度的，由县级人民政府农业主管部门责令改正；拒不改正或者情节严重的，处 2000 元以上 2 万元以下罚款。</w:t>
            </w:r>
          </w:p>
        </w:tc>
        <w:tc>
          <w:tcPr>
            <w:tcW w:w="913" w:type="dxa"/>
            <w:shd w:val="clear" w:color="auto" w:fill="auto"/>
            <w:noWrap w:val="0"/>
            <w:vAlign w:val="top"/>
          </w:tcPr>
          <w:p w14:paraId="4FE7D8D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7E546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0A8E27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93</w:t>
            </w:r>
          </w:p>
        </w:tc>
        <w:tc>
          <w:tcPr>
            <w:tcW w:w="2625" w:type="dxa"/>
            <w:shd w:val="clear" w:color="auto" w:fill="auto"/>
            <w:noWrap w:val="0"/>
            <w:vAlign w:val="center"/>
          </w:tcPr>
          <w:p w14:paraId="288FF21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对制造、销售禁用的渔具的行政处罚</w:t>
            </w:r>
          </w:p>
        </w:tc>
        <w:tc>
          <w:tcPr>
            <w:tcW w:w="1391" w:type="dxa"/>
            <w:noWrap w:val="0"/>
            <w:vAlign w:val="center"/>
          </w:tcPr>
          <w:p w14:paraId="1C6CE7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《中华人民共和国渔业法》</w:t>
            </w:r>
          </w:p>
        </w:tc>
        <w:tc>
          <w:tcPr>
            <w:tcW w:w="1240" w:type="dxa"/>
            <w:noWrap w:val="0"/>
            <w:vAlign w:val="center"/>
          </w:tcPr>
          <w:p w14:paraId="593F786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214" w:type="dxa"/>
            <w:noWrap w:val="0"/>
            <w:vAlign w:val="center"/>
          </w:tcPr>
          <w:p w14:paraId="06DD744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2013年12月28日</w:t>
            </w:r>
          </w:p>
        </w:tc>
        <w:tc>
          <w:tcPr>
            <w:tcW w:w="1145" w:type="dxa"/>
            <w:noWrap w:val="0"/>
            <w:vAlign w:val="center"/>
          </w:tcPr>
          <w:p w14:paraId="203C3D6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没收非法制造、销售的渔具和违法所得</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27DDC8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《中华人民共和国渔业法》 第三十八条第三款  制造、销售禁用的渔具的，没收非法制造、销售的渔具和违法所得，并处一万元以下的罚款。</w:t>
            </w:r>
          </w:p>
        </w:tc>
        <w:tc>
          <w:tcPr>
            <w:tcW w:w="913" w:type="dxa"/>
            <w:shd w:val="clear" w:color="auto" w:fill="auto"/>
            <w:noWrap w:val="0"/>
            <w:vAlign w:val="top"/>
          </w:tcPr>
          <w:p w14:paraId="02E7F95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2478D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E5160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94</w:t>
            </w:r>
          </w:p>
        </w:tc>
        <w:tc>
          <w:tcPr>
            <w:tcW w:w="2625" w:type="dxa"/>
            <w:shd w:val="clear" w:color="auto" w:fill="auto"/>
            <w:noWrap w:val="0"/>
            <w:vAlign w:val="center"/>
          </w:tcPr>
          <w:p w14:paraId="4F9F73D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对农村村民未经批准或者采取欺骗手段骗取批准，非法占用土地建住宅的行政处罚</w:t>
            </w:r>
          </w:p>
        </w:tc>
        <w:tc>
          <w:tcPr>
            <w:tcW w:w="1391" w:type="dxa"/>
            <w:noWrap w:val="0"/>
            <w:vAlign w:val="center"/>
          </w:tcPr>
          <w:p w14:paraId="492776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《中华人民共和国土地管理法》</w:t>
            </w:r>
          </w:p>
        </w:tc>
        <w:tc>
          <w:tcPr>
            <w:tcW w:w="1240" w:type="dxa"/>
            <w:noWrap w:val="0"/>
            <w:vAlign w:val="center"/>
          </w:tcPr>
          <w:p w14:paraId="0FDCD2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214" w:type="dxa"/>
            <w:noWrap w:val="0"/>
            <w:vAlign w:val="center"/>
          </w:tcPr>
          <w:p w14:paraId="75F36A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019</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8</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26</w:t>
            </w:r>
            <w:r>
              <w:rPr>
                <w:rFonts w:hint="eastAsia" w:ascii="宋体" w:hAnsi="宋体" w:eastAsia="宋体" w:cs="宋体"/>
                <w:i w:val="0"/>
                <w:iCs w:val="0"/>
                <w:caps w:val="0"/>
                <w:color w:val="auto"/>
                <w:spacing w:val="0"/>
                <w:sz w:val="21"/>
                <w:szCs w:val="21"/>
              </w:rPr>
              <w:t>日</w:t>
            </w:r>
          </w:p>
        </w:tc>
        <w:tc>
          <w:tcPr>
            <w:tcW w:w="1145" w:type="dxa"/>
            <w:noWrap w:val="0"/>
            <w:vAlign w:val="center"/>
          </w:tcPr>
          <w:p w14:paraId="6D33B37C">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责令退还</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限期拆除</w:t>
            </w:r>
          </w:p>
        </w:tc>
        <w:tc>
          <w:tcPr>
            <w:tcW w:w="4787" w:type="dxa"/>
            <w:noWrap w:val="0"/>
            <w:vAlign w:val="top"/>
          </w:tcPr>
          <w:p w14:paraId="58590E7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《中华人民共和国土地管理法》第七十八条  农村村民未经批准或者采取欺骗手段骗取批准，非法占用土地建住宅的，由县级以上人民政府农业农村主管部门责令退还非法占用的土地，限期拆除在非法占用的土地上新建的房屋。</w:t>
            </w:r>
          </w:p>
          <w:p w14:paraId="796290F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超过省、自治区、直辖市规定的标准，多占的土地以非法占用土地论处。</w:t>
            </w:r>
          </w:p>
        </w:tc>
        <w:tc>
          <w:tcPr>
            <w:tcW w:w="913" w:type="dxa"/>
            <w:shd w:val="clear" w:color="auto" w:fill="auto"/>
            <w:noWrap w:val="0"/>
            <w:vAlign w:val="top"/>
          </w:tcPr>
          <w:p w14:paraId="65CB0D2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7E1FE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540C43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95</w:t>
            </w:r>
          </w:p>
        </w:tc>
        <w:tc>
          <w:tcPr>
            <w:tcW w:w="2625" w:type="dxa"/>
            <w:shd w:val="clear" w:color="auto" w:fill="auto"/>
            <w:noWrap w:val="0"/>
            <w:vAlign w:val="center"/>
          </w:tcPr>
          <w:p w14:paraId="727F56A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对互联网上网服务营业场所接纳未成年人的行政处罚</w:t>
            </w:r>
          </w:p>
        </w:tc>
        <w:tc>
          <w:tcPr>
            <w:tcW w:w="1391" w:type="dxa"/>
            <w:noWrap w:val="0"/>
            <w:vAlign w:val="center"/>
          </w:tcPr>
          <w:p w14:paraId="68DF44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《互联网上网服务营业场所管理条例》</w:t>
            </w:r>
          </w:p>
        </w:tc>
        <w:tc>
          <w:tcPr>
            <w:tcW w:w="1240" w:type="dxa"/>
            <w:noWrap w:val="0"/>
            <w:vAlign w:val="center"/>
          </w:tcPr>
          <w:p w14:paraId="44C691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36810F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145" w:type="dxa"/>
            <w:noWrap w:val="0"/>
            <w:vAlign w:val="center"/>
          </w:tcPr>
          <w:p w14:paraId="4B2458E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警告</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责令停业整顿</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27B1437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《互联网上网服务营业场所管理条例》第三十一条第二项  互联网上网服务营业场所经营单位违反本条例的规定，有下列行为之一的，由文化行政部门给予警告，可以并处 15000 元以下的罚款；情节严重的，责令停业整顿，直至吊销《网络文化经营许可证》：（二）接纳未成年人进入营业场所的。</w:t>
            </w:r>
          </w:p>
        </w:tc>
        <w:tc>
          <w:tcPr>
            <w:tcW w:w="913" w:type="dxa"/>
            <w:shd w:val="clear" w:color="auto" w:fill="auto"/>
            <w:noWrap w:val="0"/>
            <w:vAlign w:val="top"/>
          </w:tcPr>
          <w:p w14:paraId="5611CBB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不含“吊销《网络文化经营许可证》”。</w:t>
            </w:r>
          </w:p>
        </w:tc>
      </w:tr>
      <w:tr w14:paraId="6D4AE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252E7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96</w:t>
            </w:r>
          </w:p>
        </w:tc>
        <w:tc>
          <w:tcPr>
            <w:tcW w:w="2625" w:type="dxa"/>
            <w:shd w:val="clear" w:color="auto" w:fill="auto"/>
            <w:noWrap w:val="0"/>
            <w:vAlign w:val="center"/>
          </w:tcPr>
          <w:p w14:paraId="4D16FEF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对互联网上网服务营业场所未悬挂《网络文化经营许可证》或者未成年人禁入标志的行政处罚</w:t>
            </w:r>
          </w:p>
        </w:tc>
        <w:tc>
          <w:tcPr>
            <w:tcW w:w="1391" w:type="dxa"/>
            <w:noWrap w:val="0"/>
            <w:vAlign w:val="center"/>
          </w:tcPr>
          <w:p w14:paraId="193A53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《互联网上网服务营业场所管理条例》</w:t>
            </w:r>
          </w:p>
        </w:tc>
        <w:tc>
          <w:tcPr>
            <w:tcW w:w="1240" w:type="dxa"/>
            <w:noWrap w:val="0"/>
            <w:vAlign w:val="center"/>
          </w:tcPr>
          <w:p w14:paraId="521BF5D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5A9350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145" w:type="dxa"/>
            <w:noWrap w:val="0"/>
            <w:vAlign w:val="center"/>
          </w:tcPr>
          <w:p w14:paraId="12309BF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警告</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责令停业整顿</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C628EC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《互联网上网服务营业场所管理条例》第三十一条第五项  互联网上网服务营业场所经营单位违反本条例的规定，有下列行为之一的，由文化行政部门给予警告，可以并处 15000 元以下的罚款；情节严重的，责令停业整顿，直至吊销《网络文化经营许可证》：（五）未悬挂《网络文化经营许可证》或者未成年人禁入标志的。</w:t>
            </w:r>
          </w:p>
        </w:tc>
        <w:tc>
          <w:tcPr>
            <w:tcW w:w="913" w:type="dxa"/>
            <w:shd w:val="clear" w:color="auto" w:fill="auto"/>
            <w:noWrap w:val="0"/>
            <w:vAlign w:val="top"/>
          </w:tcPr>
          <w:p w14:paraId="58B1B05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不含“吊销《网络文化经营许可证》”。</w:t>
            </w:r>
          </w:p>
        </w:tc>
      </w:tr>
      <w:tr w14:paraId="6530B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12161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97</w:t>
            </w:r>
          </w:p>
        </w:tc>
        <w:tc>
          <w:tcPr>
            <w:tcW w:w="2625" w:type="dxa"/>
            <w:shd w:val="clear" w:color="auto" w:fill="auto"/>
            <w:noWrap w:val="0"/>
            <w:vAlign w:val="center"/>
          </w:tcPr>
          <w:p w14:paraId="6D8393C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对擅自从事营业性演出经营活动的行政处罚</w:t>
            </w:r>
          </w:p>
        </w:tc>
        <w:tc>
          <w:tcPr>
            <w:tcW w:w="1391" w:type="dxa"/>
            <w:noWrap w:val="0"/>
            <w:vAlign w:val="center"/>
          </w:tcPr>
          <w:p w14:paraId="29E7F1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《营业性演出管理条例》</w:t>
            </w:r>
          </w:p>
        </w:tc>
        <w:tc>
          <w:tcPr>
            <w:tcW w:w="1240" w:type="dxa"/>
            <w:noWrap w:val="0"/>
            <w:vAlign w:val="center"/>
          </w:tcPr>
          <w:p w14:paraId="22F0E2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0F20BB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2020年11月29日</w:t>
            </w:r>
          </w:p>
        </w:tc>
        <w:tc>
          <w:tcPr>
            <w:tcW w:w="1145" w:type="dxa"/>
            <w:noWrap w:val="0"/>
            <w:vAlign w:val="center"/>
          </w:tcPr>
          <w:p w14:paraId="1EBC447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没收演出器材和违法所得</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7AF40FF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《营业性演出管理条例》第六条  文艺表演团体申请从事营业性演出活动，应当有与其业务相适应的专职演员和器材设备，并向县级人民政府文化主管部门提出申请；演出经纪机构申请从事营业性演出经营活动，应当有 3 名以上专职演出经纪人员和与其业务相适应的资金，并向省、自治区、直辖市人民政府文化主管部门提出申请。文化主管部门应当自受理申请之日起 20 日内作出决定。批准的，颁发营业性演出许可证；不批准的，应当书面通知申请人并说明理由。</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第十条  外国投资者可以依法在中国境内设立演出经纪机构、演出场所经营单位；不得设立文艺表演团体。外商投资的演出经纪机构申请从事营业性演出经营活动、外商投资的演出场所经营单位申请从事演出场所经营活动，应当向国务院文化主管部门提出申请。国务院文化主管部门应当自收到申请之日起 20 日内作出决定。批准的，颁发营业性演出许可证；不批准的，应当书面通知申请人并说明理由。</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第十一条  香港特别行政区、澳门特别行政区的投资者可以在内地投资设立演出经纪机构、演出场所经营单位以及由内地方控股的文艺表演团体；香港特别行政区、澳门特别行政区的演出经纪机构可以在内地设立分支机构。</w:t>
            </w:r>
          </w:p>
          <w:p w14:paraId="2285334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台湾地区的投资者可以在大陆投资设立演出经纪机构、演出场所经营单位，不得设立文艺表演团体。</w:t>
            </w:r>
          </w:p>
          <w:p w14:paraId="5CCA641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依照本条规定设立的演出经纪机构、文艺表演团体申请从事营业性演出经营活动，依照本条规定设立的演出场所经营单位申请从事演出场所经营活动，应当向省、自治区、直辖市人民政府文化主管部门提出申请。省、自治区、直辖市人民政府文化主管部门应当自收到申请之日起 20 日内作出决定。批准的，颁发营业性演出许可证；不批准的，应当书面通知申请人并说明理由。</w:t>
            </w:r>
          </w:p>
          <w:p w14:paraId="5EEE649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依照本条规定设立演出经纪机构、演出场所经营单位的，还应当遵守我国其他法律、法规的规定。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第四十三条第一款第一项  有下列行为之一的，由县级人民政府文化主管部门予以取缔，没收演出器材和违法所得，并处违法所得 8 倍以上 10 倍以下的罚款；没有违法所得或者违法所得不足 1 万元的，并处 5 万元以上 10 万元以下的罚款；构成犯罪的，依法追究刑事责任：（一）违反本条例第六条、第十条、第十一条规定，擅自从事营业性演出经营活动的。</w:t>
            </w:r>
          </w:p>
        </w:tc>
        <w:tc>
          <w:tcPr>
            <w:tcW w:w="913" w:type="dxa"/>
            <w:shd w:val="clear" w:color="auto" w:fill="auto"/>
            <w:noWrap w:val="0"/>
            <w:vAlign w:val="top"/>
          </w:tcPr>
          <w:p w14:paraId="11B722B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1.不含“对违反《营业性演出管理条例》第十条、第十一条规定，擅自从事营业性演出经营活动的行政处罚”。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2.仅适用农村营业性演出活动</w:t>
            </w:r>
          </w:p>
        </w:tc>
      </w:tr>
      <w:tr w14:paraId="7FCC5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BC4ED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98</w:t>
            </w:r>
          </w:p>
        </w:tc>
        <w:tc>
          <w:tcPr>
            <w:tcW w:w="2625" w:type="dxa"/>
            <w:shd w:val="clear" w:color="auto" w:fill="auto"/>
            <w:noWrap w:val="0"/>
            <w:vAlign w:val="center"/>
          </w:tcPr>
          <w:p w14:paraId="6C821BB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对未经批准举办营业性演出的行政处罚</w:t>
            </w:r>
          </w:p>
        </w:tc>
        <w:tc>
          <w:tcPr>
            <w:tcW w:w="1391" w:type="dxa"/>
            <w:noWrap w:val="0"/>
            <w:vAlign w:val="center"/>
          </w:tcPr>
          <w:p w14:paraId="3ED2B8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《营业性演出管理条例》</w:t>
            </w:r>
          </w:p>
        </w:tc>
        <w:tc>
          <w:tcPr>
            <w:tcW w:w="1240" w:type="dxa"/>
            <w:noWrap w:val="0"/>
            <w:vAlign w:val="center"/>
          </w:tcPr>
          <w:p w14:paraId="17A688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74E4E25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2020年11月29日</w:t>
            </w:r>
          </w:p>
        </w:tc>
        <w:tc>
          <w:tcPr>
            <w:tcW w:w="1145" w:type="dxa"/>
            <w:noWrap w:val="0"/>
            <w:vAlign w:val="center"/>
          </w:tcPr>
          <w:p w14:paraId="4B116AE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责令停止演出，没收违法所得</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24D115B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《营业性演出管理条例》第十三条  举办营业性演出，应当向演出所在地县级人民政府文化主管部门提出申请。县级人民政府文化主管部门应当自受理申请之日起 3 日内作出决定。对符合本条例第二十五条规定的，发给批准文件；对不符合本条例第二十五条规定的，不予批准，书面通知申请人并说明理由。</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第十五条  举办外国的文艺表演团体、个人参加的营业性演出，演出举办单位应当向演出所在地省、自治区、直辖市人民政府文化主管部门提出申请。</w:t>
            </w:r>
          </w:p>
          <w:p w14:paraId="246BED5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举办香港特别行政区、澳门特别行政区的文艺表演团体、个人参加的营业性演出，演出举办单位应当向演出所在地省、自治区、直辖市人民政府文化主管部门提出申请；举办台湾地区的文艺表演团体、个人参加的营业性演出，演出举办单位应当向国务院文化主管部门会同国务院有关部门规定的审批机关提出申请。</w:t>
            </w:r>
          </w:p>
          <w:p w14:paraId="5389D0A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国务院文化主管部门或者省、自治区、直辖市人民政府文化主管部门应当自受理申请之日起 20 日内作出决定。对符合本条例第二十五条规定的，发给批准文件；对不符合本条例第二十五条规定的，不予批准，书面通知申请人并说明理由。</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第四十四条第一款  违反本条例第十三条、第十五条规定，未经批准举办营业性演出的，由县级人民政府文化主管部门责令停止演出，没收违法所得，并处违法所得 8 倍以上 10 倍以下的罚款；没有违法所得或者违法所得不足 1 万元的，并处 5 万元以上 10 万元以下的罚款；情节严重的，由原发证机关吊销营业性演出许可证。</w:t>
            </w:r>
          </w:p>
        </w:tc>
        <w:tc>
          <w:tcPr>
            <w:tcW w:w="913" w:type="dxa"/>
            <w:shd w:val="clear" w:color="auto" w:fill="auto"/>
            <w:noWrap w:val="0"/>
            <w:vAlign w:val="top"/>
          </w:tcPr>
          <w:p w14:paraId="6B9FFD0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1.不含“对违反《营业性演出管理条例》第十五条规定，未经批准举办营业性演出的行政处罚”，不含 “吊销营业性演出许可证”。</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2.仅适用农村营业性演出活动。</w:t>
            </w:r>
          </w:p>
        </w:tc>
      </w:tr>
      <w:tr w14:paraId="2FA2B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0970C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99</w:t>
            </w:r>
          </w:p>
        </w:tc>
        <w:tc>
          <w:tcPr>
            <w:tcW w:w="2625" w:type="dxa"/>
            <w:shd w:val="clear" w:color="auto" w:fill="auto"/>
            <w:noWrap w:val="0"/>
            <w:vAlign w:val="center"/>
          </w:tcPr>
          <w:p w14:paraId="2BD68E1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对歌舞娱乐场所接纳未成年人的行政处罚</w:t>
            </w:r>
          </w:p>
        </w:tc>
        <w:tc>
          <w:tcPr>
            <w:tcW w:w="1391" w:type="dxa"/>
            <w:noWrap w:val="0"/>
            <w:vAlign w:val="center"/>
          </w:tcPr>
          <w:p w14:paraId="67970F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《娱乐场所管理条例》</w:t>
            </w:r>
          </w:p>
        </w:tc>
        <w:tc>
          <w:tcPr>
            <w:tcW w:w="1240" w:type="dxa"/>
            <w:noWrap w:val="0"/>
            <w:vAlign w:val="center"/>
          </w:tcPr>
          <w:p w14:paraId="59DF82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1C58AFF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020年11月29日</w:t>
            </w:r>
          </w:p>
        </w:tc>
        <w:tc>
          <w:tcPr>
            <w:tcW w:w="1145" w:type="dxa"/>
            <w:noWrap w:val="0"/>
            <w:vAlign w:val="center"/>
          </w:tcPr>
          <w:p w14:paraId="65BA408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没收违法所得和非法财物</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60047C7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《娱乐场所管理条例》第四十八条第三项  违反本条例规定，有下列情形之一的，由县级人民政府文化主管部门没收违法所得和非法财物，并处违法所得 1 倍以上 3 倍以下的罚款；没有违法所得或者违法所得不足 1 万元的，并处 1 万元以上 3 万元以下的罚款；情节严重的，责令停业整顿 1 个月至6 个月：（三）歌舞娱乐场所接纳未成年人的。</w:t>
            </w:r>
          </w:p>
        </w:tc>
        <w:tc>
          <w:tcPr>
            <w:tcW w:w="913" w:type="dxa"/>
            <w:shd w:val="clear" w:color="auto" w:fill="auto"/>
            <w:noWrap w:val="0"/>
            <w:vAlign w:val="top"/>
          </w:tcPr>
          <w:p w14:paraId="757497C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43A39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6A459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100</w:t>
            </w:r>
          </w:p>
        </w:tc>
        <w:tc>
          <w:tcPr>
            <w:tcW w:w="2625" w:type="dxa"/>
            <w:shd w:val="clear" w:color="auto" w:fill="auto"/>
            <w:noWrap w:val="0"/>
            <w:vAlign w:val="center"/>
          </w:tcPr>
          <w:p w14:paraId="2FDCA17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对游艺娱乐场所设置的电子游戏机在国家法定节假日外向未成年人提供的行政处罚</w:t>
            </w:r>
          </w:p>
        </w:tc>
        <w:tc>
          <w:tcPr>
            <w:tcW w:w="1391" w:type="dxa"/>
            <w:noWrap w:val="0"/>
            <w:vAlign w:val="center"/>
          </w:tcPr>
          <w:p w14:paraId="25F673E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《娱乐场所管理条例》</w:t>
            </w:r>
          </w:p>
        </w:tc>
        <w:tc>
          <w:tcPr>
            <w:tcW w:w="1240" w:type="dxa"/>
            <w:noWrap w:val="0"/>
            <w:vAlign w:val="center"/>
          </w:tcPr>
          <w:p w14:paraId="14461F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6C0944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020年11月29日</w:t>
            </w:r>
          </w:p>
        </w:tc>
        <w:tc>
          <w:tcPr>
            <w:tcW w:w="1145" w:type="dxa"/>
            <w:noWrap w:val="0"/>
            <w:vAlign w:val="center"/>
          </w:tcPr>
          <w:p w14:paraId="14BEFF9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没收违法所得和非法财物</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2E5F8D7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《娱乐场所管理条例》第四十八条第四项  违反本条例规定，有下列情形之一的，由县级人民政府文化主管部门没收违法所得和非法财物，并处违法所得 1 倍以上 3 倍以下的罚款；没有违法所得或者违法所得不足 1 万元的，并处 1 万元以上 3 万元以下的罚款；情节严重的，责令停业整顿 1 个月至</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6 个月：（四）游艺娱乐场所设置的电子游戏机在国家法定节假日外向未成年人提供的。</w:t>
            </w:r>
          </w:p>
        </w:tc>
        <w:tc>
          <w:tcPr>
            <w:tcW w:w="913" w:type="dxa"/>
            <w:shd w:val="clear" w:color="auto" w:fill="auto"/>
            <w:noWrap w:val="0"/>
            <w:vAlign w:val="top"/>
          </w:tcPr>
          <w:p w14:paraId="0352764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2C44D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200FEB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101</w:t>
            </w:r>
          </w:p>
        </w:tc>
        <w:tc>
          <w:tcPr>
            <w:tcW w:w="2625" w:type="dxa"/>
            <w:shd w:val="clear" w:color="auto" w:fill="auto"/>
            <w:noWrap w:val="0"/>
            <w:vAlign w:val="center"/>
          </w:tcPr>
          <w:p w14:paraId="78F3097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对娱乐场所未按规定悬挂警示标志、未成年人禁入或者限入标志的行政处罚</w:t>
            </w:r>
          </w:p>
        </w:tc>
        <w:tc>
          <w:tcPr>
            <w:tcW w:w="1391" w:type="dxa"/>
            <w:noWrap w:val="0"/>
            <w:vAlign w:val="center"/>
          </w:tcPr>
          <w:p w14:paraId="07D629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《娱乐场所管理条例》</w:t>
            </w:r>
          </w:p>
        </w:tc>
        <w:tc>
          <w:tcPr>
            <w:tcW w:w="1240" w:type="dxa"/>
            <w:noWrap w:val="0"/>
            <w:vAlign w:val="center"/>
          </w:tcPr>
          <w:p w14:paraId="52E8EF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3CA1AC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020年11月29日</w:t>
            </w:r>
          </w:p>
        </w:tc>
        <w:tc>
          <w:tcPr>
            <w:tcW w:w="1145" w:type="dxa"/>
            <w:noWrap w:val="0"/>
            <w:vAlign w:val="center"/>
          </w:tcPr>
          <w:p w14:paraId="0E883C8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，警告</w:t>
            </w:r>
          </w:p>
        </w:tc>
        <w:tc>
          <w:tcPr>
            <w:tcW w:w="4787" w:type="dxa"/>
            <w:noWrap w:val="0"/>
            <w:vAlign w:val="top"/>
          </w:tcPr>
          <w:p w14:paraId="4E2CFD2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《娱乐场所管理条例》第五十一条   娱乐场所未按照本条例规定悬挂警示标志、未成年人禁入或者限入标志的，由县级人民政府文化主管部门、县级公安部门依据法定职权责令改正，给予警告。</w:t>
            </w:r>
          </w:p>
        </w:tc>
        <w:tc>
          <w:tcPr>
            <w:tcW w:w="913" w:type="dxa"/>
            <w:shd w:val="clear" w:color="auto" w:fill="auto"/>
            <w:noWrap w:val="0"/>
            <w:vAlign w:val="top"/>
          </w:tcPr>
          <w:p w14:paraId="0459A88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EE90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EAF1E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102</w:t>
            </w:r>
          </w:p>
        </w:tc>
        <w:tc>
          <w:tcPr>
            <w:tcW w:w="2625" w:type="dxa"/>
            <w:shd w:val="clear" w:color="auto" w:fill="auto"/>
            <w:noWrap w:val="0"/>
            <w:vAlign w:val="center"/>
          </w:tcPr>
          <w:p w14:paraId="2C1B4C1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对娱乐场所未在显著位置悬挂娱乐经营许可证，或者未成年人禁入（限入）标志未注明“12318”文化市场举报电话的行政处罚</w:t>
            </w:r>
          </w:p>
        </w:tc>
        <w:tc>
          <w:tcPr>
            <w:tcW w:w="1391" w:type="dxa"/>
            <w:noWrap w:val="0"/>
            <w:vAlign w:val="center"/>
          </w:tcPr>
          <w:p w14:paraId="35DDFD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1.《娱乐场所管理办法》</w:t>
            </w:r>
          </w:p>
          <w:p w14:paraId="00E3C2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2.《四川省娱乐场所管理办法》</w:t>
            </w:r>
          </w:p>
        </w:tc>
        <w:tc>
          <w:tcPr>
            <w:tcW w:w="1240" w:type="dxa"/>
            <w:noWrap w:val="0"/>
            <w:vAlign w:val="center"/>
          </w:tcPr>
          <w:p w14:paraId="561D40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5A53A5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2022年5月13日</w:t>
            </w:r>
          </w:p>
          <w:p w14:paraId="666218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i w:val="0"/>
                <w:iCs w:val="0"/>
                <w:caps w:val="0"/>
                <w:color w:val="auto"/>
                <w:spacing w:val="0"/>
                <w:sz w:val="21"/>
                <w:szCs w:val="21"/>
                <w:lang w:val="en-US" w:eastAsia="zh-CN"/>
              </w:rPr>
            </w:pPr>
            <w:r>
              <w:rPr>
                <w:rFonts w:hint="eastAsia" w:ascii="宋体" w:hAnsi="宋体" w:cs="宋体"/>
                <w:i w:val="0"/>
                <w:iCs w:val="0"/>
                <w:caps w:val="0"/>
                <w:color w:val="auto"/>
                <w:spacing w:val="0"/>
                <w:sz w:val="21"/>
                <w:szCs w:val="21"/>
                <w:lang w:val="en-US" w:eastAsia="zh-CN"/>
              </w:rPr>
              <w:t>2011年5月3日</w:t>
            </w:r>
          </w:p>
        </w:tc>
        <w:tc>
          <w:tcPr>
            <w:tcW w:w="1145" w:type="dxa"/>
            <w:noWrap w:val="0"/>
            <w:vAlign w:val="center"/>
          </w:tcPr>
          <w:p w14:paraId="6BDD77C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警告</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90DCCA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1.《娱乐场所管理办法》第二十四条  娱乐场所应当在显著位置悬挂娱乐经营许可证、未成年人禁入或者限入标志，标志应当注“12318”文化市场举报电话。</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第三十三条  娱乐场所违反本办法第二十四条规定的，由县级以上人民政府文化主管部门责令改正，予以警告。</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2.《四川省娱乐场所管理办法》第三十三条第一款  娱乐场所未按要求悬挂娱乐经营许可证、卫生许可证和工商营业执照，并拒不改正的，分别由县级文化行政主管部门或者依法授权的文化市场综合执法机构、卫生部门、工商部门按照各自职责，处 1000 元以上 5000 元以下罚款。</w:t>
            </w:r>
          </w:p>
        </w:tc>
        <w:tc>
          <w:tcPr>
            <w:tcW w:w="913" w:type="dxa"/>
            <w:shd w:val="clear" w:color="auto" w:fill="auto"/>
            <w:noWrap w:val="0"/>
            <w:vAlign w:val="top"/>
          </w:tcPr>
          <w:p w14:paraId="1842BC8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36F15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691D6E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103</w:t>
            </w:r>
          </w:p>
        </w:tc>
        <w:tc>
          <w:tcPr>
            <w:tcW w:w="2625" w:type="dxa"/>
            <w:shd w:val="clear" w:color="auto" w:fill="auto"/>
            <w:noWrap w:val="0"/>
            <w:vAlign w:val="center"/>
          </w:tcPr>
          <w:p w14:paraId="2613F09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对未经许可生产、经营烟花爆竹制品的行政处罚</w:t>
            </w:r>
          </w:p>
        </w:tc>
        <w:tc>
          <w:tcPr>
            <w:tcW w:w="1391" w:type="dxa"/>
            <w:noWrap w:val="0"/>
            <w:vAlign w:val="center"/>
          </w:tcPr>
          <w:p w14:paraId="67DFC0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《烟花爆竹安全管理条例》</w:t>
            </w:r>
          </w:p>
        </w:tc>
        <w:tc>
          <w:tcPr>
            <w:tcW w:w="1240" w:type="dxa"/>
            <w:noWrap w:val="0"/>
            <w:vAlign w:val="center"/>
          </w:tcPr>
          <w:p w14:paraId="79F2626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6C3E95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2016年2月6日</w:t>
            </w:r>
          </w:p>
        </w:tc>
        <w:tc>
          <w:tcPr>
            <w:tcW w:w="1145" w:type="dxa"/>
            <w:noWrap w:val="0"/>
            <w:vAlign w:val="center"/>
          </w:tcPr>
          <w:p w14:paraId="6E2725B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责令停止非法生产、经营活动</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没收非法生产、经营的物品及违法所得</w:t>
            </w:r>
          </w:p>
        </w:tc>
        <w:tc>
          <w:tcPr>
            <w:tcW w:w="4787" w:type="dxa"/>
            <w:noWrap w:val="0"/>
            <w:vAlign w:val="top"/>
          </w:tcPr>
          <w:p w14:paraId="29753E2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《烟花爆竹安全管理条例》第三十六条第一款  对未经许可生产、经营烟花爆竹制品，或者向未取得烟花爆竹安全生产许可的单位或者个人销售黑火药、烟火药、引火线的，由安全生产监督管理部门责令停止非法生产、经营活动，处 2 万元以上 10 万元以下的罚款，并没收非法生产、经营的物品及违法所得。</w:t>
            </w:r>
          </w:p>
        </w:tc>
        <w:tc>
          <w:tcPr>
            <w:tcW w:w="913" w:type="dxa"/>
            <w:shd w:val="clear" w:color="auto" w:fill="auto"/>
            <w:noWrap w:val="0"/>
            <w:vAlign w:val="top"/>
          </w:tcPr>
          <w:p w14:paraId="1940909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2D5E0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6B7AF0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104</w:t>
            </w:r>
          </w:p>
        </w:tc>
        <w:tc>
          <w:tcPr>
            <w:tcW w:w="2625" w:type="dxa"/>
            <w:shd w:val="clear" w:color="auto" w:fill="auto"/>
            <w:noWrap w:val="0"/>
            <w:vAlign w:val="center"/>
          </w:tcPr>
          <w:p w14:paraId="50467CC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对未经许可经营、超许可范围经营、许可证过期继续经营烟花爆竹的行政处罚</w:t>
            </w:r>
          </w:p>
        </w:tc>
        <w:tc>
          <w:tcPr>
            <w:tcW w:w="1391" w:type="dxa"/>
            <w:noWrap w:val="0"/>
            <w:vAlign w:val="center"/>
          </w:tcPr>
          <w:p w14:paraId="5229B4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《烟花爆竹经营许可实施办法》</w:t>
            </w:r>
          </w:p>
        </w:tc>
        <w:tc>
          <w:tcPr>
            <w:tcW w:w="1240" w:type="dxa"/>
            <w:noWrap w:val="0"/>
            <w:vAlign w:val="center"/>
          </w:tcPr>
          <w:p w14:paraId="483FA7D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国家安全生产监督管理总局</w:t>
            </w:r>
          </w:p>
        </w:tc>
        <w:tc>
          <w:tcPr>
            <w:tcW w:w="1214" w:type="dxa"/>
            <w:noWrap w:val="0"/>
            <w:vAlign w:val="center"/>
          </w:tcPr>
          <w:p w14:paraId="1C1B95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2013年10月16日</w:t>
            </w:r>
          </w:p>
        </w:tc>
        <w:tc>
          <w:tcPr>
            <w:tcW w:w="1145" w:type="dxa"/>
            <w:noWrap w:val="0"/>
            <w:vAlign w:val="center"/>
          </w:tcPr>
          <w:p w14:paraId="28C94F1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责令其停止非法经营活动</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001F0D2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《烟花爆竹经营许可实施办法》第三十一条  对未经许可经营、超许可范围经营、许可证过期继续经营烟花爆竹的，责令其停止非法经营活动，处 2 万元以上 10 万元以下的罚款，并没收非法经营的物品及违法所得。</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第三十九条  本办法规定的行政处罚，由安全生产监督管理部门决定，暂扣、吊销经营许可证的行政处罚由发证机关决定。</w:t>
            </w:r>
          </w:p>
        </w:tc>
        <w:tc>
          <w:tcPr>
            <w:tcW w:w="913" w:type="dxa"/>
            <w:shd w:val="clear" w:color="auto" w:fill="auto"/>
            <w:noWrap w:val="0"/>
            <w:vAlign w:val="top"/>
          </w:tcPr>
          <w:p w14:paraId="4E0DAD5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71B74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9A294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105</w:t>
            </w:r>
          </w:p>
        </w:tc>
        <w:tc>
          <w:tcPr>
            <w:tcW w:w="2625" w:type="dxa"/>
            <w:shd w:val="clear" w:color="auto" w:fill="auto"/>
            <w:noWrap w:val="0"/>
            <w:vAlign w:val="center"/>
          </w:tcPr>
          <w:p w14:paraId="220781D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对烟花爆竹零售经营者存放的烟花爆竹数量超过零售许可证载明范围的行政处罚</w:t>
            </w:r>
          </w:p>
        </w:tc>
        <w:tc>
          <w:tcPr>
            <w:tcW w:w="1391" w:type="dxa"/>
            <w:noWrap w:val="0"/>
            <w:vAlign w:val="center"/>
          </w:tcPr>
          <w:p w14:paraId="38280FD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《烟花爆竹经营许可实施办法》</w:t>
            </w:r>
          </w:p>
        </w:tc>
        <w:tc>
          <w:tcPr>
            <w:tcW w:w="1240" w:type="dxa"/>
            <w:noWrap w:val="0"/>
            <w:vAlign w:val="center"/>
          </w:tcPr>
          <w:p w14:paraId="3DE8E0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国家安全生产监督管理总局</w:t>
            </w:r>
          </w:p>
        </w:tc>
        <w:tc>
          <w:tcPr>
            <w:tcW w:w="1214" w:type="dxa"/>
            <w:noWrap w:val="0"/>
            <w:vAlign w:val="center"/>
          </w:tcPr>
          <w:p w14:paraId="2F7C70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2013年10月16日</w:t>
            </w:r>
          </w:p>
        </w:tc>
        <w:tc>
          <w:tcPr>
            <w:tcW w:w="1145" w:type="dxa"/>
            <w:noWrap w:val="0"/>
            <w:vAlign w:val="center"/>
          </w:tcPr>
          <w:p w14:paraId="587E1AE5">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37008BF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《烟花爆竹经营许可实施办法》第三十五条第二项  零售经营者有下列行为之一的，责令其限期改正，处 1000 元以上 5000 元以下的罚款；情节严重的，处 5000 元以上 30000 元以下的罚款：（二）存放的烟花爆竹数量超过零售许可证载明范围的。</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第三十九条  本办法规定的行政处罚，由安全生产监督管理部门决定，暂扣、吊销经营许可证的行政处罚由发证机关决定。</w:t>
            </w:r>
          </w:p>
        </w:tc>
        <w:tc>
          <w:tcPr>
            <w:tcW w:w="913" w:type="dxa"/>
            <w:shd w:val="clear" w:color="auto" w:fill="auto"/>
            <w:noWrap w:val="0"/>
            <w:vAlign w:val="top"/>
          </w:tcPr>
          <w:p w14:paraId="6317CB9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3B40C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4F7E8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106</w:t>
            </w:r>
          </w:p>
        </w:tc>
        <w:tc>
          <w:tcPr>
            <w:tcW w:w="2625" w:type="dxa"/>
            <w:shd w:val="clear" w:color="auto" w:fill="auto"/>
            <w:noWrap w:val="0"/>
            <w:vAlign w:val="center"/>
          </w:tcPr>
          <w:p w14:paraId="5D94D85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对生产经营单位未落实应急预案规定的应急物资及装备的行政处罚</w:t>
            </w:r>
          </w:p>
        </w:tc>
        <w:tc>
          <w:tcPr>
            <w:tcW w:w="1391" w:type="dxa"/>
            <w:noWrap w:val="0"/>
            <w:vAlign w:val="center"/>
          </w:tcPr>
          <w:p w14:paraId="7FA126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《生产安全事故应急预案管理办法》</w:t>
            </w:r>
          </w:p>
        </w:tc>
        <w:tc>
          <w:tcPr>
            <w:tcW w:w="1240" w:type="dxa"/>
            <w:noWrap w:val="0"/>
            <w:vAlign w:val="center"/>
          </w:tcPr>
          <w:p w14:paraId="0E4E23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214" w:type="dxa"/>
            <w:noWrap w:val="0"/>
            <w:vAlign w:val="center"/>
          </w:tcPr>
          <w:p w14:paraId="7516C1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4"/>
                <w:szCs w:val="24"/>
                <w:shd w:val="clear" w:fill="FFFFFF"/>
              </w:rPr>
              <w:t>2019年7月11日</w:t>
            </w:r>
          </w:p>
        </w:tc>
        <w:tc>
          <w:tcPr>
            <w:tcW w:w="1145" w:type="dxa"/>
            <w:noWrap w:val="0"/>
            <w:vAlign w:val="center"/>
          </w:tcPr>
          <w:p w14:paraId="2A0C2A6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459268E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《生产安全事故应急预案管理办法》第四十五条第一款第六项   生产经营单位有下列情形之一的，由县级以上人民政府应急管理部门责令限期改正，可以处 1 万元以上 3 万元以下的罚款：（六）未落实应急预案规定的应急物资及装备的。</w:t>
            </w:r>
          </w:p>
        </w:tc>
        <w:tc>
          <w:tcPr>
            <w:tcW w:w="913" w:type="dxa"/>
            <w:shd w:val="clear" w:color="auto" w:fill="auto"/>
            <w:noWrap w:val="0"/>
            <w:vAlign w:val="top"/>
          </w:tcPr>
          <w:p w14:paraId="4F3059D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CC1A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0F5247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107</w:t>
            </w:r>
          </w:p>
        </w:tc>
        <w:tc>
          <w:tcPr>
            <w:tcW w:w="2625" w:type="dxa"/>
            <w:shd w:val="clear" w:color="auto" w:fill="auto"/>
            <w:noWrap w:val="0"/>
            <w:vAlign w:val="center"/>
          </w:tcPr>
          <w:p w14:paraId="4221133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对擅自移动或者损毁古树名木保护牌以及保护设施的行政处罚</w:t>
            </w:r>
          </w:p>
        </w:tc>
        <w:tc>
          <w:tcPr>
            <w:tcW w:w="1391" w:type="dxa"/>
            <w:noWrap w:val="0"/>
            <w:vAlign w:val="center"/>
          </w:tcPr>
          <w:p w14:paraId="2C706B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《四川省古树名木保护条例》</w:t>
            </w:r>
          </w:p>
        </w:tc>
        <w:tc>
          <w:tcPr>
            <w:tcW w:w="1240" w:type="dxa"/>
            <w:noWrap w:val="0"/>
            <w:vAlign w:val="center"/>
          </w:tcPr>
          <w:p w14:paraId="291DDF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3CB1934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4"/>
                <w:szCs w:val="24"/>
                <w:shd w:val="clear" w:fill="FFFFFF"/>
              </w:rPr>
              <w:t>2019年11月28日</w:t>
            </w:r>
          </w:p>
        </w:tc>
        <w:tc>
          <w:tcPr>
            <w:tcW w:w="1145" w:type="dxa"/>
            <w:noWrap w:val="0"/>
            <w:vAlign w:val="center"/>
          </w:tcPr>
          <w:p w14:paraId="763325C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责令停止违法行为，限期恢复原状</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03741C7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《四川省古树名木保护条例》第二十六条第三款  任何单位和个人不得擅自移动或者损毁古树名木保护牌以及保护设施。</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第三十九条  违反本条例第二十六条第三款规定，擅自移动或者损毁古树名木保护牌以及保护设施的，由县（市、区）人民政府古树名木主管部门责令停止违法行为，限期恢复原状；逾期未恢复原状的，处五百元以上一千元以下的罚款；造成损失的，依法承担赔偿责任。</w:t>
            </w:r>
          </w:p>
        </w:tc>
        <w:tc>
          <w:tcPr>
            <w:tcW w:w="913" w:type="dxa"/>
            <w:shd w:val="clear" w:color="auto" w:fill="auto"/>
            <w:noWrap w:val="0"/>
            <w:vAlign w:val="top"/>
          </w:tcPr>
          <w:p w14:paraId="6EEB99E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76FE8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A3BDE8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108</w:t>
            </w:r>
          </w:p>
        </w:tc>
        <w:tc>
          <w:tcPr>
            <w:tcW w:w="2625" w:type="dxa"/>
            <w:shd w:val="clear" w:color="auto" w:fill="auto"/>
            <w:noWrap w:val="0"/>
            <w:vAlign w:val="center"/>
          </w:tcPr>
          <w:p w14:paraId="04A5524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剥损树皮、挖根；在古树名木保护范围内新建、扩建建（构）筑物、敷设管线、架设电线、非通透性硬化树干周围地面、挖坑取土、采石取沙、非保护性填土；在古树名木保护范围内烧火、排烟、倾倒污水、堆放或者倾倒易燃易爆、有毒有害物品；刻划、钉钉、攀爬、折枝的，在古树名木上缠绕、悬挂重物或者使用树干作支撑物以及其他损害古树名木生长的行为的行政处罚</w:t>
            </w:r>
          </w:p>
        </w:tc>
        <w:tc>
          <w:tcPr>
            <w:tcW w:w="1391" w:type="dxa"/>
            <w:noWrap w:val="0"/>
            <w:vAlign w:val="center"/>
          </w:tcPr>
          <w:p w14:paraId="661A22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《四川省古树名木保护条例》</w:t>
            </w:r>
          </w:p>
        </w:tc>
        <w:tc>
          <w:tcPr>
            <w:tcW w:w="1240" w:type="dxa"/>
            <w:noWrap w:val="0"/>
            <w:vAlign w:val="center"/>
          </w:tcPr>
          <w:p w14:paraId="01CBF6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4615688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4"/>
                <w:szCs w:val="24"/>
                <w:shd w:val="clear" w:fill="FFFFFF"/>
              </w:rPr>
              <w:t>2019年11月28日</w:t>
            </w:r>
          </w:p>
        </w:tc>
        <w:tc>
          <w:tcPr>
            <w:tcW w:w="1145" w:type="dxa"/>
            <w:noWrap w:val="0"/>
            <w:vAlign w:val="center"/>
          </w:tcPr>
          <w:p w14:paraId="3654ADA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责令停止违法行为，限期恢复原状或者采取补救措施</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272BD1A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《四川省古树名木保护条例》第二十七条第三项至第五项  禁止下列损害古树名木的行为：（三）刻划、钉钉、攀爬、折枝、挖根、剥树皮，在古树名木上缠绕、悬挂重物或者以树干为支撑物；（四）在古树名木保护范围内非通透性硬化地面、敷设管线、架设电线、挖坑取土、非保护性填土、烧火、排烟、采石取沙、倾倒污水垃圾、堆放或者倾倒易燃易爆、有毒有害物品；（五）其他损害古树名木正常生长的行为。</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第四十一条第一款  违反本条例第二十七条第三项、第四项、第五项规定，有下列行为之一的，由县（市、区）人民政府古树名木主管部门责令停止违法行为，限期恢复原状或者采取补救措施，并根据古树名木等级按照下列规定处以罚款：（一）剥损树皮、挖根的，处五千元以上三万元以下的罚款；（二）在古树名木保护范围内新建、扩建建（构）筑物、敷设管线、架设电线、非通透性硬化树干周围地面、挖坑取土、采石取沙、非保护性填土的，处三千元以上二万元以下的罚款；（三）在古树名木保护范围内烧火、排烟、倾倒污水、堆放或者倾倒易燃易爆、有毒有害物品的，处一千元以上五千元以下的罚款；（四）刻划、钉钉、攀爬、折枝的，在古树名木上缠绕、悬挂重物或者使用树干作支撑物以及其他损害古树名木生长的行为的，处五百元以上一千元以下的罚款。</w:t>
            </w:r>
          </w:p>
        </w:tc>
        <w:tc>
          <w:tcPr>
            <w:tcW w:w="913" w:type="dxa"/>
            <w:shd w:val="clear" w:color="auto" w:fill="auto"/>
            <w:noWrap w:val="0"/>
            <w:vAlign w:val="top"/>
          </w:tcPr>
          <w:p w14:paraId="266DD9A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9AF8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0691A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109</w:t>
            </w:r>
          </w:p>
        </w:tc>
        <w:tc>
          <w:tcPr>
            <w:tcW w:w="2625" w:type="dxa"/>
            <w:shd w:val="clear" w:color="auto" w:fill="auto"/>
            <w:noWrap w:val="0"/>
            <w:vAlign w:val="center"/>
          </w:tcPr>
          <w:p w14:paraId="10649D5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对森林防火期内未经批准擅自在森林防火区内野外用火的行政处罚</w:t>
            </w:r>
          </w:p>
        </w:tc>
        <w:tc>
          <w:tcPr>
            <w:tcW w:w="1391" w:type="dxa"/>
            <w:noWrap w:val="0"/>
            <w:vAlign w:val="center"/>
          </w:tcPr>
          <w:p w14:paraId="5757AD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w:t>
            </w:r>
          </w:p>
        </w:tc>
        <w:tc>
          <w:tcPr>
            <w:tcW w:w="1240" w:type="dxa"/>
            <w:noWrap w:val="0"/>
            <w:vAlign w:val="center"/>
          </w:tcPr>
          <w:p w14:paraId="1DBBD4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41E22B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2008年12月1日</w:t>
            </w:r>
          </w:p>
        </w:tc>
        <w:tc>
          <w:tcPr>
            <w:tcW w:w="1145" w:type="dxa"/>
            <w:noWrap w:val="0"/>
            <w:vAlign w:val="center"/>
          </w:tcPr>
          <w:p w14:paraId="4539134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，警告，罚款</w:t>
            </w:r>
          </w:p>
        </w:tc>
        <w:tc>
          <w:tcPr>
            <w:tcW w:w="4787" w:type="dxa"/>
            <w:noWrap w:val="0"/>
            <w:vAlign w:val="top"/>
          </w:tcPr>
          <w:p w14:paraId="0E1F970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《森林防火条例》第五十条  违反本条例规定，森林防火期内未经批准擅自在森林防火区内野外用火的，由县级以上地方人民政府林业主管部门责令停止违法行为，给予警告，对个人并处 200 元以上 3000 元以下罚款，对单位并处 1 万元以上 5 万元以下罚款。</w:t>
            </w:r>
          </w:p>
        </w:tc>
        <w:tc>
          <w:tcPr>
            <w:tcW w:w="913" w:type="dxa"/>
            <w:shd w:val="clear" w:color="auto" w:fill="auto"/>
            <w:noWrap w:val="0"/>
            <w:vAlign w:val="top"/>
          </w:tcPr>
          <w:p w14:paraId="548FB8E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1CAA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711B5F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110</w:t>
            </w:r>
          </w:p>
        </w:tc>
        <w:tc>
          <w:tcPr>
            <w:tcW w:w="2625" w:type="dxa"/>
            <w:shd w:val="clear" w:color="auto" w:fill="auto"/>
            <w:noWrap w:val="0"/>
            <w:vAlign w:val="center"/>
          </w:tcPr>
          <w:p w14:paraId="5D18A64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对森林高火险期内未经批准擅自进入森林高火险区活动的行政处罚</w:t>
            </w:r>
          </w:p>
        </w:tc>
        <w:tc>
          <w:tcPr>
            <w:tcW w:w="1391" w:type="dxa"/>
            <w:noWrap w:val="0"/>
            <w:vAlign w:val="center"/>
          </w:tcPr>
          <w:p w14:paraId="6177A2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w:t>
            </w:r>
          </w:p>
        </w:tc>
        <w:tc>
          <w:tcPr>
            <w:tcW w:w="1240" w:type="dxa"/>
            <w:noWrap w:val="0"/>
            <w:vAlign w:val="center"/>
          </w:tcPr>
          <w:p w14:paraId="4E46A7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2B421A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2008年12月1日</w:t>
            </w:r>
          </w:p>
        </w:tc>
        <w:tc>
          <w:tcPr>
            <w:tcW w:w="1145" w:type="dxa"/>
            <w:noWrap w:val="0"/>
            <w:vAlign w:val="center"/>
          </w:tcPr>
          <w:p w14:paraId="2B2F5FB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，警告，罚款</w:t>
            </w:r>
          </w:p>
        </w:tc>
        <w:tc>
          <w:tcPr>
            <w:tcW w:w="4787" w:type="dxa"/>
            <w:noWrap w:val="0"/>
            <w:vAlign w:val="top"/>
          </w:tcPr>
          <w:p w14:paraId="1B47E9B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《森林防火条例》第五十二条第三项  违反本条例规定，有下列行为之一的，由县级以上地方人民政府林业主管部门责令改正，给予警告，对个人并处 200 元以上 2000 元以下罚款，对单位并处 2000元以上 5000 元以下罚款：（三）森林高火险期内，未经批准擅自进入森林高火险区活动的。</w:t>
            </w:r>
          </w:p>
        </w:tc>
        <w:tc>
          <w:tcPr>
            <w:tcW w:w="913" w:type="dxa"/>
            <w:shd w:val="clear" w:color="auto" w:fill="auto"/>
            <w:noWrap w:val="0"/>
            <w:vAlign w:val="top"/>
          </w:tcPr>
          <w:p w14:paraId="019F87C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5087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506703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111</w:t>
            </w:r>
          </w:p>
        </w:tc>
        <w:tc>
          <w:tcPr>
            <w:tcW w:w="2625" w:type="dxa"/>
            <w:shd w:val="clear" w:color="auto" w:fill="auto"/>
            <w:noWrap w:val="0"/>
            <w:vAlign w:val="center"/>
          </w:tcPr>
          <w:p w14:paraId="468039C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对森林防火期内进入森林防火区的机动车辆未安装森林防火装置的行政处罚</w:t>
            </w:r>
          </w:p>
        </w:tc>
        <w:tc>
          <w:tcPr>
            <w:tcW w:w="1391" w:type="dxa"/>
            <w:noWrap w:val="0"/>
            <w:vAlign w:val="center"/>
          </w:tcPr>
          <w:p w14:paraId="4973C7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w:t>
            </w:r>
          </w:p>
        </w:tc>
        <w:tc>
          <w:tcPr>
            <w:tcW w:w="1240" w:type="dxa"/>
            <w:noWrap w:val="0"/>
            <w:vAlign w:val="center"/>
          </w:tcPr>
          <w:p w14:paraId="2F48D8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1FA055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2008年12月1日</w:t>
            </w:r>
          </w:p>
        </w:tc>
        <w:tc>
          <w:tcPr>
            <w:tcW w:w="1145" w:type="dxa"/>
            <w:noWrap w:val="0"/>
            <w:vAlign w:val="center"/>
          </w:tcPr>
          <w:p w14:paraId="61C8D8D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，警告，罚款</w:t>
            </w:r>
          </w:p>
        </w:tc>
        <w:tc>
          <w:tcPr>
            <w:tcW w:w="4787" w:type="dxa"/>
            <w:noWrap w:val="0"/>
            <w:vAlign w:val="top"/>
          </w:tcPr>
          <w:p w14:paraId="450452B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《森林防火条例》第五十二条第二项  违反本条例规定，有下列行为之一的，由县级以上地方人民政府林业主管部门责令改正，给予警告，对个人并处 200 元以上 2000 元以下罚款，对单位并处 2000元以上 5000 元以下罚款：（二）森林防火期内，进入森林防火区的机动车辆未安装森林防火装置的。</w:t>
            </w:r>
          </w:p>
        </w:tc>
        <w:tc>
          <w:tcPr>
            <w:tcW w:w="913" w:type="dxa"/>
            <w:shd w:val="clear" w:color="auto" w:fill="auto"/>
            <w:noWrap w:val="0"/>
            <w:vAlign w:val="top"/>
          </w:tcPr>
          <w:p w14:paraId="3D03A34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4601D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1E345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112</w:t>
            </w:r>
          </w:p>
        </w:tc>
        <w:tc>
          <w:tcPr>
            <w:tcW w:w="2625" w:type="dxa"/>
            <w:shd w:val="clear" w:color="auto" w:fill="auto"/>
            <w:noWrap w:val="0"/>
            <w:vAlign w:val="center"/>
          </w:tcPr>
          <w:p w14:paraId="347438B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对森林防火期内森林、林木、林地的经营单位未设置森林防火警示宣传标志的行政处罚</w:t>
            </w:r>
          </w:p>
        </w:tc>
        <w:tc>
          <w:tcPr>
            <w:tcW w:w="1391" w:type="dxa"/>
            <w:noWrap w:val="0"/>
            <w:vAlign w:val="center"/>
          </w:tcPr>
          <w:p w14:paraId="5878EE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w:t>
            </w:r>
          </w:p>
        </w:tc>
        <w:tc>
          <w:tcPr>
            <w:tcW w:w="1240" w:type="dxa"/>
            <w:noWrap w:val="0"/>
            <w:vAlign w:val="center"/>
          </w:tcPr>
          <w:p w14:paraId="046BB4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64E4675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2008年12月1日</w:t>
            </w:r>
          </w:p>
        </w:tc>
        <w:tc>
          <w:tcPr>
            <w:tcW w:w="1145" w:type="dxa"/>
            <w:noWrap w:val="0"/>
            <w:vAlign w:val="center"/>
          </w:tcPr>
          <w:p w14:paraId="3B0A179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，警告，罚款</w:t>
            </w:r>
          </w:p>
        </w:tc>
        <w:tc>
          <w:tcPr>
            <w:tcW w:w="4787" w:type="dxa"/>
            <w:noWrap w:val="0"/>
            <w:vAlign w:val="top"/>
          </w:tcPr>
          <w:p w14:paraId="163455B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《森林防火条例》第五十二条第一项  违反本条例规定，有下列行为之一的，由县级以上地方人民政府林业主管部门责令改正，给予警告，对个人并处 200 元以上 2000 元以下罚款，对单位并处 2000元以上 5000 元以下罚款：（一）森林防火期内，森林、林木、林地的经营单位未设置森林防火警示宣传标志的。</w:t>
            </w:r>
          </w:p>
        </w:tc>
        <w:tc>
          <w:tcPr>
            <w:tcW w:w="913" w:type="dxa"/>
            <w:shd w:val="clear" w:color="auto" w:fill="auto"/>
            <w:noWrap w:val="0"/>
            <w:vAlign w:val="top"/>
          </w:tcPr>
          <w:p w14:paraId="0DB8D5F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41C6A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6BAEA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113</w:t>
            </w:r>
          </w:p>
        </w:tc>
        <w:tc>
          <w:tcPr>
            <w:tcW w:w="2625" w:type="dxa"/>
            <w:shd w:val="clear" w:color="auto" w:fill="auto"/>
            <w:noWrap w:val="0"/>
            <w:vAlign w:val="center"/>
          </w:tcPr>
          <w:p w14:paraId="35192B9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对森林防火区内的有关单位或者个人拒绝接受森林防火检查或者接到森林火灾隐患整改通知书逾期不消除火灾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隐患的行政处罚</w:t>
            </w:r>
          </w:p>
        </w:tc>
        <w:tc>
          <w:tcPr>
            <w:tcW w:w="1391" w:type="dxa"/>
            <w:noWrap w:val="0"/>
            <w:vAlign w:val="center"/>
          </w:tcPr>
          <w:p w14:paraId="26C0D7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w:t>
            </w:r>
          </w:p>
        </w:tc>
        <w:tc>
          <w:tcPr>
            <w:tcW w:w="1240" w:type="dxa"/>
            <w:noWrap w:val="0"/>
            <w:vAlign w:val="center"/>
          </w:tcPr>
          <w:p w14:paraId="049C06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1E6233E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2008年12月1日</w:t>
            </w:r>
          </w:p>
        </w:tc>
        <w:tc>
          <w:tcPr>
            <w:tcW w:w="1145" w:type="dxa"/>
            <w:noWrap w:val="0"/>
            <w:vAlign w:val="center"/>
          </w:tcPr>
          <w:p w14:paraId="2031A88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，警告，罚款</w:t>
            </w:r>
          </w:p>
        </w:tc>
        <w:tc>
          <w:tcPr>
            <w:tcW w:w="4787" w:type="dxa"/>
            <w:noWrap w:val="0"/>
            <w:vAlign w:val="top"/>
          </w:tcPr>
          <w:p w14:paraId="36787C7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《森林防火条例》第四十九条  违反本条例规定，森林防火区内的有关单位或者个人拒绝接受森林防火检查或者接到森林火灾隐患整改通知书逾期不消除火灾隐患的，由县级以上地方人民政府林业主管部门责令改正，给予警告，对个人并处 200 元以上 2000 元以下罚款，对单位并处 5000 元以上 1万元以下罚款。</w:t>
            </w:r>
          </w:p>
        </w:tc>
        <w:tc>
          <w:tcPr>
            <w:tcW w:w="913" w:type="dxa"/>
            <w:shd w:val="clear" w:color="auto" w:fill="auto"/>
            <w:noWrap w:val="0"/>
            <w:vAlign w:val="top"/>
          </w:tcPr>
          <w:p w14:paraId="67F68E0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38EB2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1451D02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114</w:t>
            </w:r>
          </w:p>
        </w:tc>
        <w:tc>
          <w:tcPr>
            <w:tcW w:w="2625" w:type="dxa"/>
            <w:shd w:val="clear" w:color="auto" w:fill="auto"/>
            <w:noWrap w:val="0"/>
            <w:vAlign w:val="center"/>
          </w:tcPr>
          <w:p w14:paraId="6CB7A8F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对森林、林木、林地的经营单位或者个人未履行森林防火责任的行政处罚</w:t>
            </w:r>
          </w:p>
        </w:tc>
        <w:tc>
          <w:tcPr>
            <w:tcW w:w="1391" w:type="dxa"/>
            <w:noWrap w:val="0"/>
            <w:vAlign w:val="center"/>
          </w:tcPr>
          <w:p w14:paraId="01D12C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w:t>
            </w:r>
          </w:p>
        </w:tc>
        <w:tc>
          <w:tcPr>
            <w:tcW w:w="1240" w:type="dxa"/>
            <w:noWrap w:val="0"/>
            <w:vAlign w:val="center"/>
          </w:tcPr>
          <w:p w14:paraId="4136B8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214" w:type="dxa"/>
            <w:noWrap w:val="0"/>
            <w:vAlign w:val="center"/>
          </w:tcPr>
          <w:p w14:paraId="74789F2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2008年12月1日</w:t>
            </w:r>
          </w:p>
        </w:tc>
        <w:tc>
          <w:tcPr>
            <w:tcW w:w="1145" w:type="dxa"/>
            <w:noWrap w:val="0"/>
            <w:vAlign w:val="center"/>
          </w:tcPr>
          <w:p w14:paraId="4CAF20B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0E648B4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《森林防火条例》第四十八条  违反本条例规定，森林、林木、林地的经营单位或者个人未履行森林防火责任的，由县级以上地方人民政府林业主管部门责令改正，对个人处 500 元以上 5000 元以下罚款，对单位处 1 万元以上 5 万元以下罚款。</w:t>
            </w:r>
          </w:p>
        </w:tc>
        <w:tc>
          <w:tcPr>
            <w:tcW w:w="913" w:type="dxa"/>
            <w:shd w:val="clear" w:color="auto" w:fill="auto"/>
            <w:noWrap w:val="0"/>
            <w:vAlign w:val="top"/>
          </w:tcPr>
          <w:p w14:paraId="266B3B1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402EA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346180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115</w:t>
            </w:r>
          </w:p>
        </w:tc>
        <w:tc>
          <w:tcPr>
            <w:tcW w:w="2625" w:type="dxa"/>
            <w:shd w:val="clear" w:color="auto" w:fill="auto"/>
            <w:noWrap w:val="0"/>
            <w:vAlign w:val="center"/>
          </w:tcPr>
          <w:p w14:paraId="091298F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对破坏和侵占森林防火通道、标志、宣传碑（牌）、瞭望台（塔）、隔离带等设施设备的行政处罚</w:t>
            </w:r>
          </w:p>
        </w:tc>
        <w:tc>
          <w:tcPr>
            <w:tcW w:w="1391" w:type="dxa"/>
            <w:noWrap w:val="0"/>
            <w:vAlign w:val="center"/>
          </w:tcPr>
          <w:p w14:paraId="55526D6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《四川省森林防火条例》</w:t>
            </w:r>
          </w:p>
        </w:tc>
        <w:tc>
          <w:tcPr>
            <w:tcW w:w="1240" w:type="dxa"/>
            <w:noWrap w:val="0"/>
            <w:vAlign w:val="center"/>
          </w:tcPr>
          <w:p w14:paraId="630076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40EFD9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ascii="宋体" w:hAnsi="宋体" w:eastAsia="宋体" w:cs="宋体"/>
                <w:i w:val="0"/>
                <w:iCs w:val="0"/>
                <w:color w:val="auto"/>
                <w:kern w:val="0"/>
                <w:sz w:val="21"/>
                <w:szCs w:val="21"/>
                <w:u w:val="none"/>
                <w:lang w:val="en-US" w:eastAsia="zh-CN" w:bidi="ar"/>
              </w:rPr>
              <w:t>《四川省森林防火条例》</w:t>
            </w:r>
          </w:p>
        </w:tc>
        <w:tc>
          <w:tcPr>
            <w:tcW w:w="1145" w:type="dxa"/>
            <w:noWrap w:val="0"/>
            <w:vAlign w:val="center"/>
          </w:tcPr>
          <w:p w14:paraId="5C1B5283">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39E4F9E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《四川省森林防火条例》第四十四条  违反本条例规定，破坏和侵占森林防火通道、标志、宣传碑（牌）、瞭望台（塔）、隔离带等设施设备的，依法赔偿损失，由县级以上地方人民政府林业行政主管部门责令停止违法行为，对个人并处五百元以上二千元以下罚款，对单位并处一万元以上三万元以下罚款。</w:t>
            </w:r>
          </w:p>
        </w:tc>
        <w:tc>
          <w:tcPr>
            <w:tcW w:w="913" w:type="dxa"/>
            <w:shd w:val="clear" w:color="auto" w:fill="auto"/>
            <w:noWrap w:val="0"/>
            <w:vAlign w:val="top"/>
          </w:tcPr>
          <w:p w14:paraId="698F7FB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45E41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7C7DF43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116</w:t>
            </w:r>
          </w:p>
        </w:tc>
        <w:tc>
          <w:tcPr>
            <w:tcW w:w="2625" w:type="dxa"/>
            <w:shd w:val="clear" w:color="auto" w:fill="auto"/>
            <w:noWrap w:val="0"/>
            <w:vAlign w:val="center"/>
          </w:tcPr>
          <w:p w14:paraId="067B182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对森林防火期内携带火种和易燃易爆物品进入森林防火区或其他野外违规用火行为的行政处罚</w:t>
            </w:r>
          </w:p>
        </w:tc>
        <w:tc>
          <w:tcPr>
            <w:tcW w:w="1391" w:type="dxa"/>
            <w:noWrap w:val="0"/>
            <w:vAlign w:val="center"/>
          </w:tcPr>
          <w:p w14:paraId="5668F2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《四川省森林防火条例》</w:t>
            </w:r>
          </w:p>
        </w:tc>
        <w:tc>
          <w:tcPr>
            <w:tcW w:w="1240" w:type="dxa"/>
            <w:noWrap w:val="0"/>
            <w:vAlign w:val="center"/>
          </w:tcPr>
          <w:p w14:paraId="7CDC33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62B0A0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《四川省森林防火条例》</w:t>
            </w:r>
          </w:p>
        </w:tc>
        <w:tc>
          <w:tcPr>
            <w:tcW w:w="1145" w:type="dxa"/>
            <w:noWrap w:val="0"/>
            <w:vAlign w:val="center"/>
          </w:tcPr>
          <w:p w14:paraId="1B730BD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责令停止违法行为，警告</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0AC56BF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《四川省森林防火条例》第四十三条第二项、第三项  违反本条例规定，森林防火期内，在森林防火区有下列行为之一，未引起森林火灾的，由县级以上地方人民政府林业行政主管部门责令停止违法行为，给予警告，对个人处二百元以上二千元以下罚款，对单位处二千元以上一万元以下罚款；引起森林火灾的，对个人处二千元以上五千元以下罚款，对单位处一万元以上五万元以下罚款：（二）携带火种和易燃易爆物品进入森林防火区的；（三）其他野外违规用火行为。</w:t>
            </w:r>
          </w:p>
        </w:tc>
        <w:tc>
          <w:tcPr>
            <w:tcW w:w="913" w:type="dxa"/>
            <w:shd w:val="clear" w:color="auto" w:fill="auto"/>
            <w:noWrap w:val="0"/>
            <w:vAlign w:val="top"/>
          </w:tcPr>
          <w:p w14:paraId="386444B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6B898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6BEB65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117</w:t>
            </w:r>
          </w:p>
        </w:tc>
        <w:tc>
          <w:tcPr>
            <w:tcW w:w="2625" w:type="dxa"/>
            <w:shd w:val="clear" w:color="auto" w:fill="auto"/>
            <w:noWrap w:val="0"/>
            <w:vAlign w:val="center"/>
          </w:tcPr>
          <w:p w14:paraId="6F76CCD6">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对擅自移动或者破坏野生植物保护设施、保护标志的行政处罚</w:t>
            </w:r>
          </w:p>
        </w:tc>
        <w:tc>
          <w:tcPr>
            <w:tcW w:w="1391" w:type="dxa"/>
            <w:noWrap w:val="0"/>
            <w:vAlign w:val="center"/>
          </w:tcPr>
          <w:p w14:paraId="31FC7F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《四川省野生植物保护条例》</w:t>
            </w:r>
          </w:p>
        </w:tc>
        <w:tc>
          <w:tcPr>
            <w:tcW w:w="1240" w:type="dxa"/>
            <w:noWrap w:val="0"/>
            <w:vAlign w:val="center"/>
          </w:tcPr>
          <w:p w14:paraId="18F9C2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214" w:type="dxa"/>
            <w:noWrap w:val="0"/>
            <w:vAlign w:val="center"/>
          </w:tcPr>
          <w:p w14:paraId="081EF3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w:t>
            </w:r>
            <w:r>
              <w:rPr>
                <w:rFonts w:hint="eastAsia" w:ascii="宋体" w:hAnsi="宋体" w:eastAsia="宋体" w:cs="宋体"/>
                <w:i w:val="0"/>
                <w:iCs w:val="0"/>
                <w:color w:val="auto"/>
                <w:kern w:val="0"/>
                <w:sz w:val="21"/>
                <w:szCs w:val="21"/>
                <w:u w:val="none"/>
                <w:lang w:val="en-US" w:eastAsia="zh-CN" w:bidi="ar"/>
              </w:rPr>
              <w:t>014年11月26日</w:t>
            </w:r>
          </w:p>
        </w:tc>
        <w:tc>
          <w:tcPr>
            <w:tcW w:w="1145" w:type="dxa"/>
            <w:noWrap w:val="0"/>
            <w:vAlign w:val="center"/>
          </w:tcPr>
          <w:p w14:paraId="6468B09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责令其停止破坏行为、恢复原状</w:t>
            </w:r>
            <w:r>
              <w:rPr>
                <w:rFonts w:hint="eastAsia" w:ascii="宋体" w:hAnsi="宋体" w:cs="宋体"/>
                <w:i w:val="0"/>
                <w:iCs w:val="0"/>
                <w:color w:val="auto"/>
                <w:kern w:val="0"/>
                <w:sz w:val="21"/>
                <w:szCs w:val="21"/>
                <w:u w:val="none"/>
                <w:lang w:val="en-US" w:eastAsia="zh-CN" w:bidi="ar"/>
              </w:rPr>
              <w:t>，罚款</w:t>
            </w:r>
          </w:p>
        </w:tc>
        <w:tc>
          <w:tcPr>
            <w:tcW w:w="4787" w:type="dxa"/>
            <w:noWrap w:val="0"/>
            <w:vAlign w:val="top"/>
          </w:tcPr>
          <w:p w14:paraId="1F9DE03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《四川省野生植物保护条例》第九条第</w:t>
            </w:r>
            <w:r>
              <w:rPr>
                <w:rFonts w:hint="eastAsia" w:ascii="宋体" w:hAnsi="宋体" w:eastAsia="宋体" w:cs="宋体"/>
                <w:i w:val="0"/>
                <w:iCs w:val="0"/>
                <w:color w:val="auto"/>
                <w:kern w:val="0"/>
                <w:sz w:val="21"/>
                <w:szCs w:val="21"/>
                <w:u w:val="none"/>
                <w:lang w:val="en-US" w:eastAsia="zh-CN" w:bidi="ar"/>
              </w:rPr>
              <w:t>二</w:t>
            </w:r>
            <w:r>
              <w:rPr>
                <w:rFonts w:ascii="宋体" w:hAnsi="宋体" w:eastAsia="宋体" w:cs="宋体"/>
                <w:i w:val="0"/>
                <w:iCs w:val="0"/>
                <w:color w:val="auto"/>
                <w:kern w:val="0"/>
                <w:sz w:val="21"/>
                <w:szCs w:val="21"/>
                <w:u w:val="none"/>
                <w:lang w:val="en-US" w:eastAsia="zh-CN" w:bidi="ar"/>
              </w:rPr>
              <w:t>款  禁止破坏野生植物生长环境和野生植物保护小区、保护点的保护设施、保护标志。</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第二十四条  违反本条例第九条第三款规定，破坏野生植物生长环境的，由县级以上地方人民政府野生植物行政主管部门责令其停止破坏行为、恢复原状，可并处二千元以上二万元以下的罚款，情节严重的可并处二万元以上五万元以下罚款；擅自移动或者破坏野生植物保护设施、保护标志的，由县级以上地方人民政府野生植物行政主管部门责令其改正、依法赔偿损失，可并处五百元以上二千元以下的罚款。</w:t>
            </w:r>
          </w:p>
        </w:tc>
        <w:tc>
          <w:tcPr>
            <w:tcW w:w="913" w:type="dxa"/>
            <w:shd w:val="clear" w:color="auto" w:fill="auto"/>
            <w:noWrap w:val="0"/>
            <w:vAlign w:val="top"/>
          </w:tcPr>
          <w:p w14:paraId="56FDED4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2576A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6" w:type="dxa"/>
            <w:noWrap w:val="0"/>
            <w:vAlign w:val="center"/>
          </w:tcPr>
          <w:p w14:paraId="402358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118</w:t>
            </w:r>
          </w:p>
        </w:tc>
        <w:tc>
          <w:tcPr>
            <w:tcW w:w="2625" w:type="dxa"/>
            <w:shd w:val="clear" w:color="auto" w:fill="auto"/>
            <w:noWrap w:val="0"/>
            <w:vAlign w:val="center"/>
          </w:tcPr>
          <w:p w14:paraId="0A00DDD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对在幼林地砍柴、毁苗、放牧造成林木毁坏的行政处罚</w:t>
            </w:r>
          </w:p>
        </w:tc>
        <w:tc>
          <w:tcPr>
            <w:tcW w:w="1391" w:type="dxa"/>
            <w:noWrap w:val="0"/>
            <w:vAlign w:val="center"/>
          </w:tcPr>
          <w:p w14:paraId="6A4BBB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《中华人民共和国森林法》</w:t>
            </w:r>
          </w:p>
        </w:tc>
        <w:tc>
          <w:tcPr>
            <w:tcW w:w="1240" w:type="dxa"/>
            <w:noWrap w:val="0"/>
            <w:vAlign w:val="center"/>
          </w:tcPr>
          <w:p w14:paraId="48EAB7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214" w:type="dxa"/>
            <w:noWrap w:val="0"/>
            <w:vAlign w:val="center"/>
          </w:tcPr>
          <w:p w14:paraId="5217F9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w:t>
            </w:r>
            <w:r>
              <w:rPr>
                <w:rFonts w:hint="default" w:ascii="宋体" w:hAnsi="宋体" w:eastAsia="宋体" w:cs="宋体"/>
                <w:i w:val="0"/>
                <w:iCs w:val="0"/>
                <w:color w:val="auto"/>
                <w:kern w:val="0"/>
                <w:sz w:val="21"/>
                <w:szCs w:val="21"/>
                <w:u w:val="none"/>
                <w:lang w:val="en-US" w:eastAsia="zh-CN" w:bidi="ar"/>
              </w:rPr>
              <w:t>019</w:t>
            </w:r>
            <w:r>
              <w:rPr>
                <w:rFonts w:ascii="宋体" w:hAnsi="宋体" w:eastAsia="宋体" w:cs="宋体"/>
                <w:i w:val="0"/>
                <w:iCs w:val="0"/>
                <w:color w:val="auto"/>
                <w:kern w:val="0"/>
                <w:sz w:val="21"/>
                <w:szCs w:val="21"/>
                <w:u w:val="none"/>
                <w:lang w:val="en-US" w:eastAsia="zh-CN" w:bidi="ar"/>
              </w:rPr>
              <w:t>年</w:t>
            </w:r>
            <w:r>
              <w:rPr>
                <w:rFonts w:hint="default" w:ascii="宋体" w:hAnsi="宋体" w:eastAsia="宋体" w:cs="宋体"/>
                <w:i w:val="0"/>
                <w:iCs w:val="0"/>
                <w:color w:val="auto"/>
                <w:kern w:val="0"/>
                <w:sz w:val="21"/>
                <w:szCs w:val="21"/>
                <w:u w:val="none"/>
                <w:lang w:val="en-US" w:eastAsia="zh-CN" w:bidi="ar"/>
              </w:rPr>
              <w:t>12</w:t>
            </w:r>
            <w:r>
              <w:rPr>
                <w:rFonts w:hint="eastAsia" w:ascii="宋体" w:hAnsi="宋体" w:eastAsia="宋体" w:cs="宋体"/>
                <w:i w:val="0"/>
                <w:iCs w:val="0"/>
                <w:color w:val="auto"/>
                <w:kern w:val="0"/>
                <w:sz w:val="21"/>
                <w:szCs w:val="21"/>
                <w:u w:val="none"/>
                <w:lang w:val="en-US" w:eastAsia="zh-CN" w:bidi="ar"/>
              </w:rPr>
              <w:t>月</w:t>
            </w:r>
            <w:r>
              <w:rPr>
                <w:rFonts w:hint="default" w:ascii="宋体" w:hAnsi="宋体" w:eastAsia="宋体" w:cs="宋体"/>
                <w:i w:val="0"/>
                <w:iCs w:val="0"/>
                <w:color w:val="auto"/>
                <w:kern w:val="0"/>
                <w:sz w:val="21"/>
                <w:szCs w:val="21"/>
                <w:u w:val="none"/>
                <w:lang w:val="en-US" w:eastAsia="zh-CN" w:bidi="ar"/>
              </w:rPr>
              <w:t>28</w:t>
            </w:r>
            <w:r>
              <w:rPr>
                <w:rFonts w:hint="eastAsia" w:ascii="宋体" w:hAnsi="宋体" w:eastAsia="宋体" w:cs="宋体"/>
                <w:i w:val="0"/>
                <w:iCs w:val="0"/>
                <w:color w:val="auto"/>
                <w:kern w:val="0"/>
                <w:sz w:val="21"/>
                <w:szCs w:val="21"/>
                <w:u w:val="none"/>
                <w:lang w:val="en-US" w:eastAsia="zh-CN" w:bidi="ar"/>
              </w:rPr>
              <w:t>日</w:t>
            </w:r>
          </w:p>
        </w:tc>
        <w:tc>
          <w:tcPr>
            <w:tcW w:w="1145" w:type="dxa"/>
            <w:noWrap w:val="0"/>
            <w:vAlign w:val="center"/>
          </w:tcPr>
          <w:p w14:paraId="0A996498">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p>
        </w:tc>
        <w:tc>
          <w:tcPr>
            <w:tcW w:w="4787" w:type="dxa"/>
            <w:noWrap w:val="0"/>
            <w:vAlign w:val="top"/>
          </w:tcPr>
          <w:p w14:paraId="621564C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《中华人民共和国森林法》第七十四条第二款  违反本法规定，在幼林地砍柴、毁苗、放牧造成林木毁坏的，由县级以上人民政府林业主管部门责令停止违法行为，限期在原地或者异地补种毁坏株数一倍以上三倍以下的树木。</w:t>
            </w:r>
          </w:p>
        </w:tc>
        <w:tc>
          <w:tcPr>
            <w:tcW w:w="913" w:type="dxa"/>
            <w:shd w:val="clear" w:color="auto" w:fill="auto"/>
            <w:noWrap w:val="0"/>
            <w:vAlign w:val="top"/>
          </w:tcPr>
          <w:p w14:paraId="6C8985D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bl>
    <w:p w14:paraId="6AEBC156">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color w:val="auto"/>
          <w:sz w:val="32"/>
          <w:szCs w:val="32"/>
          <w:lang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2-2</w:t>
      </w:r>
    </w:p>
    <w:p w14:paraId="78B5FB00">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行政执法依据梳理表（行政</w:t>
      </w:r>
      <w:r>
        <w:rPr>
          <w:rFonts w:hint="eastAsia" w:ascii="方正小标宋简体" w:hAnsi="方正小标宋简体" w:eastAsia="方正小标宋简体"/>
          <w:b w:val="0"/>
          <w:bCs w:val="0"/>
          <w:color w:val="auto"/>
          <w:sz w:val="44"/>
          <w:szCs w:val="40"/>
          <w:lang w:val="en-US" w:eastAsia="zh-CN"/>
        </w:rPr>
        <w:t>许可</w:t>
      </w:r>
      <w:r>
        <w:rPr>
          <w:rFonts w:hint="eastAsia" w:ascii="方正小标宋简体" w:hAnsi="方正小标宋简体" w:eastAsia="方正小标宋简体"/>
          <w:b w:val="0"/>
          <w:bCs w:val="0"/>
          <w:color w:val="auto"/>
          <w:sz w:val="44"/>
          <w:szCs w:val="40"/>
          <w:lang w:eastAsia="zh-CN"/>
        </w:rPr>
        <w:t>类）</w:t>
      </w:r>
    </w:p>
    <w:p w14:paraId="34268A2B">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行政执法部门名称：广元市昭化区柏林沟镇人民政府                                 填表时间：2025年3月24日</w:t>
      </w:r>
    </w:p>
    <w:tbl>
      <w:tblPr>
        <w:tblStyle w:val="6"/>
        <w:tblW w:w="139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2182"/>
        <w:gridCol w:w="2305"/>
        <w:gridCol w:w="1363"/>
        <w:gridCol w:w="1337"/>
        <w:gridCol w:w="4104"/>
        <w:gridCol w:w="1173"/>
        <w:gridCol w:w="716"/>
      </w:tblGrid>
      <w:tr w14:paraId="189A1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jc w:val="center"/>
        </w:trPr>
        <w:tc>
          <w:tcPr>
            <w:tcW w:w="742" w:type="dxa"/>
            <w:noWrap w:val="0"/>
            <w:vAlign w:val="center"/>
          </w:tcPr>
          <w:p w14:paraId="026033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182" w:type="dxa"/>
            <w:noWrap w:val="0"/>
            <w:vAlign w:val="center"/>
          </w:tcPr>
          <w:p w14:paraId="58397E8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行政许可事项名称</w:t>
            </w:r>
          </w:p>
        </w:tc>
        <w:tc>
          <w:tcPr>
            <w:tcW w:w="2305" w:type="dxa"/>
            <w:noWrap w:val="0"/>
            <w:vAlign w:val="center"/>
          </w:tcPr>
          <w:p w14:paraId="653E8E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行政许可依据的法律、法规、规章名称</w:t>
            </w:r>
          </w:p>
        </w:tc>
        <w:tc>
          <w:tcPr>
            <w:tcW w:w="1363" w:type="dxa"/>
            <w:noWrap w:val="0"/>
            <w:vAlign w:val="center"/>
          </w:tcPr>
          <w:p w14:paraId="59ED54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37" w:type="dxa"/>
            <w:noWrap w:val="0"/>
            <w:vAlign w:val="center"/>
          </w:tcPr>
          <w:p w14:paraId="5845C8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4104" w:type="dxa"/>
            <w:noWrap w:val="0"/>
            <w:vAlign w:val="center"/>
          </w:tcPr>
          <w:p w14:paraId="6D6161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行政许可依据的</w:t>
            </w:r>
          </w:p>
          <w:p w14:paraId="584DB8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具体条款</w:t>
            </w:r>
          </w:p>
        </w:tc>
        <w:tc>
          <w:tcPr>
            <w:tcW w:w="1173" w:type="dxa"/>
            <w:noWrap w:val="0"/>
            <w:vAlign w:val="center"/>
          </w:tcPr>
          <w:p w14:paraId="421A7A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pacing w:val="-6"/>
                <w:sz w:val="24"/>
                <w:szCs w:val="24"/>
                <w:vertAlign w:val="baseline"/>
                <w:lang w:val="en-US" w:eastAsia="zh-CN"/>
              </w:rPr>
              <w:t>行政许可是否收费及收费的依据和标准</w:t>
            </w:r>
          </w:p>
        </w:tc>
        <w:tc>
          <w:tcPr>
            <w:tcW w:w="716" w:type="dxa"/>
            <w:noWrap w:val="0"/>
            <w:vAlign w:val="center"/>
          </w:tcPr>
          <w:p w14:paraId="4878CE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5596F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2" w:type="dxa"/>
            <w:noWrap w:val="0"/>
            <w:vAlign w:val="center"/>
          </w:tcPr>
          <w:p w14:paraId="01BA7A1D">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olor w:val="auto"/>
                <w:kern w:val="0"/>
                <w:sz w:val="21"/>
                <w:szCs w:val="21"/>
                <w:u w:val="none"/>
                <w:lang w:val="en-US" w:eastAsia="zh-CN" w:bidi="ar"/>
              </w:rPr>
              <w:t>1</w:t>
            </w:r>
          </w:p>
        </w:tc>
        <w:tc>
          <w:tcPr>
            <w:tcW w:w="2182" w:type="dxa"/>
            <w:noWrap w:val="0"/>
            <w:vAlign w:val="center"/>
          </w:tcPr>
          <w:p w14:paraId="3BF7A08D">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olor w:val="auto"/>
                <w:kern w:val="0"/>
                <w:sz w:val="21"/>
                <w:szCs w:val="21"/>
                <w:u w:val="none"/>
                <w:lang w:val="en-US" w:eastAsia="zh-CN" w:bidi="ar"/>
              </w:rPr>
              <w:t>对适龄儿童、少年因身体状况需要延缓入学或者休学的许可</w:t>
            </w:r>
          </w:p>
        </w:tc>
        <w:tc>
          <w:tcPr>
            <w:tcW w:w="2305" w:type="dxa"/>
            <w:noWrap w:val="0"/>
            <w:vAlign w:val="center"/>
          </w:tcPr>
          <w:p w14:paraId="50C3F62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《中华人民共和国义务教育法》</w:t>
            </w:r>
          </w:p>
        </w:tc>
        <w:tc>
          <w:tcPr>
            <w:tcW w:w="1363" w:type="dxa"/>
            <w:noWrap w:val="0"/>
            <w:vAlign w:val="center"/>
          </w:tcPr>
          <w:p w14:paraId="1979DC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w:t>
            </w:r>
          </w:p>
        </w:tc>
        <w:tc>
          <w:tcPr>
            <w:tcW w:w="1337" w:type="dxa"/>
            <w:noWrap w:val="0"/>
            <w:vAlign w:val="center"/>
          </w:tcPr>
          <w:p w14:paraId="11B5C8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4104" w:type="dxa"/>
            <w:noWrap w:val="0"/>
            <w:vAlign w:val="center"/>
          </w:tcPr>
          <w:p w14:paraId="31FC9B56">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《中华人民共和国义务教育法》第十一条 凡年满六周岁的儿童，其父母或者其他法定监护人应当送其入学接受并完成义务教育；条件不具备的地区的儿童，可以推迟到七周岁。适龄儿童、少年因身体状况需要延缓入学或者休学的，其父母或者其他法定监护人应当提出申请，由当地乡镇人民政府或者县级人民政府教育行政部门批准。</w:t>
            </w:r>
          </w:p>
        </w:tc>
        <w:tc>
          <w:tcPr>
            <w:tcW w:w="1173" w:type="dxa"/>
            <w:noWrap w:val="0"/>
            <w:vAlign w:val="center"/>
          </w:tcPr>
          <w:p w14:paraId="1B5BD8B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否</w:t>
            </w:r>
          </w:p>
        </w:tc>
        <w:tc>
          <w:tcPr>
            <w:tcW w:w="716" w:type="dxa"/>
            <w:noWrap w:val="0"/>
            <w:vAlign w:val="center"/>
          </w:tcPr>
          <w:p w14:paraId="2EFED2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38BE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2" w:type="dxa"/>
            <w:noWrap w:val="0"/>
            <w:vAlign w:val="center"/>
          </w:tcPr>
          <w:p w14:paraId="355A2855">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2</w:t>
            </w:r>
          </w:p>
        </w:tc>
        <w:tc>
          <w:tcPr>
            <w:tcW w:w="2182" w:type="dxa"/>
            <w:noWrap w:val="0"/>
            <w:vAlign w:val="center"/>
          </w:tcPr>
          <w:p w14:paraId="73B9D4E5">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对在村庄、集镇规划区内的街道、广场、市场和车站等场所和道路、河道两旁修建临时建筑物、构筑物和其他设施的许可</w:t>
            </w:r>
          </w:p>
        </w:tc>
        <w:tc>
          <w:tcPr>
            <w:tcW w:w="2305" w:type="dxa"/>
            <w:noWrap w:val="0"/>
            <w:vAlign w:val="center"/>
          </w:tcPr>
          <w:p w14:paraId="3A6B1F71">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1.《村庄和集镇规划建设管理条例》</w:t>
            </w:r>
          </w:p>
          <w:p w14:paraId="07F52EF9">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default"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olor w:val="auto"/>
                <w:kern w:val="0"/>
                <w:sz w:val="21"/>
                <w:szCs w:val="21"/>
                <w:u w:val="none"/>
                <w:lang w:val="en-US" w:eastAsia="zh-CN" w:bidi="ar"/>
              </w:rPr>
              <w:t>2.《四川省村镇规划建设管理条例》</w:t>
            </w:r>
          </w:p>
        </w:tc>
        <w:tc>
          <w:tcPr>
            <w:tcW w:w="1363" w:type="dxa"/>
            <w:noWrap w:val="0"/>
            <w:vAlign w:val="center"/>
          </w:tcPr>
          <w:p w14:paraId="32C357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val="en-US" w:eastAsia="zh-CN"/>
              </w:rPr>
              <w:t>1.</w:t>
            </w:r>
            <w:r>
              <w:rPr>
                <w:rFonts w:hint="eastAsia" w:ascii="仿宋_GB2312" w:hAnsi="仿宋_GB2312" w:eastAsia="仿宋_GB2312" w:cs="仿宋_GB2312"/>
                <w:color w:val="auto"/>
                <w:sz w:val="24"/>
                <w:szCs w:val="24"/>
                <w:vertAlign w:val="baseline"/>
                <w:lang w:eastAsia="zh-CN"/>
              </w:rPr>
              <w:t>国务院</w:t>
            </w:r>
          </w:p>
          <w:p w14:paraId="1E01B8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w:t>
            </w:r>
            <w:r>
              <w:rPr>
                <w:rFonts w:hint="eastAsia" w:ascii="宋体" w:hAnsi="宋体" w:eastAsia="宋体" w:cs="宋体"/>
                <w:i w:val="0"/>
                <w:iCs w:val="0"/>
                <w:caps w:val="0"/>
                <w:color w:val="auto"/>
                <w:spacing w:val="0"/>
                <w:sz w:val="21"/>
                <w:szCs w:val="21"/>
              </w:rPr>
              <w:t>四川省人民代表大会常务委员会</w:t>
            </w:r>
          </w:p>
        </w:tc>
        <w:tc>
          <w:tcPr>
            <w:tcW w:w="1337" w:type="dxa"/>
            <w:noWrap w:val="0"/>
            <w:vAlign w:val="center"/>
          </w:tcPr>
          <w:p w14:paraId="4DCC3A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lang w:val="en-US" w:eastAsia="zh-CN"/>
              </w:rPr>
              <w:t>1.</w:t>
            </w:r>
            <w:r>
              <w:rPr>
                <w:rFonts w:hint="eastAsia" w:ascii="仿宋_GB2312" w:hAnsi="仿宋_GB2312" w:eastAsia="仿宋_GB2312" w:cs="仿宋_GB2312"/>
                <w:color w:val="auto"/>
                <w:sz w:val="24"/>
                <w:szCs w:val="24"/>
                <w:vertAlign w:val="baseline"/>
              </w:rPr>
              <w:t>1993年6月29日</w:t>
            </w:r>
          </w:p>
          <w:p w14:paraId="4C3A66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2.2004年9月24日</w:t>
            </w:r>
          </w:p>
        </w:tc>
        <w:tc>
          <w:tcPr>
            <w:tcW w:w="4104" w:type="dxa"/>
            <w:noWrap w:val="0"/>
            <w:vAlign w:val="center"/>
          </w:tcPr>
          <w:p w14:paraId="382306B1">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1.《村庄和集镇规划建设管理条例》第三十二条 未经乡级人民政府批准，任何单位和个人不得擅自在村庄、集镇规划区内的街道、广场、市场和车站等场所修建临时建筑物、构筑物和其他设施。</w:t>
            </w:r>
            <w:r>
              <w:rPr>
                <w:rFonts w:hint="eastAsia" w:ascii="宋体" w:hAnsi="宋体" w:eastAsia="宋体" w:cs="宋体"/>
                <w:i w:val="0"/>
                <w:iCs w:val="0"/>
                <w:color w:val="auto"/>
                <w:kern w:val="0"/>
                <w:sz w:val="21"/>
                <w:szCs w:val="21"/>
                <w:u w:val="none"/>
                <w:lang w:val="en-US" w:eastAsia="zh-CN" w:bidi="ar"/>
              </w:rPr>
              <w:br w:type="textWrapping"/>
            </w:r>
            <w:r>
              <w:rPr>
                <w:rFonts w:hint="eastAsia" w:ascii="宋体" w:hAnsi="宋体" w:eastAsia="宋体" w:cs="宋体"/>
                <w:i w:val="0"/>
                <w:iCs w:val="0"/>
                <w:color w:val="auto"/>
                <w:kern w:val="0"/>
                <w:sz w:val="21"/>
                <w:szCs w:val="21"/>
                <w:u w:val="none"/>
                <w:lang w:val="en-US" w:eastAsia="zh-CN" w:bidi="ar"/>
              </w:rPr>
              <w:t>2.《四川省村镇规划建设管理条例》第二十一条第一款 单位或个人在村镇规划区内和道路、河道两旁进行临时建设，应经乡级人民政府同意，并依法申请办理临时用地手续后，方可进行临时建设。</w:t>
            </w:r>
          </w:p>
        </w:tc>
        <w:tc>
          <w:tcPr>
            <w:tcW w:w="1173" w:type="dxa"/>
            <w:noWrap w:val="0"/>
            <w:vAlign w:val="center"/>
          </w:tcPr>
          <w:p w14:paraId="7746BC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否</w:t>
            </w:r>
          </w:p>
        </w:tc>
        <w:tc>
          <w:tcPr>
            <w:tcW w:w="716" w:type="dxa"/>
            <w:noWrap w:val="0"/>
            <w:vAlign w:val="center"/>
          </w:tcPr>
          <w:p w14:paraId="22A316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4650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2" w:type="dxa"/>
            <w:noWrap w:val="0"/>
            <w:vAlign w:val="center"/>
          </w:tcPr>
          <w:p w14:paraId="0E5BE374">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3</w:t>
            </w:r>
          </w:p>
        </w:tc>
        <w:tc>
          <w:tcPr>
            <w:tcW w:w="2182" w:type="dxa"/>
            <w:noWrap w:val="0"/>
            <w:vAlign w:val="center"/>
          </w:tcPr>
          <w:p w14:paraId="74EFD425">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对在乡（镇）、村规划区域内使用原有宅基地、村内空闲地进行住宅建设的许可</w:t>
            </w:r>
          </w:p>
        </w:tc>
        <w:tc>
          <w:tcPr>
            <w:tcW w:w="2305" w:type="dxa"/>
            <w:noWrap w:val="0"/>
            <w:vAlign w:val="center"/>
          </w:tcPr>
          <w:p w14:paraId="51383E57">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1.《四川省村镇规划建设管理条例》</w:t>
            </w:r>
          </w:p>
          <w:p w14:paraId="699058C1">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default"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2.《四川省城乡规划条例》</w:t>
            </w:r>
          </w:p>
          <w:p w14:paraId="26C73FAD">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eastAsia" w:ascii="宋体" w:hAnsi="宋体" w:eastAsia="宋体" w:cs="宋体"/>
                <w:i w:val="0"/>
                <w:iCs w:val="0"/>
                <w:color w:val="auto"/>
                <w:kern w:val="0"/>
                <w:sz w:val="21"/>
                <w:szCs w:val="21"/>
                <w:u w:val="none"/>
                <w:lang w:val="en-US" w:eastAsia="zh-CN" w:bidi="ar"/>
              </w:rPr>
            </w:pPr>
          </w:p>
          <w:p w14:paraId="281D17BB">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default" w:ascii="宋体" w:hAnsi="宋体" w:eastAsia="宋体" w:cs="宋体"/>
                <w:i w:val="0"/>
                <w:iCs w:val="0"/>
                <w:color w:val="auto"/>
                <w:kern w:val="0"/>
                <w:sz w:val="21"/>
                <w:szCs w:val="21"/>
                <w:u w:val="none"/>
                <w:lang w:val="en-US" w:eastAsia="zh-CN" w:bidi="ar"/>
              </w:rPr>
            </w:pPr>
          </w:p>
        </w:tc>
        <w:tc>
          <w:tcPr>
            <w:tcW w:w="1363" w:type="dxa"/>
            <w:noWrap w:val="0"/>
            <w:vAlign w:val="center"/>
          </w:tcPr>
          <w:p w14:paraId="2C7B85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宋体"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四川省人民代表大会常务委员会</w:t>
            </w:r>
          </w:p>
        </w:tc>
        <w:tc>
          <w:tcPr>
            <w:tcW w:w="1337" w:type="dxa"/>
            <w:noWrap w:val="0"/>
            <w:vAlign w:val="center"/>
          </w:tcPr>
          <w:p w14:paraId="38E710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1.2004年9月24日2.2011年9月29日</w:t>
            </w:r>
          </w:p>
        </w:tc>
        <w:tc>
          <w:tcPr>
            <w:tcW w:w="4104" w:type="dxa"/>
            <w:noWrap w:val="0"/>
            <w:vAlign w:val="center"/>
          </w:tcPr>
          <w:p w14:paraId="22826131">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1.《四川省村镇规划建设管理条例》第十九条第一款第二项 使用原有宅基地、村内空闲地的，由乡级人民政府根据村镇规划和土地利用规划批准。</w:t>
            </w:r>
            <w:r>
              <w:rPr>
                <w:rFonts w:hint="eastAsia" w:ascii="宋体" w:hAnsi="宋体" w:eastAsia="宋体" w:cs="宋体"/>
                <w:i w:val="0"/>
                <w:iCs w:val="0"/>
                <w:color w:val="auto"/>
                <w:kern w:val="0"/>
                <w:sz w:val="21"/>
                <w:szCs w:val="21"/>
                <w:u w:val="none"/>
                <w:lang w:val="en-US" w:eastAsia="zh-CN" w:bidi="ar"/>
              </w:rPr>
              <w:br w:type="textWrapping"/>
            </w:r>
            <w:r>
              <w:rPr>
                <w:rFonts w:hint="eastAsia" w:ascii="宋体" w:hAnsi="宋体" w:eastAsia="宋体" w:cs="宋体"/>
                <w:i w:val="0"/>
                <w:iCs w:val="0"/>
                <w:color w:val="auto"/>
                <w:kern w:val="0"/>
                <w:sz w:val="21"/>
                <w:szCs w:val="21"/>
                <w:u w:val="none"/>
                <w:lang w:val="en-US" w:eastAsia="zh-CN" w:bidi="ar"/>
              </w:rPr>
              <w:t>2.《四川省城乡规划条例》第五十三条第二款 在乡、村规划区内使用原有宅基地进行农村村民住宅建设的，申请人应当持原有宅基地批准文件或者宅基地使用证明、户籍证明、住宅建设方案或者政府提供的通用设计图、村民委员会书面意见等材料向镇、乡人民政府提出申请，由镇、乡人民政府依据乡、村规划审批，核发乡村建设规划许可证。</w:t>
            </w:r>
          </w:p>
        </w:tc>
        <w:tc>
          <w:tcPr>
            <w:tcW w:w="1173" w:type="dxa"/>
            <w:noWrap w:val="0"/>
            <w:vAlign w:val="center"/>
          </w:tcPr>
          <w:p w14:paraId="3D831E2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否</w:t>
            </w:r>
          </w:p>
        </w:tc>
        <w:tc>
          <w:tcPr>
            <w:tcW w:w="716" w:type="dxa"/>
            <w:noWrap w:val="0"/>
            <w:vAlign w:val="center"/>
          </w:tcPr>
          <w:p w14:paraId="4C75F4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9398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2" w:type="dxa"/>
            <w:noWrap w:val="0"/>
            <w:vAlign w:val="center"/>
          </w:tcPr>
          <w:p w14:paraId="0B6B4750">
            <w:pPr>
              <w:jc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4</w:t>
            </w:r>
          </w:p>
        </w:tc>
        <w:tc>
          <w:tcPr>
            <w:tcW w:w="2182" w:type="dxa"/>
            <w:noWrap w:val="0"/>
            <w:vAlign w:val="center"/>
          </w:tcPr>
          <w:p w14:paraId="6180D2E9">
            <w:pPr>
              <w:jc w:val="left"/>
              <w:rPr>
                <w:rFonts w:hint="eastAsia" w:ascii="仿宋_GB2312" w:hAnsi="仿宋_GB2312" w:eastAsia="仿宋_GB2312" w:cs="仿宋_GB2312"/>
                <w:color w:val="auto"/>
                <w:sz w:val="24"/>
                <w:szCs w:val="24"/>
                <w:highlight w:val="none"/>
                <w:vertAlign w:val="baseline"/>
              </w:rPr>
            </w:pPr>
            <w:r>
              <w:rPr>
                <w:rFonts w:hint="eastAsia" w:ascii="宋体" w:hAnsi="宋体" w:eastAsia="宋体" w:cs="宋体"/>
                <w:i w:val="0"/>
                <w:iCs w:val="0"/>
                <w:color w:val="auto"/>
                <w:sz w:val="21"/>
                <w:szCs w:val="21"/>
                <w:highlight w:val="none"/>
                <w:u w:val="none"/>
                <w:lang w:val="en-US" w:eastAsia="zh-CN"/>
              </w:rPr>
              <w:t>对开发农民集体所有的荒山荒地、荒滩从事种植业、林业畜牧业、渔业生产的许可</w:t>
            </w:r>
          </w:p>
        </w:tc>
        <w:tc>
          <w:tcPr>
            <w:tcW w:w="2305" w:type="dxa"/>
            <w:noWrap w:val="0"/>
            <w:vAlign w:val="center"/>
          </w:tcPr>
          <w:p w14:paraId="05FCA6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highlight w:val="none"/>
                <w:vertAlign w:val="baseline"/>
              </w:rPr>
            </w:pPr>
            <w:r>
              <w:rPr>
                <w:rFonts w:hint="eastAsia" w:ascii="宋体" w:hAnsi="宋体" w:eastAsia="宋体" w:cs="宋体"/>
                <w:i w:val="0"/>
                <w:iCs w:val="0"/>
                <w:color w:val="auto"/>
                <w:sz w:val="21"/>
                <w:szCs w:val="21"/>
                <w:highlight w:val="none"/>
                <w:u w:val="none"/>
                <w:lang w:val="en-US" w:eastAsia="zh-CN"/>
              </w:rPr>
              <w:t>《四川省&lt;中华人民共和国土地管理法&gt;实施办法》</w:t>
            </w:r>
          </w:p>
        </w:tc>
        <w:tc>
          <w:tcPr>
            <w:tcW w:w="1363" w:type="dxa"/>
            <w:noWrap w:val="0"/>
            <w:vAlign w:val="center"/>
          </w:tcPr>
          <w:p w14:paraId="16B993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highlight w:val="none"/>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337" w:type="dxa"/>
            <w:noWrap w:val="0"/>
            <w:vAlign w:val="center"/>
          </w:tcPr>
          <w:p w14:paraId="2A73BA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highlight w:val="none"/>
                <w:vertAlign w:val="baseline"/>
              </w:rPr>
            </w:pPr>
            <w:r>
              <w:rPr>
                <w:rFonts w:hint="eastAsia" w:ascii="仿宋_GB2312" w:hAnsi="仿宋_GB2312" w:eastAsia="仿宋_GB2312" w:cs="仿宋_GB2312"/>
                <w:color w:val="auto"/>
                <w:sz w:val="24"/>
                <w:szCs w:val="24"/>
                <w:highlight w:val="none"/>
                <w:vertAlign w:val="baseline"/>
              </w:rPr>
              <w:t>2022年12月2日</w:t>
            </w:r>
          </w:p>
        </w:tc>
        <w:tc>
          <w:tcPr>
            <w:tcW w:w="4104" w:type="dxa"/>
            <w:noWrap w:val="0"/>
            <w:vAlign w:val="top"/>
          </w:tcPr>
          <w:p w14:paraId="5A027DF4">
            <w:pPr>
              <w:jc w:val="left"/>
              <w:rPr>
                <w:rFonts w:hint="eastAsia" w:ascii="仿宋_GB2312" w:hAnsi="仿宋_GB2312" w:eastAsia="仿宋_GB2312" w:cs="仿宋_GB2312"/>
                <w:color w:val="auto"/>
                <w:sz w:val="24"/>
                <w:szCs w:val="24"/>
                <w:highlight w:val="none"/>
                <w:vertAlign w:val="baseline"/>
              </w:rPr>
            </w:pPr>
            <w:r>
              <w:rPr>
                <w:rFonts w:hint="eastAsia" w:ascii="宋体" w:hAnsi="宋体" w:eastAsia="宋体" w:cs="宋体"/>
                <w:i w:val="0"/>
                <w:iCs w:val="0"/>
                <w:color w:val="auto"/>
                <w:sz w:val="21"/>
                <w:szCs w:val="21"/>
                <w:highlight w:val="none"/>
                <w:u w:val="none"/>
                <w:lang w:val="en-US" w:eastAsia="zh-CN"/>
              </w:rPr>
              <w:t>《四川省&lt;中华人民共和国土地管理法&gt;实施办法》第三十条 农村集体经济组织以外的单位和个人，开发农民集体所有的荒山、荒地、荒滩从事种植业、林业、畜牧业、渔业生产的，应当符合土地利用总体规划，经村民会议三分之二以上成员或者三分之二以上村民代表的同意，报（镇）人民政府批准，并报县级土地行政主管部门备案。</w:t>
            </w:r>
          </w:p>
        </w:tc>
        <w:tc>
          <w:tcPr>
            <w:tcW w:w="1173" w:type="dxa"/>
            <w:noWrap w:val="0"/>
            <w:vAlign w:val="center"/>
          </w:tcPr>
          <w:p w14:paraId="39199F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否</w:t>
            </w:r>
          </w:p>
        </w:tc>
        <w:tc>
          <w:tcPr>
            <w:tcW w:w="716" w:type="dxa"/>
            <w:noWrap w:val="0"/>
            <w:vAlign w:val="center"/>
          </w:tcPr>
          <w:p w14:paraId="60DE87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05F2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2" w:type="dxa"/>
            <w:noWrap w:val="0"/>
            <w:vAlign w:val="center"/>
          </w:tcPr>
          <w:p w14:paraId="3B1138A4">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5</w:t>
            </w:r>
          </w:p>
        </w:tc>
        <w:tc>
          <w:tcPr>
            <w:tcW w:w="2182" w:type="dxa"/>
            <w:noWrap w:val="0"/>
            <w:vAlign w:val="center"/>
          </w:tcPr>
          <w:p w14:paraId="1B4A67D4">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对不宜采取家庭承包方式的农村土地由本集体经济组织以外的单位或个人承包的许可</w:t>
            </w:r>
          </w:p>
        </w:tc>
        <w:tc>
          <w:tcPr>
            <w:tcW w:w="2305" w:type="dxa"/>
            <w:noWrap w:val="0"/>
            <w:vAlign w:val="center"/>
          </w:tcPr>
          <w:p w14:paraId="169093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《中华人民共和国农村土地承包法》</w:t>
            </w:r>
          </w:p>
        </w:tc>
        <w:tc>
          <w:tcPr>
            <w:tcW w:w="1363" w:type="dxa"/>
            <w:noWrap w:val="0"/>
            <w:vAlign w:val="center"/>
          </w:tcPr>
          <w:p w14:paraId="6BD54BA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37" w:type="dxa"/>
            <w:noWrap w:val="0"/>
            <w:vAlign w:val="center"/>
          </w:tcPr>
          <w:p w14:paraId="405A9A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br w:type="textWrapping"/>
            </w:r>
            <w:r>
              <w:rPr>
                <w:rFonts w:hint="eastAsia" w:ascii="仿宋_GB2312" w:hAnsi="仿宋_GB2312" w:eastAsia="仿宋_GB2312" w:cs="仿宋_GB2312"/>
                <w:color w:val="auto"/>
                <w:sz w:val="24"/>
                <w:szCs w:val="24"/>
                <w:vertAlign w:val="baseline"/>
              </w:rPr>
              <w:t>2018年12月29日</w:t>
            </w:r>
          </w:p>
        </w:tc>
        <w:tc>
          <w:tcPr>
            <w:tcW w:w="4104" w:type="dxa"/>
            <w:noWrap w:val="0"/>
            <w:vAlign w:val="top"/>
          </w:tcPr>
          <w:p w14:paraId="730D8D74">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《中华人民共和国农村土地承包法》第五十二条第一款 发包方将农村土地发包给本集体经济组织以外的单位或者个人承包，应当事先经本集体经济组织成员的村民会议三分之二以上成员或者三分之二以上村民代表的同意，并报乡（镇）人民政府批准。</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《中华人民共和国农村土地承包法》第四十八条 不宜采取家庭承包方式的荒山、荒沟、荒丘、荒滩等农村土地，通过招标、拍卖、公开协商等方式承包的，适用本章规定。</w:t>
            </w:r>
          </w:p>
        </w:tc>
        <w:tc>
          <w:tcPr>
            <w:tcW w:w="1173" w:type="dxa"/>
            <w:noWrap w:val="0"/>
            <w:vAlign w:val="center"/>
          </w:tcPr>
          <w:p w14:paraId="1877D04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否</w:t>
            </w:r>
          </w:p>
        </w:tc>
        <w:tc>
          <w:tcPr>
            <w:tcW w:w="716" w:type="dxa"/>
            <w:noWrap w:val="0"/>
            <w:vAlign w:val="center"/>
          </w:tcPr>
          <w:p w14:paraId="020BC1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6C5F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2" w:type="dxa"/>
            <w:noWrap w:val="0"/>
            <w:vAlign w:val="center"/>
          </w:tcPr>
          <w:p w14:paraId="621C01AC">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6</w:t>
            </w:r>
          </w:p>
        </w:tc>
        <w:tc>
          <w:tcPr>
            <w:tcW w:w="2182" w:type="dxa"/>
            <w:noWrap w:val="0"/>
            <w:vAlign w:val="center"/>
          </w:tcPr>
          <w:p w14:paraId="39D6675C">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对农村村民住宅用地的许可</w:t>
            </w:r>
          </w:p>
        </w:tc>
        <w:tc>
          <w:tcPr>
            <w:tcW w:w="2305" w:type="dxa"/>
            <w:noWrap w:val="0"/>
            <w:vAlign w:val="center"/>
          </w:tcPr>
          <w:p w14:paraId="6B31E4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《中华人民共和国土地管理法》</w:t>
            </w:r>
          </w:p>
        </w:tc>
        <w:tc>
          <w:tcPr>
            <w:tcW w:w="1363" w:type="dxa"/>
            <w:noWrap w:val="0"/>
            <w:vAlign w:val="center"/>
          </w:tcPr>
          <w:p w14:paraId="76E9255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337" w:type="dxa"/>
            <w:noWrap w:val="0"/>
            <w:vAlign w:val="center"/>
          </w:tcPr>
          <w:p w14:paraId="433374D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default" w:ascii="宋体" w:hAnsi="宋体" w:eastAsia="宋体" w:cs="宋体"/>
                <w:i w:val="0"/>
                <w:iCs w:val="0"/>
                <w:caps w:val="0"/>
                <w:color w:val="auto"/>
                <w:spacing w:val="0"/>
                <w:sz w:val="21"/>
                <w:szCs w:val="21"/>
              </w:rPr>
              <w:t>2019</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8</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26</w:t>
            </w:r>
            <w:r>
              <w:rPr>
                <w:rFonts w:hint="eastAsia" w:ascii="宋体" w:hAnsi="宋体" w:eastAsia="宋体" w:cs="宋体"/>
                <w:i w:val="0"/>
                <w:iCs w:val="0"/>
                <w:caps w:val="0"/>
                <w:color w:val="auto"/>
                <w:spacing w:val="0"/>
                <w:sz w:val="21"/>
                <w:szCs w:val="21"/>
              </w:rPr>
              <w:t>日</w:t>
            </w:r>
          </w:p>
        </w:tc>
        <w:tc>
          <w:tcPr>
            <w:tcW w:w="4104" w:type="dxa"/>
            <w:noWrap w:val="0"/>
            <w:vAlign w:val="top"/>
          </w:tcPr>
          <w:p w14:paraId="5432C517">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《中华人民共和国土地管理法》第六十二条第四款、第五款 农村村民住宅用地，由乡（镇）人民政府审核批准；其中，涉及占用农用地的，依照本法第四十四条的规定办理审批手续。 农村村民出卖、出租、赠与住宅后，再申请宅基地的，不予批准。</w:t>
            </w:r>
          </w:p>
        </w:tc>
        <w:tc>
          <w:tcPr>
            <w:tcW w:w="1173" w:type="dxa"/>
            <w:noWrap w:val="0"/>
            <w:vAlign w:val="center"/>
          </w:tcPr>
          <w:p w14:paraId="4CDB7D2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否</w:t>
            </w:r>
          </w:p>
        </w:tc>
        <w:tc>
          <w:tcPr>
            <w:tcW w:w="716" w:type="dxa"/>
            <w:noWrap w:val="0"/>
            <w:vAlign w:val="center"/>
          </w:tcPr>
          <w:p w14:paraId="59A24B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640E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2" w:type="dxa"/>
            <w:noWrap w:val="0"/>
            <w:vAlign w:val="center"/>
          </w:tcPr>
          <w:p w14:paraId="68CBD348">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7</w:t>
            </w:r>
          </w:p>
        </w:tc>
        <w:tc>
          <w:tcPr>
            <w:tcW w:w="2182" w:type="dxa"/>
            <w:noWrap w:val="0"/>
            <w:vAlign w:val="center"/>
          </w:tcPr>
          <w:p w14:paraId="5F8ED6DE">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对农村的疫区、狂犬病防护带养犬的许可</w:t>
            </w:r>
          </w:p>
        </w:tc>
        <w:tc>
          <w:tcPr>
            <w:tcW w:w="2305" w:type="dxa"/>
            <w:noWrap w:val="0"/>
            <w:vAlign w:val="center"/>
          </w:tcPr>
          <w:p w14:paraId="16DB53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《四川省预防控制狂犬病条例》</w:t>
            </w:r>
          </w:p>
        </w:tc>
        <w:tc>
          <w:tcPr>
            <w:tcW w:w="1363" w:type="dxa"/>
            <w:noWrap w:val="0"/>
            <w:vAlign w:val="center"/>
          </w:tcPr>
          <w:p w14:paraId="36F2B4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337" w:type="dxa"/>
            <w:noWrap w:val="0"/>
            <w:vAlign w:val="center"/>
          </w:tcPr>
          <w:p w14:paraId="156571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1997年10月17</w:t>
            </w:r>
          </w:p>
        </w:tc>
        <w:tc>
          <w:tcPr>
            <w:tcW w:w="4104" w:type="dxa"/>
            <w:noWrap w:val="0"/>
            <w:vAlign w:val="top"/>
          </w:tcPr>
          <w:p w14:paraId="73FE4B88">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《四川省预防控制狂犬病条例》第六条第二款 农村的疫区、狂犬病防护带养犬，须经当地乡、镇人民政府批准；限养区内除警卫犬、军犬、科研犬、观赏犬、演艺犬外，一律禁止饲养其它犬只。限养区饲养的犬只，须经当 地县（市、区）公安机关批准。经批准养犬的，由批准机关发给准养证书。</w:t>
            </w:r>
          </w:p>
        </w:tc>
        <w:tc>
          <w:tcPr>
            <w:tcW w:w="1173" w:type="dxa"/>
            <w:noWrap w:val="0"/>
            <w:vAlign w:val="center"/>
          </w:tcPr>
          <w:p w14:paraId="46FF6DD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否</w:t>
            </w:r>
          </w:p>
        </w:tc>
        <w:tc>
          <w:tcPr>
            <w:tcW w:w="716" w:type="dxa"/>
            <w:noWrap w:val="0"/>
            <w:vAlign w:val="center"/>
          </w:tcPr>
          <w:p w14:paraId="4D8F99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bl>
    <w:p w14:paraId="6E30B6D4">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仿宋_GB2312" w:hAnsi="仿宋_GB2312" w:eastAsia="仿宋_GB2312" w:cs="仿宋_GB2312"/>
          <w:color w:val="auto"/>
          <w:sz w:val="32"/>
          <w:szCs w:val="32"/>
          <w:lang w:val="en-US" w:eastAsia="zh-CN"/>
        </w:rPr>
      </w:pPr>
    </w:p>
    <w:p w14:paraId="0BD15237">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仿宋_GB2312" w:hAnsi="仿宋_GB2312" w:eastAsia="仿宋_GB2312" w:cs="仿宋_GB2312"/>
          <w:color w:val="auto"/>
          <w:sz w:val="32"/>
          <w:szCs w:val="32"/>
          <w:lang w:val="en-US" w:eastAsia="zh-CN"/>
        </w:rPr>
      </w:pPr>
    </w:p>
    <w:p w14:paraId="5B2B5AF9">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p>
    <w:p w14:paraId="75A36A66">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黑体" w:hAnsi="Calibri" w:eastAsia="黑体"/>
          <w:b w:val="0"/>
          <w:bCs w:val="0"/>
          <w:color w:val="auto"/>
          <w:sz w:val="32"/>
          <w:szCs w:val="32"/>
          <w:lang w:val="en-US"/>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2-3</w:t>
      </w:r>
    </w:p>
    <w:p w14:paraId="66248E99">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黑体" w:hAnsi="Calibri" w:eastAsia="黑体"/>
          <w:color w:val="auto"/>
          <w:sz w:val="32"/>
          <w:szCs w:val="32"/>
          <w:lang w:eastAsia="zh-CN"/>
        </w:rPr>
      </w:pPr>
    </w:p>
    <w:p w14:paraId="23C010D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黑体" w:hAnsi="黑体" w:eastAsia="黑体"/>
          <w:color w:val="auto"/>
          <w:sz w:val="44"/>
          <w:szCs w:val="52"/>
        </w:rPr>
      </w:pPr>
      <w:r>
        <w:rPr>
          <w:rFonts w:hint="eastAsia" w:ascii="方正小标宋简体" w:hAnsi="方正小标宋简体" w:eastAsia="方正小标宋简体"/>
          <w:b w:val="0"/>
          <w:bCs w:val="0"/>
          <w:color w:val="auto"/>
          <w:sz w:val="44"/>
          <w:szCs w:val="40"/>
          <w:lang w:eastAsia="zh-CN"/>
        </w:rPr>
        <w:t>行政执法依据梳理表（行政</w:t>
      </w:r>
      <w:r>
        <w:rPr>
          <w:rFonts w:hint="eastAsia" w:ascii="方正小标宋简体" w:hAnsi="方正小标宋简体" w:eastAsia="方正小标宋简体"/>
          <w:b w:val="0"/>
          <w:bCs w:val="0"/>
          <w:color w:val="auto"/>
          <w:sz w:val="44"/>
          <w:szCs w:val="40"/>
          <w:lang w:val="en-US" w:eastAsia="zh-CN"/>
        </w:rPr>
        <w:t>确认</w:t>
      </w:r>
      <w:r>
        <w:rPr>
          <w:rFonts w:hint="eastAsia" w:ascii="方正小标宋简体" w:hAnsi="方正小标宋简体" w:eastAsia="方正小标宋简体"/>
          <w:b w:val="0"/>
          <w:bCs w:val="0"/>
          <w:color w:val="auto"/>
          <w:sz w:val="44"/>
          <w:szCs w:val="40"/>
          <w:lang w:eastAsia="zh-CN"/>
        </w:rPr>
        <w:t>类）</w:t>
      </w:r>
    </w:p>
    <w:p w14:paraId="2FF8C57A">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行政执法部门名称：广元市昭化区柏林沟镇人民政府                                 填表时间：2025年3月24日</w:t>
      </w:r>
    </w:p>
    <w:tbl>
      <w:tblPr>
        <w:tblStyle w:val="6"/>
        <w:tblW w:w="139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
        <w:gridCol w:w="1315"/>
        <w:gridCol w:w="2332"/>
        <w:gridCol w:w="1582"/>
        <w:gridCol w:w="1445"/>
        <w:gridCol w:w="5591"/>
        <w:gridCol w:w="747"/>
      </w:tblGrid>
      <w:tr w14:paraId="01219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890" w:type="dxa"/>
            <w:noWrap w:val="0"/>
            <w:vAlign w:val="center"/>
          </w:tcPr>
          <w:p w14:paraId="6F86C3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1315" w:type="dxa"/>
            <w:noWrap w:val="0"/>
            <w:vAlign w:val="center"/>
          </w:tcPr>
          <w:p w14:paraId="55D9F5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行政确认的名称</w:t>
            </w:r>
          </w:p>
        </w:tc>
        <w:tc>
          <w:tcPr>
            <w:tcW w:w="2332" w:type="dxa"/>
            <w:noWrap w:val="0"/>
            <w:vAlign w:val="center"/>
          </w:tcPr>
          <w:p w14:paraId="6F196E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行政确认依据的法律、法规、规章名称</w:t>
            </w:r>
          </w:p>
        </w:tc>
        <w:tc>
          <w:tcPr>
            <w:tcW w:w="1582" w:type="dxa"/>
            <w:noWrap w:val="0"/>
            <w:vAlign w:val="center"/>
          </w:tcPr>
          <w:p w14:paraId="7ED618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445" w:type="dxa"/>
            <w:noWrap w:val="0"/>
            <w:vAlign w:val="center"/>
          </w:tcPr>
          <w:p w14:paraId="007030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5591" w:type="dxa"/>
            <w:noWrap w:val="0"/>
            <w:vAlign w:val="center"/>
          </w:tcPr>
          <w:p w14:paraId="330ECB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行政确认依据的具体条款</w:t>
            </w:r>
          </w:p>
        </w:tc>
        <w:tc>
          <w:tcPr>
            <w:tcW w:w="747" w:type="dxa"/>
            <w:noWrap w:val="0"/>
            <w:vAlign w:val="center"/>
          </w:tcPr>
          <w:p w14:paraId="7AA846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492A0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0D716CC6">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olor w:val="auto"/>
                <w:kern w:val="0"/>
                <w:sz w:val="21"/>
                <w:szCs w:val="21"/>
                <w:u w:val="none"/>
                <w:lang w:val="en-US" w:eastAsia="zh-CN" w:bidi="ar"/>
              </w:rPr>
              <w:t>1</w:t>
            </w:r>
          </w:p>
        </w:tc>
        <w:tc>
          <w:tcPr>
            <w:tcW w:w="1315" w:type="dxa"/>
            <w:noWrap w:val="0"/>
            <w:vAlign w:val="center"/>
          </w:tcPr>
          <w:p w14:paraId="56F9F2AA">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lang w:val="en-US" w:eastAsia="zh-CN"/>
              </w:rPr>
            </w:pPr>
            <w:r>
              <w:rPr>
                <w:rStyle w:val="10"/>
                <w:color w:val="auto"/>
                <w:lang w:val="en-US" w:eastAsia="zh-CN" w:bidi="ar"/>
              </w:rPr>
              <w:t>农村幼儿园举办、停办登记注册</w:t>
            </w:r>
          </w:p>
        </w:tc>
        <w:tc>
          <w:tcPr>
            <w:tcW w:w="2332" w:type="dxa"/>
            <w:noWrap w:val="0"/>
            <w:vAlign w:val="center"/>
          </w:tcPr>
          <w:p w14:paraId="08A6BC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10"/>
                <w:color w:val="auto"/>
                <w:lang w:val="en-US" w:eastAsia="zh-CN" w:bidi="ar"/>
              </w:rPr>
              <w:t>《幼儿园管理条例》</w:t>
            </w:r>
          </w:p>
        </w:tc>
        <w:tc>
          <w:tcPr>
            <w:tcW w:w="1582" w:type="dxa"/>
            <w:noWrap w:val="0"/>
            <w:vAlign w:val="center"/>
          </w:tcPr>
          <w:p w14:paraId="66ECD4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445" w:type="dxa"/>
            <w:noWrap w:val="0"/>
            <w:vAlign w:val="center"/>
          </w:tcPr>
          <w:p w14:paraId="6E30EFB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1</w:t>
            </w:r>
            <w:r>
              <w:rPr>
                <w:rFonts w:hint="default" w:ascii="宋体" w:hAnsi="宋体" w:eastAsia="宋体" w:cs="宋体"/>
                <w:i w:val="0"/>
                <w:iCs w:val="0"/>
                <w:caps w:val="0"/>
                <w:color w:val="auto"/>
                <w:spacing w:val="0"/>
                <w:sz w:val="21"/>
                <w:szCs w:val="21"/>
              </w:rPr>
              <w:t>989</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9</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11</w:t>
            </w:r>
            <w:r>
              <w:rPr>
                <w:rFonts w:hint="eastAsia" w:ascii="宋体" w:hAnsi="宋体" w:eastAsia="宋体" w:cs="宋体"/>
                <w:i w:val="0"/>
                <w:iCs w:val="0"/>
                <w:caps w:val="0"/>
                <w:color w:val="auto"/>
                <w:spacing w:val="0"/>
                <w:sz w:val="21"/>
                <w:szCs w:val="21"/>
              </w:rPr>
              <w:t>日</w:t>
            </w:r>
          </w:p>
        </w:tc>
        <w:tc>
          <w:tcPr>
            <w:tcW w:w="5591" w:type="dxa"/>
            <w:noWrap w:val="0"/>
            <w:vAlign w:val="top"/>
          </w:tcPr>
          <w:p w14:paraId="61973842">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Style w:val="10"/>
                <w:color w:val="auto"/>
                <w:lang w:val="en-US" w:eastAsia="zh-CN" w:bidi="ar"/>
              </w:rPr>
              <w:t>1.《幼儿园管理条例》第十一条 国家实行幼儿园登记注册制度，未经登记注册，任何单位和个人不得举办幼儿园。</w:t>
            </w:r>
            <w:r>
              <w:rPr>
                <w:rStyle w:val="10"/>
                <w:color w:val="auto"/>
                <w:lang w:val="en-US" w:eastAsia="zh-CN" w:bidi="ar"/>
              </w:rPr>
              <w:br w:type="textWrapping"/>
            </w:r>
            <w:r>
              <w:rPr>
                <w:rStyle w:val="10"/>
                <w:color w:val="auto"/>
                <w:lang w:val="en-US" w:eastAsia="zh-CN" w:bidi="ar"/>
              </w:rPr>
              <w:t>《幼儿园管理条例》第十二条 城市幼儿园的举办、停办、由所在区、不设区的市的人民政府教育行政部门登记注册。农村幼儿园的举办、停办，由所在乡、镇人民政府登记注册，并报县人民政府教育行政部门备案。  2.《四川省幼儿园登记注册管理办法》第五条第二款、第三款、第四款 农村区、乡、镇所属单位举办幼儿园，应向所在地的乡 （镇）人民政府提出书面申请，填写《幼儿园登记注册表》，经审查符合规定条件者准予登记注册，发给《办园证书》，并报县（市、区）教育行政部门备案。公民举办个体性质的幼儿园，应向所在地乡（镇）人民政府、城市街道办事处提出书面申请，填写《幼儿园登记注册表》。由乡（镇）人民政府、城市街道办事处审查同意后报县（市、区）教育行政部门审查，符合规定条件者准予登记注册，发给《办园证书》</w:t>
            </w:r>
            <w:r>
              <w:rPr>
                <w:rStyle w:val="10"/>
                <w:rFonts w:hint="eastAsia"/>
                <w:color w:val="auto"/>
                <w:lang w:val="en-US" w:eastAsia="zh-CN" w:bidi="ar"/>
              </w:rPr>
              <w:t>。</w:t>
            </w:r>
            <w:r>
              <w:rPr>
                <w:rStyle w:val="10"/>
                <w:color w:val="auto"/>
                <w:lang w:val="en-US" w:eastAsia="zh-CN" w:bidi="ar"/>
              </w:rPr>
              <w:t>《幼儿园登记注册表》和《办园证书》的格式由省教育行政部门统一制发。</w:t>
            </w:r>
          </w:p>
        </w:tc>
        <w:tc>
          <w:tcPr>
            <w:tcW w:w="747" w:type="dxa"/>
            <w:noWrap w:val="0"/>
            <w:vAlign w:val="center"/>
          </w:tcPr>
          <w:p w14:paraId="757DB0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D95F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3125B02F">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2</w:t>
            </w:r>
          </w:p>
        </w:tc>
        <w:tc>
          <w:tcPr>
            <w:tcW w:w="1315" w:type="dxa"/>
            <w:noWrap w:val="0"/>
            <w:vAlign w:val="center"/>
          </w:tcPr>
          <w:p w14:paraId="59B78E15">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中国内地公民婚姻登记</w:t>
            </w:r>
          </w:p>
        </w:tc>
        <w:tc>
          <w:tcPr>
            <w:tcW w:w="2332" w:type="dxa"/>
            <w:noWrap w:val="0"/>
            <w:vAlign w:val="center"/>
          </w:tcPr>
          <w:p w14:paraId="67E1E7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《婚姻登记条例》</w:t>
            </w:r>
          </w:p>
        </w:tc>
        <w:tc>
          <w:tcPr>
            <w:tcW w:w="1582" w:type="dxa"/>
            <w:noWrap w:val="0"/>
            <w:vAlign w:val="center"/>
          </w:tcPr>
          <w:p w14:paraId="07640F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445" w:type="dxa"/>
            <w:noWrap w:val="0"/>
            <w:vAlign w:val="center"/>
          </w:tcPr>
          <w:p w14:paraId="6A9D70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2003年8月8日</w:t>
            </w:r>
          </w:p>
        </w:tc>
        <w:tc>
          <w:tcPr>
            <w:tcW w:w="5591" w:type="dxa"/>
            <w:noWrap w:val="0"/>
            <w:vAlign w:val="top"/>
          </w:tcPr>
          <w:p w14:paraId="53BB48B9">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《婚姻登记条例》第二条第一款 内地居民办理婚姻登记的机关是县级人民政府民政部门或者乡（镇）人民政府，省、自治区、直辖市人民政府可以按照便民原则确定农村居民办理婚姻登记的具体机关。</w:t>
            </w:r>
          </w:p>
        </w:tc>
        <w:tc>
          <w:tcPr>
            <w:tcW w:w="747" w:type="dxa"/>
            <w:noWrap w:val="0"/>
            <w:vAlign w:val="center"/>
          </w:tcPr>
          <w:p w14:paraId="260F27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ED92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517FFCB7">
            <w:pPr>
              <w:jc w:val="center"/>
              <w:rPr>
                <w:rFonts w:hint="eastAsia" w:ascii="仿宋_GB2312" w:hAnsi="仿宋_GB2312" w:eastAsia="仿宋_GB2312" w:cs="仿宋_GB2312"/>
                <w:color w:val="auto"/>
                <w:sz w:val="24"/>
                <w:szCs w:val="24"/>
                <w:vertAlign w:val="baseline"/>
              </w:rPr>
            </w:pPr>
            <w:r>
              <w:rPr>
                <w:rFonts w:hint="eastAsia" w:ascii="宋体" w:hAnsi="宋体" w:cs="宋体"/>
                <w:i w:val="0"/>
                <w:iCs w:val="0"/>
                <w:color w:val="auto"/>
                <w:kern w:val="0"/>
                <w:sz w:val="21"/>
                <w:szCs w:val="21"/>
                <w:u w:val="none"/>
                <w:lang w:val="en-US" w:eastAsia="zh-CN" w:bidi="ar"/>
              </w:rPr>
              <w:t>3</w:t>
            </w:r>
          </w:p>
        </w:tc>
        <w:tc>
          <w:tcPr>
            <w:tcW w:w="1315" w:type="dxa"/>
            <w:noWrap w:val="0"/>
            <w:vAlign w:val="center"/>
          </w:tcPr>
          <w:p w14:paraId="080BA531">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自用船舶登记</w:t>
            </w:r>
          </w:p>
        </w:tc>
        <w:tc>
          <w:tcPr>
            <w:tcW w:w="2332" w:type="dxa"/>
            <w:noWrap w:val="0"/>
            <w:vAlign w:val="center"/>
          </w:tcPr>
          <w:p w14:paraId="36B6A7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《四川省水上交通安全管理条例》</w:t>
            </w:r>
          </w:p>
        </w:tc>
        <w:tc>
          <w:tcPr>
            <w:tcW w:w="1582" w:type="dxa"/>
            <w:noWrap w:val="0"/>
            <w:vAlign w:val="center"/>
          </w:tcPr>
          <w:p w14:paraId="0E2E86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445" w:type="dxa"/>
            <w:noWrap w:val="0"/>
            <w:vAlign w:val="center"/>
          </w:tcPr>
          <w:p w14:paraId="698482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2012年7月27日</w:t>
            </w:r>
          </w:p>
        </w:tc>
        <w:tc>
          <w:tcPr>
            <w:tcW w:w="5591" w:type="dxa"/>
            <w:noWrap w:val="0"/>
            <w:vAlign w:val="top"/>
          </w:tcPr>
          <w:p w14:paraId="71283110">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《四川省水上交通安全管理条例》第十三条第三款 自用船舶所有人应当向当地乡（镇）人民政府、街道办事处申请办理自用船舶登记证书。</w:t>
            </w:r>
          </w:p>
        </w:tc>
        <w:tc>
          <w:tcPr>
            <w:tcW w:w="747" w:type="dxa"/>
            <w:noWrap w:val="0"/>
            <w:vAlign w:val="center"/>
          </w:tcPr>
          <w:p w14:paraId="0162F9B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27F8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26574880">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cs="宋体"/>
                <w:i w:val="0"/>
                <w:iCs w:val="0"/>
                <w:color w:val="auto"/>
                <w:kern w:val="0"/>
                <w:sz w:val="21"/>
                <w:szCs w:val="21"/>
                <w:u w:val="none"/>
                <w:lang w:val="en-US" w:eastAsia="zh-CN" w:bidi="ar"/>
              </w:rPr>
              <w:t>4</w:t>
            </w:r>
          </w:p>
        </w:tc>
        <w:tc>
          <w:tcPr>
            <w:tcW w:w="1315" w:type="dxa"/>
            <w:noWrap w:val="0"/>
            <w:vAlign w:val="center"/>
          </w:tcPr>
          <w:p w14:paraId="56158439">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食品摊贩登记</w:t>
            </w:r>
          </w:p>
        </w:tc>
        <w:tc>
          <w:tcPr>
            <w:tcW w:w="2332" w:type="dxa"/>
            <w:noWrap w:val="0"/>
            <w:vAlign w:val="center"/>
          </w:tcPr>
          <w:p w14:paraId="7F2D77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w:t>
            </w:r>
            <w:r>
              <w:rPr>
                <w:rFonts w:hint="eastAsia" w:ascii="宋体" w:hAnsi="宋体" w:eastAsia="宋体" w:cs="宋体"/>
                <w:i w:val="0"/>
                <w:iCs w:val="0"/>
                <w:color w:val="auto"/>
                <w:kern w:val="0"/>
                <w:sz w:val="21"/>
                <w:szCs w:val="21"/>
                <w:u w:val="none"/>
                <w:lang w:val="en-US" w:eastAsia="zh-CN" w:bidi="ar"/>
              </w:rPr>
              <w:t>四川省食品安全条例</w:t>
            </w:r>
            <w:r>
              <w:rPr>
                <w:rFonts w:ascii="宋体" w:hAnsi="宋体" w:eastAsia="宋体" w:cs="宋体"/>
                <w:i w:val="0"/>
                <w:iCs w:val="0"/>
                <w:color w:val="auto"/>
                <w:kern w:val="0"/>
                <w:sz w:val="21"/>
                <w:szCs w:val="21"/>
                <w:u w:val="none"/>
                <w:lang w:val="en-US" w:eastAsia="zh-CN" w:bidi="ar"/>
              </w:rPr>
              <w:t>》</w:t>
            </w:r>
          </w:p>
        </w:tc>
        <w:tc>
          <w:tcPr>
            <w:tcW w:w="1582" w:type="dxa"/>
            <w:noWrap w:val="0"/>
            <w:vAlign w:val="center"/>
          </w:tcPr>
          <w:p w14:paraId="7B088B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445" w:type="dxa"/>
            <w:noWrap w:val="0"/>
            <w:vAlign w:val="center"/>
          </w:tcPr>
          <w:p w14:paraId="1FB3D1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br w:type="textWrapping"/>
            </w:r>
            <w:r>
              <w:rPr>
                <w:rFonts w:hint="eastAsia" w:ascii="仿宋_GB2312" w:hAnsi="仿宋_GB2312" w:eastAsia="仿宋_GB2312" w:cs="仿宋_GB2312"/>
                <w:color w:val="auto"/>
                <w:sz w:val="24"/>
                <w:szCs w:val="24"/>
                <w:vertAlign w:val="baseline"/>
              </w:rPr>
              <w:t>2023年5月25日</w:t>
            </w:r>
          </w:p>
        </w:tc>
        <w:tc>
          <w:tcPr>
            <w:tcW w:w="5591" w:type="dxa"/>
            <w:noWrap w:val="0"/>
            <w:vAlign w:val="top"/>
          </w:tcPr>
          <w:p w14:paraId="095EDE03">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lang w:val="en-US"/>
              </w:rPr>
            </w:pPr>
            <w:r>
              <w:rPr>
                <w:rFonts w:ascii="宋体" w:hAnsi="宋体" w:eastAsia="宋体" w:cs="宋体"/>
                <w:i w:val="0"/>
                <w:iCs w:val="0"/>
                <w:color w:val="auto"/>
                <w:kern w:val="0"/>
                <w:sz w:val="21"/>
                <w:szCs w:val="21"/>
                <w:u w:val="none"/>
                <w:lang w:val="en-US" w:eastAsia="zh-CN" w:bidi="ar"/>
              </w:rPr>
              <w:t>《</w:t>
            </w:r>
            <w:r>
              <w:rPr>
                <w:rFonts w:hint="eastAsia" w:ascii="宋体" w:hAnsi="宋体" w:eastAsia="宋体" w:cs="宋体"/>
                <w:i w:val="0"/>
                <w:iCs w:val="0"/>
                <w:color w:val="auto"/>
                <w:kern w:val="0"/>
                <w:sz w:val="21"/>
                <w:szCs w:val="21"/>
                <w:u w:val="none"/>
                <w:lang w:val="en-US" w:eastAsia="zh-CN" w:bidi="ar"/>
              </w:rPr>
              <w:t>四川省食品安全条例</w:t>
            </w:r>
            <w:r>
              <w:rPr>
                <w:rFonts w:ascii="宋体" w:hAnsi="宋体" w:eastAsia="宋体" w:cs="宋体"/>
                <w:i w:val="0"/>
                <w:iCs w:val="0"/>
                <w:color w:val="auto"/>
                <w:kern w:val="0"/>
                <w:sz w:val="21"/>
                <w:szCs w:val="21"/>
                <w:u w:val="none"/>
                <w:lang w:val="en-US" w:eastAsia="zh-CN" w:bidi="ar"/>
              </w:rPr>
              <w:t>》第</w:t>
            </w:r>
            <w:r>
              <w:rPr>
                <w:rFonts w:hint="eastAsia" w:ascii="宋体" w:hAnsi="宋体" w:eastAsia="宋体" w:cs="宋体"/>
                <w:i w:val="0"/>
                <w:iCs w:val="0"/>
                <w:color w:val="auto"/>
                <w:kern w:val="0"/>
                <w:sz w:val="21"/>
                <w:szCs w:val="21"/>
                <w:u w:val="none"/>
                <w:lang w:val="en-US" w:eastAsia="zh-CN" w:bidi="ar"/>
              </w:rPr>
              <w:t>四十七条</w:t>
            </w:r>
            <w:r>
              <w:rPr>
                <w:rFonts w:ascii="宋体" w:hAnsi="宋体" w:eastAsia="宋体" w:cs="宋体"/>
                <w:i w:val="0"/>
                <w:iCs w:val="0"/>
                <w:color w:val="auto"/>
                <w:kern w:val="0"/>
                <w:sz w:val="21"/>
                <w:szCs w:val="21"/>
                <w:u w:val="none"/>
                <w:lang w:val="en-US" w:eastAsia="zh-CN" w:bidi="ar"/>
              </w:rPr>
              <w:t>食</w:t>
            </w:r>
            <w:r>
              <w:rPr>
                <w:rFonts w:hint="default" w:ascii="宋体" w:hAnsi="宋体" w:eastAsia="宋体" w:cs="宋体"/>
                <w:i w:val="0"/>
                <w:iCs w:val="0"/>
                <w:color w:val="auto"/>
                <w:kern w:val="0"/>
                <w:sz w:val="21"/>
                <w:szCs w:val="21"/>
                <w:u w:val="none"/>
                <w:lang w:val="en-US" w:eastAsia="zh-CN" w:bidi="ar"/>
              </w:rPr>
              <w:t>品摊贩经营者应当到经营所在地的乡镇人民政府或者街道办事处备案，并提交身份证明、住所、联系方式、健康证明等材料。收到备案材料后，乡镇人民政府、街道办事处应当向食品摊贩颁发备案证，并将备案信息告知市场监督管理部门和城市管理部门。</w:t>
            </w:r>
          </w:p>
        </w:tc>
        <w:tc>
          <w:tcPr>
            <w:tcW w:w="747" w:type="dxa"/>
            <w:noWrap w:val="0"/>
            <w:vAlign w:val="center"/>
          </w:tcPr>
          <w:p w14:paraId="19B9D3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29C5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66940C51">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cs="宋体"/>
                <w:i w:val="0"/>
                <w:iCs w:val="0"/>
                <w:color w:val="auto"/>
                <w:kern w:val="0"/>
                <w:sz w:val="21"/>
                <w:szCs w:val="21"/>
                <w:u w:val="none"/>
                <w:lang w:val="en-US" w:eastAsia="zh-CN" w:bidi="ar"/>
              </w:rPr>
              <w:t>5</w:t>
            </w:r>
          </w:p>
        </w:tc>
        <w:tc>
          <w:tcPr>
            <w:tcW w:w="1315" w:type="dxa"/>
            <w:noWrap w:val="0"/>
            <w:vAlign w:val="center"/>
          </w:tcPr>
          <w:p w14:paraId="0820485C">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Style w:val="10"/>
                <w:color w:val="auto"/>
                <w:lang w:val="en-US" w:eastAsia="zh-CN" w:bidi="ar"/>
              </w:rPr>
              <w:t>兵役登记</w:t>
            </w:r>
          </w:p>
        </w:tc>
        <w:tc>
          <w:tcPr>
            <w:tcW w:w="2332" w:type="dxa"/>
            <w:noWrap w:val="0"/>
            <w:vAlign w:val="center"/>
          </w:tcPr>
          <w:p w14:paraId="0DBE1B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《征兵工作条例》</w:t>
            </w:r>
          </w:p>
        </w:tc>
        <w:tc>
          <w:tcPr>
            <w:tcW w:w="1582" w:type="dxa"/>
            <w:noWrap w:val="0"/>
            <w:vAlign w:val="center"/>
          </w:tcPr>
          <w:p w14:paraId="06234A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445" w:type="dxa"/>
            <w:noWrap w:val="0"/>
            <w:vAlign w:val="center"/>
          </w:tcPr>
          <w:p w14:paraId="4A75B38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2023年4月1日</w:t>
            </w:r>
          </w:p>
        </w:tc>
        <w:tc>
          <w:tcPr>
            <w:tcW w:w="5591" w:type="dxa"/>
            <w:noWrap w:val="0"/>
            <w:vAlign w:val="top"/>
          </w:tcPr>
          <w:p w14:paraId="700599F4">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《征兵工作条例》第四条第三款 机关、团体、企业事业组织和乡、民族乡、镇的人民政府以及街道办事处，应当根据县、自治县、不设区的市、市辖区人民政府的安排和要求，办理本单位和本行政区域的征兵工作。设有人民武装部的单位，征兵工作由人民武装部办理；不设人民武装部的单位，确定一个部门办理。普通高等学校负责征兵工作的机构，应当协助兵役机关办理征兵工作有关事项。</w:t>
            </w:r>
          </w:p>
          <w:p w14:paraId="3036DA26">
            <w:pPr>
              <w:keepNext w:val="0"/>
              <w:keepLines w:val="0"/>
              <w:widowControl/>
              <w:suppressLineNumbers w:val="0"/>
              <w:jc w:val="left"/>
              <w:textAlignment w:val="top"/>
              <w:rPr>
                <w:rFonts w:hint="default"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《征兵工作条例》</w:t>
            </w:r>
            <w:r>
              <w:rPr>
                <w:rFonts w:hint="default" w:ascii="宋体" w:hAnsi="宋体" w:eastAsia="宋体" w:cs="宋体"/>
                <w:i w:val="0"/>
                <w:iCs w:val="0"/>
                <w:color w:val="auto"/>
                <w:kern w:val="0"/>
                <w:sz w:val="21"/>
                <w:szCs w:val="21"/>
                <w:u w:val="none"/>
                <w:lang w:val="en-US" w:eastAsia="zh-CN" w:bidi="ar"/>
              </w:rPr>
              <w:t>第十二条</w:t>
            </w:r>
            <w:r>
              <w:rPr>
                <w:rFonts w:hint="eastAsia" w:ascii="宋体" w:hAnsi="宋体" w:eastAsia="宋体" w:cs="宋体"/>
                <w:i w:val="0"/>
                <w:iCs w:val="0"/>
                <w:color w:val="auto"/>
                <w:kern w:val="0"/>
                <w:sz w:val="21"/>
                <w:szCs w:val="21"/>
                <w:u w:val="none"/>
                <w:lang w:val="en-US" w:eastAsia="zh-CN" w:bidi="ar"/>
              </w:rPr>
              <w:t xml:space="preserve"> </w:t>
            </w:r>
            <w:r>
              <w:rPr>
                <w:rFonts w:hint="default" w:ascii="宋体" w:hAnsi="宋体" w:eastAsia="宋体" w:cs="宋体"/>
                <w:i w:val="0"/>
                <w:iCs w:val="0"/>
                <w:color w:val="auto"/>
                <w:kern w:val="0"/>
                <w:sz w:val="21"/>
                <w:szCs w:val="21"/>
                <w:u w:val="none"/>
                <w:lang w:val="en-US" w:eastAsia="zh-CN" w:bidi="ar"/>
              </w:rPr>
              <w:t>县、自治县、不设区的市、市辖区人民政府兵役机关对经过初次兵役登记的男性公民，依法确定应服兵役、免服兵役或者不得服兵役，在公民兵役登记信息中注明，并出具兵役登记凭证。县、自治县、不设区的市、市辖区人民政府有关部门按照职责分工，为兵役机关核实公民兵役登记信息提供协助。根据军队需要，可以按照规定征集女性公民服现役。</w:t>
            </w:r>
          </w:p>
          <w:p w14:paraId="5FBB8A5D">
            <w:pPr>
              <w:keepNext w:val="0"/>
              <w:keepLines w:val="0"/>
              <w:widowControl/>
              <w:suppressLineNumbers w:val="0"/>
              <w:jc w:val="left"/>
              <w:textAlignment w:val="top"/>
              <w:rPr>
                <w:rFonts w:hint="default"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《征兵工作条例》</w:t>
            </w:r>
            <w:r>
              <w:rPr>
                <w:rFonts w:hint="default" w:ascii="宋体" w:hAnsi="宋体" w:eastAsia="宋体" w:cs="宋体"/>
                <w:i w:val="0"/>
                <w:iCs w:val="0"/>
                <w:color w:val="auto"/>
                <w:kern w:val="0"/>
                <w:sz w:val="21"/>
                <w:szCs w:val="21"/>
                <w:u w:val="none"/>
                <w:lang w:val="en-US" w:eastAsia="zh-CN" w:bidi="ar"/>
              </w:rPr>
              <w:t>第十三条</w:t>
            </w:r>
            <w:r>
              <w:rPr>
                <w:rFonts w:hint="eastAsia" w:ascii="宋体" w:hAnsi="宋体" w:eastAsia="宋体" w:cs="宋体"/>
                <w:i w:val="0"/>
                <w:iCs w:val="0"/>
                <w:color w:val="auto"/>
                <w:kern w:val="0"/>
                <w:sz w:val="21"/>
                <w:szCs w:val="21"/>
                <w:u w:val="none"/>
                <w:lang w:val="en-US" w:eastAsia="zh-CN" w:bidi="ar"/>
              </w:rPr>
              <w:t xml:space="preserve"> </w:t>
            </w:r>
            <w:r>
              <w:rPr>
                <w:rFonts w:hint="default" w:ascii="宋体" w:hAnsi="宋体" w:eastAsia="宋体" w:cs="宋体"/>
                <w:i w:val="0"/>
                <w:iCs w:val="0"/>
                <w:color w:val="auto"/>
                <w:kern w:val="0"/>
                <w:sz w:val="21"/>
                <w:szCs w:val="21"/>
                <w:u w:val="none"/>
                <w:lang w:val="en-US" w:eastAsia="zh-CN" w:bidi="ar"/>
              </w:rPr>
              <w:t>依照法律规定应服兵役的公民，经初步审查具备下列征集条件的，为应征公民：（一）拥护中华人民共和国宪法，拥护中国共产党领导和社会主义制度；（二）热爱国防和军队，遵纪守法，具有良好的政治素质和道德品行；（三）符合法律规定的征集年龄；（四）具有履行军队岗位职责的身体条件、心理素质和文化程度等；（五）法律规定的其他条件。</w:t>
            </w:r>
          </w:p>
          <w:p w14:paraId="314D0C68">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《征兵工作条例》</w:t>
            </w:r>
            <w:r>
              <w:rPr>
                <w:rFonts w:hint="default" w:ascii="宋体" w:hAnsi="宋体" w:eastAsia="宋体" w:cs="宋体"/>
                <w:i w:val="0"/>
                <w:iCs w:val="0"/>
                <w:color w:val="auto"/>
                <w:kern w:val="0"/>
                <w:sz w:val="21"/>
                <w:szCs w:val="21"/>
                <w:u w:val="none"/>
                <w:lang w:val="en-US" w:eastAsia="zh-CN" w:bidi="ar"/>
              </w:rPr>
              <w:t>第十四条</w:t>
            </w:r>
            <w:r>
              <w:rPr>
                <w:rFonts w:hint="eastAsia" w:ascii="宋体" w:hAnsi="宋体" w:eastAsia="宋体" w:cs="宋体"/>
                <w:i w:val="0"/>
                <w:iCs w:val="0"/>
                <w:color w:val="auto"/>
                <w:kern w:val="0"/>
                <w:sz w:val="21"/>
                <w:szCs w:val="21"/>
                <w:u w:val="none"/>
                <w:lang w:val="en-US" w:eastAsia="zh-CN" w:bidi="ar"/>
              </w:rPr>
              <w:t xml:space="preserve"> </w:t>
            </w:r>
            <w:r>
              <w:rPr>
                <w:rFonts w:hint="default" w:ascii="宋体" w:hAnsi="宋体" w:eastAsia="宋体" w:cs="宋体"/>
                <w:i w:val="0"/>
                <w:iCs w:val="0"/>
                <w:color w:val="auto"/>
                <w:kern w:val="0"/>
                <w:sz w:val="21"/>
                <w:szCs w:val="21"/>
                <w:u w:val="none"/>
                <w:lang w:val="en-US" w:eastAsia="zh-CN" w:bidi="ar"/>
              </w:rPr>
              <w:t>应征公民缓征、不征集的，依照有关法律的规定执行。</w:t>
            </w:r>
          </w:p>
        </w:tc>
        <w:tc>
          <w:tcPr>
            <w:tcW w:w="747" w:type="dxa"/>
            <w:noWrap w:val="0"/>
            <w:vAlign w:val="center"/>
          </w:tcPr>
          <w:p w14:paraId="6E7C1F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F679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36802633">
            <w:pPr>
              <w:keepNext w:val="0"/>
              <w:keepLines w:val="0"/>
              <w:widowControl/>
              <w:suppressLineNumbers w:val="0"/>
              <w:jc w:val="center"/>
              <w:textAlignment w:val="center"/>
              <w:rPr>
                <w:rFonts w:hint="default" w:ascii="宋体" w:hAnsi="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6</w:t>
            </w:r>
          </w:p>
        </w:tc>
        <w:tc>
          <w:tcPr>
            <w:tcW w:w="1315" w:type="dxa"/>
            <w:noWrap w:val="0"/>
            <w:vAlign w:val="center"/>
          </w:tcPr>
          <w:p w14:paraId="197AAA0D">
            <w:pPr>
              <w:keepNext w:val="0"/>
              <w:keepLines w:val="0"/>
              <w:widowControl/>
              <w:suppressLineNumbers w:val="0"/>
              <w:jc w:val="left"/>
              <w:textAlignment w:val="center"/>
              <w:rPr>
                <w:rStyle w:val="10"/>
                <w:color w:val="auto"/>
                <w:lang w:val="en-US" w:eastAsia="zh-CN" w:bidi="ar"/>
              </w:rPr>
            </w:pPr>
            <w:r>
              <w:rPr>
                <w:rFonts w:hint="eastAsia" w:ascii="宋体" w:hAnsi="宋体" w:eastAsia="宋体" w:cs="宋体"/>
                <w:i w:val="0"/>
                <w:iCs w:val="0"/>
                <w:color w:val="auto"/>
                <w:kern w:val="0"/>
                <w:sz w:val="21"/>
                <w:szCs w:val="21"/>
                <w:u w:val="none"/>
                <w:lang w:val="en-US" w:eastAsia="zh-CN" w:bidi="ar"/>
              </w:rPr>
              <w:t>农村机电提灌站的产权登记</w:t>
            </w:r>
          </w:p>
        </w:tc>
        <w:tc>
          <w:tcPr>
            <w:tcW w:w="2332" w:type="dxa"/>
            <w:noWrap w:val="0"/>
            <w:vAlign w:val="center"/>
          </w:tcPr>
          <w:p w14:paraId="00EF48D0">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《四川省农村机电提灌管理条例》</w:t>
            </w:r>
          </w:p>
        </w:tc>
        <w:tc>
          <w:tcPr>
            <w:tcW w:w="1582" w:type="dxa"/>
            <w:noWrap w:val="0"/>
            <w:vAlign w:val="center"/>
          </w:tcPr>
          <w:p w14:paraId="20316718">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四川省人民代表大会常务委员会</w:t>
            </w:r>
          </w:p>
        </w:tc>
        <w:tc>
          <w:tcPr>
            <w:tcW w:w="1445" w:type="dxa"/>
            <w:noWrap w:val="0"/>
            <w:vAlign w:val="center"/>
          </w:tcPr>
          <w:p w14:paraId="772273CD">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2012年7月27日</w:t>
            </w:r>
          </w:p>
        </w:tc>
        <w:tc>
          <w:tcPr>
            <w:tcW w:w="5591" w:type="dxa"/>
            <w:noWrap w:val="0"/>
            <w:vAlign w:val="center"/>
          </w:tcPr>
          <w:p w14:paraId="5B791DE6">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《四川省农村机电提灌管理条例》第十六条第二款 农村机电提灌站国有资产和非国有资产的确认，应当依据投资的来源，由县级以上人民政府农业机械主管部门会同有关部门决定，并按国家有关规定进行产权登记。</w:t>
            </w:r>
          </w:p>
        </w:tc>
        <w:tc>
          <w:tcPr>
            <w:tcW w:w="747" w:type="dxa"/>
            <w:noWrap w:val="0"/>
            <w:vAlign w:val="center"/>
          </w:tcPr>
          <w:p w14:paraId="7B8646D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1050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1D259960">
            <w:pPr>
              <w:keepNext w:val="0"/>
              <w:keepLines w:val="0"/>
              <w:widowControl/>
              <w:suppressLineNumbers w:val="0"/>
              <w:jc w:val="center"/>
              <w:textAlignment w:val="center"/>
              <w:rPr>
                <w:rFonts w:hint="default" w:ascii="宋体" w:hAnsi="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7</w:t>
            </w:r>
          </w:p>
        </w:tc>
        <w:tc>
          <w:tcPr>
            <w:tcW w:w="1315" w:type="dxa"/>
            <w:noWrap w:val="0"/>
            <w:vAlign w:val="center"/>
          </w:tcPr>
          <w:p w14:paraId="20C936D8">
            <w:pPr>
              <w:keepNext w:val="0"/>
              <w:keepLines w:val="0"/>
              <w:widowControl/>
              <w:suppressLineNumbers w:val="0"/>
              <w:jc w:val="left"/>
              <w:textAlignment w:val="center"/>
              <w:rPr>
                <w:rStyle w:val="10"/>
                <w:color w:val="auto"/>
                <w:lang w:val="en-US" w:eastAsia="zh-CN" w:bidi="ar"/>
              </w:rPr>
            </w:pPr>
            <w:r>
              <w:rPr>
                <w:rFonts w:hint="eastAsia" w:ascii="宋体" w:hAnsi="宋体" w:eastAsia="宋体" w:cs="宋体"/>
                <w:i w:val="0"/>
                <w:iCs w:val="0"/>
                <w:color w:val="auto"/>
                <w:kern w:val="0"/>
                <w:sz w:val="21"/>
                <w:szCs w:val="21"/>
                <w:u w:val="none"/>
                <w:lang w:val="en-US" w:eastAsia="zh-CN" w:bidi="ar"/>
              </w:rPr>
              <w:t>出售废旧机电提灌设备及其主要零部件的确认</w:t>
            </w:r>
          </w:p>
        </w:tc>
        <w:tc>
          <w:tcPr>
            <w:tcW w:w="2332" w:type="dxa"/>
            <w:noWrap w:val="0"/>
            <w:vAlign w:val="center"/>
          </w:tcPr>
          <w:p w14:paraId="11B3B1C2">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《四川省农村机电提灌管理条例》</w:t>
            </w:r>
          </w:p>
        </w:tc>
        <w:tc>
          <w:tcPr>
            <w:tcW w:w="1582" w:type="dxa"/>
            <w:noWrap w:val="0"/>
            <w:vAlign w:val="center"/>
          </w:tcPr>
          <w:p w14:paraId="480AC25D">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四川省人民代表大会常务委员会</w:t>
            </w:r>
          </w:p>
        </w:tc>
        <w:tc>
          <w:tcPr>
            <w:tcW w:w="1445" w:type="dxa"/>
            <w:noWrap w:val="0"/>
            <w:vAlign w:val="center"/>
          </w:tcPr>
          <w:p w14:paraId="19347F2B">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2012年7月27日</w:t>
            </w:r>
          </w:p>
        </w:tc>
        <w:tc>
          <w:tcPr>
            <w:tcW w:w="5591" w:type="dxa"/>
            <w:noWrap w:val="0"/>
            <w:vAlign w:val="center"/>
          </w:tcPr>
          <w:p w14:paraId="1C9421AE">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《四川省农村机电提灌管理条例》第三十四条第一款 出售废旧机电提灌设备及其主要零配件，必须持有县级以上人民政府农业机械主管部门开具的有关证明，废旧物资收购单位应当验证收购。</w:t>
            </w:r>
          </w:p>
        </w:tc>
        <w:tc>
          <w:tcPr>
            <w:tcW w:w="747" w:type="dxa"/>
            <w:noWrap w:val="0"/>
            <w:vAlign w:val="center"/>
          </w:tcPr>
          <w:p w14:paraId="2A0AD3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bl>
    <w:p w14:paraId="4D25ABD4">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7138714C">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6AC563AF">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55DE5C1B">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6032252A">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lang w:val="en-US"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2-4</w:t>
      </w:r>
    </w:p>
    <w:p w14:paraId="3F03B76C">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黑体" w:hAnsi="Calibri" w:eastAsia="黑体"/>
          <w:color w:val="auto"/>
          <w:sz w:val="32"/>
          <w:szCs w:val="32"/>
          <w:lang w:eastAsia="zh-CN"/>
        </w:rPr>
      </w:pPr>
    </w:p>
    <w:p w14:paraId="56B23885">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w:t>
      </w:r>
      <w:r>
        <w:rPr>
          <w:rFonts w:hint="eastAsia" w:ascii="方正小标宋简体" w:hAnsi="方正小标宋简体" w:eastAsia="方正小标宋简体"/>
          <w:b w:val="0"/>
          <w:bCs w:val="0"/>
          <w:color w:val="auto"/>
          <w:sz w:val="44"/>
          <w:szCs w:val="40"/>
          <w:lang w:val="en-US" w:eastAsia="zh-CN"/>
        </w:rPr>
        <w:t>执法</w:t>
      </w:r>
      <w:r>
        <w:rPr>
          <w:rFonts w:hint="eastAsia" w:ascii="方正小标宋简体" w:hAnsi="方正小标宋简体" w:eastAsia="方正小标宋简体"/>
          <w:b w:val="0"/>
          <w:bCs w:val="0"/>
          <w:color w:val="auto"/>
          <w:sz w:val="44"/>
          <w:szCs w:val="40"/>
          <w:lang w:eastAsia="zh-CN"/>
        </w:rPr>
        <w:t>依据梳理表（行政</w:t>
      </w:r>
      <w:r>
        <w:rPr>
          <w:rFonts w:hint="eastAsia" w:ascii="方正小标宋简体" w:hAnsi="方正小标宋简体" w:eastAsia="方正小标宋简体"/>
          <w:b w:val="0"/>
          <w:bCs w:val="0"/>
          <w:color w:val="auto"/>
          <w:sz w:val="44"/>
          <w:szCs w:val="40"/>
          <w:lang w:val="en-US" w:eastAsia="zh-CN"/>
        </w:rPr>
        <w:t>征收</w:t>
      </w:r>
      <w:r>
        <w:rPr>
          <w:rFonts w:hint="eastAsia" w:ascii="方正小标宋简体" w:hAnsi="方正小标宋简体" w:eastAsia="方正小标宋简体"/>
          <w:b w:val="0"/>
          <w:bCs w:val="0"/>
          <w:color w:val="auto"/>
          <w:sz w:val="44"/>
          <w:szCs w:val="40"/>
          <w:lang w:eastAsia="zh-CN"/>
        </w:rPr>
        <w:t>类）</w:t>
      </w:r>
    </w:p>
    <w:p w14:paraId="47E361C0">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行政执法部门名称：广元市昭化区柏林沟镇人民政府                                 填表时间：2025年3月24日</w:t>
      </w:r>
    </w:p>
    <w:tbl>
      <w:tblPr>
        <w:tblStyle w:val="6"/>
        <w:tblW w:w="139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1949"/>
        <w:gridCol w:w="2387"/>
        <w:gridCol w:w="1404"/>
        <w:gridCol w:w="1282"/>
        <w:gridCol w:w="5291"/>
        <w:gridCol w:w="907"/>
      </w:tblGrid>
      <w:tr w14:paraId="51AF9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66" w:hRule="atLeast"/>
          <w:jc w:val="center"/>
        </w:trPr>
        <w:tc>
          <w:tcPr>
            <w:tcW w:w="702" w:type="dxa"/>
            <w:noWrap w:val="0"/>
            <w:vAlign w:val="center"/>
          </w:tcPr>
          <w:p w14:paraId="7FA2C6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1949" w:type="dxa"/>
            <w:noWrap w:val="0"/>
            <w:vAlign w:val="center"/>
          </w:tcPr>
          <w:p w14:paraId="2990DF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行政征收的名称</w:t>
            </w:r>
          </w:p>
        </w:tc>
        <w:tc>
          <w:tcPr>
            <w:tcW w:w="2387" w:type="dxa"/>
            <w:noWrap w:val="0"/>
            <w:vAlign w:val="center"/>
          </w:tcPr>
          <w:p w14:paraId="10FC74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行政征收依据的法律、法规、规章名称</w:t>
            </w:r>
          </w:p>
        </w:tc>
        <w:tc>
          <w:tcPr>
            <w:tcW w:w="1404" w:type="dxa"/>
            <w:noWrap w:val="0"/>
            <w:vAlign w:val="center"/>
          </w:tcPr>
          <w:p w14:paraId="7E8CE9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282" w:type="dxa"/>
            <w:noWrap w:val="0"/>
            <w:vAlign w:val="center"/>
          </w:tcPr>
          <w:p w14:paraId="19DD7C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5291" w:type="dxa"/>
            <w:noWrap w:val="0"/>
            <w:vAlign w:val="center"/>
          </w:tcPr>
          <w:p w14:paraId="70C98FE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行政征收依据的具体条款</w:t>
            </w:r>
          </w:p>
        </w:tc>
        <w:tc>
          <w:tcPr>
            <w:tcW w:w="907" w:type="dxa"/>
            <w:noWrap w:val="0"/>
            <w:vAlign w:val="center"/>
          </w:tcPr>
          <w:p w14:paraId="3B5DF7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57697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2" w:type="dxa"/>
            <w:noWrap w:val="0"/>
            <w:vAlign w:val="center"/>
          </w:tcPr>
          <w:p w14:paraId="21B4DA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w:t>
            </w:r>
          </w:p>
        </w:tc>
        <w:tc>
          <w:tcPr>
            <w:tcW w:w="1949" w:type="dxa"/>
            <w:noWrap w:val="0"/>
            <w:vAlign w:val="center"/>
          </w:tcPr>
          <w:p w14:paraId="1DAA54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ascii="宋体" w:hAnsi="宋体" w:eastAsia="宋体" w:cs="宋体"/>
                <w:i w:val="0"/>
                <w:iCs w:val="0"/>
                <w:color w:val="auto"/>
                <w:kern w:val="0"/>
                <w:sz w:val="21"/>
                <w:szCs w:val="21"/>
                <w:u w:val="none"/>
                <w:lang w:val="en-US" w:eastAsia="zh-CN" w:bidi="ar"/>
              </w:rPr>
              <w:t>为应对突发事件对单位和个人财产的征用</w:t>
            </w:r>
          </w:p>
        </w:tc>
        <w:tc>
          <w:tcPr>
            <w:tcW w:w="2387" w:type="dxa"/>
            <w:noWrap w:val="0"/>
            <w:vAlign w:val="center"/>
          </w:tcPr>
          <w:p w14:paraId="5EBB85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《中华人民共和国突发事件应对法》</w:t>
            </w:r>
          </w:p>
        </w:tc>
        <w:tc>
          <w:tcPr>
            <w:tcW w:w="1404" w:type="dxa"/>
            <w:noWrap w:val="0"/>
            <w:vAlign w:val="center"/>
          </w:tcPr>
          <w:p w14:paraId="5F3BA0E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282" w:type="dxa"/>
            <w:noWrap w:val="0"/>
            <w:vAlign w:val="center"/>
          </w:tcPr>
          <w:p w14:paraId="47FDBC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2024年6月28日</w:t>
            </w:r>
          </w:p>
        </w:tc>
        <w:tc>
          <w:tcPr>
            <w:tcW w:w="5291" w:type="dxa"/>
            <w:noWrap w:val="0"/>
            <w:vAlign w:val="center"/>
          </w:tcPr>
          <w:p w14:paraId="342DFF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《中华人民共和国突发事件应对法》第五十二条 履行统一领导职责或者组织处置突发事件的人民政府，必要时可以向单位和个人征用应急救援所需设备、设施、场地、交通工具和其他类物资，请求其他地方人民政府提供人力、物力、财力或者技术支援，要求生产、供应生活必需品和应急救援物资的企业组织生产、保证供给，要求提供医疗、交通等公共服务的组织提供相应的服务。履行统一领导职责或者组织处置突发事件的人民政府，应当组织协调运输经营单位，优先运送处置突发事件所需物资、设备、工具、应急救援人员和受到突发事件危害的人员。</w:t>
            </w:r>
          </w:p>
        </w:tc>
        <w:tc>
          <w:tcPr>
            <w:tcW w:w="907" w:type="dxa"/>
            <w:noWrap w:val="0"/>
            <w:vAlign w:val="center"/>
          </w:tcPr>
          <w:p w14:paraId="615764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0957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2" w:type="dxa"/>
            <w:noWrap w:val="0"/>
            <w:vAlign w:val="center"/>
          </w:tcPr>
          <w:p w14:paraId="1FFF2C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w:t>
            </w:r>
          </w:p>
        </w:tc>
        <w:tc>
          <w:tcPr>
            <w:tcW w:w="1949" w:type="dxa"/>
            <w:noWrap w:val="0"/>
            <w:vAlign w:val="center"/>
          </w:tcPr>
          <w:p w14:paraId="172660A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城市生活垃圾处理费的征收</w:t>
            </w:r>
          </w:p>
        </w:tc>
        <w:tc>
          <w:tcPr>
            <w:tcW w:w="2387" w:type="dxa"/>
            <w:noWrap w:val="0"/>
            <w:vAlign w:val="center"/>
          </w:tcPr>
          <w:p w14:paraId="18B849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1.《城市生活垃圾管理办法》</w:t>
            </w:r>
          </w:p>
          <w:p w14:paraId="4EC369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2.《四川省城市生活垃圾及危险废物处理收费管理暂行办法》</w:t>
            </w:r>
          </w:p>
        </w:tc>
        <w:tc>
          <w:tcPr>
            <w:tcW w:w="1404" w:type="dxa"/>
            <w:noWrap w:val="0"/>
            <w:vAlign w:val="center"/>
          </w:tcPr>
          <w:p w14:paraId="5D948B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中华人民共和国建设部令</w:t>
            </w:r>
            <w:r>
              <w:rPr>
                <w:rFonts w:hint="eastAsia" w:ascii="宋体" w:hAnsi="宋体" w:eastAsia="宋体" w:cs="宋体"/>
                <w:i w:val="0"/>
                <w:iCs w:val="0"/>
                <w:caps w:val="0"/>
                <w:color w:val="auto"/>
                <w:spacing w:val="0"/>
                <w:sz w:val="21"/>
                <w:szCs w:val="21"/>
                <w:lang w:eastAsia="zh-CN"/>
              </w:rPr>
              <w:t>四川省</w:t>
            </w:r>
            <w:r>
              <w:rPr>
                <w:rFonts w:hint="eastAsia" w:ascii="宋体" w:hAnsi="宋体" w:eastAsia="宋体" w:cs="宋体"/>
                <w:i w:val="0"/>
                <w:iCs w:val="0"/>
                <w:caps w:val="0"/>
                <w:color w:val="auto"/>
                <w:spacing w:val="0"/>
                <w:sz w:val="21"/>
                <w:szCs w:val="21"/>
              </w:rPr>
              <w:t>省政府办公厅</w:t>
            </w:r>
          </w:p>
        </w:tc>
        <w:tc>
          <w:tcPr>
            <w:tcW w:w="1282" w:type="dxa"/>
            <w:noWrap w:val="0"/>
            <w:vAlign w:val="center"/>
          </w:tcPr>
          <w:p w14:paraId="34DE54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2007年4月28日</w:t>
            </w:r>
          </w:p>
          <w:p w14:paraId="1820DAE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2006年7月24日</w:t>
            </w:r>
          </w:p>
        </w:tc>
        <w:tc>
          <w:tcPr>
            <w:tcW w:w="5291" w:type="dxa"/>
            <w:noWrap w:val="0"/>
            <w:vAlign w:val="center"/>
          </w:tcPr>
          <w:p w14:paraId="1CA0904E">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1.《城市生活垃圾管理办法》第四条第一款 产生城市生活垃圾的单位和个人，应当按照城市人民政府确定的生活垃圾处理费收费标准和有关规定缴纳城市生活垃圾处理费。</w:t>
            </w:r>
          </w:p>
          <w:p w14:paraId="2E892A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2.《四川省城市生活垃圾及危险废物处理收费管理暂行办法》第十三条第一项 （一）城市生活垃圾处理费由环卫部门按月征收，也可委托电力、天然气、自来水、广电网络公司、银行等企业或街道办事处代收。对代收单位，可从收取的垃圾处理费中提取一定比例的手续费。具体手续费标准由各地物价部门核定。</w:t>
            </w:r>
          </w:p>
        </w:tc>
        <w:tc>
          <w:tcPr>
            <w:tcW w:w="907" w:type="dxa"/>
            <w:noWrap w:val="0"/>
            <w:vAlign w:val="center"/>
          </w:tcPr>
          <w:p w14:paraId="4A6925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四川省城市生活垃圾及危险废物处理收费管理暂行办法</w:t>
            </w:r>
            <w:r>
              <w:rPr>
                <w:rFonts w:hint="eastAsia" w:ascii="宋体" w:hAnsi="宋体" w:cs="宋体"/>
                <w:i w:val="0"/>
                <w:iCs w:val="0"/>
                <w:color w:val="auto"/>
                <w:kern w:val="0"/>
                <w:sz w:val="21"/>
                <w:szCs w:val="21"/>
                <w:u w:val="none"/>
                <w:lang w:val="en-US" w:eastAsia="zh-CN" w:bidi="ar"/>
              </w:rPr>
              <w:t>已失效</w:t>
            </w:r>
          </w:p>
        </w:tc>
      </w:tr>
      <w:tr w14:paraId="568EF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2" w:type="dxa"/>
            <w:noWrap w:val="0"/>
            <w:vAlign w:val="center"/>
          </w:tcPr>
          <w:p w14:paraId="71B2A9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w:t>
            </w:r>
          </w:p>
        </w:tc>
        <w:tc>
          <w:tcPr>
            <w:tcW w:w="1949" w:type="dxa"/>
            <w:noWrap w:val="0"/>
            <w:vAlign w:val="center"/>
          </w:tcPr>
          <w:p w14:paraId="7D8599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污水处理费的征收</w:t>
            </w:r>
          </w:p>
        </w:tc>
        <w:tc>
          <w:tcPr>
            <w:tcW w:w="2387" w:type="dxa"/>
            <w:noWrap w:val="0"/>
            <w:vAlign w:val="center"/>
          </w:tcPr>
          <w:p w14:paraId="7E4DA0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1.《城镇排水与污水处理条例》</w:t>
            </w:r>
          </w:p>
          <w:p w14:paraId="2150ABA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2.《污水处理费征收使用管理办法》</w:t>
            </w:r>
          </w:p>
        </w:tc>
        <w:tc>
          <w:tcPr>
            <w:tcW w:w="1404" w:type="dxa"/>
            <w:noWrap w:val="0"/>
            <w:vAlign w:val="center"/>
          </w:tcPr>
          <w:p w14:paraId="765369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国务院</w:t>
            </w:r>
          </w:p>
          <w:p w14:paraId="45A256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财政部</w:t>
            </w:r>
          </w:p>
        </w:tc>
        <w:tc>
          <w:tcPr>
            <w:tcW w:w="1282" w:type="dxa"/>
            <w:noWrap w:val="0"/>
            <w:vAlign w:val="center"/>
          </w:tcPr>
          <w:p w14:paraId="48BF732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2013年10月2日</w:t>
            </w:r>
          </w:p>
          <w:p w14:paraId="74764EA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2014年12月31日</w:t>
            </w:r>
          </w:p>
        </w:tc>
        <w:tc>
          <w:tcPr>
            <w:tcW w:w="5291" w:type="dxa"/>
            <w:noWrap w:val="0"/>
            <w:vAlign w:val="center"/>
          </w:tcPr>
          <w:p w14:paraId="1A379E80">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1.《城镇排水与污水处理条例》第三十二条第一款 排水单位和个人应当按照国家有关规定缴纳污水处理费。</w:t>
            </w:r>
          </w:p>
          <w:p w14:paraId="2DE6422B">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2.《污水处理费征收使用管理办法》第十三条第一款 使用公共供水的单位和个人，其污水处理费由城镇排水主管部门委托公共供水企业在收取水费时一并代征，并在发票中单独列明污水处理费的缴款数额。</w:t>
            </w:r>
          </w:p>
          <w:p w14:paraId="614E95E6">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《污水处理费征收使用管理办法》第十四条 使用自备水源的单位和个人，其污水处理费由城镇排水主管部门或其委托的单位征收。各地区应当加强对自备水源的管理，加大对使用自备水源单位和个人污水处理费的征收力度</w:t>
            </w:r>
          </w:p>
        </w:tc>
        <w:tc>
          <w:tcPr>
            <w:tcW w:w="907" w:type="dxa"/>
            <w:noWrap w:val="0"/>
            <w:vAlign w:val="center"/>
          </w:tcPr>
          <w:p w14:paraId="295A1B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4C3A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2" w:type="dxa"/>
            <w:noWrap w:val="0"/>
            <w:vAlign w:val="center"/>
          </w:tcPr>
          <w:p w14:paraId="5C1562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w:t>
            </w:r>
          </w:p>
        </w:tc>
        <w:tc>
          <w:tcPr>
            <w:tcW w:w="1949" w:type="dxa"/>
            <w:noWrap w:val="0"/>
            <w:vAlign w:val="center"/>
          </w:tcPr>
          <w:p w14:paraId="10482A7B">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征收建筑垃圾处置费</w:t>
            </w:r>
          </w:p>
        </w:tc>
        <w:tc>
          <w:tcPr>
            <w:tcW w:w="2387" w:type="dxa"/>
            <w:noWrap w:val="0"/>
            <w:vAlign w:val="center"/>
          </w:tcPr>
          <w:p w14:paraId="56DAC1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1.《城市建筑垃圾管理规定》</w:t>
            </w:r>
          </w:p>
          <w:p w14:paraId="2D6B3A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aps w:val="0"/>
                <w:color w:val="auto"/>
                <w:spacing w:val="0"/>
                <w:sz w:val="21"/>
                <w:szCs w:val="21"/>
                <w:lang w:val="en-US" w:eastAsia="zh-CN"/>
              </w:rPr>
              <w:t>2.《污水处理费征收使用管理办法》</w:t>
            </w:r>
          </w:p>
        </w:tc>
        <w:tc>
          <w:tcPr>
            <w:tcW w:w="1404" w:type="dxa"/>
            <w:noWrap w:val="0"/>
            <w:vAlign w:val="center"/>
          </w:tcPr>
          <w:p w14:paraId="0B2523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val="en-US" w:eastAsia="zh-CN"/>
              </w:rPr>
            </w:pPr>
            <w:r>
              <w:rPr>
                <w:rFonts w:hint="eastAsia" w:ascii="宋体" w:hAnsi="宋体" w:cs="宋体"/>
                <w:i w:val="0"/>
                <w:iCs w:val="0"/>
                <w:caps w:val="0"/>
                <w:color w:val="auto"/>
                <w:spacing w:val="0"/>
                <w:sz w:val="21"/>
                <w:szCs w:val="21"/>
                <w:lang w:val="en-US" w:eastAsia="zh-CN"/>
              </w:rPr>
              <w:t>建设部</w:t>
            </w:r>
          </w:p>
          <w:p w14:paraId="70F4E8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财政部</w:t>
            </w:r>
          </w:p>
        </w:tc>
        <w:tc>
          <w:tcPr>
            <w:tcW w:w="1282" w:type="dxa"/>
            <w:noWrap w:val="0"/>
            <w:vAlign w:val="center"/>
          </w:tcPr>
          <w:p w14:paraId="76BB19D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2005年6月1日</w:t>
            </w:r>
          </w:p>
          <w:p w14:paraId="5D1EC12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lang w:val="en-US" w:eastAsia="zh-CN"/>
              </w:rPr>
              <w:t>2014年12月31日</w:t>
            </w:r>
          </w:p>
        </w:tc>
        <w:tc>
          <w:tcPr>
            <w:tcW w:w="5291" w:type="dxa"/>
            <w:noWrap w:val="0"/>
            <w:vAlign w:val="center"/>
          </w:tcPr>
          <w:p w14:paraId="173048BC">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1.《城市建筑垃圾管理规定》第十六条 建筑垃圾处置实行收费制度，收费标准依据国家有关规定执行。</w:t>
            </w:r>
          </w:p>
          <w:p w14:paraId="0BE3A0C3">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2.《四川省城市生活垃圾及危险废物处理收费管理暂行办法》第五条 城市生活垃圾是指城市人口在日常生活中产生或为城市日常生活提供服务产生的固体废物以及法律、行政法规规定，视为城市生活垃圾的固体废物（包括建筑垃圾和渣土、不包括工业固体废物和危险废物）。</w:t>
            </w:r>
          </w:p>
          <w:p w14:paraId="2130F0C6">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《四川省城市生活垃圾及危险废物处理收费管理暂行办法》第十三条第一项 （一）城市生活垃圾处理费由环卫部门按月征收，也可委托电力、天然气、自来水、广电网络公司、银行等企业或街道办事处代收。对代收单位，可从收取的垃圾处理费中提取一定比例的手续费。具体手续费标准由各地物价部门核定。</w:t>
            </w:r>
          </w:p>
        </w:tc>
        <w:tc>
          <w:tcPr>
            <w:tcW w:w="907" w:type="dxa"/>
            <w:noWrap w:val="0"/>
            <w:vAlign w:val="center"/>
          </w:tcPr>
          <w:p w14:paraId="7EE902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四川省城市生活垃圾及危险废物处理收费管理暂行办法</w:t>
            </w:r>
            <w:r>
              <w:rPr>
                <w:rFonts w:hint="eastAsia" w:ascii="宋体" w:hAnsi="宋体" w:cs="宋体"/>
                <w:i w:val="0"/>
                <w:iCs w:val="0"/>
                <w:color w:val="auto"/>
                <w:kern w:val="0"/>
                <w:sz w:val="21"/>
                <w:szCs w:val="21"/>
                <w:u w:val="none"/>
                <w:lang w:val="en-US" w:eastAsia="zh-CN" w:bidi="ar"/>
              </w:rPr>
              <w:t>已失效</w:t>
            </w:r>
          </w:p>
        </w:tc>
      </w:tr>
    </w:tbl>
    <w:p w14:paraId="4EBB42A4">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lang w:val="en-US"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2-5</w:t>
      </w:r>
    </w:p>
    <w:p w14:paraId="11D2877D">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color w:val="auto"/>
          <w:sz w:val="32"/>
          <w:szCs w:val="32"/>
          <w:lang w:eastAsia="zh-CN"/>
        </w:rPr>
      </w:pPr>
    </w:p>
    <w:p w14:paraId="480E6432">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b w:val="0"/>
          <w:bCs w:val="0"/>
          <w:color w:val="auto"/>
          <w:sz w:val="44"/>
          <w:szCs w:val="52"/>
        </w:rPr>
      </w:pPr>
      <w:r>
        <w:rPr>
          <w:rFonts w:hint="eastAsia" w:ascii="方正小标宋简体" w:hAnsi="方正小标宋简体" w:eastAsia="方正小标宋简体"/>
          <w:b w:val="0"/>
          <w:bCs w:val="0"/>
          <w:color w:val="auto"/>
          <w:sz w:val="44"/>
          <w:szCs w:val="40"/>
          <w:lang w:eastAsia="zh-CN"/>
        </w:rPr>
        <w:t>行政</w:t>
      </w:r>
      <w:r>
        <w:rPr>
          <w:rFonts w:hint="eastAsia" w:ascii="方正小标宋简体" w:hAnsi="方正小标宋简体" w:eastAsia="方正小标宋简体"/>
          <w:b w:val="0"/>
          <w:bCs w:val="0"/>
          <w:color w:val="auto"/>
          <w:sz w:val="44"/>
          <w:szCs w:val="40"/>
          <w:lang w:val="en-US" w:eastAsia="zh-CN"/>
        </w:rPr>
        <w:t>执法</w:t>
      </w:r>
      <w:r>
        <w:rPr>
          <w:rFonts w:hint="eastAsia" w:ascii="方正小标宋简体" w:hAnsi="方正小标宋简体" w:eastAsia="方正小标宋简体"/>
          <w:b w:val="0"/>
          <w:bCs w:val="0"/>
          <w:color w:val="auto"/>
          <w:sz w:val="44"/>
          <w:szCs w:val="40"/>
          <w:lang w:eastAsia="zh-CN"/>
        </w:rPr>
        <w:t>依据梳理表（行政</w:t>
      </w:r>
      <w:r>
        <w:rPr>
          <w:rFonts w:hint="eastAsia" w:ascii="方正小标宋简体" w:hAnsi="方正小标宋简体" w:eastAsia="方正小标宋简体"/>
          <w:b w:val="0"/>
          <w:bCs w:val="0"/>
          <w:color w:val="auto"/>
          <w:sz w:val="44"/>
          <w:szCs w:val="40"/>
          <w:lang w:val="en-US" w:eastAsia="zh-CN"/>
        </w:rPr>
        <w:t>给付</w:t>
      </w:r>
      <w:r>
        <w:rPr>
          <w:rFonts w:hint="eastAsia" w:ascii="方正小标宋简体" w:hAnsi="方正小标宋简体" w:eastAsia="方正小标宋简体"/>
          <w:b w:val="0"/>
          <w:bCs w:val="0"/>
          <w:color w:val="auto"/>
          <w:sz w:val="44"/>
          <w:szCs w:val="40"/>
          <w:lang w:eastAsia="zh-CN"/>
        </w:rPr>
        <w:t>类）</w:t>
      </w:r>
    </w:p>
    <w:p w14:paraId="32449E66">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行政执法部门名称：广元市昭化区柏林沟镇人民政府                                 填表时间：2025年3月24日</w:t>
      </w:r>
    </w:p>
    <w:tbl>
      <w:tblPr>
        <w:tblStyle w:val="6"/>
        <w:tblW w:w="138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2505"/>
        <w:gridCol w:w="2265"/>
        <w:gridCol w:w="1290"/>
        <w:gridCol w:w="1350"/>
        <w:gridCol w:w="4320"/>
        <w:gridCol w:w="1262"/>
      </w:tblGrid>
      <w:tr w14:paraId="49AEB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jc w:val="center"/>
        </w:trPr>
        <w:tc>
          <w:tcPr>
            <w:tcW w:w="876" w:type="dxa"/>
            <w:noWrap w:val="0"/>
            <w:vAlign w:val="center"/>
          </w:tcPr>
          <w:p w14:paraId="0A57D8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5B2ACB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行政给付的种类</w:t>
            </w:r>
          </w:p>
        </w:tc>
        <w:tc>
          <w:tcPr>
            <w:tcW w:w="2265" w:type="dxa"/>
            <w:noWrap w:val="0"/>
            <w:vAlign w:val="center"/>
          </w:tcPr>
          <w:p w14:paraId="7159E1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行政给付依据的法律、法规、规章名称</w:t>
            </w:r>
          </w:p>
        </w:tc>
        <w:tc>
          <w:tcPr>
            <w:tcW w:w="1290" w:type="dxa"/>
            <w:noWrap w:val="0"/>
            <w:vAlign w:val="center"/>
          </w:tcPr>
          <w:p w14:paraId="2CDCBC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489651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4320" w:type="dxa"/>
            <w:noWrap w:val="0"/>
            <w:vAlign w:val="center"/>
          </w:tcPr>
          <w:p w14:paraId="7ABEDD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行政给付依据的具体条款</w:t>
            </w:r>
          </w:p>
        </w:tc>
        <w:tc>
          <w:tcPr>
            <w:tcW w:w="1262" w:type="dxa"/>
            <w:noWrap w:val="0"/>
            <w:vAlign w:val="center"/>
          </w:tcPr>
          <w:p w14:paraId="069534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645FA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6" w:type="dxa"/>
            <w:noWrap w:val="0"/>
            <w:vAlign w:val="center"/>
          </w:tcPr>
          <w:p w14:paraId="4147205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w:t>
            </w:r>
          </w:p>
        </w:tc>
        <w:tc>
          <w:tcPr>
            <w:tcW w:w="2505" w:type="dxa"/>
            <w:noWrap w:val="0"/>
            <w:vAlign w:val="center"/>
          </w:tcPr>
          <w:p w14:paraId="3947C0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ascii="宋体" w:hAnsi="宋体" w:eastAsia="宋体" w:cs="宋体"/>
                <w:i w:val="0"/>
                <w:iCs w:val="0"/>
                <w:color w:val="auto"/>
                <w:kern w:val="0"/>
                <w:sz w:val="21"/>
                <w:szCs w:val="21"/>
                <w:u w:val="none"/>
                <w:lang w:val="en-US" w:eastAsia="zh-CN" w:bidi="ar"/>
              </w:rPr>
              <w:t>森林病虫害防治费用的适当扶持或补助</w:t>
            </w:r>
          </w:p>
        </w:tc>
        <w:tc>
          <w:tcPr>
            <w:tcW w:w="2265" w:type="dxa"/>
            <w:noWrap w:val="0"/>
            <w:vAlign w:val="center"/>
          </w:tcPr>
          <w:p w14:paraId="5F630E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《森林病虫害防治条例》</w:t>
            </w:r>
          </w:p>
        </w:tc>
        <w:tc>
          <w:tcPr>
            <w:tcW w:w="1290" w:type="dxa"/>
            <w:noWrap w:val="0"/>
            <w:vAlign w:val="center"/>
          </w:tcPr>
          <w:p w14:paraId="0D20742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森林病虫害防治条例</w:t>
            </w:r>
          </w:p>
        </w:tc>
        <w:tc>
          <w:tcPr>
            <w:tcW w:w="1350" w:type="dxa"/>
            <w:noWrap w:val="0"/>
            <w:vAlign w:val="center"/>
          </w:tcPr>
          <w:p w14:paraId="48F8FB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1989年12月18日</w:t>
            </w:r>
          </w:p>
        </w:tc>
        <w:tc>
          <w:tcPr>
            <w:tcW w:w="4320" w:type="dxa"/>
            <w:noWrap w:val="0"/>
            <w:vAlign w:val="center"/>
          </w:tcPr>
          <w:p w14:paraId="61D315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《森林病虫害防治条例》第十九条 森林病虫害防治费用，全民所有的森林和林木，依照国家有关规定，分别从育林基金、木竹销售收入、多种经营收入和事业费中解决；集体和个人所有的森林和林木，由经营者负担，地方各级人民政府可以给予适当扶持。对暂时没有经济收入的森林、林木和长期没有经济收入的防护林、水源林、特种用途林的森林经营单位和个人，其所需的森林病虫害防治费用由地方各级人民政府给予适当扶持。发生大面积暴发性或者危险性病虫害，森林经营单位或者个人确实无力负担全部防治费用的，各级人民政府应当给予补助。</w:t>
            </w:r>
          </w:p>
        </w:tc>
        <w:tc>
          <w:tcPr>
            <w:tcW w:w="1262" w:type="dxa"/>
            <w:noWrap w:val="0"/>
            <w:vAlign w:val="center"/>
          </w:tcPr>
          <w:p w14:paraId="01D3DB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bl>
    <w:p w14:paraId="00133307">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p>
    <w:p w14:paraId="72C52427">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p>
    <w:p w14:paraId="316003EF">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黑体" w:hAnsi="Calibri" w:eastAsia="黑体"/>
          <w:b w:val="0"/>
          <w:bCs w:val="0"/>
          <w:color w:val="auto"/>
          <w:sz w:val="32"/>
          <w:szCs w:val="32"/>
          <w:lang w:val="en-US"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2-6</w:t>
      </w:r>
    </w:p>
    <w:p w14:paraId="22E63426">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36"/>
          <w:szCs w:val="32"/>
          <w:lang w:eastAsia="zh-CN"/>
        </w:rPr>
      </w:pPr>
    </w:p>
    <w:p w14:paraId="2F6F0226">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w:t>
      </w:r>
      <w:r>
        <w:rPr>
          <w:rFonts w:hint="eastAsia" w:ascii="方正小标宋简体" w:hAnsi="方正小标宋简体" w:eastAsia="方正小标宋简体"/>
          <w:b w:val="0"/>
          <w:bCs w:val="0"/>
          <w:color w:val="auto"/>
          <w:sz w:val="44"/>
          <w:szCs w:val="40"/>
          <w:lang w:val="en-US" w:eastAsia="zh-CN"/>
        </w:rPr>
        <w:t>执法</w:t>
      </w:r>
      <w:r>
        <w:rPr>
          <w:rFonts w:hint="eastAsia" w:ascii="方正小标宋简体" w:hAnsi="方正小标宋简体" w:eastAsia="方正小标宋简体"/>
          <w:b w:val="0"/>
          <w:bCs w:val="0"/>
          <w:color w:val="auto"/>
          <w:sz w:val="44"/>
          <w:szCs w:val="40"/>
          <w:lang w:eastAsia="zh-CN"/>
        </w:rPr>
        <w:t>依据梳理表（行政</w:t>
      </w:r>
      <w:r>
        <w:rPr>
          <w:rFonts w:hint="eastAsia" w:ascii="方正小标宋简体" w:hAnsi="方正小标宋简体" w:eastAsia="方正小标宋简体"/>
          <w:b w:val="0"/>
          <w:bCs w:val="0"/>
          <w:color w:val="auto"/>
          <w:sz w:val="44"/>
          <w:szCs w:val="40"/>
          <w:lang w:val="en-US" w:eastAsia="zh-CN"/>
        </w:rPr>
        <w:t>强制</w:t>
      </w:r>
      <w:r>
        <w:rPr>
          <w:rFonts w:hint="eastAsia" w:ascii="方正小标宋简体" w:hAnsi="方正小标宋简体" w:eastAsia="方正小标宋简体"/>
          <w:b w:val="0"/>
          <w:bCs w:val="0"/>
          <w:color w:val="auto"/>
          <w:sz w:val="44"/>
          <w:szCs w:val="40"/>
          <w:lang w:eastAsia="zh-CN"/>
        </w:rPr>
        <w:t>类）</w:t>
      </w:r>
    </w:p>
    <w:p w14:paraId="1197C1BF">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24"/>
          <w:szCs w:val="24"/>
          <w:lang w:val="en-US" w:eastAsia="zh-CN"/>
        </w:rPr>
      </w:pPr>
      <w:r>
        <w:rPr>
          <w:rFonts w:hint="eastAsia" w:ascii="仿宋_GB2312" w:hAnsi="仿宋_GB2312" w:eastAsia="仿宋_GB2312" w:cs="仿宋_GB2312"/>
          <w:color w:val="auto"/>
          <w:sz w:val="24"/>
          <w:szCs w:val="24"/>
          <w:lang w:val="en-US" w:eastAsia="zh-CN"/>
        </w:rPr>
        <w:t>行政执法部门名称：广元市昭化区柏林沟镇人民政府                                 填表时间：2025年3月24日</w:t>
      </w:r>
    </w:p>
    <w:tbl>
      <w:tblPr>
        <w:tblStyle w:val="6"/>
        <w:tblW w:w="138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
        <w:gridCol w:w="2505"/>
        <w:gridCol w:w="2265"/>
        <w:gridCol w:w="1290"/>
        <w:gridCol w:w="1350"/>
        <w:gridCol w:w="4320"/>
        <w:gridCol w:w="1228"/>
      </w:tblGrid>
      <w:tr w14:paraId="43247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jc w:val="center"/>
        </w:trPr>
        <w:tc>
          <w:tcPr>
            <w:tcW w:w="890" w:type="dxa"/>
            <w:noWrap w:val="0"/>
            <w:vAlign w:val="center"/>
          </w:tcPr>
          <w:p w14:paraId="33A7BD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273927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行政强制的种类</w:t>
            </w:r>
          </w:p>
        </w:tc>
        <w:tc>
          <w:tcPr>
            <w:tcW w:w="2265" w:type="dxa"/>
            <w:noWrap w:val="0"/>
            <w:vAlign w:val="center"/>
          </w:tcPr>
          <w:p w14:paraId="7E7594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行政强制依据的法律、法规名称</w:t>
            </w:r>
          </w:p>
        </w:tc>
        <w:tc>
          <w:tcPr>
            <w:tcW w:w="1290" w:type="dxa"/>
            <w:noWrap w:val="0"/>
            <w:vAlign w:val="center"/>
          </w:tcPr>
          <w:p w14:paraId="70C455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3BE681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4320" w:type="dxa"/>
            <w:noWrap w:val="0"/>
            <w:vAlign w:val="center"/>
          </w:tcPr>
          <w:p w14:paraId="221A87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行政强制依据的具体条款</w:t>
            </w:r>
          </w:p>
        </w:tc>
        <w:tc>
          <w:tcPr>
            <w:tcW w:w="1228" w:type="dxa"/>
            <w:noWrap w:val="0"/>
            <w:vAlign w:val="center"/>
          </w:tcPr>
          <w:p w14:paraId="057EB2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6E595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6818F1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w:t>
            </w:r>
          </w:p>
        </w:tc>
        <w:tc>
          <w:tcPr>
            <w:tcW w:w="2505" w:type="dxa"/>
            <w:noWrap w:val="0"/>
            <w:vAlign w:val="center"/>
          </w:tcPr>
          <w:p w14:paraId="754EB2DD">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lang w:val="en-US" w:eastAsia="zh-CN"/>
              </w:rPr>
            </w:pPr>
            <w:r>
              <w:rPr>
                <w:rFonts w:ascii="宋体" w:hAnsi="宋体" w:eastAsia="宋体" w:cs="宋体"/>
                <w:i w:val="0"/>
                <w:iCs w:val="0"/>
                <w:color w:val="auto"/>
                <w:kern w:val="0"/>
                <w:sz w:val="21"/>
                <w:szCs w:val="21"/>
                <w:u w:val="none"/>
                <w:lang w:val="en-US" w:eastAsia="zh-CN" w:bidi="ar"/>
              </w:rPr>
              <w:t>对在依法划定的电力设施保护区内修建建筑物、构筑物或者种植植物、堆放物品，危及电力设施安全的强制拆除、砍伐或者清除</w:t>
            </w:r>
          </w:p>
        </w:tc>
        <w:tc>
          <w:tcPr>
            <w:tcW w:w="2265" w:type="dxa"/>
            <w:noWrap w:val="0"/>
            <w:vAlign w:val="center"/>
          </w:tcPr>
          <w:p w14:paraId="3E5DEE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《中华人民共和国电力法》</w:t>
            </w:r>
          </w:p>
        </w:tc>
        <w:tc>
          <w:tcPr>
            <w:tcW w:w="1290" w:type="dxa"/>
            <w:noWrap w:val="0"/>
            <w:vAlign w:val="center"/>
          </w:tcPr>
          <w:p w14:paraId="597B15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713901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4320" w:type="dxa"/>
            <w:noWrap w:val="0"/>
            <w:vAlign w:val="center"/>
          </w:tcPr>
          <w:p w14:paraId="322C01AF">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《中华人民共和国电力法》第六十九条 违反本法第五十三条规定，在依法划定的电力设施保护区内修建建筑物、构筑物或者种植植物、堆放物品，危及电力设施安全的，由当地人民政府责令强制拆除、砍伐或者清除。</w:t>
            </w:r>
          </w:p>
        </w:tc>
        <w:tc>
          <w:tcPr>
            <w:tcW w:w="1228" w:type="dxa"/>
            <w:noWrap w:val="0"/>
            <w:vAlign w:val="center"/>
          </w:tcPr>
          <w:p w14:paraId="4A97AB9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EB6B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006E0B0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w:t>
            </w:r>
          </w:p>
        </w:tc>
        <w:tc>
          <w:tcPr>
            <w:tcW w:w="2505" w:type="dxa"/>
            <w:noWrap w:val="0"/>
            <w:vAlign w:val="center"/>
          </w:tcPr>
          <w:p w14:paraId="6419E794">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对非法种植毒品原植物的强制制止、铲除</w:t>
            </w:r>
          </w:p>
        </w:tc>
        <w:tc>
          <w:tcPr>
            <w:tcW w:w="2265" w:type="dxa"/>
            <w:noWrap w:val="0"/>
            <w:vAlign w:val="center"/>
          </w:tcPr>
          <w:p w14:paraId="304538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《中华人民共和国禁毒法》</w:t>
            </w:r>
          </w:p>
        </w:tc>
        <w:tc>
          <w:tcPr>
            <w:tcW w:w="1290" w:type="dxa"/>
            <w:noWrap w:val="0"/>
            <w:vAlign w:val="center"/>
          </w:tcPr>
          <w:p w14:paraId="3B405E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67872D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007</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12</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29</w:t>
            </w:r>
            <w:r>
              <w:rPr>
                <w:rFonts w:hint="eastAsia" w:ascii="宋体" w:hAnsi="宋体" w:eastAsia="宋体" w:cs="宋体"/>
                <w:i w:val="0"/>
                <w:iCs w:val="0"/>
                <w:caps w:val="0"/>
                <w:color w:val="auto"/>
                <w:spacing w:val="0"/>
                <w:sz w:val="21"/>
                <w:szCs w:val="21"/>
              </w:rPr>
              <w:t>日</w:t>
            </w:r>
          </w:p>
        </w:tc>
        <w:tc>
          <w:tcPr>
            <w:tcW w:w="4320" w:type="dxa"/>
            <w:noWrap w:val="0"/>
            <w:vAlign w:val="top"/>
          </w:tcPr>
          <w:p w14:paraId="5E501152">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《中华人民共和国禁毒法》第十九条第二款 地方各级人民政府发现非法种植毒品原植物的，应当立即采取措施予以制止、铲除。村民委员会、居民委员会发现非法种植毒品原植物的，应当及时予以制止、铲除，并向当地公安机关报告。</w:t>
            </w:r>
          </w:p>
        </w:tc>
        <w:tc>
          <w:tcPr>
            <w:tcW w:w="1228" w:type="dxa"/>
            <w:noWrap w:val="0"/>
            <w:vAlign w:val="center"/>
          </w:tcPr>
          <w:p w14:paraId="457F31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7955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04038A6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w:t>
            </w:r>
          </w:p>
        </w:tc>
        <w:tc>
          <w:tcPr>
            <w:tcW w:w="2505" w:type="dxa"/>
            <w:noWrap w:val="0"/>
            <w:vAlign w:val="center"/>
          </w:tcPr>
          <w:p w14:paraId="076F86C7">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对受到地质灾害威胁且情况紧急时的强制避灾疏散</w:t>
            </w:r>
          </w:p>
        </w:tc>
        <w:tc>
          <w:tcPr>
            <w:tcW w:w="2265" w:type="dxa"/>
            <w:noWrap w:val="0"/>
            <w:vAlign w:val="center"/>
          </w:tcPr>
          <w:p w14:paraId="737B19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《地质灾害防治条例》</w:t>
            </w:r>
          </w:p>
        </w:tc>
        <w:tc>
          <w:tcPr>
            <w:tcW w:w="1290" w:type="dxa"/>
            <w:noWrap w:val="0"/>
            <w:vAlign w:val="center"/>
          </w:tcPr>
          <w:p w14:paraId="46DA50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4AFDE3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2</w:t>
            </w:r>
            <w:r>
              <w:rPr>
                <w:rFonts w:hint="eastAsia" w:ascii="宋体" w:hAnsi="宋体" w:eastAsia="宋体" w:cs="宋体"/>
                <w:i w:val="0"/>
                <w:iCs w:val="0"/>
                <w:color w:val="auto"/>
                <w:kern w:val="0"/>
                <w:sz w:val="21"/>
                <w:szCs w:val="21"/>
                <w:u w:val="none"/>
                <w:lang w:val="en-US" w:eastAsia="zh-CN" w:bidi="ar"/>
              </w:rPr>
              <w:t>003年11月24日</w:t>
            </w:r>
          </w:p>
        </w:tc>
        <w:tc>
          <w:tcPr>
            <w:tcW w:w="4320" w:type="dxa"/>
            <w:noWrap w:val="0"/>
            <w:vAlign w:val="top"/>
          </w:tcPr>
          <w:p w14:paraId="5168AF55">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《地质灾害防治条例》第二十九条 接到地质灾害险情报告的当地人民政府、基层群众自治组织应当根据实际情况，及时动员受到地质灾害威胁的居民以及其他人员转移到安全地带；情况紧急时，可以强行组织避灾疏散。</w:t>
            </w:r>
          </w:p>
        </w:tc>
        <w:tc>
          <w:tcPr>
            <w:tcW w:w="1228" w:type="dxa"/>
            <w:noWrap w:val="0"/>
            <w:vAlign w:val="center"/>
          </w:tcPr>
          <w:p w14:paraId="50644D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8AAD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075B42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w:t>
            </w:r>
          </w:p>
        </w:tc>
        <w:tc>
          <w:tcPr>
            <w:tcW w:w="2505" w:type="dxa"/>
            <w:noWrap w:val="0"/>
            <w:vAlign w:val="center"/>
          </w:tcPr>
          <w:p w14:paraId="6FAEFA89">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对在乡、村庄规划区内未依法取得乡村建设规划许可证或者未按照乡村建设规划许可证的规定进行建设的，逾期不改正的强制拆除</w:t>
            </w:r>
          </w:p>
        </w:tc>
        <w:tc>
          <w:tcPr>
            <w:tcW w:w="2265" w:type="dxa"/>
            <w:noWrap w:val="0"/>
            <w:vAlign w:val="center"/>
          </w:tcPr>
          <w:p w14:paraId="23598F2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《中华人民共和国城乡规划法》</w:t>
            </w:r>
          </w:p>
        </w:tc>
        <w:tc>
          <w:tcPr>
            <w:tcW w:w="1290" w:type="dxa"/>
            <w:noWrap w:val="0"/>
            <w:vAlign w:val="center"/>
          </w:tcPr>
          <w:p w14:paraId="2B020E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2CABDC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2019年4月23日</w:t>
            </w:r>
          </w:p>
        </w:tc>
        <w:tc>
          <w:tcPr>
            <w:tcW w:w="4320" w:type="dxa"/>
            <w:noWrap w:val="0"/>
            <w:vAlign w:val="center"/>
          </w:tcPr>
          <w:p w14:paraId="2151DCC3">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城乡规划法》第六十五条在乡、村庄规划区内未依法取得乡村建设规划许可证或者未按照乡村建设规划许可证的规定进行建设的，由乡、镇人民政府责令停止建设、限期改正；逾期不改正的，可以拆除。</w:t>
            </w:r>
          </w:p>
        </w:tc>
        <w:tc>
          <w:tcPr>
            <w:tcW w:w="1228" w:type="dxa"/>
            <w:noWrap w:val="0"/>
            <w:vAlign w:val="center"/>
          </w:tcPr>
          <w:p w14:paraId="47B396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bl>
    <w:p w14:paraId="747D0C8C">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4FABB3B">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537620A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C74B94F">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D84C297">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5C05C0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50ADC2AE">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300FD7DA">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384782D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46F3831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7E8FC596">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黑体" w:hAnsi="Calibri" w:eastAsia="黑体"/>
          <w:b w:val="0"/>
          <w:bCs w:val="0"/>
          <w:color w:val="auto"/>
          <w:sz w:val="32"/>
          <w:szCs w:val="32"/>
          <w:lang w:val="en-US"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2-7</w:t>
      </w:r>
    </w:p>
    <w:p w14:paraId="59D90E69">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color w:val="auto"/>
          <w:sz w:val="44"/>
          <w:szCs w:val="52"/>
        </w:rPr>
      </w:pPr>
      <w:r>
        <w:rPr>
          <w:rFonts w:hint="eastAsia" w:ascii="方正小标宋简体" w:hAnsi="方正小标宋简体" w:eastAsia="方正小标宋简体"/>
          <w:color w:val="auto"/>
          <w:sz w:val="44"/>
          <w:szCs w:val="40"/>
          <w:lang w:eastAsia="zh-CN"/>
        </w:rPr>
        <w:t>行政</w:t>
      </w:r>
      <w:r>
        <w:rPr>
          <w:rFonts w:hint="eastAsia" w:ascii="方正小标宋简体" w:hAnsi="方正小标宋简体" w:eastAsia="方正小标宋简体"/>
          <w:color w:val="auto"/>
          <w:sz w:val="44"/>
          <w:szCs w:val="40"/>
          <w:lang w:val="en-US" w:eastAsia="zh-CN"/>
        </w:rPr>
        <w:t>执法</w:t>
      </w:r>
      <w:r>
        <w:rPr>
          <w:rFonts w:hint="eastAsia" w:ascii="方正小标宋简体" w:hAnsi="方正小标宋简体" w:eastAsia="方正小标宋简体"/>
          <w:color w:val="auto"/>
          <w:sz w:val="44"/>
          <w:szCs w:val="40"/>
          <w:lang w:eastAsia="zh-CN"/>
        </w:rPr>
        <w:t>依据梳理表（行政</w:t>
      </w:r>
      <w:r>
        <w:rPr>
          <w:rFonts w:hint="eastAsia" w:ascii="方正小标宋简体" w:hAnsi="方正小标宋简体" w:eastAsia="方正小标宋简体"/>
          <w:color w:val="auto"/>
          <w:sz w:val="44"/>
          <w:szCs w:val="40"/>
          <w:lang w:val="en-US" w:eastAsia="zh-CN"/>
        </w:rPr>
        <w:t>裁决</w:t>
      </w:r>
      <w:r>
        <w:rPr>
          <w:rFonts w:hint="eastAsia" w:ascii="方正小标宋简体" w:hAnsi="方正小标宋简体" w:eastAsia="方正小标宋简体"/>
          <w:color w:val="auto"/>
          <w:sz w:val="44"/>
          <w:szCs w:val="40"/>
          <w:lang w:eastAsia="zh-CN"/>
        </w:rPr>
        <w:t>类）</w:t>
      </w:r>
    </w:p>
    <w:p w14:paraId="171B1758">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行政执法部门名称：广元市昭化区柏林沟镇人民政府                                 填表时间：2025年3月24日</w:t>
      </w:r>
    </w:p>
    <w:tbl>
      <w:tblPr>
        <w:tblStyle w:val="6"/>
        <w:tblW w:w="139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7"/>
        <w:gridCol w:w="2505"/>
        <w:gridCol w:w="2265"/>
        <w:gridCol w:w="1290"/>
        <w:gridCol w:w="1350"/>
        <w:gridCol w:w="4320"/>
        <w:gridCol w:w="1255"/>
      </w:tblGrid>
      <w:tr w14:paraId="62137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jc w:val="center"/>
        </w:trPr>
        <w:tc>
          <w:tcPr>
            <w:tcW w:w="917" w:type="dxa"/>
            <w:noWrap w:val="0"/>
            <w:vAlign w:val="center"/>
          </w:tcPr>
          <w:p w14:paraId="78DE73D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304888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行政裁决的种类</w:t>
            </w:r>
          </w:p>
        </w:tc>
        <w:tc>
          <w:tcPr>
            <w:tcW w:w="2265" w:type="dxa"/>
            <w:noWrap w:val="0"/>
            <w:vAlign w:val="center"/>
          </w:tcPr>
          <w:p w14:paraId="044C63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行政裁决依据的法律、法规、规章名称</w:t>
            </w:r>
          </w:p>
        </w:tc>
        <w:tc>
          <w:tcPr>
            <w:tcW w:w="1290" w:type="dxa"/>
            <w:noWrap w:val="0"/>
            <w:vAlign w:val="center"/>
          </w:tcPr>
          <w:p w14:paraId="0579B74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5ED3CE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4320" w:type="dxa"/>
            <w:noWrap w:val="0"/>
            <w:vAlign w:val="center"/>
          </w:tcPr>
          <w:p w14:paraId="531D1B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行政裁决依据的具体条款</w:t>
            </w:r>
          </w:p>
        </w:tc>
        <w:tc>
          <w:tcPr>
            <w:tcW w:w="1255" w:type="dxa"/>
            <w:noWrap w:val="0"/>
            <w:vAlign w:val="center"/>
          </w:tcPr>
          <w:p w14:paraId="46C2FE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2A581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7" w:type="dxa"/>
            <w:noWrap w:val="0"/>
            <w:vAlign w:val="center"/>
          </w:tcPr>
          <w:p w14:paraId="65AB6C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w:t>
            </w:r>
          </w:p>
        </w:tc>
        <w:tc>
          <w:tcPr>
            <w:tcW w:w="2505" w:type="dxa"/>
            <w:noWrap w:val="0"/>
            <w:vAlign w:val="center"/>
          </w:tcPr>
          <w:p w14:paraId="5FAD2527">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lang w:val="en-US" w:eastAsia="zh-CN"/>
              </w:rPr>
            </w:pPr>
            <w:r>
              <w:rPr>
                <w:rFonts w:ascii="宋体" w:hAnsi="宋体" w:eastAsia="宋体" w:cs="宋体"/>
                <w:i w:val="0"/>
                <w:iCs w:val="0"/>
                <w:color w:val="auto"/>
                <w:kern w:val="0"/>
                <w:sz w:val="21"/>
                <w:szCs w:val="21"/>
                <w:u w:val="none"/>
                <w:lang w:val="en-US" w:eastAsia="zh-CN" w:bidi="ar"/>
              </w:rPr>
              <w:t>对个人之间、个人与单位之间土地所有权和使用权争议的裁决</w:t>
            </w:r>
          </w:p>
        </w:tc>
        <w:tc>
          <w:tcPr>
            <w:tcW w:w="2265" w:type="dxa"/>
            <w:noWrap w:val="0"/>
            <w:vAlign w:val="center"/>
          </w:tcPr>
          <w:p w14:paraId="712C9670">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Style w:val="12"/>
                <w:color w:val="auto"/>
                <w:lang w:val="en-US" w:eastAsia="zh-CN" w:bidi="ar"/>
              </w:rPr>
            </w:pPr>
            <w:r>
              <w:rPr>
                <w:rStyle w:val="12"/>
                <w:rFonts w:hint="eastAsia"/>
                <w:color w:val="auto"/>
                <w:lang w:val="en-US" w:eastAsia="zh-CN" w:bidi="ar"/>
              </w:rPr>
              <w:t>1.</w:t>
            </w:r>
            <w:r>
              <w:rPr>
                <w:rStyle w:val="12"/>
                <w:color w:val="auto"/>
                <w:lang w:val="en-US" w:eastAsia="zh-CN" w:bidi="ar"/>
              </w:rPr>
              <w:t>《中华人民共和国土地管理法》</w:t>
            </w:r>
          </w:p>
          <w:p w14:paraId="4616B3A3">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ascii="仿宋_GB2312" w:hAnsi="仿宋_GB2312" w:eastAsia="仿宋_GB2312" w:cs="仿宋_GB2312"/>
                <w:color w:val="auto"/>
                <w:sz w:val="24"/>
                <w:szCs w:val="24"/>
                <w:vertAlign w:val="baseline"/>
                <w:lang w:val="en-US" w:eastAsia="zh-CN"/>
              </w:rPr>
            </w:pPr>
            <w:r>
              <w:rPr>
                <w:rStyle w:val="11"/>
                <w:rFonts w:hint="eastAsia"/>
                <w:color w:val="auto"/>
                <w:lang w:val="en-US" w:eastAsia="zh-CN" w:bidi="ar"/>
              </w:rPr>
              <w:t>2.</w:t>
            </w:r>
            <w:r>
              <w:rPr>
                <w:rStyle w:val="11"/>
                <w:rFonts w:eastAsia="宋体"/>
                <w:color w:val="auto"/>
                <w:lang w:val="en-US" w:eastAsia="zh-CN" w:bidi="ar"/>
              </w:rPr>
              <w:t>.</w:t>
            </w:r>
            <w:r>
              <w:rPr>
                <w:rStyle w:val="12"/>
                <w:color w:val="auto"/>
                <w:lang w:val="en-US" w:eastAsia="zh-CN" w:bidi="ar"/>
              </w:rPr>
              <w:t>《土地权属争议调查处理办法》</w:t>
            </w:r>
          </w:p>
        </w:tc>
        <w:tc>
          <w:tcPr>
            <w:tcW w:w="1290" w:type="dxa"/>
            <w:noWrap w:val="0"/>
            <w:vAlign w:val="center"/>
          </w:tcPr>
          <w:p w14:paraId="683AB3A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lang w:val="en-US" w:eastAsia="zh-CN"/>
              </w:rPr>
              <w:t>1.</w:t>
            </w: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0D4149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2019年8月26日</w:t>
            </w:r>
          </w:p>
        </w:tc>
        <w:tc>
          <w:tcPr>
            <w:tcW w:w="4320" w:type="dxa"/>
            <w:noWrap w:val="0"/>
            <w:vAlign w:val="center"/>
          </w:tcPr>
          <w:p w14:paraId="00920FB8">
            <w:pPr>
              <w:keepNext w:val="0"/>
              <w:keepLines w:val="0"/>
              <w:pageBreakBefore w:val="0"/>
              <w:widowControl w:val="0"/>
              <w:numPr>
                <w:ilvl w:val="0"/>
                <w:numId w:val="6"/>
              </w:numPr>
              <w:kinsoku/>
              <w:wordWrap/>
              <w:overflowPunct/>
              <w:topLinePunct w:val="0"/>
              <w:autoSpaceDE/>
              <w:autoSpaceDN/>
              <w:bidi w:val="0"/>
              <w:adjustRightInd/>
              <w:snapToGrid/>
              <w:spacing w:line="0" w:lineRule="atLeast"/>
              <w:jc w:val="left"/>
              <w:textAlignment w:val="auto"/>
              <w:rPr>
                <w:rStyle w:val="12"/>
                <w:color w:val="auto"/>
                <w:lang w:val="en-US" w:eastAsia="zh-CN" w:bidi="ar"/>
              </w:rPr>
            </w:pPr>
            <w:r>
              <w:rPr>
                <w:rStyle w:val="12"/>
                <w:color w:val="auto"/>
                <w:lang w:val="en-US" w:eastAsia="zh-CN" w:bidi="ar"/>
              </w:rPr>
              <w:t>《中华人民共和国土地管理法》第十四条第一款 土地所有权和使用权争议，由当事人协商解决；协商不成的，由人民政府处理。单位之间的争议，由县级以上人民政府处理；个人之间、个人与单位之间的争议，由乡级人民政府或者县级以上人民政府处理。</w:t>
            </w:r>
            <w:r>
              <w:rPr>
                <w:rStyle w:val="12"/>
                <w:color w:val="auto"/>
                <w:lang w:val="en-US" w:eastAsia="zh-CN" w:bidi="ar"/>
              </w:rPr>
              <w:br w:type="textWrapping"/>
            </w:r>
            <w:r>
              <w:rPr>
                <w:rStyle w:val="11"/>
                <w:rFonts w:eastAsia="宋体"/>
                <w:color w:val="auto"/>
                <w:lang w:val="en-US" w:eastAsia="zh-CN" w:bidi="ar"/>
              </w:rPr>
              <w:t>2.</w:t>
            </w:r>
            <w:r>
              <w:rPr>
                <w:rStyle w:val="12"/>
                <w:color w:val="auto"/>
                <w:lang w:val="en-US" w:eastAsia="zh-CN" w:bidi="ar"/>
              </w:rPr>
              <w:t>《土地权属争议调查处理办法》第九条 当事人发生土地权属争议，经协商不能解决的，可以依法向县级以上人民政府或者乡级人民政府提出处理申请，也可以依照本办法第五、六、七、八条的规定，向有关的国土资源行政主管部门提出调查处理申请。</w:t>
            </w:r>
          </w:p>
          <w:p w14:paraId="35ADD1D8">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left"/>
              <w:textAlignment w:val="auto"/>
              <w:rPr>
                <w:rFonts w:hint="eastAsia" w:ascii="仿宋_GB2312" w:hAnsi="仿宋_GB2312" w:eastAsia="仿宋_GB2312" w:cs="仿宋_GB2312"/>
                <w:color w:val="auto"/>
                <w:sz w:val="24"/>
                <w:szCs w:val="24"/>
                <w:vertAlign w:val="baseline"/>
              </w:rPr>
            </w:pPr>
            <w:r>
              <w:rPr>
                <w:rStyle w:val="12"/>
                <w:color w:val="auto"/>
                <w:lang w:val="en-US" w:eastAsia="zh-CN" w:bidi="ar"/>
              </w:rPr>
              <w:t>《土地权属争议调查处理办法》第三十三条 乡级人民政府处理土地权属争议，参照本办法执行。</w:t>
            </w:r>
          </w:p>
        </w:tc>
        <w:tc>
          <w:tcPr>
            <w:tcW w:w="1255" w:type="dxa"/>
            <w:noWrap w:val="0"/>
            <w:vAlign w:val="center"/>
          </w:tcPr>
          <w:p w14:paraId="5E1945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7A6E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7" w:type="dxa"/>
            <w:noWrap w:val="0"/>
            <w:vAlign w:val="center"/>
          </w:tcPr>
          <w:p w14:paraId="131BCE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w:t>
            </w:r>
          </w:p>
        </w:tc>
        <w:tc>
          <w:tcPr>
            <w:tcW w:w="2505" w:type="dxa"/>
            <w:noWrap w:val="0"/>
            <w:vAlign w:val="center"/>
          </w:tcPr>
          <w:p w14:paraId="0DFCEF76">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对个人之间、个人与单位之间林木所有权、林地使用权争议的裁决</w:t>
            </w:r>
          </w:p>
        </w:tc>
        <w:tc>
          <w:tcPr>
            <w:tcW w:w="2265" w:type="dxa"/>
            <w:noWrap w:val="0"/>
            <w:vAlign w:val="center"/>
          </w:tcPr>
          <w:p w14:paraId="521398B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《中华人民共和国森林法》</w:t>
            </w:r>
          </w:p>
        </w:tc>
        <w:tc>
          <w:tcPr>
            <w:tcW w:w="1290" w:type="dxa"/>
            <w:noWrap w:val="0"/>
            <w:vAlign w:val="center"/>
          </w:tcPr>
          <w:p w14:paraId="417B3F3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47AC9A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2019年12月28日</w:t>
            </w:r>
          </w:p>
        </w:tc>
        <w:tc>
          <w:tcPr>
            <w:tcW w:w="4320" w:type="dxa"/>
            <w:noWrap w:val="0"/>
            <w:vAlign w:val="center"/>
          </w:tcPr>
          <w:p w14:paraId="21ED79F7">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《中华人民共和国森林法》第二十二条第二款 个人之间、个人与单位之间发生的林木所有权和林地使用权争议，由乡镇人民政府或者县级以上人民政府依法处理。</w:t>
            </w:r>
          </w:p>
        </w:tc>
        <w:tc>
          <w:tcPr>
            <w:tcW w:w="1255" w:type="dxa"/>
            <w:noWrap w:val="0"/>
            <w:vAlign w:val="center"/>
          </w:tcPr>
          <w:p w14:paraId="4AFFDC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bl>
    <w:p w14:paraId="57D0CF40">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黑体" w:hAnsi="Calibri" w:eastAsia="黑体"/>
          <w:b w:val="0"/>
          <w:bCs w:val="0"/>
          <w:color w:val="auto"/>
          <w:sz w:val="32"/>
          <w:szCs w:val="32"/>
          <w:lang w:val="en-US"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2-8</w:t>
      </w:r>
    </w:p>
    <w:p w14:paraId="6E9EA213">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黑体" w:hAnsi="Calibri" w:eastAsia="黑体"/>
          <w:color w:val="auto"/>
          <w:sz w:val="32"/>
          <w:szCs w:val="32"/>
          <w:lang w:eastAsia="zh-CN"/>
        </w:rPr>
      </w:pPr>
    </w:p>
    <w:p w14:paraId="38A8D1C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color w:val="auto"/>
          <w:sz w:val="44"/>
          <w:szCs w:val="52"/>
        </w:rPr>
      </w:pPr>
      <w:r>
        <w:rPr>
          <w:rFonts w:hint="eastAsia" w:ascii="方正小标宋简体" w:hAnsi="方正小标宋简体" w:eastAsia="方正小标宋简体"/>
          <w:color w:val="auto"/>
          <w:sz w:val="44"/>
          <w:szCs w:val="40"/>
          <w:lang w:eastAsia="zh-CN"/>
        </w:rPr>
        <w:t>行政</w:t>
      </w:r>
      <w:r>
        <w:rPr>
          <w:rFonts w:hint="eastAsia" w:ascii="方正小标宋简体" w:hAnsi="方正小标宋简体" w:eastAsia="方正小标宋简体"/>
          <w:color w:val="auto"/>
          <w:sz w:val="44"/>
          <w:szCs w:val="40"/>
          <w:lang w:val="en-US" w:eastAsia="zh-CN"/>
        </w:rPr>
        <w:t>执法</w:t>
      </w:r>
      <w:r>
        <w:rPr>
          <w:rFonts w:hint="eastAsia" w:ascii="方正小标宋简体" w:hAnsi="方正小标宋简体" w:eastAsia="方正小标宋简体"/>
          <w:color w:val="auto"/>
          <w:sz w:val="44"/>
          <w:szCs w:val="40"/>
          <w:lang w:eastAsia="zh-CN"/>
        </w:rPr>
        <w:t>依据梳理表（</w:t>
      </w:r>
      <w:r>
        <w:rPr>
          <w:rFonts w:hint="eastAsia" w:ascii="方正小标宋简体" w:hAnsi="方正小标宋简体" w:eastAsia="方正小标宋简体"/>
          <w:color w:val="auto"/>
          <w:sz w:val="44"/>
          <w:szCs w:val="40"/>
          <w:lang w:val="en-US" w:eastAsia="zh-CN"/>
        </w:rPr>
        <w:t>其他</w:t>
      </w:r>
      <w:r>
        <w:rPr>
          <w:rFonts w:hint="eastAsia" w:ascii="方正小标宋简体" w:hAnsi="方正小标宋简体" w:eastAsia="方正小标宋简体"/>
          <w:color w:val="auto"/>
          <w:sz w:val="44"/>
          <w:szCs w:val="40"/>
          <w:lang w:eastAsia="zh-CN"/>
        </w:rPr>
        <w:t>类）</w:t>
      </w:r>
    </w:p>
    <w:p w14:paraId="340749C5">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行政执法部门名称：广元市昭化区柏林沟镇人民政府                                 填表时间：2025年3月24日</w:t>
      </w:r>
    </w:p>
    <w:tbl>
      <w:tblPr>
        <w:tblStyle w:val="6"/>
        <w:tblW w:w="139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8"/>
        <w:gridCol w:w="2618"/>
        <w:gridCol w:w="1991"/>
        <w:gridCol w:w="1200"/>
        <w:gridCol w:w="1350"/>
        <w:gridCol w:w="5073"/>
        <w:gridCol w:w="1002"/>
      </w:tblGrid>
      <w:tr w14:paraId="346CD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jc w:val="center"/>
        </w:trPr>
        <w:tc>
          <w:tcPr>
            <w:tcW w:w="688" w:type="dxa"/>
            <w:noWrap w:val="0"/>
            <w:vAlign w:val="center"/>
          </w:tcPr>
          <w:p w14:paraId="648E822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618" w:type="dxa"/>
            <w:noWrap w:val="0"/>
            <w:vAlign w:val="center"/>
          </w:tcPr>
          <w:p w14:paraId="1BF68E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其他具体行政行为的名称或种类</w:t>
            </w:r>
          </w:p>
        </w:tc>
        <w:tc>
          <w:tcPr>
            <w:tcW w:w="1991" w:type="dxa"/>
            <w:noWrap w:val="0"/>
            <w:vAlign w:val="center"/>
          </w:tcPr>
          <w:p w14:paraId="664E4C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其他具体行政行为依据的法律、法规、规章名称</w:t>
            </w:r>
          </w:p>
        </w:tc>
        <w:tc>
          <w:tcPr>
            <w:tcW w:w="1200" w:type="dxa"/>
            <w:noWrap w:val="0"/>
            <w:vAlign w:val="center"/>
          </w:tcPr>
          <w:p w14:paraId="60C578A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1D11DD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5073" w:type="dxa"/>
            <w:noWrap w:val="0"/>
            <w:vAlign w:val="center"/>
          </w:tcPr>
          <w:p w14:paraId="3C8596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其他具体行政行为依据的具体条款</w:t>
            </w:r>
          </w:p>
        </w:tc>
        <w:tc>
          <w:tcPr>
            <w:tcW w:w="1002" w:type="dxa"/>
            <w:noWrap w:val="0"/>
            <w:vAlign w:val="center"/>
          </w:tcPr>
          <w:p w14:paraId="3BF89D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12B3B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1283AC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w:t>
            </w:r>
          </w:p>
        </w:tc>
        <w:tc>
          <w:tcPr>
            <w:tcW w:w="2618" w:type="dxa"/>
            <w:noWrap w:val="0"/>
            <w:vAlign w:val="center"/>
          </w:tcPr>
          <w:p w14:paraId="415D0C4B">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lang w:val="en-US" w:eastAsia="zh-CN"/>
              </w:rPr>
            </w:pPr>
            <w:r>
              <w:rPr>
                <w:rFonts w:ascii="宋体" w:hAnsi="宋体" w:eastAsia="宋体" w:cs="宋体"/>
                <w:i w:val="0"/>
                <w:iCs w:val="0"/>
                <w:color w:val="auto"/>
                <w:kern w:val="0"/>
                <w:sz w:val="21"/>
                <w:szCs w:val="21"/>
                <w:u w:val="none"/>
                <w:lang w:val="en-US" w:eastAsia="zh-CN" w:bidi="ar"/>
              </w:rPr>
              <w:t>对适龄儿童、少年的父母或者其他法定监护人无正当理由未依照《中华人民共和国义务教育法》规定送适龄儿童、少年入学接受义务教育的处理</w:t>
            </w:r>
          </w:p>
        </w:tc>
        <w:tc>
          <w:tcPr>
            <w:tcW w:w="1991" w:type="dxa"/>
            <w:noWrap w:val="0"/>
            <w:vAlign w:val="center"/>
          </w:tcPr>
          <w:p w14:paraId="19C9A1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《中华人民共和国义务教育法》</w:t>
            </w:r>
          </w:p>
        </w:tc>
        <w:tc>
          <w:tcPr>
            <w:tcW w:w="1200" w:type="dxa"/>
            <w:noWrap w:val="0"/>
            <w:vAlign w:val="center"/>
          </w:tcPr>
          <w:p w14:paraId="3BB142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w:t>
            </w:r>
          </w:p>
        </w:tc>
        <w:tc>
          <w:tcPr>
            <w:tcW w:w="1350" w:type="dxa"/>
            <w:noWrap w:val="0"/>
            <w:vAlign w:val="center"/>
          </w:tcPr>
          <w:p w14:paraId="0D4AB9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5073" w:type="dxa"/>
            <w:noWrap w:val="0"/>
            <w:vAlign w:val="top"/>
          </w:tcPr>
          <w:p w14:paraId="0F79893C">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《中华人民共和国义务教育法》第五十八条 适龄儿童、少年的父母或者其他法定监护人无正当理由未依照本法规定送适龄儿童、少年入学接受义务教育的，由当地乡镇人民政府或者县级人民政府教育行政部门给予批评教育，责令限期改正。</w:t>
            </w:r>
          </w:p>
        </w:tc>
        <w:tc>
          <w:tcPr>
            <w:tcW w:w="1002" w:type="dxa"/>
            <w:noWrap w:val="0"/>
            <w:vAlign w:val="center"/>
          </w:tcPr>
          <w:p w14:paraId="756E23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CABA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2EE085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w:t>
            </w:r>
          </w:p>
        </w:tc>
        <w:tc>
          <w:tcPr>
            <w:tcW w:w="2618" w:type="dxa"/>
            <w:noWrap w:val="0"/>
            <w:vAlign w:val="center"/>
          </w:tcPr>
          <w:p w14:paraId="4085F9D1">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对违反《学校体育工作条例》，侵占、破坏学校体育场地、器材设备的处理</w:t>
            </w:r>
          </w:p>
        </w:tc>
        <w:tc>
          <w:tcPr>
            <w:tcW w:w="1991" w:type="dxa"/>
            <w:noWrap w:val="0"/>
            <w:vAlign w:val="center"/>
          </w:tcPr>
          <w:p w14:paraId="6FB35B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《学校体育工作条例》</w:t>
            </w:r>
          </w:p>
        </w:tc>
        <w:tc>
          <w:tcPr>
            <w:tcW w:w="1200" w:type="dxa"/>
            <w:noWrap w:val="0"/>
            <w:vAlign w:val="center"/>
          </w:tcPr>
          <w:p w14:paraId="083755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06A494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2017年3月1日</w:t>
            </w:r>
          </w:p>
        </w:tc>
        <w:tc>
          <w:tcPr>
            <w:tcW w:w="5073" w:type="dxa"/>
            <w:noWrap w:val="0"/>
            <w:vAlign w:val="top"/>
          </w:tcPr>
          <w:p w14:paraId="3BB60ABC">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《学校体育工作条例》第二十八条 对违反本条例，侵占、破坏学校体育场地、器材、设备的单位或者个人，由当地人民政府或者教育行政部门令其限期清退和修复场地、赔偿或者修复器材、设备。</w:t>
            </w:r>
          </w:p>
        </w:tc>
        <w:tc>
          <w:tcPr>
            <w:tcW w:w="1002" w:type="dxa"/>
            <w:noWrap w:val="0"/>
            <w:vAlign w:val="center"/>
          </w:tcPr>
          <w:p w14:paraId="1113345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F186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77E6FF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w:t>
            </w:r>
          </w:p>
        </w:tc>
        <w:tc>
          <w:tcPr>
            <w:tcW w:w="2618" w:type="dxa"/>
            <w:noWrap w:val="0"/>
            <w:vAlign w:val="center"/>
          </w:tcPr>
          <w:p w14:paraId="2DC6B4BA">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对以暴力、威胁、欺骗、贿赂、伪造选票、虚报选举票数等不正当手段，妨害 村民行使选举权、被选举权，破坏村民委员会选举的行为的依法处理</w:t>
            </w:r>
          </w:p>
        </w:tc>
        <w:tc>
          <w:tcPr>
            <w:tcW w:w="1991" w:type="dxa"/>
            <w:noWrap w:val="0"/>
            <w:vAlign w:val="center"/>
          </w:tcPr>
          <w:p w14:paraId="09E368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《中华人民共和国村民委员会组织法》</w:t>
            </w:r>
          </w:p>
        </w:tc>
        <w:tc>
          <w:tcPr>
            <w:tcW w:w="1200" w:type="dxa"/>
            <w:noWrap w:val="0"/>
            <w:vAlign w:val="center"/>
          </w:tcPr>
          <w:p w14:paraId="5B9432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548263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5073" w:type="dxa"/>
            <w:noWrap w:val="0"/>
            <w:vAlign w:val="top"/>
          </w:tcPr>
          <w:p w14:paraId="735FF32B">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《中华人民共和国村民委员会组织法》第十七条第二款 对以暴力、威胁、欺骗、贿赂、伪造选票、虚报选举票数等不正当手段，妨害村民行使选举权、被选举权，破坏村民委员会选举的行为，村民有权向乡、民族乡、镇的人民代表大会和人民政府或者县级人民代表大会常务委员会和人民政府及其有关主管部门举报，由乡级或者县级人民政府负责调查并依法处理。</w:t>
            </w:r>
          </w:p>
        </w:tc>
        <w:tc>
          <w:tcPr>
            <w:tcW w:w="1002" w:type="dxa"/>
            <w:noWrap w:val="0"/>
            <w:vAlign w:val="center"/>
          </w:tcPr>
          <w:p w14:paraId="311714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E698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7389EB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w:t>
            </w:r>
          </w:p>
        </w:tc>
        <w:tc>
          <w:tcPr>
            <w:tcW w:w="2618" w:type="dxa"/>
            <w:noWrap w:val="0"/>
            <w:vAlign w:val="center"/>
          </w:tcPr>
          <w:p w14:paraId="7B74FF22">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对村民自治章程、村规民约的备案</w:t>
            </w:r>
          </w:p>
        </w:tc>
        <w:tc>
          <w:tcPr>
            <w:tcW w:w="1991" w:type="dxa"/>
            <w:noWrap w:val="0"/>
            <w:vAlign w:val="center"/>
          </w:tcPr>
          <w:p w14:paraId="5599A5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《中华人民共和国村民委员会组织法》</w:t>
            </w:r>
          </w:p>
        </w:tc>
        <w:tc>
          <w:tcPr>
            <w:tcW w:w="1200" w:type="dxa"/>
            <w:noWrap w:val="0"/>
            <w:vAlign w:val="center"/>
          </w:tcPr>
          <w:p w14:paraId="69B19E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1A75F58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5073" w:type="dxa"/>
            <w:noWrap w:val="0"/>
            <w:vAlign w:val="top"/>
          </w:tcPr>
          <w:p w14:paraId="3F12C26A">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《中华人民共和国村民委员会组织法》第二十七条第一款 村民会议可以制定和修改村民自治章程、村规民约，并报乡、民族乡、镇的人民政府备案。</w:t>
            </w:r>
          </w:p>
        </w:tc>
        <w:tc>
          <w:tcPr>
            <w:tcW w:w="1002" w:type="dxa"/>
            <w:noWrap w:val="0"/>
            <w:vAlign w:val="center"/>
          </w:tcPr>
          <w:p w14:paraId="2B7F5E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7EE1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66EB97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w:t>
            </w:r>
          </w:p>
        </w:tc>
        <w:tc>
          <w:tcPr>
            <w:tcW w:w="2618" w:type="dxa"/>
            <w:noWrap w:val="0"/>
            <w:vAlign w:val="center"/>
          </w:tcPr>
          <w:p w14:paraId="6FFAF8C1">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对村民自治章程、村规民约以及村民会议或者村民代表会议的决定与宪法、法律、法规和国家的政策相抵触，侵犯村民的人身权利、民主权利和合法财产权利的内容的依法处理</w:t>
            </w:r>
          </w:p>
        </w:tc>
        <w:tc>
          <w:tcPr>
            <w:tcW w:w="1991" w:type="dxa"/>
            <w:noWrap w:val="0"/>
            <w:vAlign w:val="center"/>
          </w:tcPr>
          <w:p w14:paraId="3E6F8C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《中华人民共和国村民委员会组织法》</w:t>
            </w:r>
          </w:p>
        </w:tc>
        <w:tc>
          <w:tcPr>
            <w:tcW w:w="1200" w:type="dxa"/>
            <w:noWrap w:val="0"/>
            <w:vAlign w:val="center"/>
          </w:tcPr>
          <w:p w14:paraId="57015C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2407CD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5073" w:type="dxa"/>
            <w:noWrap w:val="0"/>
            <w:vAlign w:val="top"/>
          </w:tcPr>
          <w:p w14:paraId="60CE1644">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lang w:val="en-US"/>
              </w:rPr>
            </w:pPr>
            <w:r>
              <w:rPr>
                <w:rFonts w:ascii="宋体" w:hAnsi="宋体" w:eastAsia="宋体" w:cs="宋体"/>
                <w:i w:val="0"/>
                <w:iCs w:val="0"/>
                <w:color w:val="auto"/>
                <w:kern w:val="0"/>
                <w:sz w:val="21"/>
                <w:szCs w:val="21"/>
                <w:u w:val="none"/>
                <w:lang w:val="en-US" w:eastAsia="zh-CN" w:bidi="ar"/>
              </w:rPr>
              <w:t>《中华人民共和国村民委员会组织法》第二十七条第二款、第三款 村民自治章程、村规民约以及村民会议或者村民代表会议的决定不得与宪法、法律、法规和国家的政策相抵触，不得有侵犯村民的人身权利、民主权利和合法财产权利的内容。村民自治章程、村规民约以及村民会议或者村民代表会议的决定违反前款规定的，由乡、民族乡、镇的人民政府责令改正。</w:t>
            </w:r>
          </w:p>
        </w:tc>
        <w:tc>
          <w:tcPr>
            <w:tcW w:w="1002" w:type="dxa"/>
            <w:noWrap w:val="0"/>
            <w:vAlign w:val="center"/>
          </w:tcPr>
          <w:p w14:paraId="2B2786F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910B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3B4CD9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w:t>
            </w:r>
          </w:p>
        </w:tc>
        <w:tc>
          <w:tcPr>
            <w:tcW w:w="2618" w:type="dxa"/>
            <w:noWrap w:val="0"/>
            <w:vAlign w:val="center"/>
          </w:tcPr>
          <w:p w14:paraId="5CE07578">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对村民委员会不及时公布应当公布的事项或者公布的事项不真实的依法处理</w:t>
            </w:r>
          </w:p>
        </w:tc>
        <w:tc>
          <w:tcPr>
            <w:tcW w:w="1991" w:type="dxa"/>
            <w:noWrap w:val="0"/>
            <w:vAlign w:val="center"/>
          </w:tcPr>
          <w:p w14:paraId="3A74D4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《中华人民共和国村民委员会组织法》</w:t>
            </w:r>
          </w:p>
        </w:tc>
        <w:tc>
          <w:tcPr>
            <w:tcW w:w="1200" w:type="dxa"/>
            <w:noWrap w:val="0"/>
            <w:vAlign w:val="center"/>
          </w:tcPr>
          <w:p w14:paraId="0AF712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5A146F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5073" w:type="dxa"/>
            <w:noWrap w:val="0"/>
            <w:vAlign w:val="top"/>
          </w:tcPr>
          <w:p w14:paraId="18F1E2C1">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《中华人民共和国村民委员会组织法》第三十一条 村民委员会不及时公布应当公布的事项或者公布的事项不真实的，村民有权向乡、民族乡、镇的人民政府或者县级人民政府及其有关主管部门反映，有关人民政府或者主管部门应当负责调查核实，责令依法公布；经查证确有违法行为的，有关人员应当依法承担责任。</w:t>
            </w:r>
          </w:p>
        </w:tc>
        <w:tc>
          <w:tcPr>
            <w:tcW w:w="1002" w:type="dxa"/>
            <w:noWrap w:val="0"/>
            <w:vAlign w:val="center"/>
          </w:tcPr>
          <w:p w14:paraId="2D00169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C415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5B8536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w:t>
            </w:r>
          </w:p>
        </w:tc>
        <w:tc>
          <w:tcPr>
            <w:tcW w:w="2618" w:type="dxa"/>
            <w:noWrap w:val="0"/>
            <w:vAlign w:val="center"/>
          </w:tcPr>
          <w:p w14:paraId="698B8F3B">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村民委员会成员的任期和离任经济责任审计</w:t>
            </w:r>
          </w:p>
        </w:tc>
        <w:tc>
          <w:tcPr>
            <w:tcW w:w="1991" w:type="dxa"/>
            <w:noWrap w:val="0"/>
            <w:vAlign w:val="center"/>
          </w:tcPr>
          <w:p w14:paraId="03A2D0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《中华人民共和国村民委员会组织法》</w:t>
            </w:r>
          </w:p>
        </w:tc>
        <w:tc>
          <w:tcPr>
            <w:tcW w:w="1200" w:type="dxa"/>
            <w:noWrap w:val="0"/>
            <w:vAlign w:val="center"/>
          </w:tcPr>
          <w:p w14:paraId="148440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4194E6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5073" w:type="dxa"/>
            <w:noWrap w:val="0"/>
            <w:vAlign w:val="top"/>
          </w:tcPr>
          <w:p w14:paraId="38556A7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《中华人民共和国村民委员会组织法》第三十五条 村民委员会成员实行任期和离任经济责任审计，审计包括下列事项：（一）本村财务收支情况；（二）本村债权债务情况；（三）政府拨付和接受社会捐赠的资金、物资管理使用情况；（四）本村生产经营和建设项目的发包管理以及公益事业建设项目招标投标情况；（五）本村资金管理使用以及本村集体资产、资源的承包、租赁、担保、出让情况，征地补偿费的使用、分配情况；（六本村五分之一以上的村民要求审计的其他事项。 村民委员会成员的任期和离任经济责任审计，由县级人民政府农业部门、财政部门或者乡、民族乡、镇的人民政府负责组织，审计结果应当公布，其中离任经济责任审计结果应当在下一届村民委员会选举之前公布。</w:t>
            </w:r>
          </w:p>
        </w:tc>
        <w:tc>
          <w:tcPr>
            <w:tcW w:w="1002" w:type="dxa"/>
            <w:noWrap w:val="0"/>
            <w:vAlign w:val="center"/>
          </w:tcPr>
          <w:p w14:paraId="3EFDA9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57A3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58D05C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w:t>
            </w:r>
          </w:p>
        </w:tc>
        <w:tc>
          <w:tcPr>
            <w:tcW w:w="2618" w:type="dxa"/>
            <w:noWrap w:val="0"/>
            <w:vAlign w:val="center"/>
          </w:tcPr>
          <w:p w14:paraId="19CCE66B">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对村民委员会或者村民委员会成员作出的决定侵害村民合法权益不依照法律、法规的规定履行法定义务的依法处理</w:t>
            </w:r>
          </w:p>
        </w:tc>
        <w:tc>
          <w:tcPr>
            <w:tcW w:w="1991" w:type="dxa"/>
            <w:noWrap w:val="0"/>
            <w:vAlign w:val="center"/>
          </w:tcPr>
          <w:p w14:paraId="1E28C3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《中华人民共和国村民委员会组织法》</w:t>
            </w:r>
          </w:p>
        </w:tc>
        <w:tc>
          <w:tcPr>
            <w:tcW w:w="1200" w:type="dxa"/>
            <w:noWrap w:val="0"/>
            <w:vAlign w:val="center"/>
          </w:tcPr>
          <w:p w14:paraId="14F79E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08DE1D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5073" w:type="dxa"/>
            <w:noWrap w:val="0"/>
            <w:vAlign w:val="top"/>
          </w:tcPr>
          <w:p w14:paraId="1D6D87E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《中华人民共和国村民委员会组织法》第三十六条 村民委员会或者村民委员会成员作出的决定侵害村民合法权益的，受侵害的村民可以申请人民法院予以撤销，责任人依法承担法律责任。村民委员会不依照法律、法规的规定履行法定义务的，由乡、民族乡、镇的人民政府责令改正。乡、民族乡、镇的人民政府干预依法属于村民自治范围事项的，由上一级人民政府责令改正。</w:t>
            </w:r>
          </w:p>
        </w:tc>
        <w:tc>
          <w:tcPr>
            <w:tcW w:w="1002" w:type="dxa"/>
            <w:noWrap w:val="0"/>
            <w:vAlign w:val="center"/>
          </w:tcPr>
          <w:p w14:paraId="61F084E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5753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2A90DF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w:t>
            </w:r>
          </w:p>
        </w:tc>
        <w:tc>
          <w:tcPr>
            <w:tcW w:w="2618" w:type="dxa"/>
            <w:noWrap w:val="0"/>
            <w:vAlign w:val="center"/>
          </w:tcPr>
          <w:p w14:paraId="5B9005AC">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对居民公约的备案</w:t>
            </w:r>
          </w:p>
        </w:tc>
        <w:tc>
          <w:tcPr>
            <w:tcW w:w="1991" w:type="dxa"/>
            <w:noWrap w:val="0"/>
            <w:vAlign w:val="center"/>
          </w:tcPr>
          <w:p w14:paraId="10E5E7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《中华人民共和国城市居民委员会组织法》</w:t>
            </w:r>
          </w:p>
        </w:tc>
        <w:tc>
          <w:tcPr>
            <w:tcW w:w="1200" w:type="dxa"/>
            <w:noWrap w:val="0"/>
            <w:vAlign w:val="center"/>
          </w:tcPr>
          <w:p w14:paraId="4AB6B9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11E52C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5073" w:type="dxa"/>
            <w:noWrap w:val="0"/>
            <w:vAlign w:val="top"/>
          </w:tcPr>
          <w:p w14:paraId="06DC883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《中华人民共和国城市居民委员会组织法》第十五条 居民公约由居民会议讨论制定，报不设区的市、市辖区的人民政府或者它的派出机关备案，由居民委员会监督执行。居民应当遵守居民会议的决议和居民公约。</w:t>
            </w:r>
          </w:p>
        </w:tc>
        <w:tc>
          <w:tcPr>
            <w:tcW w:w="1002" w:type="dxa"/>
            <w:noWrap w:val="0"/>
            <w:vAlign w:val="center"/>
          </w:tcPr>
          <w:p w14:paraId="65785C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DCF2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5FE394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w:t>
            </w:r>
          </w:p>
        </w:tc>
        <w:tc>
          <w:tcPr>
            <w:tcW w:w="2618" w:type="dxa"/>
            <w:noWrap w:val="0"/>
            <w:vAlign w:val="center"/>
          </w:tcPr>
          <w:p w14:paraId="43965673">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对农村设置公益性墓地的审核</w:t>
            </w:r>
          </w:p>
        </w:tc>
        <w:tc>
          <w:tcPr>
            <w:tcW w:w="1991" w:type="dxa"/>
            <w:noWrap w:val="0"/>
            <w:vAlign w:val="center"/>
          </w:tcPr>
          <w:p w14:paraId="7AB898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《殡葬管理条例》</w:t>
            </w:r>
          </w:p>
        </w:tc>
        <w:tc>
          <w:tcPr>
            <w:tcW w:w="1200" w:type="dxa"/>
            <w:noWrap w:val="0"/>
            <w:vAlign w:val="center"/>
          </w:tcPr>
          <w:p w14:paraId="69C4392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61591A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2012年11月9日</w:t>
            </w:r>
          </w:p>
        </w:tc>
        <w:tc>
          <w:tcPr>
            <w:tcW w:w="5073" w:type="dxa"/>
            <w:noWrap w:val="0"/>
            <w:vAlign w:val="top"/>
          </w:tcPr>
          <w:p w14:paraId="563A4B8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《殡葬管理条例》第八条第三款 农村为村民设置公益性墓地，经乡级人民政府审核同意后，报县级人民政府民政部门审批。</w:t>
            </w:r>
          </w:p>
        </w:tc>
        <w:tc>
          <w:tcPr>
            <w:tcW w:w="1002" w:type="dxa"/>
            <w:noWrap w:val="0"/>
            <w:vAlign w:val="center"/>
          </w:tcPr>
          <w:p w14:paraId="1BD008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6A1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6B376C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w:t>
            </w:r>
          </w:p>
        </w:tc>
        <w:tc>
          <w:tcPr>
            <w:tcW w:w="2618" w:type="dxa"/>
            <w:noWrap w:val="0"/>
            <w:vAlign w:val="center"/>
          </w:tcPr>
          <w:p w14:paraId="362A5970">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对村民委员会或者农村特困人员供养服务机构提供的供养服务不符合要求的依法处理</w:t>
            </w:r>
          </w:p>
        </w:tc>
        <w:tc>
          <w:tcPr>
            <w:tcW w:w="1991" w:type="dxa"/>
            <w:noWrap w:val="0"/>
            <w:vAlign w:val="center"/>
          </w:tcPr>
          <w:p w14:paraId="6D8DF8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《农村五保供养工作条例》</w:t>
            </w:r>
          </w:p>
        </w:tc>
        <w:tc>
          <w:tcPr>
            <w:tcW w:w="1200" w:type="dxa"/>
            <w:noWrap w:val="0"/>
            <w:vAlign w:val="center"/>
          </w:tcPr>
          <w:p w14:paraId="66208C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5071C8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w:t>
            </w:r>
            <w:r>
              <w:rPr>
                <w:rFonts w:hint="default" w:ascii="仿宋_GB2312" w:hAnsi="仿宋_GB2312" w:eastAsia="仿宋_GB2312" w:cs="仿宋_GB2312"/>
                <w:color w:val="auto"/>
                <w:sz w:val="24"/>
                <w:szCs w:val="24"/>
                <w:vertAlign w:val="baseline"/>
              </w:rPr>
              <w:t>006</w:t>
            </w:r>
            <w:r>
              <w:rPr>
                <w:rFonts w:hint="eastAsia" w:ascii="仿宋_GB2312" w:hAnsi="仿宋_GB2312" w:eastAsia="仿宋_GB2312" w:cs="仿宋_GB2312"/>
                <w:color w:val="auto"/>
                <w:sz w:val="24"/>
                <w:szCs w:val="24"/>
                <w:vertAlign w:val="baseline"/>
              </w:rPr>
              <w:t>年</w:t>
            </w:r>
            <w:r>
              <w:rPr>
                <w:rFonts w:hint="default" w:ascii="仿宋_GB2312" w:hAnsi="仿宋_GB2312" w:eastAsia="仿宋_GB2312" w:cs="仿宋_GB2312"/>
                <w:color w:val="auto"/>
                <w:sz w:val="24"/>
                <w:szCs w:val="24"/>
                <w:vertAlign w:val="baseline"/>
              </w:rPr>
              <w:t>1</w:t>
            </w:r>
            <w:r>
              <w:rPr>
                <w:rFonts w:hint="eastAsia" w:ascii="仿宋_GB2312" w:hAnsi="仿宋_GB2312" w:eastAsia="仿宋_GB2312" w:cs="仿宋_GB2312"/>
                <w:color w:val="auto"/>
                <w:sz w:val="24"/>
                <w:szCs w:val="24"/>
                <w:vertAlign w:val="baseline"/>
              </w:rPr>
              <w:t>月</w:t>
            </w:r>
            <w:r>
              <w:rPr>
                <w:rFonts w:hint="default" w:ascii="仿宋_GB2312" w:hAnsi="仿宋_GB2312" w:eastAsia="仿宋_GB2312" w:cs="仿宋_GB2312"/>
                <w:color w:val="auto"/>
                <w:sz w:val="24"/>
                <w:szCs w:val="24"/>
                <w:vertAlign w:val="baseline"/>
              </w:rPr>
              <w:t>21</w:t>
            </w:r>
            <w:r>
              <w:rPr>
                <w:rFonts w:hint="eastAsia" w:ascii="仿宋_GB2312" w:hAnsi="仿宋_GB2312" w:eastAsia="仿宋_GB2312" w:cs="仿宋_GB2312"/>
                <w:color w:val="auto"/>
                <w:sz w:val="24"/>
                <w:szCs w:val="24"/>
                <w:vertAlign w:val="baseline"/>
              </w:rPr>
              <w:t>日</w:t>
            </w:r>
          </w:p>
        </w:tc>
        <w:tc>
          <w:tcPr>
            <w:tcW w:w="5073" w:type="dxa"/>
            <w:noWrap w:val="0"/>
            <w:vAlign w:val="top"/>
          </w:tcPr>
          <w:p w14:paraId="10A73AF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《农村五保供养工作条例》第二十四条 违反本条例规定，村民委员会或者农村五保供养服务机构对农村五保供养对象提供的供养服务不符合要求的，由乡、民族乡、镇人民政府责令限期改正；逾期不改正的，乡、民族乡、镇人民政府有权终止供养服务协议；造成损失的，依法承担赔偿责任。</w:t>
            </w:r>
          </w:p>
        </w:tc>
        <w:tc>
          <w:tcPr>
            <w:tcW w:w="1002" w:type="dxa"/>
            <w:noWrap w:val="0"/>
            <w:vAlign w:val="center"/>
          </w:tcPr>
          <w:p w14:paraId="7C677F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7D5F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65DDD2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12</w:t>
            </w:r>
          </w:p>
        </w:tc>
        <w:tc>
          <w:tcPr>
            <w:tcW w:w="2618" w:type="dxa"/>
            <w:noWrap w:val="0"/>
            <w:vAlign w:val="center"/>
          </w:tcPr>
          <w:p w14:paraId="2EAA1FD7">
            <w:pPr>
              <w:keepNext w:val="0"/>
              <w:keepLines w:val="0"/>
              <w:widowControl/>
              <w:suppressLineNumbers w:val="0"/>
              <w:jc w:val="left"/>
              <w:textAlignment w:val="top"/>
              <w:rPr>
                <w:rStyle w:val="14"/>
                <w:rFonts w:eastAsia="宋体"/>
                <w:color w:val="auto"/>
                <w:lang w:val="en-US" w:eastAsia="zh-CN" w:bidi="ar"/>
              </w:rPr>
            </w:pPr>
            <w:r>
              <w:rPr>
                <w:rStyle w:val="14"/>
                <w:rFonts w:eastAsia="宋体"/>
                <w:color w:val="auto"/>
                <w:lang w:val="en-US" w:eastAsia="zh-CN" w:bidi="ar"/>
              </w:rPr>
              <w:t>对以虚报、隐瞒、伪造等手段骗取享受特困人员供养待遇，不再符合条件不告知管理机关而继续享受特困人员供养待遇的依法处理</w:t>
            </w:r>
          </w:p>
        </w:tc>
        <w:tc>
          <w:tcPr>
            <w:tcW w:w="1991" w:type="dxa"/>
            <w:noWrap w:val="0"/>
            <w:vAlign w:val="center"/>
          </w:tcPr>
          <w:p w14:paraId="5076BF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Style w:val="14"/>
                <w:rFonts w:eastAsia="宋体"/>
                <w:color w:val="auto"/>
                <w:lang w:val="en-US" w:eastAsia="zh-CN" w:bidi="ar"/>
              </w:rPr>
              <w:t>1.《社会救助暂行办法》2.《四川省〈农村五保供养工作条例〉实施办法》</w:t>
            </w:r>
          </w:p>
        </w:tc>
        <w:tc>
          <w:tcPr>
            <w:tcW w:w="1200" w:type="dxa"/>
            <w:noWrap w:val="0"/>
            <w:vAlign w:val="center"/>
          </w:tcPr>
          <w:p w14:paraId="0E9ED5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7F75E6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Style w:val="14"/>
                <w:rFonts w:eastAsia="宋体"/>
                <w:color w:val="auto"/>
                <w:lang w:val="en-US" w:eastAsia="zh-CN" w:bidi="ar"/>
              </w:rPr>
              <w:t>四川省政府办公厅</w:t>
            </w:r>
          </w:p>
        </w:tc>
        <w:tc>
          <w:tcPr>
            <w:tcW w:w="1350" w:type="dxa"/>
            <w:noWrap w:val="0"/>
            <w:vAlign w:val="center"/>
          </w:tcPr>
          <w:p w14:paraId="71F647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4"/>
                <w:rFonts w:hint="eastAsia" w:eastAsia="宋体"/>
                <w:color w:val="auto"/>
                <w:lang w:val="en-US" w:eastAsia="zh-CN" w:bidi="ar"/>
              </w:rPr>
            </w:pPr>
            <w:r>
              <w:rPr>
                <w:rStyle w:val="14"/>
                <w:rFonts w:eastAsia="宋体"/>
                <w:color w:val="auto"/>
                <w:lang w:val="en-US" w:eastAsia="zh-CN" w:bidi="ar"/>
              </w:rPr>
              <w:t>2</w:t>
            </w:r>
            <w:r>
              <w:rPr>
                <w:rStyle w:val="14"/>
                <w:rFonts w:hint="eastAsia" w:eastAsia="宋体"/>
                <w:color w:val="auto"/>
                <w:lang w:val="en-US" w:eastAsia="zh-CN" w:bidi="ar"/>
              </w:rPr>
              <w:t>019年3月2日</w:t>
            </w:r>
          </w:p>
          <w:p w14:paraId="0C0856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14"/>
                <w:rFonts w:hint="eastAsia" w:eastAsia="宋体"/>
                <w:color w:val="auto"/>
                <w:lang w:val="en-US" w:eastAsia="zh-CN" w:bidi="ar"/>
              </w:rPr>
              <w:t>2009年9月22日</w:t>
            </w:r>
          </w:p>
        </w:tc>
        <w:tc>
          <w:tcPr>
            <w:tcW w:w="5073" w:type="dxa"/>
            <w:noWrap w:val="0"/>
            <w:vAlign w:val="top"/>
          </w:tcPr>
          <w:p w14:paraId="327DD3B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Style w:val="14"/>
                <w:rFonts w:eastAsia="宋体"/>
                <w:color w:val="auto"/>
                <w:lang w:val="en-US" w:eastAsia="zh-CN" w:bidi="ar"/>
              </w:rPr>
              <w:t>1.《社会救助暂行办法》第十四条 国家对无劳动能力、无生活来源且无法定赡养、抚养、扶养义务人，或者其法定赡养、抚养、扶养义务人无赡养、抚养、扶养能力的老年人、残疾人以及未满 16  周岁的未成年人，给予特困人员供养。</w:t>
            </w:r>
            <w:r>
              <w:rPr>
                <w:rStyle w:val="14"/>
                <w:rFonts w:eastAsia="宋体"/>
                <w:color w:val="auto"/>
                <w:lang w:val="en-US" w:eastAsia="zh-CN" w:bidi="ar"/>
              </w:rPr>
              <w:br w:type="textWrapping"/>
            </w:r>
            <w:r>
              <w:rPr>
                <w:rStyle w:val="14"/>
                <w:rFonts w:eastAsia="宋体"/>
                <w:color w:val="auto"/>
                <w:lang w:val="en-US" w:eastAsia="zh-CN" w:bidi="ar"/>
              </w:rPr>
              <w:t>2.《四川省〈农村五保供养工作条例〉实施办法》第三十三条 享受农村五保供养待遇的农村居民，有下列行为之一的，由乡、镇人民政府（街道办事处）给予批评教育，追回其领取的农村五保供养资金和物资：（一）以虚报、隐瞒、伪造等手段，骗取享受农村五保供养待遇的；（二）在享受农村五保供养待遇期间家庭状况发生变化，不再符合本办法规定条件，不告知管理机关，继续享受农村五保供养待遇的。</w:t>
            </w:r>
          </w:p>
        </w:tc>
        <w:tc>
          <w:tcPr>
            <w:tcW w:w="1002" w:type="dxa"/>
            <w:noWrap w:val="0"/>
            <w:vAlign w:val="center"/>
          </w:tcPr>
          <w:p w14:paraId="54DE0D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E5B7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443F634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13</w:t>
            </w:r>
          </w:p>
        </w:tc>
        <w:tc>
          <w:tcPr>
            <w:tcW w:w="2618" w:type="dxa"/>
            <w:noWrap w:val="0"/>
            <w:vAlign w:val="center"/>
          </w:tcPr>
          <w:p w14:paraId="6287BE7D">
            <w:pPr>
              <w:keepNext w:val="0"/>
              <w:keepLines w:val="0"/>
              <w:widowControl/>
              <w:suppressLineNumbers w:val="0"/>
              <w:jc w:val="left"/>
              <w:textAlignment w:val="top"/>
              <w:rPr>
                <w:rStyle w:val="14"/>
                <w:rFonts w:eastAsia="宋体"/>
                <w:color w:val="auto"/>
                <w:lang w:val="en-US" w:eastAsia="zh-CN" w:bidi="ar"/>
              </w:rPr>
            </w:pPr>
            <w:r>
              <w:rPr>
                <w:rStyle w:val="14"/>
                <w:rFonts w:eastAsia="宋体"/>
                <w:color w:val="auto"/>
                <w:lang w:val="en-US" w:eastAsia="zh-CN" w:bidi="ar"/>
              </w:rPr>
              <w:t>对民间纠纷的处理</w:t>
            </w:r>
          </w:p>
        </w:tc>
        <w:tc>
          <w:tcPr>
            <w:tcW w:w="1991" w:type="dxa"/>
            <w:noWrap w:val="0"/>
            <w:vAlign w:val="center"/>
          </w:tcPr>
          <w:p w14:paraId="4A1B5611">
            <w:pPr>
              <w:keepNext w:val="0"/>
              <w:keepLines w:val="0"/>
              <w:pageBreakBefore w:val="0"/>
              <w:widowControl w:val="0"/>
              <w:kinsoku/>
              <w:wordWrap/>
              <w:overflowPunct/>
              <w:topLinePunct w:val="0"/>
              <w:autoSpaceDE/>
              <w:autoSpaceDN/>
              <w:bidi w:val="0"/>
              <w:adjustRightInd/>
              <w:snapToGrid/>
              <w:spacing w:line="0" w:lineRule="atLeast"/>
              <w:jc w:val="left"/>
              <w:textAlignment w:val="auto"/>
              <w:rPr>
                <w:rStyle w:val="10"/>
                <w:color w:val="auto"/>
                <w:lang w:val="en-US" w:eastAsia="zh-CN" w:bidi="ar"/>
              </w:rPr>
            </w:pPr>
            <w:r>
              <w:rPr>
                <w:rStyle w:val="10"/>
                <w:color w:val="auto"/>
                <w:lang w:val="en-US" w:eastAsia="zh-CN" w:bidi="ar"/>
              </w:rPr>
              <w:t>1.《中华人民共和国人民调解法》</w:t>
            </w:r>
          </w:p>
          <w:p w14:paraId="0037A3FA">
            <w:pPr>
              <w:keepNext w:val="0"/>
              <w:keepLines w:val="0"/>
              <w:pageBreakBefore w:val="0"/>
              <w:widowControl w:val="0"/>
              <w:kinsoku/>
              <w:wordWrap/>
              <w:overflowPunct/>
              <w:topLinePunct w:val="0"/>
              <w:autoSpaceDE/>
              <w:autoSpaceDN/>
              <w:bidi w:val="0"/>
              <w:adjustRightInd/>
              <w:snapToGrid/>
              <w:spacing w:line="0" w:lineRule="atLeast"/>
              <w:jc w:val="left"/>
              <w:textAlignment w:val="auto"/>
              <w:rPr>
                <w:rStyle w:val="10"/>
                <w:color w:val="auto"/>
                <w:lang w:val="en-US" w:eastAsia="zh-CN" w:bidi="ar"/>
              </w:rPr>
            </w:pPr>
            <w:r>
              <w:rPr>
                <w:rStyle w:val="10"/>
                <w:color w:val="auto"/>
                <w:lang w:val="en-US" w:eastAsia="zh-CN" w:bidi="ar"/>
              </w:rPr>
              <w:t>2.《民间纠纷处理办法》</w:t>
            </w:r>
          </w:p>
          <w:p w14:paraId="25271842">
            <w:pPr>
              <w:keepNext w:val="0"/>
              <w:keepLines w:val="0"/>
              <w:pageBreakBefore w:val="0"/>
              <w:widowControl w:val="0"/>
              <w:kinsoku/>
              <w:wordWrap/>
              <w:overflowPunct/>
              <w:topLinePunct w:val="0"/>
              <w:autoSpaceDE/>
              <w:autoSpaceDN/>
              <w:bidi w:val="0"/>
              <w:adjustRightInd/>
              <w:snapToGrid/>
              <w:spacing w:line="0" w:lineRule="atLeast"/>
              <w:jc w:val="left"/>
              <w:textAlignment w:val="auto"/>
              <w:rPr>
                <w:rStyle w:val="14"/>
                <w:rFonts w:eastAsia="宋体"/>
                <w:color w:val="auto"/>
                <w:lang w:val="en-US" w:eastAsia="zh-CN" w:bidi="ar"/>
              </w:rPr>
            </w:pPr>
            <w:r>
              <w:rPr>
                <w:rStyle w:val="10"/>
                <w:color w:val="auto"/>
                <w:lang w:val="en-US" w:eastAsia="zh-CN" w:bidi="ar"/>
              </w:rPr>
              <w:t>3.《四川省纠纷多元化解条例》</w:t>
            </w:r>
          </w:p>
        </w:tc>
        <w:tc>
          <w:tcPr>
            <w:tcW w:w="1200" w:type="dxa"/>
            <w:noWrap w:val="0"/>
            <w:vAlign w:val="center"/>
          </w:tcPr>
          <w:p w14:paraId="6A749C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77244B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lang w:eastAsia="zh-CN"/>
              </w:rPr>
              <w:t>司法部</w:t>
            </w:r>
          </w:p>
          <w:p w14:paraId="6D404D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4A6273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4"/>
                <w:rFonts w:hint="eastAsia" w:eastAsia="宋体"/>
                <w:color w:val="auto"/>
                <w:lang w:val="en-US" w:eastAsia="zh-CN" w:bidi="ar"/>
              </w:rPr>
            </w:pPr>
            <w:r>
              <w:rPr>
                <w:rStyle w:val="14"/>
                <w:rFonts w:hint="eastAsia" w:eastAsia="宋体"/>
                <w:color w:val="auto"/>
                <w:lang w:val="en-US" w:eastAsia="zh-CN" w:bidi="ar"/>
              </w:rPr>
              <w:br w:type="textWrapping"/>
            </w:r>
            <w:r>
              <w:rPr>
                <w:rStyle w:val="14"/>
                <w:rFonts w:hint="eastAsia" w:eastAsia="宋体"/>
                <w:color w:val="auto"/>
                <w:lang w:val="en-US" w:eastAsia="zh-CN" w:bidi="ar"/>
              </w:rPr>
              <w:t>2010年8月28日</w:t>
            </w:r>
          </w:p>
          <w:p w14:paraId="710666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4"/>
                <w:rFonts w:hint="eastAsia" w:eastAsia="宋体"/>
                <w:color w:val="auto"/>
                <w:lang w:val="en-US" w:eastAsia="zh-CN" w:bidi="ar"/>
              </w:rPr>
            </w:pPr>
          </w:p>
          <w:p w14:paraId="259581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4"/>
                <w:rFonts w:hint="eastAsia" w:eastAsia="宋体"/>
                <w:color w:val="auto"/>
                <w:lang w:val="en-US" w:eastAsia="zh-CN" w:bidi="ar"/>
              </w:rPr>
            </w:pPr>
            <w:r>
              <w:rPr>
                <w:rStyle w:val="14"/>
                <w:rFonts w:hint="eastAsia" w:eastAsia="宋体"/>
                <w:color w:val="auto"/>
                <w:lang w:val="en-US" w:eastAsia="zh-CN" w:bidi="ar"/>
              </w:rPr>
              <w:t>2019年11月28日</w:t>
            </w:r>
          </w:p>
        </w:tc>
        <w:tc>
          <w:tcPr>
            <w:tcW w:w="5073" w:type="dxa"/>
            <w:noWrap w:val="0"/>
            <w:vAlign w:val="top"/>
          </w:tcPr>
          <w:p w14:paraId="76709921">
            <w:pPr>
              <w:keepNext w:val="0"/>
              <w:keepLines w:val="0"/>
              <w:widowControl/>
              <w:suppressLineNumbers w:val="0"/>
              <w:jc w:val="left"/>
              <w:textAlignment w:val="top"/>
              <w:rPr>
                <w:rStyle w:val="14"/>
                <w:rFonts w:eastAsia="宋体"/>
                <w:color w:val="auto"/>
                <w:lang w:val="en-US" w:eastAsia="zh-CN" w:bidi="ar"/>
              </w:rPr>
            </w:pPr>
            <w:r>
              <w:rPr>
                <w:rStyle w:val="14"/>
                <w:rFonts w:eastAsia="宋体"/>
                <w:color w:val="auto"/>
                <w:lang w:val="en-US" w:eastAsia="zh-CN" w:bidi="ar"/>
              </w:rPr>
              <w:t>1.</w:t>
            </w:r>
            <w:r>
              <w:rPr>
                <w:rStyle w:val="10"/>
                <w:color w:val="auto"/>
                <w:lang w:val="en-US" w:eastAsia="zh-CN" w:bidi="ar"/>
              </w:rPr>
              <w:t>《中华人民共和国人民调解法》第三十四条 乡镇、街道以及社会团体或者其他组织根据需要可以参照本法有关规定设立人民调解委员会，调解民间纠纷。</w:t>
            </w:r>
            <w:r>
              <w:rPr>
                <w:rStyle w:val="10"/>
                <w:color w:val="auto"/>
                <w:lang w:val="en-US" w:eastAsia="zh-CN" w:bidi="ar"/>
              </w:rPr>
              <w:br w:type="textWrapping"/>
            </w:r>
            <w:r>
              <w:rPr>
                <w:rStyle w:val="10"/>
                <w:color w:val="auto"/>
                <w:lang w:val="en-US" w:eastAsia="zh-CN" w:bidi="ar"/>
              </w:rPr>
              <w:t>2.《民间纠纷处理办法》第七条 当事人提请处理的民间纠纷，由当事人户籍所在地或者居住地的基层人民政府受理。跨地区的民间纠纷，由当事人双方户籍所在地或者居所地的基层人民政府协商受理。</w:t>
            </w:r>
            <w:r>
              <w:rPr>
                <w:rStyle w:val="10"/>
                <w:color w:val="auto"/>
                <w:lang w:val="en-US" w:eastAsia="zh-CN" w:bidi="ar"/>
              </w:rPr>
              <w:br w:type="textWrapping"/>
            </w:r>
            <w:r>
              <w:rPr>
                <w:rStyle w:val="10"/>
                <w:color w:val="auto"/>
                <w:lang w:val="en-US" w:eastAsia="zh-CN" w:bidi="ar"/>
              </w:rPr>
              <w:t>3.《四川省纠纷多元化解条例》第十六条 乡镇人民政府、街道办事处应当组织、协调辖区内综治中心、公安派出所、司法所、人民法庭、村（居）民委员会和人民调解组织等纠纷化解力量，开展纠纷预防、排查和化解。</w:t>
            </w:r>
            <w:r>
              <w:rPr>
                <w:rStyle w:val="10"/>
                <w:color w:val="auto"/>
                <w:lang w:val="en-US" w:eastAsia="zh-CN" w:bidi="ar"/>
              </w:rPr>
              <w:br w:type="textWrapping"/>
            </w:r>
            <w:r>
              <w:rPr>
                <w:rStyle w:val="10"/>
                <w:color w:val="auto"/>
                <w:lang w:val="en-US" w:eastAsia="zh-CN" w:bidi="ar"/>
              </w:rPr>
              <w:t>《四川省纠纷多元化解条例》第二十六条第二款 县（市、区）人民政府、乡（镇）人民政府和街道办事处、村（居）民委员会应当定期开展纠纷排查并逐级报告情况，健全纠纷源头发现和预警机制。</w:t>
            </w:r>
          </w:p>
        </w:tc>
        <w:tc>
          <w:tcPr>
            <w:tcW w:w="1002" w:type="dxa"/>
            <w:noWrap w:val="0"/>
            <w:vAlign w:val="center"/>
          </w:tcPr>
          <w:p w14:paraId="6D92B2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C898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4A055E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14</w:t>
            </w:r>
          </w:p>
        </w:tc>
        <w:tc>
          <w:tcPr>
            <w:tcW w:w="2618" w:type="dxa"/>
            <w:noWrap w:val="0"/>
            <w:vAlign w:val="center"/>
          </w:tcPr>
          <w:p w14:paraId="13F5CAA1">
            <w:pPr>
              <w:keepNext w:val="0"/>
              <w:keepLines w:val="0"/>
              <w:widowControl/>
              <w:suppressLineNumbers w:val="0"/>
              <w:jc w:val="left"/>
              <w:textAlignment w:val="top"/>
              <w:rPr>
                <w:rStyle w:val="14"/>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对乡（镇）村公共设施、公益事业建设用地的审核</w:t>
            </w:r>
          </w:p>
        </w:tc>
        <w:tc>
          <w:tcPr>
            <w:tcW w:w="1991" w:type="dxa"/>
            <w:noWrap w:val="0"/>
            <w:vAlign w:val="center"/>
          </w:tcPr>
          <w:p w14:paraId="7E869A5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0"/>
                <w:color w:val="auto"/>
                <w:lang w:val="en-US" w:eastAsia="zh-CN" w:bidi="ar"/>
              </w:rPr>
            </w:pPr>
            <w:r>
              <w:rPr>
                <w:rStyle w:val="14"/>
                <w:rFonts w:eastAsia="宋体"/>
                <w:color w:val="auto"/>
                <w:lang w:val="en-US" w:eastAsia="zh-CN" w:bidi="ar"/>
              </w:rPr>
              <w:t>1.</w:t>
            </w:r>
            <w:r>
              <w:rPr>
                <w:rStyle w:val="10"/>
                <w:color w:val="auto"/>
                <w:lang w:val="en-US" w:eastAsia="zh-CN" w:bidi="ar"/>
              </w:rPr>
              <w:t>《中华人民共和国土地管理法》</w:t>
            </w:r>
          </w:p>
          <w:p w14:paraId="36371E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0"/>
                <w:color w:val="auto"/>
                <w:lang w:val="en-US" w:eastAsia="zh-CN" w:bidi="ar"/>
              </w:rPr>
            </w:pPr>
            <w:r>
              <w:rPr>
                <w:rStyle w:val="14"/>
                <w:rFonts w:eastAsia="宋体"/>
                <w:color w:val="auto"/>
                <w:lang w:val="en-US" w:eastAsia="zh-CN" w:bidi="ar"/>
              </w:rPr>
              <w:t>2.</w:t>
            </w:r>
            <w:r>
              <w:rPr>
                <w:rStyle w:val="10"/>
                <w:color w:val="auto"/>
                <w:lang w:val="en-US" w:eastAsia="zh-CN" w:bidi="ar"/>
              </w:rPr>
              <w:t>《中华人民共和国城乡规划法》</w:t>
            </w:r>
          </w:p>
          <w:p w14:paraId="1C88D9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4"/>
                <w:rFonts w:eastAsia="宋体"/>
                <w:color w:val="auto"/>
                <w:lang w:val="en-US" w:eastAsia="zh-CN" w:bidi="ar"/>
              </w:rPr>
            </w:pPr>
            <w:r>
              <w:rPr>
                <w:rStyle w:val="14"/>
                <w:rFonts w:eastAsia="宋体"/>
                <w:color w:val="auto"/>
                <w:lang w:val="en-US" w:eastAsia="zh-CN" w:bidi="ar"/>
              </w:rPr>
              <w:t>3.</w:t>
            </w:r>
            <w:r>
              <w:rPr>
                <w:rStyle w:val="10"/>
                <w:color w:val="auto"/>
                <w:lang w:val="en-US" w:eastAsia="zh-CN" w:bidi="ar"/>
              </w:rPr>
              <w:t>《村庄和集镇规划建设管理条例》</w:t>
            </w:r>
          </w:p>
        </w:tc>
        <w:tc>
          <w:tcPr>
            <w:tcW w:w="1200" w:type="dxa"/>
            <w:noWrap w:val="0"/>
            <w:vAlign w:val="center"/>
          </w:tcPr>
          <w:p w14:paraId="7EEEC79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46DEFB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7BC73B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微软雅黑" w:hAnsi="微软雅黑" w:eastAsia="微软雅黑" w:cs="微软雅黑"/>
                <w:i w:val="0"/>
                <w:iCs w:val="0"/>
                <w:caps w:val="0"/>
                <w:color w:val="auto"/>
                <w:spacing w:val="0"/>
                <w:sz w:val="21"/>
                <w:szCs w:val="21"/>
                <w:shd w:val="clear" w:fill="FFFFFF"/>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276EF0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ascii="Times New Roman" w:hAnsi="Times New Roman" w:eastAsia="宋体" w:cs="Times New Roman"/>
                <w:i w:val="0"/>
                <w:iCs w:val="0"/>
                <w:caps w:val="0"/>
                <w:color w:val="auto"/>
                <w:spacing w:val="0"/>
                <w:sz w:val="31"/>
                <w:szCs w:val="31"/>
                <w:shd w:val="clear" w:fill="FFFFFF"/>
              </w:rPr>
              <w:br w:type="textWrapping"/>
            </w:r>
            <w:r>
              <w:rPr>
                <w:rFonts w:hint="eastAsia" w:ascii="宋体" w:hAnsi="宋体" w:eastAsia="宋体" w:cs="宋体"/>
                <w:i w:val="0"/>
                <w:iCs w:val="0"/>
                <w:caps w:val="0"/>
                <w:color w:val="auto"/>
                <w:spacing w:val="0"/>
                <w:sz w:val="21"/>
                <w:szCs w:val="21"/>
                <w:lang w:val="en-US" w:eastAsia="zh-CN"/>
              </w:rPr>
              <w:t>2</w:t>
            </w:r>
            <w:r>
              <w:rPr>
                <w:rFonts w:hint="default" w:ascii="宋体" w:hAnsi="宋体" w:eastAsia="宋体" w:cs="宋体"/>
                <w:i w:val="0"/>
                <w:iCs w:val="0"/>
                <w:caps w:val="0"/>
                <w:color w:val="auto"/>
                <w:spacing w:val="0"/>
                <w:sz w:val="21"/>
                <w:szCs w:val="21"/>
              </w:rPr>
              <w:t>019</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8</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26</w:t>
            </w:r>
            <w:r>
              <w:rPr>
                <w:rFonts w:hint="eastAsia" w:ascii="宋体" w:hAnsi="宋体" w:eastAsia="宋体" w:cs="宋体"/>
                <w:i w:val="0"/>
                <w:iCs w:val="0"/>
                <w:caps w:val="0"/>
                <w:color w:val="auto"/>
                <w:spacing w:val="0"/>
                <w:sz w:val="21"/>
                <w:szCs w:val="21"/>
              </w:rPr>
              <w:t>日</w:t>
            </w:r>
          </w:p>
          <w:p w14:paraId="6C6B1F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019</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4</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23</w:t>
            </w:r>
            <w:r>
              <w:rPr>
                <w:rFonts w:hint="eastAsia" w:ascii="宋体" w:hAnsi="宋体" w:eastAsia="宋体" w:cs="宋体"/>
                <w:i w:val="0"/>
                <w:iCs w:val="0"/>
                <w:caps w:val="0"/>
                <w:color w:val="auto"/>
                <w:spacing w:val="0"/>
                <w:sz w:val="21"/>
                <w:szCs w:val="21"/>
              </w:rPr>
              <w:t>日</w:t>
            </w:r>
          </w:p>
          <w:p w14:paraId="19FA91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4"/>
                <w:rFonts w:hint="eastAsia" w:eastAsia="宋体"/>
                <w:color w:val="auto"/>
                <w:lang w:val="en-US" w:eastAsia="zh-CN" w:bidi="ar"/>
              </w:rPr>
            </w:pPr>
            <w:r>
              <w:rPr>
                <w:rFonts w:hint="eastAsia" w:ascii="宋体" w:hAnsi="宋体" w:eastAsia="宋体" w:cs="宋体"/>
                <w:i w:val="0"/>
                <w:iCs w:val="0"/>
                <w:caps w:val="0"/>
                <w:color w:val="auto"/>
                <w:spacing w:val="0"/>
                <w:sz w:val="21"/>
                <w:szCs w:val="21"/>
              </w:rPr>
              <w:t>1993年6月29日</w:t>
            </w:r>
          </w:p>
        </w:tc>
        <w:tc>
          <w:tcPr>
            <w:tcW w:w="5073" w:type="dxa"/>
            <w:shd w:val="clear" w:color="auto" w:fill="auto"/>
            <w:noWrap w:val="0"/>
            <w:vAlign w:val="top"/>
          </w:tcPr>
          <w:p w14:paraId="5EED7CD6">
            <w:pPr>
              <w:keepNext w:val="0"/>
              <w:keepLines w:val="0"/>
              <w:widowControl/>
              <w:suppressLineNumbers w:val="0"/>
              <w:jc w:val="left"/>
              <w:textAlignment w:val="top"/>
              <w:rPr>
                <w:rFonts w:hint="default" w:ascii="Times New Roman" w:hAnsi="Times New Roman" w:eastAsia="宋体" w:cs="Times New Roman"/>
                <w:i w:val="0"/>
                <w:iCs w:val="0"/>
                <w:color w:val="auto"/>
                <w:kern w:val="2"/>
                <w:sz w:val="21"/>
                <w:szCs w:val="21"/>
                <w:u w:val="none"/>
                <w:lang w:val="en-US" w:eastAsia="zh-CN" w:bidi="ar-SA"/>
              </w:rPr>
            </w:pPr>
            <w:r>
              <w:rPr>
                <w:rStyle w:val="14"/>
                <w:rFonts w:eastAsia="宋体"/>
                <w:color w:val="auto"/>
                <w:lang w:val="en-US" w:eastAsia="zh-CN" w:bidi="ar"/>
              </w:rPr>
              <w:t>1.</w:t>
            </w:r>
            <w:r>
              <w:rPr>
                <w:rStyle w:val="10"/>
                <w:color w:val="auto"/>
                <w:lang w:val="en-US" w:eastAsia="zh-CN" w:bidi="ar"/>
              </w:rPr>
              <w:t>《中华人民共和国土地管理法》第六十一条 乡（镇）村公共设施、公益事业建设，需要使用土地的，经乡（镇）人民政府审核，向县级以上地方人民政府自然资源主管部门提出申请，按照省、自治区、直辖市规定的批准权 限，由县级以上地方人民政府批准；其中，涉及占用农用地的，依照本法第四十四条的规定办理审批手续。</w:t>
            </w:r>
            <w:r>
              <w:rPr>
                <w:rStyle w:val="10"/>
                <w:color w:val="auto"/>
                <w:lang w:val="en-US" w:eastAsia="zh-CN" w:bidi="ar"/>
              </w:rPr>
              <w:br w:type="textWrapping"/>
            </w:r>
            <w:r>
              <w:rPr>
                <w:rStyle w:val="14"/>
                <w:rFonts w:eastAsia="宋体"/>
                <w:color w:val="auto"/>
                <w:lang w:val="en-US" w:eastAsia="zh-CN" w:bidi="ar"/>
              </w:rPr>
              <w:t>2.</w:t>
            </w:r>
            <w:r>
              <w:rPr>
                <w:rStyle w:val="10"/>
                <w:color w:val="auto"/>
                <w:lang w:val="en-US" w:eastAsia="zh-CN" w:bidi="ar"/>
              </w:rPr>
              <w:t>《中华人民共和国城乡规划法》第四十一条 在乡、村庄规划区内进行乡镇企业、乡村公共设施和公益事业建设的，建设单位或者个人应当向乡、镇人民政府提出申请，由乡、镇人民政府报城市、县人民政府城乡规划主管部门核发乡村建设规划许可证。</w:t>
            </w:r>
            <w:r>
              <w:rPr>
                <w:rStyle w:val="10"/>
                <w:color w:val="auto"/>
                <w:lang w:val="en-US" w:eastAsia="zh-CN" w:bidi="ar"/>
              </w:rPr>
              <w:br w:type="textWrapping"/>
            </w:r>
            <w:r>
              <w:rPr>
                <w:rStyle w:val="14"/>
                <w:rFonts w:eastAsia="宋体"/>
                <w:color w:val="auto"/>
                <w:lang w:val="en-US" w:eastAsia="zh-CN" w:bidi="ar"/>
              </w:rPr>
              <w:t>3.</w:t>
            </w:r>
            <w:r>
              <w:rPr>
                <w:rStyle w:val="10"/>
                <w:color w:val="auto"/>
                <w:lang w:val="en-US" w:eastAsia="zh-CN" w:bidi="ar"/>
              </w:rPr>
              <w:t>《村庄和集镇规划建设管理条例》第二十条 乡（镇）村公共设施、公益事业建设，须经乡级人民政府审核、县级人民政府建设行政主管部门审查同意并出具选址意见书后，建设单位方可依法向县级人民政府土地管理部门申请用地，经县级以上人民政府批准后，由土地管理部门划拨土地。</w:t>
            </w:r>
          </w:p>
        </w:tc>
        <w:tc>
          <w:tcPr>
            <w:tcW w:w="1002" w:type="dxa"/>
            <w:noWrap w:val="0"/>
            <w:vAlign w:val="center"/>
          </w:tcPr>
          <w:p w14:paraId="506C50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3D2C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66B961D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15</w:t>
            </w:r>
          </w:p>
        </w:tc>
        <w:tc>
          <w:tcPr>
            <w:tcW w:w="2618" w:type="dxa"/>
            <w:noWrap w:val="0"/>
            <w:vAlign w:val="center"/>
          </w:tcPr>
          <w:p w14:paraId="39144BE1">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对在村庄、集镇规划区内，未按规划审 批程序批准而取得建设用地批准文件 的，责令退回占用的土地</w:t>
            </w:r>
          </w:p>
        </w:tc>
        <w:tc>
          <w:tcPr>
            <w:tcW w:w="1991" w:type="dxa"/>
            <w:noWrap w:val="0"/>
            <w:vAlign w:val="center"/>
          </w:tcPr>
          <w:p w14:paraId="63215E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0"/>
                <w:color w:val="auto"/>
                <w:lang w:val="en-US" w:eastAsia="zh-CN" w:bidi="ar"/>
              </w:rPr>
            </w:pPr>
            <w:r>
              <w:rPr>
                <w:rStyle w:val="14"/>
                <w:rFonts w:eastAsia="宋体"/>
                <w:color w:val="auto"/>
                <w:lang w:val="en-US" w:eastAsia="zh-CN" w:bidi="ar"/>
              </w:rPr>
              <w:t>1.</w:t>
            </w:r>
            <w:r>
              <w:rPr>
                <w:rStyle w:val="10"/>
                <w:color w:val="auto"/>
                <w:lang w:val="en-US" w:eastAsia="zh-CN" w:bidi="ar"/>
              </w:rPr>
              <w:t>《村庄和集镇规划建设管理条例》</w:t>
            </w:r>
          </w:p>
          <w:p w14:paraId="2ADBA0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0"/>
                <w:color w:val="auto"/>
                <w:lang w:val="en-US" w:eastAsia="zh-CN" w:bidi="ar"/>
              </w:rPr>
            </w:pPr>
            <w:r>
              <w:rPr>
                <w:rStyle w:val="14"/>
                <w:rFonts w:eastAsia="宋体"/>
                <w:color w:val="auto"/>
                <w:lang w:val="en-US" w:eastAsia="zh-CN" w:bidi="ar"/>
              </w:rPr>
              <w:t>2.</w:t>
            </w:r>
            <w:r>
              <w:rPr>
                <w:rStyle w:val="10"/>
                <w:color w:val="auto"/>
                <w:lang w:val="en-US" w:eastAsia="zh-CN" w:bidi="ar"/>
              </w:rPr>
              <w:t>《四川省村镇规划建设管理条例》</w:t>
            </w:r>
          </w:p>
        </w:tc>
        <w:tc>
          <w:tcPr>
            <w:tcW w:w="1200" w:type="dxa"/>
            <w:noWrap w:val="0"/>
            <w:vAlign w:val="center"/>
          </w:tcPr>
          <w:p w14:paraId="0DC2AB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6B8876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08CFC8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1993年6月29日</w:t>
            </w:r>
          </w:p>
          <w:p w14:paraId="2B06FA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2004年9月24日</w:t>
            </w:r>
          </w:p>
        </w:tc>
        <w:tc>
          <w:tcPr>
            <w:tcW w:w="5073" w:type="dxa"/>
            <w:shd w:val="clear" w:color="auto" w:fill="auto"/>
            <w:noWrap w:val="0"/>
            <w:vAlign w:val="top"/>
          </w:tcPr>
          <w:p w14:paraId="44E34508">
            <w:pPr>
              <w:keepNext w:val="0"/>
              <w:keepLines w:val="0"/>
              <w:widowControl/>
              <w:suppressLineNumbers w:val="0"/>
              <w:jc w:val="left"/>
              <w:textAlignment w:val="top"/>
              <w:rPr>
                <w:rStyle w:val="14"/>
                <w:rFonts w:eastAsia="宋体"/>
                <w:color w:val="auto"/>
                <w:lang w:val="en-US" w:eastAsia="zh-CN" w:bidi="ar"/>
              </w:rPr>
            </w:pPr>
            <w:r>
              <w:rPr>
                <w:rStyle w:val="14"/>
                <w:rFonts w:eastAsia="宋体"/>
                <w:color w:val="auto"/>
                <w:lang w:val="en-US" w:eastAsia="zh-CN" w:bidi="ar"/>
              </w:rPr>
              <w:t>1.</w:t>
            </w:r>
            <w:r>
              <w:rPr>
                <w:rStyle w:val="10"/>
                <w:color w:val="auto"/>
                <w:lang w:val="en-US" w:eastAsia="zh-CN" w:bidi="ar"/>
              </w:rPr>
              <w:t>《村庄和集镇规划建设管理条例》第三十六条 在村庄、集镇规划区内，未按规划审批程序批准而取得建设用地批准文件，占用土地的，批准文件无效，占用的土地由乡级以上人民政府责令退回。</w:t>
            </w:r>
            <w:r>
              <w:rPr>
                <w:rStyle w:val="10"/>
                <w:color w:val="auto"/>
                <w:lang w:val="en-US" w:eastAsia="zh-CN" w:bidi="ar"/>
              </w:rPr>
              <w:br w:type="textWrapping"/>
            </w:r>
            <w:r>
              <w:rPr>
                <w:rStyle w:val="14"/>
                <w:rFonts w:eastAsia="宋体"/>
                <w:color w:val="auto"/>
                <w:lang w:val="en-US" w:eastAsia="zh-CN" w:bidi="ar"/>
              </w:rPr>
              <w:t>2.</w:t>
            </w:r>
            <w:r>
              <w:rPr>
                <w:rStyle w:val="10"/>
                <w:color w:val="auto"/>
                <w:lang w:val="en-US" w:eastAsia="zh-CN" w:bidi="ar"/>
              </w:rPr>
              <w:t>《四川省村镇规划建设管理条例》第四十二条 在村庄、集镇规划区内，未按规划审批程序批准而取得建设用地批准文件，占用土地的，批准文件无效，占用的土地由乡级以上人民政府责令退回。</w:t>
            </w:r>
          </w:p>
        </w:tc>
        <w:tc>
          <w:tcPr>
            <w:tcW w:w="1002" w:type="dxa"/>
            <w:noWrap w:val="0"/>
            <w:vAlign w:val="center"/>
          </w:tcPr>
          <w:p w14:paraId="70F5E4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7D9D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7B3B5F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16</w:t>
            </w:r>
          </w:p>
        </w:tc>
        <w:tc>
          <w:tcPr>
            <w:tcW w:w="2618" w:type="dxa"/>
            <w:noWrap w:val="0"/>
            <w:vAlign w:val="center"/>
          </w:tcPr>
          <w:p w14:paraId="12C6A95D">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对村民住宅建设开工的审查</w:t>
            </w:r>
          </w:p>
        </w:tc>
        <w:tc>
          <w:tcPr>
            <w:tcW w:w="1991" w:type="dxa"/>
            <w:noWrap w:val="0"/>
            <w:vAlign w:val="center"/>
          </w:tcPr>
          <w:p w14:paraId="4B330A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4"/>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《四川省村镇规划建设管理条例》</w:t>
            </w:r>
          </w:p>
        </w:tc>
        <w:tc>
          <w:tcPr>
            <w:tcW w:w="1200" w:type="dxa"/>
            <w:noWrap w:val="0"/>
            <w:vAlign w:val="center"/>
          </w:tcPr>
          <w:p w14:paraId="7308B92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2FB691A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2004年9月24日</w:t>
            </w:r>
          </w:p>
        </w:tc>
        <w:tc>
          <w:tcPr>
            <w:tcW w:w="5073" w:type="dxa"/>
            <w:shd w:val="clear" w:color="auto" w:fill="auto"/>
            <w:noWrap w:val="0"/>
            <w:vAlign w:val="top"/>
          </w:tcPr>
          <w:p w14:paraId="25C93615">
            <w:pPr>
              <w:keepNext w:val="0"/>
              <w:keepLines w:val="0"/>
              <w:widowControl/>
              <w:suppressLineNumbers w:val="0"/>
              <w:jc w:val="left"/>
              <w:textAlignment w:val="top"/>
              <w:rPr>
                <w:rStyle w:val="14"/>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《四川省村镇规划建设管理条例》第二十五条 集镇建设项目和乡（镇）村企业、乡（镇）村公共设施、公益事业等建设，在开工前，建设单位和个人应当向县级以上人民政府建设行政主管部门提出开工申请，经县级以上人民政府建设行政主管部门对设计、施工条件予以审查批准后，方可开工。村民住宅建设在开工前，应向乡级人民政府提出开工申请，经审查同意后，方可开工。</w:t>
            </w:r>
          </w:p>
        </w:tc>
        <w:tc>
          <w:tcPr>
            <w:tcW w:w="1002" w:type="dxa"/>
            <w:noWrap w:val="0"/>
            <w:vAlign w:val="center"/>
          </w:tcPr>
          <w:p w14:paraId="07D6EC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583C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295712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17</w:t>
            </w:r>
          </w:p>
        </w:tc>
        <w:tc>
          <w:tcPr>
            <w:tcW w:w="2618" w:type="dxa"/>
            <w:noWrap w:val="0"/>
            <w:vAlign w:val="center"/>
          </w:tcPr>
          <w:p w14:paraId="16FE8B2B">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对村民在村镇区域内进行住宅建设需占用耕地的审核</w:t>
            </w:r>
          </w:p>
        </w:tc>
        <w:tc>
          <w:tcPr>
            <w:tcW w:w="1991" w:type="dxa"/>
            <w:noWrap w:val="0"/>
            <w:vAlign w:val="center"/>
          </w:tcPr>
          <w:p w14:paraId="08D207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4"/>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《四川省村镇规划建设管理条例》</w:t>
            </w:r>
          </w:p>
        </w:tc>
        <w:tc>
          <w:tcPr>
            <w:tcW w:w="1200" w:type="dxa"/>
            <w:noWrap w:val="0"/>
            <w:vAlign w:val="center"/>
          </w:tcPr>
          <w:p w14:paraId="69A345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61643E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2004年9月24日</w:t>
            </w:r>
          </w:p>
        </w:tc>
        <w:tc>
          <w:tcPr>
            <w:tcW w:w="5073" w:type="dxa"/>
            <w:shd w:val="clear" w:color="auto" w:fill="auto"/>
            <w:noWrap w:val="0"/>
            <w:vAlign w:val="top"/>
          </w:tcPr>
          <w:p w14:paraId="40098A27">
            <w:pPr>
              <w:keepNext w:val="0"/>
              <w:keepLines w:val="0"/>
              <w:widowControl/>
              <w:suppressLineNumbers w:val="0"/>
              <w:jc w:val="left"/>
              <w:textAlignment w:val="top"/>
              <w:rPr>
                <w:rStyle w:val="14"/>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《四川省村镇规划建设管理条例》第十九条 村民在村镇区域内进行住宅建设的，应当先向村集体经济组织或者村民委员会提出建房申请，按下列审批程序办理：（一）需要使用耕地的，经乡级人民政府审核、县级人民政府建设行政主管部门审查同意，并出具选址建设意见书后，方可依法向县级人民政府土地管理部门申请用地。</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二）使用原有宅基地、村内空闲地的，由乡级人民政府根据村镇规划和土地利用规划批准。城镇非农业户口居民在村镇需要使用集体所有的土地建住宅的，应当经其所在单位或者居民委员会同意后，依照前款第（一）项规定的审批程序办理。回原藉村镇落户的职工、退伍军人和离休、退休干部以及回乡定居的华侨、港澳台同胞，在村镇需要使用集体所有的土地修建住宅的，依照本条第一款第（一）项规定的审批程序办理。</w:t>
            </w:r>
          </w:p>
        </w:tc>
        <w:tc>
          <w:tcPr>
            <w:tcW w:w="1002" w:type="dxa"/>
            <w:noWrap w:val="0"/>
            <w:vAlign w:val="center"/>
          </w:tcPr>
          <w:p w14:paraId="58BD12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D944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0524C04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18</w:t>
            </w:r>
          </w:p>
        </w:tc>
        <w:tc>
          <w:tcPr>
            <w:tcW w:w="2618" w:type="dxa"/>
            <w:noWrap w:val="0"/>
            <w:vAlign w:val="center"/>
          </w:tcPr>
          <w:p w14:paraId="07C8B80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对经济适用住房资格申请的审核</w:t>
            </w:r>
          </w:p>
        </w:tc>
        <w:tc>
          <w:tcPr>
            <w:tcW w:w="1991" w:type="dxa"/>
            <w:noWrap w:val="0"/>
            <w:vAlign w:val="center"/>
          </w:tcPr>
          <w:p w14:paraId="3485C0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4"/>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《经济适用住房管理办法》</w:t>
            </w:r>
          </w:p>
        </w:tc>
        <w:tc>
          <w:tcPr>
            <w:tcW w:w="1200" w:type="dxa"/>
            <w:noWrap w:val="0"/>
            <w:vAlign w:val="center"/>
          </w:tcPr>
          <w:p w14:paraId="268EC44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ascii="宋体" w:hAnsi="宋体" w:eastAsia="宋体" w:cs="宋体"/>
                <w:i w:val="0"/>
                <w:iCs w:val="0"/>
                <w:color w:val="auto"/>
                <w:kern w:val="0"/>
                <w:sz w:val="21"/>
                <w:szCs w:val="21"/>
                <w:u w:val="none"/>
                <w:lang w:val="en-US" w:eastAsia="zh-CN" w:bidi="ar"/>
              </w:rPr>
              <w:t>建设部、国家发展和改革委员会、监察部、财政部、国土资源部、中国人民银行、国家税务总局</w:t>
            </w:r>
          </w:p>
        </w:tc>
        <w:tc>
          <w:tcPr>
            <w:tcW w:w="1350" w:type="dxa"/>
            <w:noWrap w:val="0"/>
            <w:vAlign w:val="center"/>
          </w:tcPr>
          <w:p w14:paraId="635D4D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ascii="Arial" w:hAnsi="Arial" w:eastAsia="宋体" w:cs="Arial"/>
                <w:i w:val="0"/>
                <w:iCs w:val="0"/>
                <w:caps w:val="0"/>
                <w:color w:val="auto"/>
                <w:spacing w:val="0"/>
                <w:sz w:val="21"/>
                <w:szCs w:val="21"/>
                <w:shd w:val="clear" w:fill="FFFFFF"/>
              </w:rPr>
              <w:t>2007年12月1日</w:t>
            </w:r>
          </w:p>
        </w:tc>
        <w:tc>
          <w:tcPr>
            <w:tcW w:w="5073" w:type="dxa"/>
            <w:shd w:val="clear" w:color="auto" w:fill="auto"/>
            <w:noWrap w:val="0"/>
            <w:vAlign w:val="top"/>
          </w:tcPr>
          <w:p w14:paraId="0122A4A4">
            <w:pPr>
              <w:keepNext w:val="0"/>
              <w:keepLines w:val="0"/>
              <w:widowControl/>
              <w:suppressLineNumbers w:val="0"/>
              <w:jc w:val="left"/>
              <w:textAlignment w:val="top"/>
              <w:rPr>
                <w:rStyle w:val="14"/>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《经济适用住房管理办法》第二十六条 经济适用住房资格申请采取街道办事处（镇人民政府）、市（区）、县人民政府逐级审核并公示的方式认定。审核单位应当通过入户调查、邻里访问以及信函索证等方式对申请人的家庭收入和住房状况等情况进行核实。申请人及有关单位、组织或者个人应当予以配合，如实提供有关情况。</w:t>
            </w:r>
          </w:p>
        </w:tc>
        <w:tc>
          <w:tcPr>
            <w:tcW w:w="1002" w:type="dxa"/>
            <w:noWrap w:val="0"/>
            <w:vAlign w:val="center"/>
          </w:tcPr>
          <w:p w14:paraId="790339D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9688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177F2B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19</w:t>
            </w:r>
          </w:p>
        </w:tc>
        <w:tc>
          <w:tcPr>
            <w:tcW w:w="2618" w:type="dxa"/>
            <w:noWrap w:val="0"/>
            <w:vAlign w:val="center"/>
          </w:tcPr>
          <w:p w14:paraId="0745DF88">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对业主大会、业主委员会作出的决定违反法律、法规的处理</w:t>
            </w:r>
          </w:p>
        </w:tc>
        <w:tc>
          <w:tcPr>
            <w:tcW w:w="1991" w:type="dxa"/>
            <w:noWrap w:val="0"/>
            <w:vAlign w:val="center"/>
          </w:tcPr>
          <w:p w14:paraId="344D1D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4"/>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《物业管理条例》</w:t>
            </w:r>
          </w:p>
        </w:tc>
        <w:tc>
          <w:tcPr>
            <w:tcW w:w="1200" w:type="dxa"/>
            <w:noWrap w:val="0"/>
            <w:vAlign w:val="center"/>
          </w:tcPr>
          <w:p w14:paraId="1119FDE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4BE18D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2018年3月19日</w:t>
            </w:r>
          </w:p>
        </w:tc>
        <w:tc>
          <w:tcPr>
            <w:tcW w:w="5073" w:type="dxa"/>
            <w:shd w:val="clear" w:color="auto" w:fill="auto"/>
            <w:noWrap w:val="0"/>
            <w:vAlign w:val="top"/>
          </w:tcPr>
          <w:p w14:paraId="3ECD6291">
            <w:pPr>
              <w:keepNext w:val="0"/>
              <w:keepLines w:val="0"/>
              <w:widowControl/>
              <w:suppressLineNumbers w:val="0"/>
              <w:jc w:val="left"/>
              <w:textAlignment w:val="top"/>
              <w:rPr>
                <w:rStyle w:val="14"/>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《物业管理条例》第十九条第二款 业主大会、业主委员会作出的决定违反法律、法规的，物业所在地的区、县人民政府房地产行政主管部门或者街道办事处、乡镇人民政府，应当责令限期改正或者撤销其决定，并通告全体业主。</w:t>
            </w:r>
          </w:p>
        </w:tc>
        <w:tc>
          <w:tcPr>
            <w:tcW w:w="1002" w:type="dxa"/>
            <w:noWrap w:val="0"/>
            <w:vAlign w:val="center"/>
          </w:tcPr>
          <w:p w14:paraId="5E3087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D036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7F4987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w:t>
            </w:r>
          </w:p>
        </w:tc>
        <w:tc>
          <w:tcPr>
            <w:tcW w:w="2618" w:type="dxa"/>
            <w:noWrap w:val="0"/>
            <w:vAlign w:val="center"/>
          </w:tcPr>
          <w:p w14:paraId="6DBE25C9">
            <w:pPr>
              <w:keepNext w:val="0"/>
              <w:keepLines w:val="0"/>
              <w:widowControl/>
              <w:suppressLineNumbers w:val="0"/>
              <w:jc w:val="center"/>
              <w:textAlignment w:val="cente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对本辖区内物业管理纠纷的调解处理</w:t>
            </w:r>
          </w:p>
        </w:tc>
        <w:tc>
          <w:tcPr>
            <w:tcW w:w="1991" w:type="dxa"/>
            <w:noWrap w:val="0"/>
            <w:vAlign w:val="center"/>
          </w:tcPr>
          <w:p w14:paraId="50F54F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default" w:ascii="宋体" w:hAnsi="宋体" w:eastAsia="宋体" w:cs="宋体"/>
                <w:i w:val="0"/>
                <w:iCs w:val="0"/>
                <w:color w:val="auto"/>
                <w:kern w:val="0"/>
                <w:sz w:val="21"/>
                <w:szCs w:val="21"/>
                <w:u w:val="none"/>
                <w:lang w:val="en-US" w:eastAsia="zh-CN" w:bidi="ar"/>
              </w:rPr>
              <w:t>《四川省物业管理条例》</w:t>
            </w:r>
          </w:p>
        </w:tc>
        <w:tc>
          <w:tcPr>
            <w:tcW w:w="1200" w:type="dxa"/>
            <w:noWrap w:val="0"/>
            <w:vAlign w:val="center"/>
          </w:tcPr>
          <w:p w14:paraId="6232D4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56C1AC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2021年9月29日</w:t>
            </w:r>
          </w:p>
        </w:tc>
        <w:tc>
          <w:tcPr>
            <w:tcW w:w="5073" w:type="dxa"/>
            <w:shd w:val="clear" w:color="auto" w:fill="auto"/>
            <w:noWrap w:val="0"/>
            <w:vAlign w:val="top"/>
          </w:tcPr>
          <w:p w14:paraId="6333692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hint="default" w:ascii="宋体" w:hAnsi="宋体" w:eastAsia="宋体" w:cs="宋体"/>
                <w:i w:val="0"/>
                <w:iCs w:val="0"/>
                <w:color w:val="auto"/>
                <w:kern w:val="0"/>
                <w:sz w:val="21"/>
                <w:szCs w:val="21"/>
                <w:u w:val="none"/>
                <w:lang w:val="en-US" w:eastAsia="zh-CN" w:bidi="ar"/>
              </w:rPr>
              <w:t>《四川省物业管理条例》第</w:t>
            </w:r>
            <w:r>
              <w:rPr>
                <w:rFonts w:hint="eastAsia" w:ascii="宋体" w:hAnsi="宋体" w:eastAsia="宋体" w:cs="宋体"/>
                <w:i w:val="0"/>
                <w:iCs w:val="0"/>
                <w:color w:val="auto"/>
                <w:kern w:val="0"/>
                <w:sz w:val="21"/>
                <w:szCs w:val="21"/>
                <w:u w:val="none"/>
                <w:lang w:val="en-US" w:eastAsia="zh-CN" w:bidi="ar"/>
              </w:rPr>
              <w:t xml:space="preserve">七条 </w:t>
            </w:r>
            <w:r>
              <w:rPr>
                <w:rFonts w:ascii="宋体" w:hAnsi="宋体" w:eastAsia="宋体" w:cs="宋体"/>
                <w:i w:val="0"/>
                <w:iCs w:val="0"/>
                <w:color w:val="auto"/>
                <w:kern w:val="0"/>
                <w:sz w:val="21"/>
                <w:szCs w:val="21"/>
                <w:u w:val="none"/>
                <w:lang w:val="en-US" w:eastAsia="zh-CN" w:bidi="ar"/>
              </w:rPr>
              <w:t>街</w:t>
            </w:r>
            <w:r>
              <w:rPr>
                <w:rFonts w:hint="default" w:ascii="宋体" w:hAnsi="宋体" w:eastAsia="宋体" w:cs="宋体"/>
                <w:i w:val="0"/>
                <w:iCs w:val="0"/>
                <w:color w:val="auto"/>
                <w:kern w:val="0"/>
                <w:sz w:val="21"/>
                <w:szCs w:val="21"/>
                <w:u w:val="none"/>
                <w:lang w:val="en-US" w:eastAsia="zh-CN" w:bidi="ar"/>
              </w:rPr>
              <w:t>道办事处（乡镇人民政府）履行以下职责：（一）组织、指导、协调本辖区内业主大会的设立和业主委员会选举、换届；（二）指导、督促业主大会、业主委员会、物业服务人依法履行职责；（三）调解处理物业管理纠纷，协调社区建设与物业管理的关系；（四）法律、法规规定的与物业管理活动相关的其他职责。居（村）民委员会指导物业服务人和业主委员会工作，根据需要设立环境和物业管理委员会，依法协助街道办事处（乡镇人民政府）开展相关工作。</w:t>
            </w:r>
          </w:p>
        </w:tc>
        <w:tc>
          <w:tcPr>
            <w:tcW w:w="1002" w:type="dxa"/>
            <w:noWrap w:val="0"/>
            <w:vAlign w:val="center"/>
          </w:tcPr>
          <w:p w14:paraId="0CC65A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3D2F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338E22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21</w:t>
            </w:r>
          </w:p>
        </w:tc>
        <w:tc>
          <w:tcPr>
            <w:tcW w:w="2618" w:type="dxa"/>
            <w:noWrap w:val="0"/>
            <w:vAlign w:val="center"/>
          </w:tcPr>
          <w:p w14:paraId="513CB695">
            <w:pPr>
              <w:keepNext w:val="0"/>
              <w:keepLines w:val="0"/>
              <w:widowControl/>
              <w:suppressLineNumbers w:val="0"/>
              <w:jc w:val="center"/>
              <w:textAlignment w:val="cente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临时便民服务摊点设置</w:t>
            </w:r>
          </w:p>
        </w:tc>
        <w:tc>
          <w:tcPr>
            <w:tcW w:w="1991" w:type="dxa"/>
            <w:noWrap w:val="0"/>
            <w:vAlign w:val="center"/>
          </w:tcPr>
          <w:p w14:paraId="73902E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00" w:type="dxa"/>
            <w:noWrap w:val="0"/>
            <w:vAlign w:val="center"/>
          </w:tcPr>
          <w:p w14:paraId="091AE5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2AB2B5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2019年11月28日</w:t>
            </w:r>
          </w:p>
        </w:tc>
        <w:tc>
          <w:tcPr>
            <w:tcW w:w="5073" w:type="dxa"/>
            <w:shd w:val="clear" w:color="auto" w:fill="auto"/>
            <w:noWrap w:val="0"/>
            <w:vAlign w:val="top"/>
          </w:tcPr>
          <w:p w14:paraId="2F6F9F47">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《四川省城乡环境综合治理条例》第二十四条 县级人民政府应当合理规划布局集贸市场，完善配套设施，引导农产品、日用小商品经营者进入经营场所从事经营。根据需要，市（州）、县（市、区）、乡（镇）</w:t>
            </w:r>
            <w:r>
              <w:rPr>
                <w:rFonts w:hint="eastAsia" w:ascii="宋体" w:hAnsi="宋体" w:eastAsia="宋体" w:cs="宋体"/>
                <w:i w:val="0"/>
                <w:iCs w:val="0"/>
                <w:color w:val="auto"/>
                <w:kern w:val="0"/>
                <w:sz w:val="21"/>
                <w:szCs w:val="21"/>
                <w:u w:val="none"/>
                <w:lang w:val="en-US" w:eastAsia="zh-CN" w:bidi="ar"/>
              </w:rPr>
              <w:t>人民政府</w:t>
            </w:r>
            <w:r>
              <w:rPr>
                <w:rFonts w:ascii="宋体" w:hAnsi="宋体" w:eastAsia="宋体" w:cs="宋体"/>
                <w:i w:val="0"/>
                <w:iCs w:val="0"/>
                <w:color w:val="auto"/>
                <w:kern w:val="0"/>
                <w:sz w:val="21"/>
                <w:szCs w:val="21"/>
                <w:u w:val="none"/>
                <w:lang w:val="en-US" w:eastAsia="zh-CN" w:bidi="ar"/>
              </w:rPr>
              <w:t>可以设置早市、夜市、摊区、临时农副产品市场等。摊点经营者应当按照规定的地点、时限有序经营。</w:t>
            </w:r>
          </w:p>
        </w:tc>
        <w:tc>
          <w:tcPr>
            <w:tcW w:w="1002" w:type="dxa"/>
            <w:noWrap w:val="0"/>
            <w:vAlign w:val="center"/>
          </w:tcPr>
          <w:p w14:paraId="0FCF36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9256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37A121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22</w:t>
            </w:r>
          </w:p>
        </w:tc>
        <w:tc>
          <w:tcPr>
            <w:tcW w:w="2618" w:type="dxa"/>
            <w:noWrap w:val="0"/>
            <w:vAlign w:val="center"/>
          </w:tcPr>
          <w:p w14:paraId="4CB37C43">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对业主委员会的备案</w:t>
            </w:r>
          </w:p>
        </w:tc>
        <w:tc>
          <w:tcPr>
            <w:tcW w:w="1991" w:type="dxa"/>
            <w:noWrap w:val="0"/>
            <w:vAlign w:val="center"/>
          </w:tcPr>
          <w:p w14:paraId="0F1D34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default" w:ascii="宋体" w:hAnsi="宋体" w:eastAsia="宋体" w:cs="宋体"/>
                <w:i w:val="0"/>
                <w:iCs w:val="0"/>
                <w:color w:val="auto"/>
                <w:kern w:val="0"/>
                <w:sz w:val="21"/>
                <w:szCs w:val="21"/>
                <w:u w:val="none"/>
                <w:lang w:val="en-US" w:eastAsia="zh-CN" w:bidi="ar"/>
              </w:rPr>
              <w:t>《四川省物业管理条例》</w:t>
            </w:r>
          </w:p>
        </w:tc>
        <w:tc>
          <w:tcPr>
            <w:tcW w:w="1200" w:type="dxa"/>
            <w:noWrap w:val="0"/>
            <w:vAlign w:val="center"/>
          </w:tcPr>
          <w:p w14:paraId="11E4E7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2E52CA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2021年9月29日</w:t>
            </w:r>
          </w:p>
        </w:tc>
        <w:tc>
          <w:tcPr>
            <w:tcW w:w="5073" w:type="dxa"/>
            <w:shd w:val="clear" w:color="auto" w:fill="auto"/>
            <w:noWrap w:val="0"/>
            <w:vAlign w:val="top"/>
          </w:tcPr>
          <w:p w14:paraId="0EA392A1">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hint="default" w:ascii="宋体" w:hAnsi="宋体" w:eastAsia="宋体" w:cs="宋体"/>
                <w:i w:val="0"/>
                <w:iCs w:val="0"/>
                <w:color w:val="auto"/>
                <w:kern w:val="0"/>
                <w:sz w:val="21"/>
                <w:szCs w:val="21"/>
                <w:u w:val="none"/>
                <w:lang w:val="en-US" w:eastAsia="zh-CN" w:bidi="ar"/>
              </w:rPr>
              <w:t>《四川省物业管理条例》第</w:t>
            </w:r>
            <w:r>
              <w:rPr>
                <w:rFonts w:hint="eastAsia" w:ascii="宋体" w:hAnsi="宋体" w:eastAsia="宋体" w:cs="宋体"/>
                <w:i w:val="0"/>
                <w:iCs w:val="0"/>
                <w:color w:val="auto"/>
                <w:kern w:val="0"/>
                <w:sz w:val="21"/>
                <w:szCs w:val="21"/>
                <w:u w:val="none"/>
                <w:lang w:val="en-US" w:eastAsia="zh-CN" w:bidi="ar"/>
              </w:rPr>
              <w:t>三十五条</w:t>
            </w:r>
            <w:r>
              <w:rPr>
                <w:rFonts w:hint="default" w:ascii="宋体" w:hAnsi="宋体" w:eastAsia="宋体" w:cs="宋体"/>
                <w:i w:val="0"/>
                <w:iCs w:val="0"/>
                <w:color w:val="auto"/>
                <w:kern w:val="0"/>
                <w:sz w:val="21"/>
                <w:szCs w:val="21"/>
                <w:u w:val="none"/>
                <w:lang w:val="en-US" w:eastAsia="zh-CN" w:bidi="ar"/>
              </w:rPr>
              <w:t>业主委员会应当自选举产生之日起三十日内持以下材料向物业所在地街道办事处（乡镇人民政府）备案：（一）业主大会设立和业主委员会选举的情况；（二）业主大会表决通过的管理规约、业主大会议事规则；（三）业主大会决定的其他重大事项。备案材料齐备的，街道办事处（乡镇人民政府）应当在收到备案材料十五个工作日内发出备案通知书，并抄送公安派出所、县（市、区）人民政府住房城乡建设主管部门。业主委员会办理备案后，应当依法刻制业主大会、业主委员会印章。业主委员会持备案通知书、印章等向物业所在地县（市、区）人民政府市场监管部门申请办理业主大会社会信用代码登记，开设业主共有资金账户，在共有资金账户中设立业主委员会工作经费和补贴科目。本条例施行前开设的业主委员会资金账户，按照前款规定依法变更为业主共有资金账户。业主委员会应当将相关情况在物业服务区域显著位置公告。</w:t>
            </w:r>
          </w:p>
        </w:tc>
        <w:tc>
          <w:tcPr>
            <w:tcW w:w="1002" w:type="dxa"/>
            <w:noWrap w:val="0"/>
            <w:vAlign w:val="center"/>
          </w:tcPr>
          <w:p w14:paraId="4FEB84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DD62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8" w:type="dxa"/>
            <w:noWrap w:val="0"/>
            <w:vAlign w:val="center"/>
          </w:tcPr>
          <w:p w14:paraId="47B325B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23</w:t>
            </w:r>
          </w:p>
        </w:tc>
        <w:tc>
          <w:tcPr>
            <w:tcW w:w="2618" w:type="dxa"/>
            <w:noWrap w:val="0"/>
            <w:vAlign w:val="center"/>
          </w:tcPr>
          <w:p w14:paraId="2E4C1E9C">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对渡口设置、迁移或者撤销的审查</w:t>
            </w:r>
          </w:p>
        </w:tc>
        <w:tc>
          <w:tcPr>
            <w:tcW w:w="1991" w:type="dxa"/>
            <w:noWrap w:val="0"/>
            <w:vAlign w:val="center"/>
          </w:tcPr>
          <w:p w14:paraId="023422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《四川省渡口管理办法</w:t>
            </w:r>
          </w:p>
        </w:tc>
        <w:tc>
          <w:tcPr>
            <w:tcW w:w="1200" w:type="dxa"/>
            <w:noWrap w:val="0"/>
            <w:vAlign w:val="center"/>
          </w:tcPr>
          <w:p w14:paraId="13686D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109291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2013年1月21日</w:t>
            </w:r>
          </w:p>
        </w:tc>
        <w:tc>
          <w:tcPr>
            <w:tcW w:w="5073" w:type="dxa"/>
            <w:shd w:val="clear" w:color="auto" w:fill="auto"/>
            <w:noWrap w:val="0"/>
            <w:vAlign w:val="top"/>
          </w:tcPr>
          <w:p w14:paraId="7B36F6B0">
            <w:pPr>
              <w:keepNext w:val="0"/>
              <w:keepLines w:val="0"/>
              <w:widowControl/>
              <w:suppressLineNumbers w:val="0"/>
              <w:jc w:val="left"/>
              <w:textAlignment w:val="top"/>
              <w:rPr>
                <w:rFonts w:hint="default"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《四川省渡口管理办法》第十二条 申请设置渡口，申请人应当提交可行性研究报告和渡口选址意见书，经渡口所在地乡（镇）人民政府同意后，报县级人民政府审批。县级人民政府审批前，应当征求航务海事管理机构和有关部门的意见，进行实地核查，符合条件的予以批准，并明确渡口区域界线；不符合条件的，不予批准并书面说明理由。跨县级行政区域设置渡口，应当经相关县级人民政府协商一致、分别审批后，报上一级交通运输主管部门备案。迁移或者撤销渡口，申请人应当按照前款规定的程序办理，及时拆除影响安全的设施，妥善处置渡船。</w:t>
            </w:r>
          </w:p>
        </w:tc>
        <w:tc>
          <w:tcPr>
            <w:tcW w:w="1002" w:type="dxa"/>
            <w:noWrap w:val="0"/>
            <w:vAlign w:val="center"/>
          </w:tcPr>
          <w:p w14:paraId="201ECA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8CB1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066864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24</w:t>
            </w:r>
          </w:p>
        </w:tc>
        <w:tc>
          <w:tcPr>
            <w:tcW w:w="2618" w:type="dxa"/>
            <w:noWrap w:val="0"/>
            <w:vAlign w:val="center"/>
          </w:tcPr>
          <w:p w14:paraId="15A0FE73">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在乡道、村道的出入口规范设置必要的限高、限宽设施</w:t>
            </w:r>
          </w:p>
        </w:tc>
        <w:tc>
          <w:tcPr>
            <w:tcW w:w="1991" w:type="dxa"/>
            <w:noWrap w:val="0"/>
            <w:vAlign w:val="center"/>
          </w:tcPr>
          <w:p w14:paraId="64117B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i w:val="0"/>
                <w:iCs w:val="0"/>
                <w:color w:val="auto"/>
                <w:kern w:val="0"/>
                <w:sz w:val="21"/>
                <w:szCs w:val="21"/>
                <w:u w:val="none"/>
                <w:lang w:val="en-US" w:eastAsia="zh-CN" w:bidi="ar"/>
              </w:rPr>
            </w:pPr>
            <w:r>
              <w:rPr>
                <w:rStyle w:val="14"/>
                <w:rFonts w:eastAsia="宋体"/>
                <w:color w:val="auto"/>
                <w:lang w:val="en-US" w:eastAsia="zh-CN" w:bidi="ar"/>
              </w:rPr>
              <w:t>1.</w:t>
            </w:r>
            <w:r>
              <w:rPr>
                <w:rStyle w:val="10"/>
                <w:color w:val="auto"/>
                <w:lang w:val="en-US" w:eastAsia="zh-CN" w:bidi="ar"/>
              </w:rPr>
              <w:t>《公路安全保护条例》</w:t>
            </w:r>
            <w:r>
              <w:rPr>
                <w:rStyle w:val="14"/>
                <w:rFonts w:eastAsia="宋体"/>
                <w:color w:val="auto"/>
                <w:lang w:val="en-US" w:eastAsia="zh-CN" w:bidi="ar"/>
              </w:rPr>
              <w:t>2.</w:t>
            </w:r>
            <w:r>
              <w:rPr>
                <w:rStyle w:val="10"/>
                <w:color w:val="auto"/>
                <w:lang w:val="en-US" w:eastAsia="zh-CN" w:bidi="ar"/>
              </w:rPr>
              <w:t>《四川省农村公路条例》</w:t>
            </w:r>
          </w:p>
        </w:tc>
        <w:tc>
          <w:tcPr>
            <w:tcW w:w="1200" w:type="dxa"/>
            <w:noWrap w:val="0"/>
            <w:vAlign w:val="center"/>
          </w:tcPr>
          <w:p w14:paraId="44C4F8C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4A989D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5D9B32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br w:type="textWrapping"/>
            </w:r>
            <w:r>
              <w:rPr>
                <w:rFonts w:hint="eastAsia" w:ascii="宋体" w:hAnsi="宋体" w:eastAsia="宋体" w:cs="宋体"/>
                <w:i w:val="0"/>
                <w:iCs w:val="0"/>
                <w:caps w:val="0"/>
                <w:color w:val="auto"/>
                <w:spacing w:val="0"/>
                <w:sz w:val="21"/>
                <w:szCs w:val="21"/>
              </w:rPr>
              <w:t>2011年3月7日</w:t>
            </w:r>
            <w:r>
              <w:rPr>
                <w:rFonts w:hint="eastAsia" w:ascii="宋体" w:hAnsi="宋体" w:eastAsia="宋体" w:cs="宋体"/>
                <w:i w:val="0"/>
                <w:iCs w:val="0"/>
                <w:caps w:val="0"/>
                <w:color w:val="auto"/>
                <w:spacing w:val="0"/>
                <w:sz w:val="21"/>
                <w:szCs w:val="21"/>
              </w:rPr>
              <w:br w:type="textWrapping"/>
            </w:r>
            <w:r>
              <w:rPr>
                <w:rFonts w:hint="eastAsia" w:ascii="宋体" w:hAnsi="宋体" w:eastAsia="宋体" w:cs="宋体"/>
                <w:i w:val="0"/>
                <w:iCs w:val="0"/>
                <w:caps w:val="0"/>
                <w:color w:val="auto"/>
                <w:spacing w:val="0"/>
                <w:sz w:val="21"/>
                <w:szCs w:val="21"/>
              </w:rPr>
              <w:t>2017年7月27日</w:t>
            </w:r>
          </w:p>
        </w:tc>
        <w:tc>
          <w:tcPr>
            <w:tcW w:w="5073" w:type="dxa"/>
            <w:shd w:val="clear" w:color="auto" w:fill="auto"/>
            <w:noWrap w:val="0"/>
            <w:vAlign w:val="top"/>
          </w:tcPr>
          <w:p w14:paraId="345008C1">
            <w:pPr>
              <w:keepNext w:val="0"/>
              <w:keepLines w:val="0"/>
              <w:widowControl/>
              <w:suppressLineNumbers w:val="0"/>
              <w:jc w:val="left"/>
              <w:textAlignment w:val="top"/>
              <w:rPr>
                <w:rFonts w:hint="default" w:ascii="宋体" w:hAnsi="宋体" w:eastAsia="宋体" w:cs="宋体"/>
                <w:i w:val="0"/>
                <w:iCs w:val="0"/>
                <w:color w:val="auto"/>
                <w:kern w:val="0"/>
                <w:sz w:val="21"/>
                <w:szCs w:val="21"/>
                <w:u w:val="none"/>
                <w:lang w:val="en-US" w:eastAsia="zh-CN" w:bidi="ar"/>
              </w:rPr>
            </w:pPr>
            <w:r>
              <w:rPr>
                <w:rStyle w:val="14"/>
                <w:rFonts w:eastAsia="宋体"/>
                <w:color w:val="auto"/>
                <w:lang w:val="en-US" w:eastAsia="zh-CN" w:bidi="ar"/>
              </w:rPr>
              <w:t>1.</w:t>
            </w:r>
            <w:r>
              <w:rPr>
                <w:rStyle w:val="10"/>
                <w:color w:val="auto"/>
                <w:lang w:val="en-US" w:eastAsia="zh-CN" w:bidi="ar"/>
              </w:rPr>
              <w:t>《公路安全保护条例》第三十四条 县级人民政府交通运输主管部门或者乡级人民政府可以根据保护乡道、村道的需要，在乡道、村道的出入口设置必要的限高、限宽设施，但是不得影响消防和卫生急救等应急通行需要，不得向通行车辆收费。</w:t>
            </w:r>
            <w:r>
              <w:rPr>
                <w:rStyle w:val="10"/>
                <w:color w:val="auto"/>
                <w:lang w:val="en-US" w:eastAsia="zh-CN" w:bidi="ar"/>
              </w:rPr>
              <w:br w:type="textWrapping"/>
            </w:r>
            <w:r>
              <w:rPr>
                <w:rStyle w:val="14"/>
                <w:rFonts w:eastAsia="宋体"/>
                <w:color w:val="auto"/>
                <w:lang w:val="en-US" w:eastAsia="zh-CN" w:bidi="ar"/>
              </w:rPr>
              <w:t>2.</w:t>
            </w:r>
            <w:r>
              <w:rPr>
                <w:rStyle w:val="10"/>
                <w:color w:val="auto"/>
                <w:lang w:val="en-US" w:eastAsia="zh-CN" w:bidi="ar"/>
              </w:rPr>
              <w:t>《四川省农村公路条例》第三十三条 县（市、区）人民政府交通运输主管部门公路管理机构或者乡（镇）人民政府根据农村公路保护需要，可以在乡道、村道的出入口规范设置必要的限高、限宽设施，但不得影响抢险救灾、消防和卫生急救等应急通行。限高、限宽设施应当有明显标志和夜间反光标志。</w:t>
            </w:r>
          </w:p>
        </w:tc>
        <w:tc>
          <w:tcPr>
            <w:tcW w:w="1002" w:type="dxa"/>
            <w:noWrap w:val="0"/>
            <w:vAlign w:val="center"/>
          </w:tcPr>
          <w:p w14:paraId="0E3522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516E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4A1037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25</w:t>
            </w:r>
          </w:p>
        </w:tc>
        <w:tc>
          <w:tcPr>
            <w:tcW w:w="2618" w:type="dxa"/>
            <w:noWrap w:val="0"/>
            <w:vAlign w:val="center"/>
          </w:tcPr>
          <w:p w14:paraId="25247475">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乡道、村道规划及其项目库编制和村道大中修养护工程年度计划的参与</w:t>
            </w:r>
          </w:p>
        </w:tc>
        <w:tc>
          <w:tcPr>
            <w:tcW w:w="1991" w:type="dxa"/>
            <w:noWrap w:val="0"/>
            <w:vAlign w:val="center"/>
          </w:tcPr>
          <w:p w14:paraId="764DC0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《四川省农村公路条例》</w:t>
            </w:r>
          </w:p>
        </w:tc>
        <w:tc>
          <w:tcPr>
            <w:tcW w:w="1200" w:type="dxa"/>
            <w:noWrap w:val="0"/>
            <w:vAlign w:val="center"/>
          </w:tcPr>
          <w:p w14:paraId="5BEBE44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0054B7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2017年7月27日</w:t>
            </w:r>
          </w:p>
        </w:tc>
        <w:tc>
          <w:tcPr>
            <w:tcW w:w="5073" w:type="dxa"/>
            <w:shd w:val="clear" w:color="auto" w:fill="auto"/>
            <w:noWrap w:val="0"/>
            <w:vAlign w:val="top"/>
          </w:tcPr>
          <w:p w14:paraId="4A633929">
            <w:pPr>
              <w:keepNext w:val="0"/>
              <w:keepLines w:val="0"/>
              <w:widowControl/>
              <w:suppressLineNumbers w:val="0"/>
              <w:jc w:val="left"/>
              <w:textAlignment w:val="top"/>
              <w:rPr>
                <w:rFonts w:hint="default"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《四川省农村公路条例》第十二条第二款 乡道、村道规划及其项目库由县（市、区）人民政府交通运输主管部门协助乡（镇）人民政府编制，报县（市、区）人民政府批准。</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《四川省农村公路条例》第三十六条 县道、乡道大中修养护工程年度计划由县（市、区）人民政府交通运输主管部门会同有关部门或者乡（镇）人民政府编制，经县（市、区）人民政府批准后实施；村道大中修养护工程年度计划的编制参照执行。</w:t>
            </w:r>
          </w:p>
        </w:tc>
        <w:tc>
          <w:tcPr>
            <w:tcW w:w="1002" w:type="dxa"/>
            <w:noWrap w:val="0"/>
            <w:vAlign w:val="center"/>
          </w:tcPr>
          <w:p w14:paraId="07CD34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5C51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7503F7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26</w:t>
            </w:r>
          </w:p>
        </w:tc>
        <w:tc>
          <w:tcPr>
            <w:tcW w:w="2618" w:type="dxa"/>
            <w:noWrap w:val="0"/>
            <w:vAlign w:val="center"/>
          </w:tcPr>
          <w:p w14:paraId="5E76C70C">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对农业机械作业质量争议的调解</w:t>
            </w:r>
          </w:p>
        </w:tc>
        <w:tc>
          <w:tcPr>
            <w:tcW w:w="1991" w:type="dxa"/>
            <w:noWrap w:val="0"/>
            <w:vAlign w:val="center"/>
          </w:tcPr>
          <w:p w14:paraId="78526D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《四川省农业机械管理条例》</w:t>
            </w:r>
          </w:p>
        </w:tc>
        <w:tc>
          <w:tcPr>
            <w:tcW w:w="1200" w:type="dxa"/>
            <w:noWrap w:val="0"/>
            <w:vAlign w:val="center"/>
          </w:tcPr>
          <w:p w14:paraId="48F879C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4E3FB5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2012年7月27日</w:t>
            </w:r>
          </w:p>
        </w:tc>
        <w:tc>
          <w:tcPr>
            <w:tcW w:w="5073" w:type="dxa"/>
            <w:shd w:val="clear" w:color="auto" w:fill="auto"/>
            <w:noWrap w:val="0"/>
            <w:vAlign w:val="top"/>
          </w:tcPr>
          <w:p w14:paraId="2075ABA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《四川省农业机械管理条例》第二十三条第二款 从事农业机械作业服务，必须严格执行国家和省制定的作业质量标准。尚未制定作业质量标准的，按当事人双方约定的作业质量标准作业。农业机械作业质量发生争议，由当事人协商解决，或者由乡（镇）农业机械管理服务站组织当事人协商解决；协商不成的，由乡（镇）人民政府或者县级人民政府农业机械主管部门调解。当事人也可直接向人民法院提起民事诉讼。</w:t>
            </w:r>
          </w:p>
        </w:tc>
        <w:tc>
          <w:tcPr>
            <w:tcW w:w="1002" w:type="dxa"/>
            <w:noWrap w:val="0"/>
            <w:vAlign w:val="center"/>
          </w:tcPr>
          <w:p w14:paraId="41A728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FF5D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1222D8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27</w:t>
            </w:r>
          </w:p>
        </w:tc>
        <w:tc>
          <w:tcPr>
            <w:tcW w:w="2618" w:type="dxa"/>
            <w:noWrap w:val="0"/>
            <w:vAlign w:val="center"/>
          </w:tcPr>
          <w:p w14:paraId="552B5B8D">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对承包期内，因自然灾害严重毁损承包 地等特殊情形对个别农户之间承包的 耕地和草地适当调整的批准</w:t>
            </w:r>
          </w:p>
        </w:tc>
        <w:tc>
          <w:tcPr>
            <w:tcW w:w="1991" w:type="dxa"/>
            <w:noWrap w:val="0"/>
            <w:vAlign w:val="center"/>
          </w:tcPr>
          <w:p w14:paraId="3A0540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《中华人民共和国农村土地承包法》</w:t>
            </w:r>
          </w:p>
        </w:tc>
        <w:tc>
          <w:tcPr>
            <w:tcW w:w="1200" w:type="dxa"/>
            <w:noWrap w:val="0"/>
            <w:vAlign w:val="center"/>
          </w:tcPr>
          <w:p w14:paraId="6237CB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6A1DCA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2018年12月29日</w:t>
            </w:r>
          </w:p>
        </w:tc>
        <w:tc>
          <w:tcPr>
            <w:tcW w:w="5073" w:type="dxa"/>
            <w:shd w:val="clear" w:color="auto" w:fill="auto"/>
            <w:noWrap w:val="0"/>
            <w:vAlign w:val="top"/>
          </w:tcPr>
          <w:p w14:paraId="29C0946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《中华人民共和国农村土地承包法》第二十八条第二款 承包期内，因自然灾害严重毁损承包地等特殊情形对个别农户之间承包的耕地和草地需要适当调整的，必须经本集体经济组织成员的村民会议三分之二以上成员或者 三分之二以上村民代表的同意，并报乡（镇）人民政府和县级人民政府农业农村、林业和草原等主管部门批准。承包合同中约定不得调整的，按照其约定。</w:t>
            </w:r>
          </w:p>
        </w:tc>
        <w:tc>
          <w:tcPr>
            <w:tcW w:w="1002" w:type="dxa"/>
            <w:noWrap w:val="0"/>
            <w:vAlign w:val="center"/>
          </w:tcPr>
          <w:p w14:paraId="1995D6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1B90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46BAB0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28</w:t>
            </w:r>
          </w:p>
        </w:tc>
        <w:tc>
          <w:tcPr>
            <w:tcW w:w="2618" w:type="dxa"/>
            <w:noWrap w:val="0"/>
            <w:vAlign w:val="center"/>
          </w:tcPr>
          <w:p w14:paraId="7192CE2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Style w:val="14"/>
                <w:rFonts w:eastAsia="宋体"/>
                <w:color w:val="auto"/>
                <w:lang w:val="en-US" w:eastAsia="zh-CN" w:bidi="ar"/>
              </w:rPr>
              <w:t>对土地承包经营纠纷的调解</w:t>
            </w:r>
          </w:p>
        </w:tc>
        <w:tc>
          <w:tcPr>
            <w:tcW w:w="1991" w:type="dxa"/>
            <w:noWrap w:val="0"/>
            <w:vAlign w:val="center"/>
          </w:tcPr>
          <w:p w14:paraId="38C8FDE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w:t>
            </w:r>
            <w:r>
              <w:rPr>
                <w:rFonts w:ascii="宋体" w:hAnsi="宋体" w:eastAsia="宋体" w:cs="宋体"/>
                <w:i w:val="0"/>
                <w:iCs w:val="0"/>
                <w:color w:val="auto"/>
                <w:kern w:val="0"/>
                <w:sz w:val="21"/>
                <w:szCs w:val="21"/>
                <w:u w:val="none"/>
                <w:lang w:val="en-US" w:eastAsia="zh-CN" w:bidi="ar"/>
              </w:rPr>
              <w:t>《中华人民共和国农村土地承包法》</w:t>
            </w:r>
          </w:p>
          <w:p w14:paraId="667E59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Style w:val="14"/>
                <w:rFonts w:eastAsia="宋体"/>
                <w:color w:val="auto"/>
                <w:lang w:val="en-US" w:eastAsia="zh-CN" w:bidi="ar"/>
              </w:rPr>
              <w:t>2.《农村土地承包经营权流转管理办法》</w:t>
            </w:r>
          </w:p>
        </w:tc>
        <w:tc>
          <w:tcPr>
            <w:tcW w:w="1200" w:type="dxa"/>
            <w:noWrap w:val="0"/>
            <w:vAlign w:val="center"/>
          </w:tcPr>
          <w:p w14:paraId="300761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493CBB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农业农村部</w:t>
            </w:r>
          </w:p>
        </w:tc>
        <w:tc>
          <w:tcPr>
            <w:tcW w:w="1350" w:type="dxa"/>
            <w:noWrap w:val="0"/>
            <w:vAlign w:val="center"/>
          </w:tcPr>
          <w:p w14:paraId="5CC49C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2018年12月29日</w:t>
            </w:r>
          </w:p>
          <w:p w14:paraId="12481E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2021年01月26日</w:t>
            </w:r>
          </w:p>
        </w:tc>
        <w:tc>
          <w:tcPr>
            <w:tcW w:w="5073" w:type="dxa"/>
            <w:shd w:val="clear" w:color="auto" w:fill="auto"/>
            <w:noWrap w:val="0"/>
            <w:vAlign w:val="top"/>
          </w:tcPr>
          <w:p w14:paraId="1CD379B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Style w:val="14"/>
                <w:rFonts w:eastAsia="宋体"/>
                <w:color w:val="auto"/>
                <w:lang w:val="en-US" w:eastAsia="zh-CN" w:bidi="ar"/>
              </w:rPr>
              <w:t>1.《中华人民共和国农村土地承包法》第五十五条 因土地承包经营发生纠纷的，双方当事人可以通过协商解决，也可以请求村民委员会、乡（镇）人民政府等调解解决。 当事人不愿协商、调解或者协商、调解不成的，可以向农村土地承包仲裁机构申请仲裁，也可以直接向人民法院起诉。</w:t>
            </w:r>
            <w:r>
              <w:rPr>
                <w:rStyle w:val="14"/>
                <w:rFonts w:eastAsia="宋体"/>
                <w:color w:val="auto"/>
                <w:lang w:val="en-US" w:eastAsia="zh-CN" w:bidi="ar"/>
              </w:rPr>
              <w:br w:type="textWrapping"/>
            </w:r>
            <w:r>
              <w:rPr>
                <w:rStyle w:val="14"/>
                <w:rFonts w:eastAsia="宋体"/>
                <w:color w:val="auto"/>
                <w:lang w:val="en-US" w:eastAsia="zh-CN" w:bidi="ar"/>
              </w:rPr>
              <w:t>2.《农村土地承包经营权流转管理办法》第三十三条 农村土地承包经营权流转发生争议或者纠纷，当事人应当依法协商解决。当事人协商不成的，可以请求村民委员会、乡（镇）人民政府调解。当事人不愿协商或者调解不成的，可以向农村土地承包仲裁机构申请仲裁，也可以直接向人民法院起诉。</w:t>
            </w:r>
          </w:p>
        </w:tc>
        <w:tc>
          <w:tcPr>
            <w:tcW w:w="1002" w:type="dxa"/>
            <w:noWrap w:val="0"/>
            <w:vAlign w:val="center"/>
          </w:tcPr>
          <w:p w14:paraId="096DB35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355C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03099F9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29</w:t>
            </w:r>
          </w:p>
        </w:tc>
        <w:tc>
          <w:tcPr>
            <w:tcW w:w="2618" w:type="dxa"/>
            <w:noWrap w:val="0"/>
            <w:vAlign w:val="center"/>
          </w:tcPr>
          <w:p w14:paraId="152F5CE9">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对强迫农民以资代劳的责令改正</w:t>
            </w:r>
          </w:p>
        </w:tc>
        <w:tc>
          <w:tcPr>
            <w:tcW w:w="1991" w:type="dxa"/>
            <w:noWrap w:val="0"/>
            <w:vAlign w:val="center"/>
          </w:tcPr>
          <w:p w14:paraId="3B47DA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《中华人民共和国农业法》</w:t>
            </w:r>
          </w:p>
        </w:tc>
        <w:tc>
          <w:tcPr>
            <w:tcW w:w="1200" w:type="dxa"/>
            <w:noWrap w:val="0"/>
            <w:vAlign w:val="center"/>
          </w:tcPr>
          <w:p w14:paraId="47862A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24C524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2012年12月28日</w:t>
            </w:r>
          </w:p>
        </w:tc>
        <w:tc>
          <w:tcPr>
            <w:tcW w:w="5073" w:type="dxa"/>
            <w:shd w:val="clear" w:color="auto" w:fill="auto"/>
            <w:noWrap w:val="0"/>
            <w:vAlign w:val="top"/>
          </w:tcPr>
          <w:p w14:paraId="4F51126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《中华人民共和国农业法》第九十五条 违反本法第七十三条第二款规定，强迫农民以资代劳的，由乡（镇）人民政府责令改正，并退还违法收取的资金。</w:t>
            </w:r>
          </w:p>
        </w:tc>
        <w:tc>
          <w:tcPr>
            <w:tcW w:w="1002" w:type="dxa"/>
            <w:noWrap w:val="0"/>
            <w:vAlign w:val="center"/>
          </w:tcPr>
          <w:p w14:paraId="2D2EBC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767F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6997860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30</w:t>
            </w:r>
          </w:p>
        </w:tc>
        <w:tc>
          <w:tcPr>
            <w:tcW w:w="2618" w:type="dxa"/>
            <w:noWrap w:val="0"/>
            <w:vAlign w:val="center"/>
          </w:tcPr>
          <w:p w14:paraId="1AC3F474">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对动物强制免疫的实施</w:t>
            </w:r>
          </w:p>
        </w:tc>
        <w:tc>
          <w:tcPr>
            <w:tcW w:w="1991" w:type="dxa"/>
            <w:noWrap w:val="0"/>
            <w:vAlign w:val="center"/>
          </w:tcPr>
          <w:p w14:paraId="59D0D1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《中华人民共和国动物防疫法》</w:t>
            </w:r>
          </w:p>
        </w:tc>
        <w:tc>
          <w:tcPr>
            <w:tcW w:w="1200" w:type="dxa"/>
            <w:noWrap w:val="0"/>
            <w:vAlign w:val="center"/>
          </w:tcPr>
          <w:p w14:paraId="48811A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0C4529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021</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1</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22</w:t>
            </w:r>
            <w:r>
              <w:rPr>
                <w:rFonts w:hint="eastAsia" w:ascii="宋体" w:hAnsi="宋体" w:eastAsia="宋体" w:cs="宋体"/>
                <w:i w:val="0"/>
                <w:iCs w:val="0"/>
                <w:caps w:val="0"/>
                <w:color w:val="auto"/>
                <w:spacing w:val="0"/>
                <w:sz w:val="21"/>
                <w:szCs w:val="21"/>
              </w:rPr>
              <w:t>日</w:t>
            </w:r>
          </w:p>
        </w:tc>
        <w:tc>
          <w:tcPr>
            <w:tcW w:w="5073" w:type="dxa"/>
            <w:shd w:val="clear" w:color="auto" w:fill="auto"/>
            <w:noWrap w:val="0"/>
            <w:vAlign w:val="top"/>
          </w:tcPr>
          <w:p w14:paraId="0DBDC91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《中华人民共和国动物防疫法》第十八条 乡级人民政府、街道办事处组织本辖区饲养动物的单位和个人做好强制免疫，协助做好监督检查；村民委员会、居民委员会协助做好相关工作。</w:t>
            </w:r>
          </w:p>
        </w:tc>
        <w:tc>
          <w:tcPr>
            <w:tcW w:w="1002" w:type="dxa"/>
            <w:noWrap w:val="0"/>
            <w:vAlign w:val="center"/>
          </w:tcPr>
          <w:p w14:paraId="3E2498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ACCA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3768E3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31</w:t>
            </w:r>
          </w:p>
        </w:tc>
        <w:tc>
          <w:tcPr>
            <w:tcW w:w="2618" w:type="dxa"/>
            <w:noWrap w:val="0"/>
            <w:vAlign w:val="center"/>
          </w:tcPr>
          <w:p w14:paraId="244789CE">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发生三类动物疫病时组织防治和净化</w:t>
            </w:r>
          </w:p>
        </w:tc>
        <w:tc>
          <w:tcPr>
            <w:tcW w:w="1991" w:type="dxa"/>
            <w:noWrap w:val="0"/>
            <w:vAlign w:val="center"/>
          </w:tcPr>
          <w:p w14:paraId="407C9C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《中华人民共和国动物防疫法》</w:t>
            </w:r>
          </w:p>
        </w:tc>
        <w:tc>
          <w:tcPr>
            <w:tcW w:w="1200" w:type="dxa"/>
            <w:noWrap w:val="0"/>
            <w:vAlign w:val="center"/>
          </w:tcPr>
          <w:p w14:paraId="788E0C6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66A031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021</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1</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22</w:t>
            </w:r>
            <w:r>
              <w:rPr>
                <w:rFonts w:hint="eastAsia" w:ascii="宋体" w:hAnsi="宋体" w:eastAsia="宋体" w:cs="宋体"/>
                <w:i w:val="0"/>
                <w:iCs w:val="0"/>
                <w:caps w:val="0"/>
                <w:color w:val="auto"/>
                <w:spacing w:val="0"/>
                <w:sz w:val="21"/>
                <w:szCs w:val="21"/>
              </w:rPr>
              <w:t>日</w:t>
            </w:r>
          </w:p>
        </w:tc>
        <w:tc>
          <w:tcPr>
            <w:tcW w:w="5073" w:type="dxa"/>
            <w:shd w:val="clear" w:color="auto" w:fill="auto"/>
            <w:noWrap w:val="0"/>
            <w:vAlign w:val="top"/>
          </w:tcPr>
          <w:p w14:paraId="359DC17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《中华人民共和国动物防疫法》第四十一条 发生三类动物疫病时，所在地县级、乡级人民政府应当按照国务院农业农村主管部门的规定组织防治。</w:t>
            </w:r>
          </w:p>
        </w:tc>
        <w:tc>
          <w:tcPr>
            <w:tcW w:w="1002" w:type="dxa"/>
            <w:noWrap w:val="0"/>
            <w:vAlign w:val="center"/>
          </w:tcPr>
          <w:p w14:paraId="5B09C3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3340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32405A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32</w:t>
            </w:r>
          </w:p>
        </w:tc>
        <w:tc>
          <w:tcPr>
            <w:tcW w:w="2618" w:type="dxa"/>
            <w:noWrap w:val="0"/>
            <w:vAlign w:val="center"/>
          </w:tcPr>
          <w:p w14:paraId="43830E21">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对新生儿在医疗卫生机构以外地点死亡的核查</w:t>
            </w:r>
          </w:p>
        </w:tc>
        <w:tc>
          <w:tcPr>
            <w:tcW w:w="1991" w:type="dxa"/>
            <w:noWrap w:val="0"/>
            <w:vAlign w:val="center"/>
          </w:tcPr>
          <w:p w14:paraId="741B99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《禁止非医学需要的胎儿性别鉴定和选择性别人工终止妊娠的规定》</w:t>
            </w:r>
          </w:p>
        </w:tc>
        <w:tc>
          <w:tcPr>
            <w:tcW w:w="1200" w:type="dxa"/>
            <w:noWrap w:val="0"/>
            <w:vAlign w:val="center"/>
          </w:tcPr>
          <w:p w14:paraId="1D76B9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350" w:type="dxa"/>
            <w:noWrap w:val="0"/>
            <w:vAlign w:val="center"/>
          </w:tcPr>
          <w:p w14:paraId="20EDF1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2016年5月1日</w:t>
            </w:r>
          </w:p>
        </w:tc>
        <w:tc>
          <w:tcPr>
            <w:tcW w:w="5073" w:type="dxa"/>
            <w:shd w:val="clear" w:color="auto" w:fill="auto"/>
            <w:noWrap w:val="0"/>
            <w:vAlign w:val="top"/>
          </w:tcPr>
          <w:p w14:paraId="494F494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《禁止非医学需要的胎儿性别鉴定和选择性别人工终止妊娠的规定》第十三条第二款 新生儿在医疗卫生机构以外地点死亡的，监护人应当及时向当地乡（镇）人民政府、街道办事处卫生计生工作机构报告；乡（镇）人民政府、街道办事处卫生计生工作机构应当予以核查，并向乡镇卫生院或社区卫生服务中心通报有关信息。</w:t>
            </w:r>
          </w:p>
        </w:tc>
        <w:tc>
          <w:tcPr>
            <w:tcW w:w="1002" w:type="dxa"/>
            <w:noWrap w:val="0"/>
            <w:vAlign w:val="center"/>
          </w:tcPr>
          <w:p w14:paraId="08EABA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2443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0FDE3A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33</w:t>
            </w:r>
          </w:p>
        </w:tc>
        <w:tc>
          <w:tcPr>
            <w:tcW w:w="2618" w:type="dxa"/>
            <w:noWrap w:val="0"/>
            <w:vAlign w:val="center"/>
          </w:tcPr>
          <w:p w14:paraId="3E4637E3">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对再生育申请的受理</w:t>
            </w:r>
          </w:p>
        </w:tc>
        <w:tc>
          <w:tcPr>
            <w:tcW w:w="1991" w:type="dxa"/>
            <w:noWrap w:val="0"/>
            <w:vAlign w:val="center"/>
          </w:tcPr>
          <w:p w14:paraId="410CAF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《四川省人口与计划生育条例》</w:t>
            </w:r>
          </w:p>
        </w:tc>
        <w:tc>
          <w:tcPr>
            <w:tcW w:w="1200" w:type="dxa"/>
            <w:noWrap w:val="0"/>
            <w:vAlign w:val="center"/>
          </w:tcPr>
          <w:p w14:paraId="5D7EA7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32F7DE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2021年9月29日</w:t>
            </w:r>
          </w:p>
        </w:tc>
        <w:tc>
          <w:tcPr>
            <w:tcW w:w="5073" w:type="dxa"/>
            <w:shd w:val="clear" w:color="auto" w:fill="auto"/>
            <w:noWrap w:val="0"/>
            <w:vAlign w:val="top"/>
          </w:tcPr>
          <w:p w14:paraId="47ADC2D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《四川省人口与计划生育条例》第十三条一</w:t>
            </w:r>
            <w:r>
              <w:rPr>
                <w:rFonts w:hint="default" w:ascii="宋体" w:hAnsi="宋体" w:eastAsia="宋体" w:cs="宋体"/>
                <w:i w:val="0"/>
                <w:iCs w:val="0"/>
                <w:color w:val="auto"/>
                <w:kern w:val="0"/>
                <w:sz w:val="21"/>
                <w:szCs w:val="21"/>
                <w:u w:val="none"/>
                <w:lang w:val="en-US" w:eastAsia="zh-CN" w:bidi="ar"/>
              </w:rPr>
              <w:t>对夫妻可以生育三个子女。符合下列情形之一的，可以再生育子女：（一）有子女死亡的；（二）有子女按规定鉴定为残疾，医学上认为适宜再生育的。</w:t>
            </w:r>
          </w:p>
        </w:tc>
        <w:tc>
          <w:tcPr>
            <w:tcW w:w="1002" w:type="dxa"/>
            <w:noWrap w:val="0"/>
            <w:vAlign w:val="center"/>
          </w:tcPr>
          <w:p w14:paraId="33BFEF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170D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25E375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34</w:t>
            </w:r>
          </w:p>
        </w:tc>
        <w:tc>
          <w:tcPr>
            <w:tcW w:w="2618" w:type="dxa"/>
            <w:noWrap w:val="0"/>
            <w:vAlign w:val="center"/>
          </w:tcPr>
          <w:p w14:paraId="45A3EEB7">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对不履行协助计划生育管理义务的处理</w:t>
            </w:r>
          </w:p>
        </w:tc>
        <w:tc>
          <w:tcPr>
            <w:tcW w:w="1991" w:type="dxa"/>
            <w:noWrap w:val="0"/>
            <w:vAlign w:val="center"/>
          </w:tcPr>
          <w:p w14:paraId="7A3480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《四川省人口与计划生育条例》</w:t>
            </w:r>
          </w:p>
        </w:tc>
        <w:tc>
          <w:tcPr>
            <w:tcW w:w="1200" w:type="dxa"/>
            <w:noWrap w:val="0"/>
            <w:vAlign w:val="center"/>
          </w:tcPr>
          <w:p w14:paraId="3319C7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506129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2021年9月29日</w:t>
            </w:r>
          </w:p>
        </w:tc>
        <w:tc>
          <w:tcPr>
            <w:tcW w:w="5073" w:type="dxa"/>
            <w:shd w:val="clear" w:color="auto" w:fill="auto"/>
            <w:noWrap w:val="0"/>
            <w:vAlign w:val="top"/>
          </w:tcPr>
          <w:p w14:paraId="5AAE1B0E">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《中华人民共和国人口与计划生育法》第四十四 条违</w:t>
            </w:r>
            <w:r>
              <w:rPr>
                <w:rFonts w:hint="default" w:ascii="宋体" w:hAnsi="宋体" w:eastAsia="宋体" w:cs="宋体"/>
                <w:i w:val="0"/>
                <w:iCs w:val="0"/>
                <w:color w:val="auto"/>
                <w:kern w:val="0"/>
                <w:sz w:val="21"/>
                <w:szCs w:val="21"/>
                <w:u w:val="none"/>
                <w:lang w:val="en-US" w:eastAsia="zh-CN" w:bidi="ar"/>
              </w:rPr>
              <w:t>反本法规定，不履行协助计划生育管理义务的，由有关地方人民政府责令改正，并给予通报批评；对直接负责的主管人员和其他直接责任人员依法给予处分。</w:t>
            </w:r>
          </w:p>
        </w:tc>
        <w:tc>
          <w:tcPr>
            <w:tcW w:w="1002" w:type="dxa"/>
            <w:noWrap w:val="0"/>
            <w:vAlign w:val="center"/>
          </w:tcPr>
          <w:p w14:paraId="24C37C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095F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479B45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35</w:t>
            </w:r>
          </w:p>
        </w:tc>
        <w:tc>
          <w:tcPr>
            <w:tcW w:w="2618" w:type="dxa"/>
            <w:noWrap w:val="0"/>
            <w:vAlign w:val="center"/>
          </w:tcPr>
          <w:p w14:paraId="2588C942">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对违反《四川省安全生产条例》规定的责令限期改正</w:t>
            </w:r>
          </w:p>
        </w:tc>
        <w:tc>
          <w:tcPr>
            <w:tcW w:w="1991" w:type="dxa"/>
            <w:noWrap w:val="0"/>
            <w:vAlign w:val="center"/>
          </w:tcPr>
          <w:p w14:paraId="1A3F52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《四川省安全生产条例》</w:t>
            </w:r>
          </w:p>
        </w:tc>
        <w:tc>
          <w:tcPr>
            <w:tcW w:w="1200" w:type="dxa"/>
            <w:noWrap w:val="0"/>
            <w:vAlign w:val="center"/>
          </w:tcPr>
          <w:p w14:paraId="5DEDE3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22A53C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2006年11月30日</w:t>
            </w:r>
          </w:p>
        </w:tc>
        <w:tc>
          <w:tcPr>
            <w:tcW w:w="5073" w:type="dxa"/>
            <w:shd w:val="clear" w:color="auto" w:fill="auto"/>
            <w:noWrap w:val="0"/>
            <w:vAlign w:val="top"/>
          </w:tcPr>
          <w:p w14:paraId="4687355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《四川省安全生产条例》第十一条 乡（镇）人民政府、街道办事处应当配备必要的人员具体从事安全生产监督管理工作，并根据本条例分级管理的原则对本行政区域内的乡镇、街道企业和个体工商户的安全生产实施监督 检查：（一）宣传、贯彻国家安全生产法律、法规和方针、政策；（二）执行和督促落实上级政府和有关部门作出的安全生产决定；（三）对行政区域内的公共设施安全隐患组织排查，提出整治意见，并协助落实；（四）对安全生产违法行为进行纠正；紧急情况下，可以责令生产经营单位暂停作业；（五）按本条例规定接受县级安全生产监督管理部门委托按简易程序实施行政处罚；（六）对重大安全生产违法行为和重大隐患及时向上级政府及有关部门报告；（七）协助上级政府和安全生产监督管理部门处置发生在本行政区域内的生产安全事故。</w:t>
            </w:r>
          </w:p>
          <w:p w14:paraId="7B8242F8">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《四川省安全生产条例》第八十条第二款 乡（镇）人民政府、街道办事处依照本条例规定，可以行使责令限期改正和县级安全生产监督管理部门委托的实施简易程序的行政处罚权。</w:t>
            </w:r>
          </w:p>
        </w:tc>
        <w:tc>
          <w:tcPr>
            <w:tcW w:w="1002" w:type="dxa"/>
            <w:noWrap w:val="0"/>
            <w:vAlign w:val="center"/>
          </w:tcPr>
          <w:p w14:paraId="0119AD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E3AB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41A0C70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36</w:t>
            </w:r>
          </w:p>
        </w:tc>
        <w:tc>
          <w:tcPr>
            <w:tcW w:w="2618" w:type="dxa"/>
            <w:noWrap w:val="0"/>
            <w:vAlign w:val="center"/>
          </w:tcPr>
          <w:p w14:paraId="710091A7">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紧急情况下，对生产经营单位的责令暂停作业</w:t>
            </w:r>
          </w:p>
        </w:tc>
        <w:tc>
          <w:tcPr>
            <w:tcW w:w="1991" w:type="dxa"/>
            <w:noWrap w:val="0"/>
            <w:vAlign w:val="center"/>
          </w:tcPr>
          <w:p w14:paraId="6E851A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《四川省安全生产条例》</w:t>
            </w:r>
          </w:p>
        </w:tc>
        <w:tc>
          <w:tcPr>
            <w:tcW w:w="1200" w:type="dxa"/>
            <w:noWrap w:val="0"/>
            <w:vAlign w:val="center"/>
          </w:tcPr>
          <w:p w14:paraId="24F45F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5F3BAE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2006年11月30日</w:t>
            </w:r>
          </w:p>
        </w:tc>
        <w:tc>
          <w:tcPr>
            <w:tcW w:w="5073" w:type="dxa"/>
            <w:shd w:val="clear" w:color="auto" w:fill="auto"/>
            <w:noWrap w:val="0"/>
            <w:vAlign w:val="top"/>
          </w:tcPr>
          <w:p w14:paraId="1FB9672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《四川省安全生产条例》第十一条 乡（镇）人民政府、街道办事处应当配备必要的人员具体从事安全生产监督管理工作，并根据本条例分级管理的原则对本行政区域内的乡镇、街道企业和个体工商户的安全生产实施监督检查：（一）宣传、贯彻国家安全生产法律、法规和方针、政策；（二）执行和督促落实上级政府和有关部门作出的安全生产决定；（三）对行政区域内的公共设施安全隐患组织排查，提出整治意见，并协助落实；（四 对安全生产违法行为进行纠正；紧急情况下，可以责令生产经营单位暂停作业；（五）按本条例规定接受县级安全生产监督管理部门委托按简易程序实施行政处罚；（六）对重大安全生产违法行为和重大隐患及时向上级政府及有关部门报告；（七）协助上级政府和安全生产监督管理部门处置发生在本行政区域内的生产安全事故。</w:t>
            </w:r>
          </w:p>
        </w:tc>
        <w:tc>
          <w:tcPr>
            <w:tcW w:w="1002" w:type="dxa"/>
            <w:noWrap w:val="0"/>
            <w:vAlign w:val="center"/>
          </w:tcPr>
          <w:p w14:paraId="0F8097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DBA6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23B513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37</w:t>
            </w:r>
          </w:p>
        </w:tc>
        <w:tc>
          <w:tcPr>
            <w:tcW w:w="2618" w:type="dxa"/>
            <w:noWrap w:val="0"/>
            <w:vAlign w:val="center"/>
          </w:tcPr>
          <w:p w14:paraId="60360758">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对因自然灾害受损的居民住房恢复重建补助对象的审核</w:t>
            </w:r>
          </w:p>
        </w:tc>
        <w:tc>
          <w:tcPr>
            <w:tcW w:w="1991" w:type="dxa"/>
            <w:noWrap w:val="0"/>
            <w:vAlign w:val="center"/>
          </w:tcPr>
          <w:p w14:paraId="0A6CAE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《自然灾害救助条例》</w:t>
            </w:r>
          </w:p>
        </w:tc>
        <w:tc>
          <w:tcPr>
            <w:tcW w:w="1200" w:type="dxa"/>
            <w:noWrap w:val="0"/>
            <w:vAlign w:val="center"/>
          </w:tcPr>
          <w:p w14:paraId="635746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1DF10A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2019年3月2日</w:t>
            </w:r>
          </w:p>
        </w:tc>
        <w:tc>
          <w:tcPr>
            <w:tcW w:w="5073" w:type="dxa"/>
            <w:shd w:val="clear" w:color="auto" w:fill="auto"/>
            <w:noWrap w:val="0"/>
            <w:vAlign w:val="top"/>
          </w:tcPr>
          <w:p w14:paraId="23DEFB5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《自然灾害救助条例》第二十条 居民住房恢复重建补助对象由受灾人员本人申请或者由村民小组、居民小组提名。经村民委员会、居民委员会民主评议，符合救助条件的，在自然村、社区范围内公示；无异议或者经村民委员会、居民委员会民主评议异议不成立的，由村民委员会、居民委员会将评议意见和有关材料提交乡镇人民</w:t>
            </w:r>
          </w:p>
          <w:p w14:paraId="3FEDE26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政府、街道办事处审核，报县级人民政府民政等部门审批。</w:t>
            </w:r>
          </w:p>
        </w:tc>
        <w:tc>
          <w:tcPr>
            <w:tcW w:w="1002" w:type="dxa"/>
            <w:noWrap w:val="0"/>
            <w:vAlign w:val="center"/>
          </w:tcPr>
          <w:p w14:paraId="2AABAC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1090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255AB6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38</w:t>
            </w:r>
          </w:p>
        </w:tc>
        <w:tc>
          <w:tcPr>
            <w:tcW w:w="2618" w:type="dxa"/>
            <w:noWrap w:val="0"/>
            <w:vAlign w:val="center"/>
          </w:tcPr>
          <w:p w14:paraId="2FEBF08A">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对食品摊贩经营区域和时段的确定</w:t>
            </w:r>
          </w:p>
        </w:tc>
        <w:tc>
          <w:tcPr>
            <w:tcW w:w="1991" w:type="dxa"/>
            <w:noWrap w:val="0"/>
            <w:vAlign w:val="center"/>
          </w:tcPr>
          <w:p w14:paraId="2092CD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w:t>
            </w:r>
            <w:r>
              <w:rPr>
                <w:rFonts w:hint="eastAsia" w:ascii="宋体" w:hAnsi="宋体" w:eastAsia="宋体" w:cs="宋体"/>
                <w:i w:val="0"/>
                <w:iCs w:val="0"/>
                <w:color w:val="auto"/>
                <w:kern w:val="0"/>
                <w:sz w:val="21"/>
                <w:szCs w:val="21"/>
                <w:u w:val="none"/>
                <w:lang w:val="en-US" w:eastAsia="zh-CN" w:bidi="ar"/>
              </w:rPr>
              <w:t>四川省食品安全条例</w:t>
            </w:r>
            <w:r>
              <w:rPr>
                <w:rFonts w:ascii="宋体" w:hAnsi="宋体" w:eastAsia="宋体" w:cs="宋体"/>
                <w:i w:val="0"/>
                <w:iCs w:val="0"/>
                <w:color w:val="auto"/>
                <w:kern w:val="0"/>
                <w:sz w:val="21"/>
                <w:szCs w:val="21"/>
                <w:u w:val="none"/>
                <w:lang w:val="en-US" w:eastAsia="zh-CN" w:bidi="ar"/>
              </w:rPr>
              <w:t>》</w:t>
            </w:r>
          </w:p>
        </w:tc>
        <w:tc>
          <w:tcPr>
            <w:tcW w:w="1200" w:type="dxa"/>
            <w:noWrap w:val="0"/>
            <w:vAlign w:val="center"/>
          </w:tcPr>
          <w:p w14:paraId="2EB1FB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eastAsia="zh-CN"/>
              </w:rPr>
              <w:t>四</w:t>
            </w:r>
            <w:r>
              <w:rPr>
                <w:rFonts w:hint="eastAsia" w:ascii="宋体" w:hAnsi="宋体" w:eastAsia="宋体" w:cs="宋体"/>
                <w:i w:val="0"/>
                <w:iCs w:val="0"/>
                <w:caps w:val="0"/>
                <w:color w:val="auto"/>
                <w:spacing w:val="0"/>
                <w:sz w:val="21"/>
                <w:szCs w:val="21"/>
              </w:rPr>
              <w:t>川省人民代表大会常务委员会</w:t>
            </w:r>
          </w:p>
        </w:tc>
        <w:tc>
          <w:tcPr>
            <w:tcW w:w="1350" w:type="dxa"/>
            <w:noWrap w:val="0"/>
            <w:vAlign w:val="center"/>
          </w:tcPr>
          <w:p w14:paraId="0E8A27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2023年5月25日</w:t>
            </w:r>
          </w:p>
        </w:tc>
        <w:tc>
          <w:tcPr>
            <w:tcW w:w="5073" w:type="dxa"/>
            <w:shd w:val="clear" w:color="auto" w:fill="auto"/>
            <w:noWrap w:val="0"/>
            <w:vAlign w:val="top"/>
          </w:tcPr>
          <w:p w14:paraId="1DA44CC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w:t>
            </w:r>
            <w:r>
              <w:rPr>
                <w:rFonts w:hint="eastAsia" w:ascii="宋体" w:hAnsi="宋体" w:eastAsia="宋体" w:cs="宋体"/>
                <w:i w:val="0"/>
                <w:iCs w:val="0"/>
                <w:color w:val="auto"/>
                <w:kern w:val="0"/>
                <w:sz w:val="21"/>
                <w:szCs w:val="21"/>
                <w:u w:val="none"/>
                <w:lang w:val="en-US" w:eastAsia="zh-CN" w:bidi="ar"/>
              </w:rPr>
              <w:t>四川省食品安全条例</w:t>
            </w:r>
            <w:r>
              <w:rPr>
                <w:rFonts w:ascii="宋体" w:hAnsi="宋体" w:eastAsia="宋体" w:cs="宋体"/>
                <w:i w:val="0"/>
                <w:iCs w:val="0"/>
                <w:color w:val="auto"/>
                <w:kern w:val="0"/>
                <w:sz w:val="21"/>
                <w:szCs w:val="21"/>
                <w:u w:val="none"/>
                <w:lang w:val="en-US" w:eastAsia="zh-CN" w:bidi="ar"/>
              </w:rPr>
              <w:t>》第</w:t>
            </w:r>
            <w:r>
              <w:rPr>
                <w:rFonts w:hint="eastAsia" w:ascii="宋体" w:hAnsi="宋体" w:eastAsia="宋体" w:cs="宋体"/>
                <w:i w:val="0"/>
                <w:iCs w:val="0"/>
                <w:color w:val="auto"/>
                <w:kern w:val="0"/>
                <w:sz w:val="21"/>
                <w:szCs w:val="21"/>
                <w:u w:val="none"/>
                <w:lang w:val="en-US" w:eastAsia="zh-CN" w:bidi="ar"/>
              </w:rPr>
              <w:t xml:space="preserve">五十七条 </w:t>
            </w:r>
            <w:r>
              <w:rPr>
                <w:rFonts w:ascii="宋体" w:hAnsi="宋体" w:eastAsia="宋体" w:cs="宋体"/>
                <w:i w:val="0"/>
                <w:iCs w:val="0"/>
                <w:color w:val="auto"/>
                <w:kern w:val="0"/>
                <w:sz w:val="21"/>
                <w:szCs w:val="21"/>
                <w:u w:val="none"/>
                <w:lang w:val="en-US" w:eastAsia="zh-CN" w:bidi="ar"/>
              </w:rPr>
              <w:t>城</w:t>
            </w:r>
            <w:r>
              <w:rPr>
                <w:rFonts w:hint="default" w:ascii="宋体" w:hAnsi="宋体" w:eastAsia="宋体" w:cs="宋体"/>
                <w:i w:val="0"/>
                <w:iCs w:val="0"/>
                <w:color w:val="auto"/>
                <w:kern w:val="0"/>
                <w:sz w:val="21"/>
                <w:szCs w:val="21"/>
                <w:u w:val="none"/>
                <w:lang w:val="en-US" w:eastAsia="zh-CN" w:bidi="ar"/>
              </w:rPr>
              <w:t>市管理部门、乡镇人民政府、街道办事处应当按照相关规定，依法划定食品摊贩经营区域，明确经营时段和期限，并向社会公布。鼓励食品摊贩进入划定区域经营。在不影响安全、交通、市容环保等情况下，城市管理部门、乡镇人民政府、街道办事处可以临时确定区域和时段供食品摊贩</w:t>
            </w:r>
            <w:r>
              <w:rPr>
                <w:rFonts w:hint="eastAsia" w:ascii="宋体" w:hAnsi="宋体" w:eastAsia="宋体" w:cs="宋体"/>
                <w:i w:val="0"/>
                <w:iCs w:val="0"/>
                <w:color w:val="auto"/>
                <w:kern w:val="0"/>
                <w:sz w:val="21"/>
                <w:szCs w:val="21"/>
                <w:u w:val="none"/>
                <w:lang w:val="en-US" w:eastAsia="zh-CN" w:bidi="ar"/>
              </w:rPr>
              <w:t>。</w:t>
            </w:r>
          </w:p>
        </w:tc>
        <w:tc>
          <w:tcPr>
            <w:tcW w:w="1002" w:type="dxa"/>
            <w:noWrap w:val="0"/>
            <w:vAlign w:val="center"/>
          </w:tcPr>
          <w:p w14:paraId="473C76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78C7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5667F8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39</w:t>
            </w:r>
          </w:p>
        </w:tc>
        <w:tc>
          <w:tcPr>
            <w:tcW w:w="2618" w:type="dxa"/>
            <w:noWrap w:val="0"/>
            <w:vAlign w:val="center"/>
          </w:tcPr>
          <w:p w14:paraId="5F393402">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对乡村集体所有制企业设立的审核</w:t>
            </w:r>
          </w:p>
        </w:tc>
        <w:tc>
          <w:tcPr>
            <w:tcW w:w="1991" w:type="dxa"/>
            <w:noWrap w:val="0"/>
            <w:vAlign w:val="center"/>
          </w:tcPr>
          <w:p w14:paraId="4CCB37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《中华人民共和国乡村集体所有制企业条例》</w:t>
            </w:r>
          </w:p>
        </w:tc>
        <w:tc>
          <w:tcPr>
            <w:tcW w:w="1200" w:type="dxa"/>
            <w:noWrap w:val="0"/>
            <w:vAlign w:val="center"/>
          </w:tcPr>
          <w:p w14:paraId="245EA5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474FE1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2011年1月8日</w:t>
            </w:r>
          </w:p>
        </w:tc>
        <w:tc>
          <w:tcPr>
            <w:tcW w:w="5073" w:type="dxa"/>
            <w:shd w:val="clear" w:color="auto" w:fill="auto"/>
            <w:noWrap w:val="0"/>
            <w:vAlign w:val="top"/>
          </w:tcPr>
          <w:p w14:paraId="1F33FE2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《中华人民共和国乡村集体所有制企业条例》第十四条 设立企业必须依照法律、法规，经乡级人民政府审核后，报请县级人民政府乡镇企业主管部门以及法律、法规规定的有关部门批准，持有关批准文件向企业所在地工商行政管理机关办理登记，经核准领取《企业法人营业执照》或者《营业执照》后始得营业，并向税务机关办理税务登记。 企业应当在核准登记的经营范围内从事生产经营活动。</w:t>
            </w:r>
          </w:p>
        </w:tc>
        <w:tc>
          <w:tcPr>
            <w:tcW w:w="1002" w:type="dxa"/>
            <w:noWrap w:val="0"/>
            <w:vAlign w:val="center"/>
          </w:tcPr>
          <w:p w14:paraId="011E3C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26A9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0CB51F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40</w:t>
            </w:r>
          </w:p>
        </w:tc>
        <w:tc>
          <w:tcPr>
            <w:tcW w:w="2618" w:type="dxa"/>
            <w:noWrap w:val="0"/>
            <w:vAlign w:val="center"/>
          </w:tcPr>
          <w:p w14:paraId="1B5C04E9">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对设立健身气功站点的审核</w:t>
            </w:r>
          </w:p>
        </w:tc>
        <w:tc>
          <w:tcPr>
            <w:tcW w:w="1991" w:type="dxa"/>
            <w:noWrap w:val="0"/>
            <w:vAlign w:val="center"/>
          </w:tcPr>
          <w:p w14:paraId="0CFD93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《健身气功管理办法》</w:t>
            </w:r>
          </w:p>
        </w:tc>
        <w:tc>
          <w:tcPr>
            <w:tcW w:w="1200" w:type="dxa"/>
            <w:noWrap w:val="0"/>
            <w:vAlign w:val="center"/>
          </w:tcPr>
          <w:p w14:paraId="5865CF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lang w:eastAsia="zh-CN"/>
              </w:rPr>
              <w:t>国家体育总局</w:t>
            </w:r>
          </w:p>
        </w:tc>
        <w:tc>
          <w:tcPr>
            <w:tcW w:w="1350" w:type="dxa"/>
            <w:noWrap w:val="0"/>
            <w:vAlign w:val="center"/>
          </w:tcPr>
          <w:p w14:paraId="440390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2024</w:t>
            </w:r>
            <w:r>
              <w:rPr>
                <w:rFonts w:hint="eastAsia" w:ascii="宋体" w:hAnsi="宋体" w:cs="宋体"/>
                <w:i w:val="0"/>
                <w:iCs w:val="0"/>
                <w:caps w:val="0"/>
                <w:color w:val="auto"/>
                <w:spacing w:val="0"/>
                <w:sz w:val="21"/>
                <w:szCs w:val="21"/>
                <w:lang w:eastAsia="zh-CN"/>
              </w:rPr>
              <w:t>年</w:t>
            </w:r>
            <w:r>
              <w:rPr>
                <w:rFonts w:hint="eastAsia" w:ascii="宋体" w:hAnsi="宋体" w:eastAsia="宋体" w:cs="宋体"/>
                <w:i w:val="0"/>
                <w:iCs w:val="0"/>
                <w:caps w:val="0"/>
                <w:color w:val="auto"/>
                <w:spacing w:val="0"/>
                <w:sz w:val="21"/>
                <w:szCs w:val="21"/>
              </w:rPr>
              <w:t>08</w:t>
            </w:r>
            <w:r>
              <w:rPr>
                <w:rFonts w:hint="eastAsia" w:ascii="宋体" w:hAnsi="宋体" w:cs="宋体"/>
                <w:i w:val="0"/>
                <w:iCs w:val="0"/>
                <w:caps w:val="0"/>
                <w:color w:val="auto"/>
                <w:spacing w:val="0"/>
                <w:sz w:val="21"/>
                <w:szCs w:val="21"/>
                <w:lang w:eastAsia="zh-CN"/>
              </w:rPr>
              <w:t>月</w:t>
            </w:r>
            <w:r>
              <w:rPr>
                <w:rFonts w:hint="eastAsia" w:ascii="宋体" w:hAnsi="宋体" w:eastAsia="宋体" w:cs="宋体"/>
                <w:i w:val="0"/>
                <w:iCs w:val="0"/>
                <w:caps w:val="0"/>
                <w:color w:val="auto"/>
                <w:spacing w:val="0"/>
                <w:sz w:val="21"/>
                <w:szCs w:val="21"/>
              </w:rPr>
              <w:t>28</w:t>
            </w:r>
            <w:r>
              <w:rPr>
                <w:rFonts w:hint="eastAsia" w:ascii="宋体" w:hAnsi="宋体" w:cs="宋体"/>
                <w:i w:val="0"/>
                <w:iCs w:val="0"/>
                <w:caps w:val="0"/>
                <w:color w:val="auto"/>
                <w:spacing w:val="0"/>
                <w:sz w:val="21"/>
                <w:szCs w:val="21"/>
                <w:lang w:eastAsia="zh-CN"/>
              </w:rPr>
              <w:t>日</w:t>
            </w:r>
          </w:p>
        </w:tc>
        <w:tc>
          <w:tcPr>
            <w:tcW w:w="5073" w:type="dxa"/>
            <w:shd w:val="clear" w:color="auto" w:fill="auto"/>
            <w:noWrap w:val="0"/>
            <w:vAlign w:val="top"/>
          </w:tcPr>
          <w:p w14:paraId="071D384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《健身气功管理办法》第二十五条 设立健身气功站点，由县级人民政府体育行政部门审批。</w:t>
            </w:r>
          </w:p>
        </w:tc>
        <w:tc>
          <w:tcPr>
            <w:tcW w:w="1002" w:type="dxa"/>
            <w:noWrap w:val="0"/>
            <w:vAlign w:val="center"/>
          </w:tcPr>
          <w:p w14:paraId="51853E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4FE8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6C125F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41</w:t>
            </w:r>
          </w:p>
        </w:tc>
        <w:tc>
          <w:tcPr>
            <w:tcW w:w="2618" w:type="dxa"/>
            <w:noWrap w:val="0"/>
            <w:vAlign w:val="center"/>
          </w:tcPr>
          <w:p w14:paraId="7AE4E931">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对贫困户、贫困村的审查</w:t>
            </w:r>
          </w:p>
        </w:tc>
        <w:tc>
          <w:tcPr>
            <w:tcW w:w="1991" w:type="dxa"/>
            <w:noWrap w:val="0"/>
            <w:vAlign w:val="center"/>
          </w:tcPr>
          <w:p w14:paraId="5457CE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《四川省农村扶贫开发条例》</w:t>
            </w:r>
          </w:p>
        </w:tc>
        <w:tc>
          <w:tcPr>
            <w:tcW w:w="1200" w:type="dxa"/>
            <w:noWrap w:val="0"/>
            <w:vAlign w:val="center"/>
          </w:tcPr>
          <w:p w14:paraId="7C4B17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lang w:eastAsia="zh-CN"/>
              </w:rPr>
              <w:t>四川省人民代表大会常务委员会</w:t>
            </w:r>
          </w:p>
        </w:tc>
        <w:tc>
          <w:tcPr>
            <w:tcW w:w="1350" w:type="dxa"/>
            <w:noWrap w:val="0"/>
            <w:vAlign w:val="center"/>
          </w:tcPr>
          <w:p w14:paraId="46AC8D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2015年4月1日</w:t>
            </w:r>
          </w:p>
        </w:tc>
        <w:tc>
          <w:tcPr>
            <w:tcW w:w="5073" w:type="dxa"/>
            <w:shd w:val="clear" w:color="auto" w:fill="auto"/>
            <w:noWrap w:val="0"/>
            <w:vAlign w:val="top"/>
          </w:tcPr>
          <w:p w14:paraId="34F20AF2">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《四川省农村扶贫开发条例》第十条 贫困户由农户申请或者由村组推荐，经村民代表大会评议、村民委员会审查、乡（镇）人民政府审核公示，公示时间不少于十五天，并由县级人民政府审定。县级人民政府应当将审定结果在贫困户所在乡（镇）、村公告，公告时间不少于十五天，并逐级报省人民政府农村扶贫开发行政主管部门备案。贫困村由村民委员会申请，经乡（镇）人民政府审查、县级人民政府审核后，由县级人民政府逐级报省人民政府农村扶贫开发行政主管部门审定。审定结果由县级人民政府在贫困村所在乡（镇）公告，公告时间不少于十五天。</w:t>
            </w:r>
          </w:p>
        </w:tc>
        <w:tc>
          <w:tcPr>
            <w:tcW w:w="1002" w:type="dxa"/>
            <w:noWrap w:val="0"/>
            <w:vAlign w:val="center"/>
          </w:tcPr>
          <w:p w14:paraId="472117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5D59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28B65A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42</w:t>
            </w:r>
          </w:p>
        </w:tc>
        <w:tc>
          <w:tcPr>
            <w:tcW w:w="2618" w:type="dxa"/>
            <w:noWrap w:val="0"/>
            <w:vAlign w:val="center"/>
          </w:tcPr>
          <w:p w14:paraId="0C59B7CF">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对移民安置区的移民生产生活的帮助 及矛盾纠纷的调处</w:t>
            </w:r>
          </w:p>
        </w:tc>
        <w:tc>
          <w:tcPr>
            <w:tcW w:w="1991" w:type="dxa"/>
            <w:noWrap w:val="0"/>
            <w:vAlign w:val="center"/>
          </w:tcPr>
          <w:p w14:paraId="7081C3D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《大中型水利水电工程建设征地补偿和移民安置条例》</w:t>
            </w:r>
          </w:p>
        </w:tc>
        <w:tc>
          <w:tcPr>
            <w:tcW w:w="1200" w:type="dxa"/>
            <w:noWrap w:val="0"/>
            <w:vAlign w:val="center"/>
          </w:tcPr>
          <w:p w14:paraId="2F601FD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7A010F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2017年4月14日</w:t>
            </w:r>
          </w:p>
        </w:tc>
        <w:tc>
          <w:tcPr>
            <w:tcW w:w="5073" w:type="dxa"/>
            <w:shd w:val="clear" w:color="auto" w:fill="auto"/>
            <w:noWrap w:val="0"/>
            <w:vAlign w:val="top"/>
          </w:tcPr>
          <w:p w14:paraId="4C908EFF">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《大中型水利水电工程建设征地补偿和移民安置条例》第五十三条第三款 移民安置区乡（镇）人民政府、村（居）民委员会应当采取有效措施帮助移民适应当地的生产、生活，及时调处矛盾纠纷。</w:t>
            </w:r>
          </w:p>
        </w:tc>
        <w:tc>
          <w:tcPr>
            <w:tcW w:w="1002" w:type="dxa"/>
            <w:noWrap w:val="0"/>
            <w:vAlign w:val="center"/>
          </w:tcPr>
          <w:p w14:paraId="626E0D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70AA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185794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43</w:t>
            </w:r>
          </w:p>
        </w:tc>
        <w:tc>
          <w:tcPr>
            <w:tcW w:w="2618" w:type="dxa"/>
            <w:noWrap w:val="0"/>
            <w:vAlign w:val="center"/>
          </w:tcPr>
          <w:p w14:paraId="3F5F5C18">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对侵害妇女及其配偶、子女在农村集体经济组织中享有权益的调解</w:t>
            </w:r>
          </w:p>
        </w:tc>
        <w:tc>
          <w:tcPr>
            <w:tcW w:w="1991" w:type="dxa"/>
            <w:noWrap w:val="0"/>
            <w:vAlign w:val="center"/>
          </w:tcPr>
          <w:p w14:paraId="30CC70F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《中华人民共和国妇女权益保障法》</w:t>
            </w:r>
          </w:p>
        </w:tc>
        <w:tc>
          <w:tcPr>
            <w:tcW w:w="1200" w:type="dxa"/>
            <w:noWrap w:val="0"/>
            <w:vAlign w:val="center"/>
          </w:tcPr>
          <w:p w14:paraId="001DEA0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olor w:val="auto"/>
                <w:kern w:val="0"/>
                <w:sz w:val="21"/>
                <w:szCs w:val="21"/>
                <w:u w:val="none"/>
                <w:lang w:val="en-US" w:eastAsia="zh-CN" w:bidi="ar"/>
              </w:rPr>
              <w:t>中华人民共和国妇女权益保障法</w:t>
            </w:r>
          </w:p>
        </w:tc>
        <w:tc>
          <w:tcPr>
            <w:tcW w:w="1350" w:type="dxa"/>
            <w:noWrap w:val="0"/>
            <w:vAlign w:val="center"/>
          </w:tcPr>
          <w:p w14:paraId="493531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2022年10月30日</w:t>
            </w:r>
          </w:p>
        </w:tc>
        <w:tc>
          <w:tcPr>
            <w:tcW w:w="5073" w:type="dxa"/>
            <w:shd w:val="clear" w:color="auto" w:fill="auto"/>
            <w:noWrap w:val="0"/>
            <w:vAlign w:val="top"/>
          </w:tcPr>
          <w:p w14:paraId="24417A94">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《中华人民共和国妇女权益保障法》第五十六条 村</w:t>
            </w:r>
            <w:r>
              <w:rPr>
                <w:rFonts w:hint="default" w:ascii="宋体" w:hAnsi="宋体" w:eastAsia="宋体" w:cs="宋体"/>
                <w:i w:val="0"/>
                <w:iCs w:val="0"/>
                <w:color w:val="auto"/>
                <w:kern w:val="0"/>
                <w:sz w:val="21"/>
                <w:szCs w:val="21"/>
                <w:u w:val="none"/>
                <w:lang w:val="en-US" w:eastAsia="zh-CN" w:bidi="ar"/>
              </w:rPr>
              <w:t>民自治章程、村规民约，村民会议、村民代表会议的决定以及其他涉及村民利益事项的决定，不得以妇女未婚、结婚、离婚、丧偶、户无男性等为由，侵害妇女在农村集体经济组织中的各项权益。因结婚男方到女方住所落户的，男方和子女享有与所在地农村集体经济组织成员平等的权益。</w:t>
            </w:r>
          </w:p>
        </w:tc>
        <w:tc>
          <w:tcPr>
            <w:tcW w:w="1002" w:type="dxa"/>
            <w:noWrap w:val="0"/>
            <w:vAlign w:val="center"/>
          </w:tcPr>
          <w:p w14:paraId="0E76A7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6A88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1F551B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44</w:t>
            </w:r>
          </w:p>
        </w:tc>
        <w:tc>
          <w:tcPr>
            <w:tcW w:w="2618" w:type="dxa"/>
            <w:noWrap w:val="0"/>
            <w:vAlign w:val="center"/>
          </w:tcPr>
          <w:p w14:paraId="302F4EE0">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捕杀狂犬、野犬</w:t>
            </w:r>
          </w:p>
        </w:tc>
        <w:tc>
          <w:tcPr>
            <w:tcW w:w="1991" w:type="dxa"/>
            <w:noWrap w:val="0"/>
            <w:vAlign w:val="center"/>
          </w:tcPr>
          <w:p w14:paraId="03C833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《中华人民共和国传染病防治法实施办法》</w:t>
            </w:r>
          </w:p>
        </w:tc>
        <w:tc>
          <w:tcPr>
            <w:tcW w:w="1200" w:type="dxa"/>
            <w:noWrap w:val="0"/>
            <w:vAlign w:val="center"/>
          </w:tcPr>
          <w:p w14:paraId="5BB0C2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638BE5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1991年12月6日</w:t>
            </w:r>
          </w:p>
        </w:tc>
        <w:tc>
          <w:tcPr>
            <w:tcW w:w="5073" w:type="dxa"/>
            <w:shd w:val="clear" w:color="auto" w:fill="auto"/>
            <w:noWrap w:val="0"/>
            <w:vAlign w:val="top"/>
          </w:tcPr>
          <w:p w14:paraId="574CDFD1">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《中华人民共和国传染病防治法实施办法》第二十九条第三项 乡（镇）政府负责辖区内养犬的管理，捕杀狂犬、野犬。</w:t>
            </w:r>
          </w:p>
        </w:tc>
        <w:tc>
          <w:tcPr>
            <w:tcW w:w="1002" w:type="dxa"/>
            <w:noWrap w:val="0"/>
            <w:vAlign w:val="center"/>
          </w:tcPr>
          <w:p w14:paraId="5C3D88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740A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6C58F5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45</w:t>
            </w:r>
          </w:p>
        </w:tc>
        <w:tc>
          <w:tcPr>
            <w:tcW w:w="2618" w:type="dxa"/>
            <w:noWrap w:val="0"/>
            <w:vAlign w:val="center"/>
          </w:tcPr>
          <w:p w14:paraId="65FFE70C">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对社区戒毒人员、社区康复人员的监督</w:t>
            </w:r>
          </w:p>
        </w:tc>
        <w:tc>
          <w:tcPr>
            <w:tcW w:w="1991" w:type="dxa"/>
            <w:noWrap w:val="0"/>
            <w:vAlign w:val="center"/>
          </w:tcPr>
          <w:p w14:paraId="716A4F4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《中华人民共和国禁毒法》</w:t>
            </w:r>
          </w:p>
        </w:tc>
        <w:tc>
          <w:tcPr>
            <w:tcW w:w="1200" w:type="dxa"/>
            <w:noWrap w:val="0"/>
            <w:vAlign w:val="center"/>
          </w:tcPr>
          <w:p w14:paraId="7F5448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1820AD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2007年12月29日</w:t>
            </w:r>
          </w:p>
        </w:tc>
        <w:tc>
          <w:tcPr>
            <w:tcW w:w="5073" w:type="dxa"/>
            <w:shd w:val="clear" w:color="auto" w:fill="auto"/>
            <w:noWrap w:val="0"/>
            <w:vAlign w:val="top"/>
          </w:tcPr>
          <w:p w14:paraId="762C66D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《中华人民共和国禁毒法》第三十四条第一款 城市街道办事处、乡镇人民政府负责社区戒毒工作。城市街道办事处、乡镇人民政府可以指定有关基层组织，根据戒毒人员本人和家庭情况，与戒毒人员签订社区戒毒协议，落实有针对性的社区戒毒措施。公安机关和司法行政、卫生行政、民政等部门应当对社区戒毒工作提供指导和协助。</w:t>
            </w:r>
          </w:p>
          <w:p w14:paraId="2EA31626">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《中华人民共和国禁毒法》第三十九条 怀孕或者正在哺乳自己不满一周岁婴儿的妇女吸毒成瘾的，不适用强制隔离戒毒。不满十六周岁的未成年人吸毒成瘾的，可以不适用强制隔离戒毒。对依照前款规定不适用强制隔离戒毒的吸毒成瘾人员，依照本法规定进行社区戒毒，由负责社区戒毒工作的城市街道办事处、乡镇人民政府加强帮助、教育和监督，督促落实社区戒毒措施。</w:t>
            </w:r>
          </w:p>
        </w:tc>
        <w:tc>
          <w:tcPr>
            <w:tcW w:w="1002" w:type="dxa"/>
            <w:noWrap w:val="0"/>
            <w:vAlign w:val="center"/>
          </w:tcPr>
          <w:p w14:paraId="7FF72A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D6A1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35F121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46</w:t>
            </w:r>
          </w:p>
        </w:tc>
        <w:tc>
          <w:tcPr>
            <w:tcW w:w="2618" w:type="dxa"/>
            <w:noWrap w:val="0"/>
            <w:vAlign w:val="center"/>
          </w:tcPr>
          <w:p w14:paraId="11953F09">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对可能引发社会安全事件的矛盾纠纷的调解处理</w:t>
            </w:r>
          </w:p>
        </w:tc>
        <w:tc>
          <w:tcPr>
            <w:tcW w:w="1991" w:type="dxa"/>
            <w:noWrap w:val="0"/>
            <w:vAlign w:val="center"/>
          </w:tcPr>
          <w:p w14:paraId="6E62C9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《中华人民共和国突发事件应对法》</w:t>
            </w:r>
          </w:p>
        </w:tc>
        <w:tc>
          <w:tcPr>
            <w:tcW w:w="1200" w:type="dxa"/>
            <w:noWrap w:val="0"/>
            <w:vAlign w:val="center"/>
          </w:tcPr>
          <w:p w14:paraId="36A1DCB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0D6F07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2024年6月28日</w:t>
            </w:r>
          </w:p>
        </w:tc>
        <w:tc>
          <w:tcPr>
            <w:tcW w:w="5073" w:type="dxa"/>
            <w:shd w:val="clear" w:color="auto" w:fill="auto"/>
            <w:noWrap w:val="0"/>
            <w:vAlign w:val="top"/>
          </w:tcPr>
          <w:p w14:paraId="71D851C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《中华人民共和国突发事件应对法》第三十四条县级人民政府及其有关部门、乡级人民政府、街道办事处、居民委员会、村民委员会应当及时调解处理可能引发社会安全事件的矛盾纠纷。</w:t>
            </w:r>
          </w:p>
        </w:tc>
        <w:tc>
          <w:tcPr>
            <w:tcW w:w="1002" w:type="dxa"/>
            <w:noWrap w:val="0"/>
            <w:vAlign w:val="center"/>
          </w:tcPr>
          <w:p w14:paraId="4D7017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2EF2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16F0A7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47</w:t>
            </w:r>
          </w:p>
        </w:tc>
        <w:tc>
          <w:tcPr>
            <w:tcW w:w="2618" w:type="dxa"/>
            <w:noWrap w:val="0"/>
            <w:vAlign w:val="center"/>
          </w:tcPr>
          <w:p w14:paraId="2050A259">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对畜禽养殖环境污染行为的制止</w:t>
            </w:r>
          </w:p>
        </w:tc>
        <w:tc>
          <w:tcPr>
            <w:tcW w:w="1991" w:type="dxa"/>
            <w:noWrap w:val="0"/>
            <w:vAlign w:val="center"/>
          </w:tcPr>
          <w:p w14:paraId="41F3C5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0"/>
                <w:color w:val="auto"/>
                <w:lang w:val="en-US" w:eastAsia="zh-CN" w:bidi="ar"/>
              </w:rPr>
            </w:pPr>
            <w:r>
              <w:rPr>
                <w:rStyle w:val="14"/>
                <w:rFonts w:eastAsia="宋体"/>
                <w:color w:val="auto"/>
                <w:lang w:val="en-US" w:eastAsia="zh-CN" w:bidi="ar"/>
              </w:rPr>
              <w:t>1.</w:t>
            </w:r>
            <w:r>
              <w:rPr>
                <w:rStyle w:val="10"/>
                <w:color w:val="auto"/>
                <w:lang w:val="en-US" w:eastAsia="zh-CN" w:bidi="ar"/>
              </w:rPr>
              <w:t>《畜禽规模养殖污染防治条例》</w:t>
            </w:r>
          </w:p>
          <w:p w14:paraId="2230B6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Style w:val="14"/>
                <w:rFonts w:eastAsia="宋体"/>
                <w:color w:val="auto"/>
                <w:lang w:val="en-US" w:eastAsia="zh-CN" w:bidi="ar"/>
              </w:rPr>
              <w:t>2.</w:t>
            </w:r>
            <w:r>
              <w:rPr>
                <w:rStyle w:val="10"/>
                <w:color w:val="auto"/>
                <w:lang w:val="en-US" w:eastAsia="zh-CN" w:bidi="ar"/>
              </w:rPr>
              <w:t>《四川省环境保护条例》</w:t>
            </w:r>
          </w:p>
        </w:tc>
        <w:tc>
          <w:tcPr>
            <w:tcW w:w="1200" w:type="dxa"/>
            <w:noWrap w:val="0"/>
            <w:vAlign w:val="center"/>
          </w:tcPr>
          <w:p w14:paraId="61C50E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6CC9635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1771B7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2014年1月1日</w:t>
            </w:r>
          </w:p>
          <w:p w14:paraId="337323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2017年9月22日</w:t>
            </w:r>
          </w:p>
        </w:tc>
        <w:tc>
          <w:tcPr>
            <w:tcW w:w="5073" w:type="dxa"/>
            <w:shd w:val="clear" w:color="auto" w:fill="auto"/>
            <w:noWrap w:val="0"/>
            <w:vAlign w:val="top"/>
          </w:tcPr>
          <w:p w14:paraId="25EF4070">
            <w:pPr>
              <w:keepNext w:val="0"/>
              <w:keepLines w:val="0"/>
              <w:widowControl/>
              <w:suppressLineNumbers w:val="0"/>
              <w:jc w:val="left"/>
              <w:textAlignment w:val="top"/>
              <w:rPr>
                <w:rStyle w:val="10"/>
                <w:color w:val="auto"/>
                <w:lang w:val="en-US" w:eastAsia="zh-CN" w:bidi="ar"/>
              </w:rPr>
            </w:pPr>
            <w:r>
              <w:rPr>
                <w:rStyle w:val="14"/>
                <w:rFonts w:eastAsia="宋体"/>
                <w:color w:val="auto"/>
                <w:lang w:val="en-US" w:eastAsia="zh-CN" w:bidi="ar"/>
              </w:rPr>
              <w:t>1.</w:t>
            </w:r>
            <w:r>
              <w:rPr>
                <w:rStyle w:val="10"/>
                <w:color w:val="auto"/>
                <w:lang w:val="en-US" w:eastAsia="zh-CN" w:bidi="ar"/>
              </w:rPr>
              <w:t>《畜禽规模养殖污染防治条例》第二十三条第二款 乡镇人民政府、基层群众自治组织发现畜禽养殖环境污染行为的，应当及时制止和报告。</w:t>
            </w:r>
          </w:p>
          <w:p w14:paraId="551F8FC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Style w:val="14"/>
                <w:rFonts w:eastAsia="宋体"/>
                <w:color w:val="auto"/>
                <w:lang w:val="en-US" w:eastAsia="zh-CN" w:bidi="ar"/>
              </w:rPr>
              <w:t>2.</w:t>
            </w:r>
            <w:r>
              <w:rPr>
                <w:rStyle w:val="10"/>
                <w:color w:val="auto"/>
                <w:lang w:val="en-US" w:eastAsia="zh-CN" w:bidi="ar"/>
              </w:rPr>
              <w:t>《四川省环境保护条例》第七十条第三款 乡（镇）人民政府应当加强对非规模化畜禽养殖的监督管理，发现畜禽养殖环境污染行为的，应当及时制止和报告。</w:t>
            </w:r>
          </w:p>
        </w:tc>
        <w:tc>
          <w:tcPr>
            <w:tcW w:w="1002" w:type="dxa"/>
            <w:noWrap w:val="0"/>
            <w:vAlign w:val="center"/>
          </w:tcPr>
          <w:p w14:paraId="54205FE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EFA1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660BC8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48</w:t>
            </w:r>
          </w:p>
        </w:tc>
        <w:tc>
          <w:tcPr>
            <w:tcW w:w="2618" w:type="dxa"/>
            <w:noWrap w:val="0"/>
            <w:vAlign w:val="center"/>
          </w:tcPr>
          <w:p w14:paraId="581CA793">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对拖欠农民工工资矛盾的排查和调处</w:t>
            </w:r>
          </w:p>
        </w:tc>
        <w:tc>
          <w:tcPr>
            <w:tcW w:w="1991" w:type="dxa"/>
            <w:noWrap w:val="0"/>
            <w:vAlign w:val="center"/>
          </w:tcPr>
          <w:p w14:paraId="2C989F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保障农民工工资支付条例》</w:t>
            </w:r>
          </w:p>
        </w:tc>
        <w:tc>
          <w:tcPr>
            <w:tcW w:w="1200" w:type="dxa"/>
            <w:noWrap w:val="0"/>
            <w:vAlign w:val="center"/>
          </w:tcPr>
          <w:p w14:paraId="7CB8C7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5E88FF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73A5705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2019</w:t>
            </w:r>
            <w:r>
              <w:rPr>
                <w:rFonts w:hint="eastAsia" w:ascii="宋体" w:hAnsi="宋体" w:eastAsia="宋体" w:cs="宋体"/>
                <w:i w:val="0"/>
                <w:iCs w:val="0"/>
                <w:caps w:val="0"/>
                <w:color w:val="auto"/>
                <w:spacing w:val="0"/>
                <w:sz w:val="21"/>
                <w:szCs w:val="21"/>
                <w:lang w:eastAsia="zh-CN"/>
              </w:rPr>
              <w:t>年</w:t>
            </w:r>
            <w:r>
              <w:rPr>
                <w:rFonts w:hint="eastAsia" w:ascii="宋体" w:hAnsi="宋体" w:eastAsia="宋体" w:cs="宋体"/>
                <w:i w:val="0"/>
                <w:iCs w:val="0"/>
                <w:caps w:val="0"/>
                <w:color w:val="auto"/>
                <w:spacing w:val="0"/>
                <w:sz w:val="21"/>
                <w:szCs w:val="21"/>
              </w:rPr>
              <w:t>12</w:t>
            </w:r>
            <w:r>
              <w:rPr>
                <w:rFonts w:hint="eastAsia" w:ascii="宋体" w:hAnsi="宋体" w:eastAsia="宋体" w:cs="宋体"/>
                <w:i w:val="0"/>
                <w:iCs w:val="0"/>
                <w:caps w:val="0"/>
                <w:color w:val="auto"/>
                <w:spacing w:val="0"/>
                <w:sz w:val="21"/>
                <w:szCs w:val="21"/>
                <w:lang w:eastAsia="zh-CN"/>
              </w:rPr>
              <w:t>月</w:t>
            </w:r>
            <w:r>
              <w:rPr>
                <w:rFonts w:hint="eastAsia" w:ascii="宋体" w:hAnsi="宋体" w:eastAsia="宋体" w:cs="宋体"/>
                <w:i w:val="0"/>
                <w:iCs w:val="0"/>
                <w:caps w:val="0"/>
                <w:color w:val="auto"/>
                <w:spacing w:val="0"/>
                <w:sz w:val="21"/>
                <w:szCs w:val="21"/>
              </w:rPr>
              <w:t>30</w:t>
            </w:r>
            <w:r>
              <w:rPr>
                <w:rFonts w:hint="eastAsia" w:ascii="宋体" w:hAnsi="宋体" w:eastAsia="宋体" w:cs="宋体"/>
                <w:i w:val="0"/>
                <w:iCs w:val="0"/>
                <w:caps w:val="0"/>
                <w:color w:val="auto"/>
                <w:spacing w:val="0"/>
                <w:sz w:val="21"/>
                <w:szCs w:val="21"/>
                <w:lang w:eastAsia="zh-CN"/>
              </w:rPr>
              <w:t>日</w:t>
            </w:r>
          </w:p>
        </w:tc>
        <w:tc>
          <w:tcPr>
            <w:tcW w:w="5073" w:type="dxa"/>
            <w:shd w:val="clear" w:color="auto" w:fill="auto"/>
            <w:noWrap w:val="0"/>
            <w:vAlign w:val="top"/>
          </w:tcPr>
          <w:p w14:paraId="56831B3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《保障农民工工资支付条例》第四条第二款 乡镇人民政府、街道办事处应当加强对拖欠农民工工资矛盾的排查和调处工作，防范和化解矛盾，及时调解纠纷。</w:t>
            </w:r>
          </w:p>
        </w:tc>
        <w:tc>
          <w:tcPr>
            <w:tcW w:w="1002" w:type="dxa"/>
            <w:noWrap w:val="0"/>
            <w:vAlign w:val="center"/>
          </w:tcPr>
          <w:p w14:paraId="3C7485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4875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00B493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49</w:t>
            </w:r>
          </w:p>
        </w:tc>
        <w:tc>
          <w:tcPr>
            <w:tcW w:w="2618" w:type="dxa"/>
            <w:noWrap w:val="0"/>
            <w:vAlign w:val="center"/>
          </w:tcPr>
          <w:p w14:paraId="208D5D22">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Style w:val="10"/>
                <w:color w:val="auto"/>
                <w:lang w:val="en-US" w:eastAsia="zh-CN" w:bidi="ar"/>
              </w:rPr>
              <w:t>对不满</w:t>
            </w:r>
            <w:r>
              <w:rPr>
                <w:rStyle w:val="14"/>
                <w:rFonts w:eastAsia="宋体"/>
                <w:color w:val="auto"/>
                <w:lang w:val="en-US" w:eastAsia="zh-CN" w:bidi="ar"/>
              </w:rPr>
              <w:t>16</w:t>
            </w:r>
            <w:r>
              <w:rPr>
                <w:rStyle w:val="10"/>
                <w:color w:val="auto"/>
                <w:lang w:val="en-US" w:eastAsia="zh-CN" w:bidi="ar"/>
              </w:rPr>
              <w:t>周岁的未成年人的父母或者其他监护人允许其被用人单位非法招用的处理</w:t>
            </w:r>
          </w:p>
        </w:tc>
        <w:tc>
          <w:tcPr>
            <w:tcW w:w="1991" w:type="dxa"/>
            <w:noWrap w:val="0"/>
            <w:vAlign w:val="center"/>
          </w:tcPr>
          <w:p w14:paraId="1508BC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Style w:val="10"/>
                <w:color w:val="auto"/>
                <w:lang w:val="en-US" w:eastAsia="zh-CN" w:bidi="ar"/>
              </w:rPr>
              <w:t>《禁止使用童工规定》</w:t>
            </w:r>
          </w:p>
        </w:tc>
        <w:tc>
          <w:tcPr>
            <w:tcW w:w="1200" w:type="dxa"/>
            <w:noWrap w:val="0"/>
            <w:vAlign w:val="center"/>
          </w:tcPr>
          <w:p w14:paraId="21FC6F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718FD3A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2002年10月1日</w:t>
            </w:r>
          </w:p>
        </w:tc>
        <w:tc>
          <w:tcPr>
            <w:tcW w:w="5073" w:type="dxa"/>
            <w:shd w:val="clear" w:color="auto" w:fill="auto"/>
            <w:noWrap w:val="0"/>
            <w:vAlign w:val="top"/>
          </w:tcPr>
          <w:p w14:paraId="76983B3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Style w:val="10"/>
                <w:color w:val="auto"/>
                <w:lang w:val="en-US" w:eastAsia="zh-CN" w:bidi="ar"/>
              </w:rPr>
              <w:t xml:space="preserve">《禁止使用童工规定》第三条 不满 </w:t>
            </w:r>
            <w:r>
              <w:rPr>
                <w:rStyle w:val="14"/>
                <w:rFonts w:eastAsia="宋体"/>
                <w:color w:val="auto"/>
                <w:lang w:val="en-US" w:eastAsia="zh-CN" w:bidi="ar"/>
              </w:rPr>
              <w:t xml:space="preserve">16  </w:t>
            </w:r>
            <w:r>
              <w:rPr>
                <w:rStyle w:val="10"/>
                <w:color w:val="auto"/>
                <w:lang w:val="en-US" w:eastAsia="zh-CN" w:bidi="ar"/>
              </w:rPr>
              <w:t xml:space="preserve">周岁的未成年人的父母或者其他监护人应当保护其身心健康，保障其接受义务教育的权利，不得允许其被用人单位非法招用。不满 </w:t>
            </w:r>
            <w:r>
              <w:rPr>
                <w:rStyle w:val="14"/>
                <w:rFonts w:eastAsia="宋体"/>
                <w:color w:val="auto"/>
                <w:lang w:val="en-US" w:eastAsia="zh-CN" w:bidi="ar"/>
              </w:rPr>
              <w:t xml:space="preserve">16  </w:t>
            </w:r>
            <w:r>
              <w:rPr>
                <w:rStyle w:val="10"/>
                <w:color w:val="auto"/>
                <w:lang w:val="en-US" w:eastAsia="zh-CN" w:bidi="ar"/>
              </w:rPr>
              <w:t>周岁的未成年人的父母或者其他监护人允许其被用人单位非法招用的，所在地的乡（镇）人民政府、城市街道办事处以及村民委员会、居民委员会应当给予批评教育。</w:t>
            </w:r>
          </w:p>
        </w:tc>
        <w:tc>
          <w:tcPr>
            <w:tcW w:w="1002" w:type="dxa"/>
            <w:noWrap w:val="0"/>
            <w:vAlign w:val="center"/>
          </w:tcPr>
          <w:p w14:paraId="748DAC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8F0D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4C0D9E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50</w:t>
            </w:r>
          </w:p>
        </w:tc>
        <w:tc>
          <w:tcPr>
            <w:tcW w:w="2618" w:type="dxa"/>
            <w:noWrap w:val="0"/>
            <w:vAlign w:val="center"/>
          </w:tcPr>
          <w:p w14:paraId="28DE9643">
            <w:pPr>
              <w:keepNext w:val="0"/>
              <w:keepLines w:val="0"/>
              <w:widowControl/>
              <w:suppressLineNumbers w:val="0"/>
              <w:jc w:val="left"/>
              <w:textAlignment w:val="top"/>
              <w:rPr>
                <w:rStyle w:val="10"/>
                <w:color w:val="auto"/>
                <w:lang w:val="en-US" w:eastAsia="zh-CN" w:bidi="ar"/>
              </w:rPr>
            </w:pPr>
            <w:r>
              <w:rPr>
                <w:rStyle w:val="10"/>
                <w:color w:val="auto"/>
                <w:lang w:val="en-US" w:eastAsia="zh-CN" w:bidi="ar"/>
              </w:rPr>
              <w:t>对发现违法焚烧秸秆的制止</w:t>
            </w:r>
          </w:p>
        </w:tc>
        <w:tc>
          <w:tcPr>
            <w:tcW w:w="1991" w:type="dxa"/>
            <w:noWrap w:val="0"/>
            <w:vAlign w:val="center"/>
          </w:tcPr>
          <w:p w14:paraId="367DAE05">
            <w:pPr>
              <w:keepNext w:val="0"/>
              <w:keepLines w:val="0"/>
              <w:widowControl/>
              <w:suppressLineNumbers w:val="0"/>
              <w:jc w:val="left"/>
              <w:textAlignment w:val="top"/>
              <w:rPr>
                <w:rStyle w:val="10"/>
                <w:color w:val="auto"/>
                <w:lang w:val="en-US" w:eastAsia="zh-CN" w:bidi="ar"/>
              </w:rPr>
            </w:pPr>
            <w:r>
              <w:rPr>
                <w:rStyle w:val="10"/>
                <w:color w:val="auto"/>
                <w:lang w:val="en-US" w:eastAsia="zh-CN" w:bidi="ar"/>
              </w:rPr>
              <w:t>《四川省环境保护条例》</w:t>
            </w:r>
          </w:p>
        </w:tc>
        <w:tc>
          <w:tcPr>
            <w:tcW w:w="1200" w:type="dxa"/>
            <w:noWrap w:val="0"/>
            <w:vAlign w:val="center"/>
          </w:tcPr>
          <w:p w14:paraId="673B46AA">
            <w:pPr>
              <w:keepNext w:val="0"/>
              <w:keepLines w:val="0"/>
              <w:widowControl/>
              <w:suppressLineNumbers w:val="0"/>
              <w:jc w:val="left"/>
              <w:textAlignment w:val="top"/>
              <w:rPr>
                <w:rStyle w:val="10"/>
                <w:rFonts w:hint="eastAsia"/>
                <w:color w:val="auto"/>
                <w:lang w:val="en-US" w:eastAsia="zh-CN" w:bidi="ar"/>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1363BF56">
            <w:pPr>
              <w:keepNext w:val="0"/>
              <w:keepLines w:val="0"/>
              <w:widowControl/>
              <w:suppressLineNumbers w:val="0"/>
              <w:jc w:val="left"/>
              <w:textAlignment w:val="top"/>
              <w:rPr>
                <w:rStyle w:val="10"/>
                <w:rFonts w:hint="eastAsia"/>
                <w:color w:val="auto"/>
                <w:lang w:val="en-US" w:eastAsia="zh-CN" w:bidi="ar"/>
              </w:rPr>
            </w:pPr>
            <w:r>
              <w:rPr>
                <w:rStyle w:val="10"/>
                <w:rFonts w:hint="eastAsia"/>
                <w:color w:val="auto"/>
                <w:lang w:val="en-US" w:eastAsia="zh-CN" w:bidi="ar"/>
              </w:rPr>
              <w:t>2017年9月22日</w:t>
            </w:r>
          </w:p>
        </w:tc>
        <w:tc>
          <w:tcPr>
            <w:tcW w:w="5073" w:type="dxa"/>
            <w:shd w:val="clear" w:color="auto" w:fill="auto"/>
            <w:noWrap w:val="0"/>
            <w:vAlign w:val="top"/>
          </w:tcPr>
          <w:p w14:paraId="47922350">
            <w:pPr>
              <w:keepNext w:val="0"/>
              <w:keepLines w:val="0"/>
              <w:widowControl/>
              <w:suppressLineNumbers w:val="0"/>
              <w:jc w:val="left"/>
              <w:textAlignment w:val="top"/>
              <w:rPr>
                <w:rStyle w:val="10"/>
                <w:color w:val="auto"/>
                <w:lang w:val="en-US" w:eastAsia="zh-CN" w:bidi="ar"/>
              </w:rPr>
            </w:pPr>
            <w:r>
              <w:rPr>
                <w:rStyle w:val="10"/>
                <w:color w:val="auto"/>
                <w:lang w:val="en-US" w:eastAsia="zh-CN" w:bidi="ar"/>
              </w:rPr>
              <w:t>《四川省环境保护条例》第五十一条 乡（镇）人民政府和街道办事处应当在依法划定的秸秆禁烧区开展秸秆焚烧现场检查。发现违法焚烧秸秆的，应当及时制止，并报告县级以上环境保护主管部门及有关部门。</w:t>
            </w:r>
          </w:p>
        </w:tc>
        <w:tc>
          <w:tcPr>
            <w:tcW w:w="1002" w:type="dxa"/>
            <w:noWrap w:val="0"/>
            <w:vAlign w:val="center"/>
          </w:tcPr>
          <w:p w14:paraId="4239C90B">
            <w:pPr>
              <w:keepNext w:val="0"/>
              <w:keepLines w:val="0"/>
              <w:widowControl/>
              <w:suppressLineNumbers w:val="0"/>
              <w:jc w:val="left"/>
              <w:textAlignment w:val="top"/>
              <w:rPr>
                <w:rStyle w:val="10"/>
                <w:rFonts w:hint="eastAsia"/>
                <w:color w:val="auto"/>
                <w:lang w:val="en-US" w:eastAsia="zh-CN" w:bidi="ar"/>
              </w:rPr>
            </w:pPr>
          </w:p>
        </w:tc>
      </w:tr>
      <w:tr w14:paraId="5DBF4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4CF616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51</w:t>
            </w:r>
          </w:p>
        </w:tc>
        <w:tc>
          <w:tcPr>
            <w:tcW w:w="2618" w:type="dxa"/>
            <w:noWrap w:val="0"/>
            <w:vAlign w:val="center"/>
          </w:tcPr>
          <w:p w14:paraId="4512DE4D">
            <w:pPr>
              <w:keepNext w:val="0"/>
              <w:keepLines w:val="0"/>
              <w:widowControl/>
              <w:suppressLineNumbers w:val="0"/>
              <w:jc w:val="left"/>
              <w:textAlignment w:val="top"/>
              <w:rPr>
                <w:rStyle w:val="10"/>
                <w:color w:val="auto"/>
                <w:lang w:val="en-US" w:eastAsia="zh-CN" w:bidi="ar"/>
              </w:rPr>
            </w:pPr>
            <w:r>
              <w:rPr>
                <w:rStyle w:val="10"/>
                <w:color w:val="auto"/>
                <w:lang w:val="en-US" w:eastAsia="zh-CN" w:bidi="ar"/>
              </w:rPr>
              <w:t>对已登记应征公民的体格检查和相关审查</w:t>
            </w:r>
          </w:p>
        </w:tc>
        <w:tc>
          <w:tcPr>
            <w:tcW w:w="1991" w:type="dxa"/>
            <w:noWrap w:val="0"/>
            <w:vAlign w:val="center"/>
          </w:tcPr>
          <w:p w14:paraId="73361231">
            <w:pPr>
              <w:keepNext w:val="0"/>
              <w:keepLines w:val="0"/>
              <w:widowControl/>
              <w:suppressLineNumbers w:val="0"/>
              <w:jc w:val="left"/>
              <w:textAlignment w:val="top"/>
              <w:rPr>
                <w:rStyle w:val="10"/>
                <w:color w:val="auto"/>
                <w:lang w:val="en-US" w:eastAsia="zh-CN" w:bidi="ar"/>
              </w:rPr>
            </w:pPr>
            <w:r>
              <w:rPr>
                <w:rStyle w:val="10"/>
                <w:rFonts w:hint="eastAsia"/>
                <w:color w:val="auto"/>
                <w:lang w:val="en-US" w:eastAsia="zh-CN" w:bidi="ar"/>
              </w:rPr>
              <w:t>《征兵工作条例》</w:t>
            </w:r>
          </w:p>
        </w:tc>
        <w:tc>
          <w:tcPr>
            <w:tcW w:w="1200" w:type="dxa"/>
            <w:noWrap w:val="0"/>
            <w:vAlign w:val="center"/>
          </w:tcPr>
          <w:p w14:paraId="6CE8FB43">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3A810F6F">
            <w:pPr>
              <w:keepNext w:val="0"/>
              <w:keepLines w:val="0"/>
              <w:widowControl/>
              <w:suppressLineNumbers w:val="0"/>
              <w:jc w:val="left"/>
              <w:textAlignment w:val="top"/>
              <w:rPr>
                <w:rStyle w:val="10"/>
                <w:rFonts w:hint="eastAsia"/>
                <w:color w:val="auto"/>
                <w:lang w:val="en-US" w:eastAsia="zh-CN" w:bidi="ar"/>
              </w:rPr>
            </w:pPr>
          </w:p>
        </w:tc>
        <w:tc>
          <w:tcPr>
            <w:tcW w:w="1350" w:type="dxa"/>
            <w:noWrap w:val="0"/>
            <w:vAlign w:val="center"/>
          </w:tcPr>
          <w:p w14:paraId="1EDDC917">
            <w:pPr>
              <w:keepNext w:val="0"/>
              <w:keepLines w:val="0"/>
              <w:widowControl/>
              <w:suppressLineNumbers w:val="0"/>
              <w:jc w:val="left"/>
              <w:textAlignment w:val="top"/>
              <w:rPr>
                <w:rStyle w:val="10"/>
                <w:rFonts w:hint="eastAsia"/>
                <w:color w:val="auto"/>
                <w:lang w:val="en-US" w:eastAsia="zh-CN" w:bidi="ar"/>
              </w:rPr>
            </w:pPr>
            <w:r>
              <w:rPr>
                <w:rStyle w:val="10"/>
                <w:rFonts w:hint="eastAsia"/>
                <w:color w:val="auto"/>
                <w:lang w:val="en-US" w:eastAsia="zh-CN" w:bidi="ar"/>
              </w:rPr>
              <w:t>2023年4月1日</w:t>
            </w:r>
          </w:p>
        </w:tc>
        <w:tc>
          <w:tcPr>
            <w:tcW w:w="5073" w:type="dxa"/>
            <w:shd w:val="clear" w:color="auto" w:fill="auto"/>
            <w:noWrap w:val="0"/>
            <w:vAlign w:val="top"/>
          </w:tcPr>
          <w:p w14:paraId="5E3290C7">
            <w:pPr>
              <w:keepNext w:val="0"/>
              <w:keepLines w:val="0"/>
              <w:widowControl/>
              <w:suppressLineNumbers w:val="0"/>
              <w:jc w:val="left"/>
              <w:textAlignment w:val="top"/>
              <w:rPr>
                <w:rStyle w:val="10"/>
                <w:rFonts w:hint="default"/>
                <w:color w:val="auto"/>
                <w:lang w:val="en-US" w:eastAsia="zh-CN" w:bidi="ar"/>
              </w:rPr>
            </w:pPr>
            <w:r>
              <w:rPr>
                <w:rStyle w:val="10"/>
                <w:rFonts w:hint="eastAsia"/>
                <w:color w:val="auto"/>
                <w:lang w:val="en-US" w:eastAsia="zh-CN" w:bidi="ar"/>
              </w:rPr>
              <w:t>《征兵工作条例》第十七条 基</w:t>
            </w:r>
            <w:r>
              <w:rPr>
                <w:rStyle w:val="10"/>
                <w:rFonts w:hint="default"/>
                <w:color w:val="auto"/>
                <w:lang w:val="en-US" w:eastAsia="zh-CN" w:bidi="ar"/>
              </w:rPr>
              <w:t>层人民武装部和普通高等学校负责征兵工作的机构选定初步核查、初步体检合格且思想政治好、身体素质强、文化程度高的应征公民为当年预定征集的对象，并通知本人。县、自治县、不设区的市、市辖区人民政府兵役机关和基层人民武装部、普通高等学校负责征兵工作的机构应当加强对预定征集的应征公民的管理、教育和考察，了解掌握基本情况。预定征集的应征公民应当保持与所在地基层人民武装部或者普通高等学校负责征兵工作的机构的联系，并根据县、自治县、不设区的市、市辖区人民政府兵役机关的通知按时应征。预定征集的应征公民所在的机关、团体、企业事业组织应当督促其按时应征，并提供便利。</w:t>
            </w:r>
          </w:p>
          <w:p w14:paraId="6A32F2B7">
            <w:pPr>
              <w:keepNext w:val="0"/>
              <w:keepLines w:val="0"/>
              <w:widowControl/>
              <w:suppressLineNumbers w:val="0"/>
              <w:jc w:val="left"/>
              <w:textAlignment w:val="top"/>
              <w:rPr>
                <w:rStyle w:val="10"/>
                <w:rFonts w:hint="default"/>
                <w:color w:val="auto"/>
                <w:lang w:val="en-US" w:eastAsia="zh-CN" w:bidi="ar"/>
              </w:rPr>
            </w:pPr>
            <w:r>
              <w:rPr>
                <w:rStyle w:val="10"/>
                <w:rFonts w:hint="eastAsia"/>
                <w:color w:val="auto"/>
                <w:lang w:val="en-US" w:eastAsia="zh-CN" w:bidi="ar"/>
              </w:rPr>
              <w:t>《征兵工作条例》</w:t>
            </w:r>
            <w:r>
              <w:rPr>
                <w:rStyle w:val="10"/>
                <w:rFonts w:hint="default"/>
                <w:color w:val="auto"/>
                <w:lang w:val="en-US" w:eastAsia="zh-CN" w:bidi="ar"/>
              </w:rPr>
              <w:t>第二十条</w:t>
            </w:r>
            <w:r>
              <w:rPr>
                <w:rStyle w:val="10"/>
                <w:rFonts w:hint="eastAsia"/>
                <w:color w:val="auto"/>
                <w:lang w:val="en-US" w:eastAsia="zh-CN" w:bidi="ar"/>
              </w:rPr>
              <w:t xml:space="preserve"> </w:t>
            </w:r>
            <w:r>
              <w:rPr>
                <w:rStyle w:val="10"/>
                <w:rFonts w:hint="default"/>
                <w:color w:val="auto"/>
                <w:lang w:val="en-US" w:eastAsia="zh-CN" w:bidi="ar"/>
              </w:rPr>
              <w:t>基层人民武装部应当组织预定征集的应征公民按时到征兵体检站进行体格检查。送检人数由县、自治县、不设区的市、市辖区人民政府征兵办公室根据上级赋予的征兵任务和当地预定征集的应征公民体质情况确定。体格检查前，县级以上地方人民政府征兵办公室应当组织对体检对象的身份、户籍、文化程度、专业技能、病史等相关信息进行现场核对。</w:t>
            </w:r>
          </w:p>
          <w:p w14:paraId="33DFFA05">
            <w:pPr>
              <w:keepNext w:val="0"/>
              <w:keepLines w:val="0"/>
              <w:widowControl/>
              <w:suppressLineNumbers w:val="0"/>
              <w:jc w:val="left"/>
              <w:textAlignment w:val="top"/>
              <w:rPr>
                <w:rStyle w:val="10"/>
                <w:rFonts w:hint="default"/>
                <w:color w:val="auto"/>
                <w:lang w:val="en-US" w:eastAsia="zh-CN" w:bidi="ar"/>
              </w:rPr>
            </w:pPr>
            <w:r>
              <w:rPr>
                <w:rStyle w:val="10"/>
                <w:rFonts w:hint="eastAsia"/>
                <w:color w:val="auto"/>
                <w:lang w:val="en-US" w:eastAsia="zh-CN" w:bidi="ar"/>
              </w:rPr>
              <w:t>《征兵工作条例》</w:t>
            </w:r>
            <w:r>
              <w:rPr>
                <w:rStyle w:val="10"/>
                <w:rFonts w:hint="default"/>
                <w:color w:val="auto"/>
                <w:lang w:val="en-US" w:eastAsia="zh-CN" w:bidi="ar"/>
              </w:rPr>
              <w:t>第二十四条</w:t>
            </w:r>
            <w:r>
              <w:rPr>
                <w:rStyle w:val="10"/>
                <w:rFonts w:hint="eastAsia"/>
                <w:color w:val="auto"/>
                <w:lang w:val="en-US" w:eastAsia="zh-CN" w:bidi="ar"/>
              </w:rPr>
              <w:t xml:space="preserve"> </w:t>
            </w:r>
            <w:r>
              <w:rPr>
                <w:rStyle w:val="10"/>
                <w:rFonts w:hint="default"/>
                <w:color w:val="auto"/>
                <w:lang w:val="en-US" w:eastAsia="zh-CN" w:bidi="ar"/>
              </w:rPr>
              <w:t>征兵政治考核主要考核预定征集的应征公民政治态度、现实表现及其家庭成员等情况。</w:t>
            </w:r>
          </w:p>
          <w:p w14:paraId="6E6A744E">
            <w:pPr>
              <w:keepNext w:val="0"/>
              <w:keepLines w:val="0"/>
              <w:widowControl/>
              <w:suppressLineNumbers w:val="0"/>
              <w:jc w:val="left"/>
              <w:textAlignment w:val="top"/>
              <w:rPr>
                <w:rStyle w:val="10"/>
                <w:color w:val="auto"/>
                <w:lang w:val="en-US" w:eastAsia="zh-CN" w:bidi="ar"/>
              </w:rPr>
            </w:pPr>
            <w:r>
              <w:rPr>
                <w:rStyle w:val="10"/>
                <w:rFonts w:hint="eastAsia"/>
                <w:color w:val="auto"/>
                <w:lang w:val="en-US" w:eastAsia="zh-CN" w:bidi="ar"/>
              </w:rPr>
              <w:t>《征兵工作条例》</w:t>
            </w:r>
            <w:r>
              <w:rPr>
                <w:rStyle w:val="10"/>
                <w:rFonts w:hint="default"/>
                <w:color w:val="auto"/>
                <w:lang w:val="en-US" w:eastAsia="zh-CN" w:bidi="ar"/>
              </w:rPr>
              <w:t>第二十五条</w:t>
            </w:r>
            <w:r>
              <w:rPr>
                <w:rStyle w:val="10"/>
                <w:rFonts w:hint="eastAsia"/>
                <w:color w:val="auto"/>
                <w:lang w:val="en-US" w:eastAsia="zh-CN" w:bidi="ar"/>
              </w:rPr>
              <w:t xml:space="preserve"> </w:t>
            </w:r>
            <w:r>
              <w:rPr>
                <w:rStyle w:val="10"/>
                <w:rFonts w:hint="default"/>
                <w:color w:val="auto"/>
                <w:lang w:val="en-US" w:eastAsia="zh-CN" w:bidi="ar"/>
              </w:rPr>
              <w:t>对预定征集的应征公民进行政治考核，有关部门应当按照征兵政治考核的规定，核实核查情况，出具考核意见，形成考核结论。对政治条件有特别要求的，县、自治县、不设区的市、市辖区人民政府征兵办公室还应当组织走访调查；走访调查应当安排部队接兵人员参加并签署意见，未经部队接兵人员签署意见的，不得批准入伍。</w:t>
            </w:r>
          </w:p>
        </w:tc>
        <w:tc>
          <w:tcPr>
            <w:tcW w:w="1002" w:type="dxa"/>
            <w:noWrap w:val="0"/>
            <w:vAlign w:val="center"/>
          </w:tcPr>
          <w:p w14:paraId="7D62A5EA">
            <w:pPr>
              <w:keepNext w:val="0"/>
              <w:keepLines w:val="0"/>
              <w:widowControl/>
              <w:suppressLineNumbers w:val="0"/>
              <w:jc w:val="left"/>
              <w:textAlignment w:val="top"/>
              <w:rPr>
                <w:rStyle w:val="10"/>
                <w:rFonts w:hint="eastAsia"/>
                <w:color w:val="auto"/>
                <w:lang w:val="en-US" w:eastAsia="zh-CN" w:bidi="ar"/>
              </w:rPr>
            </w:pPr>
          </w:p>
        </w:tc>
      </w:tr>
      <w:tr w14:paraId="01B5B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54811E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52</w:t>
            </w:r>
          </w:p>
        </w:tc>
        <w:tc>
          <w:tcPr>
            <w:tcW w:w="2618" w:type="dxa"/>
            <w:noWrap w:val="0"/>
            <w:vAlign w:val="center"/>
          </w:tcPr>
          <w:p w14:paraId="3A2E540A">
            <w:pPr>
              <w:keepNext w:val="0"/>
              <w:keepLines w:val="0"/>
              <w:widowControl/>
              <w:suppressLineNumbers w:val="0"/>
              <w:jc w:val="left"/>
              <w:textAlignment w:val="top"/>
              <w:rPr>
                <w:rStyle w:val="10"/>
                <w:color w:val="auto"/>
                <w:lang w:val="en-US" w:eastAsia="zh-CN" w:bidi="ar"/>
              </w:rPr>
            </w:pPr>
            <w:r>
              <w:rPr>
                <w:rFonts w:ascii="宋体" w:hAnsi="宋体" w:eastAsia="宋体" w:cs="宋体"/>
                <w:i w:val="0"/>
                <w:iCs w:val="0"/>
                <w:color w:val="auto"/>
                <w:kern w:val="0"/>
                <w:sz w:val="21"/>
                <w:szCs w:val="21"/>
                <w:u w:val="none"/>
                <w:lang w:val="en-US" w:eastAsia="zh-CN" w:bidi="ar"/>
              </w:rPr>
              <w:t>对阻挠国家建设征收土地的处理</w:t>
            </w:r>
          </w:p>
        </w:tc>
        <w:tc>
          <w:tcPr>
            <w:tcW w:w="1991" w:type="dxa"/>
            <w:noWrap w:val="0"/>
            <w:vAlign w:val="center"/>
          </w:tcPr>
          <w:p w14:paraId="6B80549C">
            <w:pPr>
              <w:keepNext w:val="0"/>
              <w:keepLines w:val="0"/>
              <w:widowControl/>
              <w:suppressLineNumbers w:val="0"/>
              <w:jc w:val="left"/>
              <w:textAlignment w:val="top"/>
              <w:rPr>
                <w:rStyle w:val="10"/>
                <w:rFonts w:hint="eastAsia"/>
                <w:color w:val="auto"/>
                <w:lang w:val="en-US" w:eastAsia="zh-CN" w:bidi="ar"/>
              </w:rPr>
            </w:pPr>
            <w:r>
              <w:rPr>
                <w:rFonts w:hint="eastAsia" w:ascii="宋体" w:hAnsi="宋体" w:eastAsia="宋体" w:cs="宋体"/>
                <w:i w:val="0"/>
                <w:iCs w:val="0"/>
                <w:color w:val="auto"/>
                <w:kern w:val="0"/>
                <w:sz w:val="21"/>
                <w:szCs w:val="21"/>
                <w:u w:val="none"/>
                <w:lang w:val="en-US" w:eastAsia="zh-CN" w:bidi="ar"/>
              </w:rPr>
              <w:t>《中华人民共和国土地管理法实施条例》</w:t>
            </w:r>
          </w:p>
        </w:tc>
        <w:tc>
          <w:tcPr>
            <w:tcW w:w="1200" w:type="dxa"/>
            <w:noWrap w:val="0"/>
            <w:vAlign w:val="center"/>
          </w:tcPr>
          <w:p w14:paraId="536E405C">
            <w:pPr>
              <w:keepNext w:val="0"/>
              <w:keepLines w:val="0"/>
              <w:widowControl/>
              <w:suppressLineNumbers w:val="0"/>
              <w:jc w:val="left"/>
              <w:textAlignment w:val="top"/>
              <w:rPr>
                <w:rStyle w:val="10"/>
                <w:rFonts w:hint="eastAsia"/>
                <w:color w:val="auto"/>
                <w:lang w:val="en-US" w:eastAsia="zh-CN" w:bidi="ar"/>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0F98211C">
            <w:pPr>
              <w:keepNext w:val="0"/>
              <w:keepLines w:val="0"/>
              <w:widowControl/>
              <w:suppressLineNumbers w:val="0"/>
              <w:jc w:val="left"/>
              <w:textAlignment w:val="top"/>
              <w:rPr>
                <w:rStyle w:val="10"/>
                <w:rFonts w:hint="eastAsia"/>
                <w:color w:val="auto"/>
                <w:lang w:val="en-US" w:eastAsia="zh-CN" w:bidi="ar"/>
              </w:rPr>
            </w:pPr>
            <w:r>
              <w:rPr>
                <w:rStyle w:val="10"/>
                <w:rFonts w:hint="eastAsia"/>
                <w:color w:val="auto"/>
                <w:lang w:val="en-US" w:eastAsia="zh-CN" w:bidi="ar"/>
              </w:rPr>
              <w:t>2021年7月2日</w:t>
            </w:r>
          </w:p>
        </w:tc>
        <w:tc>
          <w:tcPr>
            <w:tcW w:w="5073" w:type="dxa"/>
            <w:shd w:val="clear" w:color="auto" w:fill="auto"/>
            <w:noWrap w:val="0"/>
            <w:vAlign w:val="top"/>
          </w:tcPr>
          <w:p w14:paraId="347EA962">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《中华人民共和国土地管理法实施条例》第六十二条 违</w:t>
            </w:r>
            <w:r>
              <w:rPr>
                <w:rFonts w:hint="default" w:ascii="宋体" w:hAnsi="宋体" w:eastAsia="宋体" w:cs="宋体"/>
                <w:i w:val="0"/>
                <w:iCs w:val="0"/>
                <w:color w:val="auto"/>
                <w:kern w:val="0"/>
                <w:sz w:val="21"/>
                <w:szCs w:val="21"/>
                <w:u w:val="none"/>
                <w:lang w:val="en-US" w:eastAsia="zh-CN" w:bidi="ar"/>
              </w:rPr>
              <w:t>反土地管理法律、法规规定，阻挠国家建设征收土地的，由县级以上地方人民政府责令交出土地；拒不交出土地的，依法申请人民法院强制执行。</w:t>
            </w:r>
          </w:p>
        </w:tc>
        <w:tc>
          <w:tcPr>
            <w:tcW w:w="1002" w:type="dxa"/>
            <w:noWrap w:val="0"/>
            <w:vAlign w:val="center"/>
          </w:tcPr>
          <w:p w14:paraId="164B0110">
            <w:pPr>
              <w:keepNext w:val="0"/>
              <w:keepLines w:val="0"/>
              <w:widowControl/>
              <w:suppressLineNumbers w:val="0"/>
              <w:jc w:val="left"/>
              <w:textAlignment w:val="top"/>
              <w:rPr>
                <w:rStyle w:val="10"/>
                <w:rFonts w:hint="eastAsia"/>
                <w:color w:val="auto"/>
                <w:lang w:val="en-US" w:eastAsia="zh-CN" w:bidi="ar"/>
              </w:rPr>
            </w:pPr>
          </w:p>
        </w:tc>
      </w:tr>
      <w:tr w14:paraId="060B1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40531A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53</w:t>
            </w:r>
          </w:p>
        </w:tc>
        <w:tc>
          <w:tcPr>
            <w:tcW w:w="2618" w:type="dxa"/>
            <w:noWrap w:val="0"/>
            <w:vAlign w:val="center"/>
          </w:tcPr>
          <w:p w14:paraId="6F43F0B5">
            <w:pPr>
              <w:keepNext w:val="0"/>
              <w:keepLines w:val="0"/>
              <w:widowControl/>
              <w:suppressLineNumbers w:val="0"/>
              <w:jc w:val="left"/>
              <w:textAlignment w:val="top"/>
              <w:rPr>
                <w:rStyle w:val="10"/>
                <w:color w:val="auto"/>
                <w:lang w:val="en-US" w:eastAsia="zh-CN" w:bidi="ar"/>
              </w:rPr>
            </w:pPr>
            <w:r>
              <w:rPr>
                <w:rFonts w:ascii="宋体" w:hAnsi="宋体" w:eastAsia="宋体" w:cs="宋体"/>
                <w:i w:val="0"/>
                <w:iCs w:val="0"/>
                <w:color w:val="auto"/>
                <w:kern w:val="0"/>
                <w:sz w:val="21"/>
                <w:szCs w:val="21"/>
                <w:u w:val="none"/>
                <w:lang w:val="en-US" w:eastAsia="zh-CN" w:bidi="ar"/>
              </w:rPr>
              <w:t>对被征地当事人依法补偿、安置后拒不搬迁的处理</w:t>
            </w:r>
          </w:p>
        </w:tc>
        <w:tc>
          <w:tcPr>
            <w:tcW w:w="1991" w:type="dxa"/>
            <w:noWrap w:val="0"/>
            <w:vAlign w:val="center"/>
          </w:tcPr>
          <w:p w14:paraId="2C78BA07">
            <w:pPr>
              <w:keepNext w:val="0"/>
              <w:keepLines w:val="0"/>
              <w:widowControl/>
              <w:suppressLineNumbers w:val="0"/>
              <w:jc w:val="left"/>
              <w:textAlignment w:val="top"/>
              <w:rPr>
                <w:rStyle w:val="10"/>
                <w:rFonts w:hint="eastAsia"/>
                <w:color w:val="auto"/>
                <w:lang w:val="en-US" w:eastAsia="zh-CN" w:bidi="ar"/>
              </w:rPr>
            </w:pPr>
            <w:r>
              <w:rPr>
                <w:rFonts w:hint="eastAsia" w:ascii="宋体" w:hAnsi="宋体" w:eastAsia="宋体" w:cs="宋体"/>
                <w:i w:val="0"/>
                <w:iCs w:val="0"/>
                <w:color w:val="auto"/>
                <w:kern w:val="0"/>
                <w:sz w:val="21"/>
                <w:szCs w:val="21"/>
                <w:u w:val="none"/>
                <w:lang w:val="en-US" w:eastAsia="zh-CN" w:bidi="ar"/>
              </w:rPr>
              <w:t>《四川省〈中华人民共和国土地管理法〉实施办法》</w:t>
            </w:r>
          </w:p>
        </w:tc>
        <w:tc>
          <w:tcPr>
            <w:tcW w:w="1200" w:type="dxa"/>
            <w:noWrap w:val="0"/>
            <w:vAlign w:val="center"/>
          </w:tcPr>
          <w:p w14:paraId="0628DF19">
            <w:pPr>
              <w:keepNext w:val="0"/>
              <w:keepLines w:val="0"/>
              <w:widowControl/>
              <w:suppressLineNumbers w:val="0"/>
              <w:jc w:val="left"/>
              <w:textAlignment w:val="top"/>
              <w:rPr>
                <w:rStyle w:val="10"/>
                <w:rFonts w:hint="eastAsia"/>
                <w:color w:val="auto"/>
                <w:lang w:val="en-US" w:eastAsia="zh-CN" w:bidi="ar"/>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4BC439FB">
            <w:pPr>
              <w:keepNext w:val="0"/>
              <w:keepLines w:val="0"/>
              <w:widowControl/>
              <w:suppressLineNumbers w:val="0"/>
              <w:jc w:val="left"/>
              <w:textAlignment w:val="top"/>
              <w:rPr>
                <w:rStyle w:val="10"/>
                <w:rFonts w:hint="eastAsia"/>
                <w:color w:val="auto"/>
                <w:lang w:val="en-US" w:eastAsia="zh-CN" w:bidi="ar"/>
              </w:rPr>
            </w:pPr>
            <w:r>
              <w:rPr>
                <w:rStyle w:val="10"/>
                <w:rFonts w:hint="eastAsia"/>
                <w:color w:val="auto"/>
                <w:lang w:val="en-US" w:eastAsia="zh-CN" w:bidi="ar"/>
              </w:rPr>
              <w:t>2022年12月2日</w:t>
            </w:r>
          </w:p>
        </w:tc>
        <w:tc>
          <w:tcPr>
            <w:tcW w:w="5073" w:type="dxa"/>
            <w:shd w:val="clear" w:color="auto" w:fill="auto"/>
            <w:noWrap w:val="0"/>
            <w:vAlign w:val="top"/>
          </w:tcPr>
          <w:p w14:paraId="6A628BCA">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《四川省〈中华人民共和国土地管理法〉实施办法》第四十七条 土</w:t>
            </w:r>
            <w:r>
              <w:rPr>
                <w:rFonts w:hint="default" w:ascii="宋体" w:hAnsi="宋体" w:eastAsia="宋体" w:cs="宋体"/>
                <w:i w:val="0"/>
                <w:iCs w:val="0"/>
                <w:color w:val="auto"/>
                <w:kern w:val="0"/>
                <w:sz w:val="21"/>
                <w:szCs w:val="21"/>
                <w:u w:val="none"/>
                <w:lang w:val="en-US" w:eastAsia="zh-CN" w:bidi="ar"/>
              </w:rPr>
              <w:t>地征收经依法批准，并实施补偿、安置后，已签订征地补偿安置协议的被征收土地所有权人、使用权人未按照协议约定履行腾退土地和房屋的义务，经催告后仍不履行的，市（州）、县（市、区）人民政府可以作出要求履行协议的书面决定。土地所有权人、使用权人在该书面决定规定的期限内不腾退土地和房屋，也不在法定期限内申请行政复议或者提起行政诉讼的，由作出要求履行协议书面决定的市（州）、县（市、区）人民政府依法申请人民法院强制执行。未达成征地补偿安置协议的被征收土地所有权人、使用权人在征地补偿安置决定规定的期限内不腾退土地和房屋，也不在法定期限内申请行政复议或者提起行政诉讼，经催告后仍未履行的，由市（州）、县（市、区）人民政府依法申请人民法院强制执行。</w:t>
            </w:r>
          </w:p>
        </w:tc>
        <w:tc>
          <w:tcPr>
            <w:tcW w:w="1002" w:type="dxa"/>
            <w:noWrap w:val="0"/>
            <w:vAlign w:val="center"/>
          </w:tcPr>
          <w:p w14:paraId="2504294A">
            <w:pPr>
              <w:keepNext w:val="0"/>
              <w:keepLines w:val="0"/>
              <w:widowControl/>
              <w:suppressLineNumbers w:val="0"/>
              <w:jc w:val="left"/>
              <w:textAlignment w:val="top"/>
              <w:rPr>
                <w:rStyle w:val="10"/>
                <w:rFonts w:hint="eastAsia"/>
                <w:color w:val="auto"/>
                <w:lang w:val="en-US" w:eastAsia="zh-CN" w:bidi="ar"/>
              </w:rPr>
            </w:pPr>
          </w:p>
        </w:tc>
      </w:tr>
      <w:tr w14:paraId="108A6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37F15A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54</w:t>
            </w:r>
          </w:p>
        </w:tc>
        <w:tc>
          <w:tcPr>
            <w:tcW w:w="2618" w:type="dxa"/>
            <w:noWrap w:val="0"/>
            <w:vAlign w:val="center"/>
          </w:tcPr>
          <w:p w14:paraId="11A9D483">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房屋租赁登记备案</w:t>
            </w:r>
          </w:p>
        </w:tc>
        <w:tc>
          <w:tcPr>
            <w:tcW w:w="1991" w:type="dxa"/>
            <w:noWrap w:val="0"/>
            <w:vAlign w:val="center"/>
          </w:tcPr>
          <w:p w14:paraId="6F1D8F9D">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《商品房屋租赁管理办法》</w:t>
            </w:r>
          </w:p>
        </w:tc>
        <w:tc>
          <w:tcPr>
            <w:tcW w:w="1200" w:type="dxa"/>
            <w:noWrap w:val="0"/>
            <w:vAlign w:val="center"/>
          </w:tcPr>
          <w:p w14:paraId="161A6061">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住房和城乡建设部</w:t>
            </w:r>
          </w:p>
        </w:tc>
        <w:tc>
          <w:tcPr>
            <w:tcW w:w="1350" w:type="dxa"/>
            <w:noWrap w:val="0"/>
            <w:vAlign w:val="center"/>
          </w:tcPr>
          <w:p w14:paraId="22B80CE7">
            <w:pPr>
              <w:keepNext w:val="0"/>
              <w:keepLines w:val="0"/>
              <w:widowControl/>
              <w:suppressLineNumbers w:val="0"/>
              <w:jc w:val="left"/>
              <w:textAlignment w:val="top"/>
              <w:rPr>
                <w:rStyle w:val="10"/>
                <w:rFonts w:hint="default"/>
                <w:color w:val="auto"/>
                <w:lang w:val="en-US" w:eastAsia="zh-CN" w:bidi="ar"/>
              </w:rPr>
            </w:pPr>
            <w:r>
              <w:rPr>
                <w:rStyle w:val="10"/>
                <w:rFonts w:hint="eastAsia"/>
                <w:color w:val="auto"/>
                <w:lang w:val="en-US" w:eastAsia="zh-CN" w:bidi="ar"/>
              </w:rPr>
              <w:t>2010年12月1日</w:t>
            </w:r>
          </w:p>
        </w:tc>
        <w:tc>
          <w:tcPr>
            <w:tcW w:w="5073" w:type="dxa"/>
            <w:shd w:val="clear" w:color="auto" w:fill="auto"/>
            <w:noWrap w:val="0"/>
            <w:vAlign w:val="top"/>
          </w:tcPr>
          <w:p w14:paraId="79A30CA5">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《商品房屋租赁管理办法》第十四条 房屋租赁合同订立后三十日内，房屋租赁当事人应当到租赁房屋所在地直辖市、市、县人民政府建设（房地产）主管部门办理房屋租赁登记备案。房屋租赁当事人可以书面委托他人办理租赁登记备案。</w:t>
            </w:r>
          </w:p>
        </w:tc>
        <w:tc>
          <w:tcPr>
            <w:tcW w:w="1002" w:type="dxa"/>
            <w:noWrap w:val="0"/>
            <w:vAlign w:val="center"/>
          </w:tcPr>
          <w:p w14:paraId="20B127F8">
            <w:pPr>
              <w:keepNext w:val="0"/>
              <w:keepLines w:val="0"/>
              <w:widowControl/>
              <w:suppressLineNumbers w:val="0"/>
              <w:jc w:val="left"/>
              <w:textAlignment w:val="top"/>
              <w:rPr>
                <w:rStyle w:val="10"/>
                <w:rFonts w:hint="eastAsia"/>
                <w:color w:val="auto"/>
                <w:lang w:val="en-US" w:eastAsia="zh-CN" w:bidi="ar"/>
              </w:rPr>
            </w:pPr>
          </w:p>
        </w:tc>
      </w:tr>
      <w:tr w14:paraId="34E18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47DD4F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55</w:t>
            </w:r>
          </w:p>
        </w:tc>
        <w:tc>
          <w:tcPr>
            <w:tcW w:w="2618" w:type="dxa"/>
            <w:noWrap w:val="0"/>
            <w:vAlign w:val="center"/>
          </w:tcPr>
          <w:p w14:paraId="263B2F01">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货运代理和货运配载经营备案</w:t>
            </w:r>
          </w:p>
        </w:tc>
        <w:tc>
          <w:tcPr>
            <w:tcW w:w="1991" w:type="dxa"/>
            <w:noWrap w:val="0"/>
            <w:vAlign w:val="center"/>
          </w:tcPr>
          <w:p w14:paraId="5BD1493C">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Style w:val="10"/>
                <w:color w:val="auto"/>
                <w:lang w:val="en-US" w:eastAsia="zh-CN" w:bidi="ar"/>
              </w:rPr>
              <w:t>《四川省道路货物运输管理办法》</w:t>
            </w:r>
          </w:p>
        </w:tc>
        <w:tc>
          <w:tcPr>
            <w:tcW w:w="1200" w:type="dxa"/>
            <w:noWrap w:val="0"/>
            <w:vAlign w:val="center"/>
          </w:tcPr>
          <w:p w14:paraId="4D53740F">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653A1B0A">
            <w:pPr>
              <w:keepNext w:val="0"/>
              <w:keepLines w:val="0"/>
              <w:widowControl/>
              <w:suppressLineNumbers w:val="0"/>
              <w:jc w:val="left"/>
              <w:textAlignment w:val="top"/>
              <w:rPr>
                <w:rStyle w:val="10"/>
                <w:rFonts w:hint="default"/>
                <w:color w:val="auto"/>
                <w:lang w:val="en-US" w:eastAsia="zh-CN" w:bidi="ar"/>
              </w:rPr>
            </w:pPr>
            <w:r>
              <w:rPr>
                <w:rStyle w:val="10"/>
                <w:rFonts w:hint="eastAsia"/>
                <w:color w:val="auto"/>
                <w:lang w:val="en-US" w:eastAsia="zh-CN" w:bidi="ar"/>
              </w:rPr>
              <w:t>2007年4月24日</w:t>
            </w:r>
          </w:p>
        </w:tc>
        <w:tc>
          <w:tcPr>
            <w:tcW w:w="5073" w:type="dxa"/>
            <w:shd w:val="clear" w:color="auto" w:fill="auto"/>
            <w:noWrap w:val="0"/>
            <w:vAlign w:val="top"/>
          </w:tcPr>
          <w:p w14:paraId="7E6245E0">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Style w:val="10"/>
                <w:color w:val="auto"/>
                <w:lang w:val="en-US" w:eastAsia="zh-CN" w:bidi="ar"/>
              </w:rPr>
              <w:t xml:space="preserve">《四川省道路货物运输管理办法》第九条 从事货运代理和货运配载经营的，应当自开业之日起 </w:t>
            </w:r>
            <w:r>
              <w:rPr>
                <w:rStyle w:val="14"/>
                <w:rFonts w:eastAsia="宋体"/>
                <w:color w:val="auto"/>
                <w:lang w:val="en-US" w:eastAsia="zh-CN" w:bidi="ar"/>
              </w:rPr>
              <w:t xml:space="preserve">15  </w:t>
            </w:r>
            <w:r>
              <w:rPr>
                <w:rStyle w:val="10"/>
                <w:color w:val="auto"/>
                <w:lang w:val="en-US" w:eastAsia="zh-CN" w:bidi="ar"/>
              </w:rPr>
              <w:t>日内向所在地县级道路运输管理机构备案，并提交以下备案材料：（一）货运代理、货运配载备案申请表；（二）组织机构代码证、工商营业执照和税务登记证明原件及复印件；（三）法定代表人身份证复印件；（四）房屋产权证明或房屋租赁协议；（五）业务操作规程、管理制度文本。</w:t>
            </w:r>
          </w:p>
        </w:tc>
        <w:tc>
          <w:tcPr>
            <w:tcW w:w="1002" w:type="dxa"/>
            <w:noWrap w:val="0"/>
            <w:vAlign w:val="center"/>
          </w:tcPr>
          <w:p w14:paraId="42BD29D2">
            <w:pPr>
              <w:keepNext w:val="0"/>
              <w:keepLines w:val="0"/>
              <w:widowControl/>
              <w:suppressLineNumbers w:val="0"/>
              <w:jc w:val="left"/>
              <w:textAlignment w:val="top"/>
              <w:rPr>
                <w:rStyle w:val="10"/>
                <w:rFonts w:hint="eastAsia"/>
                <w:color w:val="auto"/>
                <w:lang w:val="en-US" w:eastAsia="zh-CN" w:bidi="ar"/>
              </w:rPr>
            </w:pPr>
          </w:p>
        </w:tc>
      </w:tr>
      <w:tr w14:paraId="01467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02C82C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56</w:t>
            </w:r>
          </w:p>
        </w:tc>
        <w:tc>
          <w:tcPr>
            <w:tcW w:w="2618" w:type="dxa"/>
            <w:noWrap w:val="0"/>
            <w:vAlign w:val="center"/>
          </w:tcPr>
          <w:p w14:paraId="3BC99A3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销毁违规调运的植物、植物产品；责令托运人或经营者对调运的带有检疫对象的植物、植物产品进行除害处理、改变用途或销毁</w:t>
            </w:r>
          </w:p>
        </w:tc>
        <w:tc>
          <w:tcPr>
            <w:tcW w:w="1991" w:type="dxa"/>
            <w:noWrap w:val="0"/>
            <w:vAlign w:val="center"/>
          </w:tcPr>
          <w:p w14:paraId="275021B4">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《四川省植物检疫条例》</w:t>
            </w:r>
          </w:p>
        </w:tc>
        <w:tc>
          <w:tcPr>
            <w:tcW w:w="1200" w:type="dxa"/>
            <w:noWrap w:val="0"/>
            <w:vAlign w:val="center"/>
          </w:tcPr>
          <w:p w14:paraId="7F9E3AC8">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567C2621">
            <w:pPr>
              <w:keepNext w:val="0"/>
              <w:keepLines w:val="0"/>
              <w:widowControl/>
              <w:suppressLineNumbers w:val="0"/>
              <w:jc w:val="left"/>
              <w:textAlignment w:val="top"/>
              <w:rPr>
                <w:rStyle w:val="10"/>
                <w:rFonts w:hint="eastAsia"/>
                <w:color w:val="auto"/>
                <w:lang w:val="en-US" w:eastAsia="zh-CN" w:bidi="ar"/>
              </w:rPr>
            </w:pPr>
            <w:r>
              <w:rPr>
                <w:rStyle w:val="10"/>
                <w:rFonts w:hint="eastAsia"/>
                <w:color w:val="auto"/>
                <w:lang w:val="en-US" w:eastAsia="zh-CN" w:bidi="ar"/>
              </w:rPr>
              <w:t>2012年7月27日</w:t>
            </w:r>
          </w:p>
        </w:tc>
        <w:tc>
          <w:tcPr>
            <w:tcW w:w="5073" w:type="dxa"/>
            <w:shd w:val="clear" w:color="auto" w:fill="auto"/>
            <w:noWrap w:val="0"/>
            <w:vAlign w:val="top"/>
          </w:tcPr>
          <w:p w14:paraId="144B97F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《四川省植物检疫条例》第二十九条第二款 对调运的植物、植物产品，经检疫发现检疫对象的，植物检疫机构有权予以查封，并责令托运人或经营者进行除害处理，无法处理的，责令改变用途或销毁。</w:t>
            </w:r>
          </w:p>
          <w:p w14:paraId="611A5ECA">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《四川省植物检疫条例》第三十五条第二款 违反本条例规定调运应施检疫的植物、植物产品，植物检疫机构有权予以查封、没收、销毁或者责令改变用途。销毁所需费用由责任人承担。</w:t>
            </w:r>
          </w:p>
        </w:tc>
        <w:tc>
          <w:tcPr>
            <w:tcW w:w="1002" w:type="dxa"/>
            <w:noWrap w:val="0"/>
            <w:vAlign w:val="center"/>
          </w:tcPr>
          <w:p w14:paraId="26AD3AB3">
            <w:pPr>
              <w:keepNext w:val="0"/>
              <w:keepLines w:val="0"/>
              <w:widowControl/>
              <w:suppressLineNumbers w:val="0"/>
              <w:jc w:val="left"/>
              <w:textAlignment w:val="top"/>
              <w:rPr>
                <w:rStyle w:val="10"/>
                <w:rFonts w:hint="eastAsia"/>
                <w:color w:val="auto"/>
                <w:lang w:val="en-US" w:eastAsia="zh-CN" w:bidi="ar"/>
              </w:rPr>
            </w:pPr>
          </w:p>
        </w:tc>
      </w:tr>
      <w:tr w14:paraId="7EF35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1B9E70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57</w:t>
            </w:r>
          </w:p>
        </w:tc>
        <w:tc>
          <w:tcPr>
            <w:tcW w:w="2618" w:type="dxa"/>
            <w:noWrap w:val="0"/>
            <w:vAlign w:val="center"/>
          </w:tcPr>
          <w:p w14:paraId="0B08960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隔离、处理染疫或者疑似染疫的动物、动物产品及相关物品</w:t>
            </w:r>
          </w:p>
        </w:tc>
        <w:tc>
          <w:tcPr>
            <w:tcW w:w="1991" w:type="dxa"/>
            <w:noWrap w:val="0"/>
            <w:vAlign w:val="center"/>
          </w:tcPr>
          <w:p w14:paraId="5A1945E3">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《中华人民共和国动物防疫法》</w:t>
            </w:r>
          </w:p>
        </w:tc>
        <w:tc>
          <w:tcPr>
            <w:tcW w:w="1200" w:type="dxa"/>
            <w:noWrap w:val="0"/>
            <w:vAlign w:val="center"/>
          </w:tcPr>
          <w:p w14:paraId="7FEAE6E2">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59FBD2EF">
            <w:pPr>
              <w:keepNext w:val="0"/>
              <w:keepLines w:val="0"/>
              <w:widowControl/>
              <w:suppressLineNumbers w:val="0"/>
              <w:jc w:val="left"/>
              <w:textAlignment w:val="top"/>
              <w:rPr>
                <w:rStyle w:val="10"/>
                <w:rFonts w:hint="eastAsia"/>
                <w:color w:val="auto"/>
                <w:lang w:val="en-US" w:eastAsia="zh-CN" w:bidi="ar"/>
              </w:rPr>
            </w:pPr>
            <w:r>
              <w:rPr>
                <w:rStyle w:val="10"/>
                <w:rFonts w:hint="eastAsia"/>
                <w:color w:val="auto"/>
                <w:lang w:val="en-US" w:eastAsia="zh-CN" w:bidi="ar"/>
              </w:rPr>
              <w:br w:type="textWrapping"/>
            </w:r>
            <w:r>
              <w:rPr>
                <w:rStyle w:val="10"/>
                <w:rFonts w:hint="eastAsia"/>
                <w:color w:val="auto"/>
                <w:lang w:val="en-US" w:eastAsia="zh-CN" w:bidi="ar"/>
              </w:rPr>
              <w:t>2021年1月22日</w:t>
            </w:r>
          </w:p>
        </w:tc>
        <w:tc>
          <w:tcPr>
            <w:tcW w:w="5073" w:type="dxa"/>
            <w:shd w:val="clear" w:color="auto" w:fill="auto"/>
            <w:noWrap w:val="0"/>
            <w:vAlign w:val="top"/>
          </w:tcPr>
          <w:p w14:paraId="76B0F01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《中华人民共和国动物防疫法》第七十六条 县级以上地方人民政府农业农村主管部门执行监督检查任务，可以采取下列措施，有关单位和个人不得拒绝或者阻碍：</w:t>
            </w:r>
          </w:p>
          <w:p w14:paraId="4EAB62E5">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一）对动物、动物产品按照规定采样、留验、抽检；（二）对染疫或者疑似染疫的动物、动物产品及相关物品进行隔离、查封、扣押和处理；（三）对依法应当检疫而未经检疫的动物和动物产品，具备补检条件的实施补检，不具备补检条件的予以收缴销毁；（四）查验检疫证明、检疫标志和畜禽标识；（五）进入有关场所调查取证，查阅、复制与动物防疫有关的资料。</w:t>
            </w:r>
          </w:p>
        </w:tc>
        <w:tc>
          <w:tcPr>
            <w:tcW w:w="1002" w:type="dxa"/>
            <w:noWrap w:val="0"/>
            <w:vAlign w:val="center"/>
          </w:tcPr>
          <w:p w14:paraId="45DE441C">
            <w:pPr>
              <w:keepNext w:val="0"/>
              <w:keepLines w:val="0"/>
              <w:widowControl/>
              <w:suppressLineNumbers w:val="0"/>
              <w:jc w:val="left"/>
              <w:textAlignment w:val="top"/>
              <w:rPr>
                <w:rStyle w:val="10"/>
                <w:rFonts w:hint="eastAsia"/>
                <w:color w:val="auto"/>
                <w:lang w:val="en-US" w:eastAsia="zh-CN" w:bidi="ar"/>
              </w:rPr>
            </w:pPr>
          </w:p>
        </w:tc>
      </w:tr>
      <w:tr w14:paraId="4E359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33DB47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58</w:t>
            </w:r>
          </w:p>
        </w:tc>
        <w:tc>
          <w:tcPr>
            <w:tcW w:w="2618" w:type="dxa"/>
            <w:noWrap w:val="0"/>
            <w:vAlign w:val="center"/>
          </w:tcPr>
          <w:p w14:paraId="74DA373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畜禽养殖场、养殖小区备案</w:t>
            </w:r>
          </w:p>
        </w:tc>
        <w:tc>
          <w:tcPr>
            <w:tcW w:w="1991" w:type="dxa"/>
            <w:noWrap w:val="0"/>
            <w:vAlign w:val="center"/>
          </w:tcPr>
          <w:p w14:paraId="6CE79FA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《中华人民共和国畜牧法》</w:t>
            </w:r>
          </w:p>
        </w:tc>
        <w:tc>
          <w:tcPr>
            <w:tcW w:w="1200" w:type="dxa"/>
            <w:noWrap w:val="0"/>
            <w:vAlign w:val="center"/>
          </w:tcPr>
          <w:p w14:paraId="2D9C116B">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3F696B15">
            <w:pPr>
              <w:keepNext w:val="0"/>
              <w:keepLines w:val="0"/>
              <w:widowControl/>
              <w:suppressLineNumbers w:val="0"/>
              <w:jc w:val="left"/>
              <w:textAlignment w:val="top"/>
              <w:rPr>
                <w:rStyle w:val="10"/>
                <w:rFonts w:hint="eastAsia"/>
                <w:color w:val="auto"/>
                <w:lang w:val="en-US" w:eastAsia="zh-CN" w:bidi="ar"/>
              </w:rPr>
            </w:pPr>
            <w:r>
              <w:rPr>
                <w:rStyle w:val="10"/>
                <w:rFonts w:hint="eastAsia"/>
                <w:color w:val="auto"/>
                <w:lang w:val="en-US" w:eastAsia="zh-CN" w:bidi="ar"/>
              </w:rPr>
              <w:t>2022年10月30日</w:t>
            </w:r>
          </w:p>
        </w:tc>
        <w:tc>
          <w:tcPr>
            <w:tcW w:w="5073" w:type="dxa"/>
            <w:shd w:val="clear" w:color="auto" w:fill="auto"/>
            <w:noWrap w:val="0"/>
            <w:vAlign w:val="top"/>
          </w:tcPr>
          <w:p w14:paraId="124F911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《中华人民共和国畜牧法》第三十九条 畜</w:t>
            </w:r>
            <w:r>
              <w:rPr>
                <w:rFonts w:hint="default" w:ascii="宋体" w:hAnsi="宋体" w:eastAsia="宋体" w:cs="宋体"/>
                <w:i w:val="0"/>
                <w:iCs w:val="0"/>
                <w:color w:val="auto"/>
                <w:kern w:val="0"/>
                <w:sz w:val="21"/>
                <w:szCs w:val="21"/>
                <w:u w:val="none"/>
                <w:lang w:val="en-US" w:eastAsia="zh-CN" w:bidi="ar"/>
              </w:rPr>
              <w:t>禽养殖场应当具备下列条件：（一）有与其饲养规模相适应的生产场所和配套的生产设施；（二）有为其服务的畜牧兽医技术人员；（三）具备法律、行政法规和国务院农业农村主管部门规定的防疫条件；（四）有与畜禽粪污无害化处理和资源化利用相适应的设施设备；（五）法律、行政法规规定的其他条件。畜禽养殖场兴办者应当将畜禽养殖场的名称、养殖地址、畜禽品种和养殖规模，向养殖场所在地县级人民政府农业农村主管部门备案，取得畜禽标识代码。</w:t>
            </w:r>
          </w:p>
        </w:tc>
        <w:tc>
          <w:tcPr>
            <w:tcW w:w="1002" w:type="dxa"/>
            <w:noWrap w:val="0"/>
            <w:vAlign w:val="center"/>
          </w:tcPr>
          <w:p w14:paraId="29364ED9">
            <w:pPr>
              <w:keepNext w:val="0"/>
              <w:keepLines w:val="0"/>
              <w:widowControl/>
              <w:suppressLineNumbers w:val="0"/>
              <w:jc w:val="left"/>
              <w:textAlignment w:val="top"/>
              <w:rPr>
                <w:rStyle w:val="10"/>
                <w:rFonts w:hint="eastAsia"/>
                <w:color w:val="auto"/>
                <w:lang w:val="en-US" w:eastAsia="zh-CN" w:bidi="ar"/>
              </w:rPr>
            </w:pPr>
          </w:p>
        </w:tc>
      </w:tr>
      <w:tr w14:paraId="20A23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6F4802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59</w:t>
            </w:r>
          </w:p>
        </w:tc>
        <w:tc>
          <w:tcPr>
            <w:tcW w:w="2618" w:type="dxa"/>
            <w:noWrap w:val="0"/>
            <w:vAlign w:val="center"/>
          </w:tcPr>
          <w:p w14:paraId="05E53FA6">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动物收购贩运备案</w:t>
            </w:r>
          </w:p>
        </w:tc>
        <w:tc>
          <w:tcPr>
            <w:tcW w:w="1991" w:type="dxa"/>
            <w:noWrap w:val="0"/>
            <w:vAlign w:val="center"/>
          </w:tcPr>
          <w:p w14:paraId="7B87C80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Style w:val="10"/>
                <w:color w:val="auto"/>
                <w:lang w:val="en-US" w:eastAsia="zh-CN" w:bidi="ar"/>
              </w:rPr>
              <w:t>《四川省〈中华人民共和国动物防疫法〉实施办法》</w:t>
            </w:r>
          </w:p>
        </w:tc>
        <w:tc>
          <w:tcPr>
            <w:tcW w:w="1200" w:type="dxa"/>
            <w:noWrap w:val="0"/>
            <w:vAlign w:val="center"/>
          </w:tcPr>
          <w:p w14:paraId="79CF0291">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1A162EB9">
            <w:pPr>
              <w:keepNext w:val="0"/>
              <w:keepLines w:val="0"/>
              <w:widowControl/>
              <w:suppressLineNumbers w:val="0"/>
              <w:jc w:val="left"/>
              <w:textAlignment w:val="top"/>
              <w:rPr>
                <w:rStyle w:val="10"/>
                <w:rFonts w:hint="eastAsia"/>
                <w:color w:val="auto"/>
                <w:lang w:val="en-US" w:eastAsia="zh-CN" w:bidi="ar"/>
              </w:rPr>
            </w:pPr>
            <w:r>
              <w:rPr>
                <w:rStyle w:val="10"/>
                <w:rFonts w:hint="eastAsia"/>
                <w:color w:val="auto"/>
                <w:lang w:val="en-US" w:eastAsia="zh-CN" w:bidi="ar"/>
              </w:rPr>
              <w:t>2014年3月20日</w:t>
            </w:r>
          </w:p>
        </w:tc>
        <w:tc>
          <w:tcPr>
            <w:tcW w:w="5073" w:type="dxa"/>
            <w:shd w:val="clear" w:color="auto" w:fill="auto"/>
            <w:noWrap w:val="0"/>
            <w:vAlign w:val="top"/>
          </w:tcPr>
          <w:p w14:paraId="03681268">
            <w:pPr>
              <w:keepNext w:val="0"/>
              <w:keepLines w:val="0"/>
              <w:widowControl/>
              <w:suppressLineNumbers w:val="0"/>
              <w:jc w:val="left"/>
              <w:textAlignment w:val="top"/>
              <w:rPr>
                <w:rStyle w:val="14"/>
                <w:rFonts w:eastAsia="宋体"/>
                <w:color w:val="auto"/>
                <w:lang w:val="en-US" w:eastAsia="zh-CN" w:bidi="ar"/>
              </w:rPr>
            </w:pPr>
            <w:r>
              <w:rPr>
                <w:rStyle w:val="10"/>
                <w:color w:val="auto"/>
                <w:lang w:val="en-US" w:eastAsia="zh-CN" w:bidi="ar"/>
              </w:rPr>
              <w:t>《四川省〈中华人民共和国动物防疫法〉实施办法》第十三条 从事动物收购贩运的单位和个人应当在所在地县级动物卫生监督执法机构进行备案，并遵守以下规定</w:t>
            </w:r>
            <w:r>
              <w:rPr>
                <w:rStyle w:val="14"/>
                <w:rFonts w:eastAsia="宋体"/>
                <w:color w:val="auto"/>
                <w:lang w:val="en-US" w:eastAsia="zh-CN" w:bidi="ar"/>
              </w:rPr>
              <w:t>:</w:t>
            </w:r>
          </w:p>
          <w:p w14:paraId="3B57A66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Style w:val="10"/>
                <w:color w:val="auto"/>
                <w:lang w:val="en-US" w:eastAsia="zh-CN" w:bidi="ar"/>
              </w:rPr>
              <w:t>（一）收购贩运的动物附有检疫合格证明；（二）运输动物前、后对运输工具进行消毒；（三）建立收购贩运台账，真实记录动物品种、数量、来源、免疫、检疫合格证明编号、畜禽标识及运输、销售等信息。</w:t>
            </w:r>
          </w:p>
        </w:tc>
        <w:tc>
          <w:tcPr>
            <w:tcW w:w="1002" w:type="dxa"/>
            <w:noWrap w:val="0"/>
            <w:vAlign w:val="center"/>
          </w:tcPr>
          <w:p w14:paraId="127F4E79">
            <w:pPr>
              <w:keepNext w:val="0"/>
              <w:keepLines w:val="0"/>
              <w:widowControl/>
              <w:suppressLineNumbers w:val="0"/>
              <w:jc w:val="left"/>
              <w:textAlignment w:val="top"/>
              <w:rPr>
                <w:rStyle w:val="10"/>
                <w:rFonts w:hint="eastAsia"/>
                <w:color w:val="auto"/>
                <w:lang w:val="en-US" w:eastAsia="zh-CN" w:bidi="ar"/>
              </w:rPr>
            </w:pPr>
          </w:p>
        </w:tc>
      </w:tr>
      <w:tr w14:paraId="2E506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688" w:type="dxa"/>
            <w:noWrap w:val="0"/>
            <w:vAlign w:val="center"/>
          </w:tcPr>
          <w:p w14:paraId="5A60F4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60</w:t>
            </w:r>
          </w:p>
        </w:tc>
        <w:tc>
          <w:tcPr>
            <w:tcW w:w="2618" w:type="dxa"/>
            <w:noWrap w:val="0"/>
            <w:vAlign w:val="center"/>
          </w:tcPr>
          <w:p w14:paraId="018F625A">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对侵占、破坏公共体育设施的处理</w:t>
            </w:r>
          </w:p>
        </w:tc>
        <w:tc>
          <w:tcPr>
            <w:tcW w:w="1991" w:type="dxa"/>
            <w:noWrap w:val="0"/>
            <w:vAlign w:val="center"/>
          </w:tcPr>
          <w:p w14:paraId="19475CCB">
            <w:pPr>
              <w:keepNext w:val="0"/>
              <w:keepLines w:val="0"/>
              <w:widowControl/>
              <w:suppressLineNumbers w:val="0"/>
              <w:jc w:val="left"/>
              <w:textAlignment w:val="top"/>
              <w:rPr>
                <w:rStyle w:val="10"/>
                <w:rFonts w:hint="eastAsia"/>
                <w:color w:val="auto"/>
                <w:lang w:val="en-US" w:eastAsia="zh-CN" w:bidi="ar"/>
              </w:rPr>
            </w:pPr>
            <w:r>
              <w:rPr>
                <w:rStyle w:val="10"/>
                <w:rFonts w:hint="eastAsia"/>
                <w:color w:val="auto"/>
                <w:lang w:val="en-US" w:eastAsia="zh-CN" w:bidi="ar"/>
              </w:rPr>
              <w:t>1.《中华人民共和国体育法》</w:t>
            </w:r>
          </w:p>
          <w:p w14:paraId="1122011D">
            <w:pPr>
              <w:keepNext w:val="0"/>
              <w:keepLines w:val="0"/>
              <w:widowControl/>
              <w:suppressLineNumbers w:val="0"/>
              <w:jc w:val="left"/>
              <w:textAlignment w:val="top"/>
              <w:rPr>
                <w:rStyle w:val="10"/>
                <w:color w:val="auto"/>
                <w:lang w:val="en-US" w:eastAsia="zh-CN" w:bidi="ar"/>
              </w:rPr>
            </w:pPr>
            <w:r>
              <w:rPr>
                <w:rStyle w:val="10"/>
                <w:color w:val="auto"/>
                <w:lang w:val="en-US" w:eastAsia="zh-CN" w:bidi="ar"/>
              </w:rPr>
              <w:t>2.《四川省全民健身条例》</w:t>
            </w:r>
          </w:p>
        </w:tc>
        <w:tc>
          <w:tcPr>
            <w:tcW w:w="1200" w:type="dxa"/>
            <w:noWrap w:val="0"/>
            <w:vAlign w:val="center"/>
          </w:tcPr>
          <w:p w14:paraId="369153DE">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4C76B4B6">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p>
          <w:p w14:paraId="397B71D5">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600FDF8C">
            <w:pPr>
              <w:keepNext w:val="0"/>
              <w:keepLines w:val="0"/>
              <w:widowControl/>
              <w:suppressLineNumbers w:val="0"/>
              <w:jc w:val="left"/>
              <w:textAlignment w:val="top"/>
              <w:rPr>
                <w:rStyle w:val="10"/>
                <w:rFonts w:hint="eastAsia"/>
                <w:color w:val="auto"/>
                <w:lang w:val="en-US" w:eastAsia="zh-CN" w:bidi="ar"/>
              </w:rPr>
            </w:pPr>
            <w:r>
              <w:rPr>
                <w:rStyle w:val="10"/>
                <w:rFonts w:hint="eastAsia"/>
                <w:color w:val="auto"/>
                <w:lang w:val="en-US" w:eastAsia="zh-CN" w:bidi="ar"/>
              </w:rPr>
              <w:t>2022年6月24日</w:t>
            </w:r>
          </w:p>
          <w:p w14:paraId="763D2567">
            <w:pPr>
              <w:keepNext w:val="0"/>
              <w:keepLines w:val="0"/>
              <w:widowControl/>
              <w:suppressLineNumbers w:val="0"/>
              <w:jc w:val="left"/>
              <w:textAlignment w:val="top"/>
              <w:rPr>
                <w:rStyle w:val="10"/>
                <w:rFonts w:hint="eastAsia"/>
                <w:color w:val="auto"/>
                <w:lang w:val="en-US" w:eastAsia="zh-CN" w:bidi="ar"/>
              </w:rPr>
            </w:pPr>
            <w:r>
              <w:rPr>
                <w:rStyle w:val="10"/>
                <w:rFonts w:hint="eastAsia"/>
                <w:color w:val="auto"/>
                <w:lang w:val="en-US" w:eastAsia="zh-CN" w:bidi="ar"/>
              </w:rPr>
              <w:t>2010年5月28日</w:t>
            </w:r>
          </w:p>
          <w:p w14:paraId="5DCCAFEF">
            <w:pPr>
              <w:keepNext w:val="0"/>
              <w:keepLines w:val="0"/>
              <w:widowControl/>
              <w:suppressLineNumbers w:val="0"/>
              <w:jc w:val="left"/>
              <w:textAlignment w:val="top"/>
              <w:rPr>
                <w:rStyle w:val="10"/>
                <w:rFonts w:hint="eastAsia"/>
                <w:color w:val="auto"/>
                <w:lang w:val="en-US" w:eastAsia="zh-CN" w:bidi="ar"/>
              </w:rPr>
            </w:pPr>
          </w:p>
        </w:tc>
        <w:tc>
          <w:tcPr>
            <w:tcW w:w="5073" w:type="dxa"/>
            <w:shd w:val="clear" w:color="auto" w:fill="auto"/>
            <w:noWrap w:val="0"/>
            <w:vAlign w:val="top"/>
          </w:tcPr>
          <w:p w14:paraId="509BD852">
            <w:pPr>
              <w:keepNext w:val="0"/>
              <w:keepLines w:val="0"/>
              <w:widowControl/>
              <w:suppressLineNumbers w:val="0"/>
              <w:jc w:val="left"/>
              <w:textAlignment w:val="top"/>
              <w:rPr>
                <w:rStyle w:val="10"/>
                <w:rFonts w:hint="default"/>
                <w:color w:val="auto"/>
                <w:lang w:val="en-US" w:eastAsia="zh-CN" w:bidi="ar"/>
              </w:rPr>
            </w:pPr>
            <w:r>
              <w:rPr>
                <w:rStyle w:val="10"/>
                <w:rFonts w:hint="eastAsia"/>
                <w:color w:val="auto"/>
                <w:lang w:val="en-US" w:eastAsia="zh-CN" w:bidi="ar"/>
              </w:rPr>
              <w:t>1.《中华人民共和国体育法》第一百一十四条 违</w:t>
            </w:r>
            <w:r>
              <w:rPr>
                <w:rStyle w:val="10"/>
                <w:rFonts w:hint="default"/>
                <w:color w:val="auto"/>
                <w:lang w:val="en-US" w:eastAsia="zh-CN" w:bidi="ar"/>
              </w:rPr>
              <w:t>反本法规定，侵占、破坏公共体育场地设施的，由县级以上地方人民政府体育行政部门会同有关部门予以制止，责令改正，并可处实际损失五倍以下的罚款。</w:t>
            </w:r>
          </w:p>
          <w:p w14:paraId="1CA303C8">
            <w:pPr>
              <w:keepNext w:val="0"/>
              <w:keepLines w:val="0"/>
              <w:widowControl/>
              <w:suppressLineNumbers w:val="0"/>
              <w:jc w:val="left"/>
              <w:textAlignment w:val="top"/>
              <w:rPr>
                <w:rStyle w:val="10"/>
                <w:rFonts w:hint="default"/>
                <w:color w:val="auto"/>
                <w:lang w:val="en-US" w:eastAsia="zh-CN" w:bidi="ar"/>
              </w:rPr>
            </w:pPr>
            <w:r>
              <w:rPr>
                <w:rStyle w:val="10"/>
                <w:rFonts w:hint="eastAsia"/>
                <w:color w:val="auto"/>
                <w:lang w:val="en-US" w:eastAsia="zh-CN" w:bidi="ar"/>
              </w:rPr>
              <w:t>《中华人民共和国体育法》</w:t>
            </w:r>
            <w:r>
              <w:rPr>
                <w:rStyle w:val="10"/>
                <w:rFonts w:hint="default"/>
                <w:color w:val="auto"/>
                <w:lang w:val="en-US" w:eastAsia="zh-CN" w:bidi="ar"/>
              </w:rPr>
              <w:t>第</w:t>
            </w:r>
            <w:r>
              <w:rPr>
                <w:rStyle w:val="10"/>
                <w:rFonts w:hint="eastAsia"/>
                <w:color w:val="auto"/>
                <w:lang w:val="en-US" w:eastAsia="zh-CN" w:bidi="ar"/>
              </w:rPr>
              <w:t>一百一十九条</w:t>
            </w:r>
            <w:r>
              <w:rPr>
                <w:rStyle w:val="10"/>
                <w:rFonts w:hint="default"/>
                <w:color w:val="auto"/>
                <w:lang w:val="en-US" w:eastAsia="zh-CN" w:bidi="ar"/>
              </w:rPr>
              <w:t>违反本法规定，造成财产损失或者其他损害的，依法承担民事责任；构成违反治安管理行为的，由公安机关依法给予治安管理处罚；构成犯罪的，依法追究刑事责任。</w:t>
            </w:r>
          </w:p>
          <w:p w14:paraId="6209EAAF">
            <w:pPr>
              <w:keepNext w:val="0"/>
              <w:keepLines w:val="0"/>
              <w:widowControl/>
              <w:suppressLineNumbers w:val="0"/>
              <w:jc w:val="left"/>
              <w:textAlignment w:val="top"/>
              <w:rPr>
                <w:rStyle w:val="10"/>
                <w:color w:val="auto"/>
                <w:lang w:val="en-US" w:eastAsia="zh-CN" w:bidi="ar"/>
              </w:rPr>
            </w:pPr>
            <w:r>
              <w:rPr>
                <w:rStyle w:val="10"/>
                <w:color w:val="auto"/>
                <w:lang w:val="en-US" w:eastAsia="zh-CN" w:bidi="ar"/>
              </w:rPr>
              <w:t>2.《四川省全民健身条例》第四十一条 违反本条例第三十条规定，侵占、损坏公共体育设施，擅自拆除公共体育设施或者改变其功能、用途的，由县级以上人民政府体育行政部门责令限期改正，恢复原状；造成设施损坏的，应当赔偿损失；违反治安管理规定的，由公安机关依法处理；构成犯罪的，依法追究刑事责任。</w:t>
            </w:r>
          </w:p>
        </w:tc>
        <w:tc>
          <w:tcPr>
            <w:tcW w:w="1002" w:type="dxa"/>
            <w:noWrap w:val="0"/>
            <w:vAlign w:val="center"/>
          </w:tcPr>
          <w:p w14:paraId="7362C32C">
            <w:pPr>
              <w:keepNext w:val="0"/>
              <w:keepLines w:val="0"/>
              <w:widowControl/>
              <w:suppressLineNumbers w:val="0"/>
              <w:jc w:val="left"/>
              <w:textAlignment w:val="top"/>
              <w:rPr>
                <w:rStyle w:val="10"/>
                <w:rFonts w:hint="eastAsia"/>
                <w:color w:val="auto"/>
                <w:lang w:val="en-US" w:eastAsia="zh-CN" w:bidi="ar"/>
              </w:rPr>
            </w:pPr>
          </w:p>
        </w:tc>
      </w:tr>
      <w:tr w14:paraId="5D1E1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8" w:type="dxa"/>
            <w:noWrap w:val="0"/>
            <w:vAlign w:val="center"/>
          </w:tcPr>
          <w:p w14:paraId="654F02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61</w:t>
            </w:r>
          </w:p>
        </w:tc>
        <w:tc>
          <w:tcPr>
            <w:tcW w:w="2618" w:type="dxa"/>
            <w:noWrap w:val="0"/>
            <w:vAlign w:val="center"/>
          </w:tcPr>
          <w:p w14:paraId="065047C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下达森林火灾隐患整改通知书</w:t>
            </w:r>
          </w:p>
        </w:tc>
        <w:tc>
          <w:tcPr>
            <w:tcW w:w="1991" w:type="dxa"/>
            <w:noWrap w:val="0"/>
            <w:vAlign w:val="center"/>
          </w:tcPr>
          <w:p w14:paraId="5C460DD6">
            <w:pPr>
              <w:keepNext w:val="0"/>
              <w:keepLines w:val="0"/>
              <w:widowControl/>
              <w:suppressLineNumbers w:val="0"/>
              <w:jc w:val="left"/>
              <w:textAlignment w:val="top"/>
              <w:rPr>
                <w:rStyle w:val="10"/>
                <w:rFonts w:hint="default"/>
                <w:color w:val="auto"/>
                <w:lang w:val="en-US" w:eastAsia="zh-CN" w:bidi="ar"/>
              </w:rPr>
            </w:pPr>
            <w:r>
              <w:rPr>
                <w:rFonts w:ascii="宋体" w:hAnsi="宋体" w:eastAsia="宋体" w:cs="宋体"/>
                <w:i w:val="0"/>
                <w:iCs w:val="0"/>
                <w:color w:val="auto"/>
                <w:kern w:val="0"/>
                <w:sz w:val="21"/>
                <w:szCs w:val="21"/>
                <w:u w:val="none"/>
                <w:lang w:val="en-US" w:eastAsia="zh-CN" w:bidi="ar"/>
              </w:rPr>
              <w:t>《森林防火条例》</w:t>
            </w:r>
          </w:p>
        </w:tc>
        <w:tc>
          <w:tcPr>
            <w:tcW w:w="1200" w:type="dxa"/>
            <w:noWrap w:val="0"/>
            <w:vAlign w:val="center"/>
          </w:tcPr>
          <w:p w14:paraId="60788EA5">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01E33364">
            <w:pPr>
              <w:keepNext w:val="0"/>
              <w:keepLines w:val="0"/>
              <w:widowControl/>
              <w:suppressLineNumbers w:val="0"/>
              <w:jc w:val="left"/>
              <w:textAlignment w:val="top"/>
              <w:rPr>
                <w:rStyle w:val="10"/>
                <w:rFonts w:hint="eastAsia"/>
                <w:color w:val="auto"/>
                <w:lang w:val="en-US" w:eastAsia="zh-CN" w:bidi="ar"/>
              </w:rPr>
            </w:pPr>
            <w:r>
              <w:rPr>
                <w:rStyle w:val="10"/>
                <w:rFonts w:hint="eastAsia"/>
                <w:color w:val="auto"/>
                <w:lang w:val="en-US" w:eastAsia="zh-CN" w:bidi="ar"/>
              </w:rPr>
              <w:t>2008年12月1日</w:t>
            </w:r>
          </w:p>
        </w:tc>
        <w:tc>
          <w:tcPr>
            <w:tcW w:w="5073" w:type="dxa"/>
            <w:shd w:val="clear" w:color="auto" w:fill="auto"/>
            <w:noWrap w:val="0"/>
            <w:vAlign w:val="top"/>
          </w:tcPr>
          <w:p w14:paraId="4284A6AD">
            <w:pPr>
              <w:keepNext w:val="0"/>
              <w:keepLines w:val="0"/>
              <w:widowControl/>
              <w:suppressLineNumbers w:val="0"/>
              <w:jc w:val="left"/>
              <w:textAlignment w:val="top"/>
              <w:rPr>
                <w:rStyle w:val="10"/>
                <w:color w:val="auto"/>
                <w:lang w:val="en-US" w:eastAsia="zh-CN" w:bidi="ar"/>
              </w:rPr>
            </w:pPr>
            <w:r>
              <w:rPr>
                <w:rFonts w:ascii="宋体" w:hAnsi="宋体" w:eastAsia="宋体" w:cs="宋体"/>
                <w:i w:val="0"/>
                <w:iCs w:val="0"/>
                <w:color w:val="auto"/>
                <w:kern w:val="0"/>
                <w:sz w:val="21"/>
                <w:szCs w:val="21"/>
                <w:u w:val="none"/>
                <w:lang w:val="en-US" w:eastAsia="zh-CN" w:bidi="ar"/>
              </w:rPr>
              <w:t>《森林防火条例》第二十四条 县级以上人民政府森林防火指挥机构，应当组织有关部门对森林防火区内有关单位的森林防火组织建设、森林防火责任制落实、森林防火设施建设等情况进行检查；对检查中发现的森林火灾隐患，县级以上地方人民政府林业主管部门应当及时向有关单位下达森林火灾隐患整改通知书，责令限期整改，消除隐患。被检查单位应当积极配合，不得阻挠、妨碍检查活动。</w:t>
            </w:r>
          </w:p>
        </w:tc>
        <w:tc>
          <w:tcPr>
            <w:tcW w:w="1002" w:type="dxa"/>
            <w:noWrap w:val="0"/>
            <w:vAlign w:val="center"/>
          </w:tcPr>
          <w:p w14:paraId="1A897F40">
            <w:pPr>
              <w:keepNext w:val="0"/>
              <w:keepLines w:val="0"/>
              <w:widowControl/>
              <w:suppressLineNumbers w:val="0"/>
              <w:jc w:val="left"/>
              <w:textAlignment w:val="top"/>
              <w:rPr>
                <w:rStyle w:val="10"/>
                <w:rFonts w:hint="eastAsia"/>
                <w:color w:val="auto"/>
                <w:lang w:val="en-US" w:eastAsia="zh-CN" w:bidi="ar"/>
              </w:rPr>
            </w:pPr>
          </w:p>
        </w:tc>
      </w:tr>
    </w:tbl>
    <w:p w14:paraId="61EDFE01">
      <w:pPr>
        <w:rPr>
          <w:rStyle w:val="10"/>
          <w:color w:val="auto"/>
          <w:lang w:val="en-US" w:eastAsia="zh-CN" w:bidi="ar"/>
        </w:rPr>
      </w:pPr>
    </w:p>
    <w:p w14:paraId="5F312B3A">
      <w:pPr>
        <w:pStyle w:val="2"/>
        <w:rPr>
          <w:rStyle w:val="10"/>
          <w:color w:val="auto"/>
          <w:lang w:val="en-US" w:eastAsia="zh-CN" w:bidi="ar"/>
        </w:rPr>
      </w:pPr>
    </w:p>
    <w:p w14:paraId="7B44A7C8">
      <w:pPr>
        <w:rPr>
          <w:lang w:val="en-US" w:eastAsia="zh-CN"/>
        </w:rPr>
        <w:sectPr>
          <w:footerReference r:id="rId3" w:type="default"/>
          <w:pgSz w:w="16838" w:h="11906" w:orient="landscape"/>
          <w:pgMar w:top="1800" w:right="1440" w:bottom="1800" w:left="1440" w:header="851" w:footer="992" w:gutter="0"/>
          <w:cols w:space="425" w:num="1"/>
          <w:docGrid w:type="lines" w:linePitch="312" w:charSpace="0"/>
        </w:sectPr>
      </w:pPr>
    </w:p>
    <w:p w14:paraId="1B3B4196">
      <w:pPr>
        <w:pStyle w:val="2"/>
        <w:ind w:left="0" w:leftChars="0" w:firstLine="0" w:firstLineChars="0"/>
        <w:rPr>
          <w:lang w:val="en-US" w:eastAsia="zh-CN"/>
        </w:rPr>
      </w:pPr>
    </w:p>
    <w:p w14:paraId="1694386A">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rPr>
          <w:rFonts w:hint="eastAsia" w:ascii="黑体" w:hAnsi="Calibri" w:eastAsia="黑体"/>
          <w:b w:val="0"/>
          <w:bCs w:val="0"/>
          <w:color w:val="auto"/>
          <w:sz w:val="32"/>
          <w:szCs w:val="32"/>
          <w:lang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3</w:t>
      </w:r>
    </w:p>
    <w:p w14:paraId="46325158">
      <w:pPr>
        <w:keepNext w:val="0"/>
        <w:keepLines w:val="0"/>
        <w:pageBreakBefore w:val="0"/>
        <w:widowControl w:val="0"/>
        <w:kinsoku/>
        <w:wordWrap/>
        <w:overflowPunct/>
        <w:topLinePunct w:val="0"/>
        <w:autoSpaceDE/>
        <w:autoSpaceDN/>
        <w:bidi w:val="0"/>
        <w:adjustRightInd/>
        <w:snapToGrid/>
        <w:spacing w:line="576" w:lineRule="exact"/>
        <w:ind w:firstLine="0" w:firstLineChars="0"/>
        <w:jc w:val="center"/>
        <w:textAlignment w:val="auto"/>
        <w:rPr>
          <w:rFonts w:hint="eastAsia" w:ascii="方正小标宋简体" w:hAnsi="宋体" w:eastAsia="方正小标宋简体" w:cs="宋体"/>
          <w:color w:val="auto"/>
          <w:kern w:val="0"/>
          <w:sz w:val="36"/>
          <w:szCs w:val="44"/>
        </w:rPr>
      </w:pPr>
    </w:p>
    <w:p w14:paraId="3AA69729">
      <w:pPr>
        <w:keepNext w:val="0"/>
        <w:keepLines w:val="0"/>
        <w:pageBreakBefore w:val="0"/>
        <w:widowControl w:val="0"/>
        <w:kinsoku/>
        <w:wordWrap/>
        <w:overflowPunct/>
        <w:topLinePunct w:val="0"/>
        <w:autoSpaceDE/>
        <w:autoSpaceDN/>
        <w:bidi w:val="0"/>
        <w:adjustRightInd/>
        <w:snapToGrid/>
        <w:spacing w:line="576" w:lineRule="exact"/>
        <w:ind w:firstLine="0" w:firstLineChars="0"/>
        <w:jc w:val="center"/>
        <w:textAlignment w:val="auto"/>
        <w:rPr>
          <w:rFonts w:hint="eastAsia" w:ascii="方正小标宋简体" w:hAnsi="宋体" w:eastAsia="方正小标宋简体" w:cs="宋体"/>
          <w:color w:val="auto"/>
          <w:kern w:val="0"/>
          <w:sz w:val="44"/>
          <w:szCs w:val="44"/>
          <w:lang w:eastAsia="zh-CN"/>
        </w:rPr>
      </w:pPr>
      <w:r>
        <w:rPr>
          <w:rFonts w:hint="eastAsia" w:ascii="方正小标宋简体" w:hAnsi="宋体" w:eastAsia="方正小标宋简体" w:cs="宋体"/>
          <w:color w:val="auto"/>
          <w:kern w:val="0"/>
          <w:sz w:val="44"/>
          <w:szCs w:val="44"/>
        </w:rPr>
        <w:t>行政执法主体清理</w:t>
      </w:r>
      <w:r>
        <w:rPr>
          <w:rFonts w:hint="eastAsia" w:ascii="方正小标宋简体" w:hAnsi="宋体" w:eastAsia="方正小标宋简体" w:cs="宋体"/>
          <w:color w:val="auto"/>
          <w:kern w:val="0"/>
          <w:sz w:val="44"/>
          <w:szCs w:val="44"/>
          <w:lang w:val="en-US" w:eastAsia="zh-CN"/>
        </w:rPr>
        <w:t>情况</w:t>
      </w:r>
      <w:r>
        <w:rPr>
          <w:rFonts w:hint="eastAsia" w:ascii="方正小标宋简体" w:hAnsi="宋体" w:eastAsia="方正小标宋简体" w:cs="宋体"/>
          <w:color w:val="auto"/>
          <w:kern w:val="0"/>
          <w:sz w:val="44"/>
          <w:szCs w:val="44"/>
        </w:rPr>
        <w:t>报告</w:t>
      </w:r>
    </w:p>
    <w:p w14:paraId="49EE3861">
      <w:pPr>
        <w:keepNext w:val="0"/>
        <w:keepLines w:val="0"/>
        <w:pageBreakBefore w:val="0"/>
        <w:widowControl w:val="0"/>
        <w:kinsoku/>
        <w:wordWrap/>
        <w:overflowPunct/>
        <w:topLinePunct w:val="0"/>
        <w:autoSpaceDE/>
        <w:autoSpaceDN/>
        <w:bidi w:val="0"/>
        <w:adjustRightInd/>
        <w:snapToGrid/>
        <w:spacing w:line="576" w:lineRule="exact"/>
        <w:ind w:firstLine="0" w:firstLineChars="0"/>
        <w:textAlignment w:val="auto"/>
        <w:rPr>
          <w:rFonts w:hint="eastAsia" w:ascii="仿宋_GB2312" w:hAnsi="黑体" w:eastAsia="仿宋_GB2312"/>
          <w:color w:val="auto"/>
          <w:sz w:val="32"/>
          <w:szCs w:val="32"/>
        </w:rPr>
      </w:pPr>
    </w:p>
    <w:p w14:paraId="30DC11F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ascii="仿宋_GB2312" w:hAnsi="黑体" w:eastAsia="仿宋_GB2312"/>
          <w:color w:val="auto"/>
          <w:sz w:val="32"/>
          <w:szCs w:val="32"/>
        </w:rPr>
      </w:pPr>
      <w:r>
        <w:rPr>
          <w:rFonts w:hint="eastAsia" w:ascii="仿宋_GB2312" w:hAnsi="黑体" w:eastAsia="仿宋_GB2312"/>
          <w:color w:val="auto"/>
          <w:sz w:val="32"/>
          <w:szCs w:val="32"/>
        </w:rPr>
        <w:t>根据相关法律、法规、规章和“三定”规定，经梳理审查，本</w:t>
      </w:r>
      <w:r>
        <w:rPr>
          <w:rFonts w:hint="eastAsia" w:ascii="仿宋_GB2312" w:hAnsi="黑体" w:eastAsia="仿宋_GB2312"/>
          <w:color w:val="auto"/>
          <w:sz w:val="32"/>
          <w:szCs w:val="32"/>
          <w:lang w:eastAsia="zh-CN"/>
        </w:rPr>
        <w:t>部门</w:t>
      </w:r>
      <w:r>
        <w:rPr>
          <w:rFonts w:hint="eastAsia" w:ascii="仿宋_GB2312" w:hAnsi="黑体" w:eastAsia="仿宋_GB2312"/>
          <w:color w:val="auto"/>
          <w:sz w:val="32"/>
          <w:szCs w:val="32"/>
        </w:rPr>
        <w:t>及所属单位</w:t>
      </w:r>
      <w:r>
        <w:rPr>
          <w:rFonts w:hint="eastAsia" w:ascii="仿宋_GB2312" w:hAnsi="仿宋_GB2312" w:eastAsia="仿宋_GB2312" w:cs="仿宋_GB2312"/>
          <w:color w:val="auto"/>
          <w:sz w:val="32"/>
          <w:szCs w:val="32"/>
          <w:highlight w:val="none"/>
          <w:lang w:eastAsia="zh-CN"/>
        </w:rPr>
        <w:t>、执法机构</w:t>
      </w:r>
      <w:r>
        <w:rPr>
          <w:rFonts w:hint="eastAsia" w:ascii="仿宋_GB2312" w:hAnsi="黑体" w:eastAsia="仿宋_GB2312"/>
          <w:color w:val="auto"/>
          <w:sz w:val="32"/>
          <w:szCs w:val="32"/>
        </w:rPr>
        <w:t>行政执法主体清理情况如下：</w:t>
      </w:r>
    </w:p>
    <w:p w14:paraId="7572289C">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_GB2312" w:hAnsi="黑体" w:eastAsia="仿宋_GB2312"/>
          <w:color w:val="auto"/>
          <w:sz w:val="32"/>
          <w:szCs w:val="32"/>
          <w:lang w:val="en-US" w:eastAsia="zh-CN"/>
        </w:rPr>
      </w:pPr>
      <w:r>
        <w:rPr>
          <w:rFonts w:hint="eastAsia" w:ascii="仿宋_GB2312" w:hAnsi="黑体" w:eastAsia="仿宋_GB2312"/>
          <w:color w:val="auto"/>
          <w:sz w:val="32"/>
          <w:szCs w:val="32"/>
        </w:rPr>
        <w:t>经清理，现具有行政执法主体资格的单位共（</w:t>
      </w:r>
      <w:r>
        <w:rPr>
          <w:rFonts w:hint="eastAsia" w:ascii="仿宋_GB2312" w:hAnsi="黑体" w:eastAsia="仿宋_GB2312"/>
          <w:color w:val="auto"/>
          <w:sz w:val="32"/>
          <w:szCs w:val="32"/>
          <w:lang w:val="en-US" w:eastAsia="zh-CN"/>
        </w:rPr>
        <w:t>1</w:t>
      </w:r>
      <w:r>
        <w:rPr>
          <w:rFonts w:hint="eastAsia" w:ascii="仿宋_GB2312" w:hAnsi="黑体" w:eastAsia="仿宋_GB2312"/>
          <w:color w:val="auto"/>
          <w:sz w:val="32"/>
          <w:szCs w:val="32"/>
        </w:rPr>
        <w:t>）个，其中法定行政机关（</w:t>
      </w:r>
      <w:r>
        <w:rPr>
          <w:rFonts w:hint="eastAsia" w:ascii="仿宋_GB2312" w:hAnsi="黑体" w:eastAsia="仿宋_GB2312"/>
          <w:color w:val="auto"/>
          <w:sz w:val="32"/>
          <w:szCs w:val="32"/>
          <w:lang w:val="en-US" w:eastAsia="zh-CN"/>
        </w:rPr>
        <w:t>1</w:t>
      </w:r>
      <w:r>
        <w:rPr>
          <w:rFonts w:hint="eastAsia" w:ascii="仿宋_GB2312" w:hAnsi="黑体" w:eastAsia="仿宋_GB2312"/>
          <w:color w:val="auto"/>
          <w:sz w:val="32"/>
          <w:szCs w:val="32"/>
        </w:rPr>
        <w:t>）个</w:t>
      </w:r>
      <w:r>
        <w:rPr>
          <w:rFonts w:hint="eastAsia" w:ascii="仿宋_GB2312" w:hAnsi="黑体" w:eastAsia="仿宋_GB2312"/>
          <w:color w:val="auto"/>
          <w:sz w:val="32"/>
          <w:szCs w:val="32"/>
          <w:lang w:eastAsia="zh-CN"/>
        </w:rPr>
        <w:t>，</w:t>
      </w:r>
      <w:r>
        <w:rPr>
          <w:rFonts w:hint="eastAsia" w:ascii="仿宋_GB2312" w:hAnsi="黑体" w:eastAsia="仿宋_GB2312"/>
          <w:color w:val="auto"/>
          <w:sz w:val="32"/>
          <w:szCs w:val="32"/>
        </w:rPr>
        <w:t>法律、法规</w:t>
      </w:r>
      <w:r>
        <w:rPr>
          <w:rFonts w:hint="eastAsia" w:ascii="仿宋_GB2312" w:hAnsi="黑体" w:eastAsia="仿宋_GB2312"/>
          <w:color w:val="auto"/>
          <w:sz w:val="32"/>
          <w:szCs w:val="32"/>
          <w:lang w:eastAsia="zh-CN"/>
        </w:rPr>
        <w:t>、规章</w:t>
      </w:r>
      <w:r>
        <w:rPr>
          <w:rFonts w:hint="eastAsia" w:ascii="仿宋_GB2312" w:hAnsi="黑体" w:eastAsia="仿宋_GB2312"/>
          <w:color w:val="auto"/>
          <w:sz w:val="32"/>
          <w:szCs w:val="32"/>
        </w:rPr>
        <w:t>授权的组织（</w:t>
      </w:r>
      <w:r>
        <w:rPr>
          <w:rFonts w:hint="eastAsia" w:ascii="仿宋_GB2312" w:hAnsi="黑体" w:eastAsia="仿宋_GB2312"/>
          <w:color w:val="auto"/>
          <w:sz w:val="32"/>
          <w:szCs w:val="32"/>
          <w:lang w:val="en-US" w:eastAsia="zh-CN"/>
        </w:rPr>
        <w:t>1</w:t>
      </w:r>
      <w:r>
        <w:rPr>
          <w:rFonts w:hint="eastAsia" w:ascii="仿宋_GB2312" w:hAnsi="黑体" w:eastAsia="仿宋_GB2312"/>
          <w:color w:val="auto"/>
          <w:sz w:val="32"/>
          <w:szCs w:val="32"/>
        </w:rPr>
        <w:t>）个</w:t>
      </w:r>
      <w:r>
        <w:rPr>
          <w:rFonts w:hint="eastAsia" w:ascii="仿宋_GB2312" w:hAnsi="黑体" w:eastAsia="仿宋_GB2312"/>
          <w:color w:val="auto"/>
          <w:sz w:val="32"/>
          <w:szCs w:val="32"/>
          <w:lang w:eastAsia="zh-CN"/>
        </w:rPr>
        <w:t>。</w:t>
      </w:r>
    </w:p>
    <w:p w14:paraId="174567A6">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lang w:eastAsia="zh-CN"/>
        </w:rPr>
        <w:t>一、</w:t>
      </w:r>
      <w:r>
        <w:rPr>
          <w:rFonts w:hint="eastAsia" w:ascii="黑体" w:hAnsi="黑体" w:eastAsia="黑体" w:cs="黑体"/>
          <w:color w:val="auto"/>
          <w:sz w:val="32"/>
          <w:szCs w:val="32"/>
        </w:rPr>
        <w:t>法定行政机关</w:t>
      </w:r>
    </w:p>
    <w:p w14:paraId="02BC454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Arial" w:hAnsi="Arial" w:eastAsia="仿宋_GB2312" w:cs="Arial"/>
          <w:color w:val="auto"/>
          <w:sz w:val="32"/>
          <w:szCs w:val="32"/>
          <w:lang w:eastAsia="zh-CN"/>
        </w:rPr>
      </w:pPr>
      <w:r>
        <w:rPr>
          <w:rFonts w:hint="eastAsia" w:ascii="Arial" w:hAnsi="Arial" w:eastAsia="仿宋_GB2312" w:cs="Arial"/>
          <w:color w:val="auto"/>
          <w:sz w:val="32"/>
          <w:szCs w:val="32"/>
          <w:lang w:eastAsia="zh-CN"/>
        </w:rPr>
        <w:t>广元市昭化区柏林沟镇人民政府</w:t>
      </w:r>
    </w:p>
    <w:p w14:paraId="1AAE6CBA">
      <w:pPr>
        <w:pStyle w:val="2"/>
        <w:rPr>
          <w:rFonts w:hint="eastAsia" w:ascii="黑体" w:hAnsi="黑体" w:eastAsia="黑体" w:cs="黑体"/>
          <w:color w:val="auto"/>
          <w:sz w:val="32"/>
          <w:szCs w:val="32"/>
        </w:rPr>
      </w:pPr>
      <w:r>
        <w:rPr>
          <w:rFonts w:hint="eastAsia" w:ascii="黑体" w:hAnsi="黑体" w:eastAsia="黑体" w:cs="黑体"/>
          <w:color w:val="auto"/>
          <w:sz w:val="32"/>
          <w:szCs w:val="32"/>
          <w:lang w:eastAsia="zh-CN"/>
        </w:rPr>
        <w:t>二、</w:t>
      </w:r>
      <w:r>
        <w:rPr>
          <w:rFonts w:hint="eastAsia" w:ascii="黑体" w:hAnsi="黑体" w:eastAsia="黑体" w:cs="黑体"/>
          <w:color w:val="auto"/>
          <w:sz w:val="32"/>
          <w:szCs w:val="32"/>
        </w:rPr>
        <w:t>法律、法规</w:t>
      </w:r>
      <w:r>
        <w:rPr>
          <w:rFonts w:hint="eastAsia" w:ascii="黑体" w:hAnsi="黑体" w:eastAsia="黑体" w:cs="黑体"/>
          <w:color w:val="auto"/>
          <w:sz w:val="32"/>
          <w:szCs w:val="32"/>
          <w:lang w:eastAsia="zh-CN"/>
        </w:rPr>
        <w:t>、规章</w:t>
      </w:r>
      <w:r>
        <w:rPr>
          <w:rFonts w:hint="eastAsia" w:ascii="黑体" w:hAnsi="黑体" w:eastAsia="黑体" w:cs="黑体"/>
          <w:color w:val="auto"/>
          <w:sz w:val="32"/>
          <w:szCs w:val="32"/>
        </w:rPr>
        <w:t>授权的组织</w:t>
      </w:r>
    </w:p>
    <w:p w14:paraId="25011AB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Arial" w:hAnsi="Arial" w:eastAsia="仿宋_GB2312" w:cs="Arial"/>
          <w:color w:val="auto"/>
          <w:sz w:val="32"/>
          <w:szCs w:val="32"/>
          <w:lang w:eastAsia="zh-CN"/>
        </w:rPr>
      </w:pPr>
      <w:r>
        <w:rPr>
          <w:rFonts w:hint="eastAsia" w:ascii="Arial" w:hAnsi="Arial" w:eastAsia="仿宋_GB2312" w:cs="Arial"/>
          <w:color w:val="auto"/>
          <w:sz w:val="32"/>
          <w:szCs w:val="32"/>
          <w:lang w:eastAsia="zh-CN"/>
        </w:rPr>
        <w:t>广元市昭化区柏林沟镇人民政府</w:t>
      </w:r>
    </w:p>
    <w:p w14:paraId="54065175">
      <w:pPr>
        <w:rPr>
          <w:rFonts w:hint="eastAsia"/>
          <w:lang w:eastAsia="zh-CN"/>
        </w:rPr>
      </w:pPr>
    </w:p>
    <w:p w14:paraId="3921EAE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黑体" w:eastAsia="仿宋_GB2312"/>
          <w:color w:val="auto"/>
          <w:sz w:val="32"/>
          <w:szCs w:val="32"/>
        </w:rPr>
      </w:pPr>
    </w:p>
    <w:p w14:paraId="17C73619">
      <w:pPr>
        <w:keepNext w:val="0"/>
        <w:keepLines w:val="0"/>
        <w:pageBreakBefore w:val="0"/>
        <w:widowControl w:val="0"/>
        <w:kinsoku/>
        <w:wordWrap w:val="0"/>
        <w:overflowPunct/>
        <w:topLinePunct w:val="0"/>
        <w:autoSpaceDE/>
        <w:autoSpaceDN/>
        <w:bidi w:val="0"/>
        <w:adjustRightInd/>
        <w:snapToGrid/>
        <w:spacing w:line="576" w:lineRule="exact"/>
        <w:ind w:firstLine="0" w:firstLineChars="0"/>
        <w:jc w:val="right"/>
        <w:textAlignment w:val="auto"/>
        <w:rPr>
          <w:rFonts w:hint="eastAsia" w:ascii="仿宋_GB2312" w:hAnsi="黑体" w:eastAsia="仿宋_GB2312"/>
          <w:color w:val="auto"/>
          <w:sz w:val="32"/>
          <w:szCs w:val="32"/>
          <w:lang w:val="en-US" w:eastAsia="zh-CN"/>
        </w:rPr>
      </w:pPr>
      <w:r>
        <w:rPr>
          <w:rFonts w:hint="eastAsia" w:ascii="仿宋_GB2312" w:hAnsi="黑体" w:eastAsia="仿宋_GB2312"/>
          <w:color w:val="auto"/>
          <w:sz w:val="32"/>
          <w:szCs w:val="32"/>
          <w:lang w:val="en-US" w:eastAsia="zh-CN"/>
        </w:rPr>
        <w:t xml:space="preserve"> </w:t>
      </w:r>
    </w:p>
    <w:p w14:paraId="2C4E3E45">
      <w:pPr>
        <w:keepNext w:val="0"/>
        <w:keepLines w:val="0"/>
        <w:pageBreakBefore w:val="0"/>
        <w:widowControl w:val="0"/>
        <w:kinsoku/>
        <w:wordWrap w:val="0"/>
        <w:overflowPunct/>
        <w:topLinePunct w:val="0"/>
        <w:autoSpaceDE/>
        <w:autoSpaceDN/>
        <w:bidi w:val="0"/>
        <w:adjustRightInd/>
        <w:snapToGrid/>
        <w:spacing w:line="576" w:lineRule="exact"/>
        <w:ind w:firstLine="0" w:firstLineChars="0"/>
        <w:jc w:val="right"/>
        <w:textAlignment w:val="auto"/>
        <w:rPr>
          <w:rFonts w:hint="default" w:ascii="仿宋_GB2312" w:hAnsi="黑体" w:eastAsia="仿宋_GB2312"/>
          <w:color w:val="auto"/>
          <w:sz w:val="32"/>
          <w:szCs w:val="32"/>
          <w:lang w:val="en-US"/>
        </w:rPr>
      </w:pPr>
      <w:r>
        <w:rPr>
          <w:rFonts w:hint="eastAsia" w:ascii="仿宋_GB2312" w:hAnsi="黑体" w:eastAsia="仿宋_GB2312"/>
          <w:color w:val="auto"/>
          <w:sz w:val="32"/>
          <w:szCs w:val="32"/>
          <w:lang w:val="en-US" w:eastAsia="zh-CN"/>
        </w:rPr>
        <w:t xml:space="preserve">  </w:t>
      </w:r>
      <w:r>
        <w:rPr>
          <w:rFonts w:hint="eastAsia" w:ascii="仿宋_GB2312" w:hAnsi="黑体" w:eastAsia="仿宋_GB2312"/>
          <w:color w:val="auto"/>
          <w:sz w:val="32"/>
          <w:szCs w:val="32"/>
          <w:lang w:eastAsia="zh-CN"/>
        </w:rPr>
        <w:t>广元市昭化区柏林沟镇人民政府</w:t>
      </w:r>
      <w:r>
        <w:rPr>
          <w:rFonts w:hint="eastAsia" w:ascii="仿宋_GB2312" w:hAnsi="黑体" w:eastAsia="仿宋_GB2312"/>
          <w:color w:val="auto"/>
          <w:sz w:val="32"/>
          <w:szCs w:val="32"/>
          <w:lang w:val="en-US" w:eastAsia="zh-CN"/>
        </w:rPr>
        <w:t xml:space="preserve">    </w:t>
      </w:r>
    </w:p>
    <w:p w14:paraId="079740F3">
      <w:pPr>
        <w:keepNext w:val="0"/>
        <w:keepLines w:val="0"/>
        <w:pageBreakBefore w:val="0"/>
        <w:widowControl w:val="0"/>
        <w:kinsoku/>
        <w:wordWrap w:val="0"/>
        <w:overflowPunct/>
        <w:topLinePunct w:val="0"/>
        <w:autoSpaceDE/>
        <w:autoSpaceDN/>
        <w:bidi w:val="0"/>
        <w:adjustRightInd/>
        <w:snapToGrid/>
        <w:spacing w:line="576" w:lineRule="exact"/>
        <w:ind w:firstLine="0" w:firstLineChars="0"/>
        <w:jc w:val="center"/>
        <w:textAlignment w:val="auto"/>
        <w:rPr>
          <w:rFonts w:hint="eastAsia" w:ascii="仿宋_GB2312" w:hAnsi="黑体" w:eastAsia="仿宋_GB2312"/>
          <w:color w:val="auto"/>
          <w:sz w:val="32"/>
          <w:szCs w:val="32"/>
          <w:lang w:val="en-US" w:eastAsia="zh-CN"/>
        </w:rPr>
      </w:pPr>
      <w:r>
        <w:rPr>
          <w:rFonts w:hint="eastAsia" w:ascii="仿宋_GB2312" w:hAnsi="黑体" w:eastAsia="仿宋_GB2312"/>
          <w:color w:val="auto"/>
          <w:sz w:val="32"/>
          <w:szCs w:val="32"/>
          <w:lang w:val="en-US" w:eastAsia="zh-CN"/>
        </w:rPr>
        <w:t xml:space="preserve">                  2025</w:t>
      </w:r>
      <w:r>
        <w:rPr>
          <w:rFonts w:hint="eastAsia" w:ascii="仿宋_GB2312" w:hAnsi="黑体" w:eastAsia="仿宋_GB2312"/>
          <w:color w:val="auto"/>
          <w:sz w:val="32"/>
          <w:szCs w:val="32"/>
        </w:rPr>
        <w:t>年</w:t>
      </w:r>
      <w:r>
        <w:rPr>
          <w:rFonts w:hint="eastAsia" w:ascii="仿宋_GB2312" w:hAnsi="黑体" w:eastAsia="仿宋_GB2312"/>
          <w:color w:val="auto"/>
          <w:sz w:val="32"/>
          <w:szCs w:val="32"/>
          <w:lang w:val="en-US" w:eastAsia="zh-CN"/>
        </w:rPr>
        <w:t>3</w:t>
      </w:r>
      <w:r>
        <w:rPr>
          <w:rFonts w:hint="eastAsia" w:ascii="仿宋_GB2312" w:hAnsi="黑体" w:eastAsia="仿宋_GB2312"/>
          <w:color w:val="auto"/>
          <w:sz w:val="32"/>
          <w:szCs w:val="32"/>
        </w:rPr>
        <w:t>月</w:t>
      </w:r>
      <w:r>
        <w:rPr>
          <w:rFonts w:hint="eastAsia" w:ascii="仿宋_GB2312" w:hAnsi="黑体" w:eastAsia="仿宋_GB2312"/>
          <w:color w:val="auto"/>
          <w:sz w:val="32"/>
          <w:szCs w:val="32"/>
          <w:lang w:val="en-US" w:eastAsia="zh-CN"/>
        </w:rPr>
        <w:t>24</w:t>
      </w:r>
      <w:r>
        <w:rPr>
          <w:rFonts w:hint="eastAsia" w:ascii="仿宋_GB2312" w:hAnsi="黑体" w:eastAsia="仿宋_GB2312"/>
          <w:color w:val="auto"/>
          <w:sz w:val="32"/>
          <w:szCs w:val="32"/>
        </w:rPr>
        <w:t>日</w:t>
      </w:r>
      <w:r>
        <w:rPr>
          <w:rFonts w:hint="eastAsia" w:ascii="仿宋_GB2312" w:hAnsi="黑体" w:eastAsia="仿宋_GB2312"/>
          <w:color w:val="auto"/>
          <w:sz w:val="32"/>
          <w:szCs w:val="32"/>
          <w:lang w:val="en-US" w:eastAsia="zh-CN"/>
        </w:rPr>
        <w:t xml:space="preserve">     </w:t>
      </w:r>
    </w:p>
    <w:p w14:paraId="56BD5E4B">
      <w:pPr>
        <w:pStyle w:val="2"/>
        <w:wordWrap/>
        <w:rPr>
          <w:rFonts w:hint="eastAsia" w:ascii="仿宋_GB2312" w:hAnsi="黑体" w:eastAsia="仿宋_GB2312"/>
          <w:color w:val="auto"/>
          <w:sz w:val="32"/>
          <w:szCs w:val="32"/>
          <w:lang w:val="en-US" w:eastAsia="zh-CN"/>
        </w:rPr>
      </w:pPr>
    </w:p>
    <w:p w14:paraId="2ED28F6F">
      <w:pPr>
        <w:rPr>
          <w:rFonts w:hint="eastAsia" w:ascii="仿宋_GB2312" w:hAnsi="黑体" w:eastAsia="仿宋_GB2312"/>
          <w:color w:val="auto"/>
          <w:sz w:val="32"/>
          <w:szCs w:val="32"/>
          <w:lang w:val="en-US" w:eastAsia="zh-CN"/>
        </w:rPr>
      </w:pPr>
    </w:p>
    <w:p w14:paraId="0FB130E7">
      <w:pPr>
        <w:pStyle w:val="2"/>
        <w:rPr>
          <w:rFonts w:hint="eastAsia" w:ascii="仿宋_GB2312" w:hAnsi="黑体" w:eastAsia="仿宋_GB2312"/>
          <w:color w:val="auto"/>
          <w:sz w:val="32"/>
          <w:szCs w:val="32"/>
          <w:lang w:val="en-US" w:eastAsia="zh-CN"/>
        </w:rPr>
      </w:pPr>
    </w:p>
    <w:p w14:paraId="16D310B2">
      <w:pPr>
        <w:rPr>
          <w:rFonts w:hint="eastAsia" w:ascii="仿宋_GB2312" w:hAnsi="黑体" w:eastAsia="仿宋_GB2312"/>
          <w:color w:val="auto"/>
          <w:sz w:val="32"/>
          <w:szCs w:val="32"/>
          <w:lang w:val="en-US" w:eastAsia="zh-CN"/>
        </w:rPr>
      </w:pPr>
    </w:p>
    <w:p w14:paraId="69B6E25E">
      <w:pPr>
        <w:rPr>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Arial Unicode MS"/>
    <w:panose1 w:val="02010600010101010101"/>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Wingdings 2">
    <w:panose1 w:val="05020102010507070707"/>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4C8BE">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F78A3A">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0F78A3A">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711094"/>
    <w:multiLevelType w:val="singleLevel"/>
    <w:tmpl w:val="FC711094"/>
    <w:lvl w:ilvl="0" w:tentative="0">
      <w:start w:val="1"/>
      <w:numFmt w:val="decimal"/>
      <w:lvlText w:val="%1."/>
      <w:lvlJc w:val="left"/>
      <w:pPr>
        <w:tabs>
          <w:tab w:val="left" w:pos="312"/>
        </w:tabs>
      </w:pPr>
    </w:lvl>
  </w:abstractNum>
  <w:abstractNum w:abstractNumId="1">
    <w:nsid w:val="2FDFF0D9"/>
    <w:multiLevelType w:val="singleLevel"/>
    <w:tmpl w:val="2FDFF0D9"/>
    <w:lvl w:ilvl="0" w:tentative="0">
      <w:start w:val="1"/>
      <w:numFmt w:val="decimal"/>
      <w:lvlText w:val="%1."/>
      <w:lvlJc w:val="left"/>
      <w:pPr>
        <w:tabs>
          <w:tab w:val="left" w:pos="312"/>
        </w:tabs>
      </w:pPr>
    </w:lvl>
  </w:abstractNum>
  <w:abstractNum w:abstractNumId="2">
    <w:nsid w:val="302F9B74"/>
    <w:multiLevelType w:val="singleLevel"/>
    <w:tmpl w:val="302F9B74"/>
    <w:lvl w:ilvl="0" w:tentative="0">
      <w:start w:val="1"/>
      <w:numFmt w:val="decimal"/>
      <w:lvlText w:val="%1."/>
      <w:lvlJc w:val="left"/>
      <w:pPr>
        <w:tabs>
          <w:tab w:val="left" w:pos="312"/>
        </w:tabs>
      </w:pPr>
    </w:lvl>
  </w:abstractNum>
  <w:abstractNum w:abstractNumId="3">
    <w:nsid w:val="362091EE"/>
    <w:multiLevelType w:val="singleLevel"/>
    <w:tmpl w:val="362091EE"/>
    <w:lvl w:ilvl="0" w:tentative="0">
      <w:start w:val="1"/>
      <w:numFmt w:val="decimal"/>
      <w:lvlText w:val="%1."/>
      <w:lvlJc w:val="left"/>
      <w:pPr>
        <w:tabs>
          <w:tab w:val="left" w:pos="312"/>
        </w:tabs>
      </w:pPr>
    </w:lvl>
  </w:abstractNum>
  <w:abstractNum w:abstractNumId="4">
    <w:nsid w:val="5E91DE5E"/>
    <w:multiLevelType w:val="singleLevel"/>
    <w:tmpl w:val="5E91DE5E"/>
    <w:lvl w:ilvl="0" w:tentative="0">
      <w:start w:val="1"/>
      <w:numFmt w:val="decimal"/>
      <w:lvlText w:val="%1."/>
      <w:lvlJc w:val="left"/>
      <w:pPr>
        <w:tabs>
          <w:tab w:val="left" w:pos="312"/>
        </w:tabs>
      </w:pPr>
    </w:lvl>
  </w:abstractNum>
  <w:abstractNum w:abstractNumId="5">
    <w:nsid w:val="61757524"/>
    <w:multiLevelType w:val="singleLevel"/>
    <w:tmpl w:val="61757524"/>
    <w:lvl w:ilvl="0" w:tentative="0">
      <w:start w:val="1"/>
      <w:numFmt w:val="decimal"/>
      <w:lvlText w:val="%1."/>
      <w:lvlJc w:val="left"/>
      <w:pPr>
        <w:tabs>
          <w:tab w:val="left" w:pos="312"/>
        </w:tabs>
      </w:pPr>
    </w:lvl>
  </w:abstractNum>
  <w:num w:numId="1">
    <w:abstractNumId w:val="1"/>
  </w:num>
  <w:num w:numId="2">
    <w:abstractNumId w:val="5"/>
  </w:num>
  <w:num w:numId="3">
    <w:abstractNumId w:val="3"/>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501837"/>
    <w:rsid w:val="040A2CF3"/>
    <w:rsid w:val="09542EB4"/>
    <w:rsid w:val="0DF511A7"/>
    <w:rsid w:val="0F53554E"/>
    <w:rsid w:val="16EC4928"/>
    <w:rsid w:val="22E44DFB"/>
    <w:rsid w:val="241A5C0D"/>
    <w:rsid w:val="24BF0231"/>
    <w:rsid w:val="252F4758"/>
    <w:rsid w:val="25A62424"/>
    <w:rsid w:val="285919D0"/>
    <w:rsid w:val="2B4218C5"/>
    <w:rsid w:val="2C5116A8"/>
    <w:rsid w:val="2C860D27"/>
    <w:rsid w:val="33FB1DF5"/>
    <w:rsid w:val="34186C32"/>
    <w:rsid w:val="362F3812"/>
    <w:rsid w:val="40680DA4"/>
    <w:rsid w:val="40BB55DA"/>
    <w:rsid w:val="41604764"/>
    <w:rsid w:val="41681E7A"/>
    <w:rsid w:val="42867307"/>
    <w:rsid w:val="497B4436"/>
    <w:rsid w:val="49BE67E0"/>
    <w:rsid w:val="4BB25675"/>
    <w:rsid w:val="4CD3324F"/>
    <w:rsid w:val="4F512FA2"/>
    <w:rsid w:val="51C4585C"/>
    <w:rsid w:val="52A02CA6"/>
    <w:rsid w:val="54C02FD1"/>
    <w:rsid w:val="58A23248"/>
    <w:rsid w:val="5BD16970"/>
    <w:rsid w:val="62A13BD7"/>
    <w:rsid w:val="6525572C"/>
    <w:rsid w:val="661C0F42"/>
    <w:rsid w:val="69790883"/>
    <w:rsid w:val="69821E2D"/>
    <w:rsid w:val="6B642665"/>
    <w:rsid w:val="6C7C4AA7"/>
    <w:rsid w:val="6D81594B"/>
    <w:rsid w:val="72445F08"/>
    <w:rsid w:val="72CE60E3"/>
    <w:rsid w:val="7555607D"/>
    <w:rsid w:val="78251F22"/>
    <w:rsid w:val="7A491380"/>
    <w:rsid w:val="7C217284"/>
    <w:rsid w:val="7CCD39C2"/>
    <w:rsid w:val="FFDB54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able of figures"/>
    <w:next w:val="1"/>
    <w:qFormat/>
    <w:uiPriority w:val="0"/>
    <w:pPr>
      <w:widowControl w:val="0"/>
      <w:ind w:left="200" w:leftChars="200" w:hanging="200" w:hangingChars="200"/>
      <w:jc w:val="both"/>
    </w:pPr>
    <w:rPr>
      <w:rFonts w:ascii="Times New Roman" w:hAnsi="Times New Roman" w:eastAsia="宋体" w:cs="Times New Roman"/>
      <w:kern w:val="2"/>
      <w:sz w:val="21"/>
      <w:szCs w:val="24"/>
      <w:lang w:val="en-US" w:eastAsia="zh-CN"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rPr>
      <w:sz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basedOn w:val="8"/>
    <w:qFormat/>
    <w:uiPriority w:val="0"/>
    <w:rPr>
      <w:b/>
    </w:rPr>
  </w:style>
  <w:style w:type="character" w:customStyle="1" w:styleId="10">
    <w:name w:val="font31"/>
    <w:basedOn w:val="8"/>
    <w:qFormat/>
    <w:uiPriority w:val="0"/>
    <w:rPr>
      <w:rFonts w:ascii="宋体" w:hAnsi="宋体" w:eastAsia="宋体" w:cs="宋体"/>
      <w:color w:val="000000"/>
      <w:sz w:val="21"/>
      <w:szCs w:val="21"/>
      <w:u w:val="none"/>
    </w:rPr>
  </w:style>
  <w:style w:type="character" w:customStyle="1" w:styleId="11">
    <w:name w:val="font71"/>
    <w:basedOn w:val="8"/>
    <w:qFormat/>
    <w:uiPriority w:val="0"/>
    <w:rPr>
      <w:rFonts w:hint="default" w:ascii="Times New Roman" w:hAnsi="Times New Roman" w:cs="Times New Roman"/>
      <w:color w:val="000000"/>
      <w:sz w:val="21"/>
      <w:szCs w:val="21"/>
      <w:u w:val="none"/>
    </w:rPr>
  </w:style>
  <w:style w:type="character" w:customStyle="1" w:styleId="12">
    <w:name w:val="font51"/>
    <w:basedOn w:val="8"/>
    <w:qFormat/>
    <w:uiPriority w:val="0"/>
    <w:rPr>
      <w:rFonts w:ascii="宋体" w:hAnsi="宋体" w:eastAsia="宋体" w:cs="宋体"/>
      <w:color w:val="000000"/>
      <w:sz w:val="21"/>
      <w:szCs w:val="21"/>
      <w:u w:val="none"/>
    </w:rPr>
  </w:style>
  <w:style w:type="character" w:customStyle="1" w:styleId="13">
    <w:name w:val="font81"/>
    <w:basedOn w:val="8"/>
    <w:qFormat/>
    <w:uiPriority w:val="0"/>
    <w:rPr>
      <w:rFonts w:ascii="宋体" w:hAnsi="宋体" w:eastAsia="宋体" w:cs="宋体"/>
      <w:color w:val="000000"/>
      <w:sz w:val="21"/>
      <w:szCs w:val="21"/>
      <w:u w:val="none"/>
      <w:vertAlign w:val="superscript"/>
    </w:rPr>
  </w:style>
  <w:style w:type="character" w:customStyle="1" w:styleId="14">
    <w:name w:val="font41"/>
    <w:basedOn w:val="8"/>
    <w:qFormat/>
    <w:uiPriority w:val="0"/>
    <w:rPr>
      <w:rFonts w:hint="default" w:ascii="Times New Roman" w:hAnsi="Times New Roman" w:cs="Times New Roman"/>
      <w:color w:val="000000"/>
      <w:sz w:val="21"/>
      <w:szCs w:val="21"/>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95</Pages>
  <Words>29379</Words>
  <Characters>30168</Characters>
  <Lines>0</Lines>
  <Paragraphs>0</Paragraphs>
  <TotalTime>3</TotalTime>
  <ScaleCrop>false</ScaleCrop>
  <LinksUpToDate>false</LinksUpToDate>
  <CharactersWithSpaces>30772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2025-03-07T16:24:00Z</dcterms:created>
  <dc:creator>Administrator</dc:creator>
  <cp:lastModifiedBy>昭化融媒体</cp:lastModifiedBy>
  <dcterms:modified xsi:type="dcterms:W3CDTF">2025-04-28T01:03:49Z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eyJoZGlkIjoiMGVhYTg4NGNkZWJkODFjNzcyZDRjM2M4Y2UzNjI5ZmUiLCJ1c2VySWQiOiI2MTE2MzEwMDYifQ==</vt:lpwstr>
  </property>
  <property fmtid="{D5CDD505-2E9C-101B-9397-08002B2CF9AE}" pid="4" name="ICV">
    <vt:lpwstr>DCF00452628E4EEA8C962B2516C90954_13</vt:lpwstr>
  </property>
</Properties>
</file>