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E6548F">
      <w:pPr>
        <w:spacing w:before="101" w:line="230" w:lineRule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45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4"/>
          <w:sz w:val="31"/>
          <w:szCs w:val="31"/>
        </w:rPr>
        <w:t>1</w:t>
      </w:r>
    </w:p>
    <w:p w14:paraId="2EA774DA">
      <w:pPr>
        <w:spacing w:before="81" w:line="234" w:lineRule="auto"/>
        <w:ind w:left="2308"/>
        <w:outlineLvl w:val="0"/>
        <w:rPr>
          <w:rFonts w:ascii="方正小标宋简体" w:hAnsi="方正小标宋简体" w:eastAsia="方正小标宋简体" w:cs="方正小标宋简体"/>
          <w:sz w:val="43"/>
          <w:szCs w:val="43"/>
        </w:rPr>
      </w:pPr>
      <w:r>
        <w:rPr>
          <w:rFonts w:ascii="方正小标宋简体" w:hAnsi="方正小标宋简体" w:eastAsia="方正小标宋简体" w:cs="方正小标宋简体"/>
          <w:spacing w:val="9"/>
          <w:sz w:val="43"/>
          <w:szCs w:val="43"/>
        </w:rPr>
        <w:t>行政执法主体资格清理表</w:t>
      </w:r>
    </w:p>
    <w:p w14:paraId="2A604B38">
      <w:pPr>
        <w:pStyle w:val="3"/>
        <w:spacing w:before="103" w:line="214" w:lineRule="auto"/>
        <w:ind w:left="2925"/>
        <w:outlineLvl w:val="0"/>
        <w:rPr>
          <w:rFonts w:ascii="Arial"/>
          <w:sz w:val="21"/>
        </w:rPr>
      </w:pPr>
      <w:r>
        <w:rPr>
          <w:spacing w:val="-1"/>
          <w:sz w:val="24"/>
          <w:szCs w:val="24"/>
        </w:rPr>
        <w:t>（此表由各级行政执法主体填写）</w:t>
      </w:r>
    </w:p>
    <w:p w14:paraId="07A1BAB2">
      <w:pPr>
        <w:spacing w:line="276" w:lineRule="auto"/>
        <w:rPr>
          <w:rFonts w:ascii="Arial"/>
          <w:sz w:val="21"/>
        </w:rPr>
      </w:pPr>
    </w:p>
    <w:p w14:paraId="5BEA714D">
      <w:pPr>
        <w:spacing w:line="276" w:lineRule="auto"/>
        <w:rPr>
          <w:rFonts w:ascii="Arial"/>
          <w:sz w:val="21"/>
        </w:rPr>
      </w:pPr>
    </w:p>
    <w:p w14:paraId="67F97897">
      <w:pPr>
        <w:spacing w:before="65" w:line="226" w:lineRule="auto"/>
        <w:ind w:left="306"/>
        <w:rPr>
          <w:rFonts w:hint="default" w:ascii="仿宋_GB2312" w:hAnsi="仿宋_GB2312" w:eastAsia="仿宋_GB2312" w:cs="仿宋_GB2312"/>
          <w:spacing w:val="13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2"/>
          <w:sz w:val="21"/>
          <w:szCs w:val="21"/>
        </w:rPr>
        <w:t>单位（公章</w:t>
      </w:r>
      <w:r>
        <w:rPr>
          <w:rFonts w:hint="eastAsia" w:ascii="仿宋_GB2312" w:hAnsi="仿宋_GB2312" w:eastAsia="仿宋_GB2312" w:cs="仿宋_GB2312"/>
          <w:spacing w:val="-50"/>
          <w:sz w:val="21"/>
          <w:szCs w:val="21"/>
        </w:rPr>
        <w:t>）：</w:t>
      </w:r>
      <w:r>
        <w:rPr>
          <w:rFonts w:hint="eastAsia" w:ascii="仿宋_GB2312" w:hAnsi="仿宋_GB2312" w:eastAsia="仿宋_GB2312" w:cs="仿宋_GB2312"/>
          <w:spacing w:val="13"/>
          <w:sz w:val="21"/>
          <w:szCs w:val="21"/>
          <w:lang w:val="en-US" w:eastAsia="zh-CN"/>
        </w:rPr>
        <w:t>广元市昭化区清水镇人民政府</w:t>
      </w:r>
    </w:p>
    <w:p w14:paraId="44E004E8">
      <w:pPr>
        <w:spacing w:before="65" w:line="226" w:lineRule="auto"/>
        <w:ind w:left="306"/>
        <w:rPr>
          <w:rFonts w:hint="eastAsia" w:ascii="仿宋_GB2312" w:hAnsi="仿宋_GB2312" w:eastAsia="仿宋_GB2312" w:cs="仿宋_GB2312"/>
          <w:sz w:val="21"/>
          <w:szCs w:val="21"/>
        </w:rPr>
      </w:pPr>
      <w:r>
        <w:rPr>
          <w:rFonts w:hint="eastAsia" w:ascii="仿宋_GB2312" w:hAnsi="仿宋_GB2312" w:eastAsia="仿宋_GB2312" w:cs="仿宋_GB2312"/>
          <w:spacing w:val="13"/>
          <w:sz w:val="21"/>
          <w:szCs w:val="21"/>
          <w:lang w:val="en-US" w:eastAsia="zh-CN"/>
        </w:rPr>
        <w:t>填表人：母洪妃       联系电话：1</w:t>
      </w:r>
      <w:r>
        <w:rPr>
          <w:rFonts w:hint="eastAsia" w:ascii="仿宋_GB2312" w:hAnsi="仿宋_GB2312" w:eastAsia="仿宋_GB2312" w:cs="仿宋_GB2312"/>
          <w:spacing w:val="10"/>
          <w:sz w:val="21"/>
          <w:szCs w:val="21"/>
          <w:lang w:val="en-US" w:eastAsia="zh-CN"/>
        </w:rPr>
        <w:t>3708096246</w:t>
      </w:r>
      <w:r>
        <w:rPr>
          <w:rFonts w:hint="eastAsia" w:ascii="仿宋_GB2312" w:hAnsi="仿宋_GB2312" w:eastAsia="仿宋_GB2312" w:cs="仿宋_GB2312"/>
          <w:spacing w:val="10"/>
          <w:sz w:val="21"/>
          <w:szCs w:val="21"/>
        </w:rPr>
        <w:t xml:space="preserve"> </w:t>
      </w:r>
      <w:r>
        <w:rPr>
          <w:rFonts w:hint="eastAsia" w:ascii="仿宋_GB2312" w:hAnsi="仿宋_GB2312" w:eastAsia="仿宋_GB2312" w:cs="仿宋_GB2312"/>
          <w:spacing w:val="10"/>
          <w:sz w:val="21"/>
          <w:szCs w:val="21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pacing w:val="2"/>
          <w:sz w:val="21"/>
          <w:szCs w:val="21"/>
        </w:rPr>
        <w:t>填表时间：</w:t>
      </w:r>
      <w:r>
        <w:rPr>
          <w:rFonts w:hint="eastAsia" w:ascii="仿宋_GB2312" w:hAnsi="仿宋_GB2312" w:eastAsia="仿宋_GB2312" w:cs="仿宋_GB2312"/>
          <w:spacing w:val="29"/>
          <w:sz w:val="21"/>
          <w:szCs w:val="21"/>
          <w:lang w:val="en-US" w:eastAsia="zh-CN"/>
        </w:rPr>
        <w:t>2025</w:t>
      </w:r>
      <w:r>
        <w:rPr>
          <w:rFonts w:hint="eastAsia" w:ascii="仿宋_GB2312" w:hAnsi="仿宋_GB2312" w:eastAsia="仿宋_GB2312" w:cs="仿宋_GB2312"/>
          <w:spacing w:val="2"/>
          <w:sz w:val="21"/>
          <w:szCs w:val="21"/>
        </w:rPr>
        <w:t>年</w:t>
      </w:r>
      <w:r>
        <w:rPr>
          <w:rFonts w:hint="eastAsia" w:ascii="仿宋_GB2312" w:hAnsi="仿宋_GB2312" w:eastAsia="仿宋_GB2312" w:cs="仿宋_GB2312"/>
          <w:spacing w:val="2"/>
          <w:sz w:val="21"/>
          <w:szCs w:val="21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pacing w:val="2"/>
          <w:sz w:val="21"/>
          <w:szCs w:val="21"/>
        </w:rPr>
        <w:t>月</w:t>
      </w:r>
      <w:r>
        <w:rPr>
          <w:rFonts w:hint="eastAsia" w:ascii="仿宋_GB2312" w:hAnsi="仿宋_GB2312" w:eastAsia="仿宋_GB2312" w:cs="仿宋_GB2312"/>
          <w:spacing w:val="28"/>
          <w:sz w:val="21"/>
          <w:szCs w:val="21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pacing w:val="2"/>
          <w:sz w:val="21"/>
          <w:szCs w:val="21"/>
        </w:rPr>
        <w:t>日</w:t>
      </w:r>
    </w:p>
    <w:p w14:paraId="6B985041">
      <w:pPr>
        <w:spacing w:line="50" w:lineRule="exact"/>
        <w:rPr>
          <w:rFonts w:hint="eastAsia" w:ascii="仿宋_GB2312" w:hAnsi="仿宋_GB2312" w:eastAsia="仿宋_GB2312" w:cs="仿宋_GB2312"/>
          <w:sz w:val="21"/>
          <w:szCs w:val="21"/>
        </w:rPr>
      </w:pPr>
    </w:p>
    <w:tbl>
      <w:tblPr>
        <w:tblStyle w:val="7"/>
        <w:tblW w:w="9425" w:type="dxa"/>
        <w:tblInd w:w="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8"/>
        <w:gridCol w:w="5467"/>
        <w:gridCol w:w="653"/>
        <w:gridCol w:w="1917"/>
      </w:tblGrid>
      <w:tr w14:paraId="542255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</w:trPr>
        <w:tc>
          <w:tcPr>
            <w:tcW w:w="1388" w:type="dxa"/>
            <w:tcBorders>
              <w:top w:val="single" w:color="000000" w:sz="6" w:space="0"/>
              <w:left w:val="single" w:color="000000" w:sz="6" w:space="0"/>
            </w:tcBorders>
            <w:vAlign w:val="top"/>
          </w:tcPr>
          <w:p w14:paraId="6C9FF934">
            <w:pPr>
              <w:pStyle w:val="6"/>
              <w:spacing w:before="183" w:line="222" w:lineRule="auto"/>
              <w:ind w:left="278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6"/>
                <w:sz w:val="21"/>
                <w:szCs w:val="21"/>
              </w:rPr>
              <w:t>单位全称</w:t>
            </w:r>
          </w:p>
        </w:tc>
        <w:tc>
          <w:tcPr>
            <w:tcW w:w="8037" w:type="dxa"/>
            <w:gridSpan w:val="3"/>
            <w:tcBorders>
              <w:top w:val="single" w:color="000000" w:sz="6" w:space="0"/>
              <w:right w:val="single" w:color="000000" w:sz="6" w:space="0"/>
            </w:tcBorders>
            <w:vAlign w:val="center"/>
          </w:tcPr>
          <w:p w14:paraId="6C45F91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hint="default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广元市昭化区清水镇人民政府</w:t>
            </w:r>
          </w:p>
        </w:tc>
      </w:tr>
      <w:tr w14:paraId="7F2D66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6" w:hRule="atLeast"/>
        </w:trPr>
        <w:tc>
          <w:tcPr>
            <w:tcW w:w="1388" w:type="dxa"/>
            <w:tcBorders>
              <w:left w:val="single" w:color="000000" w:sz="6" w:space="0"/>
            </w:tcBorders>
            <w:vAlign w:val="top"/>
          </w:tcPr>
          <w:p w14:paraId="7119DC21">
            <w:pPr>
              <w:pStyle w:val="6"/>
              <w:spacing w:before="72" w:line="223" w:lineRule="auto"/>
              <w:ind w:left="282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办公地址</w:t>
            </w:r>
          </w:p>
        </w:tc>
        <w:tc>
          <w:tcPr>
            <w:tcW w:w="5467" w:type="dxa"/>
            <w:vAlign w:val="center"/>
          </w:tcPr>
          <w:p w14:paraId="3FD85DF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广元市昭化区清水镇清水南路5号</w:t>
            </w:r>
          </w:p>
        </w:tc>
        <w:tc>
          <w:tcPr>
            <w:tcW w:w="653" w:type="dxa"/>
            <w:vAlign w:val="center"/>
          </w:tcPr>
          <w:p w14:paraId="5BB73C14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3" w:line="222" w:lineRule="auto"/>
              <w:ind w:left="123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邮编</w:t>
            </w:r>
          </w:p>
        </w:tc>
        <w:tc>
          <w:tcPr>
            <w:tcW w:w="1917" w:type="dxa"/>
            <w:tcBorders>
              <w:right w:val="single" w:color="000000" w:sz="6" w:space="0"/>
            </w:tcBorders>
            <w:vAlign w:val="center"/>
          </w:tcPr>
          <w:p w14:paraId="5284D55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hint="default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628024</w:t>
            </w:r>
          </w:p>
        </w:tc>
      </w:tr>
      <w:tr w14:paraId="00E8A0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388" w:type="dxa"/>
            <w:tcBorders>
              <w:left w:val="single" w:color="000000" w:sz="6" w:space="0"/>
            </w:tcBorders>
            <w:vAlign w:val="top"/>
          </w:tcPr>
          <w:p w14:paraId="2E49267A">
            <w:pPr>
              <w:pStyle w:val="6"/>
              <w:spacing w:before="98" w:line="222" w:lineRule="auto"/>
              <w:ind w:left="27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7"/>
                <w:sz w:val="21"/>
                <w:szCs w:val="21"/>
              </w:rPr>
              <w:t>机构性质</w:t>
            </w:r>
          </w:p>
        </w:tc>
        <w:tc>
          <w:tcPr>
            <w:tcW w:w="8037" w:type="dxa"/>
            <w:gridSpan w:val="3"/>
            <w:tcBorders>
              <w:right w:val="single" w:color="000000" w:sz="6" w:space="0"/>
            </w:tcBorders>
            <w:vAlign w:val="center"/>
          </w:tcPr>
          <w:p w14:paraId="1E9FE650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 w:right="0" w:firstLine="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6"/>
                <w:position w:val="-1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6"/>
                <w:position w:val="-1"/>
                <w:sz w:val="21"/>
                <w:szCs w:val="21"/>
              </w:rPr>
              <w:t>行政机关   □事业单位</w:t>
            </w:r>
            <w:r>
              <w:rPr>
                <w:rFonts w:hint="eastAsia" w:ascii="仿宋_GB2312" w:hAnsi="仿宋_GB2312" w:eastAsia="仿宋_GB2312" w:cs="仿宋_GB2312"/>
                <w:spacing w:val="11"/>
                <w:position w:val="-1"/>
                <w:sz w:val="21"/>
                <w:szCs w:val="21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pacing w:val="6"/>
                <w:position w:val="-1"/>
                <w:sz w:val="21"/>
                <w:szCs w:val="21"/>
              </w:rPr>
              <w:t>□内设机构</w:t>
            </w:r>
            <w:r>
              <w:rPr>
                <w:rFonts w:hint="eastAsia" w:ascii="仿宋_GB2312" w:hAnsi="仿宋_GB2312" w:eastAsia="仿宋_GB2312" w:cs="仿宋_GB2312"/>
                <w:spacing w:val="16"/>
                <w:position w:val="-1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6"/>
                <w:position w:val="-1"/>
                <w:sz w:val="21"/>
                <w:szCs w:val="21"/>
              </w:rPr>
              <w:t>□临时机构</w:t>
            </w:r>
            <w:r>
              <w:rPr>
                <w:rFonts w:hint="eastAsia" w:ascii="仿宋_GB2312" w:hAnsi="仿宋_GB2312" w:eastAsia="仿宋_GB2312" w:cs="仿宋_GB2312"/>
                <w:spacing w:val="12"/>
                <w:position w:val="-1"/>
                <w:sz w:val="21"/>
                <w:szCs w:val="21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pacing w:val="6"/>
                <w:position w:val="-1"/>
                <w:sz w:val="21"/>
                <w:szCs w:val="21"/>
              </w:rPr>
              <w:t>□其他</w:t>
            </w:r>
          </w:p>
        </w:tc>
      </w:tr>
      <w:tr w14:paraId="5BB719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388" w:type="dxa"/>
            <w:tcBorders>
              <w:left w:val="single" w:color="000000" w:sz="6" w:space="0"/>
              <w:right w:val="single" w:color="000000" w:sz="6" w:space="0"/>
            </w:tcBorders>
            <w:vAlign w:val="top"/>
          </w:tcPr>
          <w:p w14:paraId="03D3CA5C">
            <w:pPr>
              <w:pStyle w:val="6"/>
              <w:spacing w:before="53" w:line="224" w:lineRule="auto"/>
              <w:ind w:left="278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6"/>
                <w:sz w:val="21"/>
                <w:szCs w:val="21"/>
              </w:rPr>
              <w:t>执法主体</w:t>
            </w:r>
          </w:p>
          <w:p w14:paraId="363A310B">
            <w:pPr>
              <w:pStyle w:val="6"/>
              <w:spacing w:before="19" w:line="221" w:lineRule="auto"/>
              <w:ind w:left="492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</w:rPr>
              <w:t>类别</w:t>
            </w:r>
          </w:p>
        </w:tc>
        <w:tc>
          <w:tcPr>
            <w:tcW w:w="8037" w:type="dxa"/>
            <w:gridSpan w:val="3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C33A705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 w:right="0" w:firstLine="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1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11"/>
                <w:sz w:val="21"/>
                <w:szCs w:val="21"/>
              </w:rPr>
              <w:t xml:space="preserve">法定行政机关   </w:t>
            </w:r>
            <w:r>
              <w:rPr>
                <w:rFonts w:hint="eastAsia" w:ascii="仿宋_GB2312" w:hAnsi="仿宋_GB2312" w:eastAsia="仿宋_GB2312" w:cs="仿宋_GB2312"/>
                <w:spacing w:val="11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11"/>
                <w:sz w:val="21"/>
                <w:szCs w:val="21"/>
              </w:rPr>
              <w:t>法律法规规章授权的组织</w:t>
            </w:r>
            <w:r>
              <w:rPr>
                <w:rFonts w:hint="eastAsia" w:ascii="仿宋_GB2312" w:hAnsi="仿宋_GB2312" w:eastAsia="仿宋_GB2312" w:cs="仿宋_GB2312"/>
                <w:spacing w:val="48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0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10"/>
                <w:sz w:val="21"/>
                <w:szCs w:val="21"/>
              </w:rPr>
              <w:t>受委托的机关或组织</w:t>
            </w:r>
            <w:r>
              <w:rPr>
                <w:rFonts w:hint="eastAsia" w:ascii="仿宋_GB2312" w:hAnsi="仿宋_GB2312" w:eastAsia="仿宋_GB2312" w:cs="仿宋_GB2312"/>
                <w:spacing w:val="48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0"/>
                <w:sz w:val="21"/>
                <w:szCs w:val="21"/>
              </w:rPr>
              <w:t>□行使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9"/>
                <w:sz w:val="21"/>
                <w:szCs w:val="21"/>
              </w:rPr>
              <w:t>相对集中行政执法权的机关</w:t>
            </w:r>
          </w:p>
        </w:tc>
      </w:tr>
      <w:tr w14:paraId="59A54E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388" w:type="dxa"/>
            <w:tcBorders>
              <w:left w:val="single" w:color="000000" w:sz="6" w:space="0"/>
            </w:tcBorders>
            <w:vAlign w:val="top"/>
          </w:tcPr>
          <w:p w14:paraId="77446BB4">
            <w:pPr>
              <w:pStyle w:val="6"/>
              <w:spacing w:before="106" w:line="223" w:lineRule="auto"/>
              <w:ind w:left="278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6"/>
                <w:sz w:val="21"/>
                <w:szCs w:val="21"/>
              </w:rPr>
              <w:t>执法职权</w:t>
            </w:r>
          </w:p>
          <w:p w14:paraId="33F8DF1C">
            <w:pPr>
              <w:pStyle w:val="6"/>
              <w:spacing w:before="17" w:line="221" w:lineRule="auto"/>
              <w:ind w:left="492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</w:rPr>
              <w:t>类型</w:t>
            </w:r>
          </w:p>
        </w:tc>
        <w:tc>
          <w:tcPr>
            <w:tcW w:w="8037" w:type="dxa"/>
            <w:gridSpan w:val="3"/>
            <w:tcBorders>
              <w:right w:val="single" w:color="000000" w:sz="6" w:space="0"/>
            </w:tcBorders>
            <w:vAlign w:val="center"/>
          </w:tcPr>
          <w:p w14:paraId="45B158C1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 w:right="0" w:firstLine="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行政许可</w:t>
            </w:r>
            <w:r>
              <w:rPr>
                <w:rFonts w:hint="eastAsia" w:ascii="仿宋_GB2312" w:hAnsi="仿宋_GB2312" w:eastAsia="仿宋_GB2312" w:cs="仿宋_GB2312"/>
                <w:spacing w:val="30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行政处罚</w:t>
            </w:r>
            <w:r>
              <w:rPr>
                <w:rFonts w:hint="eastAsia" w:ascii="仿宋_GB2312" w:hAnsi="仿宋_GB2312" w:eastAsia="仿宋_GB2312" w:cs="仿宋_GB2312"/>
                <w:spacing w:val="23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行政强制</w:t>
            </w:r>
            <w:r>
              <w:rPr>
                <w:rFonts w:hint="eastAsia" w:ascii="仿宋_GB2312" w:hAnsi="仿宋_GB2312" w:eastAsia="仿宋_GB2312" w:cs="仿宋_GB2312"/>
                <w:spacing w:val="23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行政征收</w:t>
            </w:r>
          </w:p>
          <w:p w14:paraId="4A071451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 w:right="0" w:firstLine="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行政征用</w:t>
            </w:r>
            <w:r>
              <w:rPr>
                <w:rFonts w:hint="eastAsia" w:ascii="仿宋_GB2312" w:hAnsi="仿宋_GB2312" w:eastAsia="仿宋_GB2312" w:cs="仿宋_GB2312"/>
                <w:spacing w:val="23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行政检查</w:t>
            </w:r>
            <w:r>
              <w:rPr>
                <w:rFonts w:hint="eastAsia" w:ascii="仿宋_GB2312" w:hAnsi="仿宋_GB2312" w:eastAsia="仿宋_GB2312" w:cs="仿宋_GB2312"/>
                <w:spacing w:val="23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其他行政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执法行为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  <w:u w:val="single"/>
                <w:lang w:eastAsia="zh-CN"/>
              </w:rPr>
              <w:t>行政确认、行政裁决、行政给付、行政奖励、其他行政权利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 xml:space="preserve">       </w:t>
            </w:r>
          </w:p>
        </w:tc>
      </w:tr>
      <w:tr w14:paraId="37693B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388" w:type="dxa"/>
            <w:tcBorders>
              <w:left w:val="single" w:color="000000" w:sz="6" w:space="0"/>
              <w:bottom w:val="single" w:color="000000" w:sz="2" w:space="0"/>
            </w:tcBorders>
            <w:vAlign w:val="top"/>
          </w:tcPr>
          <w:p w14:paraId="2C8BD98F">
            <w:pPr>
              <w:pStyle w:val="6"/>
              <w:spacing w:before="129" w:line="221" w:lineRule="auto"/>
              <w:ind w:left="220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6"/>
                <w:sz w:val="21"/>
                <w:szCs w:val="21"/>
              </w:rPr>
              <w:t>经费来源</w:t>
            </w:r>
          </w:p>
        </w:tc>
        <w:tc>
          <w:tcPr>
            <w:tcW w:w="8037" w:type="dxa"/>
            <w:gridSpan w:val="3"/>
            <w:tcBorders>
              <w:bottom w:val="single" w:color="000000" w:sz="2" w:space="0"/>
              <w:right w:val="single" w:color="000000" w:sz="6" w:space="0"/>
            </w:tcBorders>
            <w:vAlign w:val="center"/>
          </w:tcPr>
          <w:p w14:paraId="39207463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 w:right="0" w:firstLine="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  <w:lang w:eastAsia="zh-CN"/>
              </w:rPr>
              <w:t>☑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财政全额拨款</w:t>
            </w:r>
            <w:r>
              <w:rPr>
                <w:rFonts w:hint="eastAsia" w:ascii="仿宋_GB2312" w:hAnsi="仿宋_GB2312" w:eastAsia="仿宋_GB2312" w:cs="仿宋_GB2312"/>
                <w:spacing w:val="19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□财政差额拨款</w:t>
            </w:r>
            <w:r>
              <w:rPr>
                <w:rFonts w:hint="eastAsia" w:ascii="仿宋_GB2312" w:hAnsi="仿宋_GB2312" w:eastAsia="仿宋_GB2312" w:cs="仿宋_GB2312"/>
                <w:spacing w:val="17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-5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自收自支</w:t>
            </w:r>
            <w:r>
              <w:rPr>
                <w:rFonts w:hint="eastAsia" w:ascii="仿宋_GB2312" w:hAnsi="仿宋_GB2312" w:eastAsia="仿宋_GB2312" w:cs="仿宋_GB2312"/>
                <w:spacing w:val="16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□其他</w:t>
            </w:r>
          </w:p>
        </w:tc>
      </w:tr>
      <w:tr w14:paraId="02E813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8" w:hRule="atLeast"/>
        </w:trPr>
        <w:tc>
          <w:tcPr>
            <w:tcW w:w="1388" w:type="dxa"/>
            <w:tcBorders>
              <w:top w:val="single" w:color="000000" w:sz="2" w:space="0"/>
              <w:left w:val="single" w:color="000000" w:sz="6" w:space="0"/>
              <w:bottom w:val="single" w:color="000000" w:sz="2" w:space="0"/>
            </w:tcBorders>
            <w:vAlign w:val="top"/>
          </w:tcPr>
          <w:p w14:paraId="01CA7D4D">
            <w:pPr>
              <w:spacing w:line="242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0C31C3D2">
            <w:pPr>
              <w:spacing w:line="242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137C80C0">
            <w:pPr>
              <w:spacing w:line="242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088C49B4">
            <w:pPr>
              <w:spacing w:line="242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04F7ABD4">
            <w:pPr>
              <w:spacing w:line="243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31110E74">
            <w:pPr>
              <w:pStyle w:val="6"/>
              <w:spacing w:before="78" w:line="216" w:lineRule="auto"/>
              <w:ind w:left="220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</w:rPr>
              <w:t>执法依据</w:t>
            </w:r>
          </w:p>
        </w:tc>
        <w:tc>
          <w:tcPr>
            <w:tcW w:w="8037" w:type="dxa"/>
            <w:gridSpan w:val="3"/>
            <w:tcBorders>
              <w:top w:val="single" w:color="000000" w:sz="2" w:space="0"/>
              <w:bottom w:val="single" w:color="000000" w:sz="2" w:space="0"/>
              <w:right w:val="single" w:color="000000" w:sz="6" w:space="0"/>
            </w:tcBorders>
            <w:vAlign w:val="top"/>
          </w:tcPr>
          <w:p w14:paraId="4A0B780A">
            <w:pPr>
              <w:pStyle w:val="2"/>
              <w:ind w:left="0" w:leftChars="0" w:firstLine="0" w:firstLineChars="0"/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一、行政处罚</w:t>
            </w:r>
          </w:p>
          <w:p w14:paraId="250A01E5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《四川省城乡规划条例》</w:t>
            </w:r>
          </w:p>
          <w:p w14:paraId="61558B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Style w:val="9"/>
                <w:color w:val="auto"/>
                <w:lang w:val="en-US" w:eastAsia="zh-CN" w:bidi="ar"/>
              </w:rPr>
            </w:pPr>
            <w:r>
              <w:rPr>
                <w:rStyle w:val="8"/>
                <w:rFonts w:hint="eastAsia"/>
                <w:color w:val="auto"/>
                <w:lang w:val="en-US" w:eastAsia="zh-CN" w:bidi="ar"/>
              </w:rPr>
              <w:t>2.</w:t>
            </w:r>
            <w:r>
              <w:rPr>
                <w:rStyle w:val="8"/>
                <w:rFonts w:eastAsia="宋体"/>
                <w:color w:val="auto"/>
                <w:lang w:val="en-US" w:eastAsia="zh-CN" w:bidi="ar"/>
              </w:rPr>
              <w:t>.</w:t>
            </w:r>
            <w:r>
              <w:rPr>
                <w:rStyle w:val="9"/>
                <w:color w:val="auto"/>
                <w:lang w:val="en-US" w:eastAsia="zh-CN" w:bidi="ar"/>
              </w:rPr>
              <w:t>《村庄和集镇规划建设管理条例》</w:t>
            </w:r>
          </w:p>
          <w:p w14:paraId="112F919C">
            <w:pPr>
              <w:rPr>
                <w:rStyle w:val="9"/>
                <w:color w:val="auto"/>
                <w:lang w:val="en-US" w:eastAsia="zh-CN" w:bidi="ar"/>
              </w:rPr>
            </w:pPr>
            <w:r>
              <w:rPr>
                <w:rStyle w:val="8"/>
                <w:rFonts w:hint="eastAsia"/>
                <w:color w:val="auto"/>
                <w:lang w:val="en-US" w:eastAsia="zh-CN" w:bidi="ar"/>
              </w:rPr>
              <w:t>3</w:t>
            </w:r>
            <w:r>
              <w:rPr>
                <w:rStyle w:val="8"/>
                <w:rFonts w:eastAsia="宋体"/>
                <w:color w:val="auto"/>
                <w:lang w:val="en-US" w:eastAsia="zh-CN" w:bidi="ar"/>
              </w:rPr>
              <w:t>.</w:t>
            </w:r>
            <w:r>
              <w:rPr>
                <w:rStyle w:val="9"/>
                <w:color w:val="auto"/>
                <w:lang w:val="en-US" w:eastAsia="zh-CN" w:bidi="ar"/>
              </w:rPr>
              <w:t>《四川省村镇规划建设管理条例》</w:t>
            </w:r>
          </w:p>
          <w:p w14:paraId="3BCE11F3">
            <w:pPr>
              <w:pStyle w:val="2"/>
              <w:ind w:left="0" w:leftChars="0" w:firstLine="0" w:firstLineChars="0"/>
              <w:rPr>
                <w:rStyle w:val="10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4.</w:t>
            </w:r>
            <w:r>
              <w:rPr>
                <w:rStyle w:val="10"/>
                <w:color w:val="auto"/>
                <w:lang w:val="en-US" w:eastAsia="zh-CN" w:bidi="ar"/>
              </w:rPr>
              <w:t>《四川省水上交通安全管理条例》</w:t>
            </w:r>
          </w:p>
          <w:p w14:paraId="1EDEF6BE">
            <w:pPr>
              <w:rPr>
                <w:rStyle w:val="10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5.</w:t>
            </w:r>
            <w:r>
              <w:rPr>
                <w:rStyle w:val="10"/>
                <w:color w:val="auto"/>
                <w:lang w:val="en-US" w:eastAsia="zh-CN" w:bidi="ar"/>
              </w:rPr>
              <w:t>《血吸虫病防治条例》</w:t>
            </w:r>
          </w:p>
          <w:p w14:paraId="72E017F6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《中华人民共和国城乡规划法》</w:t>
            </w:r>
          </w:p>
          <w:p w14:paraId="42E867CF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7.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《城市照明管理规定》</w:t>
            </w:r>
          </w:p>
          <w:p w14:paraId="0D256E8E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8.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《历史文化名城名镇名村保护条例》</w:t>
            </w:r>
          </w:p>
          <w:p w14:paraId="2D9D8263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9.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《城市市容和环境卫生管理条例》</w:t>
            </w:r>
          </w:p>
          <w:p w14:paraId="5EAC0CC1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《四川省城乡环境综合治理条例》</w:t>
            </w:r>
          </w:p>
          <w:p w14:paraId="42B99D43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11.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《城市建筑垃圾管理规定》</w:t>
            </w:r>
          </w:p>
          <w:p w14:paraId="191F2452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《城市生活垃圾管理办法》</w:t>
            </w:r>
          </w:p>
          <w:p w14:paraId="47C43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13.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《城市绿化条例》</w:t>
            </w:r>
          </w:p>
          <w:p w14:paraId="1FE9C145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14.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《四川省城市园林绿化条例》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《四川省城市供水条例》</w:t>
            </w:r>
          </w:p>
          <w:p w14:paraId="6B00C700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16.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《城市绿线管理办法》</w:t>
            </w:r>
          </w:p>
          <w:p w14:paraId="032B922D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17.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《中华人民共和国大气污染防治法》</w:t>
            </w:r>
          </w:p>
          <w:p w14:paraId="27FA3812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18.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《中华人民共和国公路法》</w:t>
            </w:r>
          </w:p>
          <w:p w14:paraId="4B3DDB83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19.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《公路安全保护条例》</w:t>
            </w:r>
          </w:p>
          <w:p w14:paraId="671889DE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20.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《四川省农村公路条例》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第四十四条第一款  任何单位和个人不得擅自占用、挖掘公路。</w:t>
            </w:r>
          </w:p>
          <w:p w14:paraId="6335B0E3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21.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《中华人民共和国水土保持法》</w:t>
            </w:r>
          </w:p>
          <w:p w14:paraId="27114326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22.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《四川省〈中华人民共和国防洪法〉实施办法》</w:t>
            </w:r>
          </w:p>
          <w:p w14:paraId="6855201C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23.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《四川省水利工程管理条例》</w:t>
            </w:r>
          </w:p>
          <w:p w14:paraId="66A0B17E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24.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《四川省村镇供水条例》</w:t>
            </w:r>
          </w:p>
          <w:p w14:paraId="283761E0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25.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《中华人民共和国河道管理条例》</w:t>
            </w:r>
          </w:p>
          <w:p w14:paraId="74B545D0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26.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《四川省水利工程管理条例》</w:t>
            </w:r>
          </w:p>
          <w:p w14:paraId="5C6D5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27.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《中华人民共和国土壤污染防治法》</w:t>
            </w:r>
          </w:p>
          <w:p w14:paraId="10BD65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28.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《农药包装废弃物回收处理管理办法》</w:t>
            </w:r>
          </w:p>
          <w:p w14:paraId="10142460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29.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《农用薄膜管理办法》</w:t>
            </w:r>
          </w:p>
          <w:p w14:paraId="5BEC2360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30.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《农作物病虫害防治条例》</w:t>
            </w:r>
          </w:p>
          <w:p w14:paraId="2C43B0B4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31.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《四川省饮用水水源保护管理条例》</w:t>
            </w:r>
          </w:p>
          <w:p w14:paraId="38B90783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32.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《四川省〈中华人民共和国农产品质量安全法〉实施办法》</w:t>
            </w:r>
          </w:p>
          <w:p w14:paraId="75A688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33.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《中华人民共和国农产品质量安全法》</w:t>
            </w:r>
          </w:p>
          <w:p w14:paraId="76AC3B07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34.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《农产品包装和标识管理办法》</w:t>
            </w:r>
          </w:p>
          <w:p w14:paraId="196760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35.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《农产品产地安全管理办法》</w:t>
            </w:r>
          </w:p>
          <w:p w14:paraId="7C8A2322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36.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《国务院关于加强食品等产品安全监督管理的特别规定》</w:t>
            </w:r>
          </w:p>
          <w:p w14:paraId="291E89F6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37.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《农业机械安全监督管理条例》</w:t>
            </w:r>
          </w:p>
          <w:p w14:paraId="7D1FD9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38.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《中华人民共和国农业机械化促进法》</w:t>
            </w:r>
          </w:p>
          <w:p w14:paraId="57049242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39.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《农业机械安全监督管理条例》</w:t>
            </w:r>
          </w:p>
          <w:p w14:paraId="53F69B91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40.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《四川省农村机电提灌管理条例》</w:t>
            </w:r>
          </w:p>
          <w:p w14:paraId="18E4C305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41.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《饲料和饲料添加剂管理条例》</w:t>
            </w:r>
          </w:p>
          <w:p w14:paraId="42F403DA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42.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《四川省〈中华人民共和国渔业法〉实施办法》</w:t>
            </w:r>
          </w:p>
          <w:p w14:paraId="2F4ADDF1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44.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《生猪屠宰管理条例》</w:t>
            </w:r>
          </w:p>
          <w:p w14:paraId="22D6F0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both"/>
              <w:textAlignment w:val="auto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45.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《农药管理条例》</w:t>
            </w:r>
          </w:p>
          <w:p w14:paraId="11F25820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46.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《农药经营许可管理办法》</w:t>
            </w:r>
          </w:p>
          <w:p w14:paraId="1CD9AC67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47.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《中华人民共和国渔业法》</w:t>
            </w:r>
          </w:p>
          <w:p w14:paraId="14EE0205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48.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《中华人民共和国土地管理法》</w:t>
            </w:r>
          </w:p>
          <w:p w14:paraId="5423D411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49.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《互联网上网服务营业场所管理条例》</w:t>
            </w:r>
          </w:p>
          <w:p w14:paraId="751F842E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50.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《营业性演出管理条例》</w:t>
            </w:r>
          </w:p>
          <w:p w14:paraId="64B09A8F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51.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《娱乐场所管理条例》《娱乐场所管理办法》</w:t>
            </w:r>
          </w:p>
          <w:p w14:paraId="4452CCB7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52.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《四川省娱乐场所管理办法》</w:t>
            </w:r>
          </w:p>
          <w:p w14:paraId="7CCB4022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53.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《烟花爆竹安全管理条例》《烟花爆竹经营许可实施办法》</w:t>
            </w:r>
          </w:p>
          <w:p w14:paraId="75698DA2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54.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《生产安全事故应急预案管理办法》</w:t>
            </w:r>
          </w:p>
          <w:p w14:paraId="50199726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55.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《四川省古树名木保护条例》</w:t>
            </w:r>
          </w:p>
          <w:p w14:paraId="20D5A952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56.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《森林防火条例》</w:t>
            </w:r>
          </w:p>
          <w:p w14:paraId="3F76C186">
            <w:pP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57.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《四川省森林防火条例》</w:t>
            </w:r>
          </w:p>
          <w:p w14:paraId="258DAEE2">
            <w:pPr>
              <w:pStyle w:val="2"/>
              <w:ind w:left="0" w:leftChars="0" w:firstLine="0" w:firstLineChars="0"/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58.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《四川省野生植物保护条例》</w:t>
            </w:r>
          </w:p>
          <w:p w14:paraId="12BD27CE">
            <w:pPr>
              <w:rPr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59.</w:t>
            </w:r>
            <w:r>
              <w:rPr>
                <w:rFonts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《中华人民共和国森林法》</w:t>
            </w:r>
          </w:p>
          <w:p w14:paraId="44DB18FC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二、行政许可</w:t>
            </w:r>
          </w:p>
          <w:p w14:paraId="1B96F9AC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1.《中华人民共和国义务教育法》</w:t>
            </w:r>
          </w:p>
          <w:p w14:paraId="24BC2FBC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2.《村庄和集镇规划建设管理条例》</w:t>
            </w:r>
          </w:p>
          <w:p w14:paraId="4911E5E9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3.《四川省村镇规划建设管理条例》</w:t>
            </w:r>
          </w:p>
          <w:p w14:paraId="6C91E54A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4.《四川省城乡规划条例》</w:t>
            </w:r>
          </w:p>
          <w:p w14:paraId="65C97A49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5.《四川省&lt;中华人民共和国土地管理法&gt;实施办法》</w:t>
            </w:r>
          </w:p>
          <w:p w14:paraId="3AC85687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6.《中华人民共和国农村土地承包法》</w:t>
            </w:r>
          </w:p>
          <w:p w14:paraId="072F15FD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7.《中华人民共和国土地管理法》</w:t>
            </w:r>
          </w:p>
          <w:p w14:paraId="7543D888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8.《四川省预防控制狂犬病条例》</w:t>
            </w:r>
          </w:p>
          <w:p w14:paraId="7588748E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三.行政确认</w:t>
            </w:r>
          </w:p>
          <w:p w14:paraId="064EC92E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1.《幼儿园管理条例》</w:t>
            </w:r>
          </w:p>
          <w:p w14:paraId="5F3137B1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2.《四川省水上交通安全管理条例》</w:t>
            </w:r>
          </w:p>
          <w:p w14:paraId="09E36AAA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3.《四川省食品安全条例》</w:t>
            </w:r>
          </w:p>
          <w:p w14:paraId="19E47221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4.《征兵工作条例》</w:t>
            </w:r>
          </w:p>
          <w:p w14:paraId="3E4E7ADA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5.《四川省农村机电提灌管理条例》</w:t>
            </w:r>
          </w:p>
          <w:p w14:paraId="41715F87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四.行政征收</w:t>
            </w:r>
          </w:p>
          <w:p w14:paraId="426E3F86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1.《中华人民共和国突发事件应对法》</w:t>
            </w:r>
          </w:p>
          <w:p w14:paraId="2DFF5E8A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2.《城市生活垃圾管理办法》</w:t>
            </w:r>
          </w:p>
          <w:p w14:paraId="7538C264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3.《污水处理费征收使用管理办法》</w:t>
            </w:r>
          </w:p>
          <w:p w14:paraId="081E82B0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4.《城市建筑垃圾管理规定》</w:t>
            </w:r>
          </w:p>
          <w:p w14:paraId="1BAC58F4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五.行政给付</w:t>
            </w:r>
          </w:p>
          <w:p w14:paraId="70443041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1.《森林病虫害防治条例》</w:t>
            </w:r>
          </w:p>
          <w:p w14:paraId="45E7A1FC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六.行政强制</w:t>
            </w:r>
          </w:p>
          <w:p w14:paraId="54B39EF7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1.《中华人民共和国电力法》</w:t>
            </w:r>
          </w:p>
          <w:p w14:paraId="50CF7816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2.《中华人民共和国禁毒法》</w:t>
            </w:r>
          </w:p>
          <w:p w14:paraId="5B0D69BC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3.《地质灾害防治条例》</w:t>
            </w:r>
          </w:p>
          <w:p w14:paraId="160EA60E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4.《中华人民共和国城乡规划法》</w:t>
            </w:r>
          </w:p>
          <w:p w14:paraId="46FBCEF2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七.行政裁决</w:t>
            </w:r>
          </w:p>
          <w:p w14:paraId="51E2A540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1.《中华人民共和国土地管理法》</w:t>
            </w:r>
          </w:p>
          <w:p w14:paraId="0A037E50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2.《土地权属争议调查处理办法》</w:t>
            </w:r>
          </w:p>
          <w:p w14:paraId="05A3AC3F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3.《中华人民共和国森林法》</w:t>
            </w:r>
          </w:p>
          <w:p w14:paraId="061F8246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八.其他类</w:t>
            </w:r>
          </w:p>
          <w:p w14:paraId="1768DE25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1.《中华人民共和国义务教育法》</w:t>
            </w:r>
          </w:p>
          <w:p w14:paraId="13B16543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2.《学校体育工作条例》</w:t>
            </w:r>
          </w:p>
          <w:p w14:paraId="598488D4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3.《中华人民共和国村民委员会组织法》</w:t>
            </w:r>
          </w:p>
          <w:p w14:paraId="7FE9B0A9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4.《殡葬管理条例》</w:t>
            </w:r>
          </w:p>
          <w:p w14:paraId="0574016C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5.《农村五保供养工作条例》</w:t>
            </w:r>
          </w:p>
          <w:p w14:paraId="36543DFB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6.《社会救助暂行办法》</w:t>
            </w:r>
          </w:p>
          <w:p w14:paraId="3329F4A5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7.《四川省〈农村五保供养工作条例〉实施办法》</w:t>
            </w:r>
          </w:p>
          <w:p w14:paraId="49B0E5A6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8.《中华人民共和国人民调解法》</w:t>
            </w:r>
          </w:p>
          <w:p w14:paraId="330CCD42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9.《民间纠纷处理办法》</w:t>
            </w:r>
          </w:p>
          <w:p w14:paraId="6CE24983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10.《四川省纠纷多元化解条例》</w:t>
            </w:r>
          </w:p>
          <w:p w14:paraId="2EFD14BF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11.《中华人民共和国土地管理法》</w:t>
            </w:r>
          </w:p>
          <w:p w14:paraId="46965DA4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12.《中华人民共和国城乡规划法》</w:t>
            </w:r>
          </w:p>
          <w:p w14:paraId="45D2664A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13.《村庄和集镇规划建设管理条例》</w:t>
            </w:r>
          </w:p>
          <w:p w14:paraId="5708011B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14.《四川省村镇规划建设管理条例》</w:t>
            </w:r>
          </w:p>
          <w:p w14:paraId="09C8EB17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15.《经济适用住房管理办法》</w:t>
            </w:r>
          </w:p>
          <w:p w14:paraId="3BEF3F0B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16.《物业管理条例》</w:t>
            </w:r>
          </w:p>
          <w:p w14:paraId="1FA85E78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17.《四川省物业管理条例》</w:t>
            </w:r>
          </w:p>
          <w:p w14:paraId="643EF225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18.《四川省城乡环境综合治理条例》</w:t>
            </w:r>
          </w:p>
          <w:p w14:paraId="7F6B342F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19.《四川省渡口管理办法》</w:t>
            </w:r>
          </w:p>
          <w:p w14:paraId="4EE79D87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20.《公路安全保护条例》</w:t>
            </w:r>
          </w:p>
          <w:p w14:paraId="0239F98B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21.《四川省农村公路条例》</w:t>
            </w:r>
          </w:p>
          <w:p w14:paraId="32D7EC23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22.《四川省农业机械管理条例》</w:t>
            </w:r>
          </w:p>
          <w:p w14:paraId="57888E06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23.《中华人民共和国农村土地承包法》</w:t>
            </w:r>
          </w:p>
          <w:p w14:paraId="78CBC35F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24.《农村土地承包经营权流转管理办法》</w:t>
            </w:r>
          </w:p>
          <w:p w14:paraId="5396BD22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25.《中华人民共和国农业法》</w:t>
            </w:r>
          </w:p>
          <w:p w14:paraId="435C4991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26.《中华人民共和国动物防疫法》</w:t>
            </w:r>
          </w:p>
          <w:p w14:paraId="4E1B71D8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27.《禁止非医学需要的胎儿性别鉴定和选择性别人工终止妊娠的规定》</w:t>
            </w:r>
          </w:p>
          <w:p w14:paraId="4E192B55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28.《四川省人口与计划生育条例》</w:t>
            </w:r>
          </w:p>
          <w:p w14:paraId="60EAAF0B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29.《四川省安全生产条例》</w:t>
            </w:r>
          </w:p>
          <w:p w14:paraId="0858AE2B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30.《自然灾害救助条例》</w:t>
            </w:r>
          </w:p>
          <w:p w14:paraId="367761D7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31.《四川省食品安全条例》</w:t>
            </w:r>
          </w:p>
          <w:p w14:paraId="0A4F2903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32.《中华人民共和国乡村集体所有制企业条例》</w:t>
            </w:r>
          </w:p>
          <w:p w14:paraId="4BE54280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33.《健身气功管理办法》</w:t>
            </w:r>
          </w:p>
          <w:p w14:paraId="16C447B0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34.《大中型水利水电工程建设征地补偿和移民安置条例》</w:t>
            </w:r>
          </w:p>
          <w:p w14:paraId="5D606BE6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35.《中华人民共和国妇女权益保障法》</w:t>
            </w:r>
          </w:p>
          <w:p w14:paraId="77E3B27D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36.《中华人民共和国传染病防治法实施办法》</w:t>
            </w:r>
          </w:p>
          <w:p w14:paraId="3A77E27D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37.《中华人民共和国禁毒法》</w:t>
            </w:r>
          </w:p>
          <w:p w14:paraId="36D45B74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38.《中华人民共和国突发事件应对法》</w:t>
            </w:r>
          </w:p>
          <w:p w14:paraId="56590AA4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39.《畜禽规模养殖污染防治条例》</w:t>
            </w:r>
          </w:p>
          <w:p w14:paraId="2D51B89B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40.《四川省环境保护条例》</w:t>
            </w:r>
          </w:p>
          <w:p w14:paraId="2E51574A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41.《保障农民工工资支付条例》</w:t>
            </w:r>
          </w:p>
          <w:p w14:paraId="6F39EB96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42.《禁止使用童工规定》</w:t>
            </w:r>
          </w:p>
          <w:p w14:paraId="0F16A111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43.《征兵工作条例》</w:t>
            </w:r>
          </w:p>
          <w:p w14:paraId="6C67F576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44.《中华人民共和国土地管理法实施条例》</w:t>
            </w:r>
          </w:p>
          <w:p w14:paraId="18058107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45.《四川省〈中华人民共和国土地管理法〉实施办法》</w:t>
            </w:r>
          </w:p>
          <w:p w14:paraId="6F1508F4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46.《商品房屋租赁管理办法》</w:t>
            </w:r>
          </w:p>
          <w:p w14:paraId="251A9D11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47.《中华人民共和国动物防疫法》</w:t>
            </w:r>
          </w:p>
          <w:p w14:paraId="1746120B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48.《中华人民共和国畜牧法》</w:t>
            </w:r>
          </w:p>
          <w:p w14:paraId="1B51F69F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49.《中华人民共和国体育法》</w:t>
            </w:r>
          </w:p>
          <w:p w14:paraId="20A0DDB0">
            <w:pPr>
              <w:pStyle w:val="2"/>
              <w:ind w:left="0" w:leftChars="0" w:firstLine="0" w:firstLineChars="0"/>
              <w:rPr>
                <w:rStyle w:val="10"/>
                <w:rFonts w:hint="eastAsia"/>
                <w:color w:val="auto"/>
                <w:lang w:val="en-US" w:eastAsia="zh-CN" w:bidi="ar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50.《四川省全民健身条例》</w:t>
            </w:r>
          </w:p>
          <w:p w14:paraId="13259648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Style w:val="10"/>
                <w:rFonts w:hint="eastAsia"/>
                <w:color w:val="auto"/>
                <w:lang w:val="en-US" w:eastAsia="zh-CN" w:bidi="ar"/>
              </w:rPr>
              <w:t>51.《森林防火条例》</w:t>
            </w:r>
          </w:p>
        </w:tc>
      </w:tr>
      <w:tr w14:paraId="4113A3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9" w:hRule="atLeast"/>
        </w:trPr>
        <w:tc>
          <w:tcPr>
            <w:tcW w:w="1388" w:type="dxa"/>
            <w:tcBorders>
              <w:top w:val="single" w:color="000000" w:sz="2" w:space="0"/>
              <w:left w:val="single" w:color="000000" w:sz="6" w:space="0"/>
              <w:bottom w:val="single" w:color="000000" w:sz="2" w:space="0"/>
            </w:tcBorders>
            <w:vAlign w:val="top"/>
          </w:tcPr>
          <w:p w14:paraId="0304A3F9">
            <w:pPr>
              <w:spacing w:line="329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2DFA7E35">
            <w:pPr>
              <w:pStyle w:val="6"/>
              <w:spacing w:before="78" w:line="219" w:lineRule="auto"/>
              <w:ind w:left="454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5"/>
                <w:sz w:val="21"/>
                <w:szCs w:val="21"/>
              </w:rPr>
              <w:t>部门</w:t>
            </w:r>
          </w:p>
          <w:p w14:paraId="40187FCD">
            <w:pPr>
              <w:pStyle w:val="6"/>
              <w:spacing w:before="115" w:line="214" w:lineRule="auto"/>
              <w:ind w:left="210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（单位）</w:t>
            </w:r>
          </w:p>
          <w:p w14:paraId="2871A5DE">
            <w:pPr>
              <w:pStyle w:val="6"/>
              <w:spacing w:before="123" w:line="219" w:lineRule="auto"/>
              <w:ind w:left="469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3"/>
                <w:sz w:val="21"/>
                <w:szCs w:val="21"/>
              </w:rPr>
              <w:t>意见</w:t>
            </w:r>
          </w:p>
        </w:tc>
        <w:tc>
          <w:tcPr>
            <w:tcW w:w="8037" w:type="dxa"/>
            <w:gridSpan w:val="3"/>
            <w:tcBorders>
              <w:top w:val="single" w:color="000000" w:sz="2" w:space="0"/>
              <w:bottom w:val="single" w:color="000000" w:sz="2" w:space="0"/>
              <w:right w:val="single" w:color="000000" w:sz="6" w:space="0"/>
            </w:tcBorders>
            <w:vAlign w:val="top"/>
          </w:tcPr>
          <w:p w14:paraId="6D19A0E5">
            <w:pPr>
              <w:spacing w:line="30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35ADDCAA">
            <w:pPr>
              <w:spacing w:line="30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05745582">
            <w:pPr>
              <w:spacing w:line="308" w:lineRule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28376A86">
            <w:pPr>
              <w:pStyle w:val="6"/>
              <w:spacing w:before="78" w:line="214" w:lineRule="auto"/>
              <w:ind w:left="360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负责人签字</w:t>
            </w:r>
            <w:r>
              <w:rPr>
                <w:rFonts w:hint="eastAsia" w:ascii="仿宋_GB2312" w:hAnsi="仿宋_GB2312" w:eastAsia="仿宋_GB2312" w:cs="仿宋_GB2312"/>
                <w:spacing w:val="-32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 xml:space="preserve">                     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 xml:space="preserve">           </w:t>
            </w:r>
            <w:r>
              <w:rPr>
                <w:rFonts w:hint="eastAsia" w:ascii="仿宋_GB2312" w:hAnsi="仿宋_GB2312" w:eastAsia="仿宋_GB2312" w:cs="仿宋_GB2312"/>
                <w:spacing w:val="-32"/>
                <w:sz w:val="21"/>
                <w:szCs w:val="21"/>
              </w:rPr>
              <w:t>（</w:t>
            </w: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盖章）</w:t>
            </w:r>
          </w:p>
          <w:p w14:paraId="7E364E89">
            <w:pPr>
              <w:pStyle w:val="6"/>
              <w:spacing w:before="123" w:line="215" w:lineRule="auto"/>
              <w:ind w:left="5631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2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pacing w:val="7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12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spacing w:val="18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12"/>
                <w:sz w:val="21"/>
                <w:szCs w:val="21"/>
              </w:rPr>
              <w:t>日</w:t>
            </w:r>
          </w:p>
        </w:tc>
      </w:tr>
      <w:tr w14:paraId="743F8F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</w:trPr>
        <w:tc>
          <w:tcPr>
            <w:tcW w:w="1388" w:type="dxa"/>
            <w:tcBorders>
              <w:top w:val="single" w:color="000000" w:sz="2" w:space="0"/>
              <w:left w:val="single" w:color="000000" w:sz="6" w:space="0"/>
              <w:bottom w:val="single" w:color="000000" w:sz="6" w:space="0"/>
            </w:tcBorders>
            <w:vAlign w:val="top"/>
          </w:tcPr>
          <w:p w14:paraId="5F143166">
            <w:pPr>
              <w:pStyle w:val="6"/>
              <w:spacing w:before="264" w:line="216" w:lineRule="auto"/>
              <w:ind w:left="457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7"/>
                <w:sz w:val="21"/>
                <w:szCs w:val="21"/>
              </w:rPr>
              <w:t>备注</w:t>
            </w:r>
          </w:p>
        </w:tc>
        <w:tc>
          <w:tcPr>
            <w:tcW w:w="8037" w:type="dxa"/>
            <w:gridSpan w:val="3"/>
            <w:tcBorders>
              <w:top w:val="single" w:color="000000" w:sz="2" w:space="0"/>
              <w:bottom w:val="single" w:color="000000" w:sz="6" w:space="0"/>
              <w:right w:val="single" w:color="000000" w:sz="6" w:space="0"/>
            </w:tcBorders>
            <w:vAlign w:val="top"/>
          </w:tcPr>
          <w:p w14:paraId="35B96E23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</w:tbl>
    <w:p w14:paraId="21161A45">
      <w:pPr>
        <w:pStyle w:val="3"/>
        <w:spacing w:before="62" w:line="224" w:lineRule="auto"/>
        <w:ind w:left="725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b/>
          <w:bCs/>
          <w:spacing w:val="4"/>
          <w:sz w:val="20"/>
          <w:szCs w:val="20"/>
        </w:rPr>
        <w:t>填表说明：</w:t>
      </w:r>
    </w:p>
    <w:p w14:paraId="106E7966">
      <w:pPr>
        <w:pStyle w:val="3"/>
        <w:spacing w:before="58" w:line="249" w:lineRule="auto"/>
        <w:ind w:left="305" w:right="299" w:firstLine="433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pacing w:val="10"/>
          <w:sz w:val="20"/>
          <w:szCs w:val="20"/>
        </w:rPr>
        <w:t>1.执法职权类型按照本单位实际行使的行政执法权类别填写，没有的在</w:t>
      </w:r>
      <w:r>
        <w:rPr>
          <w:rFonts w:hint="eastAsia" w:ascii="仿宋_GB2312" w:hAnsi="仿宋_GB2312" w:eastAsia="仿宋_GB2312" w:cs="仿宋_GB2312"/>
          <w:spacing w:val="9"/>
          <w:sz w:val="20"/>
          <w:szCs w:val="20"/>
        </w:rPr>
        <w:t>备注栏填无。有本表未列明的其他执法职权类型的，写明实际执法类型名称。</w:t>
      </w:r>
    </w:p>
    <w:p w14:paraId="43C80ABE">
      <w:pPr>
        <w:pStyle w:val="3"/>
        <w:spacing w:before="61" w:line="250" w:lineRule="auto"/>
        <w:ind w:left="318" w:right="301" w:firstLine="414"/>
        <w:rPr>
          <w:rFonts w:hint="eastAsia" w:ascii="仿宋_GB2312" w:hAnsi="仿宋_GB2312" w:eastAsia="仿宋_GB2312" w:cs="仿宋_GB2312"/>
          <w:sz w:val="20"/>
          <w:szCs w:val="20"/>
        </w:rPr>
      </w:pPr>
      <w:r>
        <w:rPr>
          <w:rFonts w:hint="eastAsia" w:ascii="仿宋_GB2312" w:hAnsi="仿宋_GB2312" w:eastAsia="仿宋_GB2312" w:cs="仿宋_GB2312"/>
          <w:spacing w:val="10"/>
          <w:sz w:val="20"/>
          <w:szCs w:val="20"/>
        </w:rPr>
        <w:t>2.执法依据应当根据执法职权类型，分别填写相关依据。依据应当为</w:t>
      </w:r>
      <w:r>
        <w:rPr>
          <w:rFonts w:hint="eastAsia" w:ascii="仿宋_GB2312" w:hAnsi="仿宋_GB2312" w:eastAsia="仿宋_GB2312" w:cs="仿宋_GB2312"/>
          <w:spacing w:val="9"/>
          <w:sz w:val="20"/>
          <w:szCs w:val="20"/>
        </w:rPr>
        <w:t>规章以上的依据，</w:t>
      </w:r>
      <w:r>
        <w:rPr>
          <w:rFonts w:hint="eastAsia" w:ascii="仿宋_GB2312" w:hAnsi="仿宋_GB2312" w:eastAsia="仿宋_GB2312" w:cs="仿宋_GB2312"/>
          <w:b/>
          <w:bCs/>
          <w:spacing w:val="9"/>
          <w:sz w:val="20"/>
          <w:szCs w:val="20"/>
        </w:rPr>
        <w:t>列明</w:t>
      </w:r>
      <w:r>
        <w:rPr>
          <w:rFonts w:hint="eastAsia" w:ascii="仿宋_GB2312" w:hAnsi="仿宋_GB2312" w:eastAsia="仿宋_GB2312" w:cs="仿宋_GB2312"/>
          <w:b/>
          <w:bCs/>
          <w:spacing w:val="7"/>
          <w:sz w:val="20"/>
          <w:szCs w:val="20"/>
        </w:rPr>
        <w:t>至少一项</w:t>
      </w:r>
      <w:r>
        <w:rPr>
          <w:rFonts w:hint="eastAsia" w:ascii="仿宋_GB2312" w:hAnsi="仿宋_GB2312" w:eastAsia="仿宋_GB2312" w:cs="仿宋_GB2312"/>
          <w:spacing w:val="7"/>
          <w:sz w:val="20"/>
          <w:szCs w:val="20"/>
        </w:rPr>
        <w:t>依据名称和具体条款内容。</w:t>
      </w:r>
    </w:p>
    <w:p w14:paraId="531ABA43">
      <w:pPr>
        <w:ind w:left="0" w:leftChars="0" w:firstLine="0" w:firstLineChars="0"/>
      </w:pPr>
    </w:p>
    <w:sectPr>
      <w:footerReference r:id="rId5" w:type="default"/>
      <w:pgSz w:w="11906" w:h="16838"/>
      <w:pgMar w:top="1429" w:right="1174" w:bottom="1808" w:left="12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FangSong_GB2312">
    <w:altName w:val="仿宋_GB2312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949586">
    <w:pPr>
      <w:spacing w:line="328" w:lineRule="exact"/>
      <w:ind w:left="7883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pacing w:val="-4"/>
        <w:position w:val="1"/>
        <w:sz w:val="28"/>
        <w:szCs w:val="28"/>
      </w:rPr>
      <w:t>—</w:t>
    </w:r>
    <w:r>
      <w:rPr>
        <w:rFonts w:ascii="Times New Roman" w:hAnsi="Times New Roman" w:eastAsia="Times New Roman" w:cs="Times New Roman"/>
        <w:spacing w:val="6"/>
        <w:position w:val="1"/>
        <w:sz w:val="28"/>
        <w:szCs w:val="28"/>
      </w:rPr>
      <w:t xml:space="preserve">  </w:t>
    </w:r>
    <w:r>
      <w:rPr>
        <w:rFonts w:ascii="Times New Roman" w:hAnsi="Times New Roman" w:eastAsia="Times New Roman" w:cs="Times New Roman"/>
        <w:spacing w:val="-4"/>
        <w:position w:val="1"/>
        <w:sz w:val="28"/>
        <w:szCs w:val="28"/>
      </w:rPr>
      <w:t>3</w:t>
    </w:r>
    <w:r>
      <w:rPr>
        <w:rFonts w:ascii="Times New Roman" w:hAnsi="Times New Roman" w:eastAsia="Times New Roman" w:cs="Times New Roman"/>
        <w:spacing w:val="68"/>
        <w:position w:val="1"/>
        <w:sz w:val="28"/>
        <w:szCs w:val="28"/>
      </w:rPr>
      <w:t xml:space="preserve"> </w:t>
    </w:r>
    <w:r>
      <w:rPr>
        <w:rFonts w:ascii="Times New Roman" w:hAnsi="Times New Roman" w:eastAsia="Times New Roman" w:cs="Times New Roman"/>
        <w:spacing w:val="-4"/>
        <w:position w:val="1"/>
        <w:sz w:val="28"/>
        <w:szCs w:val="28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CE13B7"/>
    <w:rsid w:val="10EF0934"/>
    <w:rsid w:val="1B634D6B"/>
    <w:rsid w:val="25D52D09"/>
    <w:rsid w:val="27E64979"/>
    <w:rsid w:val="3716785C"/>
    <w:rsid w:val="446058AE"/>
    <w:rsid w:val="48D569F9"/>
    <w:rsid w:val="4AAB352A"/>
    <w:rsid w:val="4D7C76B3"/>
    <w:rsid w:val="54CD3C6B"/>
    <w:rsid w:val="5A6951F3"/>
    <w:rsid w:val="5BE4114B"/>
    <w:rsid w:val="5F0534E4"/>
    <w:rsid w:val="74F55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figures"/>
    <w:next w:val="1"/>
    <w:qFormat/>
    <w:uiPriority w:val="0"/>
    <w:pPr>
      <w:widowControl w:val="0"/>
      <w:ind w:left="200" w:leftChars="200" w:hanging="200" w:hangingChars="20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Body Text"/>
    <w:basedOn w:val="1"/>
    <w:semiHidden/>
    <w:qFormat/>
    <w:uiPriority w:val="0"/>
    <w:rPr>
      <w:rFonts w:ascii="FangSong_GB2312" w:hAnsi="FangSong_GB2312" w:eastAsia="FangSong_GB2312" w:cs="FangSong_GB2312"/>
      <w:sz w:val="31"/>
      <w:szCs w:val="31"/>
      <w:lang w:val="en-US" w:eastAsia="en-US" w:bidi="ar-SA"/>
    </w:rPr>
  </w:style>
  <w:style w:type="paragraph" w:customStyle="1" w:styleId="6">
    <w:name w:val="Table Text"/>
    <w:basedOn w:val="1"/>
    <w:semiHidden/>
    <w:qFormat/>
    <w:uiPriority w:val="0"/>
    <w:rPr>
      <w:rFonts w:ascii="FangSong_GB2312" w:hAnsi="FangSong_GB2312" w:eastAsia="FangSong_GB2312" w:cs="FangSong_GB2312"/>
      <w:sz w:val="20"/>
      <w:szCs w:val="20"/>
      <w:lang w:val="en-US" w:eastAsia="en-US" w:bidi="ar-SA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8">
    <w:name w:val="font71"/>
    <w:basedOn w:val="5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9">
    <w:name w:val="font51"/>
    <w:basedOn w:val="5"/>
    <w:qFormat/>
    <w:uiPriority w:val="0"/>
    <w:rPr>
      <w:rFonts w:ascii="宋体" w:hAnsi="宋体" w:eastAsia="宋体" w:cs="宋体"/>
      <w:color w:val="000000"/>
      <w:sz w:val="21"/>
      <w:szCs w:val="21"/>
      <w:u w:val="none"/>
    </w:rPr>
  </w:style>
  <w:style w:type="character" w:customStyle="1" w:styleId="10">
    <w:name w:val="font31"/>
    <w:basedOn w:val="5"/>
    <w:qFormat/>
    <w:uiPriority w:val="0"/>
    <w:rPr>
      <w:rFonts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2492</Words>
  <Characters>2738</Characters>
  <Lines>0</Lines>
  <Paragraphs>0</Paragraphs>
  <TotalTime>1</TotalTime>
  <ScaleCrop>false</ScaleCrop>
  <LinksUpToDate>false</LinksUpToDate>
  <CharactersWithSpaces>2845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2024-06-11T08:40:00Z</dcterms:created>
  <dc:creator>11439</dc:creator>
  <cp:lastModifiedBy>洪妃</cp:lastModifiedBy>
  <dcterms:modified xsi:type="dcterms:W3CDTF">2025-04-09T01:14:34Z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29F3BF4B68244F99AF41FBE4CA52CA89_12</vt:lpwstr>
  </property>
  <property fmtid="{D5CDD505-2E9C-101B-9397-08002B2CF9AE}" pid="4" name="KSOTemplateDocerSaveRecord">
    <vt:lpwstr>eyJoZGlkIjoiMjhjZjRmZTdmZjQyOTg3NjI5ZWFlM2U1YzJlYzk1MTUiLCJ1c2VySWQiOiI1MDk4NDQ0MjcifQ==</vt:lpwstr>
  </property>
</Properties>
</file>