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A518FFB">
      <w:pPr>
        <w:spacing w:line="600" w:lineRule="exact"/>
        <w:jc w:val="center"/>
        <w:outlineLvl w:val="0"/>
        <w:rPr>
          <w:rFonts w:ascii="方正小标宋简体" w:hAnsi="宋体" w:eastAsia="方正小标宋简体"/>
          <w:color w:val="000000"/>
          <w:sz w:val="72"/>
          <w:szCs w:val="72"/>
        </w:rPr>
      </w:pPr>
      <w:bookmarkStart w:id="0" w:name="_Toc15306267"/>
    </w:p>
    <w:p w14:paraId="28E35055">
      <w:pPr>
        <w:spacing w:line="600" w:lineRule="exact"/>
        <w:jc w:val="center"/>
        <w:outlineLvl w:val="0"/>
        <w:rPr>
          <w:rFonts w:ascii="方正小标宋简体" w:hAnsi="宋体" w:eastAsia="方正小标宋简体"/>
          <w:color w:val="000000"/>
          <w:sz w:val="72"/>
          <w:szCs w:val="72"/>
        </w:rPr>
      </w:pPr>
    </w:p>
    <w:p w14:paraId="5B2A3BD9">
      <w:pPr>
        <w:spacing w:line="600" w:lineRule="exact"/>
        <w:jc w:val="center"/>
        <w:outlineLvl w:val="0"/>
        <w:rPr>
          <w:rFonts w:ascii="方正小标宋简体" w:hAnsi="宋体" w:eastAsia="方正小标宋简体"/>
          <w:color w:val="000000"/>
          <w:sz w:val="72"/>
          <w:szCs w:val="72"/>
        </w:rPr>
      </w:pPr>
    </w:p>
    <w:p w14:paraId="249BA522">
      <w:pPr>
        <w:spacing w:line="600" w:lineRule="exact"/>
        <w:jc w:val="center"/>
        <w:outlineLvl w:val="0"/>
        <w:rPr>
          <w:rFonts w:ascii="方正小标宋简体" w:hAnsi="宋体" w:eastAsia="方正小标宋简体"/>
          <w:color w:val="000000"/>
          <w:sz w:val="72"/>
          <w:szCs w:val="72"/>
        </w:rPr>
      </w:pPr>
    </w:p>
    <w:p w14:paraId="725984AD">
      <w:pPr>
        <w:adjustRightInd w:val="0"/>
        <w:snapToGrid w:val="0"/>
        <w:spacing w:line="360" w:lineRule="auto"/>
        <w:jc w:val="center"/>
        <w:outlineLvl w:val="0"/>
        <w:rPr>
          <w:rFonts w:ascii="方正小标宋简体" w:hAnsi="宋体" w:eastAsia="方正小标宋简体"/>
          <w:color w:val="000000"/>
          <w:sz w:val="72"/>
          <w:szCs w:val="72"/>
        </w:rPr>
      </w:pPr>
      <w:bookmarkStart w:id="1" w:name="_Toc15396475"/>
      <w:bookmarkStart w:id="2" w:name="_Toc15378441"/>
      <w:bookmarkStart w:id="3" w:name="_Toc15396597"/>
      <w:bookmarkStart w:id="4" w:name="_Toc15377193"/>
      <w:bookmarkStart w:id="5" w:name="_Toc15377425"/>
      <w:r>
        <w:rPr>
          <w:rFonts w:ascii="黑体" w:hAnsi="黑体" w:eastAsia="黑体"/>
          <w:color w:val="000000"/>
          <w:sz w:val="72"/>
          <w:szCs w:val="72"/>
        </w:rPr>
        <w:t>201</w:t>
      </w:r>
      <w:r>
        <w:rPr>
          <w:rFonts w:hint="eastAsia" w:ascii="黑体" w:hAnsi="黑体" w:eastAsia="黑体"/>
          <w:color w:val="000000"/>
          <w:sz w:val="72"/>
          <w:szCs w:val="72"/>
        </w:rPr>
        <w:t>9</w:t>
      </w:r>
      <w:r>
        <w:rPr>
          <w:rFonts w:hint="eastAsia" w:ascii="方正小标宋简体" w:hAnsi="宋体" w:eastAsia="方正小标宋简体"/>
          <w:color w:val="000000"/>
          <w:sz w:val="72"/>
          <w:szCs w:val="72"/>
        </w:rPr>
        <w:t>年度</w:t>
      </w:r>
      <w:bookmarkEnd w:id="1"/>
      <w:bookmarkEnd w:id="2"/>
      <w:bookmarkEnd w:id="3"/>
      <w:bookmarkEnd w:id="4"/>
      <w:bookmarkEnd w:id="5"/>
    </w:p>
    <w:p w14:paraId="7B30AAE0">
      <w:pPr>
        <w:adjustRightInd w:val="0"/>
        <w:snapToGrid w:val="0"/>
        <w:spacing w:line="360" w:lineRule="auto"/>
        <w:jc w:val="center"/>
        <w:outlineLvl w:val="0"/>
        <w:rPr>
          <w:rFonts w:ascii="方正小标宋简体" w:hAnsi="宋体" w:eastAsia="方正小标宋简体"/>
          <w:color w:val="000000"/>
          <w:sz w:val="72"/>
          <w:szCs w:val="72"/>
        </w:rPr>
      </w:pPr>
      <w:bookmarkStart w:id="6" w:name="_Toc15377194"/>
      <w:bookmarkStart w:id="7" w:name="_Toc15377426"/>
      <w:bookmarkStart w:id="8" w:name="_Toc15378442"/>
      <w:bookmarkStart w:id="9" w:name="_Toc15396598"/>
      <w:bookmarkStart w:id="10" w:name="_Toc15396476"/>
      <w:r>
        <w:rPr>
          <w:rFonts w:hint="eastAsia" w:ascii="方正小标宋简体" w:hAnsi="宋体" w:eastAsia="方正小标宋简体"/>
          <w:color w:val="000000"/>
          <w:sz w:val="72"/>
          <w:szCs w:val="72"/>
        </w:rPr>
        <w:t>四川省</w:t>
      </w:r>
      <w:bookmarkEnd w:id="0"/>
      <w:bookmarkStart w:id="11" w:name="_Toc15306268"/>
      <w:r>
        <w:rPr>
          <w:rFonts w:hint="eastAsia" w:ascii="方正小标宋简体" w:hAnsi="宋体" w:eastAsia="方正小标宋简体"/>
          <w:color w:val="000000"/>
          <w:sz w:val="72"/>
          <w:szCs w:val="72"/>
          <w:lang w:eastAsia="zh-CN"/>
        </w:rPr>
        <w:t>广元市丁家乡</w:t>
      </w:r>
      <w:r>
        <w:rPr>
          <w:rFonts w:hint="eastAsia" w:ascii="方正小标宋简体" w:hAnsi="宋体" w:eastAsia="方正小标宋简体"/>
          <w:color w:val="000000"/>
          <w:sz w:val="72"/>
          <w:szCs w:val="72"/>
          <w:lang w:val="en-US" w:eastAsia="zh-CN"/>
        </w:rPr>
        <w:t xml:space="preserve">    </w:t>
      </w:r>
      <w:r>
        <w:rPr>
          <w:rFonts w:hint="eastAsia" w:ascii="方正小标宋简体" w:hAnsi="宋体" w:eastAsia="方正小标宋简体"/>
          <w:color w:val="000000"/>
          <w:sz w:val="72"/>
          <w:szCs w:val="72"/>
        </w:rPr>
        <w:t>部门决算</w:t>
      </w:r>
      <w:bookmarkEnd w:id="6"/>
      <w:bookmarkEnd w:id="7"/>
      <w:bookmarkEnd w:id="8"/>
      <w:bookmarkEnd w:id="9"/>
      <w:bookmarkEnd w:id="10"/>
      <w:bookmarkEnd w:id="11"/>
    </w:p>
    <w:p w14:paraId="1F8CC9D5">
      <w:pPr>
        <w:widowControl/>
        <w:jc w:val="center"/>
        <w:rPr>
          <w:rFonts w:ascii="黑体" w:hAnsi="黑体" w:eastAsia="黑体"/>
          <w:color w:val="000000"/>
          <w:sz w:val="48"/>
          <w:szCs w:val="48"/>
        </w:rPr>
      </w:pPr>
      <w:r>
        <w:rPr>
          <w:rFonts w:ascii="方正小标宋简体" w:hAnsi="宋体" w:eastAsia="方正小标宋简体"/>
          <w:color w:val="000000"/>
          <w:sz w:val="36"/>
          <w:szCs w:val="36"/>
        </w:rPr>
        <w:br w:type="page"/>
      </w:r>
      <w:r>
        <w:rPr>
          <w:rFonts w:hint="eastAsia" w:ascii="黑体" w:hAnsi="黑体" w:eastAsia="黑体"/>
          <w:color w:val="000000"/>
          <w:sz w:val="48"/>
          <w:szCs w:val="48"/>
        </w:rPr>
        <w:t>目录</w:t>
      </w:r>
    </w:p>
    <w:p w14:paraId="182352B6">
      <w:pPr>
        <w:widowControl/>
        <w:jc w:val="center"/>
        <w:rPr>
          <w:rFonts w:ascii="黑体" w:hAnsi="黑体" w:eastAsia="黑体" w:cstheme="minorBidi"/>
          <w:sz w:val="28"/>
          <w:szCs w:val="28"/>
        </w:rPr>
      </w:pPr>
    </w:p>
    <w:p w14:paraId="1346885C"/>
    <w:p w14:paraId="69CA30EF">
      <w:pPr>
        <w:pStyle w:val="10"/>
        <w:adjustRightInd w:val="0"/>
        <w:snapToGrid w:val="0"/>
        <w:spacing w:before="0" w:line="440" w:lineRule="exact"/>
        <w:jc w:val="left"/>
        <w:rPr>
          <w:rFonts w:cstheme="minorBidi"/>
          <w:sz w:val="24"/>
          <w:szCs w:val="24"/>
        </w:rPr>
      </w:pPr>
      <w:r>
        <w:rPr>
          <w:rFonts w:hint="eastAsia"/>
          <w:sz w:val="24"/>
        </w:rPr>
        <w:t>第一部分</w:t>
      </w:r>
      <w:r>
        <w:rPr>
          <w:sz w:val="24"/>
        </w:rPr>
        <w:t xml:space="preserve"> </w:t>
      </w:r>
      <w:r>
        <w:rPr>
          <w:rFonts w:hint="eastAsia"/>
          <w:sz w:val="24"/>
        </w:rPr>
        <w:t>部门概况</w:t>
      </w:r>
    </w:p>
    <w:p w14:paraId="27BF3610">
      <w:pPr>
        <w:pStyle w:val="11"/>
        <w:adjustRightInd w:val="0"/>
        <w:snapToGrid w:val="0"/>
        <w:spacing w:line="440" w:lineRule="exact"/>
        <w:jc w:val="left"/>
        <w:rPr>
          <w:rFonts w:ascii="仿宋" w:hAnsi="仿宋" w:eastAsia="仿宋"/>
          <w:sz w:val="24"/>
        </w:rPr>
      </w:pPr>
      <w:r>
        <w:rPr>
          <w:rFonts w:hint="eastAsia"/>
          <w:sz w:val="24"/>
        </w:rPr>
        <w:t>一、基本职能及主要工作</w:t>
      </w:r>
    </w:p>
    <w:p w14:paraId="16D0E59E">
      <w:pPr>
        <w:pStyle w:val="11"/>
        <w:adjustRightInd w:val="0"/>
        <w:snapToGrid w:val="0"/>
        <w:spacing w:line="440" w:lineRule="exact"/>
        <w:jc w:val="left"/>
        <w:rPr>
          <w:rFonts w:ascii="仿宋" w:hAnsi="仿宋" w:eastAsia="仿宋" w:cstheme="minorBidi"/>
          <w:sz w:val="24"/>
        </w:rPr>
      </w:pPr>
      <w:r>
        <w:rPr>
          <w:rFonts w:hint="eastAsia"/>
          <w:sz w:val="24"/>
        </w:rPr>
        <w:t>二、机构设置</w:t>
      </w:r>
    </w:p>
    <w:p w14:paraId="5ED177F4">
      <w:pPr>
        <w:pStyle w:val="10"/>
        <w:adjustRightInd w:val="0"/>
        <w:snapToGrid w:val="0"/>
        <w:spacing w:before="0" w:line="440" w:lineRule="exact"/>
        <w:jc w:val="left"/>
        <w:rPr>
          <w:sz w:val="24"/>
          <w:szCs w:val="24"/>
        </w:rPr>
      </w:pPr>
      <w:r>
        <w:rPr>
          <w:rFonts w:hint="eastAsia"/>
          <w:sz w:val="24"/>
        </w:rPr>
        <w:t>第二部分</w:t>
      </w:r>
      <w:r>
        <w:rPr>
          <w:rFonts w:hint="eastAsia"/>
          <w:sz w:val="24"/>
          <w:lang w:val="en-US" w:eastAsia="zh-CN"/>
        </w:rPr>
        <w:t xml:space="preserve"> </w:t>
      </w:r>
      <w:bookmarkStart w:id="62" w:name="_GoBack"/>
      <w:bookmarkEnd w:id="62"/>
      <w:r>
        <w:rPr>
          <w:rFonts w:hint="eastAsia"/>
          <w:sz w:val="24"/>
        </w:rPr>
        <w:t>部门决算情况说明</w:t>
      </w:r>
    </w:p>
    <w:p w14:paraId="1A551EE9">
      <w:pPr>
        <w:pStyle w:val="11"/>
        <w:adjustRightInd w:val="0"/>
        <w:snapToGrid w:val="0"/>
        <w:spacing w:line="440" w:lineRule="exact"/>
        <w:jc w:val="left"/>
        <w:rPr>
          <w:rFonts w:ascii="仿宋" w:hAnsi="仿宋" w:eastAsia="仿宋" w:cstheme="minorBidi"/>
          <w:sz w:val="24"/>
        </w:rPr>
      </w:pPr>
      <w:r>
        <w:rPr>
          <w:rFonts w:hint="eastAsia"/>
          <w:sz w:val="24"/>
        </w:rPr>
        <w:t>一、收入支出决算总体情况说明</w:t>
      </w:r>
    </w:p>
    <w:p w14:paraId="758E9B9A">
      <w:pPr>
        <w:pStyle w:val="11"/>
        <w:adjustRightInd w:val="0"/>
        <w:snapToGrid w:val="0"/>
        <w:spacing w:line="440" w:lineRule="exact"/>
        <w:jc w:val="left"/>
        <w:rPr>
          <w:rFonts w:ascii="仿宋" w:hAnsi="仿宋" w:eastAsia="仿宋" w:cstheme="minorBidi"/>
          <w:sz w:val="24"/>
        </w:rPr>
      </w:pPr>
      <w:r>
        <w:rPr>
          <w:rFonts w:hint="eastAsia"/>
          <w:sz w:val="24"/>
        </w:rPr>
        <w:t>二、收入决算情况说明</w:t>
      </w:r>
    </w:p>
    <w:p w14:paraId="3D9B0716">
      <w:pPr>
        <w:pStyle w:val="11"/>
        <w:adjustRightInd w:val="0"/>
        <w:snapToGrid w:val="0"/>
        <w:spacing w:line="440" w:lineRule="exact"/>
        <w:jc w:val="left"/>
        <w:rPr>
          <w:rFonts w:ascii="仿宋" w:hAnsi="仿宋" w:eastAsia="仿宋" w:cstheme="minorBidi"/>
          <w:sz w:val="24"/>
        </w:rPr>
      </w:pPr>
      <w:r>
        <w:rPr>
          <w:rFonts w:hint="eastAsia"/>
          <w:sz w:val="24"/>
        </w:rPr>
        <w:t>三、支出决算情况说明</w:t>
      </w:r>
    </w:p>
    <w:p w14:paraId="77C9D15C">
      <w:pPr>
        <w:pStyle w:val="11"/>
        <w:adjustRightInd w:val="0"/>
        <w:snapToGrid w:val="0"/>
        <w:spacing w:line="440" w:lineRule="exact"/>
        <w:jc w:val="left"/>
        <w:rPr>
          <w:rFonts w:ascii="仿宋" w:hAnsi="仿宋" w:eastAsia="仿宋" w:cstheme="minorBidi"/>
          <w:sz w:val="24"/>
        </w:rPr>
      </w:pPr>
      <w:r>
        <w:rPr>
          <w:rFonts w:hint="eastAsia"/>
          <w:sz w:val="24"/>
        </w:rPr>
        <w:t>四、财政拨款收入支出决算总体情况说明</w:t>
      </w:r>
    </w:p>
    <w:p w14:paraId="7099A42E">
      <w:pPr>
        <w:pStyle w:val="11"/>
        <w:adjustRightInd w:val="0"/>
        <w:snapToGrid w:val="0"/>
        <w:spacing w:line="440" w:lineRule="exact"/>
        <w:jc w:val="left"/>
        <w:rPr>
          <w:rFonts w:ascii="仿宋" w:hAnsi="仿宋" w:eastAsia="仿宋" w:cstheme="minorBidi"/>
          <w:sz w:val="24"/>
        </w:rPr>
      </w:pPr>
      <w:r>
        <w:rPr>
          <w:rFonts w:hint="eastAsia"/>
          <w:sz w:val="24"/>
        </w:rPr>
        <w:t>五、一般公共预算财政拨款支出决算情况说明</w:t>
      </w:r>
    </w:p>
    <w:p w14:paraId="50C5D23C">
      <w:pPr>
        <w:pStyle w:val="11"/>
        <w:adjustRightInd w:val="0"/>
        <w:snapToGrid w:val="0"/>
        <w:spacing w:line="440" w:lineRule="exact"/>
        <w:jc w:val="left"/>
        <w:rPr>
          <w:rFonts w:ascii="仿宋" w:hAnsi="仿宋" w:eastAsia="仿宋" w:cstheme="minorBidi"/>
          <w:sz w:val="24"/>
        </w:rPr>
      </w:pPr>
      <w:r>
        <w:rPr>
          <w:rFonts w:hint="eastAsia"/>
          <w:sz w:val="24"/>
        </w:rPr>
        <w:t>六、一般公共预算财政拨款基本支出决算情况说明</w:t>
      </w:r>
    </w:p>
    <w:p w14:paraId="2E1F1A7A">
      <w:pPr>
        <w:pStyle w:val="11"/>
        <w:adjustRightInd w:val="0"/>
        <w:snapToGrid w:val="0"/>
        <w:spacing w:line="440" w:lineRule="exact"/>
        <w:jc w:val="left"/>
        <w:rPr>
          <w:rFonts w:ascii="仿宋" w:hAnsi="仿宋" w:eastAsia="仿宋" w:cstheme="minorBidi"/>
          <w:sz w:val="24"/>
        </w:rPr>
      </w:pPr>
      <w:r>
        <w:rPr>
          <w:rFonts w:hint="eastAsia"/>
          <w:sz w:val="24"/>
        </w:rPr>
        <w:t>七、</w:t>
      </w:r>
      <w:r>
        <w:rPr>
          <w:sz w:val="24"/>
        </w:rPr>
        <w:t>“</w:t>
      </w:r>
      <w:r>
        <w:rPr>
          <w:rFonts w:hint="eastAsia"/>
          <w:sz w:val="24"/>
        </w:rPr>
        <w:t>三公”经费财政拨款支出决算情况说明</w:t>
      </w:r>
    </w:p>
    <w:p w14:paraId="4ACEE4B3">
      <w:pPr>
        <w:pStyle w:val="11"/>
        <w:adjustRightInd w:val="0"/>
        <w:snapToGrid w:val="0"/>
        <w:spacing w:line="440" w:lineRule="exact"/>
        <w:jc w:val="left"/>
        <w:rPr>
          <w:rFonts w:ascii="仿宋" w:hAnsi="仿宋" w:eastAsia="仿宋" w:cstheme="minorBidi"/>
          <w:sz w:val="24"/>
        </w:rPr>
      </w:pPr>
      <w:r>
        <w:rPr>
          <w:rFonts w:hint="eastAsia"/>
          <w:sz w:val="24"/>
        </w:rPr>
        <w:t>八、政府性基金预算支出决算情况说明</w:t>
      </w:r>
    </w:p>
    <w:p w14:paraId="141E504A">
      <w:pPr>
        <w:pStyle w:val="11"/>
        <w:adjustRightInd w:val="0"/>
        <w:snapToGrid w:val="0"/>
        <w:spacing w:line="440" w:lineRule="exact"/>
        <w:ind w:leftChars="0"/>
        <w:jc w:val="left"/>
        <w:rPr>
          <w:rFonts w:ascii="仿宋" w:hAnsi="仿宋" w:eastAsia="仿宋"/>
          <w:sz w:val="24"/>
        </w:rPr>
      </w:pPr>
      <w:r>
        <w:rPr>
          <w:rFonts w:hint="eastAsia" w:ascii="仿宋" w:hAnsi="仿宋" w:eastAsia="仿宋"/>
          <w:sz w:val="24"/>
        </w:rPr>
        <w:t>九、</w:t>
      </w:r>
      <w:r>
        <w:rPr>
          <w:sz w:val="24"/>
        </w:rPr>
        <w:t xml:space="preserve"> 国</w:t>
      </w:r>
      <w:r>
        <w:rPr>
          <w:rFonts w:hint="eastAsia"/>
          <w:sz w:val="24"/>
        </w:rPr>
        <w:t>有资本经营预算支出决算情况说明</w:t>
      </w:r>
    </w:p>
    <w:p w14:paraId="04BE21F3">
      <w:pPr>
        <w:adjustRightInd w:val="0"/>
        <w:snapToGrid w:val="0"/>
        <w:spacing w:line="440" w:lineRule="exact"/>
        <w:ind w:firstLine="480" w:firstLineChars="200"/>
        <w:jc w:val="left"/>
        <w:rPr>
          <w:rFonts w:ascii="仿宋" w:hAnsi="仿宋" w:eastAsia="仿宋" w:cstheme="minorBidi"/>
          <w:sz w:val="24"/>
        </w:rPr>
      </w:pPr>
      <w:r>
        <w:rPr>
          <w:rStyle w:val="15"/>
          <w:rFonts w:hint="eastAsia" w:ascii="仿宋" w:hAnsi="仿宋" w:eastAsia="仿宋"/>
          <w:color w:val="000000" w:themeColor="text1"/>
          <w:sz w:val="24"/>
          <w:u w:val="none"/>
          <w14:textFill>
            <w14:solidFill>
              <w14:schemeClr w14:val="tx1"/>
            </w14:solidFill>
          </w14:textFill>
        </w:rPr>
        <w:t>十、</w:t>
      </w:r>
      <w:r>
        <w:rPr>
          <w:rFonts w:hint="eastAsia"/>
          <w:sz w:val="24"/>
        </w:rPr>
        <w:t>其他重要事项的情况说明</w:t>
      </w:r>
      <w:r>
        <w:rPr>
          <w:rFonts w:ascii="仿宋" w:hAnsi="仿宋" w:eastAsia="仿宋"/>
          <w:sz w:val="24"/>
        </w:rPr>
        <w:tab/>
      </w:r>
    </w:p>
    <w:p w14:paraId="79A4B59A">
      <w:pPr>
        <w:pStyle w:val="10"/>
        <w:adjustRightInd w:val="0"/>
        <w:snapToGrid w:val="0"/>
        <w:spacing w:before="0" w:line="440" w:lineRule="exact"/>
        <w:jc w:val="left"/>
        <w:rPr>
          <w:rFonts w:cstheme="minorBidi"/>
          <w:sz w:val="24"/>
          <w:szCs w:val="24"/>
        </w:rPr>
      </w:pPr>
      <w:r>
        <w:rPr>
          <w:rFonts w:hint="eastAsia"/>
          <w:sz w:val="24"/>
        </w:rPr>
        <w:t>第三部分</w:t>
      </w:r>
      <w:r>
        <w:rPr>
          <w:sz w:val="24"/>
        </w:rPr>
        <w:t xml:space="preserve"> </w:t>
      </w:r>
      <w:r>
        <w:rPr>
          <w:rFonts w:hint="eastAsia"/>
          <w:sz w:val="24"/>
        </w:rPr>
        <w:t>名词解释</w:t>
      </w:r>
    </w:p>
    <w:p w14:paraId="36669CCB">
      <w:pPr>
        <w:pStyle w:val="10"/>
        <w:adjustRightInd w:val="0"/>
        <w:snapToGrid w:val="0"/>
        <w:spacing w:before="0" w:line="440" w:lineRule="exact"/>
        <w:jc w:val="left"/>
        <w:rPr>
          <w:rFonts w:cstheme="minorBidi"/>
          <w:sz w:val="24"/>
          <w:szCs w:val="24"/>
        </w:rPr>
      </w:pPr>
      <w:r>
        <w:rPr>
          <w:rFonts w:hint="eastAsia"/>
          <w:sz w:val="24"/>
        </w:rPr>
        <w:t>第四部分</w:t>
      </w:r>
      <w:r>
        <w:rPr>
          <w:sz w:val="24"/>
        </w:rPr>
        <w:t xml:space="preserve"> </w:t>
      </w:r>
      <w:r>
        <w:rPr>
          <w:rFonts w:hint="eastAsia"/>
          <w:sz w:val="24"/>
        </w:rPr>
        <w:t>附件</w:t>
      </w:r>
    </w:p>
    <w:p w14:paraId="7189E24A">
      <w:pPr>
        <w:pStyle w:val="11"/>
        <w:adjustRightInd w:val="0"/>
        <w:snapToGrid w:val="0"/>
        <w:spacing w:line="440" w:lineRule="exact"/>
        <w:jc w:val="left"/>
        <w:rPr>
          <w:rFonts w:ascii="仿宋" w:hAnsi="仿宋" w:eastAsia="仿宋" w:cstheme="minorBidi"/>
          <w:sz w:val="24"/>
        </w:rPr>
      </w:pPr>
      <w:r>
        <w:rPr>
          <w:rFonts w:hint="eastAsia"/>
          <w:sz w:val="24"/>
        </w:rPr>
        <w:t>附件</w:t>
      </w:r>
      <w:r>
        <w:rPr>
          <w:sz w:val="24"/>
        </w:rPr>
        <w:t>1</w:t>
      </w:r>
    </w:p>
    <w:p w14:paraId="441C939D">
      <w:pPr>
        <w:pStyle w:val="11"/>
        <w:adjustRightInd w:val="0"/>
        <w:snapToGrid w:val="0"/>
        <w:spacing w:line="440" w:lineRule="exact"/>
        <w:jc w:val="left"/>
        <w:rPr>
          <w:rFonts w:ascii="仿宋" w:hAnsi="仿宋" w:eastAsia="仿宋" w:cstheme="minorBidi"/>
          <w:sz w:val="24"/>
        </w:rPr>
      </w:pPr>
      <w:r>
        <w:rPr>
          <w:rFonts w:hint="eastAsia"/>
          <w:sz w:val="24"/>
        </w:rPr>
        <w:t>附件</w:t>
      </w:r>
      <w:r>
        <w:rPr>
          <w:sz w:val="24"/>
        </w:rPr>
        <w:t>2</w:t>
      </w:r>
    </w:p>
    <w:p w14:paraId="1B00198C">
      <w:pPr>
        <w:pStyle w:val="10"/>
        <w:adjustRightInd w:val="0"/>
        <w:snapToGrid w:val="0"/>
        <w:spacing w:before="0" w:line="440" w:lineRule="exact"/>
        <w:jc w:val="left"/>
        <w:rPr>
          <w:rFonts w:cstheme="minorBidi"/>
          <w:sz w:val="24"/>
          <w:szCs w:val="24"/>
        </w:rPr>
      </w:pPr>
      <w:r>
        <w:rPr>
          <w:rFonts w:hint="eastAsia"/>
          <w:sz w:val="24"/>
        </w:rPr>
        <w:t>第五部分</w:t>
      </w:r>
      <w:r>
        <w:rPr>
          <w:sz w:val="24"/>
        </w:rPr>
        <w:t xml:space="preserve"> </w:t>
      </w:r>
      <w:r>
        <w:rPr>
          <w:rFonts w:hint="eastAsia"/>
          <w:sz w:val="24"/>
        </w:rPr>
        <w:t>附表</w:t>
      </w:r>
    </w:p>
    <w:p w14:paraId="6A74A8B2">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一、</w:t>
      </w:r>
      <w:r>
        <w:rPr>
          <w:rFonts w:hint="eastAsia"/>
          <w:sz w:val="24"/>
        </w:rPr>
        <w:t>收入支出决算总表</w:t>
      </w:r>
    </w:p>
    <w:p w14:paraId="123B66CC">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二、</w:t>
      </w:r>
      <w:r>
        <w:rPr>
          <w:rFonts w:hint="eastAsia"/>
          <w:sz w:val="24"/>
        </w:rPr>
        <w:t>收入</w:t>
      </w:r>
      <w:r>
        <w:rPr>
          <w:rFonts w:hint="eastAsia" w:ascii="仿宋" w:hAnsi="仿宋" w:eastAsia="仿宋"/>
          <w:sz w:val="24"/>
        </w:rPr>
        <w:t>决算</w:t>
      </w:r>
      <w:r>
        <w:rPr>
          <w:rFonts w:hint="eastAsia"/>
          <w:sz w:val="24"/>
        </w:rPr>
        <w:t>表</w:t>
      </w:r>
    </w:p>
    <w:p w14:paraId="2C53A727">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三、</w:t>
      </w:r>
      <w:r>
        <w:rPr>
          <w:rFonts w:hint="eastAsia"/>
          <w:sz w:val="24"/>
        </w:rPr>
        <w:t>支出</w:t>
      </w:r>
      <w:r>
        <w:rPr>
          <w:rFonts w:hint="eastAsia" w:ascii="仿宋" w:hAnsi="仿宋" w:eastAsia="仿宋"/>
          <w:sz w:val="24"/>
        </w:rPr>
        <w:t>决算</w:t>
      </w:r>
      <w:r>
        <w:rPr>
          <w:rFonts w:hint="eastAsia"/>
          <w:sz w:val="24"/>
        </w:rPr>
        <w:t>表</w:t>
      </w:r>
    </w:p>
    <w:p w14:paraId="0721A70C">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四、</w:t>
      </w:r>
      <w:r>
        <w:rPr>
          <w:rFonts w:hint="eastAsia"/>
          <w:sz w:val="24"/>
        </w:rPr>
        <w:t>财政拨款收入支出决算总表</w:t>
      </w:r>
    </w:p>
    <w:p w14:paraId="492508E6">
      <w:pPr>
        <w:pStyle w:val="11"/>
        <w:adjustRightInd w:val="0"/>
        <w:snapToGrid w:val="0"/>
        <w:spacing w:line="440" w:lineRule="exact"/>
        <w:jc w:val="left"/>
        <w:rPr>
          <w:rFonts w:ascii="仿宋" w:hAnsi="仿宋" w:eastAsia="仿宋"/>
          <w:sz w:val="24"/>
        </w:rPr>
      </w:pPr>
      <w:r>
        <w:rPr>
          <w:rFonts w:hint="eastAsia" w:ascii="仿宋" w:hAnsi="仿宋" w:eastAsia="仿宋"/>
          <w:sz w:val="24"/>
        </w:rPr>
        <w:t>五、财政拨款支出决算明细表</w:t>
      </w:r>
    </w:p>
    <w:p w14:paraId="1835C5FD">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六、</w:t>
      </w:r>
      <w:r>
        <w:rPr>
          <w:rFonts w:hint="eastAsia"/>
          <w:sz w:val="24"/>
        </w:rPr>
        <w:t>一般公共预算财政拨款支出决算表</w:t>
      </w:r>
    </w:p>
    <w:p w14:paraId="71CE8686">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七、</w:t>
      </w:r>
      <w:r>
        <w:rPr>
          <w:rFonts w:hint="eastAsia"/>
          <w:sz w:val="24"/>
        </w:rPr>
        <w:t>一般公共预算财政拨款支出决算明细表</w:t>
      </w:r>
    </w:p>
    <w:p w14:paraId="5FF14528">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八、</w:t>
      </w:r>
      <w:r>
        <w:rPr>
          <w:rFonts w:hint="eastAsia"/>
          <w:sz w:val="24"/>
        </w:rPr>
        <w:t>一般公共预算财政拨款基本支出决算表</w:t>
      </w:r>
    </w:p>
    <w:p w14:paraId="00D416E3">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九、</w:t>
      </w:r>
      <w:r>
        <w:rPr>
          <w:rFonts w:hint="eastAsia"/>
          <w:sz w:val="24"/>
        </w:rPr>
        <w:t>一般公共预算财政拨款项目支出决算表</w:t>
      </w:r>
    </w:p>
    <w:p w14:paraId="28BCAA0F">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十、</w:t>
      </w:r>
      <w:r>
        <w:rPr>
          <w:rFonts w:hint="eastAsia"/>
          <w:sz w:val="24"/>
        </w:rPr>
        <w:t>一般公共预算财政拨款“三公”经费支出决算表</w:t>
      </w:r>
    </w:p>
    <w:p w14:paraId="13D16AEF">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十一、</w:t>
      </w:r>
      <w:r>
        <w:rPr>
          <w:rFonts w:hint="eastAsia"/>
          <w:sz w:val="24"/>
        </w:rPr>
        <w:t>政府性基金预算财政拨款收入支出决算表</w:t>
      </w:r>
    </w:p>
    <w:p w14:paraId="384584BB">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十二、</w:t>
      </w:r>
      <w:r>
        <w:rPr>
          <w:rFonts w:hint="eastAsia"/>
          <w:sz w:val="24"/>
        </w:rPr>
        <w:t>政府性基金预算财政拨款“三公”经费支出决算表</w:t>
      </w:r>
    </w:p>
    <w:p w14:paraId="6E868AF5">
      <w:pPr>
        <w:pStyle w:val="11"/>
        <w:adjustRightInd w:val="0"/>
        <w:snapToGrid w:val="0"/>
        <w:spacing w:line="440" w:lineRule="exact"/>
        <w:jc w:val="left"/>
        <w:rPr>
          <w:rFonts w:ascii="仿宋" w:hAnsi="仿宋" w:eastAsia="仿宋" w:cstheme="minorBidi"/>
          <w:sz w:val="24"/>
        </w:rPr>
      </w:pPr>
      <w:r>
        <w:rPr>
          <w:rFonts w:hint="eastAsia" w:ascii="仿宋" w:hAnsi="仿宋" w:eastAsia="仿宋"/>
          <w:sz w:val="24"/>
        </w:rPr>
        <w:t>十三、</w:t>
      </w:r>
      <w:r>
        <w:rPr>
          <w:rFonts w:hint="eastAsia"/>
          <w:sz w:val="24"/>
        </w:rPr>
        <w:t>国有资本经营预算支出决算表</w:t>
      </w:r>
    </w:p>
    <w:p w14:paraId="4884E373">
      <w:pPr>
        <w:widowControl/>
        <w:spacing w:line="440" w:lineRule="exact"/>
        <w:jc w:val="left"/>
        <w:rPr>
          <w:rFonts w:ascii="仿宋" w:hAnsi="仿宋" w:eastAsia="仿宋"/>
          <w:bCs/>
          <w:kern w:val="44"/>
          <w:sz w:val="24"/>
        </w:rPr>
      </w:pPr>
      <w:bookmarkStart w:id="12" w:name="_Toc15396599"/>
      <w:bookmarkStart w:id="13" w:name="_Toc15377196"/>
      <w:r>
        <w:rPr>
          <w:rFonts w:ascii="仿宋" w:hAnsi="仿宋" w:eastAsia="仿宋"/>
          <w:b/>
          <w:sz w:val="24"/>
        </w:rPr>
        <w:br w:type="page"/>
      </w:r>
    </w:p>
    <w:p w14:paraId="3D28D712">
      <w:pPr>
        <w:pStyle w:val="2"/>
        <w:jc w:val="center"/>
        <w:rPr>
          <w:rStyle w:val="24"/>
          <w:rFonts w:ascii="黑体" w:hAnsi="黑体" w:eastAsia="黑体"/>
          <w:b/>
          <w:bCs w:val="0"/>
        </w:rPr>
      </w:pPr>
      <w:r>
        <w:rPr>
          <w:rFonts w:hint="eastAsia" w:ascii="黑体" w:hAnsi="黑体" w:eastAsia="黑体"/>
          <w:b w:val="0"/>
        </w:rPr>
        <w:t xml:space="preserve">第一部分 </w:t>
      </w:r>
      <w:r>
        <w:rPr>
          <w:rStyle w:val="24"/>
          <w:rFonts w:hint="eastAsia" w:ascii="黑体" w:hAnsi="黑体" w:eastAsia="黑体"/>
          <w:b w:val="0"/>
          <w:bCs w:val="0"/>
        </w:rPr>
        <w:t>部门概况</w:t>
      </w:r>
      <w:bookmarkEnd w:id="12"/>
      <w:bookmarkEnd w:id="13"/>
    </w:p>
    <w:p w14:paraId="07958D51">
      <w:pPr>
        <w:widowControl/>
        <w:jc w:val="left"/>
        <w:rPr>
          <w:rFonts w:ascii="黑体" w:eastAsia="黑体"/>
          <w:color w:val="000000"/>
          <w:sz w:val="32"/>
          <w:szCs w:val="32"/>
        </w:rPr>
      </w:pPr>
    </w:p>
    <w:p w14:paraId="21C7CC1E">
      <w:pPr>
        <w:pStyle w:val="3"/>
        <w:rPr>
          <w:rStyle w:val="25"/>
          <w:rFonts w:ascii="仿宋" w:hAnsi="仿宋" w:eastAsia="仿宋"/>
          <w:b w:val="0"/>
          <w:bCs w:val="0"/>
        </w:rPr>
      </w:pPr>
      <w:bookmarkStart w:id="14" w:name="_Toc15377197"/>
      <w:bookmarkStart w:id="15" w:name="_Toc15396600"/>
      <w:r>
        <w:rPr>
          <w:rFonts w:hint="eastAsia" w:ascii="黑体" w:hAnsi="黑体" w:eastAsia="黑体"/>
          <w:b w:val="0"/>
          <w:color w:val="000000"/>
        </w:rPr>
        <w:t>一、基</w:t>
      </w:r>
      <w:r>
        <w:rPr>
          <w:rStyle w:val="25"/>
          <w:rFonts w:hint="eastAsia" w:ascii="黑体" w:hAnsi="黑体" w:eastAsia="黑体"/>
          <w:b w:val="0"/>
          <w:bCs w:val="0"/>
        </w:rPr>
        <w:t>本职能及主要工作</w:t>
      </w:r>
      <w:bookmarkEnd w:id="14"/>
      <w:bookmarkEnd w:id="15"/>
    </w:p>
    <w:p w14:paraId="31EDEC2B">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eastAsia" w:ascii="仿宋" w:hAnsi="仿宋" w:eastAsia="仿宋"/>
          <w:bCs/>
          <w:color w:val="000000"/>
          <w:sz w:val="32"/>
          <w:szCs w:val="32"/>
        </w:rPr>
      </w:pPr>
      <w:bookmarkStart w:id="16" w:name="_Toc15377198"/>
      <w:bookmarkStart w:id="17" w:name="_Toc15378445"/>
      <w:r>
        <w:rPr>
          <w:rFonts w:hint="eastAsia" w:ascii="仿宋" w:hAnsi="仿宋" w:eastAsia="仿宋"/>
          <w:bCs/>
          <w:color w:val="000000"/>
          <w:sz w:val="32"/>
          <w:szCs w:val="32"/>
        </w:rPr>
        <w:t>（一）主要职能。</w:t>
      </w:r>
      <w:bookmarkEnd w:id="16"/>
      <w:bookmarkEnd w:id="17"/>
      <w:bookmarkStart w:id="18" w:name="_Toc15378446"/>
      <w:bookmarkStart w:id="19" w:name="_Toc15377199"/>
    </w:p>
    <w:p w14:paraId="40CA6D9B">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default" w:eastAsia="仿宋_GB2312" w:cs="Times New Roman"/>
          <w:sz w:val="32"/>
          <w:szCs w:val="32"/>
          <w:lang w:val="en-US"/>
        </w:rPr>
        <w:t>1.</w:t>
      </w:r>
      <w:r>
        <w:rPr>
          <w:rFonts w:hint="default" w:ascii="Times New Roman" w:hAnsi="Times New Roman" w:eastAsia="仿宋_GB2312" w:cs="Times New Roman"/>
          <w:sz w:val="32"/>
          <w:szCs w:val="32"/>
        </w:rPr>
        <w:t>制定和组织实施经济、科技和社会发展计划，制定资源开发技术改造和产业结构调整方案</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组织指导好各业生产,搞好商品流通</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协调好本</w:t>
      </w:r>
      <w:r>
        <w:rPr>
          <w:rFonts w:hint="default" w:ascii="Times New Roman" w:hAnsi="Times New Roman" w:eastAsia="仿宋_GB2312" w:cs="Times New Roman"/>
          <w:sz w:val="32"/>
          <w:szCs w:val="32"/>
          <w:lang w:eastAsia="zh-CN"/>
        </w:rPr>
        <w:t>办事处</w:t>
      </w:r>
      <w:r>
        <w:rPr>
          <w:rFonts w:hint="default" w:ascii="Times New Roman" w:hAnsi="Times New Roman" w:eastAsia="仿宋_GB2312" w:cs="Times New Roman"/>
          <w:sz w:val="32"/>
          <w:szCs w:val="32"/>
        </w:rPr>
        <w:t>与外地区的经济交流与合作</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抓好招商引资，人才引进项目开发,不断培育市场体系</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组织经济运行,促进经济发展。</w:t>
      </w:r>
    </w:p>
    <w:p w14:paraId="0E2A7C16">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default" w:eastAsia="仿宋_GB2312" w:cs="Times New Roman"/>
          <w:sz w:val="32"/>
          <w:szCs w:val="32"/>
          <w:lang w:val="en-US"/>
        </w:rPr>
        <w:t>2.</w:t>
      </w:r>
      <w:r>
        <w:rPr>
          <w:rFonts w:hint="default" w:ascii="Times New Roman" w:hAnsi="Times New Roman" w:eastAsia="仿宋_GB2312" w:cs="Times New Roman"/>
          <w:sz w:val="32"/>
          <w:szCs w:val="32"/>
        </w:rPr>
        <w:t>制定并组织实施村</w:t>
      </w:r>
      <w:r>
        <w:rPr>
          <w:rFonts w:hint="eastAsia" w:eastAsia="仿宋_GB2312" w:cs="Times New Roman"/>
          <w:sz w:val="32"/>
          <w:szCs w:val="32"/>
          <w:lang w:eastAsia="zh-CN"/>
        </w:rPr>
        <w:t>镇</w:t>
      </w:r>
      <w:r>
        <w:rPr>
          <w:rFonts w:hint="default" w:ascii="Times New Roman" w:hAnsi="Times New Roman" w:eastAsia="仿宋_GB2312" w:cs="Times New Roman"/>
          <w:sz w:val="32"/>
          <w:szCs w:val="32"/>
        </w:rPr>
        <w:t>建设规划，部署重点工程建设，地方道路建设及公共设施，水利设施的管理，负责土地、林木、水等自然资源和生态环境的保护，做好护林防火工作。</w:t>
      </w:r>
    </w:p>
    <w:p w14:paraId="3081325C">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default" w:eastAsia="仿宋_GB2312" w:cs="Times New Roman"/>
          <w:sz w:val="32"/>
          <w:szCs w:val="32"/>
          <w:lang w:val="en-US"/>
        </w:rPr>
        <w:t>3.</w:t>
      </w:r>
      <w:r>
        <w:rPr>
          <w:rFonts w:hint="default" w:ascii="Times New Roman" w:hAnsi="Times New Roman" w:eastAsia="仿宋_GB2312" w:cs="Times New Roman"/>
          <w:sz w:val="32"/>
          <w:szCs w:val="32"/>
        </w:rPr>
        <w:t>负责本行政区域内的民政、计划生育、文化教育、卫生、体育等社会公益事业的综合性工作，维护一切经济单位和个人的正当经济权益，取缔非法经济活动，调解和处理民事纠纷，打击刑事犯罪维护社会稳定。</w:t>
      </w:r>
    </w:p>
    <w:p w14:paraId="2C8F7D3D">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default" w:eastAsia="仿宋_GB2312" w:cs="Times New Roman"/>
          <w:sz w:val="32"/>
          <w:szCs w:val="32"/>
          <w:lang w:val="en-US"/>
        </w:rPr>
        <w:t>4.</w:t>
      </w:r>
      <w:r>
        <w:rPr>
          <w:rFonts w:hint="default" w:ascii="Times New Roman" w:hAnsi="Times New Roman" w:eastAsia="仿宋_GB2312" w:cs="Times New Roman"/>
          <w:sz w:val="32"/>
          <w:szCs w:val="32"/>
        </w:rPr>
        <w:t>按计划组织本级财政收入和地方税的征收，完成国家财政计划，不断培植税源，管好财政资金，增强财政实力。</w:t>
      </w:r>
    </w:p>
    <w:p w14:paraId="1910C6DF">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default" w:eastAsia="仿宋_GB2312" w:cs="Times New Roman"/>
          <w:sz w:val="32"/>
          <w:szCs w:val="32"/>
          <w:lang w:val="en-US"/>
        </w:rPr>
        <w:t>5.</w:t>
      </w:r>
      <w:r>
        <w:rPr>
          <w:rFonts w:hint="default" w:ascii="Times New Roman" w:hAnsi="Times New Roman" w:eastAsia="仿宋_GB2312" w:cs="Times New Roman"/>
          <w:sz w:val="32"/>
          <w:szCs w:val="32"/>
        </w:rPr>
        <w:t>抓好精神文明建设，丰富群众文化生活，提倡移风易俗，反对封建迷信，破除陈规陋习，树立社会主义新风尚。</w:t>
      </w:r>
    </w:p>
    <w:p w14:paraId="128B6EB5">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default" w:eastAsia="仿宋_GB2312" w:cs="Times New Roman"/>
          <w:sz w:val="32"/>
          <w:szCs w:val="32"/>
          <w:lang w:val="en-US"/>
        </w:rPr>
        <w:t>6.</w:t>
      </w:r>
      <w:r>
        <w:rPr>
          <w:rFonts w:hint="default" w:ascii="Times New Roman" w:hAnsi="Times New Roman" w:eastAsia="仿宋_GB2312" w:cs="Times New Roman"/>
          <w:sz w:val="32"/>
          <w:szCs w:val="32"/>
        </w:rPr>
        <w:t>执行本级人民代表大会的决议和上级国家行政机关的决定和命令，发布决定和命令。</w:t>
      </w:r>
    </w:p>
    <w:p w14:paraId="5D78E55A">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default" w:eastAsia="仿宋_GB2312" w:cs="Times New Roman"/>
          <w:sz w:val="32"/>
          <w:szCs w:val="32"/>
          <w:lang w:val="en-US"/>
        </w:rPr>
        <w:t>7.</w:t>
      </w:r>
      <w:r>
        <w:rPr>
          <w:rFonts w:hint="default" w:ascii="Times New Roman" w:hAnsi="Times New Roman" w:eastAsia="仿宋_GB2312" w:cs="Times New Roman"/>
          <w:sz w:val="32"/>
          <w:szCs w:val="32"/>
        </w:rPr>
        <w:t>执行本行政区域内的经济和社会发展计划、预算。管理本行政区域内的经济、教育、科学、文化、卫生、体育事业和财政、民政、计划生育等行政工作。</w:t>
      </w:r>
    </w:p>
    <w:p w14:paraId="3DFD65D7">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default" w:eastAsia="仿宋_GB2312" w:cs="Times New Roman"/>
          <w:sz w:val="32"/>
          <w:szCs w:val="32"/>
          <w:lang w:val="en-US"/>
        </w:rPr>
        <w:t>8.</w:t>
      </w:r>
      <w:r>
        <w:rPr>
          <w:rFonts w:hint="default" w:ascii="Times New Roman" w:hAnsi="Times New Roman" w:eastAsia="仿宋_GB2312" w:cs="Times New Roman"/>
          <w:sz w:val="32"/>
          <w:szCs w:val="32"/>
        </w:rPr>
        <w:t>保护好社会主义全民所有的财产和劳动群众集体所有财产，保护公民私有的合法财产，维护社会秩序，保障公民的人身权利、民主权利和其他权利。</w:t>
      </w:r>
    </w:p>
    <w:p w14:paraId="0B5EAB9D">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default" w:eastAsia="仿宋_GB2312" w:cs="Times New Roman"/>
          <w:sz w:val="32"/>
          <w:szCs w:val="32"/>
          <w:lang w:val="en-US"/>
        </w:rPr>
        <w:t>9.</w:t>
      </w:r>
      <w:r>
        <w:rPr>
          <w:rFonts w:hint="default" w:ascii="Times New Roman" w:hAnsi="Times New Roman" w:eastAsia="仿宋_GB2312" w:cs="Times New Roman"/>
          <w:sz w:val="32"/>
          <w:szCs w:val="32"/>
        </w:rPr>
        <w:t>保障农村集体经济组织应有的自主权。</w:t>
      </w:r>
    </w:p>
    <w:p w14:paraId="2AD7CFA0">
      <w:pPr>
        <w:keepNext w:val="0"/>
        <w:keepLines w:val="0"/>
        <w:pageBreakBefore w:val="0"/>
        <w:kinsoku/>
        <w:wordWrap/>
        <w:overflowPunct/>
        <w:topLinePunct w:val="0"/>
        <w:autoSpaceDE/>
        <w:autoSpaceDN/>
        <w:bidi w:val="0"/>
        <w:adjustRightInd/>
        <w:spacing w:line="576" w:lineRule="exact"/>
        <w:ind w:firstLine="640" w:firstLineChars="200"/>
        <w:jc w:val="both"/>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10.</w:t>
      </w:r>
      <w:r>
        <w:rPr>
          <w:rFonts w:hint="default" w:ascii="Times New Roman" w:hAnsi="Times New Roman" w:eastAsia="仿宋_GB2312" w:cs="Times New Roman"/>
          <w:sz w:val="32"/>
          <w:szCs w:val="32"/>
        </w:rPr>
        <w:t>保障少数民族的权利和尊重少数民族的风俗习惯。</w:t>
      </w:r>
    </w:p>
    <w:p w14:paraId="2DFFD79F">
      <w:pPr>
        <w:pStyle w:val="5"/>
        <w:adjustRightInd w:val="0"/>
        <w:snapToGrid w:val="0"/>
        <w:spacing w:before="93" w:line="600" w:lineRule="exact"/>
        <w:ind w:firstLine="640" w:firstLineChars="200"/>
        <w:jc w:val="both"/>
        <w:outlineLvl w:val="2"/>
        <w:rPr>
          <w:rFonts w:ascii="仿宋" w:hAnsi="仿宋" w:eastAsia="仿宋"/>
          <w:bCs/>
          <w:color w:val="000000"/>
          <w:sz w:val="32"/>
          <w:szCs w:val="32"/>
        </w:rPr>
      </w:pPr>
      <w:r>
        <w:rPr>
          <w:rFonts w:hint="eastAsia" w:ascii="Times New Roman" w:hAnsi="Times New Roman" w:cs="Times New Roman"/>
          <w:sz w:val="32"/>
          <w:szCs w:val="32"/>
          <w:lang w:val="en-US" w:eastAsia="zh-CN"/>
        </w:rPr>
        <w:t>11.</w:t>
      </w:r>
      <w:r>
        <w:rPr>
          <w:rFonts w:hint="default" w:ascii="Times New Roman" w:hAnsi="Times New Roman" w:eastAsia="仿宋_GB2312" w:cs="Times New Roman"/>
          <w:sz w:val="32"/>
          <w:szCs w:val="32"/>
        </w:rPr>
        <w:t>完成和办理上级人民政府交办的其他事项。</w:t>
      </w:r>
    </w:p>
    <w:p w14:paraId="7CB84B27">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bCs/>
          <w:color w:val="000000"/>
          <w:sz w:val="32"/>
          <w:szCs w:val="32"/>
        </w:rPr>
        <w:t>（二）</w:t>
      </w:r>
      <w:r>
        <w:rPr>
          <w:rFonts w:ascii="仿宋" w:hAnsi="仿宋" w:eastAsia="仿宋"/>
          <w:bCs/>
          <w:color w:val="000000"/>
          <w:sz w:val="32"/>
          <w:szCs w:val="32"/>
        </w:rPr>
        <w:t>201</w:t>
      </w:r>
      <w:r>
        <w:rPr>
          <w:rFonts w:hint="eastAsia" w:ascii="仿宋" w:hAnsi="仿宋" w:eastAsia="仿宋"/>
          <w:bCs/>
          <w:color w:val="000000"/>
          <w:sz w:val="32"/>
          <w:szCs w:val="32"/>
        </w:rPr>
        <w:t>9年重点工作完成情况。</w:t>
      </w:r>
      <w:bookmarkEnd w:id="18"/>
      <w:bookmarkEnd w:id="19"/>
    </w:p>
    <w:p w14:paraId="343DCE8E">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r>
        <w:rPr>
          <w:rFonts w:hint="eastAsia" w:ascii="仿宋" w:hAnsi="仿宋" w:eastAsia="仿宋" w:cs="仿宋"/>
          <w:b w:val="0"/>
          <w:bCs w:val="0"/>
          <w:color w:val="000000"/>
          <w:sz w:val="32"/>
          <w:szCs w:val="32"/>
          <w:lang w:eastAsia="zh-CN"/>
        </w:rPr>
        <w:t>广元市昭化区丁家乡严格按照预算法规定的各项预算收支完成了当年的各项预算收支任务。</w:t>
      </w:r>
    </w:p>
    <w:p w14:paraId="5A151493">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p>
    <w:p w14:paraId="554E997D">
      <w:pPr>
        <w:pStyle w:val="3"/>
        <w:rPr>
          <w:rStyle w:val="25"/>
          <w:b w:val="0"/>
          <w:bCs w:val="0"/>
        </w:rPr>
      </w:pPr>
      <w:bookmarkStart w:id="20" w:name="_Toc15377200"/>
      <w:bookmarkStart w:id="21" w:name="_Toc15396601"/>
      <w:r>
        <w:rPr>
          <w:rFonts w:hint="eastAsia" w:ascii="黑体" w:eastAsia="黑体"/>
          <w:b w:val="0"/>
          <w:color w:val="000000"/>
        </w:rPr>
        <w:t>二、</w:t>
      </w:r>
      <w:r>
        <w:rPr>
          <w:rFonts w:hint="eastAsia" w:ascii="黑体" w:hAnsi="黑体" w:eastAsia="黑体"/>
          <w:b w:val="0"/>
          <w:color w:val="000000"/>
        </w:rPr>
        <w:t>机</w:t>
      </w:r>
      <w:r>
        <w:rPr>
          <w:rStyle w:val="25"/>
          <w:rFonts w:hint="eastAsia" w:ascii="黑体" w:hAnsi="黑体" w:eastAsia="黑体"/>
          <w:b w:val="0"/>
          <w:bCs w:val="0"/>
        </w:rPr>
        <w:t>构设置</w:t>
      </w:r>
      <w:bookmarkEnd w:id="20"/>
      <w:bookmarkEnd w:id="21"/>
    </w:p>
    <w:p w14:paraId="22F9BA71">
      <w:pPr>
        <w:widowControl/>
        <w:ind w:firstLine="640" w:firstLineChars="200"/>
        <w:jc w:val="left"/>
        <w:rPr>
          <w:rFonts w:ascii="仿宋" w:hAnsi="仿宋" w:eastAsia="仿宋"/>
          <w:color w:val="000000"/>
          <w:kern w:val="0"/>
          <w:sz w:val="32"/>
          <w:szCs w:val="32"/>
        </w:rPr>
      </w:pPr>
      <w:r>
        <w:rPr>
          <w:rFonts w:hint="eastAsia" w:ascii="仿宋" w:hAnsi="仿宋" w:eastAsia="仿宋" w:cs="仿宋"/>
          <w:b w:val="0"/>
          <w:i w:val="0"/>
          <w:caps w:val="0"/>
          <w:color w:val="333333"/>
          <w:spacing w:val="0"/>
          <w:sz w:val="32"/>
          <w:szCs w:val="32"/>
          <w:shd w:val="clear" w:color="auto" w:fill="FFFFFF"/>
          <w:lang w:eastAsia="zh-CN"/>
        </w:rPr>
        <w:t>广元市昭化区丁家乡</w:t>
      </w:r>
      <w:r>
        <w:rPr>
          <w:rFonts w:hint="eastAsia" w:ascii="仿宋" w:hAnsi="仿宋" w:eastAsia="仿宋" w:cs="仿宋"/>
          <w:b w:val="0"/>
          <w:i w:val="0"/>
          <w:caps w:val="0"/>
          <w:color w:val="333333"/>
          <w:spacing w:val="0"/>
          <w:sz w:val="32"/>
          <w:szCs w:val="32"/>
          <w:shd w:val="clear" w:color="auto" w:fill="FFFFFF"/>
        </w:rPr>
        <w:t>属于一级预算单位，政府单位机构数1个，其中行政单位1个，参照公务员法管理的事业单位0个，其他事业单位0个。</w:t>
      </w:r>
    </w:p>
    <w:p w14:paraId="337043C4">
      <w:pPr>
        <w:widowControl/>
        <w:jc w:val="left"/>
        <w:rPr>
          <w:rFonts w:ascii="仿宋" w:hAnsi="仿宋" w:eastAsia="仿宋"/>
          <w:color w:val="000000"/>
          <w:kern w:val="0"/>
          <w:sz w:val="32"/>
          <w:szCs w:val="32"/>
        </w:rPr>
      </w:pPr>
      <w:r>
        <w:rPr>
          <w:rFonts w:ascii="仿宋" w:hAnsi="仿宋" w:eastAsia="仿宋"/>
          <w:color w:val="000000"/>
          <w:sz w:val="32"/>
          <w:szCs w:val="32"/>
        </w:rPr>
        <w:br w:type="page"/>
      </w:r>
    </w:p>
    <w:p w14:paraId="2A73F787">
      <w:pPr>
        <w:pStyle w:val="2"/>
        <w:ind w:right="440"/>
        <w:jc w:val="right"/>
        <w:rPr>
          <w:rStyle w:val="24"/>
          <w:rFonts w:ascii="黑体" w:hAnsi="黑体" w:eastAsia="黑体"/>
          <w:b w:val="0"/>
          <w:bCs w:val="0"/>
        </w:rPr>
      </w:pPr>
      <w:bookmarkStart w:id="22" w:name="_Toc15377204"/>
      <w:bookmarkStart w:id="23" w:name="_Toc15396602"/>
      <w:r>
        <w:rPr>
          <w:rFonts w:hint="eastAsia" w:ascii="黑体" w:hAnsi="黑体" w:eastAsia="黑体"/>
          <w:b w:val="0"/>
          <w:color w:val="000000"/>
        </w:rPr>
        <w:t>第二部分</w:t>
      </w:r>
      <w:r>
        <w:rPr>
          <w:rFonts w:hint="eastAsia" w:ascii="黑体" w:hAnsi="黑体" w:eastAsia="黑体"/>
          <w:color w:val="000000"/>
        </w:rPr>
        <w:t xml:space="preserve"> </w:t>
      </w:r>
      <w:r>
        <w:rPr>
          <w:rStyle w:val="24"/>
          <w:rFonts w:hint="eastAsia" w:ascii="黑体" w:hAnsi="黑体" w:eastAsia="黑体"/>
          <w:b w:val="0"/>
          <w:bCs w:val="0"/>
        </w:rPr>
        <w:t>2019年度部门决算情况说明</w:t>
      </w:r>
      <w:bookmarkEnd w:id="22"/>
      <w:bookmarkEnd w:id="23"/>
    </w:p>
    <w:p w14:paraId="7C6A3856"/>
    <w:p w14:paraId="3C14FDAF">
      <w:pPr>
        <w:pStyle w:val="23"/>
        <w:numPr>
          <w:ilvl w:val="0"/>
          <w:numId w:val="1"/>
        </w:numPr>
        <w:spacing w:line="600" w:lineRule="exact"/>
        <w:ind w:firstLineChars="0"/>
        <w:outlineLvl w:val="1"/>
        <w:rPr>
          <w:rStyle w:val="25"/>
          <w:rFonts w:ascii="黑体" w:hAnsi="黑体" w:eastAsia="黑体"/>
          <w:b w:val="0"/>
        </w:rPr>
      </w:pPr>
      <w:bookmarkStart w:id="24" w:name="_Toc15377205"/>
      <w:bookmarkStart w:id="25" w:name="_Toc15396603"/>
      <w:r>
        <w:rPr>
          <w:rFonts w:hint="eastAsia" w:ascii="黑体" w:hAnsi="黑体" w:eastAsia="黑体"/>
          <w:color w:val="000000"/>
          <w:sz w:val="32"/>
          <w:szCs w:val="32"/>
        </w:rPr>
        <w:t>收</w:t>
      </w:r>
      <w:r>
        <w:rPr>
          <w:rStyle w:val="25"/>
          <w:rFonts w:hint="eastAsia" w:ascii="黑体" w:hAnsi="黑体" w:eastAsia="黑体"/>
          <w:b w:val="0"/>
        </w:rPr>
        <w:t>入支出决算总体情况说明</w:t>
      </w:r>
      <w:bookmarkEnd w:id="24"/>
      <w:bookmarkEnd w:id="25"/>
    </w:p>
    <w:p w14:paraId="79854523">
      <w:pPr>
        <w:spacing w:line="600" w:lineRule="exact"/>
        <w:ind w:firstLine="640" w:firstLineChars="200"/>
        <w:rPr>
          <w:rFonts w:hint="eastAsia" w:ascii="仿宋" w:hAnsi="仿宋" w:eastAsia="仿宋"/>
          <w:color w:val="000000"/>
          <w:sz w:val="32"/>
          <w:szCs w:val="32"/>
          <w:lang w:eastAsia="zh-CN"/>
        </w:rPr>
      </w:pPr>
      <w:r>
        <w:rPr>
          <w:rFonts w:hint="eastAsia" w:ascii="仿宋" w:hAnsi="仿宋" w:eastAsia="仿宋"/>
          <w:color w:val="000000"/>
          <w:sz w:val="32"/>
          <w:szCs w:val="32"/>
        </w:rPr>
        <w:t>2019年度收、支总计</w:t>
      </w:r>
      <w:r>
        <w:rPr>
          <w:rFonts w:hint="eastAsia" w:ascii="仿宋" w:hAnsi="仿宋" w:eastAsia="仿宋"/>
          <w:color w:val="000000"/>
          <w:sz w:val="32"/>
          <w:szCs w:val="32"/>
          <w:lang w:val="en-US" w:eastAsia="zh-CN"/>
        </w:rPr>
        <w:t>406.47</w:t>
      </w:r>
      <w:r>
        <w:rPr>
          <w:rFonts w:hint="eastAsia" w:ascii="仿宋" w:hAnsi="仿宋" w:eastAsia="仿宋"/>
          <w:color w:val="000000"/>
          <w:sz w:val="32"/>
          <w:szCs w:val="32"/>
        </w:rPr>
        <w:t>万元。与2018年相比，收、支总计各减少</w:t>
      </w:r>
      <w:r>
        <w:rPr>
          <w:rFonts w:hint="eastAsia" w:ascii="仿宋" w:hAnsi="仿宋" w:eastAsia="仿宋"/>
          <w:color w:val="000000"/>
          <w:sz w:val="32"/>
          <w:szCs w:val="32"/>
          <w:lang w:val="en-US" w:eastAsia="zh-CN"/>
        </w:rPr>
        <w:t>66.48</w:t>
      </w:r>
      <w:r>
        <w:rPr>
          <w:rFonts w:hint="eastAsia" w:ascii="仿宋" w:hAnsi="仿宋" w:eastAsia="仿宋"/>
          <w:color w:val="000000"/>
          <w:sz w:val="32"/>
          <w:szCs w:val="32"/>
        </w:rPr>
        <w:t>万元，下降</w:t>
      </w:r>
      <w:r>
        <w:rPr>
          <w:rFonts w:hint="eastAsia" w:ascii="仿宋" w:hAnsi="仿宋" w:eastAsia="仿宋"/>
          <w:color w:val="000000"/>
          <w:sz w:val="32"/>
          <w:szCs w:val="32"/>
          <w:lang w:val="en-US" w:eastAsia="zh-CN"/>
        </w:rPr>
        <w:t>14.06</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color w:val="000000"/>
          <w:sz w:val="32"/>
          <w:szCs w:val="32"/>
          <w:lang w:eastAsia="zh-CN"/>
        </w:rPr>
        <w:t>项目的减少。</w:t>
      </w:r>
    </w:p>
    <w:p w14:paraId="626C66AF">
      <w:pPr>
        <w:spacing w:line="600" w:lineRule="exact"/>
        <w:ind w:firstLine="640" w:firstLineChars="200"/>
        <w:jc w:val="left"/>
        <w:rPr>
          <w:rFonts w:ascii="仿宋_GB2312" w:eastAsia="仿宋_GB2312"/>
          <w:color w:val="000000"/>
          <w:sz w:val="32"/>
          <w:szCs w:val="32"/>
        </w:rPr>
      </w:pPr>
    </w:p>
    <w:p w14:paraId="6C73CE6E">
      <w:pPr>
        <w:pStyle w:val="23"/>
        <w:numPr>
          <w:ilvl w:val="0"/>
          <w:numId w:val="1"/>
        </w:numPr>
        <w:spacing w:line="600" w:lineRule="exact"/>
        <w:ind w:firstLineChars="0"/>
        <w:outlineLvl w:val="1"/>
        <w:rPr>
          <w:rStyle w:val="25"/>
          <w:rFonts w:ascii="黑体" w:hAnsi="黑体" w:eastAsia="黑体"/>
          <w:b w:val="0"/>
        </w:rPr>
      </w:pPr>
      <w:bookmarkStart w:id="26" w:name="_Toc15377206"/>
      <w:bookmarkStart w:id="27" w:name="_Toc15396604"/>
      <w:r>
        <w:rPr>
          <w:rFonts w:hint="eastAsia" w:ascii="黑体" w:hAnsi="黑体" w:eastAsia="黑体"/>
          <w:color w:val="000000"/>
          <w:sz w:val="32"/>
          <w:szCs w:val="32"/>
        </w:rPr>
        <w:t>收</w:t>
      </w:r>
      <w:r>
        <w:rPr>
          <w:rStyle w:val="25"/>
          <w:rFonts w:hint="eastAsia" w:ascii="黑体" w:hAnsi="黑体" w:eastAsia="黑体"/>
          <w:b w:val="0"/>
        </w:rPr>
        <w:t>入决算情况说明</w:t>
      </w:r>
      <w:bookmarkEnd w:id="26"/>
      <w:bookmarkEnd w:id="27"/>
    </w:p>
    <w:p w14:paraId="7617360A">
      <w:pPr>
        <w:spacing w:line="600" w:lineRule="exact"/>
        <w:ind w:firstLine="640" w:firstLineChars="200"/>
        <w:outlineLvl w:val="1"/>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9年本年收入合计</w:t>
      </w:r>
      <w:r>
        <w:rPr>
          <w:rFonts w:hint="eastAsia" w:ascii="仿宋" w:hAnsi="仿宋" w:eastAsia="仿宋"/>
          <w:color w:val="000000"/>
          <w:sz w:val="32"/>
          <w:szCs w:val="32"/>
          <w:lang w:val="en-US" w:eastAsia="zh-CN"/>
        </w:rPr>
        <w:t>406.47</w:t>
      </w:r>
      <w:r>
        <w:rPr>
          <w:rFonts w:hint="eastAsia" w:ascii="仿宋" w:hAnsi="仿宋" w:eastAsia="仿宋"/>
          <w:color w:val="000000"/>
          <w:sz w:val="32"/>
          <w:szCs w:val="32"/>
        </w:rPr>
        <w:t>万元，其中：一般公共预算财政拨款收入</w:t>
      </w:r>
      <w:r>
        <w:rPr>
          <w:rFonts w:hint="eastAsia" w:ascii="仿宋" w:hAnsi="仿宋" w:eastAsia="仿宋"/>
          <w:color w:val="000000"/>
          <w:sz w:val="32"/>
          <w:szCs w:val="32"/>
          <w:lang w:val="en-US" w:eastAsia="zh-CN"/>
        </w:rPr>
        <w:t>406.47</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；政府性基金预算财政拨款收入</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w:t>
      </w:r>
      <w:r>
        <w:rPr>
          <w:rFonts w:hint="eastAsia" w:ascii="仿宋" w:hAnsi="仿宋" w:eastAsia="仿宋"/>
          <w:color w:val="000000" w:themeColor="text1"/>
          <w:sz w:val="32"/>
          <w:szCs w:val="32"/>
          <w14:textFill>
            <w14:solidFill>
              <w14:schemeClr w14:val="tx1"/>
            </w14:solidFill>
          </w14:textFill>
        </w:rPr>
        <w:t>上级补助收入</w:t>
      </w:r>
      <w:r>
        <w:rPr>
          <w:rFonts w:hint="eastAsia" w:ascii="仿宋" w:hAnsi="仿宋" w:eastAsia="仿宋"/>
          <w:color w:val="000000" w:themeColor="text1"/>
          <w:sz w:val="32"/>
          <w:szCs w:val="32"/>
          <w:lang w:val="en-US" w:eastAsia="zh-CN"/>
          <w14:textFill>
            <w14:solidFill>
              <w14:schemeClr w14:val="tx1"/>
            </w14:solidFill>
          </w14:textFill>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；事业收入</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；经营收入</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；附属单位上缴收入</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；其他收入</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w:t>
      </w:r>
    </w:p>
    <w:p w14:paraId="3BE16202">
      <w:pPr>
        <w:spacing w:line="600" w:lineRule="exact"/>
        <w:rPr>
          <w:rFonts w:ascii="仿宋_GB2312" w:eastAsia="仿宋_GB2312"/>
          <w:color w:val="FF0000"/>
          <w:sz w:val="32"/>
          <w:szCs w:val="32"/>
        </w:rPr>
      </w:pPr>
    </w:p>
    <w:p w14:paraId="6A023B6C">
      <w:pPr>
        <w:pStyle w:val="23"/>
        <w:numPr>
          <w:ilvl w:val="0"/>
          <w:numId w:val="1"/>
        </w:numPr>
        <w:spacing w:line="600" w:lineRule="exact"/>
        <w:ind w:firstLineChars="0"/>
        <w:outlineLvl w:val="1"/>
        <w:rPr>
          <w:rStyle w:val="25"/>
          <w:rFonts w:ascii="黑体" w:hAnsi="黑体" w:eastAsia="黑体"/>
          <w:b w:val="0"/>
        </w:rPr>
      </w:pPr>
      <w:bookmarkStart w:id="28" w:name="_Toc15396605"/>
      <w:bookmarkStart w:id="29" w:name="_Toc15377207"/>
      <w:r>
        <w:rPr>
          <w:rFonts w:hint="eastAsia" w:ascii="黑体" w:hAnsi="黑体" w:eastAsia="黑体"/>
          <w:color w:val="000000"/>
          <w:sz w:val="32"/>
          <w:szCs w:val="32"/>
        </w:rPr>
        <w:t>支</w:t>
      </w:r>
      <w:r>
        <w:rPr>
          <w:rStyle w:val="25"/>
          <w:rFonts w:hint="eastAsia" w:ascii="黑体" w:hAnsi="黑体" w:eastAsia="黑体"/>
          <w:b w:val="0"/>
        </w:rPr>
        <w:t>出决算情况说明</w:t>
      </w:r>
      <w:bookmarkEnd w:id="28"/>
      <w:bookmarkEnd w:id="29"/>
    </w:p>
    <w:p w14:paraId="10068389">
      <w:pPr>
        <w:spacing w:line="600" w:lineRule="exact"/>
        <w:ind w:firstLine="640" w:firstLineChars="200"/>
        <w:outlineLvl w:val="1"/>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9年本年支出合计</w:t>
      </w:r>
      <w:r>
        <w:rPr>
          <w:rFonts w:hint="eastAsia" w:ascii="仿宋" w:hAnsi="仿宋" w:eastAsia="仿宋"/>
          <w:color w:val="000000"/>
          <w:sz w:val="32"/>
          <w:szCs w:val="32"/>
          <w:lang w:val="en-US" w:eastAsia="zh-CN"/>
        </w:rPr>
        <w:t>406.47</w:t>
      </w:r>
      <w:r>
        <w:rPr>
          <w:rFonts w:hint="eastAsia" w:ascii="仿宋" w:hAnsi="仿宋" w:eastAsia="仿宋"/>
          <w:color w:val="000000"/>
          <w:sz w:val="32"/>
          <w:szCs w:val="32"/>
        </w:rPr>
        <w:t>万元，其中：基本支出</w:t>
      </w:r>
      <w:r>
        <w:rPr>
          <w:rFonts w:hint="eastAsia" w:ascii="仿宋" w:hAnsi="仿宋" w:eastAsia="仿宋"/>
          <w:color w:val="000000"/>
          <w:sz w:val="32"/>
          <w:szCs w:val="32"/>
          <w:lang w:val="en-US" w:eastAsia="zh-CN"/>
        </w:rPr>
        <w:t>376.47</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92.62</w:t>
      </w:r>
      <w:r>
        <w:rPr>
          <w:rFonts w:ascii="仿宋" w:hAnsi="仿宋" w:eastAsia="仿宋"/>
          <w:color w:val="000000"/>
          <w:sz w:val="32"/>
          <w:szCs w:val="32"/>
        </w:rPr>
        <w:t>%</w:t>
      </w:r>
      <w:r>
        <w:rPr>
          <w:rFonts w:hint="eastAsia" w:ascii="仿宋" w:hAnsi="仿宋" w:eastAsia="仿宋"/>
          <w:color w:val="000000"/>
          <w:sz w:val="32"/>
          <w:szCs w:val="32"/>
        </w:rPr>
        <w:t>；项目支出</w:t>
      </w:r>
      <w:r>
        <w:rPr>
          <w:rFonts w:hint="eastAsia" w:ascii="仿宋" w:hAnsi="仿宋" w:eastAsia="仿宋"/>
          <w:color w:val="000000"/>
          <w:sz w:val="32"/>
          <w:szCs w:val="32"/>
          <w:lang w:val="en-US" w:eastAsia="zh-CN"/>
        </w:rPr>
        <w:t>30万</w:t>
      </w:r>
      <w:r>
        <w:rPr>
          <w:rFonts w:hint="eastAsia" w:ascii="仿宋" w:hAnsi="仿宋" w:eastAsia="仿宋"/>
          <w:color w:val="000000"/>
          <w:sz w:val="32"/>
          <w:szCs w:val="32"/>
        </w:rPr>
        <w:t>元，占</w:t>
      </w:r>
      <w:r>
        <w:rPr>
          <w:rFonts w:hint="eastAsia" w:ascii="仿宋" w:hAnsi="仿宋" w:eastAsia="仿宋"/>
          <w:color w:val="000000"/>
          <w:sz w:val="32"/>
          <w:szCs w:val="32"/>
          <w:lang w:val="en-US" w:eastAsia="zh-CN"/>
        </w:rPr>
        <w:t>7.38</w:t>
      </w:r>
      <w:r>
        <w:rPr>
          <w:rFonts w:ascii="仿宋" w:hAnsi="仿宋" w:eastAsia="仿宋"/>
          <w:color w:val="000000"/>
          <w:sz w:val="32"/>
          <w:szCs w:val="32"/>
        </w:rPr>
        <w:t>%</w:t>
      </w:r>
      <w:r>
        <w:rPr>
          <w:rFonts w:hint="eastAsia" w:ascii="仿宋" w:hAnsi="仿宋" w:eastAsia="仿宋"/>
          <w:color w:val="000000"/>
          <w:sz w:val="32"/>
          <w:szCs w:val="32"/>
        </w:rPr>
        <w:t>；上缴上级支出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；经营支出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；对附属单位补助支出</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w:t>
      </w:r>
    </w:p>
    <w:p w14:paraId="16FC1005">
      <w:pPr>
        <w:spacing w:line="600" w:lineRule="exact"/>
        <w:ind w:firstLine="640" w:firstLineChars="200"/>
        <w:rPr>
          <w:rFonts w:ascii="仿宋_GB2312" w:eastAsia="仿宋_GB2312"/>
          <w:color w:val="FF0000"/>
          <w:sz w:val="32"/>
          <w:szCs w:val="32"/>
        </w:rPr>
      </w:pPr>
    </w:p>
    <w:p w14:paraId="5CE21FA9">
      <w:pPr>
        <w:spacing w:line="600" w:lineRule="exact"/>
        <w:ind w:firstLine="640" w:firstLineChars="200"/>
        <w:outlineLvl w:val="1"/>
        <w:rPr>
          <w:rStyle w:val="25"/>
          <w:rFonts w:ascii="黑体" w:hAnsi="黑体" w:eastAsia="黑体"/>
          <w:b w:val="0"/>
        </w:rPr>
      </w:pPr>
      <w:bookmarkStart w:id="30" w:name="_Toc15377208"/>
      <w:bookmarkStart w:id="31" w:name="_Toc15396606"/>
      <w:r>
        <w:rPr>
          <w:rFonts w:hint="eastAsia" w:ascii="黑体" w:hAnsi="黑体" w:eastAsia="黑体"/>
          <w:color w:val="000000"/>
          <w:sz w:val="32"/>
          <w:szCs w:val="32"/>
        </w:rPr>
        <w:t>四、财</w:t>
      </w:r>
      <w:r>
        <w:rPr>
          <w:rStyle w:val="25"/>
          <w:rFonts w:hint="eastAsia" w:ascii="黑体" w:hAnsi="黑体" w:eastAsia="黑体"/>
          <w:b w:val="0"/>
        </w:rPr>
        <w:t>政拨款收入支出决算总体情况说明</w:t>
      </w:r>
      <w:bookmarkEnd w:id="30"/>
      <w:bookmarkEnd w:id="31"/>
    </w:p>
    <w:p w14:paraId="14FBDFA8">
      <w:pPr>
        <w:spacing w:line="600" w:lineRule="exact"/>
        <w:ind w:firstLine="640"/>
        <w:rPr>
          <w:rFonts w:hint="eastAsia" w:ascii="仿宋" w:hAnsi="仿宋" w:eastAsia="仿宋"/>
          <w:color w:val="000000"/>
          <w:sz w:val="32"/>
          <w:szCs w:val="32"/>
          <w:lang w:eastAsia="zh-CN"/>
        </w:rPr>
      </w:pPr>
      <w:r>
        <w:rPr>
          <w:rFonts w:ascii="仿宋" w:hAnsi="仿宋" w:eastAsia="仿宋"/>
          <w:color w:val="000000"/>
          <w:sz w:val="32"/>
          <w:szCs w:val="32"/>
        </w:rPr>
        <w:t>201</w:t>
      </w:r>
      <w:r>
        <w:rPr>
          <w:rFonts w:hint="eastAsia" w:ascii="仿宋" w:hAnsi="仿宋" w:eastAsia="仿宋"/>
          <w:color w:val="000000"/>
          <w:sz w:val="32"/>
          <w:szCs w:val="32"/>
        </w:rPr>
        <w:t>9年财政拨款收、支总计</w:t>
      </w:r>
      <w:r>
        <w:rPr>
          <w:rFonts w:hint="eastAsia" w:ascii="仿宋" w:hAnsi="仿宋" w:eastAsia="仿宋"/>
          <w:color w:val="000000"/>
          <w:sz w:val="32"/>
          <w:szCs w:val="32"/>
          <w:lang w:val="en-US" w:eastAsia="zh-CN"/>
        </w:rPr>
        <w:t>406.47</w:t>
      </w:r>
      <w:r>
        <w:rPr>
          <w:rFonts w:hint="eastAsia" w:ascii="仿宋" w:hAnsi="仿宋" w:eastAsia="仿宋"/>
          <w:color w:val="000000"/>
          <w:sz w:val="32"/>
          <w:szCs w:val="32"/>
        </w:rPr>
        <w:t>万元。与</w:t>
      </w:r>
      <w:r>
        <w:rPr>
          <w:rFonts w:ascii="仿宋" w:hAnsi="仿宋" w:eastAsia="仿宋"/>
          <w:color w:val="000000"/>
          <w:sz w:val="32"/>
          <w:szCs w:val="32"/>
        </w:rPr>
        <w:t>201</w:t>
      </w:r>
      <w:r>
        <w:rPr>
          <w:rFonts w:hint="eastAsia" w:ascii="仿宋" w:hAnsi="仿宋" w:eastAsia="仿宋"/>
          <w:color w:val="000000"/>
          <w:sz w:val="32"/>
          <w:szCs w:val="32"/>
        </w:rPr>
        <w:t>8年相比，财政拨款收、支总计各减少</w:t>
      </w:r>
      <w:r>
        <w:rPr>
          <w:rFonts w:hint="eastAsia" w:ascii="仿宋" w:hAnsi="仿宋" w:eastAsia="仿宋"/>
          <w:color w:val="000000"/>
          <w:sz w:val="32"/>
          <w:szCs w:val="32"/>
          <w:lang w:val="en-US" w:eastAsia="zh-CN"/>
        </w:rPr>
        <w:t>66.48</w:t>
      </w:r>
      <w:r>
        <w:rPr>
          <w:rFonts w:hint="eastAsia" w:ascii="仿宋" w:hAnsi="仿宋" w:eastAsia="仿宋"/>
          <w:color w:val="000000"/>
          <w:sz w:val="32"/>
          <w:szCs w:val="32"/>
        </w:rPr>
        <w:t>万元，下降</w:t>
      </w:r>
      <w:r>
        <w:rPr>
          <w:rFonts w:hint="eastAsia" w:ascii="仿宋" w:hAnsi="仿宋" w:eastAsia="仿宋"/>
          <w:color w:val="000000"/>
          <w:sz w:val="32"/>
          <w:szCs w:val="32"/>
          <w:lang w:val="en-US" w:eastAsia="zh-CN"/>
        </w:rPr>
        <w:t>14.06</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color w:val="000000"/>
          <w:sz w:val="32"/>
          <w:szCs w:val="32"/>
          <w:lang w:eastAsia="zh-CN"/>
        </w:rPr>
        <w:t>项目的减少。</w:t>
      </w:r>
    </w:p>
    <w:p w14:paraId="1F600981">
      <w:pPr>
        <w:spacing w:line="600" w:lineRule="exact"/>
        <w:outlineLvl w:val="1"/>
        <w:rPr>
          <w:rFonts w:hint="eastAsia" w:ascii="黑体" w:hAnsi="黑体" w:eastAsia="黑体"/>
          <w:color w:val="000000"/>
          <w:sz w:val="32"/>
          <w:szCs w:val="32"/>
        </w:rPr>
      </w:pPr>
      <w:bookmarkStart w:id="32" w:name="_Toc15377209"/>
      <w:bookmarkStart w:id="33" w:name="_Toc15396607"/>
    </w:p>
    <w:p w14:paraId="223A0F4B">
      <w:pPr>
        <w:spacing w:line="600" w:lineRule="exact"/>
        <w:ind w:firstLine="640" w:firstLineChars="200"/>
        <w:outlineLvl w:val="1"/>
        <w:rPr>
          <w:rStyle w:val="25"/>
          <w:rFonts w:ascii="黑体" w:hAnsi="黑体" w:eastAsia="黑体"/>
          <w:b w:val="0"/>
        </w:rPr>
      </w:pPr>
      <w:r>
        <w:rPr>
          <w:rFonts w:hint="eastAsia" w:ascii="黑体" w:hAnsi="黑体" w:eastAsia="黑体"/>
          <w:color w:val="000000"/>
          <w:sz w:val="32"/>
          <w:szCs w:val="32"/>
        </w:rPr>
        <w:t>五、</w:t>
      </w:r>
      <w:r>
        <w:rPr>
          <w:rFonts w:hint="eastAsia" w:ascii="黑体" w:hAnsi="黑体" w:eastAsia="黑体"/>
          <w:b/>
          <w:color w:val="000000"/>
          <w:sz w:val="32"/>
          <w:szCs w:val="32"/>
        </w:rPr>
        <w:t>一</w:t>
      </w:r>
      <w:r>
        <w:rPr>
          <w:rStyle w:val="25"/>
          <w:rFonts w:hint="eastAsia" w:ascii="黑体" w:hAnsi="黑体" w:eastAsia="黑体"/>
          <w:b w:val="0"/>
        </w:rPr>
        <w:t>般公共预算财政拨款支出决算情况说明</w:t>
      </w:r>
      <w:bookmarkEnd w:id="32"/>
      <w:bookmarkEnd w:id="33"/>
    </w:p>
    <w:p w14:paraId="5AA99476">
      <w:pPr>
        <w:spacing w:line="600" w:lineRule="exact"/>
        <w:ind w:firstLine="643" w:firstLineChars="200"/>
        <w:outlineLvl w:val="2"/>
        <w:rPr>
          <w:rFonts w:ascii="仿宋" w:hAnsi="仿宋" w:eastAsia="仿宋"/>
          <w:b/>
          <w:color w:val="000000"/>
          <w:sz w:val="32"/>
          <w:szCs w:val="32"/>
        </w:rPr>
      </w:pPr>
      <w:bookmarkStart w:id="34" w:name="_Toc15377210"/>
      <w:r>
        <w:rPr>
          <w:rFonts w:hint="eastAsia" w:ascii="仿宋" w:hAnsi="仿宋" w:eastAsia="仿宋"/>
          <w:b/>
          <w:color w:val="000000"/>
          <w:sz w:val="32"/>
          <w:szCs w:val="32"/>
        </w:rPr>
        <w:t>（一）一般公共预算财政拨款支出决算总体情况</w:t>
      </w:r>
      <w:bookmarkEnd w:id="34"/>
    </w:p>
    <w:p w14:paraId="1E27B428">
      <w:pPr>
        <w:spacing w:line="600" w:lineRule="exact"/>
        <w:ind w:firstLine="640" w:firstLineChars="200"/>
        <w:rPr>
          <w:rFonts w:hint="eastAsia" w:ascii="仿宋" w:hAnsi="仿宋" w:eastAsia="仿宋"/>
          <w:color w:val="000000"/>
          <w:sz w:val="32"/>
          <w:szCs w:val="32"/>
          <w:lang w:eastAsia="zh-CN"/>
        </w:rPr>
      </w:pPr>
      <w:r>
        <w:rPr>
          <w:rFonts w:ascii="仿宋" w:hAnsi="仿宋" w:eastAsia="仿宋"/>
          <w:color w:val="000000"/>
          <w:sz w:val="32"/>
          <w:szCs w:val="32"/>
        </w:rPr>
        <w:t>201</w:t>
      </w:r>
      <w:r>
        <w:rPr>
          <w:rFonts w:hint="eastAsia" w:ascii="仿宋" w:hAnsi="仿宋" w:eastAsia="仿宋"/>
          <w:color w:val="000000"/>
          <w:sz w:val="32"/>
          <w:szCs w:val="32"/>
        </w:rPr>
        <w:t>9年一般公共预算财政拨款支出</w:t>
      </w:r>
      <w:r>
        <w:rPr>
          <w:rFonts w:hint="eastAsia" w:ascii="仿宋" w:hAnsi="仿宋" w:eastAsia="仿宋"/>
          <w:color w:val="000000"/>
          <w:sz w:val="32"/>
          <w:szCs w:val="32"/>
          <w:lang w:val="en-US" w:eastAsia="zh-CN"/>
        </w:rPr>
        <w:t>406.47</w:t>
      </w:r>
      <w:r>
        <w:rPr>
          <w:rFonts w:hint="eastAsia" w:ascii="仿宋" w:hAnsi="仿宋" w:eastAsia="仿宋"/>
          <w:color w:val="000000"/>
          <w:sz w:val="32"/>
          <w:szCs w:val="32"/>
        </w:rPr>
        <w:t>万元，占本年支出合计的</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。与</w:t>
      </w:r>
      <w:r>
        <w:rPr>
          <w:rFonts w:ascii="仿宋" w:hAnsi="仿宋" w:eastAsia="仿宋"/>
          <w:color w:val="000000"/>
          <w:sz w:val="32"/>
          <w:szCs w:val="32"/>
        </w:rPr>
        <w:t>201</w:t>
      </w:r>
      <w:r>
        <w:rPr>
          <w:rFonts w:hint="eastAsia" w:ascii="仿宋" w:hAnsi="仿宋" w:eastAsia="仿宋"/>
          <w:color w:val="000000"/>
          <w:sz w:val="32"/>
          <w:szCs w:val="32"/>
        </w:rPr>
        <w:t>8年相比，一般公共预算财政拨款减少</w:t>
      </w:r>
      <w:r>
        <w:rPr>
          <w:rFonts w:hint="eastAsia" w:ascii="仿宋" w:hAnsi="仿宋" w:eastAsia="仿宋"/>
          <w:color w:val="000000"/>
          <w:sz w:val="32"/>
          <w:szCs w:val="32"/>
          <w:lang w:val="en-US" w:eastAsia="zh-CN"/>
        </w:rPr>
        <w:t>66.48</w:t>
      </w:r>
      <w:r>
        <w:rPr>
          <w:rFonts w:hint="eastAsia" w:ascii="仿宋" w:hAnsi="仿宋" w:eastAsia="仿宋"/>
          <w:color w:val="000000"/>
          <w:sz w:val="32"/>
          <w:szCs w:val="32"/>
        </w:rPr>
        <w:t>万元，下降</w:t>
      </w:r>
      <w:r>
        <w:rPr>
          <w:rFonts w:hint="eastAsia" w:ascii="仿宋" w:hAnsi="仿宋" w:eastAsia="仿宋"/>
          <w:color w:val="000000"/>
          <w:sz w:val="32"/>
          <w:szCs w:val="32"/>
          <w:lang w:val="en-US" w:eastAsia="zh-CN"/>
        </w:rPr>
        <w:t>14.06</w:t>
      </w:r>
      <w:r>
        <w:rPr>
          <w:rFonts w:ascii="仿宋" w:hAnsi="仿宋" w:eastAsia="仿宋"/>
          <w:color w:val="000000"/>
          <w:sz w:val="32"/>
          <w:szCs w:val="32"/>
        </w:rPr>
        <w:t>%</w:t>
      </w:r>
      <w:r>
        <w:rPr>
          <w:rFonts w:hint="eastAsia" w:ascii="仿宋" w:hAnsi="仿宋" w:eastAsia="仿宋"/>
          <w:color w:val="000000"/>
          <w:sz w:val="32"/>
          <w:szCs w:val="32"/>
        </w:rPr>
        <w:t>。主要变动原因是</w:t>
      </w:r>
      <w:r>
        <w:rPr>
          <w:rFonts w:hint="eastAsia" w:ascii="仿宋" w:hAnsi="仿宋" w:eastAsia="仿宋"/>
          <w:color w:val="000000"/>
          <w:sz w:val="32"/>
          <w:szCs w:val="32"/>
          <w:lang w:eastAsia="zh-CN"/>
        </w:rPr>
        <w:t>项目的减少。</w:t>
      </w:r>
    </w:p>
    <w:p w14:paraId="45A1CC4D">
      <w:pPr>
        <w:spacing w:line="600" w:lineRule="exact"/>
        <w:ind w:firstLine="643" w:firstLineChars="200"/>
        <w:outlineLvl w:val="2"/>
        <w:rPr>
          <w:rFonts w:ascii="仿宋" w:hAnsi="仿宋" w:eastAsia="仿宋"/>
          <w:b/>
          <w:color w:val="000000"/>
          <w:sz w:val="32"/>
          <w:szCs w:val="32"/>
        </w:rPr>
      </w:pPr>
      <w:bookmarkStart w:id="35" w:name="_Toc15377211"/>
      <w:r>
        <w:rPr>
          <w:rFonts w:hint="eastAsia" w:ascii="仿宋" w:hAnsi="仿宋" w:eastAsia="仿宋"/>
          <w:b/>
          <w:color w:val="000000"/>
          <w:sz w:val="32"/>
          <w:szCs w:val="32"/>
        </w:rPr>
        <w:t>（二）一般公共预算财政拨款支出决算结构情况</w:t>
      </w:r>
      <w:bookmarkEnd w:id="35"/>
    </w:p>
    <w:p w14:paraId="45830FCA">
      <w:pPr>
        <w:spacing w:line="600" w:lineRule="exact"/>
        <w:ind w:firstLine="640"/>
        <w:rPr>
          <w:rFonts w:ascii="仿宋" w:hAnsi="仿宋" w:eastAsia="仿宋"/>
          <w:color w:val="000000" w:themeColor="text1"/>
          <w:sz w:val="32"/>
          <w:szCs w:val="32"/>
          <w14:textFill>
            <w14:solidFill>
              <w14:schemeClr w14:val="tx1"/>
            </w14:solidFill>
          </w14:textFill>
        </w:rPr>
      </w:pPr>
      <w:r>
        <w:rPr>
          <w:rFonts w:ascii="仿宋" w:hAnsi="仿宋" w:eastAsia="仿宋"/>
          <w:color w:val="000000"/>
          <w:sz w:val="32"/>
          <w:szCs w:val="32"/>
        </w:rPr>
        <w:t>201</w:t>
      </w:r>
      <w:r>
        <w:rPr>
          <w:rFonts w:hint="eastAsia" w:ascii="仿宋" w:hAnsi="仿宋" w:eastAsia="仿宋"/>
          <w:color w:val="000000"/>
          <w:sz w:val="32"/>
          <w:szCs w:val="32"/>
        </w:rPr>
        <w:t>9年一般公共预算财</w:t>
      </w:r>
      <w:r>
        <w:rPr>
          <w:rFonts w:hint="eastAsia" w:ascii="仿宋" w:hAnsi="仿宋" w:eastAsia="仿宋"/>
          <w:color w:val="000000" w:themeColor="text1"/>
          <w:sz w:val="32"/>
          <w:szCs w:val="32"/>
          <w14:textFill>
            <w14:solidFill>
              <w14:schemeClr w14:val="tx1"/>
            </w14:solidFill>
          </w14:textFill>
        </w:rPr>
        <w:t>政拨款支出</w:t>
      </w:r>
      <w:r>
        <w:rPr>
          <w:rFonts w:hint="eastAsia" w:ascii="仿宋" w:hAnsi="仿宋" w:eastAsia="仿宋"/>
          <w:color w:val="000000" w:themeColor="text1"/>
          <w:sz w:val="32"/>
          <w:szCs w:val="32"/>
          <w:lang w:val="en-US" w:eastAsia="zh-CN"/>
          <w14:textFill>
            <w14:solidFill>
              <w14:schemeClr w14:val="tx1"/>
            </w14:solidFill>
          </w14:textFill>
        </w:rPr>
        <w:t>406.47</w:t>
      </w:r>
      <w:r>
        <w:rPr>
          <w:rFonts w:hint="eastAsia" w:ascii="仿宋" w:hAnsi="仿宋" w:eastAsia="仿宋"/>
          <w:color w:val="000000" w:themeColor="text1"/>
          <w:sz w:val="32"/>
          <w:szCs w:val="32"/>
          <w14:textFill>
            <w14:solidFill>
              <w14:schemeClr w14:val="tx1"/>
            </w14:solidFill>
          </w14:textFill>
        </w:rPr>
        <w:t>万元，主要用于以下方面</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b/>
          <w:color w:val="000000" w:themeColor="text1"/>
          <w:sz w:val="32"/>
          <w:szCs w:val="32"/>
          <w14:textFill>
            <w14:solidFill>
              <w14:schemeClr w14:val="tx1"/>
            </w14:solidFill>
          </w14:textFill>
        </w:rPr>
        <w:t>一般公共服务（类）</w:t>
      </w:r>
      <w:r>
        <w:rPr>
          <w:rFonts w:hint="eastAsia" w:ascii="仿宋" w:hAnsi="仿宋" w:eastAsia="仿宋"/>
          <w:color w:val="000000" w:themeColor="text1"/>
          <w:sz w:val="32"/>
          <w:szCs w:val="32"/>
          <w14:textFill>
            <w14:solidFill>
              <w14:schemeClr w14:val="tx1"/>
            </w14:solidFill>
          </w14:textFill>
        </w:rPr>
        <w:t>支出</w:t>
      </w:r>
      <w:r>
        <w:rPr>
          <w:rFonts w:hint="eastAsia" w:ascii="仿宋" w:hAnsi="仿宋" w:eastAsia="仿宋"/>
          <w:color w:val="000000" w:themeColor="text1"/>
          <w:sz w:val="32"/>
          <w:szCs w:val="32"/>
          <w:lang w:val="en-US" w:eastAsia="zh-CN"/>
          <w14:textFill>
            <w14:solidFill>
              <w14:schemeClr w14:val="tx1"/>
            </w14:solidFill>
          </w14:textFill>
        </w:rPr>
        <w:t>140.80</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34.64</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r>
        <w:rPr>
          <w:rFonts w:hint="eastAsia" w:ascii="仿宋" w:hAnsi="仿宋" w:eastAsia="仿宋"/>
          <w:b/>
          <w:color w:val="000000" w:themeColor="text1"/>
          <w:sz w:val="32"/>
          <w:szCs w:val="32"/>
          <w:lang w:eastAsia="zh-CN"/>
          <w14:textFill>
            <w14:solidFill>
              <w14:schemeClr w14:val="tx1"/>
            </w14:solidFill>
          </w14:textFill>
        </w:rPr>
        <w:t>公共安全支出</w:t>
      </w:r>
      <w:r>
        <w:rPr>
          <w:rFonts w:hint="eastAsia" w:ascii="仿宋" w:hAnsi="仿宋" w:eastAsia="仿宋"/>
          <w:b/>
          <w:color w:val="000000" w:themeColor="text1"/>
          <w:sz w:val="32"/>
          <w:szCs w:val="32"/>
          <w14:textFill>
            <w14:solidFill>
              <w14:schemeClr w14:val="tx1"/>
            </w14:solidFill>
          </w14:textFill>
        </w:rPr>
        <w:t>（类）</w:t>
      </w:r>
      <w:r>
        <w:rPr>
          <w:rFonts w:hint="eastAsia" w:ascii="仿宋" w:hAnsi="仿宋" w:eastAsia="仿宋"/>
          <w:color w:val="000000" w:themeColor="text1"/>
          <w:sz w:val="32"/>
          <w:szCs w:val="32"/>
          <w:lang w:val="en-US" w:eastAsia="zh-CN"/>
          <w14:textFill>
            <w14:solidFill>
              <w14:schemeClr w14:val="tx1"/>
            </w14:solidFill>
          </w14:textFill>
        </w:rPr>
        <w:t>7.08</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1.74</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r>
        <w:rPr>
          <w:rFonts w:hint="eastAsia" w:ascii="仿宋" w:hAnsi="仿宋" w:eastAsia="仿宋"/>
          <w:b/>
          <w:color w:val="000000" w:themeColor="text1"/>
          <w:sz w:val="32"/>
          <w:szCs w:val="32"/>
          <w14:textFill>
            <w14:solidFill>
              <w14:schemeClr w14:val="tx1"/>
            </w14:solidFill>
          </w14:textFill>
        </w:rPr>
        <w:t>社会保障和就业（类）</w:t>
      </w:r>
      <w:r>
        <w:rPr>
          <w:rFonts w:hint="eastAsia" w:ascii="仿宋" w:hAnsi="仿宋" w:eastAsia="仿宋"/>
          <w:color w:val="000000" w:themeColor="text1"/>
          <w:sz w:val="32"/>
          <w:szCs w:val="32"/>
          <w14:textFill>
            <w14:solidFill>
              <w14:schemeClr w14:val="tx1"/>
            </w14:solidFill>
          </w14:textFill>
        </w:rPr>
        <w:t>支出</w:t>
      </w:r>
      <w:r>
        <w:rPr>
          <w:rFonts w:hint="eastAsia" w:ascii="仿宋" w:hAnsi="仿宋" w:eastAsia="仿宋"/>
          <w:color w:val="000000" w:themeColor="text1"/>
          <w:sz w:val="32"/>
          <w:szCs w:val="32"/>
          <w:lang w:val="en-US" w:eastAsia="zh-CN"/>
          <w14:textFill>
            <w14:solidFill>
              <w14:schemeClr w14:val="tx1"/>
            </w14:solidFill>
          </w14:textFill>
        </w:rPr>
        <w:t>20.28</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4.99</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r>
        <w:rPr>
          <w:rFonts w:hint="eastAsia" w:ascii="仿宋" w:hAnsi="仿宋" w:eastAsia="仿宋"/>
          <w:b/>
          <w:bCs/>
          <w:color w:val="000000" w:themeColor="text1"/>
          <w:sz w:val="32"/>
          <w:szCs w:val="32"/>
          <w14:textFill>
            <w14:solidFill>
              <w14:schemeClr w14:val="tx1"/>
            </w14:solidFill>
          </w14:textFill>
        </w:rPr>
        <w:t>卫生健康</w:t>
      </w:r>
      <w:r>
        <w:rPr>
          <w:rFonts w:hint="eastAsia" w:ascii="仿宋" w:hAnsi="仿宋" w:eastAsia="仿宋"/>
          <w:b/>
          <w:bCs/>
          <w:color w:val="000000" w:themeColor="text1"/>
          <w:sz w:val="32"/>
          <w:szCs w:val="32"/>
          <w:lang w:eastAsia="zh-CN"/>
          <w14:textFill>
            <w14:solidFill>
              <w14:schemeClr w14:val="tx1"/>
            </w14:solidFill>
          </w14:textFill>
        </w:rPr>
        <w:t>（类）</w:t>
      </w:r>
      <w:r>
        <w:rPr>
          <w:rFonts w:hint="eastAsia" w:ascii="仿宋" w:hAnsi="仿宋" w:eastAsia="仿宋"/>
          <w:b/>
          <w:bCs/>
          <w:color w:val="000000" w:themeColor="text1"/>
          <w:sz w:val="32"/>
          <w:szCs w:val="32"/>
          <w14:textFill>
            <w14:solidFill>
              <w14:schemeClr w14:val="tx1"/>
            </w14:solidFill>
          </w14:textFill>
        </w:rPr>
        <w:t>支出</w:t>
      </w:r>
      <w:r>
        <w:rPr>
          <w:rFonts w:hint="eastAsia" w:ascii="仿宋" w:hAnsi="仿宋" w:eastAsia="仿宋"/>
          <w:color w:val="000000" w:themeColor="text1"/>
          <w:sz w:val="32"/>
          <w:szCs w:val="32"/>
          <w:lang w:val="en-US" w:eastAsia="zh-CN"/>
          <w14:textFill>
            <w14:solidFill>
              <w14:schemeClr w14:val="tx1"/>
            </w14:solidFill>
          </w14:textFill>
        </w:rPr>
        <w:t>13.64</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3.35</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r>
        <w:rPr>
          <w:rFonts w:hint="eastAsia" w:ascii="仿宋" w:hAnsi="仿宋" w:eastAsia="仿宋" w:cs="Times New Roman"/>
          <w:b/>
          <w:bCs/>
          <w:color w:val="000000" w:themeColor="text1"/>
          <w:sz w:val="32"/>
          <w:szCs w:val="32"/>
          <w:lang w:val="en-US" w:eastAsia="zh-CN"/>
          <w14:textFill>
            <w14:solidFill>
              <w14:schemeClr w14:val="tx1"/>
            </w14:solidFill>
          </w14:textFill>
        </w:rPr>
        <w:t>农林水（类）</w:t>
      </w:r>
      <w:r>
        <w:rPr>
          <w:rFonts w:hint="eastAsia" w:ascii="仿宋" w:hAnsi="仿宋" w:eastAsia="仿宋"/>
          <w:color w:val="000000" w:themeColor="text1"/>
          <w:sz w:val="32"/>
          <w:szCs w:val="32"/>
          <w:lang w:val="en-US" w:eastAsia="zh-CN"/>
          <w14:textFill>
            <w14:solidFill>
              <w14:schemeClr w14:val="tx1"/>
            </w14:solidFill>
          </w14:textFill>
        </w:rPr>
        <w:t>支出207.76万元，占51.11%；</w:t>
      </w:r>
      <w:r>
        <w:rPr>
          <w:rFonts w:hint="eastAsia" w:ascii="仿宋" w:hAnsi="仿宋" w:eastAsia="仿宋" w:cs="Times New Roman"/>
          <w:b/>
          <w:bCs/>
          <w:color w:val="000000" w:themeColor="text1"/>
          <w:sz w:val="32"/>
          <w:szCs w:val="32"/>
          <w:lang w:val="en-US" w:eastAsia="zh-CN"/>
          <w14:textFill>
            <w14:solidFill>
              <w14:schemeClr w14:val="tx1"/>
            </w14:solidFill>
          </w14:textFill>
        </w:rPr>
        <w:t>住房保障（类）</w:t>
      </w:r>
      <w:r>
        <w:rPr>
          <w:rFonts w:hint="eastAsia" w:ascii="仿宋" w:hAnsi="仿宋" w:eastAsia="仿宋"/>
          <w:color w:val="000000" w:themeColor="text1"/>
          <w:sz w:val="32"/>
          <w:szCs w:val="32"/>
          <w14:textFill>
            <w14:solidFill>
              <w14:schemeClr w14:val="tx1"/>
            </w14:solidFill>
          </w14:textFill>
        </w:rPr>
        <w:t>支出</w:t>
      </w:r>
      <w:r>
        <w:rPr>
          <w:rFonts w:hint="eastAsia" w:ascii="仿宋" w:hAnsi="仿宋" w:eastAsia="仿宋"/>
          <w:color w:val="000000" w:themeColor="text1"/>
          <w:sz w:val="32"/>
          <w:szCs w:val="32"/>
          <w:lang w:val="en-US" w:eastAsia="zh-CN"/>
          <w14:textFill>
            <w14:solidFill>
              <w14:schemeClr w14:val="tx1"/>
            </w14:solidFill>
          </w14:textFill>
        </w:rPr>
        <w:t>16.90</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4.17</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p>
    <w:p w14:paraId="16CEF8FC">
      <w:pPr>
        <w:spacing w:line="600" w:lineRule="exact"/>
        <w:ind w:firstLine="640" w:firstLineChars="200"/>
        <w:rPr>
          <w:rFonts w:ascii="仿宋" w:hAnsi="仿宋" w:eastAsia="仿宋"/>
          <w:color w:val="000000"/>
          <w:sz w:val="32"/>
          <w:szCs w:val="32"/>
        </w:rPr>
      </w:pPr>
    </w:p>
    <w:p w14:paraId="598D1592">
      <w:pPr>
        <w:spacing w:line="600" w:lineRule="exact"/>
        <w:ind w:firstLine="643" w:firstLineChars="200"/>
        <w:outlineLvl w:val="2"/>
        <w:rPr>
          <w:rFonts w:ascii="仿宋" w:hAnsi="仿宋" w:eastAsia="仿宋"/>
          <w:b/>
          <w:color w:val="000000"/>
          <w:sz w:val="32"/>
          <w:szCs w:val="32"/>
        </w:rPr>
      </w:pPr>
      <w:bookmarkStart w:id="36" w:name="_Toc15377212"/>
      <w:r>
        <w:rPr>
          <w:rFonts w:hint="eastAsia" w:ascii="仿宋" w:hAnsi="仿宋" w:eastAsia="仿宋"/>
          <w:b/>
          <w:color w:val="000000"/>
          <w:sz w:val="32"/>
          <w:szCs w:val="32"/>
        </w:rPr>
        <w:t>（三）一般公共预算财政拨款支出决算具体情况</w:t>
      </w:r>
      <w:bookmarkEnd w:id="36"/>
    </w:p>
    <w:p w14:paraId="675C9A47">
      <w:pPr>
        <w:spacing w:line="600" w:lineRule="exact"/>
        <w:ind w:firstLine="643" w:firstLineChars="200"/>
        <w:outlineLvl w:val="2"/>
        <w:rPr>
          <w:rFonts w:ascii="仿宋" w:hAnsi="仿宋" w:eastAsia="仿宋"/>
          <w:color w:val="FF0000"/>
          <w:sz w:val="32"/>
          <w:szCs w:val="32"/>
        </w:rPr>
      </w:pPr>
      <w:bookmarkStart w:id="37" w:name="_Toc15378460"/>
      <w:bookmarkStart w:id="38" w:name="_Toc15377213"/>
      <w:bookmarkStart w:id="39" w:name="_Toc15377444"/>
      <w:r>
        <w:rPr>
          <w:rFonts w:hint="eastAsia" w:ascii="仿宋" w:hAnsi="仿宋" w:eastAsia="仿宋"/>
          <w:b/>
          <w:color w:val="000000" w:themeColor="text1"/>
          <w:sz w:val="32"/>
          <w:szCs w:val="32"/>
          <w14:textFill>
            <w14:solidFill>
              <w14:schemeClr w14:val="tx1"/>
            </w14:solidFill>
          </w14:textFill>
        </w:rPr>
        <w:t>2019年般公共预算支出决算数为</w:t>
      </w:r>
      <w:r>
        <w:rPr>
          <w:rFonts w:hint="eastAsia" w:ascii="仿宋" w:hAnsi="仿宋" w:eastAsia="仿宋"/>
          <w:b/>
          <w:color w:val="000000" w:themeColor="text1"/>
          <w:sz w:val="32"/>
          <w:szCs w:val="32"/>
          <w:lang w:val="en-US" w:eastAsia="zh-CN"/>
          <w14:textFill>
            <w14:solidFill>
              <w14:schemeClr w14:val="tx1"/>
            </w14:solidFill>
          </w14:textFill>
        </w:rPr>
        <w:t>406.47</w:t>
      </w:r>
      <w:r>
        <w:rPr>
          <w:rFonts w:hint="eastAsia" w:ascii="仿宋" w:hAnsi="仿宋" w:eastAsia="仿宋"/>
          <w:color w:val="000000" w:themeColor="text1"/>
          <w:sz w:val="32"/>
          <w:szCs w:val="32"/>
          <w14:textFill>
            <w14:solidFill>
              <w14:schemeClr w14:val="tx1"/>
            </w14:solidFill>
          </w14:textFill>
        </w:rPr>
        <w:t>，</w:t>
      </w:r>
      <w:r>
        <w:rPr>
          <w:rStyle w:val="14"/>
          <w:rFonts w:hint="eastAsia" w:ascii="仿宋" w:hAnsi="仿宋" w:eastAsia="仿宋"/>
          <w:bCs/>
          <w:color w:val="000000" w:themeColor="text1"/>
          <w:sz w:val="32"/>
          <w:szCs w:val="32"/>
          <w14:textFill>
            <w14:solidFill>
              <w14:schemeClr w14:val="tx1"/>
            </w14:solidFill>
          </w14:textFill>
        </w:rPr>
        <w:t>完成</w:t>
      </w:r>
      <w:r>
        <w:rPr>
          <w:rStyle w:val="14"/>
          <w:rFonts w:hint="eastAsia" w:ascii="仿宋" w:hAnsi="仿宋" w:eastAsia="仿宋"/>
          <w:bCs/>
          <w:color w:val="000000"/>
          <w:sz w:val="32"/>
          <w:szCs w:val="32"/>
        </w:rPr>
        <w:t>预算</w:t>
      </w:r>
      <w:r>
        <w:rPr>
          <w:rStyle w:val="14"/>
          <w:rFonts w:hint="eastAsia" w:ascii="仿宋" w:hAnsi="仿宋" w:eastAsia="仿宋"/>
          <w:bCs/>
          <w:color w:val="000000"/>
          <w:sz w:val="32"/>
          <w:szCs w:val="32"/>
          <w:lang w:val="en-US" w:eastAsia="zh-CN"/>
        </w:rPr>
        <w:t>100</w:t>
      </w:r>
      <w:r>
        <w:rPr>
          <w:rStyle w:val="14"/>
          <w:rFonts w:ascii="仿宋" w:hAnsi="仿宋" w:eastAsia="仿宋"/>
          <w:bCs/>
          <w:color w:val="000000"/>
          <w:sz w:val="32"/>
          <w:szCs w:val="32"/>
        </w:rPr>
        <w:t>%</w:t>
      </w:r>
      <w:r>
        <w:rPr>
          <w:rStyle w:val="14"/>
          <w:rFonts w:hint="eastAsia" w:ascii="仿宋" w:hAnsi="仿宋" w:eastAsia="仿宋"/>
          <w:bCs/>
          <w:color w:val="000000"/>
          <w:sz w:val="32"/>
          <w:szCs w:val="32"/>
        </w:rPr>
        <w:t>。其中：</w:t>
      </w:r>
      <w:bookmarkEnd w:id="37"/>
      <w:bookmarkEnd w:id="38"/>
      <w:bookmarkEnd w:id="39"/>
    </w:p>
    <w:p w14:paraId="12D94B42">
      <w:pPr>
        <w:spacing w:line="600" w:lineRule="exact"/>
        <w:ind w:firstLine="643" w:firstLineChars="200"/>
        <w:rPr>
          <w:rFonts w:ascii="仿宋" w:hAnsi="仿宋" w:eastAsia="仿宋"/>
          <w:b/>
          <w:color w:val="000000"/>
          <w:sz w:val="32"/>
          <w:szCs w:val="32"/>
        </w:rPr>
      </w:pPr>
      <w:r>
        <w:rPr>
          <w:rStyle w:val="14"/>
          <w:rFonts w:ascii="仿宋" w:hAnsi="仿宋" w:eastAsia="仿宋"/>
          <w:bCs/>
          <w:color w:val="000000"/>
          <w:sz w:val="32"/>
          <w:szCs w:val="32"/>
        </w:rPr>
        <w:t>1.</w:t>
      </w:r>
      <w:r>
        <w:rPr>
          <w:rStyle w:val="14"/>
          <w:rFonts w:hint="eastAsia" w:ascii="仿宋" w:hAnsi="仿宋" w:eastAsia="仿宋"/>
          <w:bCs/>
          <w:color w:val="000000"/>
          <w:sz w:val="32"/>
          <w:szCs w:val="32"/>
        </w:rPr>
        <w:t>一般公共服务（类）</w:t>
      </w:r>
      <w:r>
        <w:rPr>
          <w:rStyle w:val="14"/>
          <w:rFonts w:hint="eastAsia" w:ascii="仿宋" w:hAnsi="仿宋" w:eastAsia="仿宋"/>
          <w:bCs/>
          <w:color w:val="000000"/>
          <w:sz w:val="32"/>
          <w:szCs w:val="32"/>
          <w:lang w:eastAsia="zh-CN"/>
        </w:rPr>
        <w:t>：</w:t>
      </w:r>
      <w:r>
        <w:rPr>
          <w:rStyle w:val="14"/>
          <w:rFonts w:ascii="仿宋" w:hAnsi="仿宋" w:eastAsia="仿宋"/>
          <w:b w:val="0"/>
          <w:bCs/>
          <w:color w:val="000000"/>
          <w:sz w:val="32"/>
          <w:szCs w:val="32"/>
        </w:rPr>
        <w:t xml:space="preserve"> </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140.80</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14:paraId="23E3E9C7">
      <w:pPr>
        <w:spacing w:line="600" w:lineRule="exact"/>
        <w:ind w:firstLine="643" w:firstLineChars="200"/>
        <w:rPr>
          <w:rFonts w:ascii="仿宋" w:hAnsi="仿宋" w:eastAsia="仿宋"/>
          <w:b/>
          <w:color w:val="000000"/>
          <w:sz w:val="32"/>
          <w:szCs w:val="32"/>
        </w:rPr>
      </w:pPr>
      <w:r>
        <w:rPr>
          <w:rStyle w:val="14"/>
          <w:rFonts w:ascii="仿宋" w:hAnsi="仿宋" w:eastAsia="仿宋"/>
          <w:bCs/>
          <w:color w:val="000000"/>
          <w:sz w:val="32"/>
          <w:szCs w:val="32"/>
        </w:rPr>
        <w:t>2.</w:t>
      </w:r>
      <w:r>
        <w:rPr>
          <w:rFonts w:hint="eastAsia" w:ascii="仿宋" w:hAnsi="仿宋" w:eastAsia="仿宋"/>
          <w:b/>
          <w:color w:val="000000" w:themeColor="text1"/>
          <w:sz w:val="32"/>
          <w:szCs w:val="32"/>
          <w:lang w:eastAsia="zh-CN"/>
          <w14:textFill>
            <w14:solidFill>
              <w14:schemeClr w14:val="tx1"/>
            </w14:solidFill>
          </w14:textFill>
        </w:rPr>
        <w:t>公共安全支出</w:t>
      </w:r>
      <w:r>
        <w:rPr>
          <w:rFonts w:hint="eastAsia" w:ascii="仿宋" w:hAnsi="仿宋" w:eastAsia="仿宋"/>
          <w:b/>
          <w:color w:val="000000" w:themeColor="text1"/>
          <w:sz w:val="32"/>
          <w:szCs w:val="32"/>
          <w14:textFill>
            <w14:solidFill>
              <w14:schemeClr w14:val="tx1"/>
            </w14:solidFill>
          </w14:textFill>
        </w:rPr>
        <w:t>（类）</w:t>
      </w:r>
      <w:r>
        <w:rPr>
          <w:rStyle w:val="14"/>
          <w:rFonts w:ascii="仿宋" w:hAnsi="仿宋" w:eastAsia="仿宋"/>
          <w:bCs/>
          <w:color w:val="000000"/>
          <w:sz w:val="32"/>
          <w:szCs w:val="32"/>
        </w:rPr>
        <w:t>:</w:t>
      </w:r>
      <w:r>
        <w:rPr>
          <w:rStyle w:val="14"/>
          <w:rFonts w:ascii="仿宋" w:hAnsi="仿宋" w:eastAsia="仿宋"/>
          <w:b w:val="0"/>
          <w:bCs/>
          <w:color w:val="000000"/>
          <w:sz w:val="32"/>
          <w:szCs w:val="32"/>
        </w:rPr>
        <w:t xml:space="preserve"> </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7.08</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14:paraId="29F0F9B2">
      <w:pPr>
        <w:spacing w:line="600" w:lineRule="exact"/>
        <w:ind w:firstLine="643" w:firstLineChars="200"/>
        <w:rPr>
          <w:rFonts w:ascii="仿宋" w:hAnsi="仿宋" w:eastAsia="仿宋"/>
          <w:b/>
          <w:color w:val="000000"/>
          <w:sz w:val="32"/>
          <w:szCs w:val="32"/>
        </w:rPr>
      </w:pPr>
      <w:r>
        <w:rPr>
          <w:rStyle w:val="14"/>
          <w:rFonts w:hint="eastAsia" w:ascii="仿宋" w:hAnsi="仿宋" w:eastAsia="仿宋"/>
          <w:bCs/>
          <w:color w:val="000000"/>
          <w:sz w:val="32"/>
          <w:szCs w:val="32"/>
          <w:lang w:val="en-US" w:eastAsia="zh-CN"/>
        </w:rPr>
        <w:t>3</w:t>
      </w:r>
      <w:r>
        <w:rPr>
          <w:rStyle w:val="14"/>
          <w:rFonts w:ascii="仿宋" w:hAnsi="仿宋" w:eastAsia="仿宋"/>
          <w:bCs/>
          <w:color w:val="000000"/>
          <w:sz w:val="32"/>
          <w:szCs w:val="32"/>
        </w:rPr>
        <w:t>.</w:t>
      </w:r>
      <w:r>
        <w:rPr>
          <w:rStyle w:val="14"/>
          <w:rFonts w:hint="eastAsia" w:ascii="仿宋" w:hAnsi="仿宋" w:eastAsia="仿宋"/>
          <w:bCs/>
          <w:color w:val="000000"/>
          <w:sz w:val="32"/>
          <w:szCs w:val="32"/>
        </w:rPr>
        <w:t>社会保障和就业（类）</w:t>
      </w:r>
      <w:r>
        <w:rPr>
          <w:rStyle w:val="14"/>
          <w:rFonts w:ascii="仿宋" w:hAnsi="仿宋" w:eastAsia="仿宋"/>
          <w:bCs/>
          <w:color w:val="000000"/>
          <w:sz w:val="32"/>
          <w:szCs w:val="32"/>
        </w:rPr>
        <w:t>:</w:t>
      </w:r>
      <w:r>
        <w:rPr>
          <w:rStyle w:val="14"/>
          <w:rFonts w:ascii="仿宋" w:hAnsi="仿宋" w:eastAsia="仿宋"/>
          <w:b w:val="0"/>
          <w:bCs/>
          <w:color w:val="000000"/>
          <w:sz w:val="32"/>
          <w:szCs w:val="32"/>
        </w:rPr>
        <w:t xml:space="preserve"> </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20.28</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14:paraId="19A36AFB">
      <w:pPr>
        <w:spacing w:line="600" w:lineRule="exact"/>
        <w:ind w:firstLine="643" w:firstLineChars="200"/>
        <w:rPr>
          <w:rFonts w:ascii="仿宋" w:hAnsi="仿宋" w:eastAsia="仿宋"/>
          <w:b/>
          <w:color w:val="000000"/>
          <w:sz w:val="32"/>
          <w:szCs w:val="32"/>
        </w:rPr>
      </w:pPr>
      <w:r>
        <w:rPr>
          <w:rStyle w:val="14"/>
          <w:rFonts w:hint="eastAsia" w:ascii="仿宋" w:hAnsi="仿宋" w:eastAsia="仿宋"/>
          <w:bCs/>
          <w:color w:val="000000"/>
          <w:sz w:val="32"/>
          <w:szCs w:val="32"/>
          <w:lang w:val="en-US" w:eastAsia="zh-CN"/>
        </w:rPr>
        <w:t>4</w:t>
      </w:r>
      <w:r>
        <w:rPr>
          <w:rStyle w:val="14"/>
          <w:rFonts w:ascii="仿宋" w:hAnsi="仿宋" w:eastAsia="仿宋"/>
          <w:bCs/>
          <w:color w:val="000000"/>
          <w:sz w:val="32"/>
          <w:szCs w:val="32"/>
        </w:rPr>
        <w:t>.</w:t>
      </w:r>
      <w:r>
        <w:rPr>
          <w:rFonts w:hint="eastAsia" w:ascii="仿宋" w:hAnsi="仿宋" w:eastAsia="仿宋"/>
          <w:b/>
          <w:bCs/>
          <w:color w:val="000000" w:themeColor="text1"/>
          <w:sz w:val="32"/>
          <w:szCs w:val="32"/>
          <w14:textFill>
            <w14:solidFill>
              <w14:schemeClr w14:val="tx1"/>
            </w14:solidFill>
          </w14:textFill>
        </w:rPr>
        <w:t>卫生健康</w:t>
      </w:r>
      <w:r>
        <w:rPr>
          <w:rStyle w:val="14"/>
          <w:rFonts w:hint="eastAsia" w:ascii="仿宋" w:hAnsi="仿宋" w:eastAsia="仿宋"/>
          <w:bCs/>
          <w:color w:val="000000"/>
          <w:sz w:val="32"/>
          <w:szCs w:val="32"/>
        </w:rPr>
        <w:t>（类）</w:t>
      </w:r>
      <w:r>
        <w:rPr>
          <w:rStyle w:val="14"/>
          <w:rFonts w:ascii="仿宋" w:hAnsi="仿宋" w:eastAsia="仿宋"/>
          <w:bCs/>
          <w:color w:val="000000"/>
          <w:sz w:val="32"/>
          <w:szCs w:val="32"/>
        </w:rPr>
        <w:t>:</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13.64</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14:paraId="3F83302E">
      <w:pPr>
        <w:spacing w:line="600" w:lineRule="exact"/>
        <w:ind w:firstLine="643" w:firstLineChars="200"/>
        <w:rPr>
          <w:rFonts w:ascii="仿宋" w:hAnsi="仿宋" w:eastAsia="仿宋"/>
          <w:b/>
          <w:color w:val="000000"/>
          <w:sz w:val="32"/>
          <w:szCs w:val="32"/>
        </w:rPr>
      </w:pPr>
      <w:r>
        <w:rPr>
          <w:rStyle w:val="14"/>
          <w:rFonts w:hint="eastAsia" w:ascii="仿宋" w:hAnsi="仿宋" w:eastAsia="仿宋"/>
          <w:bCs/>
          <w:color w:val="000000"/>
          <w:sz w:val="32"/>
          <w:szCs w:val="32"/>
          <w:lang w:val="en-US" w:eastAsia="zh-CN"/>
        </w:rPr>
        <w:t>5</w:t>
      </w:r>
      <w:r>
        <w:rPr>
          <w:rStyle w:val="14"/>
          <w:rFonts w:ascii="仿宋" w:hAnsi="仿宋" w:eastAsia="仿宋"/>
          <w:bCs/>
          <w:color w:val="000000"/>
          <w:sz w:val="32"/>
          <w:szCs w:val="32"/>
        </w:rPr>
        <w:t>.</w:t>
      </w:r>
      <w:r>
        <w:rPr>
          <w:rFonts w:hint="eastAsia" w:ascii="仿宋" w:hAnsi="仿宋" w:eastAsia="仿宋"/>
          <w:b/>
          <w:bCs/>
          <w:color w:val="000000" w:themeColor="text1"/>
          <w:sz w:val="32"/>
          <w:szCs w:val="32"/>
          <w:lang w:eastAsia="zh-CN"/>
          <w14:textFill>
            <w14:solidFill>
              <w14:schemeClr w14:val="tx1"/>
            </w14:solidFill>
          </w14:textFill>
        </w:rPr>
        <w:t>农林水</w:t>
      </w:r>
      <w:r>
        <w:rPr>
          <w:rStyle w:val="14"/>
          <w:rFonts w:hint="eastAsia" w:ascii="仿宋" w:hAnsi="仿宋" w:eastAsia="仿宋"/>
          <w:bCs/>
          <w:color w:val="000000"/>
          <w:sz w:val="32"/>
          <w:szCs w:val="32"/>
        </w:rPr>
        <w:t>（类）</w:t>
      </w:r>
      <w:r>
        <w:rPr>
          <w:rStyle w:val="14"/>
          <w:rFonts w:ascii="仿宋" w:hAnsi="仿宋" w:eastAsia="仿宋"/>
          <w:bCs/>
          <w:color w:val="000000"/>
          <w:sz w:val="32"/>
          <w:szCs w:val="32"/>
        </w:rPr>
        <w:t>:</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207.76</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14:paraId="011E0718">
      <w:pPr>
        <w:spacing w:line="600" w:lineRule="exact"/>
        <w:ind w:firstLine="643" w:firstLineChars="200"/>
        <w:rPr>
          <w:rFonts w:ascii="仿宋" w:hAnsi="仿宋" w:eastAsia="仿宋"/>
          <w:b/>
          <w:color w:val="000000"/>
          <w:sz w:val="32"/>
          <w:szCs w:val="32"/>
        </w:rPr>
      </w:pPr>
      <w:r>
        <w:rPr>
          <w:rStyle w:val="14"/>
          <w:rFonts w:hint="eastAsia" w:ascii="仿宋" w:hAnsi="仿宋" w:eastAsia="仿宋"/>
          <w:bCs/>
          <w:color w:val="000000"/>
          <w:sz w:val="32"/>
          <w:szCs w:val="32"/>
          <w:lang w:val="en-US" w:eastAsia="zh-CN"/>
        </w:rPr>
        <w:t>6</w:t>
      </w:r>
      <w:r>
        <w:rPr>
          <w:rStyle w:val="14"/>
          <w:rFonts w:ascii="仿宋" w:hAnsi="仿宋" w:eastAsia="仿宋"/>
          <w:bCs/>
          <w:color w:val="000000"/>
          <w:sz w:val="32"/>
          <w:szCs w:val="32"/>
        </w:rPr>
        <w:t>.</w:t>
      </w:r>
      <w:r>
        <w:rPr>
          <w:rStyle w:val="14"/>
          <w:rFonts w:hint="eastAsia" w:ascii="仿宋" w:hAnsi="仿宋" w:eastAsia="仿宋"/>
          <w:bCs/>
          <w:color w:val="000000"/>
          <w:sz w:val="32"/>
          <w:szCs w:val="32"/>
          <w:lang w:eastAsia="zh-CN"/>
        </w:rPr>
        <w:t>住房保障</w:t>
      </w:r>
      <w:r>
        <w:rPr>
          <w:rStyle w:val="14"/>
          <w:rFonts w:hint="eastAsia" w:ascii="仿宋" w:hAnsi="仿宋" w:eastAsia="仿宋"/>
          <w:bCs/>
          <w:color w:val="000000"/>
          <w:sz w:val="32"/>
          <w:szCs w:val="32"/>
        </w:rPr>
        <w:t>（类）</w:t>
      </w:r>
      <w:r>
        <w:rPr>
          <w:rStyle w:val="14"/>
          <w:rFonts w:ascii="仿宋" w:hAnsi="仿宋" w:eastAsia="仿宋"/>
          <w:bCs/>
          <w:color w:val="000000"/>
          <w:sz w:val="32"/>
          <w:szCs w:val="32"/>
        </w:rPr>
        <w:t>:</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16.90</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14:paraId="09CAD15D">
      <w:pPr>
        <w:spacing w:line="600" w:lineRule="exact"/>
        <w:ind w:firstLine="640"/>
        <w:rPr>
          <w:rFonts w:ascii="仿宋" w:hAnsi="仿宋" w:eastAsia="仿宋"/>
          <w:b/>
          <w:color w:val="000000"/>
          <w:sz w:val="32"/>
          <w:szCs w:val="32"/>
        </w:rPr>
      </w:pPr>
    </w:p>
    <w:p w14:paraId="746C0975">
      <w:pPr>
        <w:tabs>
          <w:tab w:val="right" w:pos="8306"/>
        </w:tabs>
        <w:spacing w:line="600" w:lineRule="exact"/>
        <w:ind w:firstLine="640"/>
        <w:outlineLvl w:val="1"/>
        <w:rPr>
          <w:rStyle w:val="25"/>
        </w:rPr>
      </w:pPr>
      <w:bookmarkStart w:id="40" w:name="_Toc15396608"/>
      <w:bookmarkStart w:id="41" w:name="_Toc15377214"/>
      <w:r>
        <w:rPr>
          <w:rFonts w:hint="eastAsia" w:ascii="黑体" w:eastAsia="黑体"/>
          <w:color w:val="000000"/>
          <w:sz w:val="32"/>
          <w:szCs w:val="32"/>
        </w:rPr>
        <w:t>六</w:t>
      </w:r>
      <w:r>
        <w:rPr>
          <w:rFonts w:hint="eastAsia" w:ascii="黑体" w:eastAsia="黑体"/>
          <w:b/>
          <w:color w:val="000000"/>
          <w:sz w:val="32"/>
          <w:szCs w:val="32"/>
        </w:rPr>
        <w:t>、</w:t>
      </w:r>
      <w:r>
        <w:rPr>
          <w:rFonts w:hint="eastAsia" w:ascii="黑体" w:hAnsi="黑体" w:eastAsia="黑体"/>
          <w:b/>
          <w:color w:val="000000"/>
          <w:sz w:val="32"/>
          <w:szCs w:val="32"/>
        </w:rPr>
        <w:t>一</w:t>
      </w:r>
      <w:r>
        <w:rPr>
          <w:rStyle w:val="25"/>
          <w:rFonts w:hint="eastAsia" w:ascii="黑体" w:hAnsi="黑体" w:eastAsia="黑体"/>
          <w:b w:val="0"/>
        </w:rPr>
        <w:t>般公共预算财政拨款基本支出决算情况说明</w:t>
      </w:r>
      <w:bookmarkEnd w:id="40"/>
      <w:bookmarkEnd w:id="41"/>
      <w:r>
        <w:rPr>
          <w:rStyle w:val="25"/>
          <w:rFonts w:ascii="黑体" w:hAnsi="黑体" w:eastAsia="黑体"/>
          <w:b w:val="0"/>
        </w:rPr>
        <w:tab/>
      </w:r>
    </w:p>
    <w:p w14:paraId="657D52DF">
      <w:pPr>
        <w:spacing w:line="600" w:lineRule="exact"/>
        <w:ind w:firstLine="645"/>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9年一般公共预算财政拨款基本支出</w:t>
      </w:r>
      <w:r>
        <w:rPr>
          <w:rFonts w:hint="eastAsia" w:ascii="仿宋" w:hAnsi="仿宋" w:eastAsia="仿宋"/>
          <w:color w:val="000000"/>
          <w:sz w:val="32"/>
          <w:szCs w:val="32"/>
          <w:lang w:val="en-US" w:eastAsia="zh-CN"/>
        </w:rPr>
        <w:t>406.47</w:t>
      </w:r>
      <w:r>
        <w:rPr>
          <w:rFonts w:hint="eastAsia" w:ascii="仿宋" w:hAnsi="仿宋" w:eastAsia="仿宋"/>
          <w:color w:val="000000"/>
          <w:sz w:val="32"/>
          <w:szCs w:val="32"/>
        </w:rPr>
        <w:t>万元，其中：</w:t>
      </w:r>
    </w:p>
    <w:p w14:paraId="1B16E801">
      <w:pPr>
        <w:spacing w:line="600" w:lineRule="exact"/>
        <w:ind w:firstLine="645"/>
        <w:rPr>
          <w:rFonts w:ascii="仿宋" w:hAnsi="仿宋" w:eastAsia="仿宋"/>
          <w:color w:val="000000"/>
          <w:sz w:val="32"/>
          <w:szCs w:val="32"/>
        </w:rPr>
      </w:pPr>
      <w:r>
        <w:rPr>
          <w:rFonts w:hint="eastAsia" w:ascii="仿宋" w:hAnsi="仿宋" w:eastAsia="仿宋"/>
          <w:color w:val="000000"/>
          <w:sz w:val="32"/>
          <w:szCs w:val="32"/>
        </w:rPr>
        <w:t>人员经费</w:t>
      </w:r>
      <w:r>
        <w:rPr>
          <w:rFonts w:hint="eastAsia" w:ascii="仿宋" w:hAnsi="仿宋" w:eastAsia="仿宋"/>
          <w:color w:val="000000"/>
          <w:sz w:val="32"/>
          <w:szCs w:val="32"/>
          <w:lang w:val="en-US" w:eastAsia="zh-CN"/>
        </w:rPr>
        <w:t>255.33</w:t>
      </w:r>
      <w:r>
        <w:rPr>
          <w:rFonts w:hint="eastAsia" w:ascii="仿宋" w:hAnsi="仿宋" w:eastAsia="仿宋"/>
          <w:color w:val="000000"/>
          <w:sz w:val="32"/>
          <w:szCs w:val="32"/>
        </w:rPr>
        <w:t>万元，主要包括：基本工资、津贴补贴、奖金、伙食补助费、绩效工资、机关事业单位基本养老保险缴费、职业年金缴费、其他社会保障缴费、其他工资福利支出、离休费、退休费、抚恤金、生活补助、医疗费补助、奖励金、住房公积金、其他对个人和家庭的补助支出等。</w:t>
      </w:r>
      <w:r>
        <w:rPr>
          <w:rFonts w:ascii="仿宋" w:hAnsi="仿宋" w:eastAsia="仿宋"/>
          <w:color w:val="000000"/>
          <w:sz w:val="32"/>
          <w:szCs w:val="32"/>
        </w:rPr>
        <w:br w:type="textWrapping"/>
      </w:r>
      <w:r>
        <w:rPr>
          <w:rFonts w:hint="eastAsia" w:ascii="仿宋" w:hAnsi="仿宋" w:eastAsia="仿宋"/>
          <w:color w:val="000000"/>
          <w:sz w:val="32"/>
          <w:szCs w:val="32"/>
        </w:rPr>
        <w:t>　　日常公用经费</w:t>
      </w:r>
      <w:r>
        <w:rPr>
          <w:rFonts w:hint="eastAsia" w:ascii="仿宋" w:hAnsi="仿宋" w:eastAsia="仿宋"/>
          <w:color w:val="000000"/>
          <w:sz w:val="32"/>
          <w:szCs w:val="32"/>
          <w:lang w:val="en-US" w:eastAsia="zh-CN"/>
        </w:rPr>
        <w:t>151.14</w:t>
      </w:r>
      <w:r>
        <w:rPr>
          <w:rFonts w:hint="eastAsia" w:ascii="仿宋" w:hAnsi="仿宋" w:eastAsia="仿宋"/>
          <w:color w:val="000000"/>
          <w:sz w:val="32"/>
          <w:szCs w:val="32"/>
        </w:rPr>
        <w:t>万元，主要包括：办公费、印刷费、咨询费、手续费、水费、电费、邮电费、取暖费、物业管理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14:paraId="0C12AD56">
      <w:pPr>
        <w:spacing w:line="600" w:lineRule="exact"/>
        <w:ind w:firstLine="640"/>
        <w:outlineLvl w:val="1"/>
        <w:rPr>
          <w:rStyle w:val="25"/>
          <w:rFonts w:ascii="黑体" w:hAnsi="黑体" w:eastAsia="黑体"/>
          <w:b w:val="0"/>
        </w:rPr>
      </w:pPr>
      <w:bookmarkStart w:id="42" w:name="_Toc15396609"/>
      <w:bookmarkStart w:id="43" w:name="_Toc15377215"/>
      <w:r>
        <w:rPr>
          <w:rFonts w:hint="eastAsia" w:ascii="黑体" w:eastAsia="黑体"/>
          <w:color w:val="000000"/>
          <w:sz w:val="32"/>
          <w:szCs w:val="32"/>
        </w:rPr>
        <w:t>七、</w:t>
      </w:r>
      <w:r>
        <w:rPr>
          <w:rStyle w:val="25"/>
          <w:rFonts w:hint="eastAsia" w:ascii="黑体" w:hAnsi="黑体" w:eastAsia="黑体"/>
        </w:rPr>
        <w:t>“</w:t>
      </w:r>
      <w:r>
        <w:rPr>
          <w:rStyle w:val="25"/>
          <w:rFonts w:hint="eastAsia" w:ascii="黑体" w:hAnsi="黑体" w:eastAsia="黑体"/>
          <w:b w:val="0"/>
        </w:rPr>
        <w:t>三公”经费财政拨款支出决算情况说明</w:t>
      </w:r>
      <w:bookmarkEnd w:id="42"/>
      <w:bookmarkEnd w:id="43"/>
    </w:p>
    <w:p w14:paraId="1E40875F">
      <w:pPr>
        <w:spacing w:line="600" w:lineRule="exact"/>
        <w:ind w:firstLine="640"/>
        <w:outlineLvl w:val="2"/>
        <w:rPr>
          <w:rFonts w:ascii="仿宋" w:hAnsi="仿宋" w:eastAsia="仿宋"/>
          <w:b/>
          <w:color w:val="000000"/>
          <w:sz w:val="32"/>
          <w:szCs w:val="32"/>
        </w:rPr>
      </w:pPr>
      <w:bookmarkStart w:id="44" w:name="_Toc15377216"/>
      <w:r>
        <w:rPr>
          <w:rFonts w:hint="eastAsia" w:ascii="仿宋" w:hAnsi="仿宋" w:eastAsia="仿宋"/>
          <w:b/>
          <w:color w:val="000000"/>
          <w:sz w:val="32"/>
          <w:szCs w:val="32"/>
        </w:rPr>
        <w:t>（一）“三公”经费财政拨款支出决算总体情况说明</w:t>
      </w:r>
      <w:bookmarkEnd w:id="44"/>
    </w:p>
    <w:p w14:paraId="14634AF6">
      <w:pPr>
        <w:spacing w:line="600" w:lineRule="exact"/>
        <w:ind w:firstLine="640"/>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9年“三公”经费财政拨款支出决算为</w:t>
      </w:r>
      <w:r>
        <w:rPr>
          <w:rFonts w:hint="eastAsia" w:ascii="仿宋" w:hAnsi="仿宋" w:eastAsia="仿宋"/>
          <w:color w:val="000000"/>
          <w:sz w:val="32"/>
          <w:szCs w:val="32"/>
          <w:lang w:val="en-US" w:eastAsia="zh-CN"/>
        </w:rPr>
        <w:t>4.32</w:t>
      </w:r>
      <w:r>
        <w:rPr>
          <w:rFonts w:hint="eastAsia" w:ascii="仿宋" w:hAnsi="仿宋" w:eastAsia="仿宋"/>
          <w:color w:val="000000"/>
          <w:sz w:val="32"/>
          <w:szCs w:val="32"/>
        </w:rPr>
        <w:t>万元，完成预算</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。决算数</w:t>
      </w:r>
      <w:r>
        <w:rPr>
          <w:rFonts w:hint="eastAsia" w:ascii="仿宋" w:hAnsi="仿宋" w:eastAsia="仿宋"/>
          <w:color w:val="000000"/>
          <w:sz w:val="32"/>
          <w:szCs w:val="32"/>
          <w:lang w:eastAsia="zh-CN"/>
        </w:rPr>
        <w:t>等于</w:t>
      </w:r>
      <w:r>
        <w:rPr>
          <w:rFonts w:hint="eastAsia" w:ascii="仿宋" w:hAnsi="仿宋" w:eastAsia="仿宋"/>
          <w:color w:val="000000"/>
          <w:sz w:val="32"/>
          <w:szCs w:val="32"/>
        </w:rPr>
        <w:t>预算数的主要原因是</w:t>
      </w:r>
      <w:r>
        <w:rPr>
          <w:rFonts w:hint="eastAsia" w:ascii="仿宋" w:hAnsi="仿宋" w:eastAsia="仿宋" w:cs="仿宋"/>
          <w:color w:val="000000"/>
          <w:sz w:val="32"/>
          <w:szCs w:val="32"/>
          <w:lang w:eastAsia="zh-CN"/>
        </w:rPr>
        <w:t>加大了对“三公”经费和管理，制定了具体的管理措施。</w:t>
      </w:r>
    </w:p>
    <w:p w14:paraId="032EC187">
      <w:pPr>
        <w:spacing w:line="600" w:lineRule="exact"/>
        <w:ind w:firstLine="640"/>
        <w:outlineLvl w:val="2"/>
        <w:rPr>
          <w:rFonts w:ascii="仿宋" w:hAnsi="仿宋" w:eastAsia="仿宋"/>
          <w:b/>
          <w:color w:val="000000"/>
          <w:sz w:val="32"/>
          <w:szCs w:val="32"/>
        </w:rPr>
      </w:pPr>
      <w:bookmarkStart w:id="45" w:name="_Toc15377217"/>
      <w:r>
        <w:rPr>
          <w:rFonts w:hint="eastAsia" w:ascii="仿宋" w:hAnsi="仿宋" w:eastAsia="仿宋"/>
          <w:b/>
          <w:color w:val="000000"/>
          <w:sz w:val="32"/>
          <w:szCs w:val="32"/>
        </w:rPr>
        <w:t>（二）“三公”经费财政拨款支出决算具体情况说明</w:t>
      </w:r>
      <w:bookmarkEnd w:id="45"/>
    </w:p>
    <w:p w14:paraId="2870E61A">
      <w:pPr>
        <w:spacing w:line="600" w:lineRule="exact"/>
        <w:ind w:firstLine="640"/>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9年“三公”经费财政拨款支出决算中，因公出国（境）费支出决算</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；公务用车购置及运行维护费支出决算</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；公务接待费支出决算</w:t>
      </w:r>
      <w:r>
        <w:rPr>
          <w:rFonts w:hint="eastAsia" w:ascii="仿宋" w:hAnsi="仿宋" w:eastAsia="仿宋"/>
          <w:color w:val="000000"/>
          <w:sz w:val="32"/>
          <w:szCs w:val="32"/>
          <w:lang w:val="en-US" w:eastAsia="zh-CN"/>
        </w:rPr>
        <w:t>4.32</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。具体情况如下：</w:t>
      </w:r>
    </w:p>
    <w:p w14:paraId="411D061C">
      <w:pPr>
        <w:spacing w:line="600" w:lineRule="exact"/>
        <w:ind w:firstLine="640"/>
        <w:rPr>
          <w:rFonts w:ascii="仿宋_GB2312" w:eastAsia="仿宋_GB2312"/>
          <w:b/>
          <w:color w:val="000000"/>
          <w:sz w:val="32"/>
          <w:szCs w:val="32"/>
        </w:rPr>
      </w:pPr>
      <w:r>
        <w:rPr>
          <w:rFonts w:ascii="仿宋_GB2312" w:eastAsia="仿宋_GB2312"/>
          <w:b/>
          <w:color w:val="000000"/>
          <w:sz w:val="32"/>
          <w:szCs w:val="32"/>
        </w:rPr>
        <w:t>1.</w:t>
      </w:r>
      <w:r>
        <w:rPr>
          <w:rFonts w:hint="eastAsia" w:ascii="仿宋_GB2312" w:eastAsia="仿宋_GB2312"/>
          <w:b/>
          <w:color w:val="000000"/>
          <w:sz w:val="32"/>
          <w:szCs w:val="32"/>
        </w:rPr>
        <w:t>因公出国（境）经费支出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r>
        <w:rPr>
          <w:rStyle w:val="14"/>
          <w:rFonts w:hint="eastAsia" w:ascii="仿宋" w:hAnsi="仿宋" w:eastAsia="仿宋"/>
          <w:b w:val="0"/>
          <w:bCs/>
          <w:color w:val="000000"/>
          <w:sz w:val="32"/>
          <w:szCs w:val="32"/>
        </w:rPr>
        <w:t>完成预算</w:t>
      </w:r>
      <w:r>
        <w:rPr>
          <w:rStyle w:val="14"/>
          <w:rFonts w:hint="eastAsia" w:ascii="仿宋" w:hAnsi="仿宋" w:eastAsia="仿宋"/>
          <w:b w:val="0"/>
          <w:bCs/>
          <w:color w:val="000000"/>
          <w:sz w:val="32"/>
          <w:szCs w:val="32"/>
          <w:lang w:val="en-US" w:eastAsia="zh-CN"/>
        </w:rPr>
        <w:t>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r>
        <w:rPr>
          <w:rFonts w:hint="eastAsia" w:ascii="仿宋_GB2312" w:eastAsia="仿宋_GB2312"/>
          <w:color w:val="000000"/>
          <w:sz w:val="32"/>
          <w:szCs w:val="32"/>
        </w:rPr>
        <w:t>全年安排因公出国（境）团组</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次，出国（境）</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人。因公出国（境）支出决算</w:t>
      </w:r>
      <w:r>
        <w:rPr>
          <w:rFonts w:hint="eastAsia" w:ascii="仿宋_GB2312" w:eastAsia="仿宋_GB2312"/>
          <w:color w:val="000000"/>
          <w:sz w:val="32"/>
          <w:szCs w:val="32"/>
          <w:lang w:val="en-US" w:eastAsia="zh-CN"/>
        </w:rPr>
        <w:t>与</w:t>
      </w:r>
      <w:r>
        <w:rPr>
          <w:rFonts w:ascii="仿宋_GB2312" w:eastAsia="仿宋_GB2312"/>
          <w:color w:val="000000"/>
          <w:sz w:val="32"/>
          <w:szCs w:val="32"/>
        </w:rPr>
        <w:t>201</w:t>
      </w:r>
      <w:r>
        <w:rPr>
          <w:rFonts w:hint="eastAsia" w:ascii="仿宋_GB2312" w:eastAsia="仿宋_GB2312"/>
          <w:color w:val="000000"/>
          <w:sz w:val="32"/>
          <w:szCs w:val="32"/>
        </w:rPr>
        <w:t>8年</w:t>
      </w:r>
      <w:r>
        <w:rPr>
          <w:rFonts w:hint="eastAsia" w:ascii="仿宋_GB2312" w:eastAsia="仿宋_GB2312"/>
          <w:color w:val="000000"/>
          <w:sz w:val="32"/>
          <w:szCs w:val="32"/>
          <w:lang w:val="en-US" w:eastAsia="zh-CN"/>
        </w:rPr>
        <w:t>持平</w:t>
      </w:r>
      <w:r>
        <w:rPr>
          <w:rFonts w:hint="eastAsia" w:ascii="仿宋_GB2312" w:eastAsia="仿宋_GB2312"/>
          <w:color w:val="000000"/>
          <w:sz w:val="32"/>
          <w:szCs w:val="32"/>
        </w:rPr>
        <w:t>。</w:t>
      </w:r>
    </w:p>
    <w:p w14:paraId="7917F692">
      <w:pPr>
        <w:spacing w:line="600" w:lineRule="exact"/>
        <w:ind w:firstLine="640"/>
        <w:rPr>
          <w:rFonts w:ascii="仿宋_GB2312" w:eastAsia="仿宋_GB2312"/>
          <w:b/>
          <w:color w:val="000000"/>
          <w:sz w:val="32"/>
          <w:szCs w:val="32"/>
        </w:rPr>
      </w:pPr>
      <w:r>
        <w:rPr>
          <w:rFonts w:ascii="仿宋_GB2312" w:eastAsia="仿宋_GB2312"/>
          <w:b/>
          <w:color w:val="000000"/>
          <w:sz w:val="32"/>
          <w:szCs w:val="32"/>
        </w:rPr>
        <w:t>2.</w:t>
      </w:r>
      <w:r>
        <w:rPr>
          <w:rFonts w:hint="eastAsia" w:ascii="仿宋_GB2312" w:eastAsia="仿宋_GB2312"/>
          <w:b/>
          <w:color w:val="000000"/>
          <w:sz w:val="32"/>
          <w:szCs w:val="32"/>
        </w:rPr>
        <w:t>公务用车购置及运行维护费支出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r>
        <w:rPr>
          <w:rStyle w:val="14"/>
          <w:rFonts w:hint="eastAsia" w:ascii="仿宋" w:hAnsi="仿宋" w:eastAsia="仿宋"/>
          <w:b w:val="0"/>
          <w:bCs/>
          <w:color w:val="000000"/>
          <w:sz w:val="32"/>
          <w:szCs w:val="32"/>
        </w:rPr>
        <w:t>完成预算</w:t>
      </w:r>
      <w:r>
        <w:rPr>
          <w:rStyle w:val="14"/>
          <w:rFonts w:hint="eastAsia" w:ascii="仿宋" w:hAnsi="仿宋" w:eastAsia="仿宋"/>
          <w:b w:val="0"/>
          <w:bCs/>
          <w:color w:val="000000"/>
          <w:sz w:val="32"/>
          <w:szCs w:val="32"/>
          <w:lang w:val="en-US" w:eastAsia="zh-CN"/>
        </w:rPr>
        <w:t>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r>
        <w:rPr>
          <w:rFonts w:hint="eastAsia" w:ascii="仿宋_GB2312" w:eastAsia="仿宋_GB2312"/>
          <w:color w:val="000000"/>
          <w:sz w:val="32"/>
          <w:szCs w:val="32"/>
        </w:rPr>
        <w:t>公务用车购置及运行维护费支出决算</w:t>
      </w:r>
      <w:r>
        <w:rPr>
          <w:rFonts w:hint="eastAsia" w:ascii="仿宋_GB2312" w:eastAsia="仿宋_GB2312"/>
          <w:color w:val="000000"/>
          <w:sz w:val="32"/>
          <w:szCs w:val="32"/>
          <w:lang w:val="en-US" w:eastAsia="zh-CN"/>
        </w:rPr>
        <w:t>与</w:t>
      </w:r>
      <w:r>
        <w:rPr>
          <w:rFonts w:ascii="仿宋_GB2312" w:eastAsia="仿宋_GB2312"/>
          <w:color w:val="000000"/>
          <w:sz w:val="32"/>
          <w:szCs w:val="32"/>
        </w:rPr>
        <w:t>201</w:t>
      </w:r>
      <w:r>
        <w:rPr>
          <w:rFonts w:hint="eastAsia" w:ascii="仿宋_GB2312" w:eastAsia="仿宋_GB2312"/>
          <w:color w:val="000000"/>
          <w:sz w:val="32"/>
          <w:szCs w:val="32"/>
        </w:rPr>
        <w:t>8年</w:t>
      </w:r>
      <w:r>
        <w:rPr>
          <w:rFonts w:hint="eastAsia" w:ascii="仿宋_GB2312" w:eastAsia="仿宋_GB2312"/>
          <w:color w:val="000000"/>
          <w:sz w:val="32"/>
          <w:szCs w:val="32"/>
          <w:lang w:val="en-US" w:eastAsia="zh-CN"/>
        </w:rPr>
        <w:t>持平</w:t>
      </w:r>
      <w:r>
        <w:rPr>
          <w:rFonts w:hint="eastAsia" w:ascii="仿宋_GB2312" w:eastAsia="仿宋_GB2312"/>
          <w:color w:val="000000"/>
          <w:sz w:val="32"/>
          <w:szCs w:val="32"/>
        </w:rPr>
        <w:t>。</w:t>
      </w:r>
    </w:p>
    <w:p w14:paraId="7DAA9757">
      <w:pPr>
        <w:spacing w:line="600" w:lineRule="exact"/>
        <w:ind w:firstLine="640" w:firstLineChars="200"/>
        <w:rPr>
          <w:rFonts w:hint="eastAsia" w:ascii="仿宋_GB2312" w:eastAsia="仿宋_GB2312"/>
          <w:color w:val="000000"/>
          <w:sz w:val="32"/>
          <w:szCs w:val="32"/>
          <w:lang w:eastAsia="zh-CN"/>
        </w:rPr>
      </w:pPr>
      <w:r>
        <w:rPr>
          <w:rFonts w:hint="eastAsia" w:ascii="仿宋_GB2312" w:eastAsia="仿宋_GB2312"/>
          <w:color w:val="000000"/>
          <w:sz w:val="32"/>
          <w:szCs w:val="32"/>
        </w:rPr>
        <w:t>其中：</w:t>
      </w:r>
      <w:r>
        <w:rPr>
          <w:rFonts w:hint="eastAsia" w:ascii="仿宋_GB2312" w:eastAsia="仿宋_GB2312"/>
          <w:b/>
          <w:color w:val="000000"/>
          <w:sz w:val="32"/>
          <w:szCs w:val="32"/>
        </w:rPr>
        <w:t>公务用车购置支出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万元。全年按规定更新购置公务用车</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辆，金额</w:t>
      </w:r>
      <w:r>
        <w:rPr>
          <w:rFonts w:hint="eastAsia" w:ascii="仿宋_GB2312" w:eastAsia="仿宋_GB2312"/>
          <w:color w:val="000000"/>
          <w:sz w:val="32"/>
          <w:szCs w:val="32"/>
          <w:lang w:val="en-US" w:eastAsia="zh-CN"/>
        </w:rPr>
        <w:t>0</w:t>
      </w:r>
      <w:r>
        <w:rPr>
          <w:rFonts w:ascii="仿宋_GB2312" w:eastAsia="仿宋_GB2312"/>
          <w:color w:val="000000"/>
          <w:sz w:val="32"/>
          <w:szCs w:val="32"/>
        </w:rPr>
        <w:t>元。</w:t>
      </w:r>
      <w:r>
        <w:rPr>
          <w:rFonts w:hint="eastAsia" w:ascii="仿宋_GB2312" w:eastAsia="仿宋_GB2312"/>
          <w:color w:val="000000"/>
          <w:sz w:val="32"/>
          <w:szCs w:val="32"/>
        </w:rPr>
        <w:t>截至</w:t>
      </w:r>
      <w:r>
        <w:rPr>
          <w:rFonts w:ascii="仿宋_GB2312" w:eastAsia="仿宋_GB2312"/>
          <w:color w:val="000000"/>
          <w:sz w:val="32"/>
          <w:szCs w:val="32"/>
        </w:rPr>
        <w:t>201</w:t>
      </w:r>
      <w:r>
        <w:rPr>
          <w:rFonts w:hint="eastAsia" w:ascii="仿宋_GB2312" w:eastAsia="仿宋_GB2312"/>
          <w:color w:val="000000"/>
          <w:sz w:val="32"/>
          <w:szCs w:val="32"/>
        </w:rPr>
        <w:t>9年</w:t>
      </w:r>
      <w:r>
        <w:rPr>
          <w:rFonts w:ascii="仿宋_GB2312" w:eastAsia="仿宋_GB2312"/>
          <w:color w:val="000000"/>
          <w:sz w:val="32"/>
          <w:szCs w:val="32"/>
        </w:rPr>
        <w:t>12</w:t>
      </w:r>
      <w:r>
        <w:rPr>
          <w:rFonts w:hint="eastAsia" w:ascii="仿宋_GB2312" w:eastAsia="仿宋_GB2312"/>
          <w:color w:val="000000"/>
          <w:sz w:val="32"/>
          <w:szCs w:val="32"/>
        </w:rPr>
        <w:t>月底，单位共有公务用车</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辆，其中：主要领导干部用车</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辆、机要通信用车</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辆、应急保障用车</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 执法执勤用车</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w:t>
      </w:r>
      <w:r>
        <w:rPr>
          <w:rFonts w:ascii="仿宋_GB2312" w:eastAsia="仿宋_GB2312"/>
          <w:color w:val="000000"/>
          <w:sz w:val="32"/>
          <w:szCs w:val="32"/>
        </w:rPr>
        <w:t>。</w:t>
      </w:r>
    </w:p>
    <w:p w14:paraId="5EF714CF">
      <w:pPr>
        <w:spacing w:line="600" w:lineRule="exact"/>
        <w:ind w:firstLine="640"/>
        <w:rPr>
          <w:rFonts w:hint="eastAsia" w:ascii="仿宋_GB2312" w:eastAsia="仿宋_GB2312"/>
          <w:color w:val="000000"/>
          <w:sz w:val="32"/>
          <w:szCs w:val="32"/>
        </w:rPr>
      </w:pPr>
      <w:r>
        <w:rPr>
          <w:rFonts w:hint="eastAsia" w:ascii="仿宋_GB2312" w:eastAsia="仿宋_GB2312"/>
          <w:b/>
          <w:color w:val="000000"/>
          <w:sz w:val="32"/>
          <w:szCs w:val="32"/>
        </w:rPr>
        <w:t>公务用车运行维护费支出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p>
    <w:p w14:paraId="37013630">
      <w:pPr>
        <w:spacing w:line="600" w:lineRule="exact"/>
        <w:ind w:firstLine="640"/>
        <w:rPr>
          <w:rFonts w:ascii="仿宋_GB2312" w:eastAsia="仿宋_GB2312"/>
          <w:color w:val="000000"/>
          <w:sz w:val="32"/>
          <w:szCs w:val="32"/>
        </w:rPr>
      </w:pPr>
      <w:r>
        <w:rPr>
          <w:rFonts w:ascii="仿宋_GB2312" w:eastAsia="仿宋_GB2312"/>
          <w:b/>
          <w:color w:val="000000"/>
          <w:sz w:val="32"/>
          <w:szCs w:val="32"/>
        </w:rPr>
        <w:t>3.</w:t>
      </w:r>
      <w:r>
        <w:rPr>
          <w:rFonts w:hint="eastAsia" w:ascii="仿宋_GB2312" w:eastAsia="仿宋_GB2312"/>
          <w:b/>
          <w:color w:val="000000"/>
          <w:sz w:val="32"/>
          <w:szCs w:val="32"/>
        </w:rPr>
        <w:t>公务接待费支出</w:t>
      </w:r>
      <w:r>
        <w:rPr>
          <w:rFonts w:hint="eastAsia" w:ascii="仿宋_GB2312" w:eastAsia="仿宋_GB2312"/>
          <w:color w:val="000000"/>
          <w:sz w:val="32"/>
          <w:szCs w:val="32"/>
          <w:lang w:val="en-US" w:eastAsia="zh-CN"/>
        </w:rPr>
        <w:t>4.32</w:t>
      </w:r>
      <w:r>
        <w:rPr>
          <w:rFonts w:hint="eastAsia" w:ascii="仿宋_GB2312" w:eastAsia="仿宋_GB2312"/>
          <w:color w:val="000000"/>
          <w:sz w:val="32"/>
          <w:szCs w:val="32"/>
        </w:rPr>
        <w:t>万元，</w:t>
      </w:r>
      <w:r>
        <w:rPr>
          <w:rStyle w:val="14"/>
          <w:rFonts w:hint="eastAsia" w:ascii="仿宋" w:hAnsi="仿宋" w:eastAsia="仿宋"/>
          <w:b w:val="0"/>
          <w:bCs/>
          <w:color w:val="000000"/>
          <w:sz w:val="32"/>
          <w:szCs w:val="32"/>
        </w:rPr>
        <w:t>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r>
        <w:rPr>
          <w:rFonts w:hint="eastAsia" w:ascii="仿宋_GB2312" w:eastAsia="仿宋_GB2312"/>
          <w:color w:val="000000"/>
          <w:sz w:val="32"/>
          <w:szCs w:val="32"/>
        </w:rPr>
        <w:t>公务接待费支出决算比</w:t>
      </w:r>
      <w:r>
        <w:rPr>
          <w:rFonts w:ascii="仿宋_GB2312" w:eastAsia="仿宋_GB2312"/>
          <w:color w:val="000000"/>
          <w:sz w:val="32"/>
          <w:szCs w:val="32"/>
        </w:rPr>
        <w:t>201</w:t>
      </w:r>
      <w:r>
        <w:rPr>
          <w:rFonts w:hint="eastAsia" w:ascii="仿宋_GB2312" w:eastAsia="仿宋_GB2312"/>
          <w:color w:val="000000"/>
          <w:sz w:val="32"/>
          <w:szCs w:val="32"/>
        </w:rPr>
        <w:t>8年减少</w:t>
      </w:r>
      <w:r>
        <w:rPr>
          <w:rFonts w:hint="eastAsia" w:ascii="仿宋_GB2312" w:eastAsia="仿宋_GB2312"/>
          <w:color w:val="000000"/>
          <w:sz w:val="32"/>
          <w:szCs w:val="32"/>
          <w:lang w:val="en-US" w:eastAsia="zh-CN"/>
        </w:rPr>
        <w:t>0.18</w:t>
      </w:r>
      <w:r>
        <w:rPr>
          <w:rFonts w:hint="eastAsia" w:ascii="仿宋_GB2312" w:eastAsia="仿宋_GB2312"/>
          <w:color w:val="000000"/>
          <w:sz w:val="32"/>
          <w:szCs w:val="32"/>
        </w:rPr>
        <w:t>万元，下降</w:t>
      </w:r>
      <w:r>
        <w:rPr>
          <w:rFonts w:hint="eastAsia" w:ascii="仿宋_GB2312" w:eastAsia="仿宋_GB2312"/>
          <w:color w:val="000000"/>
          <w:sz w:val="32"/>
          <w:szCs w:val="32"/>
          <w:lang w:val="en-US" w:eastAsia="zh-CN"/>
        </w:rPr>
        <w:t>4</w:t>
      </w:r>
      <w:r>
        <w:rPr>
          <w:rFonts w:ascii="仿宋_GB2312" w:eastAsia="仿宋_GB2312"/>
          <w:color w:val="000000"/>
          <w:sz w:val="32"/>
          <w:szCs w:val="32"/>
        </w:rPr>
        <w:t>%</w:t>
      </w:r>
      <w:r>
        <w:rPr>
          <w:rFonts w:hint="eastAsia" w:ascii="仿宋_GB2312" w:eastAsia="仿宋_GB2312"/>
          <w:color w:val="000000"/>
          <w:sz w:val="32"/>
          <w:szCs w:val="32"/>
        </w:rPr>
        <w:t>。</w:t>
      </w:r>
    </w:p>
    <w:p w14:paraId="32D08067">
      <w:pPr>
        <w:spacing w:line="600" w:lineRule="exact"/>
        <w:ind w:firstLine="640"/>
        <w:rPr>
          <w:rFonts w:ascii="仿宋_GB2312" w:eastAsia="仿宋_GB2312"/>
          <w:color w:val="000000"/>
          <w:sz w:val="32"/>
          <w:szCs w:val="32"/>
        </w:rPr>
      </w:pPr>
      <w:r>
        <w:rPr>
          <w:rFonts w:hint="eastAsia" w:ascii="仿宋" w:hAnsi="仿宋" w:eastAsia="仿宋"/>
          <w:b/>
          <w:color w:val="000000"/>
          <w:sz w:val="32"/>
          <w:szCs w:val="32"/>
        </w:rPr>
        <w:t>国内公务接待支出</w:t>
      </w:r>
      <w:r>
        <w:rPr>
          <w:rFonts w:hint="eastAsia" w:ascii="仿宋" w:hAnsi="仿宋" w:eastAsia="仿宋"/>
          <w:color w:val="000000"/>
          <w:sz w:val="32"/>
          <w:szCs w:val="32"/>
          <w:lang w:val="en-US" w:eastAsia="zh-CN"/>
        </w:rPr>
        <w:t>4.32</w:t>
      </w:r>
      <w:r>
        <w:rPr>
          <w:rFonts w:hint="eastAsia" w:ascii="仿宋_GB2312" w:eastAsia="仿宋_GB2312"/>
          <w:color w:val="000000"/>
          <w:sz w:val="32"/>
          <w:szCs w:val="32"/>
        </w:rPr>
        <w:t>万元，主要用于执行公务、开展业务活动开支的交通费、住宿费、用餐费等。国内公务接待</w:t>
      </w:r>
      <w:r>
        <w:rPr>
          <w:rFonts w:hint="eastAsia" w:ascii="仿宋_GB2312" w:eastAsia="仿宋_GB2312"/>
          <w:color w:val="000000"/>
          <w:sz w:val="32"/>
          <w:szCs w:val="32"/>
          <w:lang w:val="en-US" w:eastAsia="zh-CN"/>
        </w:rPr>
        <w:t>140</w:t>
      </w:r>
      <w:r>
        <w:rPr>
          <w:rFonts w:hint="eastAsia" w:ascii="仿宋_GB2312" w:eastAsia="仿宋_GB2312"/>
          <w:color w:val="000000"/>
          <w:sz w:val="32"/>
          <w:szCs w:val="32"/>
        </w:rPr>
        <w:t>批次，</w:t>
      </w:r>
      <w:r>
        <w:rPr>
          <w:rFonts w:hint="eastAsia" w:ascii="仿宋_GB2312" w:eastAsia="仿宋_GB2312"/>
          <w:color w:val="000000"/>
          <w:sz w:val="32"/>
          <w:szCs w:val="32"/>
          <w:lang w:val="en-US" w:eastAsia="zh-CN"/>
        </w:rPr>
        <w:t>710</w:t>
      </w:r>
      <w:r>
        <w:rPr>
          <w:rFonts w:hint="eastAsia" w:ascii="仿宋_GB2312" w:eastAsia="仿宋_GB2312"/>
          <w:color w:val="000000"/>
          <w:sz w:val="32"/>
          <w:szCs w:val="32"/>
        </w:rPr>
        <w:t>人次（不包括陪同人员），共计支出</w:t>
      </w:r>
      <w:r>
        <w:rPr>
          <w:rFonts w:hint="eastAsia" w:ascii="仿宋_GB2312" w:eastAsia="仿宋_GB2312"/>
          <w:color w:val="000000"/>
          <w:sz w:val="32"/>
          <w:szCs w:val="32"/>
          <w:lang w:val="en-US" w:eastAsia="zh-CN"/>
        </w:rPr>
        <w:t>4.32</w:t>
      </w:r>
      <w:r>
        <w:rPr>
          <w:rFonts w:hint="eastAsia" w:ascii="仿宋_GB2312" w:eastAsia="仿宋_GB2312"/>
          <w:color w:val="000000"/>
          <w:sz w:val="32"/>
          <w:szCs w:val="32"/>
        </w:rPr>
        <w:t>万元。</w:t>
      </w:r>
    </w:p>
    <w:p w14:paraId="309486EE">
      <w:pPr>
        <w:spacing w:line="600" w:lineRule="exact"/>
        <w:ind w:firstLine="643" w:firstLineChars="200"/>
        <w:rPr>
          <w:rFonts w:hint="eastAsia" w:ascii="仿宋_GB2312" w:eastAsia="仿宋_GB2312"/>
          <w:color w:val="000000" w:themeColor="text1"/>
          <w:sz w:val="32"/>
          <w:szCs w:val="32"/>
          <w:lang w:eastAsia="zh-CN"/>
          <w14:textFill>
            <w14:solidFill>
              <w14:schemeClr w14:val="tx1"/>
            </w14:solidFill>
          </w14:textFill>
        </w:rPr>
      </w:pPr>
      <w:r>
        <w:rPr>
          <w:rFonts w:hint="eastAsia" w:ascii="仿宋" w:hAnsi="仿宋" w:eastAsia="仿宋"/>
          <w:b/>
          <w:color w:val="000000"/>
          <w:sz w:val="32"/>
          <w:szCs w:val="32"/>
        </w:rPr>
        <w:t>外事接待支出</w:t>
      </w:r>
      <w:r>
        <w:rPr>
          <w:rFonts w:hint="eastAsia" w:ascii="仿宋" w:hAnsi="仿宋" w:eastAsia="仿宋"/>
          <w:color w:val="000000"/>
          <w:sz w:val="32"/>
          <w:szCs w:val="32"/>
          <w:lang w:val="en-US" w:eastAsia="zh-CN"/>
        </w:rPr>
        <w:t>0</w:t>
      </w:r>
      <w:r>
        <w:rPr>
          <w:rFonts w:hint="eastAsia" w:ascii="仿宋_GB2312" w:eastAsia="仿宋_GB2312"/>
          <w:color w:val="000000"/>
          <w:sz w:val="32"/>
          <w:szCs w:val="32"/>
        </w:rPr>
        <w:t>万元</w:t>
      </w:r>
      <w:r>
        <w:rPr>
          <w:rFonts w:hint="eastAsia" w:ascii="仿宋_GB2312" w:eastAsia="仿宋_GB2312"/>
          <w:color w:val="000000" w:themeColor="text1"/>
          <w:sz w:val="32"/>
          <w:szCs w:val="32"/>
          <w14:textFill>
            <w14:solidFill>
              <w14:schemeClr w14:val="tx1"/>
            </w14:solidFill>
          </w14:textFill>
        </w:rPr>
        <w:t>，外事接待</w:t>
      </w:r>
      <w:r>
        <w:rPr>
          <w:rFonts w:hint="eastAsia" w:ascii="仿宋_GB2312" w:eastAsia="仿宋_GB2312"/>
          <w:color w:val="000000" w:themeColor="text1"/>
          <w:sz w:val="32"/>
          <w:szCs w:val="32"/>
          <w:lang w:val="en-US" w:eastAsia="zh-CN"/>
          <w14:textFill>
            <w14:solidFill>
              <w14:schemeClr w14:val="tx1"/>
            </w14:solidFill>
          </w14:textFill>
        </w:rPr>
        <w:t>0</w:t>
      </w:r>
      <w:r>
        <w:rPr>
          <w:rFonts w:hint="eastAsia" w:ascii="仿宋_GB2312" w:eastAsia="仿宋_GB2312"/>
          <w:color w:val="000000" w:themeColor="text1"/>
          <w:sz w:val="32"/>
          <w:szCs w:val="32"/>
          <w14:textFill>
            <w14:solidFill>
              <w14:schemeClr w14:val="tx1"/>
            </w14:solidFill>
          </w14:textFill>
        </w:rPr>
        <w:t>批次，</w:t>
      </w:r>
      <w:r>
        <w:rPr>
          <w:rFonts w:hint="eastAsia" w:ascii="仿宋_GB2312" w:eastAsia="仿宋_GB2312"/>
          <w:color w:val="000000" w:themeColor="text1"/>
          <w:sz w:val="32"/>
          <w:szCs w:val="32"/>
          <w:lang w:val="en-US" w:eastAsia="zh-CN"/>
          <w14:textFill>
            <w14:solidFill>
              <w14:schemeClr w14:val="tx1"/>
            </w14:solidFill>
          </w14:textFill>
        </w:rPr>
        <w:t>0</w:t>
      </w:r>
      <w:r>
        <w:rPr>
          <w:rFonts w:hint="eastAsia" w:ascii="仿宋_GB2312" w:eastAsia="仿宋_GB2312"/>
          <w:color w:val="000000" w:themeColor="text1"/>
          <w:sz w:val="32"/>
          <w:szCs w:val="32"/>
          <w14:textFill>
            <w14:solidFill>
              <w14:schemeClr w14:val="tx1"/>
            </w14:solidFill>
          </w14:textFill>
        </w:rPr>
        <w:t>人，共计支出</w:t>
      </w:r>
      <w:r>
        <w:rPr>
          <w:rFonts w:hint="eastAsia" w:ascii="仿宋_GB2312" w:eastAsia="仿宋_GB2312"/>
          <w:color w:val="000000" w:themeColor="text1"/>
          <w:sz w:val="32"/>
          <w:szCs w:val="32"/>
          <w:lang w:val="en-US" w:eastAsia="zh-CN"/>
          <w14:textFill>
            <w14:solidFill>
              <w14:schemeClr w14:val="tx1"/>
            </w14:solidFill>
          </w14:textFill>
        </w:rPr>
        <w:t>0</w:t>
      </w:r>
      <w:r>
        <w:rPr>
          <w:rFonts w:hint="eastAsia" w:ascii="仿宋_GB2312" w:eastAsia="仿宋_GB2312"/>
          <w:color w:val="000000" w:themeColor="text1"/>
          <w:sz w:val="32"/>
          <w:szCs w:val="32"/>
          <w14:textFill>
            <w14:solidFill>
              <w14:schemeClr w14:val="tx1"/>
            </w14:solidFill>
          </w14:textFill>
        </w:rPr>
        <w:t>万元</w:t>
      </w:r>
      <w:r>
        <w:rPr>
          <w:rFonts w:hint="eastAsia" w:ascii="仿宋_GB2312" w:eastAsia="仿宋_GB2312"/>
          <w:color w:val="000000" w:themeColor="text1"/>
          <w:sz w:val="32"/>
          <w:szCs w:val="32"/>
          <w:lang w:eastAsia="zh-CN"/>
          <w14:textFill>
            <w14:solidFill>
              <w14:schemeClr w14:val="tx1"/>
            </w14:solidFill>
          </w14:textFill>
        </w:rPr>
        <w:t>。</w:t>
      </w:r>
    </w:p>
    <w:p w14:paraId="757B6532">
      <w:pPr>
        <w:spacing w:line="600" w:lineRule="exact"/>
        <w:ind w:firstLine="640"/>
        <w:outlineLvl w:val="1"/>
        <w:rPr>
          <w:rFonts w:ascii="黑体" w:eastAsia="黑体"/>
          <w:color w:val="000000"/>
          <w:sz w:val="32"/>
          <w:szCs w:val="32"/>
        </w:rPr>
      </w:pPr>
      <w:bookmarkStart w:id="46" w:name="_Toc15396610"/>
      <w:bookmarkStart w:id="47" w:name="_Toc15377218"/>
    </w:p>
    <w:p w14:paraId="3D24E884">
      <w:pPr>
        <w:spacing w:line="600" w:lineRule="exact"/>
        <w:ind w:firstLine="640"/>
        <w:outlineLvl w:val="1"/>
        <w:rPr>
          <w:rStyle w:val="25"/>
          <w:rFonts w:ascii="黑体" w:hAnsi="黑体" w:eastAsia="黑体"/>
        </w:rPr>
      </w:pPr>
      <w:r>
        <w:rPr>
          <w:rFonts w:hint="eastAsia" w:ascii="黑体" w:eastAsia="黑体"/>
          <w:color w:val="000000"/>
          <w:sz w:val="32"/>
          <w:szCs w:val="32"/>
        </w:rPr>
        <w:t>八、</w:t>
      </w:r>
      <w:r>
        <w:rPr>
          <w:rStyle w:val="25"/>
          <w:rFonts w:hint="eastAsia" w:ascii="黑体" w:hAnsi="黑体" w:eastAsia="黑体"/>
          <w:b w:val="0"/>
        </w:rPr>
        <w:t>政府性基金预算支出决算情况说明</w:t>
      </w:r>
      <w:bookmarkEnd w:id="46"/>
      <w:bookmarkEnd w:id="47"/>
    </w:p>
    <w:p w14:paraId="606A9306">
      <w:pPr>
        <w:spacing w:line="600" w:lineRule="exact"/>
        <w:ind w:firstLine="64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9年政府性基金预算拨款支出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p>
    <w:p w14:paraId="6B39194D">
      <w:pPr>
        <w:spacing w:line="600" w:lineRule="exact"/>
        <w:ind w:firstLine="640"/>
        <w:rPr>
          <w:rFonts w:ascii="仿宋_GB2312" w:eastAsia="仿宋_GB2312"/>
          <w:color w:val="000000"/>
          <w:sz w:val="32"/>
          <w:szCs w:val="32"/>
        </w:rPr>
      </w:pPr>
    </w:p>
    <w:p w14:paraId="6B2C7B31">
      <w:pPr>
        <w:numPr>
          <w:ilvl w:val="0"/>
          <w:numId w:val="2"/>
        </w:numPr>
        <w:spacing w:line="600" w:lineRule="exact"/>
        <w:ind w:firstLine="640"/>
        <w:outlineLvl w:val="1"/>
        <w:rPr>
          <w:rStyle w:val="25"/>
          <w:rFonts w:ascii="黑体" w:hAnsi="黑体" w:eastAsia="黑体"/>
          <w:b w:val="0"/>
        </w:rPr>
      </w:pPr>
      <w:bookmarkStart w:id="48" w:name="_Toc15377219"/>
      <w:bookmarkStart w:id="49" w:name="_Toc15396611"/>
      <w:r>
        <w:rPr>
          <w:rStyle w:val="25"/>
          <w:rFonts w:hint="eastAsia" w:ascii="黑体" w:hAnsi="黑体" w:eastAsia="黑体"/>
          <w:b w:val="0"/>
        </w:rPr>
        <w:t>国有资本经营预算支出决算情况说明</w:t>
      </w:r>
      <w:bookmarkEnd w:id="48"/>
      <w:bookmarkEnd w:id="49"/>
    </w:p>
    <w:p w14:paraId="7ABC539D">
      <w:pPr>
        <w:spacing w:line="600" w:lineRule="exact"/>
        <w:ind w:firstLine="64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9年国有资本经营预算拨款支出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p>
    <w:p w14:paraId="6DFAF269">
      <w:pPr>
        <w:spacing w:line="580" w:lineRule="exact"/>
        <w:jc w:val="center"/>
        <w:rPr>
          <w:rFonts w:ascii="方正小标宋简体" w:hAnsi="方正小标宋简体" w:eastAsia="方正小标宋简体" w:cs="方正小标宋简体"/>
          <w:sz w:val="44"/>
          <w:szCs w:val="44"/>
        </w:rPr>
      </w:pPr>
    </w:p>
    <w:p w14:paraId="69852A10">
      <w:pPr>
        <w:spacing w:line="600" w:lineRule="exact"/>
        <w:ind w:firstLine="800" w:firstLineChars="250"/>
        <w:outlineLvl w:val="1"/>
        <w:rPr>
          <w:rStyle w:val="25"/>
          <w:rFonts w:ascii="黑体" w:hAnsi="黑体" w:eastAsia="黑体"/>
        </w:rPr>
      </w:pPr>
      <w:bookmarkStart w:id="50" w:name="_Toc15396612"/>
      <w:bookmarkStart w:id="51" w:name="_Toc15377221"/>
      <w:r>
        <w:rPr>
          <w:rFonts w:hint="eastAsia" w:ascii="黑体" w:hAnsi="黑体" w:eastAsia="黑体"/>
          <w:color w:val="000000"/>
          <w:sz w:val="32"/>
          <w:szCs w:val="32"/>
        </w:rPr>
        <w:t>十</w:t>
      </w:r>
      <w:r>
        <w:rPr>
          <w:rStyle w:val="25"/>
          <w:rFonts w:hint="eastAsia" w:ascii="黑体" w:hAnsi="黑体" w:eastAsia="黑体"/>
        </w:rPr>
        <w:t>、</w:t>
      </w:r>
      <w:r>
        <w:rPr>
          <w:rStyle w:val="25"/>
          <w:rFonts w:hint="eastAsia" w:ascii="黑体" w:hAnsi="黑体" w:eastAsia="黑体"/>
          <w:b w:val="0"/>
        </w:rPr>
        <w:t>其他重要事项的情况说明</w:t>
      </w:r>
      <w:bookmarkEnd w:id="50"/>
      <w:bookmarkEnd w:id="51"/>
    </w:p>
    <w:p w14:paraId="10511EAE">
      <w:pPr>
        <w:spacing w:line="600" w:lineRule="exact"/>
        <w:ind w:firstLine="643" w:firstLineChars="200"/>
        <w:outlineLvl w:val="2"/>
        <w:rPr>
          <w:rFonts w:ascii="仿宋" w:hAnsi="仿宋" w:eastAsia="仿宋"/>
          <w:color w:val="000000"/>
          <w:sz w:val="32"/>
          <w:szCs w:val="32"/>
        </w:rPr>
      </w:pPr>
      <w:bookmarkStart w:id="52" w:name="_Toc15377222"/>
      <w:r>
        <w:rPr>
          <w:rFonts w:hint="eastAsia" w:ascii="仿宋" w:hAnsi="仿宋" w:eastAsia="仿宋"/>
          <w:b/>
          <w:color w:val="000000"/>
          <w:sz w:val="32"/>
          <w:szCs w:val="32"/>
        </w:rPr>
        <w:t>（一）机关运行经费支出情况</w:t>
      </w:r>
      <w:bookmarkEnd w:id="52"/>
    </w:p>
    <w:p w14:paraId="7892BB28">
      <w:pPr>
        <w:spacing w:line="600" w:lineRule="exact"/>
        <w:ind w:firstLine="640" w:firstLineChars="200"/>
        <w:rPr>
          <w:rFonts w:hint="eastAsia" w:ascii="仿宋_GB2312" w:eastAsia="仿宋_GB2312"/>
          <w:color w:val="000000" w:themeColor="text1"/>
          <w:sz w:val="32"/>
          <w:szCs w:val="32"/>
          <w:lang w:eastAsia="zh-CN"/>
          <w14:textFill>
            <w14:solidFill>
              <w14:schemeClr w14:val="tx1"/>
            </w14:solidFill>
          </w14:textFill>
        </w:rPr>
      </w:pPr>
      <w:r>
        <w:rPr>
          <w:rFonts w:ascii="仿宋_GB2312" w:eastAsia="仿宋_GB2312"/>
          <w:color w:val="000000"/>
          <w:sz w:val="32"/>
          <w:szCs w:val="32"/>
        </w:rPr>
        <w:t>201</w:t>
      </w:r>
      <w:r>
        <w:rPr>
          <w:rFonts w:hint="eastAsia" w:ascii="仿宋_GB2312" w:eastAsia="仿宋_GB2312"/>
          <w:color w:val="000000"/>
          <w:sz w:val="32"/>
          <w:szCs w:val="32"/>
        </w:rPr>
        <w:t>9年，</w:t>
      </w:r>
      <w:r>
        <w:rPr>
          <w:rFonts w:hint="eastAsia" w:ascii="仿宋_GB2312" w:eastAsia="仿宋_GB2312"/>
          <w:color w:val="000000"/>
          <w:sz w:val="32"/>
          <w:szCs w:val="32"/>
          <w:lang w:eastAsia="zh-CN"/>
        </w:rPr>
        <w:t>广元市昭化区丁家乡</w:t>
      </w:r>
      <w:r>
        <w:rPr>
          <w:rFonts w:hint="eastAsia" w:ascii="仿宋_GB2312" w:eastAsia="仿宋_GB2312"/>
          <w:color w:val="000000"/>
          <w:sz w:val="32"/>
          <w:szCs w:val="32"/>
        </w:rPr>
        <w:t>机关运行经费支出</w:t>
      </w:r>
      <w:r>
        <w:rPr>
          <w:rFonts w:hint="eastAsia" w:ascii="仿宋_GB2312" w:eastAsia="仿宋_GB2312"/>
          <w:color w:val="000000"/>
          <w:sz w:val="32"/>
          <w:szCs w:val="32"/>
          <w:lang w:val="en-US" w:eastAsia="zh-CN"/>
        </w:rPr>
        <w:t>72.43</w:t>
      </w:r>
      <w:r>
        <w:rPr>
          <w:rFonts w:hint="eastAsia" w:ascii="仿宋_GB2312" w:eastAsia="仿宋_GB2312"/>
          <w:color w:val="000000"/>
          <w:sz w:val="32"/>
          <w:szCs w:val="32"/>
        </w:rPr>
        <w:t>万元，比</w:t>
      </w:r>
      <w:r>
        <w:rPr>
          <w:rFonts w:ascii="仿宋_GB2312" w:eastAsia="仿宋_GB2312"/>
          <w:color w:val="000000"/>
          <w:sz w:val="32"/>
          <w:szCs w:val="32"/>
        </w:rPr>
        <w:t>201</w:t>
      </w:r>
      <w:r>
        <w:rPr>
          <w:rFonts w:hint="eastAsia" w:ascii="仿宋_GB2312" w:eastAsia="仿宋_GB2312"/>
          <w:color w:val="000000"/>
          <w:sz w:val="32"/>
          <w:szCs w:val="32"/>
        </w:rPr>
        <w:t>8年减少</w:t>
      </w:r>
      <w:r>
        <w:rPr>
          <w:rFonts w:hint="eastAsia" w:ascii="仿宋_GB2312" w:eastAsia="仿宋_GB2312"/>
          <w:color w:val="000000"/>
          <w:sz w:val="32"/>
          <w:szCs w:val="32"/>
          <w:lang w:val="en-US" w:eastAsia="zh-CN"/>
        </w:rPr>
        <w:t>7.8</w:t>
      </w:r>
      <w:r>
        <w:rPr>
          <w:rFonts w:hint="eastAsia" w:ascii="仿宋_GB2312" w:eastAsia="仿宋_GB2312"/>
          <w:color w:val="000000"/>
          <w:sz w:val="32"/>
          <w:szCs w:val="32"/>
        </w:rPr>
        <w:t>万元，下降</w:t>
      </w:r>
      <w:r>
        <w:rPr>
          <w:rFonts w:hint="eastAsia" w:ascii="仿宋_GB2312" w:eastAsia="仿宋_GB2312"/>
          <w:color w:val="000000"/>
          <w:sz w:val="32"/>
          <w:szCs w:val="32"/>
          <w:lang w:val="en-US" w:eastAsia="zh-CN"/>
        </w:rPr>
        <w:t>9.72</w:t>
      </w:r>
      <w:r>
        <w:rPr>
          <w:rFonts w:ascii="仿宋_GB2312" w:eastAsia="仿宋_GB2312"/>
          <w:color w:val="000000"/>
          <w:sz w:val="32"/>
          <w:szCs w:val="32"/>
        </w:rPr>
        <w:t>%</w:t>
      </w:r>
      <w:r>
        <w:rPr>
          <w:rFonts w:hint="eastAsia" w:ascii="仿宋_GB2312" w:eastAsia="仿宋_GB2312"/>
          <w:color w:val="000000"/>
          <w:sz w:val="32"/>
          <w:szCs w:val="32"/>
        </w:rPr>
        <w:t>。</w:t>
      </w:r>
      <w:r>
        <w:rPr>
          <w:rFonts w:hint="eastAsia" w:ascii="仿宋_GB2312" w:eastAsia="仿宋_GB2312"/>
          <w:color w:val="000000" w:themeColor="text1"/>
          <w:sz w:val="32"/>
          <w:szCs w:val="32"/>
          <w14:textFill>
            <w14:solidFill>
              <w14:schemeClr w14:val="tx1"/>
            </w14:solidFill>
          </w14:textFill>
        </w:rPr>
        <w:t>主要原因是</w:t>
      </w:r>
      <w:r>
        <w:rPr>
          <w:rFonts w:hint="eastAsia" w:ascii="仿宋_GB2312" w:eastAsia="仿宋_GB2312"/>
          <w:color w:val="000000" w:themeColor="text1"/>
          <w:sz w:val="32"/>
          <w:szCs w:val="32"/>
          <w:lang w:eastAsia="zh-CN"/>
          <w14:textFill>
            <w14:solidFill>
              <w14:schemeClr w14:val="tx1"/>
            </w14:solidFill>
          </w14:textFill>
        </w:rPr>
        <w:t>压缩开支，减少了日常开销。</w:t>
      </w:r>
    </w:p>
    <w:p w14:paraId="34A71044">
      <w:pPr>
        <w:autoSpaceDE w:val="0"/>
        <w:autoSpaceDN w:val="0"/>
        <w:adjustRightInd w:val="0"/>
        <w:spacing w:line="600" w:lineRule="exact"/>
        <w:ind w:firstLine="643" w:firstLineChars="200"/>
        <w:jc w:val="left"/>
        <w:outlineLvl w:val="2"/>
        <w:rPr>
          <w:rFonts w:ascii="仿宋" w:hAnsi="仿宋" w:eastAsia="仿宋"/>
          <w:b/>
          <w:color w:val="000000"/>
          <w:sz w:val="32"/>
          <w:szCs w:val="32"/>
        </w:rPr>
      </w:pPr>
      <w:bookmarkStart w:id="53" w:name="_Toc15377223"/>
      <w:r>
        <w:rPr>
          <w:rFonts w:hint="eastAsia" w:ascii="仿宋" w:hAnsi="仿宋" w:eastAsia="仿宋"/>
          <w:b/>
          <w:color w:val="000000"/>
          <w:sz w:val="32"/>
          <w:szCs w:val="32"/>
        </w:rPr>
        <w:t>（二）政府采购支出情况</w:t>
      </w:r>
      <w:bookmarkEnd w:id="53"/>
    </w:p>
    <w:p w14:paraId="46083784">
      <w:pPr>
        <w:spacing w:line="600" w:lineRule="exact"/>
        <w:ind w:firstLine="640" w:firstLineChars="20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9年，</w:t>
      </w:r>
      <w:r>
        <w:rPr>
          <w:rFonts w:hint="eastAsia" w:ascii="仿宋_GB2312" w:eastAsia="仿宋_GB2312"/>
          <w:color w:val="000000"/>
          <w:sz w:val="32"/>
          <w:szCs w:val="32"/>
          <w:lang w:eastAsia="zh-CN"/>
        </w:rPr>
        <w:t>广元市昭化区丁家乡</w:t>
      </w:r>
      <w:r>
        <w:rPr>
          <w:rFonts w:hint="eastAsia" w:ascii="仿宋_GB2312" w:eastAsia="仿宋_GB2312"/>
          <w:color w:val="000000"/>
          <w:sz w:val="32"/>
          <w:szCs w:val="32"/>
        </w:rPr>
        <w:t>政府采购支出总额</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r>
        <w:rPr>
          <w:rFonts w:hint="eastAsia" w:ascii="仿宋_GB2312" w:eastAsia="仿宋_GB2312"/>
          <w:color w:val="000000"/>
          <w:sz w:val="32"/>
          <w:szCs w:val="32"/>
          <w:lang w:eastAsia="zh-CN"/>
        </w:rPr>
        <w:t>。</w:t>
      </w:r>
    </w:p>
    <w:p w14:paraId="679FB906">
      <w:pPr>
        <w:autoSpaceDE w:val="0"/>
        <w:autoSpaceDN w:val="0"/>
        <w:adjustRightInd w:val="0"/>
        <w:spacing w:line="600" w:lineRule="exact"/>
        <w:ind w:firstLine="643" w:firstLineChars="200"/>
        <w:jc w:val="left"/>
        <w:outlineLvl w:val="2"/>
        <w:rPr>
          <w:rFonts w:ascii="仿宋" w:hAnsi="仿宋" w:eastAsia="仿宋"/>
          <w:b/>
          <w:color w:val="000000"/>
          <w:sz w:val="32"/>
          <w:szCs w:val="32"/>
        </w:rPr>
      </w:pPr>
      <w:bookmarkStart w:id="54" w:name="_Toc15377224"/>
      <w:r>
        <w:rPr>
          <w:rFonts w:hint="eastAsia" w:ascii="仿宋" w:hAnsi="仿宋" w:eastAsia="仿宋"/>
          <w:b/>
          <w:color w:val="000000"/>
          <w:sz w:val="32"/>
          <w:szCs w:val="32"/>
        </w:rPr>
        <w:t>（三）国有资产占有使用情况</w:t>
      </w:r>
      <w:bookmarkEnd w:id="54"/>
    </w:p>
    <w:p w14:paraId="38A63877">
      <w:pPr>
        <w:autoSpaceDE w:val="0"/>
        <w:autoSpaceDN w:val="0"/>
        <w:adjustRightInd w:val="0"/>
        <w:spacing w:line="600" w:lineRule="exact"/>
        <w:ind w:firstLine="640" w:firstLineChars="200"/>
        <w:jc w:val="left"/>
        <w:rPr>
          <w:rFonts w:ascii="仿宋" w:hAnsi="仿宋" w:eastAsia="仿宋"/>
          <w:b/>
          <w:color w:val="FF0000"/>
          <w:sz w:val="32"/>
          <w:szCs w:val="32"/>
        </w:rPr>
      </w:pPr>
      <w:r>
        <w:rPr>
          <w:rFonts w:hint="eastAsia" w:ascii="仿宋_GB2312" w:eastAsia="仿宋_GB2312"/>
          <w:color w:val="000000"/>
          <w:sz w:val="32"/>
          <w:szCs w:val="32"/>
        </w:rPr>
        <w:t>截至</w:t>
      </w:r>
      <w:r>
        <w:rPr>
          <w:rFonts w:ascii="仿宋_GB2312" w:eastAsia="仿宋_GB2312"/>
          <w:color w:val="000000"/>
          <w:sz w:val="32"/>
          <w:szCs w:val="32"/>
        </w:rPr>
        <w:t>201</w:t>
      </w:r>
      <w:r>
        <w:rPr>
          <w:rFonts w:hint="eastAsia" w:ascii="仿宋_GB2312" w:eastAsia="仿宋_GB2312"/>
          <w:color w:val="000000"/>
          <w:sz w:val="32"/>
          <w:szCs w:val="32"/>
        </w:rPr>
        <w:t>9年</w:t>
      </w:r>
      <w:r>
        <w:rPr>
          <w:rFonts w:ascii="仿宋_GB2312" w:eastAsia="仿宋_GB2312"/>
          <w:color w:val="000000"/>
          <w:sz w:val="32"/>
          <w:szCs w:val="32"/>
        </w:rPr>
        <w:t>12</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w:t>
      </w:r>
      <w:r>
        <w:rPr>
          <w:rFonts w:hint="eastAsia" w:ascii="仿宋_GB2312" w:eastAsia="仿宋_GB2312"/>
          <w:color w:val="000000"/>
          <w:sz w:val="32"/>
          <w:szCs w:val="32"/>
          <w:lang w:eastAsia="zh-CN"/>
        </w:rPr>
        <w:t>广元市昭化区丁家乡</w:t>
      </w:r>
      <w:r>
        <w:rPr>
          <w:rFonts w:hint="eastAsia" w:ascii="仿宋_GB2312" w:eastAsia="仿宋_GB2312"/>
          <w:color w:val="000000"/>
          <w:sz w:val="32"/>
          <w:szCs w:val="32"/>
        </w:rPr>
        <w:t>共有车辆</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w:t>
      </w:r>
      <w:r>
        <w:rPr>
          <w:rFonts w:hint="eastAsia" w:ascii="仿宋_GB2312" w:eastAsia="仿宋_GB2312"/>
          <w:color w:val="000000"/>
          <w:sz w:val="32"/>
          <w:szCs w:val="32"/>
          <w:lang w:eastAsia="zh-CN"/>
        </w:rPr>
        <w:t>。</w:t>
      </w:r>
      <w:r>
        <w:rPr>
          <w:rFonts w:hint="eastAsia" w:ascii="仿宋_GB2312" w:eastAsia="仿宋_GB2312"/>
          <w:color w:val="000000" w:themeColor="text1"/>
          <w:sz w:val="32"/>
          <w:szCs w:val="32"/>
          <w14:textFill>
            <w14:solidFill>
              <w14:schemeClr w14:val="tx1"/>
            </w14:solidFill>
          </w14:textFill>
        </w:rPr>
        <w:t>单价</w:t>
      </w:r>
      <w:r>
        <w:rPr>
          <w:rFonts w:ascii="仿宋_GB2312" w:eastAsia="仿宋_GB2312"/>
          <w:color w:val="000000" w:themeColor="text1"/>
          <w:sz w:val="32"/>
          <w:szCs w:val="32"/>
          <w14:textFill>
            <w14:solidFill>
              <w14:schemeClr w14:val="tx1"/>
            </w14:solidFill>
          </w14:textFill>
        </w:rPr>
        <w:t>50</w:t>
      </w:r>
      <w:r>
        <w:rPr>
          <w:rFonts w:hint="eastAsia" w:ascii="仿宋_GB2312" w:eastAsia="仿宋_GB2312"/>
          <w:color w:val="000000" w:themeColor="text1"/>
          <w:sz w:val="32"/>
          <w:szCs w:val="32"/>
          <w14:textFill>
            <w14:solidFill>
              <w14:schemeClr w14:val="tx1"/>
            </w14:solidFill>
          </w14:textFill>
        </w:rPr>
        <w:t>万元以上通用设备</w:t>
      </w:r>
      <w:r>
        <w:rPr>
          <w:rFonts w:hint="eastAsia" w:ascii="仿宋_GB2312" w:eastAsia="仿宋_GB2312"/>
          <w:color w:val="000000" w:themeColor="text1"/>
          <w:sz w:val="32"/>
          <w:szCs w:val="32"/>
          <w:lang w:val="en-US" w:eastAsia="zh-CN"/>
          <w14:textFill>
            <w14:solidFill>
              <w14:schemeClr w14:val="tx1"/>
            </w14:solidFill>
          </w14:textFill>
        </w:rPr>
        <w:t>0</w:t>
      </w:r>
      <w:r>
        <w:rPr>
          <w:rFonts w:hint="eastAsia" w:ascii="仿宋_GB2312" w:eastAsia="仿宋_GB2312"/>
          <w:color w:val="000000" w:themeColor="text1"/>
          <w:sz w:val="32"/>
          <w:szCs w:val="32"/>
          <w14:textFill>
            <w14:solidFill>
              <w14:schemeClr w14:val="tx1"/>
            </w14:solidFill>
          </w14:textFill>
        </w:rPr>
        <w:t>台（套），单价</w:t>
      </w:r>
      <w:r>
        <w:rPr>
          <w:rFonts w:ascii="仿宋_GB2312" w:eastAsia="仿宋_GB2312"/>
          <w:color w:val="000000" w:themeColor="text1"/>
          <w:sz w:val="32"/>
          <w:szCs w:val="32"/>
          <w14:textFill>
            <w14:solidFill>
              <w14:schemeClr w14:val="tx1"/>
            </w14:solidFill>
          </w14:textFill>
        </w:rPr>
        <w:t>100</w:t>
      </w:r>
      <w:r>
        <w:rPr>
          <w:rFonts w:hint="eastAsia" w:ascii="仿宋_GB2312" w:eastAsia="仿宋_GB2312"/>
          <w:color w:val="000000"/>
          <w:sz w:val="32"/>
          <w:szCs w:val="32"/>
        </w:rPr>
        <w:t>万元以上专用设备</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台（套）。</w:t>
      </w:r>
    </w:p>
    <w:p w14:paraId="40699104">
      <w:pPr>
        <w:autoSpaceDE w:val="0"/>
        <w:autoSpaceDN w:val="0"/>
        <w:adjustRightInd w:val="0"/>
        <w:spacing w:line="600" w:lineRule="exact"/>
        <w:ind w:firstLine="643" w:firstLineChars="200"/>
        <w:jc w:val="left"/>
        <w:outlineLvl w:val="2"/>
        <w:rPr>
          <w:rFonts w:ascii="仿宋" w:hAnsi="仿宋" w:eastAsia="仿宋"/>
          <w:b/>
          <w:color w:val="000000"/>
          <w:sz w:val="32"/>
          <w:szCs w:val="32"/>
        </w:rPr>
      </w:pPr>
      <w:r>
        <w:rPr>
          <w:rFonts w:hint="eastAsia" w:ascii="仿宋" w:hAnsi="仿宋" w:eastAsia="仿宋"/>
          <w:b/>
          <w:color w:val="000000"/>
          <w:sz w:val="32"/>
          <w:szCs w:val="32"/>
        </w:rPr>
        <w:t>（四）预算绩效管理情况。</w:t>
      </w:r>
    </w:p>
    <w:p w14:paraId="4888D717">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根据预算绩效管理要求，本部门（单位）在年初预算编制阶段，组织对</w:t>
      </w:r>
      <w:r>
        <w:rPr>
          <w:rFonts w:hint="eastAsia" w:ascii="仿宋_GB2312" w:hAnsi="仿宋_GB2312" w:eastAsia="仿宋_GB2312" w:cs="仿宋_GB2312"/>
          <w:sz w:val="32"/>
          <w:szCs w:val="32"/>
          <w:lang w:eastAsia="zh-CN"/>
        </w:rPr>
        <w:t>农村公共运行维护</w:t>
      </w:r>
      <w:r>
        <w:rPr>
          <w:rFonts w:hint="eastAsia" w:ascii="仿宋_GB2312" w:hAnsi="仿宋_GB2312" w:eastAsia="仿宋_GB2312" w:cs="仿宋_GB2312"/>
          <w:sz w:val="32"/>
          <w:szCs w:val="32"/>
        </w:rPr>
        <w:t>项目开展了预算事前绩效评估，对</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个项目编制了绩效目标，预算执行过程中，选取</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个项目开展绩效监控，年终执行完毕后，对</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个项目开展了绩效目标完成情况自评。</w:t>
      </w:r>
    </w:p>
    <w:p w14:paraId="15FDE816">
      <w:pP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本部门按要求对2019年部门整体支出开展绩效自评，从评价情况来看项目全年预算数</w:t>
      </w:r>
      <w:r>
        <w:rPr>
          <w:rFonts w:hint="eastAsia" w:ascii="仿宋_GB2312" w:hAnsi="仿宋_GB2312" w:eastAsia="仿宋_GB2312" w:cs="仿宋_GB2312"/>
          <w:sz w:val="32"/>
          <w:szCs w:val="32"/>
          <w:lang w:val="en-US" w:eastAsia="zh-CN"/>
        </w:rPr>
        <w:t>30</w:t>
      </w:r>
      <w:r>
        <w:rPr>
          <w:rFonts w:hint="eastAsia" w:ascii="仿宋_GB2312" w:hAnsi="仿宋_GB2312" w:eastAsia="仿宋_GB2312" w:cs="仿宋_GB2312"/>
          <w:sz w:val="32"/>
          <w:szCs w:val="32"/>
        </w:rPr>
        <w:t>万元，执行数为</w:t>
      </w:r>
      <w:r>
        <w:rPr>
          <w:rFonts w:hint="eastAsia" w:ascii="仿宋_GB2312" w:hAnsi="仿宋_GB2312" w:eastAsia="仿宋_GB2312" w:cs="仿宋_GB2312"/>
          <w:sz w:val="32"/>
          <w:szCs w:val="32"/>
          <w:lang w:val="en-US" w:eastAsia="zh-CN"/>
        </w:rPr>
        <w:t>30</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w:t>
      </w:r>
    </w:p>
    <w:p w14:paraId="40510FAA">
      <w:pPr>
        <w:numPr>
          <w:ilvl w:val="0"/>
          <w:numId w:val="3"/>
        </w:numPr>
        <w:spacing w:line="580" w:lineRule="exact"/>
        <w:ind w:firstLine="640" w:firstLineChars="200"/>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项目绩效目标完成情况。</w:t>
      </w:r>
      <w:r>
        <w:rPr>
          <w:rFonts w:hint="eastAsia" w:ascii="楷体_GB2312" w:hAnsi="楷体_GB2312" w:eastAsia="楷体_GB2312" w:cs="楷体_GB2312"/>
          <w:sz w:val="32"/>
          <w:szCs w:val="32"/>
        </w:rPr>
        <w:br w:type="textWrapping"/>
      </w:r>
      <w:r>
        <w:rPr>
          <w:rFonts w:hint="eastAsia" w:ascii="仿宋_GB2312" w:hAnsi="仿宋_GB2312" w:eastAsia="仿宋_GB2312" w:cs="仿宋_GB2312"/>
          <w:sz w:val="32"/>
          <w:szCs w:val="32"/>
        </w:rPr>
        <w:t xml:space="preserve">    本部门在2019年度部门决算中反映“</w:t>
      </w:r>
      <w:r>
        <w:rPr>
          <w:rFonts w:hint="eastAsia" w:ascii="仿宋_GB2312" w:hAnsi="仿宋_GB2312" w:eastAsia="仿宋_GB2312" w:cs="仿宋_GB2312"/>
          <w:sz w:val="32"/>
          <w:szCs w:val="32"/>
          <w:lang w:eastAsia="zh-CN"/>
        </w:rPr>
        <w:t>农村公共运行维护</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项目绩效目标实际完成情况。</w:t>
      </w:r>
    </w:p>
    <w:p w14:paraId="38AA7D13">
      <w:pPr>
        <w:ind w:firstLine="640" w:firstLineChars="200"/>
        <w:rPr>
          <w:rFonts w:hint="eastAsia" w:ascii="仿宋" w:hAnsi="仿宋" w:eastAsia="仿宋" w:cs="仿宋"/>
          <w:sz w:val="32"/>
          <w:szCs w:val="32"/>
        </w:rPr>
      </w:pPr>
      <w:r>
        <w:rPr>
          <w:rFonts w:hint="eastAsia" w:ascii="仿宋_GB2312" w:hAnsi="仿宋_GB2312" w:eastAsia="仿宋_GB2312" w:cs="仿宋_GB2312"/>
          <w:sz w:val="32"/>
          <w:szCs w:val="32"/>
        </w:rPr>
        <w:t>项目全年预算数</w:t>
      </w:r>
      <w:r>
        <w:rPr>
          <w:rFonts w:hint="eastAsia" w:ascii="仿宋_GB2312" w:hAnsi="仿宋_GB2312" w:eastAsia="仿宋_GB2312" w:cs="仿宋_GB2312"/>
          <w:sz w:val="32"/>
          <w:szCs w:val="32"/>
          <w:lang w:val="en-US" w:eastAsia="zh-CN"/>
        </w:rPr>
        <w:t>30</w:t>
      </w:r>
      <w:r>
        <w:rPr>
          <w:rFonts w:hint="eastAsia" w:ascii="仿宋_GB2312" w:hAnsi="仿宋_GB2312" w:eastAsia="仿宋_GB2312" w:cs="仿宋_GB2312"/>
          <w:sz w:val="32"/>
          <w:szCs w:val="32"/>
        </w:rPr>
        <w:t>万元，执行数为</w:t>
      </w:r>
      <w:r>
        <w:rPr>
          <w:rFonts w:hint="eastAsia" w:ascii="仿宋_GB2312" w:hAnsi="仿宋_GB2312" w:eastAsia="仿宋_GB2312" w:cs="仿宋_GB2312"/>
          <w:sz w:val="32"/>
          <w:szCs w:val="32"/>
          <w:lang w:val="en-US" w:eastAsia="zh-CN"/>
        </w:rPr>
        <w:t>30</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%。通过项目实施，</w:t>
      </w:r>
      <w:r>
        <w:rPr>
          <w:rFonts w:hint="eastAsia" w:ascii="仿宋_GB2312" w:hAnsi="仿宋_GB2312" w:eastAsia="仿宋_GB2312" w:cs="仿宋_GB2312"/>
          <w:sz w:val="32"/>
          <w:szCs w:val="32"/>
          <w:lang w:eastAsia="zh-CN"/>
        </w:rPr>
        <w:t>做到了</w:t>
      </w:r>
      <w:r>
        <w:rPr>
          <w:rFonts w:hint="eastAsia" w:ascii="仿宋_GB2312" w:hAnsi="仿宋_GB2312" w:eastAsia="仿宋_GB2312" w:cs="仿宋_GB2312"/>
          <w:sz w:val="32"/>
          <w:szCs w:val="32"/>
        </w:rPr>
        <w:t>加强基层组织建设，提高基层公共服务保障水平和社会治理能力，完成</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村</w:t>
      </w:r>
      <w:r>
        <w:rPr>
          <w:rFonts w:hint="eastAsia" w:ascii="仿宋_GB2312" w:hAnsi="仿宋_GB2312" w:eastAsia="仿宋_GB2312" w:cs="仿宋_GB2312"/>
          <w:sz w:val="32"/>
          <w:szCs w:val="32"/>
          <w:lang w:val="en-US" w:eastAsia="zh-CN"/>
        </w:rPr>
        <w:t>1社区</w:t>
      </w:r>
      <w:r>
        <w:rPr>
          <w:rFonts w:hint="eastAsia" w:ascii="仿宋_GB2312" w:hAnsi="仿宋_GB2312" w:eastAsia="仿宋_GB2312" w:cs="仿宋_GB2312"/>
          <w:sz w:val="32"/>
          <w:szCs w:val="32"/>
        </w:rPr>
        <w:t>基础设施维护，维持</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村</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社区的</w:t>
      </w:r>
      <w:r>
        <w:rPr>
          <w:rFonts w:hint="eastAsia" w:ascii="仿宋_GB2312" w:hAnsi="仿宋_GB2312" w:eastAsia="仿宋_GB2312" w:cs="仿宋_GB2312"/>
          <w:sz w:val="32"/>
          <w:szCs w:val="32"/>
        </w:rPr>
        <w:t>正常运行等。发现的主要问题：</w:t>
      </w:r>
      <w:r>
        <w:rPr>
          <w:rFonts w:hint="eastAsia" w:ascii="仿宋" w:hAnsi="仿宋" w:eastAsia="仿宋" w:cs="仿宋"/>
          <w:sz w:val="32"/>
          <w:szCs w:val="32"/>
          <w:lang w:eastAsia="zh-CN"/>
        </w:rPr>
        <w:t>一是村社干部政策知晓不全面，所以导致宣传不到位，部分老百姓不理解</w:t>
      </w:r>
      <w:r>
        <w:rPr>
          <w:rFonts w:hint="eastAsia" w:ascii="仿宋" w:hAnsi="仿宋" w:eastAsia="仿宋" w:cs="仿宋"/>
          <w:sz w:val="32"/>
          <w:szCs w:val="32"/>
        </w:rPr>
        <w:t>等。</w:t>
      </w:r>
      <w:r>
        <w:rPr>
          <w:rFonts w:hint="eastAsia" w:ascii="仿宋" w:hAnsi="仿宋" w:eastAsia="仿宋" w:cs="仿宋"/>
          <w:sz w:val="32"/>
          <w:szCs w:val="32"/>
          <w:lang w:eastAsia="zh-CN"/>
        </w:rPr>
        <w:t>二是</w:t>
      </w:r>
      <w:r>
        <w:rPr>
          <w:rFonts w:hint="eastAsia" w:ascii="仿宋" w:hAnsi="仿宋" w:eastAsia="仿宋" w:cs="仿宋"/>
          <w:sz w:val="32"/>
          <w:szCs w:val="32"/>
        </w:rPr>
        <w:t>资金存在严重不足。</w:t>
      </w:r>
      <w:r>
        <w:rPr>
          <w:rFonts w:hint="eastAsia" w:ascii="仿宋" w:hAnsi="仿宋" w:eastAsia="仿宋" w:cs="仿宋"/>
          <w:sz w:val="32"/>
          <w:szCs w:val="32"/>
          <w:lang w:eastAsia="zh-CN"/>
        </w:rPr>
        <w:t>三是资金报账手续繁琐。</w:t>
      </w:r>
      <w:r>
        <w:rPr>
          <w:rFonts w:hint="eastAsia" w:ascii="仿宋_GB2312" w:hAnsi="仿宋_GB2312" w:eastAsia="仿宋_GB2312" w:cs="仿宋_GB2312"/>
          <w:sz w:val="32"/>
          <w:szCs w:val="32"/>
        </w:rPr>
        <w:t>下一步改进措施：</w:t>
      </w:r>
      <w:r>
        <w:rPr>
          <w:rFonts w:hint="eastAsia" w:ascii="仿宋_GB2312" w:hAnsi="仿宋_GB2312" w:eastAsia="仿宋_GB2312" w:cs="仿宋_GB2312"/>
          <w:sz w:val="32"/>
          <w:szCs w:val="32"/>
          <w:lang w:eastAsia="zh-CN"/>
        </w:rPr>
        <w:t>一是</w:t>
      </w:r>
      <w:r>
        <w:rPr>
          <w:rFonts w:hint="eastAsia" w:ascii="仿宋" w:hAnsi="仿宋" w:eastAsia="仿宋" w:cs="仿宋"/>
          <w:sz w:val="32"/>
          <w:szCs w:val="32"/>
        </w:rPr>
        <w:t>规范性出台一套项目管理的奖惩制度，促进村社及农户对维护项目成果的珍惜和保持。</w:t>
      </w:r>
      <w:r>
        <w:rPr>
          <w:rFonts w:hint="eastAsia" w:ascii="仿宋" w:hAnsi="仿宋" w:eastAsia="仿宋" w:cs="仿宋"/>
          <w:sz w:val="32"/>
          <w:szCs w:val="32"/>
          <w:lang w:eastAsia="zh-CN"/>
        </w:rPr>
        <w:t>二是</w:t>
      </w:r>
      <w:r>
        <w:rPr>
          <w:rFonts w:hint="eastAsia" w:ascii="仿宋" w:hAnsi="仿宋" w:eastAsia="仿宋" w:cs="仿宋"/>
          <w:sz w:val="32"/>
          <w:szCs w:val="32"/>
        </w:rPr>
        <w:t>进一步完善法规程序，加强公开透明，避免民主参与流于形式。</w:t>
      </w:r>
    </w:p>
    <w:p w14:paraId="505DDEB0">
      <w:pPr>
        <w:spacing w:line="580" w:lineRule="exact"/>
        <w:ind w:firstLine="640" w:firstLineChars="200"/>
        <w:rPr>
          <w:rFonts w:ascii="仿宋_GB2312" w:hAnsi="仿宋_GB2312" w:eastAsia="仿宋_GB2312" w:cs="仿宋_GB2312"/>
          <w:sz w:val="32"/>
          <w:szCs w:val="32"/>
        </w:rPr>
      </w:pPr>
    </w:p>
    <w:p w14:paraId="6F5B2772">
      <w:pPr>
        <w:spacing w:line="580" w:lineRule="exact"/>
        <w:ind w:firstLine="640" w:firstLineChars="200"/>
        <w:rPr>
          <w:rFonts w:ascii="仿宋_GB2312" w:hAnsi="仿宋_GB2312" w:eastAsia="仿宋_GB2312" w:cs="仿宋_GB2312"/>
          <w:sz w:val="32"/>
          <w:szCs w:val="32"/>
        </w:rPr>
      </w:pPr>
    </w:p>
    <w:p w14:paraId="4D2CB65B">
      <w:pPr>
        <w:spacing w:line="580" w:lineRule="exact"/>
        <w:ind w:firstLine="640" w:firstLineChars="200"/>
        <w:rPr>
          <w:rFonts w:ascii="仿宋_GB2312" w:hAnsi="仿宋_GB2312" w:eastAsia="仿宋_GB2312" w:cs="仿宋_GB2312"/>
          <w:sz w:val="32"/>
          <w:szCs w:val="32"/>
        </w:rPr>
      </w:pPr>
    </w:p>
    <w:p w14:paraId="4BCA1447">
      <w:pPr>
        <w:spacing w:line="580" w:lineRule="exact"/>
        <w:ind w:firstLine="640" w:firstLineChars="200"/>
        <w:rPr>
          <w:rFonts w:ascii="仿宋_GB2312" w:hAnsi="仿宋_GB2312" w:eastAsia="仿宋_GB2312" w:cs="仿宋_GB2312"/>
          <w:sz w:val="32"/>
          <w:szCs w:val="32"/>
        </w:rPr>
      </w:pPr>
    </w:p>
    <w:tbl>
      <w:tblPr>
        <w:tblStyle w:val="12"/>
        <w:tblpPr w:leftFromText="180" w:rightFromText="180" w:vertAnchor="text" w:horzAnchor="page" w:tblpXSpec="center" w:tblpY="423"/>
        <w:tblOverlap w:val="never"/>
        <w:tblW w:w="9960" w:type="dxa"/>
        <w:jc w:val="center"/>
        <w:tblLayout w:type="fixed"/>
        <w:tblCellMar>
          <w:top w:w="0" w:type="dxa"/>
          <w:left w:w="0" w:type="dxa"/>
          <w:bottom w:w="0" w:type="dxa"/>
          <w:right w:w="0" w:type="dxa"/>
        </w:tblCellMar>
      </w:tblPr>
      <w:tblGrid>
        <w:gridCol w:w="9960"/>
      </w:tblGrid>
      <w:tr w14:paraId="14DB3A17">
        <w:tblPrEx>
          <w:tblCellMar>
            <w:top w:w="0" w:type="dxa"/>
            <w:left w:w="0" w:type="dxa"/>
            <w:bottom w:w="0" w:type="dxa"/>
            <w:right w:w="0" w:type="dxa"/>
          </w:tblCellMar>
        </w:tblPrEx>
        <w:trPr>
          <w:trHeight w:val="1034" w:hRule="atLeast"/>
          <w:jc w:val="center"/>
        </w:trPr>
        <w:tc>
          <w:tcPr>
            <w:tcW w:w="9960" w:type="dxa"/>
            <w:tcBorders>
              <w:top w:val="nil"/>
              <w:left w:val="nil"/>
              <w:bottom w:val="nil"/>
              <w:right w:val="nil"/>
            </w:tcBorders>
            <w:tcMar>
              <w:top w:w="15" w:type="dxa"/>
              <w:left w:w="15" w:type="dxa"/>
              <w:right w:w="15" w:type="dxa"/>
            </w:tcMar>
            <w:vAlign w:val="center"/>
          </w:tcPr>
          <w:p w14:paraId="27900B41">
            <w:pPr>
              <w:tabs>
                <w:tab w:val="left" w:pos="312"/>
              </w:tabs>
              <w:spacing w:line="580" w:lineRule="exact"/>
              <w:rPr>
                <w:rFonts w:ascii="仿宋_GB2312" w:hAnsi="仿宋_GB2312" w:eastAsia="仿宋_GB2312" w:cs="仿宋_GB2312"/>
                <w:sz w:val="32"/>
                <w:szCs w:val="32"/>
              </w:rPr>
            </w:pPr>
          </w:p>
          <w:tbl>
            <w:tblPr>
              <w:tblStyle w:val="12"/>
              <w:tblpPr w:leftFromText="180" w:rightFromText="180" w:vertAnchor="text" w:horzAnchor="page" w:tblpXSpec="center" w:tblpY="423"/>
              <w:tblOverlap w:val="never"/>
              <w:tblW w:w="9960" w:type="dxa"/>
              <w:tblInd w:w="0" w:type="dxa"/>
              <w:tblLayout w:type="fixed"/>
              <w:tblCellMar>
                <w:top w:w="0" w:type="dxa"/>
                <w:left w:w="0" w:type="dxa"/>
                <w:bottom w:w="0" w:type="dxa"/>
                <w:right w:w="0" w:type="dxa"/>
              </w:tblCellMar>
            </w:tblPr>
            <w:tblGrid>
              <w:gridCol w:w="390"/>
              <w:gridCol w:w="1573"/>
              <w:gridCol w:w="819"/>
              <w:gridCol w:w="294"/>
              <w:gridCol w:w="2098"/>
              <w:gridCol w:w="406"/>
              <w:gridCol w:w="1988"/>
              <w:gridCol w:w="447"/>
              <w:gridCol w:w="1945"/>
            </w:tblGrid>
            <w:tr w14:paraId="7BCD95BA">
              <w:tblPrEx>
                <w:tblCellMar>
                  <w:top w:w="0" w:type="dxa"/>
                  <w:left w:w="0" w:type="dxa"/>
                  <w:bottom w:w="0" w:type="dxa"/>
                  <w:right w:w="0" w:type="dxa"/>
                </w:tblCellMar>
              </w:tblPrEx>
              <w:trPr>
                <w:trHeight w:val="1034" w:hRule="atLeast"/>
              </w:trPr>
              <w:tc>
                <w:tcPr>
                  <w:tcW w:w="9960" w:type="dxa"/>
                  <w:gridSpan w:val="9"/>
                  <w:tcMar>
                    <w:top w:w="15" w:type="dxa"/>
                    <w:left w:w="15" w:type="dxa"/>
                    <w:bottom w:w="0" w:type="dxa"/>
                    <w:right w:w="15" w:type="dxa"/>
                  </w:tcMar>
                  <w:vAlign w:val="center"/>
                </w:tcPr>
                <w:p w14:paraId="28A5C770">
                  <w:pPr>
                    <w:pStyle w:val="23"/>
                    <w:widowControl/>
                    <w:ind w:left="4173" w:leftChars="1310" w:hanging="1422" w:hangingChars="395"/>
                    <w:textAlignment w:val="center"/>
                    <w:rPr>
                      <w:rFonts w:ascii="宋体" w:hAnsi="宋体" w:cs="宋体"/>
                      <w:color w:val="000000"/>
                      <w:sz w:val="36"/>
                      <w:szCs w:val="36"/>
                    </w:rPr>
                  </w:pPr>
                  <w:r>
                    <w:rPr>
                      <w:rFonts w:hint="eastAsia" w:ascii="黑体" w:hAnsi="黑体" w:eastAsia="黑体" w:cs="宋体"/>
                      <w:bCs/>
                      <w:color w:val="000000"/>
                      <w:kern w:val="0"/>
                      <w:sz w:val="36"/>
                      <w:szCs w:val="36"/>
                      <w:lang w:bidi="ar"/>
                    </w:rPr>
                    <w:t>项目支出绩效目标完成情况表</w:t>
                  </w:r>
                  <w:r>
                    <w:rPr>
                      <w:rFonts w:hint="eastAsia" w:ascii="宋体" w:hAnsi="宋体" w:cs="宋体"/>
                      <w:b/>
                      <w:bCs/>
                      <w:color w:val="000000"/>
                      <w:kern w:val="0"/>
                      <w:sz w:val="36"/>
                      <w:szCs w:val="36"/>
                      <w:lang w:bidi="ar"/>
                    </w:rPr>
                    <w:br w:type="textWrapping"/>
                  </w:r>
                  <w:r>
                    <w:rPr>
                      <w:rFonts w:hint="eastAsia" w:ascii="宋体" w:hAnsi="宋体" w:cs="宋体"/>
                      <w:color w:val="000000"/>
                      <w:kern w:val="0"/>
                      <w:sz w:val="36"/>
                      <w:szCs w:val="36"/>
                      <w:lang w:bidi="ar"/>
                    </w:rPr>
                    <w:t>(201</w:t>
                  </w:r>
                  <w:r>
                    <w:rPr>
                      <w:rFonts w:hint="eastAsia" w:ascii="宋体" w:hAnsi="宋体" w:cs="宋体"/>
                      <w:color w:val="000000"/>
                      <w:kern w:val="0"/>
                      <w:sz w:val="36"/>
                      <w:szCs w:val="36"/>
                      <w:lang w:val="en-US" w:eastAsia="zh-CN" w:bidi="ar"/>
                    </w:rPr>
                    <w:t>9</w:t>
                  </w:r>
                  <w:r>
                    <w:rPr>
                      <w:rFonts w:hint="eastAsia" w:ascii="宋体" w:hAnsi="宋体" w:cs="宋体"/>
                      <w:color w:val="000000"/>
                      <w:kern w:val="0"/>
                      <w:sz w:val="36"/>
                      <w:szCs w:val="36"/>
                      <w:lang w:bidi="ar"/>
                    </w:rPr>
                    <w:t xml:space="preserve"> 年度)</w:t>
                  </w:r>
                </w:p>
              </w:tc>
            </w:tr>
            <w:tr w14:paraId="15A0B107">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CEAC4C7">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项目名称</w:t>
                  </w:r>
                </w:p>
              </w:tc>
              <w:tc>
                <w:tcPr>
                  <w:tcW w:w="7178" w:type="dxa"/>
                  <w:gridSpan w:val="6"/>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25EA412">
                  <w:pPr>
                    <w:widowControl/>
                    <w:jc w:val="center"/>
                    <w:textAlignment w:val="center"/>
                    <w:rPr>
                      <w:rFonts w:hint="eastAsia" w:ascii="宋体" w:hAnsi="宋体" w:eastAsia="宋体" w:cs="宋体"/>
                      <w:color w:val="000000"/>
                      <w:sz w:val="24"/>
                      <w:lang w:eastAsia="zh-CN"/>
                    </w:rPr>
                  </w:pPr>
                  <w:r>
                    <w:rPr>
                      <w:rFonts w:hint="eastAsia" w:ascii="宋体" w:hAnsi="宋体" w:eastAsia="宋体" w:cs="宋体"/>
                      <w:color w:val="000000"/>
                      <w:sz w:val="24"/>
                      <w:lang w:eastAsia="zh-CN"/>
                    </w:rPr>
                    <w:t>基层活动和公共服务运行经费</w:t>
                  </w:r>
                </w:p>
              </w:tc>
            </w:tr>
            <w:tr w14:paraId="7990BEFE">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B005C5B">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预算单位</w:t>
                  </w:r>
                </w:p>
              </w:tc>
              <w:tc>
                <w:tcPr>
                  <w:tcW w:w="7178" w:type="dxa"/>
                  <w:gridSpan w:val="6"/>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71B5FFD">
                  <w:pPr>
                    <w:widowControl/>
                    <w:jc w:val="center"/>
                    <w:textAlignment w:val="center"/>
                    <w:rPr>
                      <w:rFonts w:ascii="宋体" w:hAnsi="宋体" w:cs="宋体"/>
                      <w:color w:val="000000"/>
                      <w:sz w:val="24"/>
                    </w:rPr>
                  </w:pPr>
                  <w:r>
                    <w:rPr>
                      <w:rFonts w:hint="eastAsia" w:ascii="宋体" w:hAnsi="宋体" w:cs="宋体"/>
                      <w:color w:val="000000"/>
                      <w:sz w:val="24"/>
                      <w:lang w:eastAsia="zh-CN"/>
                    </w:rPr>
                    <w:t>广元市昭化区丁家乡人民政府</w:t>
                  </w:r>
                </w:p>
              </w:tc>
            </w:tr>
            <w:tr w14:paraId="5DE3CD69">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9DD428D">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预算执行情况(万元)</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F203ED0">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预算数:</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D02D256">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30万</w:t>
                  </w:r>
                </w:p>
              </w:tc>
              <w:tc>
                <w:tcPr>
                  <w:tcW w:w="239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BAF7931">
                  <w:pPr>
                    <w:widowControl/>
                    <w:jc w:val="center"/>
                    <w:textAlignment w:val="center"/>
                    <w:rPr>
                      <w:rFonts w:ascii="宋体" w:hAnsi="宋体" w:cs="宋体"/>
                      <w:color w:val="000000"/>
                      <w:sz w:val="24"/>
                    </w:rPr>
                  </w:pPr>
                  <w:r>
                    <w:rPr>
                      <w:rFonts w:hint="eastAsia" w:ascii="宋体" w:hAnsi="宋体" w:cs="宋体"/>
                      <w:color w:val="000000"/>
                      <w:kern w:val="0"/>
                      <w:sz w:val="24"/>
                      <w:lang w:bidi="ar"/>
                    </w:rPr>
                    <w:t>执行数:</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03BE6AD">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30万</w:t>
                  </w:r>
                </w:p>
              </w:tc>
            </w:tr>
            <w:tr w14:paraId="0C125AD8">
              <w:tblPrEx>
                <w:tblCellMar>
                  <w:top w:w="0" w:type="dxa"/>
                  <w:left w:w="0" w:type="dxa"/>
                  <w:bottom w:w="0" w:type="dxa"/>
                  <w:right w:w="0" w:type="dxa"/>
                </w:tblCellMar>
              </w:tblPrEx>
              <w:trPr>
                <w:trHeight w:val="276"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30C60C2C">
                  <w:pPr>
                    <w:widowControl/>
                    <w:jc w:val="left"/>
                    <w:rPr>
                      <w:rFonts w:ascii="宋体" w:hAns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F3DCE31">
                  <w:pPr>
                    <w:widowControl/>
                    <w:jc w:val="center"/>
                    <w:textAlignment w:val="center"/>
                    <w:rPr>
                      <w:rFonts w:ascii="宋体" w:hAnsi="宋体" w:cs="宋体"/>
                      <w:color w:val="000000"/>
                      <w:sz w:val="24"/>
                    </w:rPr>
                  </w:pPr>
                  <w:r>
                    <w:rPr>
                      <w:rFonts w:hint="eastAsia" w:ascii="宋体" w:hAnsi="宋体" w:cs="宋体"/>
                      <w:color w:val="000000"/>
                      <w:kern w:val="0"/>
                      <w:sz w:val="24"/>
                      <w:lang w:bidi="ar"/>
                    </w:rPr>
                    <w:t>其中-财政拨款:</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2CE78F0">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30万</w:t>
                  </w:r>
                </w:p>
              </w:tc>
              <w:tc>
                <w:tcPr>
                  <w:tcW w:w="239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D801169">
                  <w:pPr>
                    <w:widowControl/>
                    <w:jc w:val="center"/>
                    <w:textAlignment w:val="center"/>
                    <w:rPr>
                      <w:rFonts w:ascii="宋体" w:hAnsi="宋体" w:cs="宋体"/>
                      <w:color w:val="000000"/>
                      <w:sz w:val="24"/>
                    </w:rPr>
                  </w:pPr>
                  <w:r>
                    <w:rPr>
                      <w:rFonts w:hint="eastAsia" w:ascii="宋体" w:hAnsi="宋体" w:cs="宋体"/>
                      <w:color w:val="000000"/>
                      <w:kern w:val="0"/>
                      <w:sz w:val="24"/>
                      <w:lang w:bidi="ar"/>
                    </w:rPr>
                    <w:t>其中-财政拨款:</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D1108C9">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30万</w:t>
                  </w:r>
                </w:p>
              </w:tc>
            </w:tr>
            <w:tr w14:paraId="2D78D43D">
              <w:tblPrEx>
                <w:tblCellMar>
                  <w:top w:w="0" w:type="dxa"/>
                  <w:left w:w="0" w:type="dxa"/>
                  <w:bottom w:w="0" w:type="dxa"/>
                  <w:right w:w="0" w:type="dxa"/>
                </w:tblCellMar>
              </w:tblPrEx>
              <w:trPr>
                <w:trHeight w:val="1511"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7C3018F5">
                  <w:pPr>
                    <w:widowControl/>
                    <w:jc w:val="left"/>
                    <w:rPr>
                      <w:rFonts w:ascii="宋体" w:hAns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9FA38CA">
                  <w:pPr>
                    <w:widowControl/>
                    <w:jc w:val="center"/>
                    <w:textAlignment w:val="center"/>
                    <w:rPr>
                      <w:rFonts w:ascii="宋体" w:hAnsi="宋体" w:cs="宋体"/>
                      <w:color w:val="000000"/>
                      <w:sz w:val="24"/>
                    </w:rPr>
                  </w:pPr>
                  <w:r>
                    <w:rPr>
                      <w:rFonts w:hint="eastAsia" w:ascii="宋体" w:hAnsi="宋体" w:cs="宋体"/>
                      <w:color w:val="000000"/>
                      <w:kern w:val="0"/>
                      <w:sz w:val="24"/>
                      <w:lang w:bidi="ar"/>
                    </w:rPr>
                    <w:t>其它资金:</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D3618B6">
                  <w:pPr>
                    <w:widowControl/>
                    <w:jc w:val="center"/>
                    <w:textAlignment w:val="center"/>
                    <w:rPr>
                      <w:rFonts w:ascii="宋体" w:hAnsi="宋体" w:cs="宋体"/>
                      <w:color w:val="000000"/>
                      <w:sz w:val="24"/>
                    </w:rPr>
                  </w:pPr>
                  <w:r>
                    <w:rPr>
                      <w:rFonts w:hint="eastAsia" w:ascii="宋体" w:hAnsi="宋体" w:cs="宋体"/>
                      <w:color w:val="000000"/>
                      <w:kern w:val="0"/>
                      <w:sz w:val="24"/>
                      <w:lang w:bidi="ar"/>
                    </w:rPr>
                    <w:t>0</w:t>
                  </w:r>
                </w:p>
              </w:tc>
              <w:tc>
                <w:tcPr>
                  <w:tcW w:w="239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6411A6C">
                  <w:pPr>
                    <w:widowControl/>
                    <w:jc w:val="center"/>
                    <w:textAlignment w:val="center"/>
                    <w:rPr>
                      <w:rFonts w:ascii="宋体" w:hAnsi="宋体" w:cs="宋体"/>
                      <w:color w:val="000000"/>
                      <w:sz w:val="24"/>
                    </w:rPr>
                  </w:pPr>
                  <w:r>
                    <w:rPr>
                      <w:rFonts w:hint="eastAsia" w:ascii="宋体" w:hAnsi="宋体" w:cs="宋体"/>
                      <w:color w:val="000000"/>
                      <w:kern w:val="0"/>
                      <w:sz w:val="24"/>
                      <w:lang w:bidi="ar"/>
                    </w:rPr>
                    <w:t>其它资金:</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9F8C24F">
                  <w:pPr>
                    <w:jc w:val="center"/>
                    <w:rPr>
                      <w:rFonts w:hint="eastAsia" w:ascii="宋体" w:hAnsi="宋体" w:eastAsia="宋体" w:cs="宋体"/>
                      <w:color w:val="000000"/>
                      <w:sz w:val="24"/>
                      <w:lang w:val="en-US" w:eastAsia="zh-CN"/>
                    </w:rPr>
                  </w:pPr>
                  <w:r>
                    <w:rPr>
                      <w:rFonts w:hint="eastAsia" w:ascii="宋体" w:hAnsi="宋体" w:cs="宋体"/>
                      <w:color w:val="000000"/>
                      <w:sz w:val="24"/>
                      <w:lang w:val="en-US" w:eastAsia="zh-CN"/>
                    </w:rPr>
                    <w:t>0</w:t>
                  </w:r>
                </w:p>
              </w:tc>
            </w:tr>
            <w:tr w14:paraId="4EC9A980">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A3C7BCF">
                  <w:pPr>
                    <w:widowControl/>
                    <w:jc w:val="center"/>
                    <w:textAlignment w:val="center"/>
                    <w:rPr>
                      <w:rFonts w:ascii="宋体" w:hAnsi="宋体" w:cs="宋体"/>
                      <w:color w:val="000000"/>
                      <w:sz w:val="24"/>
                    </w:rPr>
                  </w:pPr>
                  <w:r>
                    <w:rPr>
                      <w:rFonts w:hint="eastAsia" w:ascii="宋体" w:hAnsi="宋体" w:cs="宋体"/>
                      <w:color w:val="000000"/>
                      <w:kern w:val="0"/>
                      <w:sz w:val="24"/>
                      <w:lang w:bidi="ar"/>
                    </w:rPr>
                    <w:t>年度目标完成情况</w:t>
                  </w:r>
                </w:p>
              </w:tc>
              <w:tc>
                <w:tcPr>
                  <w:tcW w:w="4784" w:type="dxa"/>
                  <w:gridSpan w:val="4"/>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630D7A6">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预期目标</w:t>
                  </w:r>
                </w:p>
              </w:tc>
              <w:tc>
                <w:tcPr>
                  <w:tcW w:w="4786" w:type="dxa"/>
                  <w:gridSpan w:val="4"/>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E813AB5">
                  <w:pPr>
                    <w:widowControl/>
                    <w:jc w:val="center"/>
                    <w:textAlignment w:val="center"/>
                    <w:rPr>
                      <w:rFonts w:ascii="宋体" w:hAnsi="宋体" w:cs="宋体"/>
                      <w:color w:val="000000"/>
                      <w:sz w:val="24"/>
                    </w:rPr>
                  </w:pPr>
                  <w:r>
                    <w:rPr>
                      <w:rFonts w:hint="eastAsia" w:ascii="宋体" w:hAnsi="宋体" w:cs="宋体"/>
                      <w:color w:val="000000"/>
                      <w:kern w:val="0"/>
                      <w:sz w:val="24"/>
                      <w:lang w:bidi="ar"/>
                    </w:rPr>
                    <w:t>实际完成目标</w:t>
                  </w:r>
                </w:p>
              </w:tc>
            </w:tr>
            <w:tr w14:paraId="309C02E8">
              <w:tblPrEx>
                <w:tblCellMar>
                  <w:top w:w="0" w:type="dxa"/>
                  <w:left w:w="0" w:type="dxa"/>
                  <w:bottom w:w="0" w:type="dxa"/>
                  <w:right w:w="0" w:type="dxa"/>
                </w:tblCellMar>
              </w:tblPrEx>
              <w:trPr>
                <w:trHeight w:val="1159"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1CBA70EA">
                  <w:pPr>
                    <w:widowControl/>
                    <w:jc w:val="left"/>
                    <w:rPr>
                      <w:rFonts w:ascii="宋体" w:hAnsi="宋体" w:cs="宋体"/>
                      <w:color w:val="000000"/>
                      <w:sz w:val="24"/>
                    </w:rPr>
                  </w:pPr>
                </w:p>
              </w:tc>
              <w:tc>
                <w:tcPr>
                  <w:tcW w:w="4784" w:type="dxa"/>
                  <w:gridSpan w:val="4"/>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F73D216">
                  <w:pPr>
                    <w:widowControl/>
                    <w:jc w:val="center"/>
                    <w:textAlignment w:val="center"/>
                    <w:rPr>
                      <w:rFonts w:ascii="宋体" w:hAnsi="宋体" w:cs="宋体"/>
                      <w:color w:val="000000"/>
                      <w:sz w:val="24"/>
                    </w:rPr>
                  </w:pPr>
                  <w:r>
                    <w:rPr>
                      <w:rFonts w:hint="eastAsia" w:ascii="宋体" w:hAnsi="宋体" w:cs="宋体"/>
                      <w:color w:val="000000"/>
                      <w:sz w:val="24"/>
                    </w:rPr>
                    <w:t>201</w:t>
                  </w:r>
                  <w:r>
                    <w:rPr>
                      <w:rFonts w:hint="eastAsia" w:ascii="宋体" w:hAnsi="宋体" w:cs="宋体"/>
                      <w:color w:val="000000"/>
                      <w:sz w:val="24"/>
                      <w:lang w:val="en-US" w:eastAsia="zh-CN"/>
                    </w:rPr>
                    <w:t>9</w:t>
                  </w:r>
                  <w:r>
                    <w:rPr>
                      <w:rFonts w:hint="eastAsia" w:ascii="宋体" w:hAnsi="宋体" w:cs="宋体"/>
                      <w:color w:val="000000"/>
                      <w:sz w:val="24"/>
                    </w:rPr>
                    <w:t>年12月底前全面完成</w:t>
                  </w:r>
                  <w:r>
                    <w:rPr>
                      <w:rFonts w:hint="eastAsia" w:ascii="宋体" w:hAnsi="宋体" w:cs="宋体"/>
                      <w:color w:val="000000"/>
                      <w:sz w:val="24"/>
                      <w:lang w:val="en-US" w:eastAsia="zh-CN"/>
                    </w:rPr>
                    <w:t>5</w:t>
                  </w:r>
                  <w:r>
                    <w:rPr>
                      <w:rFonts w:hint="eastAsia" w:ascii="宋体" w:hAnsi="宋体" w:cs="宋体"/>
                      <w:color w:val="000000"/>
                      <w:sz w:val="24"/>
                    </w:rPr>
                    <w:t>个村</w:t>
                  </w:r>
                  <w:r>
                    <w:rPr>
                      <w:rFonts w:hint="eastAsia" w:ascii="宋体" w:hAnsi="宋体" w:cs="宋体"/>
                      <w:color w:val="000000"/>
                      <w:sz w:val="24"/>
                      <w:lang w:val="en-US" w:eastAsia="zh-CN"/>
                    </w:rPr>
                    <w:t>1个</w:t>
                  </w:r>
                  <w:r>
                    <w:rPr>
                      <w:rFonts w:hint="eastAsia" w:ascii="宋体" w:hAnsi="宋体" w:cs="宋体"/>
                      <w:color w:val="000000"/>
                      <w:sz w:val="24"/>
                    </w:rPr>
                    <w:t>社区组织活动场所维护，“八有”设施配备齐全，涉及</w:t>
                  </w:r>
                  <w:r>
                    <w:rPr>
                      <w:rFonts w:hint="eastAsia" w:ascii="宋体" w:hAnsi="宋体" w:cs="宋体"/>
                      <w:color w:val="000000"/>
                      <w:sz w:val="24"/>
                      <w:lang w:val="en-US" w:eastAsia="zh-CN"/>
                    </w:rPr>
                    <w:t>5</w:t>
                  </w:r>
                  <w:r>
                    <w:rPr>
                      <w:rFonts w:hint="eastAsia" w:ascii="宋体" w:hAnsi="宋体" w:cs="宋体"/>
                      <w:color w:val="000000"/>
                      <w:sz w:val="24"/>
                    </w:rPr>
                    <w:t>个村</w:t>
                  </w:r>
                  <w:r>
                    <w:rPr>
                      <w:rFonts w:hint="eastAsia" w:ascii="宋体" w:hAnsi="宋体" w:cs="宋体"/>
                      <w:color w:val="000000"/>
                      <w:sz w:val="24"/>
                      <w:lang w:val="en-US" w:eastAsia="zh-CN"/>
                    </w:rPr>
                    <w:t>1</w:t>
                  </w:r>
                  <w:r>
                    <w:rPr>
                      <w:rFonts w:hint="eastAsia" w:ascii="宋体" w:hAnsi="宋体" w:cs="宋体"/>
                      <w:color w:val="000000"/>
                      <w:sz w:val="24"/>
                      <w:lang w:eastAsia="zh-CN"/>
                    </w:rPr>
                    <w:t>个社区</w:t>
                  </w:r>
                  <w:r>
                    <w:rPr>
                      <w:rFonts w:hint="eastAsia" w:ascii="宋体" w:hAnsi="宋体" w:cs="宋体"/>
                      <w:color w:val="000000"/>
                      <w:sz w:val="24"/>
                    </w:rPr>
                    <w:t>、覆盖</w:t>
                  </w:r>
                  <w:r>
                    <w:rPr>
                      <w:rFonts w:hint="eastAsia" w:ascii="宋体" w:hAnsi="宋体" w:cs="宋体"/>
                      <w:color w:val="000000"/>
                      <w:sz w:val="24"/>
                      <w:lang w:val="en-US" w:eastAsia="zh-CN"/>
                    </w:rPr>
                    <w:t>32</w:t>
                  </w:r>
                  <w:r>
                    <w:rPr>
                      <w:rFonts w:hint="eastAsia" w:ascii="宋体" w:hAnsi="宋体" w:cs="宋体"/>
                      <w:color w:val="000000"/>
                      <w:sz w:val="24"/>
                    </w:rPr>
                    <w:t>个村民小组、群众</w:t>
                  </w:r>
                  <w:r>
                    <w:rPr>
                      <w:rFonts w:hint="eastAsia" w:ascii="宋体" w:hAnsi="宋体" w:cs="宋体"/>
                      <w:color w:val="000000"/>
                      <w:sz w:val="24"/>
                      <w:lang w:val="en-US" w:eastAsia="zh-CN"/>
                    </w:rPr>
                    <w:t>4500余</w:t>
                  </w:r>
                  <w:r>
                    <w:rPr>
                      <w:rFonts w:hint="eastAsia" w:ascii="宋体" w:hAnsi="宋体" w:cs="宋体"/>
                      <w:color w:val="000000"/>
                      <w:sz w:val="24"/>
                    </w:rPr>
                    <w:t>人。完成</w:t>
                  </w:r>
                  <w:r>
                    <w:rPr>
                      <w:rFonts w:hint="eastAsia" w:ascii="宋体" w:hAnsi="宋体" w:cs="宋体"/>
                      <w:color w:val="000000"/>
                      <w:sz w:val="24"/>
                      <w:lang w:val="en-US" w:eastAsia="zh-CN"/>
                    </w:rPr>
                    <w:t>5</w:t>
                  </w:r>
                  <w:r>
                    <w:rPr>
                      <w:rFonts w:hint="eastAsia" w:ascii="宋体" w:hAnsi="宋体" w:cs="宋体"/>
                      <w:color w:val="000000"/>
                      <w:sz w:val="24"/>
                    </w:rPr>
                    <w:t>村</w:t>
                  </w:r>
                  <w:r>
                    <w:rPr>
                      <w:rFonts w:hint="eastAsia" w:ascii="宋体" w:hAnsi="宋体" w:cs="宋体"/>
                      <w:color w:val="000000"/>
                      <w:sz w:val="24"/>
                      <w:lang w:val="en-US" w:eastAsia="zh-CN"/>
                    </w:rPr>
                    <w:t>1社区</w:t>
                  </w:r>
                  <w:r>
                    <w:rPr>
                      <w:rFonts w:hint="eastAsia" w:ascii="宋体" w:hAnsi="宋体" w:cs="宋体"/>
                      <w:color w:val="000000"/>
                      <w:sz w:val="24"/>
                    </w:rPr>
                    <w:t>环境卫生整治等。</w:t>
                  </w:r>
                </w:p>
              </w:tc>
              <w:tc>
                <w:tcPr>
                  <w:tcW w:w="4786" w:type="dxa"/>
                  <w:gridSpan w:val="4"/>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3735AD8">
                  <w:pPr>
                    <w:widowControl/>
                    <w:jc w:val="center"/>
                    <w:textAlignment w:val="center"/>
                    <w:rPr>
                      <w:rFonts w:ascii="宋体" w:hAnsi="宋体" w:cs="宋体"/>
                      <w:color w:val="000000"/>
                      <w:sz w:val="24"/>
                    </w:rPr>
                  </w:pPr>
                  <w:r>
                    <w:rPr>
                      <w:rFonts w:hint="eastAsia" w:ascii="宋体" w:hAnsi="宋体" w:cs="宋体"/>
                      <w:color w:val="000000"/>
                      <w:sz w:val="24"/>
                    </w:rPr>
                    <w:t>201</w:t>
                  </w:r>
                  <w:r>
                    <w:rPr>
                      <w:rFonts w:hint="eastAsia" w:ascii="宋体" w:hAnsi="宋体" w:cs="宋体"/>
                      <w:color w:val="000000"/>
                      <w:sz w:val="24"/>
                      <w:lang w:val="en-US" w:eastAsia="zh-CN"/>
                    </w:rPr>
                    <w:t>9</w:t>
                  </w:r>
                  <w:r>
                    <w:rPr>
                      <w:rFonts w:hint="eastAsia" w:ascii="宋体" w:hAnsi="宋体" w:cs="宋体"/>
                      <w:color w:val="000000"/>
                      <w:sz w:val="24"/>
                    </w:rPr>
                    <w:t>年12月底前全面完成</w:t>
                  </w:r>
                  <w:r>
                    <w:rPr>
                      <w:rFonts w:hint="eastAsia" w:ascii="宋体" w:hAnsi="宋体" w:cs="宋体"/>
                      <w:color w:val="000000"/>
                      <w:sz w:val="24"/>
                      <w:lang w:val="en-US" w:eastAsia="zh-CN"/>
                    </w:rPr>
                    <w:t>5</w:t>
                  </w:r>
                  <w:r>
                    <w:rPr>
                      <w:rFonts w:hint="eastAsia" w:ascii="宋体" w:hAnsi="宋体" w:cs="宋体"/>
                      <w:color w:val="000000"/>
                      <w:sz w:val="24"/>
                    </w:rPr>
                    <w:t>个村</w:t>
                  </w:r>
                  <w:r>
                    <w:rPr>
                      <w:rFonts w:hint="eastAsia" w:ascii="宋体" w:hAnsi="宋体" w:cs="宋体"/>
                      <w:color w:val="000000"/>
                      <w:sz w:val="24"/>
                      <w:lang w:val="en-US" w:eastAsia="zh-CN"/>
                    </w:rPr>
                    <w:t>1个</w:t>
                  </w:r>
                  <w:r>
                    <w:rPr>
                      <w:rFonts w:hint="eastAsia" w:ascii="宋体" w:hAnsi="宋体" w:cs="宋体"/>
                      <w:color w:val="000000"/>
                      <w:sz w:val="24"/>
                    </w:rPr>
                    <w:t>社区组织活动场所维护，“八有”设施配备齐全，涉及</w:t>
                  </w:r>
                  <w:r>
                    <w:rPr>
                      <w:rFonts w:hint="eastAsia" w:ascii="宋体" w:hAnsi="宋体" w:cs="宋体"/>
                      <w:color w:val="000000"/>
                      <w:sz w:val="24"/>
                      <w:lang w:val="en-US" w:eastAsia="zh-CN"/>
                    </w:rPr>
                    <w:t>5</w:t>
                  </w:r>
                  <w:r>
                    <w:rPr>
                      <w:rFonts w:hint="eastAsia" w:ascii="宋体" w:hAnsi="宋体" w:cs="宋体"/>
                      <w:color w:val="000000"/>
                      <w:sz w:val="24"/>
                    </w:rPr>
                    <w:t>个村</w:t>
                  </w:r>
                  <w:r>
                    <w:rPr>
                      <w:rFonts w:hint="eastAsia" w:ascii="宋体" w:hAnsi="宋体" w:cs="宋体"/>
                      <w:color w:val="000000"/>
                      <w:sz w:val="24"/>
                      <w:lang w:val="en-US" w:eastAsia="zh-CN"/>
                    </w:rPr>
                    <w:t>1</w:t>
                  </w:r>
                  <w:r>
                    <w:rPr>
                      <w:rFonts w:hint="eastAsia" w:ascii="宋体" w:hAnsi="宋体" w:cs="宋体"/>
                      <w:color w:val="000000"/>
                      <w:sz w:val="24"/>
                      <w:lang w:eastAsia="zh-CN"/>
                    </w:rPr>
                    <w:t>个社区</w:t>
                  </w:r>
                  <w:r>
                    <w:rPr>
                      <w:rFonts w:hint="eastAsia" w:ascii="宋体" w:hAnsi="宋体" w:cs="宋体"/>
                      <w:color w:val="000000"/>
                      <w:sz w:val="24"/>
                    </w:rPr>
                    <w:t>、覆盖</w:t>
                  </w:r>
                  <w:r>
                    <w:rPr>
                      <w:rFonts w:hint="eastAsia" w:ascii="宋体" w:hAnsi="宋体" w:cs="宋体"/>
                      <w:color w:val="000000"/>
                      <w:sz w:val="24"/>
                      <w:lang w:val="en-US" w:eastAsia="zh-CN"/>
                    </w:rPr>
                    <w:t>32</w:t>
                  </w:r>
                  <w:r>
                    <w:rPr>
                      <w:rFonts w:hint="eastAsia" w:ascii="宋体" w:hAnsi="宋体" w:cs="宋体"/>
                      <w:color w:val="000000"/>
                      <w:sz w:val="24"/>
                    </w:rPr>
                    <w:t>个村民小组、群众</w:t>
                  </w:r>
                  <w:r>
                    <w:rPr>
                      <w:rFonts w:hint="eastAsia" w:ascii="宋体" w:hAnsi="宋体" w:cs="宋体"/>
                      <w:color w:val="000000"/>
                      <w:sz w:val="24"/>
                      <w:lang w:val="en-US" w:eastAsia="zh-CN"/>
                    </w:rPr>
                    <w:t>4500余</w:t>
                  </w:r>
                  <w:r>
                    <w:rPr>
                      <w:rFonts w:hint="eastAsia" w:ascii="宋体" w:hAnsi="宋体" w:cs="宋体"/>
                      <w:color w:val="000000"/>
                      <w:sz w:val="24"/>
                    </w:rPr>
                    <w:t>人。完成</w:t>
                  </w:r>
                  <w:r>
                    <w:rPr>
                      <w:rFonts w:hint="eastAsia" w:ascii="宋体" w:hAnsi="宋体" w:cs="宋体"/>
                      <w:color w:val="000000"/>
                      <w:sz w:val="24"/>
                      <w:lang w:val="en-US" w:eastAsia="zh-CN"/>
                    </w:rPr>
                    <w:t>5</w:t>
                  </w:r>
                  <w:r>
                    <w:rPr>
                      <w:rFonts w:hint="eastAsia" w:ascii="宋体" w:hAnsi="宋体" w:cs="宋体"/>
                      <w:color w:val="000000"/>
                      <w:sz w:val="24"/>
                    </w:rPr>
                    <w:t>村</w:t>
                  </w:r>
                  <w:r>
                    <w:rPr>
                      <w:rFonts w:hint="eastAsia" w:ascii="宋体" w:hAnsi="宋体" w:cs="宋体"/>
                      <w:color w:val="000000"/>
                      <w:sz w:val="24"/>
                      <w:lang w:val="en-US" w:eastAsia="zh-CN"/>
                    </w:rPr>
                    <w:t>1社区</w:t>
                  </w:r>
                  <w:r>
                    <w:rPr>
                      <w:rFonts w:hint="eastAsia" w:ascii="宋体" w:hAnsi="宋体" w:cs="宋体"/>
                      <w:color w:val="000000"/>
                      <w:sz w:val="24"/>
                    </w:rPr>
                    <w:t>环境卫生整治等。</w:t>
                  </w:r>
                </w:p>
              </w:tc>
            </w:tr>
            <w:tr w14:paraId="611F470F">
              <w:tblPrEx>
                <w:tblCellMar>
                  <w:top w:w="0" w:type="dxa"/>
                  <w:left w:w="0" w:type="dxa"/>
                  <w:bottom w:w="0" w:type="dxa"/>
                  <w:right w:w="0" w:type="dxa"/>
                </w:tblCellMar>
              </w:tblPrEx>
              <w:trPr>
                <w:trHeight w:val="1042"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A5EC3E8">
                  <w:pPr>
                    <w:widowControl/>
                    <w:jc w:val="center"/>
                    <w:textAlignment w:val="center"/>
                    <w:rPr>
                      <w:rFonts w:ascii="宋体" w:hAnsi="宋体" w:cs="宋体"/>
                      <w:color w:val="000000"/>
                      <w:sz w:val="24"/>
                    </w:rPr>
                  </w:pPr>
                  <w:r>
                    <w:rPr>
                      <w:rFonts w:hint="eastAsia" w:ascii="宋体" w:hAnsi="宋体" w:cs="宋体"/>
                      <w:color w:val="000000"/>
                      <w:sz w:val="24"/>
                    </w:rPr>
                    <w:t>绩效指标完成情况</w:t>
                  </w: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08A5D9B">
                  <w:pPr>
                    <w:widowControl/>
                    <w:jc w:val="center"/>
                    <w:textAlignment w:val="center"/>
                    <w:rPr>
                      <w:rFonts w:ascii="宋体" w:hAnsi="宋体" w:cs="宋体"/>
                      <w:color w:val="000000"/>
                      <w:sz w:val="24"/>
                    </w:rPr>
                  </w:pPr>
                  <w:r>
                    <w:rPr>
                      <w:rFonts w:hint="eastAsia" w:ascii="宋体" w:hAnsi="宋体" w:cs="宋体"/>
                      <w:color w:val="000000"/>
                      <w:kern w:val="0"/>
                      <w:sz w:val="24"/>
                      <w:lang w:bidi="ar"/>
                    </w:rPr>
                    <w:t>一级指标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01502B8">
                  <w:pPr>
                    <w:widowControl/>
                    <w:jc w:val="center"/>
                    <w:textAlignment w:val="center"/>
                    <w:rPr>
                      <w:rFonts w:ascii="宋体" w:hAnsi="宋体" w:cs="宋体"/>
                      <w:color w:val="000000"/>
                      <w:sz w:val="24"/>
                    </w:rPr>
                  </w:pPr>
                  <w:r>
                    <w:rPr>
                      <w:rFonts w:hint="eastAsia" w:ascii="宋体" w:hAnsi="宋体" w:cs="宋体"/>
                      <w:color w:val="000000"/>
                      <w:kern w:val="0"/>
                      <w:sz w:val="24"/>
                      <w:lang w:bidi="ar"/>
                    </w:rPr>
                    <w:t>二级指标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38C62EF">
                  <w:pPr>
                    <w:widowControl/>
                    <w:jc w:val="center"/>
                    <w:textAlignment w:val="center"/>
                    <w:rPr>
                      <w:rFonts w:ascii="宋体" w:hAnsi="宋体" w:cs="宋体"/>
                      <w:color w:val="000000"/>
                      <w:sz w:val="24"/>
                    </w:rPr>
                  </w:pPr>
                  <w:r>
                    <w:rPr>
                      <w:rFonts w:hint="eastAsia" w:ascii="宋体" w:hAnsi="宋体" w:cs="宋体"/>
                      <w:color w:val="000000"/>
                      <w:kern w:val="0"/>
                      <w:sz w:val="24"/>
                      <w:lang w:bidi="ar"/>
                    </w:rPr>
                    <w:t>三级指标</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7EE2258">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预期指标值(包含数字及文字描述)</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A253D0C">
                  <w:pPr>
                    <w:widowControl/>
                    <w:jc w:val="center"/>
                    <w:textAlignment w:val="center"/>
                    <w:rPr>
                      <w:rFonts w:ascii="宋体" w:hAnsi="宋体" w:cs="宋体"/>
                      <w:color w:val="000000"/>
                      <w:sz w:val="24"/>
                    </w:rPr>
                  </w:pPr>
                  <w:r>
                    <w:rPr>
                      <w:rFonts w:hint="eastAsia" w:ascii="宋体" w:hAnsi="宋体" w:cs="宋体"/>
                      <w:color w:val="000000"/>
                      <w:kern w:val="0"/>
                      <w:sz w:val="24"/>
                      <w:lang w:bidi="ar"/>
                    </w:rPr>
                    <w:t>实际完成指标值(包含数字及文字描述)</w:t>
                  </w:r>
                </w:p>
              </w:tc>
            </w:tr>
            <w:tr w14:paraId="3F542E4E">
              <w:tblPrEx>
                <w:tblCellMar>
                  <w:top w:w="0" w:type="dxa"/>
                  <w:left w:w="0" w:type="dxa"/>
                  <w:bottom w:w="0" w:type="dxa"/>
                  <w:right w:w="0" w:type="dxa"/>
                </w:tblCellMar>
              </w:tblPrEx>
              <w:trPr>
                <w:trHeight w:val="558"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43D9A6B6">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36AD76D">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CAC7F0B">
                  <w:pPr>
                    <w:widowControl/>
                    <w:jc w:val="center"/>
                    <w:textAlignment w:val="center"/>
                    <w:rPr>
                      <w:rFonts w:ascii="宋体" w:hAnsi="宋体" w:cs="宋体"/>
                      <w:color w:val="000000"/>
                      <w:sz w:val="24"/>
                    </w:rPr>
                  </w:pPr>
                  <w:r>
                    <w:rPr>
                      <w:rFonts w:hint="eastAsia" w:ascii="宋体" w:hAnsi="宋体" w:cs="宋体"/>
                      <w:color w:val="000000"/>
                      <w:sz w:val="24"/>
                    </w:rPr>
                    <w:t>数量指标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8925322">
                  <w:pPr>
                    <w:widowControl/>
                    <w:jc w:val="left"/>
                    <w:textAlignment w:val="center"/>
                    <w:rPr>
                      <w:rFonts w:ascii="宋体" w:hAnsi="宋体" w:cs="宋体"/>
                      <w:color w:val="000000"/>
                      <w:sz w:val="24"/>
                    </w:rPr>
                  </w:pPr>
                  <w:r>
                    <w:rPr>
                      <w:rFonts w:hint="eastAsia" w:ascii="宋体" w:hAnsi="宋体" w:cs="宋体"/>
                      <w:color w:val="000000"/>
                      <w:sz w:val="24"/>
                    </w:rPr>
                    <w:t>村组织活动场所维护个数</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0008609">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5个</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2B91E15">
                  <w:pPr>
                    <w:widowControl/>
                    <w:jc w:val="center"/>
                    <w:textAlignment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5个</w:t>
                  </w:r>
                </w:p>
              </w:tc>
            </w:tr>
            <w:tr w14:paraId="1C2C052D">
              <w:tblPrEx>
                <w:tblCellMar>
                  <w:top w:w="0" w:type="dxa"/>
                  <w:left w:w="0" w:type="dxa"/>
                  <w:bottom w:w="0" w:type="dxa"/>
                  <w:right w:w="0" w:type="dxa"/>
                </w:tblCellMar>
              </w:tblPrEx>
              <w:trPr>
                <w:trHeight w:val="525"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334579F3">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B8B16F6">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D6E0017">
                  <w:pPr>
                    <w:widowControl/>
                    <w:jc w:val="center"/>
                    <w:textAlignment w:val="center"/>
                    <w:rPr>
                      <w:rFonts w:ascii="宋体" w:hAnsi="宋体" w:cs="宋体"/>
                      <w:color w:val="000000"/>
                      <w:sz w:val="24"/>
                    </w:rPr>
                  </w:pPr>
                  <w:r>
                    <w:rPr>
                      <w:rFonts w:hint="eastAsia" w:ascii="宋体" w:hAnsi="宋体" w:cs="宋体"/>
                      <w:color w:val="000000"/>
                      <w:sz w:val="24"/>
                    </w:rPr>
                    <w:t>数量指标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502E43D">
                  <w:pPr>
                    <w:widowControl/>
                    <w:jc w:val="center"/>
                    <w:textAlignment w:val="center"/>
                    <w:rPr>
                      <w:rFonts w:ascii="宋体" w:hAnsi="宋体" w:cs="宋体"/>
                      <w:color w:val="000000"/>
                      <w:sz w:val="24"/>
                    </w:rPr>
                  </w:pPr>
                  <w:r>
                    <w:rPr>
                      <w:rFonts w:hint="eastAsia" w:ascii="宋体" w:hAnsi="宋体" w:cs="宋体"/>
                      <w:color w:val="000000"/>
                      <w:sz w:val="24"/>
                    </w:rPr>
                    <w:t>村组织活动开展次数</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3B42F6D">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25</w:t>
                  </w:r>
                  <w:r>
                    <w:rPr>
                      <w:rFonts w:hint="eastAsia" w:ascii="宋体" w:hAnsi="宋体" w:cs="宋体"/>
                      <w:color w:val="000000"/>
                      <w:sz w:val="24"/>
                    </w:rPr>
                    <w:t>次</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D9272A0">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25</w:t>
                  </w:r>
                  <w:r>
                    <w:rPr>
                      <w:rFonts w:hint="eastAsia" w:ascii="宋体" w:hAnsi="宋体" w:cs="宋体"/>
                      <w:color w:val="000000"/>
                      <w:sz w:val="24"/>
                    </w:rPr>
                    <w:t>次</w:t>
                  </w:r>
                </w:p>
              </w:tc>
            </w:tr>
            <w:tr w14:paraId="6BF4F8C7">
              <w:tblPrEx>
                <w:tblCellMar>
                  <w:top w:w="0" w:type="dxa"/>
                  <w:left w:w="0" w:type="dxa"/>
                  <w:bottom w:w="0" w:type="dxa"/>
                  <w:right w:w="0" w:type="dxa"/>
                </w:tblCellMar>
              </w:tblPrEx>
              <w:trPr>
                <w:trHeight w:val="560"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45BFC408">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AEBD6AA">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D9783B9">
                  <w:pPr>
                    <w:widowControl/>
                    <w:jc w:val="center"/>
                    <w:textAlignment w:val="center"/>
                    <w:rPr>
                      <w:rFonts w:ascii="宋体" w:hAnsi="宋体" w:cs="宋体"/>
                      <w:color w:val="000000"/>
                      <w:sz w:val="24"/>
                    </w:rPr>
                  </w:pPr>
                  <w:r>
                    <w:rPr>
                      <w:rFonts w:hint="eastAsia" w:ascii="宋体" w:hAnsi="宋体" w:cs="宋体"/>
                      <w:color w:val="000000"/>
                      <w:sz w:val="24"/>
                    </w:rPr>
                    <w:t>数量指标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2036AF9">
                  <w:pPr>
                    <w:widowControl/>
                    <w:jc w:val="center"/>
                    <w:textAlignment w:val="center"/>
                    <w:rPr>
                      <w:rFonts w:ascii="宋体" w:hAnsi="宋体" w:cs="宋体"/>
                      <w:color w:val="000000"/>
                      <w:sz w:val="24"/>
                    </w:rPr>
                  </w:pPr>
                  <w:r>
                    <w:rPr>
                      <w:rFonts w:hint="eastAsia" w:ascii="宋体" w:hAnsi="宋体" w:cs="宋体"/>
                      <w:color w:val="000000"/>
                      <w:sz w:val="24"/>
                    </w:rPr>
                    <w:t>垃圾清运次数</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F934AB0">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780</w:t>
                  </w:r>
                  <w:r>
                    <w:rPr>
                      <w:rFonts w:hint="eastAsia" w:ascii="宋体" w:hAnsi="宋体" w:cs="宋体"/>
                      <w:color w:val="000000"/>
                      <w:sz w:val="24"/>
                    </w:rPr>
                    <w:t>次</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2A864A0">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780</w:t>
                  </w:r>
                  <w:r>
                    <w:rPr>
                      <w:rFonts w:hint="eastAsia" w:ascii="宋体" w:hAnsi="宋体" w:cs="宋体"/>
                      <w:color w:val="000000"/>
                      <w:sz w:val="24"/>
                    </w:rPr>
                    <w:t>次</w:t>
                  </w:r>
                </w:p>
              </w:tc>
            </w:tr>
            <w:tr w14:paraId="26D8F95D">
              <w:tblPrEx>
                <w:tblCellMar>
                  <w:top w:w="0" w:type="dxa"/>
                  <w:left w:w="0" w:type="dxa"/>
                  <w:bottom w:w="0" w:type="dxa"/>
                  <w:right w:w="0" w:type="dxa"/>
                </w:tblCellMar>
              </w:tblPrEx>
              <w:trPr>
                <w:trHeight w:val="543"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40A58A3B">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2F14168">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项目完成指标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E269372">
                  <w:pPr>
                    <w:widowControl/>
                    <w:jc w:val="center"/>
                    <w:textAlignment w:val="center"/>
                    <w:rPr>
                      <w:rFonts w:ascii="宋体" w:hAnsi="宋体" w:cs="宋体"/>
                      <w:color w:val="000000"/>
                      <w:sz w:val="24"/>
                    </w:rPr>
                  </w:pPr>
                  <w:r>
                    <w:rPr>
                      <w:rFonts w:hint="eastAsia" w:ascii="宋体" w:hAnsi="宋体" w:cs="宋体"/>
                      <w:color w:val="000000"/>
                      <w:sz w:val="24"/>
                    </w:rPr>
                    <w:t>质量指标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D97F36F">
                  <w:pPr>
                    <w:widowControl/>
                    <w:jc w:val="center"/>
                    <w:textAlignment w:val="center"/>
                    <w:rPr>
                      <w:rFonts w:ascii="宋体" w:hAnsi="宋体" w:cs="宋体"/>
                      <w:color w:val="000000"/>
                      <w:sz w:val="24"/>
                    </w:rPr>
                  </w:pPr>
                  <w:r>
                    <w:rPr>
                      <w:rFonts w:hint="eastAsia" w:ascii="宋体" w:hAnsi="宋体" w:cs="宋体"/>
                      <w:color w:val="000000"/>
                      <w:sz w:val="24"/>
                    </w:rPr>
                    <w:t>村容村貌、基础设施配备率</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6BE4A0B">
                  <w:pPr>
                    <w:widowControl/>
                    <w:jc w:val="center"/>
                    <w:textAlignment w:val="center"/>
                    <w:rPr>
                      <w:rFonts w:ascii="宋体" w:hAnsi="宋体" w:cs="宋体"/>
                      <w:color w:val="000000"/>
                      <w:sz w:val="24"/>
                    </w:rPr>
                  </w:pPr>
                  <w:r>
                    <w:rPr>
                      <w:rFonts w:hint="eastAsia" w:ascii="宋体" w:hAnsi="宋体" w:cs="宋体"/>
                      <w:color w:val="000000"/>
                      <w:sz w:val="24"/>
                    </w:rPr>
                    <w:t>100%</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77FB738">
                  <w:pPr>
                    <w:widowControl/>
                    <w:jc w:val="center"/>
                    <w:textAlignment w:val="center"/>
                    <w:rPr>
                      <w:rFonts w:ascii="宋体" w:hAnsi="宋体" w:cs="宋体"/>
                      <w:color w:val="000000"/>
                      <w:sz w:val="24"/>
                    </w:rPr>
                  </w:pPr>
                  <w:r>
                    <w:rPr>
                      <w:rFonts w:hint="eastAsia" w:ascii="宋体" w:hAnsi="宋体" w:cs="宋体"/>
                      <w:color w:val="000000"/>
                      <w:sz w:val="24"/>
                    </w:rPr>
                    <w:t>100%</w:t>
                  </w:r>
                </w:p>
              </w:tc>
            </w:tr>
            <w:tr w14:paraId="06FB2B2D">
              <w:tblPrEx>
                <w:tblCellMar>
                  <w:top w:w="0" w:type="dxa"/>
                  <w:left w:w="0" w:type="dxa"/>
                  <w:bottom w:w="0" w:type="dxa"/>
                  <w:right w:w="0" w:type="dxa"/>
                </w:tblCellMar>
              </w:tblPrEx>
              <w:trPr>
                <w:trHeight w:val="526"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4FD7E443">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47C8258">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F1BEDFD">
                  <w:pPr>
                    <w:widowControl/>
                    <w:jc w:val="center"/>
                    <w:textAlignment w:val="center"/>
                    <w:rPr>
                      <w:rFonts w:ascii="宋体" w:hAnsi="宋体" w:cs="宋体"/>
                      <w:color w:val="000000"/>
                      <w:sz w:val="24"/>
                    </w:rPr>
                  </w:pPr>
                  <w:r>
                    <w:rPr>
                      <w:rFonts w:hint="eastAsia" w:ascii="宋体" w:hAnsi="宋体" w:cs="宋体"/>
                      <w:color w:val="000000"/>
                      <w:sz w:val="24"/>
                    </w:rPr>
                    <w:t>质量指标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0577C66">
                  <w:pPr>
                    <w:widowControl/>
                    <w:jc w:val="center"/>
                    <w:textAlignment w:val="center"/>
                    <w:rPr>
                      <w:rFonts w:ascii="宋体" w:hAnsi="宋体" w:cs="宋体"/>
                      <w:color w:val="000000"/>
                      <w:sz w:val="24"/>
                    </w:rPr>
                  </w:pPr>
                  <w:r>
                    <w:rPr>
                      <w:rFonts w:hint="eastAsia" w:ascii="宋体" w:hAnsi="宋体" w:cs="宋体"/>
                      <w:color w:val="000000"/>
                      <w:sz w:val="24"/>
                    </w:rPr>
                    <w:t>资金使用合理合规率</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A3468BD">
                  <w:pPr>
                    <w:widowControl/>
                    <w:jc w:val="center"/>
                    <w:textAlignment w:val="center"/>
                    <w:rPr>
                      <w:rFonts w:ascii="宋体" w:hAnsi="宋体" w:cs="宋体"/>
                      <w:color w:val="000000"/>
                      <w:sz w:val="24"/>
                    </w:rPr>
                  </w:pPr>
                  <w:r>
                    <w:rPr>
                      <w:rFonts w:hint="eastAsia" w:ascii="宋体" w:hAnsi="宋体" w:cs="宋体"/>
                      <w:color w:val="000000"/>
                      <w:sz w:val="24"/>
                    </w:rPr>
                    <w:t>100%</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48D4B3C">
                  <w:pPr>
                    <w:widowControl/>
                    <w:jc w:val="center"/>
                    <w:textAlignment w:val="center"/>
                    <w:rPr>
                      <w:rFonts w:ascii="宋体" w:hAnsi="宋体" w:cs="宋体"/>
                      <w:color w:val="000000"/>
                      <w:sz w:val="24"/>
                    </w:rPr>
                  </w:pPr>
                  <w:r>
                    <w:rPr>
                      <w:rFonts w:hint="eastAsia" w:ascii="宋体" w:hAnsi="宋体" w:cs="宋体"/>
                      <w:color w:val="000000"/>
                      <w:sz w:val="24"/>
                    </w:rPr>
                    <w:t>100%</w:t>
                  </w:r>
                </w:p>
              </w:tc>
            </w:tr>
            <w:tr w14:paraId="7C2C1CEB">
              <w:tblPrEx>
                <w:tblCellMar>
                  <w:top w:w="0" w:type="dxa"/>
                  <w:left w:w="0" w:type="dxa"/>
                  <w:bottom w:w="0" w:type="dxa"/>
                  <w:right w:w="0" w:type="dxa"/>
                </w:tblCellMar>
              </w:tblPrEx>
              <w:trPr>
                <w:trHeight w:val="565"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100F6B0F">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44BB8E0">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591306A">
                  <w:pPr>
                    <w:widowControl/>
                    <w:jc w:val="center"/>
                    <w:textAlignment w:val="center"/>
                    <w:rPr>
                      <w:rFonts w:ascii="宋体" w:hAnsi="宋体" w:cs="宋体"/>
                      <w:color w:val="000000"/>
                      <w:sz w:val="24"/>
                    </w:rPr>
                  </w:pPr>
                  <w:r>
                    <w:rPr>
                      <w:rFonts w:hint="eastAsia" w:ascii="宋体" w:hAnsi="宋体" w:cs="宋体"/>
                      <w:color w:val="000000"/>
                      <w:sz w:val="24"/>
                    </w:rPr>
                    <w:t>质量指标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A4ABF46">
                  <w:pPr>
                    <w:widowControl/>
                    <w:jc w:val="center"/>
                    <w:textAlignment w:val="center"/>
                    <w:rPr>
                      <w:rFonts w:ascii="宋体" w:hAnsi="宋体" w:cs="宋体"/>
                      <w:color w:val="000000"/>
                      <w:sz w:val="24"/>
                    </w:rPr>
                  </w:pPr>
                  <w:r>
                    <w:rPr>
                      <w:rFonts w:hint="eastAsia" w:ascii="宋体" w:hAnsi="宋体" w:cs="宋体"/>
                      <w:color w:val="000000"/>
                      <w:sz w:val="24"/>
                    </w:rPr>
                    <w:t>绩效评价得分</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53C810C">
                  <w:pPr>
                    <w:widowControl/>
                    <w:jc w:val="center"/>
                    <w:textAlignment w:val="center"/>
                    <w:rPr>
                      <w:rFonts w:ascii="宋体" w:hAnsi="宋体" w:cs="宋体"/>
                      <w:color w:val="000000"/>
                      <w:sz w:val="24"/>
                    </w:rPr>
                  </w:pPr>
                  <w:r>
                    <w:rPr>
                      <w:rFonts w:hint="eastAsia" w:ascii="宋体" w:hAnsi="宋体" w:cs="宋体"/>
                      <w:color w:val="000000"/>
                      <w:sz w:val="24"/>
                    </w:rPr>
                    <w:t>≥95分</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021D4D2">
                  <w:pPr>
                    <w:widowControl/>
                    <w:jc w:val="center"/>
                    <w:textAlignment w:val="center"/>
                    <w:rPr>
                      <w:rFonts w:ascii="宋体" w:hAnsi="宋体" w:cs="宋体"/>
                      <w:color w:val="000000"/>
                      <w:sz w:val="24"/>
                    </w:rPr>
                  </w:pPr>
                  <w:r>
                    <w:rPr>
                      <w:rFonts w:hint="eastAsia" w:ascii="宋体" w:hAnsi="宋体" w:cs="宋体"/>
                      <w:color w:val="000000"/>
                      <w:sz w:val="24"/>
                    </w:rPr>
                    <w:t>≥95分</w:t>
                  </w:r>
                </w:p>
              </w:tc>
            </w:tr>
            <w:tr w14:paraId="70BD870F">
              <w:tblPrEx>
                <w:tblCellMar>
                  <w:top w:w="0" w:type="dxa"/>
                  <w:left w:w="0" w:type="dxa"/>
                  <w:bottom w:w="0" w:type="dxa"/>
                  <w:right w:w="0" w:type="dxa"/>
                </w:tblCellMar>
              </w:tblPrEx>
              <w:trPr>
                <w:trHeight w:val="68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125AE5AA">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F33E56B">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B383EF0">
                  <w:pPr>
                    <w:widowControl/>
                    <w:jc w:val="center"/>
                    <w:textAlignment w:val="center"/>
                    <w:rPr>
                      <w:rFonts w:ascii="宋体" w:hAnsi="宋体" w:cs="宋体"/>
                      <w:color w:val="000000"/>
                      <w:sz w:val="24"/>
                    </w:rPr>
                  </w:pPr>
                  <w:r>
                    <w:rPr>
                      <w:rFonts w:hint="eastAsia" w:ascii="宋体" w:hAnsi="宋体" w:cs="宋体"/>
                      <w:color w:val="000000"/>
                      <w:sz w:val="24"/>
                    </w:rPr>
                    <w:t>时效指标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1839351">
                  <w:pPr>
                    <w:widowControl/>
                    <w:jc w:val="center"/>
                    <w:textAlignment w:val="center"/>
                    <w:rPr>
                      <w:rFonts w:ascii="宋体" w:hAnsi="宋体" w:cs="宋体"/>
                      <w:color w:val="000000"/>
                      <w:sz w:val="24"/>
                    </w:rPr>
                  </w:pPr>
                  <w:r>
                    <w:rPr>
                      <w:rFonts w:hint="eastAsia" w:ascii="宋体" w:hAnsi="宋体" w:cs="宋体"/>
                      <w:color w:val="000000"/>
                      <w:sz w:val="24"/>
                    </w:rPr>
                    <w:t>完成及时率</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AC535F2">
                  <w:pPr>
                    <w:widowControl/>
                    <w:jc w:val="center"/>
                    <w:textAlignment w:val="center"/>
                    <w:rPr>
                      <w:rFonts w:ascii="宋体" w:hAnsi="宋体" w:cs="宋体"/>
                      <w:color w:val="000000"/>
                      <w:sz w:val="24"/>
                    </w:rPr>
                  </w:pPr>
                  <w:r>
                    <w:rPr>
                      <w:rFonts w:hint="eastAsia" w:ascii="宋体" w:hAnsi="宋体" w:cs="宋体"/>
                      <w:color w:val="000000"/>
                      <w:sz w:val="24"/>
                    </w:rPr>
                    <w:t>100%</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C9504FE">
                  <w:pPr>
                    <w:widowControl/>
                    <w:jc w:val="center"/>
                    <w:textAlignment w:val="center"/>
                    <w:rPr>
                      <w:rFonts w:ascii="宋体" w:hAnsi="宋体" w:cs="宋体"/>
                      <w:color w:val="000000"/>
                      <w:sz w:val="24"/>
                    </w:rPr>
                  </w:pPr>
                  <w:r>
                    <w:rPr>
                      <w:rFonts w:hint="eastAsia" w:ascii="宋体" w:hAnsi="宋体" w:cs="宋体"/>
                      <w:color w:val="000000"/>
                      <w:sz w:val="24"/>
                    </w:rPr>
                    <w:t>100%</w:t>
                  </w:r>
                </w:p>
              </w:tc>
            </w:tr>
            <w:tr w14:paraId="249F78B1">
              <w:tblPrEx>
                <w:tblCellMar>
                  <w:top w:w="0" w:type="dxa"/>
                  <w:left w:w="0" w:type="dxa"/>
                  <w:bottom w:w="0" w:type="dxa"/>
                  <w:right w:w="0" w:type="dxa"/>
                </w:tblCellMar>
              </w:tblPrEx>
              <w:trPr>
                <w:trHeight w:val="698"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79FD8771">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BD4FFD6">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1A32904">
                  <w:pPr>
                    <w:widowControl/>
                    <w:jc w:val="center"/>
                    <w:textAlignment w:val="center"/>
                    <w:rPr>
                      <w:rFonts w:ascii="宋体" w:hAnsi="宋体" w:cs="宋体"/>
                      <w:color w:val="000000"/>
                      <w:sz w:val="24"/>
                    </w:rPr>
                  </w:pPr>
                  <w:r>
                    <w:rPr>
                      <w:rFonts w:hint="eastAsia" w:ascii="宋体" w:hAnsi="宋体" w:cs="宋体"/>
                      <w:color w:val="000000"/>
                      <w:sz w:val="24"/>
                    </w:rPr>
                    <w:t>成本指标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6F5749F">
                  <w:pPr>
                    <w:widowControl/>
                    <w:jc w:val="center"/>
                    <w:textAlignment w:val="center"/>
                    <w:rPr>
                      <w:rFonts w:ascii="宋体" w:hAnsi="宋体" w:cs="宋体"/>
                      <w:color w:val="000000"/>
                      <w:sz w:val="24"/>
                    </w:rPr>
                  </w:pPr>
                  <w:r>
                    <w:rPr>
                      <w:rFonts w:hint="eastAsia" w:ascii="宋体" w:hAnsi="宋体" w:cs="宋体"/>
                      <w:color w:val="000000"/>
                      <w:sz w:val="24"/>
                    </w:rPr>
                    <w:t>每个村活动场所维护资金概算</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E8E2BAC">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5</w:t>
                  </w:r>
                  <w:r>
                    <w:rPr>
                      <w:rFonts w:hint="eastAsia" w:ascii="宋体" w:hAnsi="宋体" w:cs="宋体"/>
                      <w:color w:val="000000"/>
                      <w:sz w:val="24"/>
                    </w:rPr>
                    <w:t>万元</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EDC6DAC">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5</w:t>
                  </w:r>
                  <w:r>
                    <w:rPr>
                      <w:rFonts w:hint="eastAsia" w:ascii="宋体" w:hAnsi="宋体" w:cs="宋体"/>
                      <w:color w:val="000000"/>
                      <w:sz w:val="24"/>
                    </w:rPr>
                    <w:t>万元</w:t>
                  </w:r>
                </w:p>
              </w:tc>
            </w:tr>
            <w:tr w14:paraId="212EA357">
              <w:tblPrEx>
                <w:tblCellMar>
                  <w:top w:w="0" w:type="dxa"/>
                  <w:left w:w="0" w:type="dxa"/>
                  <w:bottom w:w="0" w:type="dxa"/>
                  <w:right w:w="0" w:type="dxa"/>
                </w:tblCellMar>
              </w:tblPrEx>
              <w:trPr>
                <w:trHeight w:val="728"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14:paraId="3B8C9E68">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41835F3">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项目完成指标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5BDB648">
                  <w:pPr>
                    <w:widowControl/>
                    <w:jc w:val="center"/>
                    <w:textAlignment w:val="center"/>
                    <w:rPr>
                      <w:rFonts w:ascii="宋体" w:hAnsi="宋体" w:cs="宋体"/>
                      <w:color w:val="000000"/>
                      <w:sz w:val="24"/>
                    </w:rPr>
                  </w:pPr>
                  <w:r>
                    <w:rPr>
                      <w:rFonts w:hint="eastAsia" w:ascii="宋体" w:hAnsi="宋体" w:cs="宋体"/>
                      <w:color w:val="000000"/>
                      <w:sz w:val="24"/>
                    </w:rPr>
                    <w:t>成本指标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602BBC7">
                  <w:pPr>
                    <w:widowControl/>
                    <w:jc w:val="center"/>
                    <w:textAlignment w:val="center"/>
                    <w:rPr>
                      <w:rFonts w:ascii="宋体" w:hAnsi="宋体" w:cs="宋体"/>
                      <w:color w:val="000000"/>
                      <w:sz w:val="24"/>
                    </w:rPr>
                  </w:pPr>
                  <w:r>
                    <w:rPr>
                      <w:rFonts w:hint="eastAsia" w:ascii="宋体" w:hAnsi="宋体" w:cs="宋体"/>
                      <w:color w:val="000000"/>
                      <w:sz w:val="24"/>
                    </w:rPr>
                    <w:t>其他（文化活动）</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583AF4B">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0</w:t>
                  </w:r>
                  <w:r>
                    <w:rPr>
                      <w:rFonts w:hint="eastAsia" w:ascii="宋体" w:hAnsi="宋体" w:cs="宋体"/>
                      <w:color w:val="000000"/>
                      <w:sz w:val="24"/>
                    </w:rPr>
                    <w:t>万元</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6B5A994">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0</w:t>
                  </w:r>
                  <w:r>
                    <w:rPr>
                      <w:rFonts w:hint="eastAsia" w:ascii="宋体" w:hAnsi="宋体" w:cs="宋体"/>
                      <w:color w:val="000000"/>
                      <w:sz w:val="24"/>
                    </w:rPr>
                    <w:t>万元</w:t>
                  </w:r>
                </w:p>
              </w:tc>
            </w:tr>
            <w:tr w14:paraId="1B78DF2C">
              <w:tblPrEx>
                <w:tblCellMar>
                  <w:top w:w="0" w:type="dxa"/>
                  <w:left w:w="0" w:type="dxa"/>
                  <w:bottom w:w="0" w:type="dxa"/>
                  <w:right w:w="0" w:type="dxa"/>
                </w:tblCellMar>
              </w:tblPrEx>
              <w:trPr>
                <w:trHeight w:val="638" w:hRule="atLeast"/>
              </w:trPr>
              <w:tc>
                <w:tcPr>
                  <w:tcW w:w="390" w:type="dxa"/>
                  <w:vMerge w:val="restart"/>
                  <w:tcBorders>
                    <w:top w:val="single" w:color="000000" w:sz="4" w:space="0"/>
                    <w:left w:val="single" w:color="000000" w:sz="4" w:space="0"/>
                    <w:right w:val="single" w:color="000000" w:sz="4" w:space="0"/>
                  </w:tcBorders>
                  <w:vAlign w:val="center"/>
                </w:tcPr>
                <w:p w14:paraId="5620B2B7">
                  <w:pPr>
                    <w:widowControl/>
                    <w:jc w:val="center"/>
                    <w:rPr>
                      <w:rFonts w:hint="eastAsia" w:ascii="宋体" w:hAnsi="宋体" w:eastAsia="宋体" w:cs="宋体"/>
                      <w:color w:val="000000"/>
                      <w:sz w:val="24"/>
                      <w:lang w:eastAsia="zh-CN"/>
                    </w:rPr>
                  </w:pPr>
                  <w:r>
                    <w:rPr>
                      <w:rFonts w:hint="eastAsia" w:ascii="宋体" w:hAnsi="宋体" w:cs="宋体"/>
                      <w:color w:val="000000"/>
                      <w:sz w:val="24"/>
                    </w:rPr>
                    <w:t>绩效指标完成情</w:t>
                  </w:r>
                  <w:r>
                    <w:rPr>
                      <w:rFonts w:hint="eastAsia" w:ascii="宋体" w:hAnsi="宋体" w:cs="宋体"/>
                      <w:color w:val="000000"/>
                      <w:sz w:val="24"/>
                      <w:lang w:eastAsia="zh-CN"/>
                    </w:rPr>
                    <w:t>况</w:t>
                  </w: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FDCB0A4">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FDF0808">
                  <w:pPr>
                    <w:widowControl/>
                    <w:jc w:val="center"/>
                    <w:textAlignment w:val="center"/>
                    <w:rPr>
                      <w:rFonts w:ascii="宋体" w:hAnsi="宋体" w:cs="宋体"/>
                      <w:color w:val="000000"/>
                      <w:sz w:val="24"/>
                    </w:rPr>
                  </w:pPr>
                  <w:r>
                    <w:rPr>
                      <w:rFonts w:hint="eastAsia" w:ascii="宋体" w:hAnsi="宋体" w:cs="宋体"/>
                      <w:color w:val="000000"/>
                      <w:sz w:val="24"/>
                    </w:rPr>
                    <w:t>社会效益指标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1210EBC">
                  <w:pPr>
                    <w:widowControl/>
                    <w:jc w:val="center"/>
                    <w:textAlignment w:val="center"/>
                    <w:rPr>
                      <w:rFonts w:ascii="宋体" w:hAnsi="宋体" w:cs="宋体"/>
                      <w:color w:val="000000"/>
                      <w:sz w:val="24"/>
                    </w:rPr>
                  </w:pPr>
                  <w:r>
                    <w:rPr>
                      <w:rFonts w:hint="eastAsia" w:ascii="宋体" w:hAnsi="宋体" w:cs="宋体"/>
                      <w:color w:val="000000"/>
                      <w:sz w:val="24"/>
                    </w:rPr>
                    <w:t>覆盖村小组数</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E4A8C43">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32</w:t>
                  </w:r>
                  <w:r>
                    <w:rPr>
                      <w:rFonts w:hint="eastAsia" w:ascii="宋体" w:hAnsi="宋体" w:cs="宋体"/>
                      <w:color w:val="000000"/>
                      <w:sz w:val="24"/>
                    </w:rPr>
                    <w:t>个</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704DC86">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32</w:t>
                  </w:r>
                  <w:r>
                    <w:rPr>
                      <w:rFonts w:hint="eastAsia" w:ascii="宋体" w:hAnsi="宋体" w:cs="宋体"/>
                      <w:color w:val="000000"/>
                      <w:sz w:val="24"/>
                    </w:rPr>
                    <w:t>个</w:t>
                  </w:r>
                </w:p>
              </w:tc>
            </w:tr>
            <w:tr w14:paraId="325E6DD8">
              <w:tblPrEx>
                <w:tblCellMar>
                  <w:top w:w="0" w:type="dxa"/>
                  <w:left w:w="0" w:type="dxa"/>
                  <w:bottom w:w="0" w:type="dxa"/>
                  <w:right w:w="0" w:type="dxa"/>
                </w:tblCellMar>
              </w:tblPrEx>
              <w:trPr>
                <w:trHeight w:val="603" w:hRule="atLeast"/>
              </w:trPr>
              <w:tc>
                <w:tcPr>
                  <w:tcW w:w="390" w:type="dxa"/>
                  <w:vMerge w:val="continue"/>
                  <w:tcBorders>
                    <w:left w:val="single" w:color="000000" w:sz="4" w:space="0"/>
                    <w:right w:val="single" w:color="000000" w:sz="4" w:space="0"/>
                  </w:tcBorders>
                  <w:vAlign w:val="center"/>
                </w:tcPr>
                <w:p w14:paraId="7BC25736">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2FFDF9D">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0F3E657">
                  <w:pPr>
                    <w:widowControl/>
                    <w:jc w:val="center"/>
                    <w:textAlignment w:val="center"/>
                    <w:rPr>
                      <w:rFonts w:ascii="宋体" w:hAnsi="宋体" w:cs="宋体"/>
                      <w:color w:val="000000"/>
                      <w:sz w:val="24"/>
                    </w:rPr>
                  </w:pPr>
                  <w:r>
                    <w:rPr>
                      <w:rFonts w:hint="eastAsia" w:ascii="宋体" w:hAnsi="宋体" w:cs="宋体"/>
                      <w:color w:val="000000"/>
                      <w:sz w:val="24"/>
                    </w:rPr>
                    <w:t>社会效益指标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D702BBF">
                  <w:pPr>
                    <w:widowControl/>
                    <w:jc w:val="center"/>
                    <w:textAlignment w:val="center"/>
                    <w:rPr>
                      <w:rFonts w:ascii="宋体" w:hAnsi="宋体" w:cs="宋体"/>
                      <w:color w:val="000000"/>
                      <w:sz w:val="24"/>
                    </w:rPr>
                  </w:pPr>
                  <w:r>
                    <w:rPr>
                      <w:rFonts w:hint="eastAsia" w:ascii="宋体" w:hAnsi="宋体" w:cs="宋体"/>
                      <w:color w:val="000000"/>
                      <w:sz w:val="24"/>
                    </w:rPr>
                    <w:t>覆盖党员数</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505A065">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280</w:t>
                  </w:r>
                  <w:r>
                    <w:rPr>
                      <w:rFonts w:hint="eastAsia" w:ascii="宋体" w:hAnsi="宋体" w:cs="宋体"/>
                      <w:color w:val="000000"/>
                      <w:sz w:val="24"/>
                    </w:rPr>
                    <w:t>人</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702A90D">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280</w:t>
                  </w:r>
                  <w:r>
                    <w:rPr>
                      <w:rFonts w:hint="eastAsia" w:ascii="宋体" w:hAnsi="宋体" w:cs="宋体"/>
                      <w:color w:val="000000"/>
                      <w:sz w:val="24"/>
                    </w:rPr>
                    <w:t>人</w:t>
                  </w:r>
                </w:p>
              </w:tc>
            </w:tr>
            <w:tr w14:paraId="4A60A586">
              <w:tblPrEx>
                <w:tblCellMar>
                  <w:top w:w="0" w:type="dxa"/>
                  <w:left w:w="0" w:type="dxa"/>
                  <w:bottom w:w="0" w:type="dxa"/>
                  <w:right w:w="0" w:type="dxa"/>
                </w:tblCellMar>
              </w:tblPrEx>
              <w:trPr>
                <w:trHeight w:val="602" w:hRule="atLeast"/>
              </w:trPr>
              <w:tc>
                <w:tcPr>
                  <w:tcW w:w="390" w:type="dxa"/>
                  <w:vMerge w:val="continue"/>
                  <w:tcBorders>
                    <w:left w:val="single" w:color="000000" w:sz="4" w:space="0"/>
                    <w:right w:val="single" w:color="000000" w:sz="4" w:space="0"/>
                  </w:tcBorders>
                  <w:vAlign w:val="center"/>
                </w:tcPr>
                <w:p w14:paraId="10C771E9">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8E2FB5D">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EBC4405">
                  <w:pPr>
                    <w:widowControl/>
                    <w:jc w:val="center"/>
                    <w:textAlignment w:val="center"/>
                    <w:rPr>
                      <w:rFonts w:ascii="宋体" w:hAnsi="宋体" w:cs="宋体"/>
                      <w:color w:val="000000"/>
                      <w:sz w:val="24"/>
                    </w:rPr>
                  </w:pPr>
                  <w:r>
                    <w:rPr>
                      <w:rFonts w:hint="eastAsia" w:ascii="宋体" w:hAnsi="宋体" w:cs="宋体"/>
                      <w:color w:val="000000"/>
                      <w:sz w:val="24"/>
                    </w:rPr>
                    <w:t>社会效益指标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E266518">
                  <w:pPr>
                    <w:widowControl/>
                    <w:jc w:val="center"/>
                    <w:textAlignment w:val="center"/>
                    <w:rPr>
                      <w:rFonts w:ascii="宋体" w:hAnsi="宋体" w:cs="宋体"/>
                      <w:color w:val="000000"/>
                      <w:sz w:val="24"/>
                    </w:rPr>
                  </w:pPr>
                  <w:r>
                    <w:rPr>
                      <w:rFonts w:hint="eastAsia" w:ascii="宋体" w:hAnsi="宋体" w:cs="宋体"/>
                      <w:color w:val="000000"/>
                      <w:sz w:val="24"/>
                    </w:rPr>
                    <w:t>覆盖村民数</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83EBCF4">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4500</w:t>
                  </w:r>
                  <w:r>
                    <w:rPr>
                      <w:rFonts w:hint="eastAsia" w:ascii="宋体" w:hAnsi="宋体" w:cs="宋体"/>
                      <w:color w:val="000000"/>
                      <w:sz w:val="24"/>
                    </w:rPr>
                    <w:t>人</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E7F5189">
                  <w:pPr>
                    <w:widowControl/>
                    <w:jc w:val="center"/>
                    <w:textAlignment w:val="center"/>
                    <w:rPr>
                      <w:rFonts w:ascii="宋体" w:hAnsi="宋体" w:cs="宋体"/>
                      <w:color w:val="000000"/>
                      <w:sz w:val="24"/>
                    </w:rPr>
                  </w:pPr>
                  <w:r>
                    <w:rPr>
                      <w:rFonts w:hint="eastAsia" w:ascii="宋体" w:hAnsi="宋体" w:cs="宋体"/>
                      <w:color w:val="000000"/>
                      <w:sz w:val="24"/>
                      <w:lang w:val="en-US" w:eastAsia="zh-CN"/>
                    </w:rPr>
                    <w:t>4500</w:t>
                  </w:r>
                  <w:r>
                    <w:rPr>
                      <w:rFonts w:hint="eastAsia" w:ascii="宋体" w:hAnsi="宋体" w:cs="宋体"/>
                      <w:color w:val="000000"/>
                      <w:sz w:val="24"/>
                    </w:rPr>
                    <w:t>人</w:t>
                  </w:r>
                </w:p>
              </w:tc>
            </w:tr>
            <w:tr w14:paraId="49D87762">
              <w:tblPrEx>
                <w:tblCellMar>
                  <w:top w:w="0" w:type="dxa"/>
                  <w:left w:w="0" w:type="dxa"/>
                  <w:bottom w:w="0" w:type="dxa"/>
                  <w:right w:w="0" w:type="dxa"/>
                </w:tblCellMar>
              </w:tblPrEx>
              <w:trPr>
                <w:trHeight w:val="603" w:hRule="atLeast"/>
              </w:trPr>
              <w:tc>
                <w:tcPr>
                  <w:tcW w:w="390" w:type="dxa"/>
                  <w:vMerge w:val="continue"/>
                  <w:tcBorders>
                    <w:left w:val="single" w:color="000000" w:sz="4" w:space="0"/>
                    <w:right w:val="single" w:color="000000" w:sz="4" w:space="0"/>
                  </w:tcBorders>
                  <w:vAlign w:val="center"/>
                </w:tcPr>
                <w:p w14:paraId="56C11CED">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CEB907E">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F5357A0">
                  <w:pPr>
                    <w:widowControl/>
                    <w:jc w:val="center"/>
                    <w:textAlignment w:val="center"/>
                    <w:rPr>
                      <w:rFonts w:ascii="宋体" w:hAnsi="宋体" w:cs="宋体"/>
                      <w:color w:val="000000"/>
                      <w:sz w:val="24"/>
                    </w:rPr>
                  </w:pPr>
                  <w:r>
                    <w:rPr>
                      <w:rFonts w:hint="eastAsia" w:ascii="宋体" w:hAnsi="宋体" w:cs="宋体"/>
                      <w:color w:val="000000"/>
                      <w:sz w:val="24"/>
                    </w:rPr>
                    <w:t>社会效益指标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72D66CB">
                  <w:pPr>
                    <w:widowControl/>
                    <w:jc w:val="center"/>
                    <w:textAlignment w:val="center"/>
                    <w:rPr>
                      <w:rFonts w:ascii="宋体" w:hAnsi="宋体" w:cs="宋体"/>
                      <w:color w:val="000000"/>
                      <w:sz w:val="24"/>
                    </w:rPr>
                  </w:pPr>
                  <w:r>
                    <w:rPr>
                      <w:rFonts w:hint="eastAsia" w:ascii="宋体" w:hAnsi="宋体" w:cs="宋体"/>
                      <w:color w:val="000000"/>
                      <w:sz w:val="24"/>
                    </w:rPr>
                    <w:t>覆盖建档立卡贫困人数</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3EF785D">
                  <w:pPr>
                    <w:widowControl/>
                    <w:jc w:val="center"/>
                    <w:textAlignment w:val="center"/>
                    <w:rPr>
                      <w:rFonts w:ascii="宋体" w:hAnsi="宋体" w:cs="宋体"/>
                      <w:color w:val="000000"/>
                      <w:sz w:val="24"/>
                    </w:rPr>
                  </w:pPr>
                  <w:r>
                    <w:rPr>
                      <w:rFonts w:hint="eastAsia" w:ascii="宋体" w:hAnsi="宋体" w:cs="宋体"/>
                      <w:color w:val="000000"/>
                      <w:sz w:val="24"/>
                    </w:rPr>
                    <w:t>≥</w:t>
                  </w:r>
                  <w:r>
                    <w:rPr>
                      <w:rFonts w:hint="eastAsia" w:ascii="宋体" w:hAnsi="宋体" w:cs="宋体"/>
                      <w:color w:val="000000"/>
                      <w:sz w:val="24"/>
                      <w:lang w:val="en-US" w:eastAsia="zh-CN"/>
                    </w:rPr>
                    <w:t>646</w:t>
                  </w:r>
                  <w:r>
                    <w:rPr>
                      <w:rFonts w:hint="eastAsia" w:ascii="宋体" w:hAnsi="宋体" w:cs="宋体"/>
                      <w:color w:val="000000"/>
                      <w:sz w:val="24"/>
                    </w:rPr>
                    <w:t>人</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3249E59">
                  <w:pPr>
                    <w:widowControl/>
                    <w:jc w:val="center"/>
                    <w:textAlignment w:val="center"/>
                    <w:rPr>
                      <w:rFonts w:ascii="宋体" w:hAnsi="宋体" w:cs="宋体"/>
                      <w:color w:val="000000"/>
                      <w:sz w:val="24"/>
                    </w:rPr>
                  </w:pPr>
                  <w:r>
                    <w:rPr>
                      <w:rFonts w:hint="eastAsia" w:ascii="宋体" w:hAnsi="宋体" w:cs="宋体"/>
                      <w:color w:val="000000"/>
                      <w:sz w:val="24"/>
                    </w:rPr>
                    <w:t>≥</w:t>
                  </w:r>
                  <w:r>
                    <w:rPr>
                      <w:rFonts w:hint="eastAsia" w:ascii="宋体" w:hAnsi="宋体" w:cs="宋体"/>
                      <w:color w:val="000000"/>
                      <w:sz w:val="24"/>
                      <w:lang w:val="en-US" w:eastAsia="zh-CN"/>
                    </w:rPr>
                    <w:t>646</w:t>
                  </w:r>
                  <w:r>
                    <w:rPr>
                      <w:rFonts w:hint="eastAsia" w:ascii="宋体" w:hAnsi="宋体" w:cs="宋体"/>
                      <w:color w:val="000000"/>
                      <w:sz w:val="24"/>
                    </w:rPr>
                    <w:t>人</w:t>
                  </w:r>
                </w:p>
              </w:tc>
            </w:tr>
            <w:tr w14:paraId="5BF10763">
              <w:tblPrEx>
                <w:tblCellMar>
                  <w:top w:w="0" w:type="dxa"/>
                  <w:left w:w="0" w:type="dxa"/>
                  <w:bottom w:w="0" w:type="dxa"/>
                  <w:right w:w="0" w:type="dxa"/>
                </w:tblCellMar>
              </w:tblPrEx>
              <w:trPr>
                <w:trHeight w:val="741" w:hRule="atLeast"/>
              </w:trPr>
              <w:tc>
                <w:tcPr>
                  <w:tcW w:w="390" w:type="dxa"/>
                  <w:vMerge w:val="continue"/>
                  <w:tcBorders>
                    <w:left w:val="single" w:color="000000" w:sz="4" w:space="0"/>
                    <w:right w:val="single" w:color="000000" w:sz="4" w:space="0"/>
                  </w:tcBorders>
                  <w:vAlign w:val="center"/>
                </w:tcPr>
                <w:p w14:paraId="576E62A3">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69AD92AF">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47A2475">
                  <w:pPr>
                    <w:widowControl/>
                    <w:jc w:val="center"/>
                    <w:textAlignment w:val="center"/>
                    <w:rPr>
                      <w:rFonts w:ascii="宋体" w:hAnsi="宋体" w:cs="宋体"/>
                      <w:color w:val="000000"/>
                      <w:sz w:val="24"/>
                    </w:rPr>
                  </w:pPr>
                  <w:r>
                    <w:rPr>
                      <w:rFonts w:hint="eastAsia" w:ascii="宋体" w:hAnsi="宋体" w:cs="宋体"/>
                      <w:color w:val="000000"/>
                      <w:sz w:val="24"/>
                    </w:rPr>
                    <w:t>社会效益指标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853FE29">
                  <w:pPr>
                    <w:widowControl/>
                    <w:jc w:val="center"/>
                    <w:textAlignment w:val="center"/>
                    <w:rPr>
                      <w:rFonts w:ascii="宋体" w:hAnsi="宋体" w:cs="宋体"/>
                      <w:color w:val="000000"/>
                      <w:sz w:val="24"/>
                    </w:rPr>
                  </w:pPr>
                  <w:r>
                    <w:rPr>
                      <w:rFonts w:hint="eastAsia" w:ascii="宋体" w:hAnsi="宋体" w:cs="宋体"/>
                      <w:color w:val="000000"/>
                      <w:sz w:val="24"/>
                    </w:rPr>
                    <w:t>党组织的战斗堡垒作用</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4DA78D8">
                  <w:pPr>
                    <w:widowControl/>
                    <w:jc w:val="center"/>
                    <w:textAlignment w:val="center"/>
                    <w:rPr>
                      <w:rFonts w:ascii="宋体" w:hAnsi="宋体" w:cs="宋体"/>
                      <w:color w:val="000000"/>
                      <w:sz w:val="24"/>
                    </w:rPr>
                  </w:pPr>
                  <w:r>
                    <w:rPr>
                      <w:rFonts w:hint="eastAsia" w:ascii="宋体" w:hAnsi="宋体" w:cs="宋体"/>
                      <w:color w:val="000000"/>
                      <w:sz w:val="24"/>
                    </w:rPr>
                    <w:t>明显发挥</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99FC0E3">
                  <w:pPr>
                    <w:widowControl/>
                    <w:jc w:val="center"/>
                    <w:textAlignment w:val="center"/>
                    <w:rPr>
                      <w:rFonts w:ascii="宋体" w:hAnsi="宋体" w:cs="宋体"/>
                      <w:color w:val="000000"/>
                      <w:sz w:val="24"/>
                    </w:rPr>
                  </w:pPr>
                  <w:r>
                    <w:rPr>
                      <w:rFonts w:hint="eastAsia" w:ascii="宋体" w:hAnsi="宋体" w:cs="宋体"/>
                      <w:color w:val="000000"/>
                      <w:sz w:val="24"/>
                    </w:rPr>
                    <w:t>明显发挥</w:t>
                  </w:r>
                </w:p>
              </w:tc>
            </w:tr>
            <w:tr w14:paraId="647161B0">
              <w:tblPrEx>
                <w:tblCellMar>
                  <w:top w:w="0" w:type="dxa"/>
                  <w:left w:w="0" w:type="dxa"/>
                  <w:bottom w:w="0" w:type="dxa"/>
                  <w:right w:w="0" w:type="dxa"/>
                </w:tblCellMar>
              </w:tblPrEx>
              <w:trPr>
                <w:trHeight w:val="647" w:hRule="atLeast"/>
              </w:trPr>
              <w:tc>
                <w:tcPr>
                  <w:tcW w:w="390" w:type="dxa"/>
                  <w:vMerge w:val="continue"/>
                  <w:tcBorders>
                    <w:left w:val="single" w:color="000000" w:sz="4" w:space="0"/>
                    <w:right w:val="single" w:color="000000" w:sz="4" w:space="0"/>
                  </w:tcBorders>
                  <w:vAlign w:val="center"/>
                </w:tcPr>
                <w:p w14:paraId="18C4B3E9">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6865B37">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72264AD">
                  <w:pPr>
                    <w:widowControl/>
                    <w:jc w:val="center"/>
                    <w:textAlignment w:val="center"/>
                    <w:rPr>
                      <w:rFonts w:ascii="宋体" w:hAnsi="宋体" w:cs="宋体"/>
                      <w:color w:val="000000"/>
                      <w:sz w:val="24"/>
                    </w:rPr>
                  </w:pPr>
                  <w:r>
                    <w:rPr>
                      <w:rFonts w:hint="eastAsia" w:ascii="宋体" w:hAnsi="宋体" w:cs="宋体"/>
                      <w:color w:val="000000"/>
                      <w:sz w:val="24"/>
                    </w:rPr>
                    <w:t>可持续影响指标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DC2CAAA">
                  <w:pPr>
                    <w:widowControl/>
                    <w:jc w:val="center"/>
                    <w:textAlignment w:val="center"/>
                    <w:rPr>
                      <w:rFonts w:ascii="宋体" w:hAnsi="宋体" w:cs="宋体"/>
                      <w:color w:val="000000"/>
                      <w:sz w:val="24"/>
                    </w:rPr>
                  </w:pPr>
                  <w:r>
                    <w:rPr>
                      <w:rFonts w:hint="eastAsia" w:ascii="宋体" w:hAnsi="宋体" w:cs="宋体"/>
                      <w:color w:val="000000"/>
                      <w:sz w:val="24"/>
                    </w:rPr>
                    <w:t>项目使用年限标</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0711085">
                  <w:pPr>
                    <w:widowControl/>
                    <w:jc w:val="center"/>
                    <w:textAlignment w:val="center"/>
                    <w:rPr>
                      <w:rFonts w:ascii="宋体" w:hAnsi="宋体" w:cs="宋体"/>
                      <w:color w:val="000000"/>
                      <w:sz w:val="24"/>
                    </w:rPr>
                  </w:pPr>
                  <w:r>
                    <w:rPr>
                      <w:rFonts w:hint="eastAsia" w:ascii="宋体" w:hAnsi="宋体" w:cs="宋体"/>
                      <w:color w:val="000000"/>
                      <w:sz w:val="24"/>
                    </w:rPr>
                    <w:t>≥5年</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CEAF1CF">
                  <w:pPr>
                    <w:widowControl/>
                    <w:jc w:val="center"/>
                    <w:textAlignment w:val="center"/>
                    <w:rPr>
                      <w:rFonts w:ascii="宋体" w:hAnsi="宋体" w:cs="宋体"/>
                      <w:color w:val="000000"/>
                      <w:sz w:val="24"/>
                    </w:rPr>
                  </w:pPr>
                  <w:r>
                    <w:rPr>
                      <w:rFonts w:hint="eastAsia" w:ascii="宋体" w:hAnsi="宋体" w:cs="宋体"/>
                      <w:color w:val="000000"/>
                      <w:sz w:val="24"/>
                    </w:rPr>
                    <w:t>≥5年</w:t>
                  </w:r>
                </w:p>
              </w:tc>
            </w:tr>
            <w:tr w14:paraId="4461843E">
              <w:tblPrEx>
                <w:tblCellMar>
                  <w:top w:w="0" w:type="dxa"/>
                  <w:left w:w="0" w:type="dxa"/>
                  <w:bottom w:w="0" w:type="dxa"/>
                  <w:right w:w="0" w:type="dxa"/>
                </w:tblCellMar>
              </w:tblPrEx>
              <w:trPr>
                <w:trHeight w:val="647" w:hRule="atLeast"/>
              </w:trPr>
              <w:tc>
                <w:tcPr>
                  <w:tcW w:w="390" w:type="dxa"/>
                  <w:vMerge w:val="continue"/>
                  <w:tcBorders>
                    <w:left w:val="single" w:color="000000" w:sz="4" w:space="0"/>
                    <w:right w:val="single" w:color="000000" w:sz="4" w:space="0"/>
                  </w:tcBorders>
                  <w:vAlign w:val="center"/>
                </w:tcPr>
                <w:p w14:paraId="7493764C">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6D1DAFD">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服务对象满意度指标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5011059">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满意度指标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3C1DC7D">
                  <w:pPr>
                    <w:widowControl/>
                    <w:jc w:val="center"/>
                    <w:textAlignment w:val="center"/>
                    <w:rPr>
                      <w:rFonts w:hint="eastAsia" w:ascii="宋体" w:hAnsi="宋体" w:cs="宋体"/>
                      <w:color w:val="000000"/>
                      <w:sz w:val="24"/>
                    </w:rPr>
                  </w:pPr>
                  <w:r>
                    <w:rPr>
                      <w:rFonts w:hint="eastAsia" w:ascii="宋体" w:hAnsi="宋体" w:cs="宋体"/>
                      <w:color w:val="000000"/>
                      <w:sz w:val="24"/>
                    </w:rPr>
                    <w:t>群众满意度</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1E0338B">
                  <w:pPr>
                    <w:widowControl/>
                    <w:jc w:val="center"/>
                    <w:textAlignment w:val="center"/>
                    <w:rPr>
                      <w:rFonts w:hint="eastAsia" w:ascii="宋体" w:hAnsi="宋体" w:cs="宋体"/>
                      <w:color w:val="000000"/>
                      <w:sz w:val="24"/>
                    </w:rPr>
                  </w:pPr>
                  <w:r>
                    <w:rPr>
                      <w:rFonts w:hint="eastAsia" w:ascii="宋体" w:hAnsi="宋体" w:cs="宋体"/>
                      <w:color w:val="000000"/>
                      <w:sz w:val="24"/>
                    </w:rPr>
                    <w:t>≥95%</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C6AEDDC">
                  <w:pPr>
                    <w:widowControl/>
                    <w:jc w:val="center"/>
                    <w:textAlignment w:val="center"/>
                    <w:rPr>
                      <w:rFonts w:ascii="宋体" w:hAnsi="宋体" w:cs="宋体"/>
                      <w:color w:val="000000"/>
                      <w:sz w:val="24"/>
                    </w:rPr>
                  </w:pPr>
                  <w:r>
                    <w:rPr>
                      <w:rFonts w:hint="eastAsia" w:ascii="宋体" w:hAnsi="宋体" w:cs="宋体"/>
                      <w:color w:val="000000"/>
                      <w:sz w:val="24"/>
                    </w:rPr>
                    <w:t>≥95%</w:t>
                  </w:r>
                </w:p>
              </w:tc>
            </w:tr>
            <w:tr w14:paraId="029243B8">
              <w:tblPrEx>
                <w:tblCellMar>
                  <w:top w:w="0" w:type="dxa"/>
                  <w:left w:w="0" w:type="dxa"/>
                  <w:bottom w:w="0" w:type="dxa"/>
                  <w:right w:w="0" w:type="dxa"/>
                </w:tblCellMar>
              </w:tblPrEx>
              <w:trPr>
                <w:trHeight w:val="647" w:hRule="atLeast"/>
              </w:trPr>
              <w:tc>
                <w:tcPr>
                  <w:tcW w:w="390" w:type="dxa"/>
                  <w:vMerge w:val="continue"/>
                  <w:tcBorders>
                    <w:left w:val="single" w:color="000000" w:sz="4" w:space="0"/>
                    <w:right w:val="single" w:color="000000" w:sz="4" w:space="0"/>
                  </w:tcBorders>
                  <w:vAlign w:val="center"/>
                </w:tcPr>
                <w:p w14:paraId="661D2538">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D142862">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服务对象满意度指标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1D85D99E">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满意度指标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50ADE64">
                  <w:pPr>
                    <w:widowControl/>
                    <w:jc w:val="center"/>
                    <w:textAlignment w:val="center"/>
                    <w:rPr>
                      <w:rFonts w:hint="eastAsia" w:ascii="宋体" w:hAnsi="宋体" w:cs="宋体"/>
                      <w:color w:val="000000"/>
                      <w:sz w:val="24"/>
                    </w:rPr>
                  </w:pPr>
                  <w:r>
                    <w:rPr>
                      <w:rFonts w:hint="eastAsia" w:ascii="宋体" w:hAnsi="宋体" w:cs="宋体"/>
                      <w:color w:val="000000"/>
                      <w:sz w:val="24"/>
                    </w:rPr>
                    <w:t>党员满意度</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875C6B5">
                  <w:pPr>
                    <w:widowControl/>
                    <w:jc w:val="center"/>
                    <w:textAlignment w:val="center"/>
                    <w:rPr>
                      <w:rFonts w:hint="eastAsia" w:ascii="宋体" w:hAnsi="宋体" w:cs="宋体"/>
                      <w:color w:val="000000"/>
                      <w:sz w:val="24"/>
                    </w:rPr>
                  </w:pPr>
                  <w:r>
                    <w:rPr>
                      <w:rFonts w:hint="eastAsia" w:ascii="宋体" w:hAnsi="宋体" w:cs="宋体"/>
                      <w:color w:val="000000"/>
                      <w:sz w:val="24"/>
                    </w:rPr>
                    <w:t>≥95%</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71090CEA">
                  <w:pPr>
                    <w:widowControl/>
                    <w:jc w:val="center"/>
                    <w:textAlignment w:val="center"/>
                    <w:rPr>
                      <w:rFonts w:ascii="宋体" w:hAnsi="宋体" w:cs="宋体"/>
                      <w:color w:val="000000"/>
                      <w:sz w:val="24"/>
                    </w:rPr>
                  </w:pPr>
                  <w:r>
                    <w:rPr>
                      <w:rFonts w:hint="eastAsia" w:ascii="宋体" w:hAnsi="宋体" w:cs="宋体"/>
                      <w:color w:val="000000"/>
                      <w:sz w:val="24"/>
                    </w:rPr>
                    <w:t>≥95%</w:t>
                  </w:r>
                </w:p>
              </w:tc>
            </w:tr>
            <w:tr w14:paraId="47ACE355">
              <w:tblPrEx>
                <w:tblCellMar>
                  <w:top w:w="0" w:type="dxa"/>
                  <w:left w:w="0" w:type="dxa"/>
                  <w:bottom w:w="0" w:type="dxa"/>
                  <w:right w:w="0" w:type="dxa"/>
                </w:tblCellMar>
              </w:tblPrEx>
              <w:trPr>
                <w:trHeight w:val="647" w:hRule="atLeast"/>
              </w:trPr>
              <w:tc>
                <w:tcPr>
                  <w:tcW w:w="390" w:type="dxa"/>
                  <w:vMerge w:val="continue"/>
                  <w:tcBorders>
                    <w:left w:val="single" w:color="000000" w:sz="4" w:space="0"/>
                    <w:bottom w:val="single" w:color="000000" w:sz="4" w:space="0"/>
                    <w:right w:val="single" w:color="000000" w:sz="4" w:space="0"/>
                  </w:tcBorders>
                  <w:vAlign w:val="center"/>
                </w:tcPr>
                <w:p w14:paraId="4F4A16BA">
                  <w:pPr>
                    <w:widowControl/>
                    <w:jc w:val="left"/>
                    <w:rPr>
                      <w:rFonts w:ascii="宋体" w:hAnsi="宋体" w:cs="宋体"/>
                      <w:color w:val="000000"/>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2BFCBDB">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服务对象满意度指标</w:t>
                  </w:r>
                </w:p>
              </w:tc>
              <w:tc>
                <w:tcPr>
                  <w:tcW w:w="1113"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5C676C0">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满意度指标</w:t>
                  </w:r>
                </w:p>
              </w:tc>
              <w:tc>
                <w:tcPr>
                  <w:tcW w:w="2504"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0B1C35BE">
                  <w:pPr>
                    <w:widowControl/>
                    <w:jc w:val="center"/>
                    <w:textAlignment w:val="center"/>
                    <w:rPr>
                      <w:rFonts w:hint="eastAsia" w:ascii="宋体" w:hAnsi="宋体" w:cs="宋体"/>
                      <w:color w:val="000000"/>
                      <w:sz w:val="24"/>
                    </w:rPr>
                  </w:pPr>
                  <w:r>
                    <w:rPr>
                      <w:rFonts w:hint="eastAsia" w:ascii="宋体" w:hAnsi="宋体" w:cs="宋体"/>
                      <w:color w:val="000000"/>
                      <w:sz w:val="24"/>
                    </w:rPr>
                    <w:t>受益贫困人口满意度</w:t>
                  </w:r>
                </w:p>
              </w:tc>
              <w:tc>
                <w:tcPr>
                  <w:tcW w:w="2435"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FA9F99B">
                  <w:pPr>
                    <w:widowControl/>
                    <w:jc w:val="center"/>
                    <w:textAlignment w:val="center"/>
                    <w:rPr>
                      <w:rFonts w:hint="eastAsia" w:ascii="宋体" w:hAnsi="宋体" w:cs="宋体"/>
                      <w:color w:val="000000"/>
                      <w:sz w:val="24"/>
                    </w:rPr>
                  </w:pPr>
                  <w:r>
                    <w:rPr>
                      <w:rFonts w:hint="eastAsia" w:ascii="宋体" w:hAnsi="宋体" w:cs="宋体"/>
                      <w:color w:val="000000"/>
                      <w:sz w:val="24"/>
                    </w:rPr>
                    <w:t>≥95%</w:t>
                  </w:r>
                </w:p>
              </w:tc>
              <w:tc>
                <w:tcPr>
                  <w:tcW w:w="194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07631B5">
                  <w:pPr>
                    <w:widowControl/>
                    <w:jc w:val="center"/>
                    <w:textAlignment w:val="center"/>
                    <w:rPr>
                      <w:rFonts w:ascii="宋体" w:hAnsi="宋体" w:cs="宋体"/>
                      <w:color w:val="000000"/>
                      <w:sz w:val="24"/>
                    </w:rPr>
                  </w:pPr>
                  <w:r>
                    <w:rPr>
                      <w:rFonts w:hint="eastAsia" w:ascii="宋体" w:hAnsi="宋体" w:cs="宋体"/>
                      <w:color w:val="000000"/>
                      <w:sz w:val="24"/>
                    </w:rPr>
                    <w:t>≥95%</w:t>
                  </w:r>
                </w:p>
              </w:tc>
            </w:tr>
          </w:tbl>
          <w:p w14:paraId="6D5BD2EF">
            <w:pPr>
              <w:spacing w:line="580" w:lineRule="exact"/>
              <w:rPr>
                <w:rFonts w:ascii="仿宋_GB2312" w:hAnsi="仿宋_GB2312" w:eastAsia="仿宋_GB2312" w:cs="仿宋_GB2312"/>
                <w:sz w:val="32"/>
                <w:szCs w:val="32"/>
              </w:rPr>
            </w:pPr>
          </w:p>
          <w:p w14:paraId="0D09A4D7">
            <w:pPr>
              <w:numPr>
                <w:ilvl w:val="0"/>
                <w:numId w:val="4"/>
              </w:numPr>
              <w:spacing w:line="580" w:lineRule="exact"/>
              <w:ind w:firstLine="643" w:firstLineChars="200"/>
              <w:rPr>
                <w:rFonts w:ascii="仿宋" w:hAnsi="仿宋" w:eastAsia="仿宋" w:cs="仿宋_GB2312"/>
                <w:sz w:val="32"/>
                <w:szCs w:val="32"/>
              </w:rPr>
            </w:pPr>
            <w:r>
              <w:rPr>
                <w:rFonts w:hint="eastAsia" w:ascii="仿宋" w:hAnsi="仿宋" w:eastAsia="仿宋" w:cs="楷体_GB2312"/>
                <w:b/>
                <w:bCs/>
                <w:sz w:val="32"/>
                <w:szCs w:val="32"/>
              </w:rPr>
              <w:t>部门开展绩效评价结果。</w:t>
            </w:r>
          </w:p>
          <w:p w14:paraId="4ED74129">
            <w:pPr>
              <w:pStyle w:val="4"/>
              <w:pageBreakBefore w:val="0"/>
              <w:kinsoku/>
              <w:wordWrap/>
              <w:overflowPunct/>
              <w:topLinePunct w:val="0"/>
              <w:bidi w:val="0"/>
              <w:spacing w:before="0" w:after="0" w:line="600" w:lineRule="exact"/>
              <w:ind w:firstLine="641" w:firstLineChars="200"/>
              <w:textAlignment w:val="auto"/>
              <w:rPr>
                <w:rFonts w:ascii="仿宋" w:hAnsi="仿宋" w:eastAsia="仿宋" w:cs="仿宋_GB2312"/>
                <w:sz w:val="32"/>
                <w:szCs w:val="32"/>
              </w:rPr>
            </w:pPr>
            <w:r>
              <w:rPr>
                <w:rFonts w:hint="eastAsia" w:ascii="华文仿宋" w:hAnsi="华文仿宋" w:eastAsia="华文仿宋" w:cs="华文仿宋"/>
                <w:b/>
                <w:bCs w:val="0"/>
                <w:sz w:val="32"/>
                <w:szCs w:val="32"/>
              </w:rPr>
              <w:t>1、财务管理绩效总评价结果</w:t>
            </w:r>
          </w:p>
          <w:p w14:paraId="47CB2773">
            <w:pPr>
              <w:pageBreakBefore w:val="0"/>
              <w:kinsoku/>
              <w:wordWrap/>
              <w:overflowPunct/>
              <w:topLinePunct w:val="0"/>
              <w:bidi w:val="0"/>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w:t>
            </w:r>
            <w:r>
              <w:rPr>
                <w:rFonts w:hint="eastAsia" w:ascii="华文仿宋" w:hAnsi="华文仿宋" w:eastAsia="华文仿宋" w:cs="华文仿宋"/>
                <w:sz w:val="32"/>
                <w:szCs w:val="32"/>
                <w:lang w:eastAsia="zh-CN"/>
              </w:rPr>
              <w:t>丁家乡</w:t>
            </w:r>
            <w:r>
              <w:rPr>
                <w:rFonts w:hint="eastAsia" w:ascii="华文仿宋" w:hAnsi="华文仿宋" w:eastAsia="华文仿宋" w:cs="华文仿宋"/>
                <w:sz w:val="32"/>
                <w:szCs w:val="32"/>
              </w:rPr>
              <w:t>财务支出基本符合国家财经法规和财务管理制度规定以及有关专项资金管理办法的规定，资金的拨付有完整的审批过程和手续，支出基本符合部门预算批复的用途，资金使用无截留、挤占、挪用、虚列支出等情况。根据区政府绩效考核文件精神，绩效目标在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年基本完成，在保障机关运转、履行职能职责上整体情况良好。</w:t>
            </w:r>
          </w:p>
          <w:p w14:paraId="7EC18C51">
            <w:pPr>
              <w:spacing w:line="580" w:lineRule="exact"/>
              <w:jc w:val="left"/>
              <w:rPr>
                <w:rFonts w:hint="eastAsia" w:ascii="华文仿宋" w:hAnsi="华文仿宋" w:eastAsia="华文仿宋" w:cs="华文仿宋"/>
                <w:sz w:val="32"/>
                <w:szCs w:val="32"/>
                <w:lang w:eastAsia="zh-CN"/>
              </w:rPr>
            </w:pPr>
            <w:r>
              <w:rPr>
                <w:rFonts w:hint="eastAsia" w:ascii="华文仿宋" w:hAnsi="华文仿宋" w:eastAsia="华文仿宋" w:cs="华文仿宋"/>
                <w:sz w:val="32"/>
                <w:szCs w:val="32"/>
              </w:rPr>
              <w:t>通过对</w:t>
            </w:r>
            <w:r>
              <w:rPr>
                <w:rFonts w:hint="eastAsia" w:ascii="华文仿宋" w:hAnsi="华文仿宋" w:eastAsia="华文仿宋" w:cs="华文仿宋"/>
                <w:sz w:val="32"/>
                <w:szCs w:val="32"/>
                <w:lang w:eastAsia="zh-CN"/>
              </w:rPr>
              <w:t>广元市昭化区丁家乡</w:t>
            </w: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年部门财务管理三级指标的分析考评，</w:t>
            </w:r>
            <w:r>
              <w:rPr>
                <w:rFonts w:hint="eastAsia" w:ascii="华文仿宋" w:hAnsi="华文仿宋" w:eastAsia="华文仿宋" w:cs="华文仿宋"/>
                <w:sz w:val="32"/>
                <w:szCs w:val="32"/>
                <w:lang w:eastAsia="zh-CN"/>
              </w:rPr>
              <w:t>广元市昭化区丁家乡</w:t>
            </w: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年部门财务管理绩效评价得分为</w:t>
            </w:r>
            <w:r>
              <w:rPr>
                <w:rFonts w:hint="eastAsia" w:ascii="华文仿宋" w:hAnsi="华文仿宋" w:eastAsia="华文仿宋" w:cs="华文仿宋"/>
                <w:sz w:val="32"/>
                <w:szCs w:val="32"/>
                <w:lang w:val="en-US" w:eastAsia="zh-CN"/>
              </w:rPr>
              <w:t>91</w:t>
            </w:r>
            <w:r>
              <w:rPr>
                <w:rFonts w:hint="eastAsia" w:ascii="华文仿宋" w:hAnsi="华文仿宋" w:eastAsia="华文仿宋" w:cs="华文仿宋"/>
                <w:sz w:val="32"/>
                <w:szCs w:val="32"/>
              </w:rPr>
              <w:t>分</w:t>
            </w:r>
            <w:r>
              <w:rPr>
                <w:rFonts w:hint="eastAsia" w:ascii="华文仿宋" w:hAnsi="华文仿宋" w:eastAsia="华文仿宋" w:cs="华文仿宋"/>
                <w:sz w:val="32"/>
                <w:szCs w:val="32"/>
                <w:lang w:eastAsia="zh-CN"/>
              </w:rPr>
              <w:t>。</w:t>
            </w:r>
          </w:p>
          <w:p w14:paraId="551F00E0">
            <w:pPr>
              <w:pageBreakBefore w:val="0"/>
              <w:kinsoku/>
              <w:wordWrap/>
              <w:overflowPunct/>
              <w:topLinePunct w:val="0"/>
              <w:bidi w:val="0"/>
              <w:snapToGrid w:val="0"/>
              <w:spacing w:line="600" w:lineRule="exact"/>
              <w:ind w:firstLine="641" w:firstLineChars="200"/>
              <w:textAlignment w:val="auto"/>
              <w:rPr>
                <w:rFonts w:hint="eastAsia" w:ascii="华文仿宋" w:hAnsi="华文仿宋" w:eastAsia="华文仿宋" w:cs="华文仿宋"/>
                <w:b/>
                <w:bCs/>
                <w:sz w:val="32"/>
                <w:szCs w:val="32"/>
              </w:rPr>
            </w:pPr>
            <w:r>
              <w:rPr>
                <w:rFonts w:hint="eastAsia" w:ascii="华文仿宋" w:hAnsi="华文仿宋" w:eastAsia="华文仿宋" w:cs="华文仿宋"/>
                <w:b/>
                <w:bCs/>
                <w:sz w:val="32"/>
                <w:szCs w:val="32"/>
              </w:rPr>
              <w:t>2、项目绩效总评价结果</w:t>
            </w:r>
          </w:p>
          <w:p w14:paraId="4507A5DB">
            <w:pPr>
              <w:pageBreakBefore w:val="0"/>
              <w:kinsoku/>
              <w:wordWrap/>
              <w:overflowPunct/>
              <w:topLinePunct w:val="0"/>
              <w:bidi w:val="0"/>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w:t>
            </w:r>
            <w:r>
              <w:rPr>
                <w:rFonts w:hint="eastAsia" w:ascii="华文仿宋" w:hAnsi="华文仿宋" w:eastAsia="华文仿宋" w:cs="华文仿宋"/>
                <w:sz w:val="32"/>
                <w:szCs w:val="32"/>
                <w:lang w:eastAsia="zh-CN"/>
              </w:rPr>
              <w:t>丁家乡</w:t>
            </w:r>
            <w:r>
              <w:rPr>
                <w:rFonts w:hint="eastAsia" w:ascii="华文仿宋" w:hAnsi="华文仿宋" w:eastAsia="华文仿宋" w:cs="华文仿宋"/>
                <w:sz w:val="32"/>
                <w:szCs w:val="32"/>
              </w:rPr>
              <w:t>基层组织活动和公共运行维护资金专项资金项目的实施，在项目决策方面，决策依据基本充分、资金分配合理；在项目管理方面，资金到位及时、资金支出的依据、使用范围、开支标准基本符合规定，财务制度、会计核算健全规范；在项目完成方面，基本实现计划目标；在项目效果方面，项目的开展，取得了良好社会效果。</w:t>
            </w:r>
          </w:p>
          <w:p w14:paraId="3FA4AE03">
            <w:pPr>
              <w:pageBreakBefore w:val="0"/>
              <w:kinsoku/>
              <w:wordWrap/>
              <w:overflowPunct/>
              <w:topLinePunct w:val="0"/>
              <w:bidi w:val="0"/>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通过对基层组织活动和公共运行维护资金专项资金项目三级指标的分析考评，该项目的绩效评价得分为9</w:t>
            </w:r>
            <w:r>
              <w:rPr>
                <w:rFonts w:hint="eastAsia" w:ascii="华文仿宋" w:hAnsi="华文仿宋" w:eastAsia="华文仿宋" w:cs="华文仿宋"/>
                <w:sz w:val="32"/>
                <w:szCs w:val="32"/>
                <w:lang w:val="en-US" w:eastAsia="zh-CN"/>
              </w:rPr>
              <w:t>1</w:t>
            </w:r>
            <w:r>
              <w:rPr>
                <w:rFonts w:hint="eastAsia" w:ascii="华文仿宋" w:hAnsi="华文仿宋" w:eastAsia="华文仿宋" w:cs="华文仿宋"/>
                <w:sz w:val="32"/>
                <w:szCs w:val="32"/>
              </w:rPr>
              <w:t>分，综合评价结果为优级。</w:t>
            </w:r>
          </w:p>
          <w:p w14:paraId="281B5050">
            <w:pPr>
              <w:widowControl/>
              <w:jc w:val="center"/>
              <w:textAlignment w:val="center"/>
              <w:rPr>
                <w:rFonts w:ascii="宋体" w:hAnsi="宋体" w:cs="宋体"/>
                <w:color w:val="000000"/>
                <w:sz w:val="36"/>
                <w:szCs w:val="36"/>
              </w:rPr>
            </w:pPr>
          </w:p>
        </w:tc>
      </w:tr>
    </w:tbl>
    <w:p w14:paraId="1FE5280E">
      <w:pPr>
        <w:spacing w:line="600" w:lineRule="exact"/>
        <w:jc w:val="left"/>
        <w:rPr>
          <w:rFonts w:ascii="宋体"/>
          <w:b/>
          <w:color w:val="000000"/>
          <w:sz w:val="44"/>
          <w:szCs w:val="44"/>
        </w:rPr>
      </w:pPr>
    </w:p>
    <w:p w14:paraId="7725E983">
      <w:pPr>
        <w:spacing w:line="600" w:lineRule="exact"/>
        <w:jc w:val="left"/>
        <w:rPr>
          <w:rFonts w:ascii="宋体"/>
          <w:b/>
          <w:color w:val="000000"/>
          <w:sz w:val="44"/>
          <w:szCs w:val="44"/>
        </w:rPr>
      </w:pPr>
    </w:p>
    <w:p w14:paraId="7505B5F0">
      <w:pPr>
        <w:spacing w:line="600" w:lineRule="exact"/>
        <w:jc w:val="left"/>
        <w:rPr>
          <w:rFonts w:ascii="宋体"/>
          <w:b/>
          <w:color w:val="000000"/>
          <w:sz w:val="44"/>
          <w:szCs w:val="44"/>
        </w:rPr>
      </w:pPr>
    </w:p>
    <w:p w14:paraId="39BD8E2A">
      <w:pPr>
        <w:spacing w:line="600" w:lineRule="exact"/>
        <w:jc w:val="left"/>
        <w:rPr>
          <w:rFonts w:ascii="宋体"/>
          <w:b/>
          <w:color w:val="000000"/>
          <w:sz w:val="44"/>
          <w:szCs w:val="44"/>
        </w:rPr>
      </w:pPr>
    </w:p>
    <w:p w14:paraId="35C10B1B">
      <w:pPr>
        <w:spacing w:line="600" w:lineRule="exact"/>
        <w:jc w:val="left"/>
        <w:rPr>
          <w:rFonts w:ascii="宋体"/>
          <w:b/>
          <w:color w:val="000000"/>
          <w:sz w:val="44"/>
          <w:szCs w:val="44"/>
        </w:rPr>
      </w:pPr>
    </w:p>
    <w:p w14:paraId="6A879BDE">
      <w:pPr>
        <w:spacing w:line="600" w:lineRule="exact"/>
        <w:jc w:val="left"/>
        <w:rPr>
          <w:rFonts w:ascii="宋体"/>
          <w:b/>
          <w:color w:val="000000"/>
          <w:sz w:val="44"/>
          <w:szCs w:val="44"/>
        </w:rPr>
      </w:pPr>
    </w:p>
    <w:p w14:paraId="270FBDE4">
      <w:pPr>
        <w:spacing w:line="600" w:lineRule="exact"/>
        <w:jc w:val="left"/>
        <w:rPr>
          <w:rFonts w:ascii="宋体"/>
          <w:b/>
          <w:color w:val="000000"/>
          <w:sz w:val="44"/>
          <w:szCs w:val="44"/>
        </w:rPr>
      </w:pPr>
    </w:p>
    <w:p w14:paraId="15314313">
      <w:pPr>
        <w:spacing w:line="600" w:lineRule="exact"/>
        <w:jc w:val="left"/>
        <w:rPr>
          <w:rFonts w:ascii="宋体"/>
          <w:b/>
          <w:color w:val="000000"/>
          <w:sz w:val="44"/>
          <w:szCs w:val="44"/>
        </w:rPr>
      </w:pPr>
    </w:p>
    <w:p w14:paraId="4AB9FC2F">
      <w:pPr>
        <w:spacing w:line="600" w:lineRule="exact"/>
        <w:jc w:val="left"/>
        <w:rPr>
          <w:rFonts w:ascii="宋体"/>
          <w:b/>
          <w:color w:val="000000"/>
          <w:sz w:val="44"/>
          <w:szCs w:val="44"/>
        </w:rPr>
      </w:pPr>
    </w:p>
    <w:p w14:paraId="130B5BE0">
      <w:pPr>
        <w:spacing w:line="600" w:lineRule="exact"/>
        <w:jc w:val="left"/>
        <w:rPr>
          <w:rFonts w:ascii="宋体"/>
          <w:b/>
          <w:color w:val="000000"/>
          <w:sz w:val="44"/>
          <w:szCs w:val="44"/>
        </w:rPr>
      </w:pPr>
    </w:p>
    <w:p w14:paraId="2BE78305">
      <w:pPr>
        <w:pageBreakBefore w:val="0"/>
        <w:numPr>
          <w:ilvl w:val="0"/>
          <w:numId w:val="5"/>
        </w:numPr>
        <w:kinsoku/>
        <w:wordWrap/>
        <w:overflowPunct/>
        <w:topLinePunct w:val="0"/>
        <w:bidi w:val="0"/>
        <w:spacing w:line="600" w:lineRule="exact"/>
        <w:ind w:firstLine="663" w:firstLineChars="150"/>
        <w:jc w:val="center"/>
        <w:textAlignment w:val="auto"/>
        <w:outlineLvl w:val="0"/>
        <w:rPr>
          <w:rStyle w:val="24"/>
          <w:rFonts w:ascii="黑体" w:hAnsi="黑体" w:eastAsia="黑体"/>
          <w:b w:val="0"/>
        </w:rPr>
      </w:pPr>
      <w:bookmarkStart w:id="55" w:name="_Toc15377225"/>
      <w:bookmarkStart w:id="56" w:name="_Toc15396613"/>
      <w:r>
        <w:rPr>
          <w:rFonts w:hint="eastAsia" w:ascii="黑体" w:hAnsi="黑体" w:eastAsia="黑体"/>
          <w:b/>
          <w:color w:val="000000"/>
          <w:sz w:val="44"/>
          <w:szCs w:val="44"/>
        </w:rPr>
        <w:t>名</w:t>
      </w:r>
      <w:r>
        <w:rPr>
          <w:rStyle w:val="24"/>
          <w:rFonts w:hint="eastAsia" w:ascii="黑体" w:hAnsi="黑体" w:eastAsia="黑体"/>
          <w:b w:val="0"/>
        </w:rPr>
        <w:t>词解释</w:t>
      </w:r>
      <w:bookmarkEnd w:id="55"/>
      <w:bookmarkEnd w:id="56"/>
    </w:p>
    <w:p w14:paraId="59911F43">
      <w:pPr>
        <w:pStyle w:val="22"/>
        <w:spacing w:line="560" w:lineRule="exact"/>
        <w:ind w:firstLine="640" w:firstLineChars="200"/>
        <w:rPr>
          <w:rFonts w:ascii="仿宋_GB2312" w:eastAsia="仿宋_GB2312"/>
          <w:sz w:val="32"/>
          <w:szCs w:val="32"/>
        </w:rPr>
      </w:pPr>
    </w:p>
    <w:p w14:paraId="22FFA4C9">
      <w:pPr>
        <w:pStyle w:val="22"/>
        <w:spacing w:line="560" w:lineRule="exact"/>
        <w:ind w:firstLine="640" w:firstLineChars="200"/>
        <w:rPr>
          <w:rFonts w:ascii="仿宋_GB2312" w:eastAsia="仿宋_GB2312"/>
          <w:color w:val="auto"/>
          <w:sz w:val="32"/>
          <w:szCs w:val="32"/>
        </w:rPr>
      </w:pPr>
      <w:bookmarkStart w:id="57" w:name="_Toc15377226"/>
      <w:r>
        <w:rPr>
          <w:rFonts w:ascii="仿宋_GB2312" w:eastAsia="仿宋_GB2312"/>
          <w:color w:val="auto"/>
          <w:sz w:val="32"/>
          <w:szCs w:val="32"/>
        </w:rPr>
        <w:t>1.</w:t>
      </w:r>
      <w:r>
        <w:rPr>
          <w:rFonts w:hint="eastAsia" w:ascii="仿宋_GB2312" w:eastAsia="仿宋_GB2312"/>
          <w:color w:val="auto"/>
          <w:sz w:val="32"/>
          <w:szCs w:val="32"/>
        </w:rPr>
        <w:t>财政拨款收入：指单位从同级财政部门取得的财政预算资金。</w:t>
      </w:r>
    </w:p>
    <w:p w14:paraId="40F35002">
      <w:pPr>
        <w:pStyle w:val="22"/>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2.</w:t>
      </w:r>
      <w:r>
        <w:rPr>
          <w:rFonts w:hint="eastAsia" w:ascii="仿宋_GB2312" w:eastAsia="仿宋_GB2312"/>
          <w:color w:val="auto"/>
          <w:sz w:val="32"/>
          <w:szCs w:val="32"/>
        </w:rPr>
        <w:t>事业收入：指事业单位开展专业业务活动及辅助活动取得的收入。</w:t>
      </w:r>
    </w:p>
    <w:p w14:paraId="6345C5EA">
      <w:pPr>
        <w:pStyle w:val="22"/>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3.</w:t>
      </w:r>
      <w:r>
        <w:rPr>
          <w:rFonts w:hint="eastAsia" w:ascii="仿宋_GB2312" w:eastAsia="仿宋_GB2312"/>
          <w:color w:val="auto"/>
          <w:sz w:val="32"/>
          <w:szCs w:val="32"/>
        </w:rPr>
        <w:t>经营收入：指事业单位在专业业务活动及其辅助活动之外开展非独立核算经营活动取得的收入。</w:t>
      </w:r>
    </w:p>
    <w:p w14:paraId="6283CCE6">
      <w:pPr>
        <w:pStyle w:val="22"/>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4.</w:t>
      </w:r>
      <w:r>
        <w:rPr>
          <w:rFonts w:hint="eastAsia" w:ascii="仿宋_GB2312" w:eastAsia="仿宋_GB2312"/>
          <w:color w:val="auto"/>
          <w:sz w:val="32"/>
          <w:szCs w:val="32"/>
        </w:rPr>
        <w:t>其他收入：指单位取得的除上述收入以外的各项收入。</w:t>
      </w:r>
    </w:p>
    <w:p w14:paraId="6EAA6FB1">
      <w:pPr>
        <w:pStyle w:val="22"/>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5.</w:t>
      </w:r>
      <w:r>
        <w:rPr>
          <w:rFonts w:hint="eastAsia" w:ascii="仿宋_GB2312" w:eastAsia="仿宋_GB2312"/>
          <w:color w:val="auto"/>
          <w:sz w:val="32"/>
          <w:szCs w:val="32"/>
        </w:rPr>
        <w:t>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p>
    <w:p w14:paraId="284B1E39">
      <w:pPr>
        <w:pStyle w:val="22"/>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6.</w:t>
      </w:r>
      <w:r>
        <w:rPr>
          <w:rFonts w:hint="eastAsia" w:ascii="仿宋_GB2312" w:eastAsia="仿宋_GB2312"/>
          <w:color w:val="auto"/>
          <w:sz w:val="32"/>
          <w:szCs w:val="32"/>
        </w:rPr>
        <w:t>年初结转和结余：指以前年度尚未完成、结转到本年按有关规定继续使用的资金。</w:t>
      </w:r>
    </w:p>
    <w:p w14:paraId="5F82AD23">
      <w:pPr>
        <w:pStyle w:val="22"/>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7.</w:t>
      </w:r>
      <w:r>
        <w:rPr>
          <w:rFonts w:hint="eastAsia" w:ascii="仿宋_GB2312" w:eastAsia="仿宋_GB2312"/>
          <w:color w:val="auto"/>
          <w:sz w:val="32"/>
          <w:szCs w:val="32"/>
        </w:rPr>
        <w:t>结余分配：指事业单位按照事业单位会计制度的规定从非财政补助结余中分配的事业基金和职工福利基金等。</w:t>
      </w:r>
    </w:p>
    <w:p w14:paraId="26143947">
      <w:pPr>
        <w:pStyle w:val="22"/>
        <w:spacing w:line="560" w:lineRule="exact"/>
        <w:ind w:firstLine="640" w:firstLineChars="200"/>
        <w:rPr>
          <w:rFonts w:ascii="仿宋_GB2312" w:eastAsia="仿宋_GB2312"/>
          <w:color w:val="auto"/>
          <w:sz w:val="32"/>
          <w:szCs w:val="32"/>
        </w:rPr>
      </w:pPr>
      <w:r>
        <w:rPr>
          <w:rFonts w:ascii="仿宋_GB2312" w:eastAsia="仿宋_GB2312"/>
          <w:color w:val="auto"/>
          <w:sz w:val="32"/>
          <w:szCs w:val="32"/>
        </w:rPr>
        <w:t>8</w:t>
      </w:r>
      <w:r>
        <w:rPr>
          <w:rFonts w:hint="eastAsia" w:ascii="仿宋_GB2312" w:eastAsia="仿宋_GB2312"/>
          <w:color w:val="auto"/>
          <w:sz w:val="32"/>
          <w:szCs w:val="32"/>
        </w:rPr>
        <w:t>、年末结转和结余：指单位按有关规定结转到下年或以后年度继续使用的资金。</w:t>
      </w:r>
    </w:p>
    <w:p w14:paraId="3385CEF4">
      <w:pPr>
        <w:ind w:firstLine="640" w:firstLineChars="200"/>
        <w:rPr>
          <w:rFonts w:ascii="仿宋_GB2312" w:eastAsia="仿宋_GB2312"/>
          <w:sz w:val="32"/>
          <w:szCs w:val="32"/>
        </w:rPr>
      </w:pPr>
      <w:r>
        <w:rPr>
          <w:rFonts w:hint="eastAsia" w:ascii="仿宋_GB2312" w:eastAsia="仿宋_GB2312"/>
          <w:sz w:val="32"/>
          <w:szCs w:val="32"/>
          <w:lang w:val="en-US" w:eastAsia="zh-CN"/>
        </w:rPr>
        <w:t>9</w:t>
      </w:r>
      <w:r>
        <w:rPr>
          <w:rFonts w:ascii="仿宋_GB2312" w:eastAsia="仿宋_GB2312"/>
          <w:sz w:val="32"/>
          <w:szCs w:val="32"/>
        </w:rPr>
        <w:t>.</w:t>
      </w:r>
      <w:r>
        <w:rPr>
          <w:rFonts w:hint="eastAsia" w:ascii="仿宋_GB2312" w:eastAsia="仿宋_GB2312"/>
          <w:sz w:val="32"/>
          <w:szCs w:val="32"/>
        </w:rPr>
        <w:t>基本支出：指为保障机构正常运转、完成日常工作任务而发生的人员支出和公用支出。</w:t>
      </w:r>
    </w:p>
    <w:p w14:paraId="237B76FD">
      <w:pPr>
        <w:ind w:firstLine="640" w:firstLineChars="200"/>
        <w:rPr>
          <w:rFonts w:ascii="仿宋_GB2312" w:eastAsia="仿宋_GB2312"/>
          <w:sz w:val="32"/>
          <w:szCs w:val="32"/>
        </w:rPr>
      </w:pPr>
      <w:r>
        <w:rPr>
          <w:rFonts w:hint="eastAsia" w:ascii="仿宋_GB2312" w:eastAsia="仿宋_GB2312"/>
          <w:sz w:val="32"/>
          <w:szCs w:val="32"/>
          <w:lang w:val="en-US" w:eastAsia="zh-CN"/>
        </w:rPr>
        <w:t>10</w:t>
      </w:r>
      <w:r>
        <w:rPr>
          <w:rFonts w:ascii="仿宋_GB2312" w:eastAsia="仿宋_GB2312"/>
          <w:sz w:val="32"/>
          <w:szCs w:val="32"/>
        </w:rPr>
        <w:t>.</w:t>
      </w:r>
      <w:r>
        <w:rPr>
          <w:rFonts w:hint="eastAsia" w:ascii="仿宋_GB2312" w:eastAsia="仿宋_GB2312"/>
          <w:sz w:val="32"/>
          <w:szCs w:val="32"/>
        </w:rPr>
        <w:t>项目支出：指在基本支出之外为完成特定行政任务和事业发展目标所发生的支出。</w:t>
      </w:r>
    </w:p>
    <w:p w14:paraId="2429806A">
      <w:pPr>
        <w:ind w:firstLine="640" w:firstLineChars="200"/>
        <w:rPr>
          <w:rFonts w:ascii="仿宋_GB2312" w:eastAsia="仿宋_GB2312"/>
          <w:sz w:val="32"/>
          <w:szCs w:val="32"/>
        </w:rPr>
      </w:pPr>
      <w:r>
        <w:rPr>
          <w:rFonts w:hint="eastAsia" w:ascii="仿宋_GB2312" w:eastAsia="仿宋_GB2312"/>
          <w:sz w:val="32"/>
          <w:szCs w:val="32"/>
          <w:lang w:val="en-US" w:eastAsia="zh-CN"/>
        </w:rPr>
        <w:t>11</w:t>
      </w:r>
      <w:r>
        <w:rPr>
          <w:rFonts w:ascii="仿宋_GB2312" w:eastAsia="仿宋_GB2312"/>
          <w:sz w:val="32"/>
          <w:szCs w:val="32"/>
        </w:rPr>
        <w:t>.</w:t>
      </w:r>
      <w:r>
        <w:rPr>
          <w:rFonts w:hint="eastAsia" w:ascii="仿宋_GB2312" w:eastAsia="仿宋_GB2312"/>
          <w:sz w:val="32"/>
          <w:szCs w:val="32"/>
        </w:rPr>
        <w:t>经营支出：指事业单位在专业业务活动及其辅助活动之外开展非独立核算经营活动发生的支出。</w:t>
      </w:r>
    </w:p>
    <w:p w14:paraId="79430408">
      <w:pPr>
        <w:pStyle w:val="22"/>
        <w:spacing w:line="560" w:lineRule="exact"/>
        <w:ind w:firstLine="640" w:firstLineChars="200"/>
        <w:rPr>
          <w:rFonts w:ascii="仿宋_GB2312" w:eastAsia="仿宋_GB2312"/>
          <w:color w:val="auto"/>
          <w:sz w:val="32"/>
          <w:szCs w:val="32"/>
        </w:rPr>
      </w:pPr>
      <w:r>
        <w:rPr>
          <w:rFonts w:hint="eastAsia" w:ascii="仿宋_GB2312" w:eastAsia="仿宋_GB2312"/>
          <w:color w:val="auto"/>
          <w:sz w:val="32"/>
          <w:szCs w:val="32"/>
          <w:lang w:val="en-US" w:eastAsia="zh-CN"/>
        </w:rPr>
        <w:t>12</w:t>
      </w:r>
      <w:r>
        <w:rPr>
          <w:rFonts w:ascii="仿宋_GB2312" w:eastAsia="仿宋_GB2312"/>
          <w:color w:val="auto"/>
          <w:sz w:val="32"/>
          <w:szCs w:val="32"/>
        </w:rPr>
        <w:t>.</w:t>
      </w:r>
      <w:r>
        <w:rPr>
          <w:rFonts w:hint="eastAsia" w:ascii="仿宋_GB2312" w:eastAsia="仿宋_GB2312"/>
          <w:color w:val="auto"/>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14:paraId="63EF2072">
      <w:pPr>
        <w:pStyle w:val="22"/>
        <w:spacing w:line="560" w:lineRule="exact"/>
        <w:ind w:firstLine="640" w:firstLineChars="200"/>
        <w:rPr>
          <w:rFonts w:ascii="仿宋_GB2312" w:eastAsia="仿宋_GB2312"/>
          <w:color w:val="auto"/>
          <w:sz w:val="32"/>
          <w:szCs w:val="32"/>
        </w:rPr>
      </w:pPr>
      <w:r>
        <w:rPr>
          <w:rFonts w:hint="eastAsia" w:ascii="仿宋_GB2312" w:eastAsia="仿宋_GB2312"/>
          <w:color w:val="auto"/>
          <w:sz w:val="32"/>
          <w:szCs w:val="32"/>
          <w:lang w:val="en-US" w:eastAsia="zh-CN"/>
        </w:rPr>
        <w:t>13</w:t>
      </w:r>
      <w:r>
        <w:rPr>
          <w:rFonts w:ascii="仿宋_GB2312" w:eastAsia="仿宋_GB2312"/>
          <w:color w:val="auto"/>
          <w:sz w:val="32"/>
          <w:szCs w:val="32"/>
        </w:rPr>
        <w:t>.</w:t>
      </w:r>
      <w:r>
        <w:rPr>
          <w:rFonts w:hint="eastAsia" w:ascii="仿宋_GB2312" w:eastAsia="仿宋_GB2312"/>
          <w:color w:val="auto"/>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4706B1B0">
      <w:pPr>
        <w:pageBreakBefore w:val="0"/>
        <w:kinsoku/>
        <w:wordWrap/>
        <w:overflowPunct/>
        <w:topLinePunct w:val="0"/>
        <w:bidi w:val="0"/>
        <w:spacing w:line="600" w:lineRule="exact"/>
        <w:jc w:val="center"/>
        <w:textAlignment w:val="auto"/>
        <w:outlineLvl w:val="0"/>
        <w:rPr>
          <w:rStyle w:val="24"/>
          <w:rFonts w:ascii="黑体" w:hAnsi="黑体" w:eastAsia="黑体"/>
          <w:b w:val="0"/>
        </w:rPr>
      </w:pPr>
      <w:r>
        <w:rPr>
          <w:rFonts w:ascii="宋体"/>
          <w:b/>
          <w:color w:val="000000"/>
          <w:sz w:val="44"/>
          <w:szCs w:val="44"/>
        </w:rPr>
        <w:br w:type="page"/>
      </w:r>
      <w:bookmarkStart w:id="58" w:name="_Toc15396614"/>
      <w:r>
        <w:rPr>
          <w:rFonts w:hint="eastAsia" w:ascii="黑体" w:hAnsi="黑体" w:eastAsia="黑体"/>
          <w:color w:val="000000"/>
          <w:sz w:val="44"/>
          <w:szCs w:val="44"/>
        </w:rPr>
        <w:t>第</w:t>
      </w:r>
      <w:r>
        <w:rPr>
          <w:rStyle w:val="24"/>
          <w:rFonts w:hint="eastAsia" w:ascii="黑体" w:hAnsi="黑体" w:eastAsia="黑体"/>
          <w:b w:val="0"/>
        </w:rPr>
        <w:t>四部分 附件</w:t>
      </w:r>
      <w:bookmarkEnd w:id="58"/>
    </w:p>
    <w:p w14:paraId="34B66163">
      <w:pPr>
        <w:pageBreakBefore w:val="0"/>
        <w:kinsoku/>
        <w:wordWrap/>
        <w:overflowPunct/>
        <w:topLinePunct w:val="0"/>
        <w:bidi w:val="0"/>
        <w:spacing w:line="600" w:lineRule="exact"/>
        <w:jc w:val="center"/>
        <w:textAlignment w:val="auto"/>
        <w:outlineLvl w:val="0"/>
        <w:rPr>
          <w:rStyle w:val="24"/>
        </w:rPr>
      </w:pPr>
    </w:p>
    <w:p w14:paraId="4B742105">
      <w:pPr>
        <w:pStyle w:val="3"/>
        <w:pageBreakBefore w:val="0"/>
        <w:kinsoku/>
        <w:wordWrap/>
        <w:overflowPunct/>
        <w:topLinePunct w:val="0"/>
        <w:bidi w:val="0"/>
        <w:spacing w:line="600" w:lineRule="exact"/>
        <w:textAlignment w:val="auto"/>
        <w:rPr>
          <w:rStyle w:val="24"/>
          <w:rFonts w:ascii="仿宋" w:hAnsi="仿宋" w:eastAsia="仿宋"/>
          <w:b w:val="0"/>
          <w:bCs w:val="0"/>
          <w:sz w:val="32"/>
          <w:szCs w:val="32"/>
        </w:rPr>
      </w:pPr>
      <w:bookmarkStart w:id="59" w:name="_Toc15396615"/>
      <w:r>
        <w:rPr>
          <w:rStyle w:val="24"/>
          <w:rFonts w:hint="eastAsia" w:ascii="仿宋" w:hAnsi="仿宋" w:eastAsia="仿宋"/>
          <w:b w:val="0"/>
          <w:bCs w:val="0"/>
          <w:sz w:val="32"/>
          <w:szCs w:val="32"/>
        </w:rPr>
        <w:t>附件1</w:t>
      </w:r>
      <w:bookmarkEnd w:id="59"/>
    </w:p>
    <w:p w14:paraId="33A38687">
      <w:pPr>
        <w:pageBreakBefore w:val="0"/>
        <w:kinsoku/>
        <w:wordWrap/>
        <w:overflowPunct/>
        <w:topLinePunct w:val="0"/>
        <w:bidi w:val="0"/>
        <w:spacing w:line="600" w:lineRule="exact"/>
        <w:jc w:val="center"/>
        <w:textAlignment w:val="auto"/>
        <w:outlineLvl w:val="0"/>
        <w:rPr>
          <w:rFonts w:hint="eastAsia" w:ascii="黑体" w:hAnsi="黑体" w:eastAsia="黑体" w:cs="方正小标宋简体"/>
          <w:sz w:val="36"/>
          <w:szCs w:val="36"/>
          <w:lang w:eastAsia="zh-CN"/>
        </w:rPr>
      </w:pPr>
      <w:bookmarkStart w:id="60" w:name="_Toc15396616"/>
      <w:r>
        <w:rPr>
          <w:rFonts w:hint="eastAsia" w:ascii="黑体" w:hAnsi="黑体" w:eastAsia="黑体" w:cs="方正小标宋简体"/>
          <w:sz w:val="36"/>
          <w:szCs w:val="36"/>
          <w:lang w:eastAsia="zh-CN"/>
        </w:rPr>
        <w:t>广元市昭化区丁家乡人民政府</w:t>
      </w:r>
    </w:p>
    <w:p w14:paraId="2BE584B7">
      <w:pPr>
        <w:pageBreakBefore w:val="0"/>
        <w:kinsoku/>
        <w:wordWrap/>
        <w:overflowPunct/>
        <w:topLinePunct w:val="0"/>
        <w:bidi w:val="0"/>
        <w:spacing w:line="600" w:lineRule="exact"/>
        <w:jc w:val="center"/>
        <w:textAlignment w:val="auto"/>
        <w:outlineLvl w:val="0"/>
        <w:rPr>
          <w:rFonts w:ascii="黑体" w:hAnsi="黑体" w:eastAsia="黑体" w:cs="方正小标宋简体"/>
          <w:sz w:val="36"/>
          <w:szCs w:val="36"/>
        </w:rPr>
      </w:pPr>
      <w:r>
        <w:rPr>
          <w:rFonts w:hint="eastAsia" w:ascii="黑体" w:hAnsi="黑体" w:eastAsia="黑体" w:cs="方正小标宋简体"/>
          <w:sz w:val="36"/>
          <w:szCs w:val="36"/>
        </w:rPr>
        <w:t>20</w:t>
      </w:r>
      <w:r>
        <w:rPr>
          <w:rFonts w:hint="eastAsia" w:ascii="黑体" w:hAnsi="黑体" w:eastAsia="黑体" w:cs="方正小标宋简体"/>
          <w:sz w:val="36"/>
          <w:szCs w:val="36"/>
          <w:lang w:val="en-US" w:eastAsia="zh-CN"/>
        </w:rPr>
        <w:t>19</w:t>
      </w:r>
      <w:r>
        <w:rPr>
          <w:rFonts w:hint="eastAsia" w:ascii="黑体" w:hAnsi="黑体" w:eastAsia="黑体" w:cs="方正小标宋简体"/>
          <w:sz w:val="36"/>
          <w:szCs w:val="36"/>
        </w:rPr>
        <w:t>年部门整体支出绩效评价报告</w:t>
      </w:r>
      <w:bookmarkEnd w:id="60"/>
    </w:p>
    <w:p w14:paraId="02ED00C9">
      <w:pPr>
        <w:pageBreakBefore w:val="0"/>
        <w:kinsoku/>
        <w:wordWrap/>
        <w:overflowPunct/>
        <w:topLinePunct w:val="0"/>
        <w:bidi w:val="0"/>
        <w:spacing w:line="600" w:lineRule="exact"/>
        <w:ind w:firstLine="640" w:firstLineChars="200"/>
        <w:textAlignment w:val="auto"/>
        <w:rPr>
          <w:rFonts w:ascii="黑体" w:hAnsi="黑体" w:eastAsia="黑体" w:cs="黑体"/>
          <w:sz w:val="32"/>
          <w:szCs w:val="32"/>
        </w:rPr>
      </w:pPr>
    </w:p>
    <w:p w14:paraId="16947B77">
      <w:pPr>
        <w:pageBreakBefore w:val="0"/>
        <w:kinsoku/>
        <w:wordWrap/>
        <w:overflowPunct/>
        <w:topLinePunct w:val="0"/>
        <w:bidi w:val="0"/>
        <w:spacing w:line="60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rPr>
        <w:t>一、部门（单位）概况</w:t>
      </w:r>
    </w:p>
    <w:p w14:paraId="0292E190">
      <w:pPr>
        <w:pageBreakBefore w:val="0"/>
        <w:kinsoku/>
        <w:wordWrap/>
        <w:overflowPunct/>
        <w:topLinePunct w:val="0"/>
        <w:bidi w:val="0"/>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（一）机构组成。</w:t>
      </w:r>
    </w:p>
    <w:p w14:paraId="258F6256">
      <w:pPr>
        <w:pageBreakBefore w:val="0"/>
        <w:kinsoku/>
        <w:wordWrap/>
        <w:overflowPunct/>
        <w:topLinePunct w:val="0"/>
        <w:bidi w:val="0"/>
        <w:spacing w:line="600" w:lineRule="exact"/>
        <w:ind w:firstLine="640" w:firstLineChars="200"/>
        <w:textAlignment w:val="auto"/>
        <w:rPr>
          <w:rFonts w:hint="eastAsia" w:ascii="仿宋" w:hAnsi="仿宋" w:eastAsia="仿宋" w:cs="仿宋"/>
          <w:b w:val="0"/>
          <w:i w:val="0"/>
          <w:caps w:val="0"/>
          <w:color w:val="333333"/>
          <w:spacing w:val="0"/>
          <w:sz w:val="32"/>
          <w:szCs w:val="32"/>
          <w:shd w:val="clear" w:color="auto" w:fill="FFFFFF"/>
        </w:rPr>
      </w:pPr>
      <w:r>
        <w:rPr>
          <w:rFonts w:hint="eastAsia" w:eastAsia="仿宋_GB2312" w:cs="Times New Roman"/>
          <w:sz w:val="32"/>
          <w:szCs w:val="32"/>
          <w:lang w:eastAsia="zh-CN"/>
        </w:rPr>
        <w:t>丁家乡</w:t>
      </w:r>
      <w:r>
        <w:rPr>
          <w:rFonts w:hint="default" w:ascii="Times New Roman" w:hAnsi="Times New Roman" w:eastAsia="仿宋_GB2312" w:cs="Times New Roman"/>
          <w:sz w:val="32"/>
          <w:szCs w:val="32"/>
        </w:rPr>
        <w:t>201</w:t>
      </w:r>
      <w:r>
        <w:rPr>
          <w:rFonts w:hint="eastAsia" w:ascii="Times New Roman" w:hAnsi="Times New Roman" w:eastAsia="仿宋_GB2312" w:cs="Times New Roman"/>
          <w:sz w:val="32"/>
          <w:szCs w:val="32"/>
          <w:lang w:val="en-US" w:eastAsia="zh-CN"/>
        </w:rPr>
        <w:t>9</w:t>
      </w:r>
      <w:r>
        <w:rPr>
          <w:rFonts w:hint="default" w:ascii="Times New Roman" w:hAnsi="Times New Roman" w:eastAsia="仿宋_GB2312" w:cs="Times New Roman"/>
          <w:sz w:val="32"/>
          <w:szCs w:val="32"/>
        </w:rPr>
        <w:t>年末机构数为</w:t>
      </w:r>
      <w:r>
        <w:rPr>
          <w:rFonts w:hint="eastAsia" w:ascii="Times New Roman" w:hAnsi="Times New Roman" w:eastAsia="仿宋_GB2312" w:cs="Times New Roman"/>
          <w:color w:val="000000"/>
          <w:sz w:val="32"/>
          <w:szCs w:val="32"/>
          <w:lang w:val="en-US" w:eastAsia="zh-CN"/>
        </w:rPr>
        <w:t>1</w:t>
      </w:r>
      <w:r>
        <w:rPr>
          <w:rFonts w:hint="default" w:ascii="Times New Roman" w:hAnsi="Times New Roman" w:eastAsia="仿宋_GB2312" w:cs="Times New Roman"/>
          <w:sz w:val="32"/>
          <w:szCs w:val="32"/>
        </w:rPr>
        <w:t>个，其中行政机关1个即</w:t>
      </w:r>
      <w:r>
        <w:rPr>
          <w:rFonts w:hint="eastAsia" w:eastAsia="仿宋_GB2312" w:cs="Times New Roman"/>
          <w:sz w:val="32"/>
          <w:szCs w:val="32"/>
          <w:lang w:eastAsia="zh-CN"/>
        </w:rPr>
        <w:t>丁家乡</w:t>
      </w:r>
      <w:r>
        <w:rPr>
          <w:rFonts w:hint="default" w:ascii="Times New Roman" w:hAnsi="Times New Roman" w:eastAsia="仿宋_GB2312" w:cs="Times New Roman"/>
          <w:sz w:val="32"/>
          <w:szCs w:val="32"/>
          <w:lang w:eastAsia="zh-CN"/>
        </w:rPr>
        <w:t>人民政府</w:t>
      </w:r>
      <w:r>
        <w:rPr>
          <w:rFonts w:hint="default" w:ascii="Times New Roman" w:hAnsi="Times New Roman" w:eastAsia="仿宋_GB2312" w:cs="Times New Roman"/>
          <w:sz w:val="32"/>
          <w:szCs w:val="32"/>
        </w:rPr>
        <w:t>。</w:t>
      </w:r>
    </w:p>
    <w:p w14:paraId="0B388D12">
      <w:pPr>
        <w:pageBreakBefore w:val="0"/>
        <w:numPr>
          <w:ilvl w:val="0"/>
          <w:numId w:val="6"/>
        </w:numPr>
        <w:kinsoku/>
        <w:wordWrap/>
        <w:overflowPunct/>
        <w:topLinePunct w:val="0"/>
        <w:bidi w:val="0"/>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机构职能。</w:t>
      </w:r>
    </w:p>
    <w:p w14:paraId="4E61478F">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1.政府职能</w:t>
      </w:r>
    </w:p>
    <w:p w14:paraId="44401ED5">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落实国家政策，严格依法行政，发挥经济管理职能，加强政策引导，制定发展规划，服务市场主体和营造发展环境，搞好市场监管，大力促进社会事业发展，发展</w:t>
      </w:r>
      <w:r>
        <w:rPr>
          <w:rFonts w:hint="eastAsia" w:ascii="Times New Roman" w:hAnsi="Times New Roman" w:eastAsia="仿宋_GB2312" w:cs="Times New Roman"/>
          <w:sz w:val="32"/>
          <w:szCs w:val="32"/>
          <w:lang w:eastAsia="zh-CN"/>
        </w:rPr>
        <w:t>镇</w:t>
      </w:r>
      <w:r>
        <w:rPr>
          <w:rFonts w:hint="default" w:ascii="Times New Roman" w:hAnsi="Times New Roman" w:eastAsia="仿宋_GB2312" w:cs="Times New Roman"/>
          <w:sz w:val="32"/>
          <w:szCs w:val="32"/>
        </w:rPr>
        <w:t>村经济、文化和社会事业，提供公共服务，维护社会稳定，构建社会主义和谐社会。具体如下：①执行本级人民代表大会的决议和上级国家行政机关的决定和命令，发布决定和命令； ②执行本行政区域内的经济和社会发展计划、预算，管理本行政区域内的经济、教育、科学、文化、卫生、体育事业和财政、民政、公安、司法行政、计划生育等行政工作；③保护社会主义的全民所有的财产和劳动群众集体所有的财产，保护公民私人所有的合法财产，维护社会秩序，保障公民的人身权利、民主权利和其他权利；④保护各种经济组织的合法权益；⑤</w:t>
      </w:r>
      <w:r>
        <w:rPr>
          <w:rFonts w:hint="eastAsia" w:eastAsia="仿宋_GB2312" w:cs="Times New Roman"/>
          <w:sz w:val="32"/>
          <w:szCs w:val="32"/>
          <w:lang w:eastAsia="zh-CN"/>
        </w:rPr>
        <w:t>办理</w:t>
      </w:r>
      <w:r>
        <w:rPr>
          <w:rFonts w:hint="default" w:ascii="Times New Roman" w:hAnsi="Times New Roman" w:eastAsia="仿宋_GB2312" w:cs="Times New Roman"/>
          <w:sz w:val="32"/>
          <w:szCs w:val="32"/>
        </w:rPr>
        <w:t>上级人民政府交</w:t>
      </w:r>
      <w:r>
        <w:rPr>
          <w:rFonts w:hint="eastAsia" w:eastAsia="仿宋_GB2312" w:cs="Times New Roman"/>
          <w:sz w:val="32"/>
          <w:szCs w:val="32"/>
          <w:lang w:eastAsia="zh-CN"/>
        </w:rPr>
        <w:t>办</w:t>
      </w:r>
      <w:r>
        <w:rPr>
          <w:rFonts w:hint="default" w:ascii="Times New Roman" w:hAnsi="Times New Roman" w:eastAsia="仿宋_GB2312" w:cs="Times New Roman"/>
          <w:sz w:val="32"/>
          <w:szCs w:val="32"/>
        </w:rPr>
        <w:t>的其他事项。</w:t>
      </w:r>
    </w:p>
    <w:p w14:paraId="06768C75">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2.社会事务服务中心职能</w:t>
      </w:r>
    </w:p>
    <w:p w14:paraId="577E81B4">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eastAsia" w:eastAsia="仿宋_GB2312" w:cs="Times New Roman"/>
          <w:sz w:val="32"/>
          <w:szCs w:val="32"/>
          <w:lang w:eastAsia="zh-CN"/>
        </w:rPr>
        <w:t>整理</w:t>
      </w:r>
      <w:r>
        <w:rPr>
          <w:rFonts w:hint="default" w:ascii="Times New Roman" w:hAnsi="Times New Roman" w:eastAsia="仿宋_GB2312" w:cs="Times New Roman"/>
          <w:sz w:val="32"/>
          <w:szCs w:val="32"/>
        </w:rPr>
        <w:t>就业失业登记证、落实村干部养老金政策、开展城</w:t>
      </w:r>
      <w:r>
        <w:rPr>
          <w:rFonts w:hint="eastAsia" w:ascii="Times New Roman" w:hAnsi="Times New Roman" w:eastAsia="仿宋_GB2312" w:cs="Times New Roman"/>
          <w:sz w:val="32"/>
          <w:szCs w:val="32"/>
          <w:lang w:eastAsia="zh-CN"/>
        </w:rPr>
        <w:t>镇</w:t>
      </w:r>
      <w:r>
        <w:rPr>
          <w:rFonts w:hint="default" w:ascii="Times New Roman" w:hAnsi="Times New Roman" w:eastAsia="仿宋_GB2312" w:cs="Times New Roman"/>
          <w:sz w:val="32"/>
          <w:szCs w:val="32"/>
        </w:rPr>
        <w:t>居民社会养老保险工作、开展城</w:t>
      </w:r>
      <w:r>
        <w:rPr>
          <w:rFonts w:hint="eastAsia" w:eastAsia="仿宋_GB2312" w:cs="Times New Roman"/>
          <w:sz w:val="32"/>
          <w:szCs w:val="32"/>
          <w:lang w:eastAsia="zh-CN"/>
        </w:rPr>
        <w:t>镇</w:t>
      </w:r>
      <w:r>
        <w:rPr>
          <w:rFonts w:hint="default" w:ascii="Times New Roman" w:hAnsi="Times New Roman" w:eastAsia="仿宋_GB2312" w:cs="Times New Roman"/>
          <w:sz w:val="32"/>
          <w:szCs w:val="32"/>
        </w:rPr>
        <w:t>居民养老保险；开展技能培训职业介绍和就业指导；大力开发农村劳动力资源；开展退休人员社会化管理等工作。</w:t>
      </w:r>
    </w:p>
    <w:p w14:paraId="702ABC9C">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3.农村经济技术服务中心职能</w:t>
      </w:r>
    </w:p>
    <w:p w14:paraId="640A5310">
      <w:pPr>
        <w:pStyle w:val="23"/>
        <w:pageBreakBefore w:val="0"/>
        <w:tabs>
          <w:tab w:val="left" w:pos="993"/>
        </w:tabs>
        <w:kinsoku/>
        <w:wordWrap/>
        <w:overflowPunct/>
        <w:topLinePunct w:val="0"/>
        <w:bidi w:val="0"/>
        <w:snapToGrid w:val="0"/>
        <w:spacing w:line="600" w:lineRule="exact"/>
        <w:ind w:firstLine="560"/>
        <w:textAlignment w:val="auto"/>
        <w:rPr>
          <w:rFonts w:ascii="仿宋" w:hAnsi="仿宋" w:eastAsia="仿宋" w:cs="仿宋_GB2312"/>
          <w:sz w:val="32"/>
          <w:szCs w:val="32"/>
        </w:rPr>
      </w:pPr>
      <w:r>
        <w:rPr>
          <w:rFonts w:hint="default" w:ascii="Times New Roman" w:hAnsi="Times New Roman" w:eastAsia="仿宋_GB2312" w:cs="Times New Roman"/>
          <w:sz w:val="32"/>
          <w:szCs w:val="32"/>
        </w:rPr>
        <w:t>主要从事农业技术服务，解决</w:t>
      </w:r>
      <w:r>
        <w:rPr>
          <w:rFonts w:hint="eastAsia" w:ascii="Times New Roman" w:hAnsi="Times New Roman" w:eastAsia="仿宋_GB2312" w:cs="Times New Roman"/>
          <w:sz w:val="32"/>
          <w:szCs w:val="32"/>
          <w:lang w:eastAsia="zh-CN"/>
        </w:rPr>
        <w:t>农村</w:t>
      </w:r>
      <w:r>
        <w:rPr>
          <w:rFonts w:hint="default" w:ascii="Times New Roman" w:hAnsi="Times New Roman" w:eastAsia="仿宋_GB2312" w:cs="Times New Roman"/>
          <w:sz w:val="32"/>
          <w:szCs w:val="32"/>
        </w:rPr>
        <w:t>工作的难题，为广大农村农民群众排忧解难，宣传和落实好党在农村工作的惠农政策。</w:t>
      </w:r>
    </w:p>
    <w:p w14:paraId="127C6581">
      <w:pPr>
        <w:keepNext w:val="0"/>
        <w:keepLines w:val="0"/>
        <w:pageBreakBefore w:val="0"/>
        <w:widowControl w:val="0"/>
        <w:numPr>
          <w:ilvl w:val="0"/>
          <w:numId w:val="6"/>
        </w:numPr>
        <w:kinsoku/>
        <w:wordWrap/>
        <w:overflowPunct/>
        <w:topLinePunct w:val="0"/>
        <w:autoSpaceDE/>
        <w:autoSpaceDN/>
        <w:bidi w:val="0"/>
        <w:adjustRightInd/>
        <w:spacing w:line="600" w:lineRule="exact"/>
        <w:ind w:left="0" w:leftChars="0"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人员概况。</w:t>
      </w:r>
    </w:p>
    <w:p w14:paraId="4BA02F5E">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ascii="仿宋" w:hAnsi="仿宋" w:eastAsia="仿宋"/>
          <w:sz w:val="32"/>
          <w:szCs w:val="32"/>
        </w:rPr>
      </w:pPr>
      <w:r>
        <w:rPr>
          <w:rFonts w:hint="eastAsia" w:eastAsia="仿宋_GB2312" w:cs="Times New Roman"/>
          <w:sz w:val="32"/>
          <w:szCs w:val="32"/>
          <w:lang w:eastAsia="zh-CN"/>
        </w:rPr>
        <w:t>丁家乡</w:t>
      </w:r>
      <w:r>
        <w:rPr>
          <w:rFonts w:hint="default" w:ascii="Times New Roman" w:hAnsi="Times New Roman" w:eastAsia="仿宋_GB2312" w:cs="Times New Roman"/>
          <w:sz w:val="32"/>
          <w:szCs w:val="32"/>
        </w:rPr>
        <w:t>属行政单位，执行行政单位会计制度，财务隶属关系为一级单位，</w:t>
      </w:r>
      <w:r>
        <w:rPr>
          <w:rFonts w:hint="eastAsia" w:ascii="仿宋_GB2312" w:eastAsia="仿宋_GB2312"/>
          <w:sz w:val="32"/>
          <w:szCs w:val="32"/>
        </w:rPr>
        <w:t>全</w:t>
      </w:r>
      <w:r>
        <w:rPr>
          <w:rFonts w:hint="eastAsia" w:ascii="仿宋_GB2312" w:eastAsia="仿宋_GB2312"/>
          <w:sz w:val="32"/>
          <w:szCs w:val="32"/>
          <w:lang w:eastAsia="zh-CN"/>
        </w:rPr>
        <w:t>镇</w:t>
      </w:r>
      <w:r>
        <w:rPr>
          <w:rFonts w:hint="eastAsia" w:ascii="仿宋_GB2312" w:eastAsia="仿宋_GB2312"/>
          <w:sz w:val="32"/>
          <w:szCs w:val="32"/>
        </w:rPr>
        <w:t>机关干部</w:t>
      </w:r>
      <w:r>
        <w:rPr>
          <w:rFonts w:hint="eastAsia" w:ascii="仿宋_GB2312" w:eastAsia="仿宋_GB2312"/>
          <w:sz w:val="32"/>
          <w:szCs w:val="32"/>
          <w:lang w:val="en-US" w:eastAsia="zh-CN"/>
        </w:rPr>
        <w:t>24</w:t>
      </w:r>
      <w:r>
        <w:rPr>
          <w:rFonts w:hint="eastAsia" w:ascii="仿宋_GB2312" w:eastAsia="仿宋_GB2312"/>
          <w:sz w:val="32"/>
          <w:szCs w:val="32"/>
        </w:rPr>
        <w:t>人，其中：公务员</w:t>
      </w:r>
      <w:r>
        <w:rPr>
          <w:rFonts w:hint="eastAsia" w:ascii="仿宋_GB2312" w:eastAsia="仿宋_GB2312"/>
          <w:sz w:val="32"/>
          <w:szCs w:val="32"/>
          <w:lang w:val="en-US" w:eastAsia="zh-CN"/>
        </w:rPr>
        <w:t>10</w:t>
      </w:r>
      <w:r>
        <w:rPr>
          <w:rFonts w:hint="eastAsia" w:ascii="仿宋_GB2312" w:eastAsia="仿宋_GB2312"/>
          <w:sz w:val="32"/>
          <w:szCs w:val="32"/>
        </w:rPr>
        <w:t>人（人大</w:t>
      </w:r>
      <w:r>
        <w:rPr>
          <w:rFonts w:hint="eastAsia" w:ascii="仿宋_GB2312" w:eastAsia="仿宋_GB2312"/>
          <w:sz w:val="32"/>
          <w:szCs w:val="32"/>
          <w:lang w:val="en-US" w:eastAsia="zh-CN"/>
        </w:rPr>
        <w:t>1</w:t>
      </w:r>
      <w:r>
        <w:rPr>
          <w:rFonts w:hint="eastAsia" w:ascii="仿宋_GB2312" w:eastAsia="仿宋_GB2312"/>
          <w:sz w:val="32"/>
          <w:szCs w:val="32"/>
        </w:rPr>
        <w:t>人，政府机关</w:t>
      </w:r>
      <w:r>
        <w:rPr>
          <w:rFonts w:hint="eastAsia" w:ascii="仿宋_GB2312" w:eastAsia="仿宋_GB2312"/>
          <w:sz w:val="32"/>
          <w:szCs w:val="32"/>
          <w:lang w:val="en-US" w:eastAsia="zh-CN"/>
        </w:rPr>
        <w:t>6</w:t>
      </w:r>
      <w:r>
        <w:rPr>
          <w:rFonts w:hint="eastAsia" w:ascii="仿宋_GB2312" w:eastAsia="仿宋_GB2312"/>
          <w:sz w:val="32"/>
          <w:szCs w:val="32"/>
        </w:rPr>
        <w:t>人，财政</w:t>
      </w:r>
      <w:r>
        <w:rPr>
          <w:rFonts w:hint="eastAsia" w:ascii="仿宋_GB2312" w:eastAsia="仿宋_GB2312"/>
          <w:sz w:val="32"/>
          <w:szCs w:val="32"/>
          <w:lang w:val="en-US" w:eastAsia="zh-CN"/>
        </w:rPr>
        <w:t>1</w:t>
      </w:r>
      <w:r>
        <w:rPr>
          <w:rFonts w:hint="eastAsia" w:ascii="仿宋_GB2312" w:eastAsia="仿宋_GB2312"/>
          <w:sz w:val="32"/>
          <w:szCs w:val="32"/>
        </w:rPr>
        <w:t>人，党委</w:t>
      </w:r>
      <w:r>
        <w:rPr>
          <w:rFonts w:hint="eastAsia" w:ascii="仿宋_GB2312" w:eastAsia="仿宋_GB2312"/>
          <w:sz w:val="32"/>
          <w:szCs w:val="32"/>
          <w:lang w:val="en-US" w:eastAsia="zh-CN"/>
        </w:rPr>
        <w:t>2</w:t>
      </w:r>
      <w:r>
        <w:rPr>
          <w:rFonts w:hint="eastAsia" w:ascii="仿宋_GB2312" w:eastAsia="仿宋_GB2312"/>
          <w:sz w:val="32"/>
          <w:szCs w:val="32"/>
        </w:rPr>
        <w:t>人）</w:t>
      </w:r>
      <w:r>
        <w:rPr>
          <w:rFonts w:hint="eastAsia" w:ascii="仿宋_GB2312" w:eastAsia="仿宋_GB2312"/>
          <w:sz w:val="32"/>
          <w:szCs w:val="32"/>
          <w:lang w:eastAsia="zh-CN"/>
        </w:rPr>
        <w:t>；机关工勤人员</w:t>
      </w:r>
      <w:r>
        <w:rPr>
          <w:rFonts w:hint="eastAsia" w:ascii="仿宋_GB2312" w:eastAsia="仿宋_GB2312"/>
          <w:sz w:val="32"/>
          <w:szCs w:val="32"/>
          <w:lang w:val="en-US" w:eastAsia="zh-CN"/>
        </w:rPr>
        <w:t>1人；</w:t>
      </w:r>
      <w:r>
        <w:rPr>
          <w:rFonts w:hint="eastAsia" w:ascii="仿宋_GB2312" w:eastAsia="仿宋_GB2312"/>
          <w:sz w:val="32"/>
          <w:szCs w:val="32"/>
        </w:rPr>
        <w:t>事业干部</w:t>
      </w:r>
      <w:r>
        <w:rPr>
          <w:rFonts w:hint="eastAsia" w:ascii="仿宋_GB2312" w:eastAsia="仿宋_GB2312"/>
          <w:sz w:val="32"/>
          <w:szCs w:val="32"/>
          <w:lang w:val="en-US" w:eastAsia="zh-CN"/>
        </w:rPr>
        <w:t>11</w:t>
      </w:r>
      <w:r>
        <w:rPr>
          <w:rFonts w:hint="eastAsia" w:ascii="仿宋_GB2312" w:eastAsia="仿宋_GB2312"/>
          <w:sz w:val="32"/>
          <w:szCs w:val="32"/>
        </w:rPr>
        <w:t>人，</w:t>
      </w:r>
      <w:r>
        <w:rPr>
          <w:rFonts w:hint="eastAsia" w:ascii="仿宋_GB2312" w:eastAsia="仿宋_GB2312"/>
          <w:sz w:val="32"/>
          <w:szCs w:val="32"/>
          <w:lang w:eastAsia="zh-CN"/>
        </w:rPr>
        <w:t>三支一扶</w:t>
      </w:r>
      <w:r>
        <w:rPr>
          <w:rFonts w:hint="eastAsia" w:ascii="仿宋_GB2312" w:eastAsia="仿宋_GB2312"/>
          <w:sz w:val="32"/>
          <w:szCs w:val="32"/>
          <w:lang w:val="en-US" w:eastAsia="zh-CN"/>
        </w:rPr>
        <w:t>2人，</w:t>
      </w:r>
      <w:r>
        <w:rPr>
          <w:rFonts w:hint="eastAsia" w:ascii="仿宋_GB2312" w:eastAsia="仿宋_GB2312"/>
          <w:sz w:val="32"/>
          <w:szCs w:val="32"/>
        </w:rPr>
        <w:t>交通协警</w:t>
      </w:r>
      <w:r>
        <w:rPr>
          <w:rFonts w:hint="eastAsia" w:ascii="仿宋_GB2312" w:eastAsia="仿宋_GB2312"/>
          <w:sz w:val="32"/>
          <w:szCs w:val="32"/>
          <w:lang w:val="en-US" w:eastAsia="zh-CN"/>
        </w:rPr>
        <w:t>2</w:t>
      </w:r>
      <w:r>
        <w:rPr>
          <w:rFonts w:hint="eastAsia" w:ascii="仿宋_GB2312" w:eastAsia="仿宋_GB2312"/>
          <w:sz w:val="32"/>
          <w:szCs w:val="32"/>
        </w:rPr>
        <w:t>人，遗属补助</w:t>
      </w:r>
      <w:r>
        <w:rPr>
          <w:rFonts w:hint="eastAsia" w:ascii="仿宋_GB2312" w:eastAsia="仿宋_GB2312"/>
          <w:sz w:val="32"/>
          <w:szCs w:val="32"/>
          <w:lang w:val="en-US" w:eastAsia="zh-CN"/>
        </w:rPr>
        <w:t>6</w:t>
      </w:r>
      <w:r>
        <w:rPr>
          <w:rFonts w:hint="eastAsia" w:ascii="仿宋_GB2312" w:eastAsia="仿宋_GB2312"/>
          <w:sz w:val="32"/>
          <w:szCs w:val="32"/>
        </w:rPr>
        <w:t>人，炊事员1人，退休人员</w:t>
      </w:r>
      <w:r>
        <w:rPr>
          <w:rFonts w:hint="eastAsia" w:ascii="仿宋_GB2312" w:eastAsia="仿宋_GB2312"/>
          <w:sz w:val="32"/>
          <w:szCs w:val="32"/>
          <w:lang w:val="en-US" w:eastAsia="zh-CN"/>
        </w:rPr>
        <w:t>9</w:t>
      </w:r>
      <w:r>
        <w:rPr>
          <w:rFonts w:hint="eastAsia" w:ascii="仿宋_GB2312" w:eastAsia="仿宋_GB2312"/>
          <w:sz w:val="32"/>
          <w:szCs w:val="32"/>
        </w:rPr>
        <w:t>人（公务员</w:t>
      </w:r>
      <w:r>
        <w:rPr>
          <w:rFonts w:hint="eastAsia" w:ascii="仿宋_GB2312" w:eastAsia="仿宋_GB2312"/>
          <w:sz w:val="32"/>
          <w:szCs w:val="32"/>
          <w:lang w:val="en-US" w:eastAsia="zh-CN"/>
        </w:rPr>
        <w:t>5</w:t>
      </w:r>
      <w:r>
        <w:rPr>
          <w:rFonts w:hint="eastAsia" w:ascii="仿宋_GB2312" w:eastAsia="仿宋_GB2312"/>
          <w:sz w:val="32"/>
          <w:szCs w:val="32"/>
        </w:rPr>
        <w:t>人，事业</w:t>
      </w:r>
      <w:r>
        <w:rPr>
          <w:rFonts w:hint="eastAsia" w:ascii="仿宋_GB2312" w:eastAsia="仿宋_GB2312"/>
          <w:sz w:val="32"/>
          <w:szCs w:val="32"/>
          <w:lang w:val="en-US" w:eastAsia="zh-CN"/>
        </w:rPr>
        <w:t>4</w:t>
      </w:r>
      <w:r>
        <w:rPr>
          <w:rFonts w:hint="eastAsia" w:ascii="仿宋_GB2312" w:eastAsia="仿宋_GB2312"/>
          <w:sz w:val="32"/>
          <w:szCs w:val="32"/>
        </w:rPr>
        <w:t>人）。</w:t>
      </w:r>
    </w:p>
    <w:p w14:paraId="78207F41">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ascii="黑体" w:hAnsi="黑体" w:eastAsia="黑体" w:cs="黑体"/>
          <w:sz w:val="32"/>
          <w:szCs w:val="32"/>
        </w:rPr>
      </w:pPr>
      <w:r>
        <w:rPr>
          <w:rFonts w:ascii="黑体" w:hAnsi="黑体" w:eastAsia="黑体" w:cs="黑体"/>
          <w:sz w:val="32"/>
          <w:szCs w:val="32"/>
        </w:rPr>
        <w:t>二、部门财政资金收支情况</w:t>
      </w:r>
    </w:p>
    <w:p w14:paraId="5A0DF576">
      <w:pPr>
        <w:keepNext w:val="0"/>
        <w:keepLines w:val="0"/>
        <w:pageBreakBefore w:val="0"/>
        <w:widowControl w:val="0"/>
        <w:kinsoku/>
        <w:wordWrap/>
        <w:overflowPunct/>
        <w:topLinePunct w:val="0"/>
        <w:autoSpaceDE/>
        <w:autoSpaceDN/>
        <w:bidi w:val="0"/>
        <w:adjustRightInd/>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（一）部门财政资金收入情况。</w:t>
      </w:r>
    </w:p>
    <w:p w14:paraId="48FD6888">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仿宋" w:hAnsi="仿宋" w:eastAsia="仿宋"/>
          <w:sz w:val="32"/>
          <w:szCs w:val="32"/>
        </w:rPr>
      </w:pPr>
      <w:r>
        <w:rPr>
          <w:rFonts w:hint="eastAsia" w:ascii="仿宋" w:hAnsi="仿宋" w:eastAsia="仿宋" w:cs="仿宋"/>
          <w:sz w:val="32"/>
          <w:szCs w:val="32"/>
          <w:lang w:val="en-US" w:eastAsia="zh-CN"/>
        </w:rPr>
        <w:t>2019年我乡</w:t>
      </w:r>
      <w:r>
        <w:rPr>
          <w:rFonts w:hint="eastAsia" w:ascii="仿宋" w:hAnsi="仿宋" w:eastAsia="仿宋" w:cs="仿宋"/>
          <w:sz w:val="32"/>
          <w:szCs w:val="32"/>
        </w:rPr>
        <w:t>本年总收入</w:t>
      </w:r>
      <w:r>
        <w:rPr>
          <w:rFonts w:hint="eastAsia" w:ascii="仿宋" w:hAnsi="仿宋" w:eastAsia="仿宋" w:cs="仿宋"/>
          <w:sz w:val="32"/>
          <w:szCs w:val="32"/>
          <w:lang w:val="en-US" w:eastAsia="zh-CN"/>
        </w:rPr>
        <w:t>406.47万</w:t>
      </w:r>
      <w:r>
        <w:rPr>
          <w:rFonts w:hint="eastAsia" w:ascii="仿宋" w:hAnsi="仿宋" w:eastAsia="仿宋" w:cs="仿宋"/>
          <w:sz w:val="32"/>
          <w:szCs w:val="32"/>
        </w:rPr>
        <w:t>元，其中：一般财政拨款收入为</w:t>
      </w:r>
      <w:r>
        <w:rPr>
          <w:rFonts w:hint="eastAsia" w:ascii="仿宋" w:hAnsi="仿宋" w:eastAsia="仿宋" w:cs="仿宋"/>
          <w:sz w:val="32"/>
          <w:szCs w:val="32"/>
          <w:lang w:val="en-US" w:eastAsia="zh-CN"/>
        </w:rPr>
        <w:t>406.47万</w:t>
      </w:r>
      <w:r>
        <w:rPr>
          <w:rFonts w:hint="eastAsia" w:ascii="仿宋" w:hAnsi="仿宋" w:eastAsia="仿宋" w:cs="仿宋"/>
          <w:sz w:val="32"/>
          <w:szCs w:val="32"/>
        </w:rPr>
        <w:t>元，年初结转和结余收入为</w:t>
      </w:r>
      <w:r>
        <w:rPr>
          <w:rFonts w:hint="eastAsia" w:ascii="仿宋" w:hAnsi="仿宋" w:eastAsia="仿宋" w:cs="仿宋"/>
          <w:sz w:val="32"/>
          <w:szCs w:val="32"/>
          <w:lang w:val="en-US" w:eastAsia="zh-CN"/>
        </w:rPr>
        <w:t>0万</w:t>
      </w:r>
      <w:r>
        <w:rPr>
          <w:rFonts w:hint="eastAsia" w:ascii="仿宋" w:hAnsi="仿宋" w:eastAsia="仿宋" w:cs="仿宋"/>
          <w:sz w:val="32"/>
          <w:szCs w:val="32"/>
        </w:rPr>
        <w:t>元。201</w:t>
      </w:r>
      <w:r>
        <w:rPr>
          <w:rFonts w:hint="eastAsia" w:ascii="仿宋" w:hAnsi="仿宋" w:eastAsia="仿宋" w:cs="仿宋"/>
          <w:sz w:val="32"/>
          <w:szCs w:val="32"/>
          <w:lang w:val="en-US" w:eastAsia="zh-CN"/>
        </w:rPr>
        <w:t>9</w:t>
      </w:r>
      <w:r>
        <w:rPr>
          <w:rFonts w:hint="eastAsia" w:ascii="仿宋" w:hAnsi="仿宋" w:eastAsia="仿宋" w:cs="仿宋"/>
          <w:sz w:val="32"/>
          <w:szCs w:val="32"/>
        </w:rPr>
        <w:t>年年初预算财政拨款收入为</w:t>
      </w:r>
      <w:r>
        <w:rPr>
          <w:rFonts w:hint="eastAsia" w:ascii="仿宋" w:hAnsi="仿宋" w:eastAsia="仿宋" w:cs="仿宋"/>
          <w:sz w:val="32"/>
          <w:szCs w:val="32"/>
          <w:lang w:val="en-US" w:eastAsia="zh-CN"/>
        </w:rPr>
        <w:t>455.56万</w:t>
      </w:r>
      <w:r>
        <w:rPr>
          <w:rFonts w:hint="eastAsia" w:ascii="仿宋" w:hAnsi="仿宋" w:eastAsia="仿宋" w:cs="仿宋"/>
          <w:sz w:val="32"/>
          <w:szCs w:val="32"/>
        </w:rPr>
        <w:t>元，年终调整预算追</w:t>
      </w:r>
      <w:r>
        <w:rPr>
          <w:rFonts w:hint="eastAsia" w:ascii="仿宋" w:hAnsi="仿宋" w:eastAsia="仿宋" w:cs="仿宋"/>
          <w:sz w:val="32"/>
          <w:szCs w:val="32"/>
          <w:lang w:eastAsia="zh-CN"/>
        </w:rPr>
        <w:t>减</w:t>
      </w:r>
      <w:r>
        <w:rPr>
          <w:rFonts w:hint="eastAsia" w:ascii="仿宋" w:hAnsi="仿宋" w:eastAsia="仿宋" w:cs="仿宋"/>
          <w:sz w:val="32"/>
          <w:szCs w:val="32"/>
        </w:rPr>
        <w:t>为</w:t>
      </w:r>
      <w:r>
        <w:rPr>
          <w:rFonts w:hint="eastAsia" w:ascii="仿宋" w:hAnsi="仿宋" w:eastAsia="仿宋" w:cs="仿宋"/>
          <w:kern w:val="0"/>
          <w:sz w:val="32"/>
          <w:szCs w:val="32"/>
          <w:lang w:val="en-US" w:eastAsia="zh-CN"/>
        </w:rPr>
        <w:t>49.09万</w:t>
      </w:r>
      <w:r>
        <w:rPr>
          <w:rFonts w:hint="eastAsia" w:ascii="仿宋" w:hAnsi="仿宋" w:eastAsia="仿宋" w:cs="仿宋"/>
          <w:sz w:val="32"/>
          <w:szCs w:val="32"/>
        </w:rPr>
        <w:t>元</w:t>
      </w:r>
      <w:r>
        <w:rPr>
          <w:rFonts w:hint="eastAsia" w:ascii="仿宋" w:hAnsi="仿宋" w:eastAsia="仿宋" w:cs="仿宋"/>
          <w:sz w:val="32"/>
          <w:szCs w:val="32"/>
          <w:lang w:eastAsia="zh-CN"/>
        </w:rPr>
        <w:t>。</w:t>
      </w:r>
    </w:p>
    <w:p w14:paraId="7AD30895">
      <w:pPr>
        <w:keepNext w:val="0"/>
        <w:keepLines w:val="0"/>
        <w:pageBreakBefore w:val="0"/>
        <w:widowControl w:val="0"/>
        <w:numPr>
          <w:ilvl w:val="0"/>
          <w:numId w:val="7"/>
        </w:numPr>
        <w:kinsoku/>
        <w:wordWrap/>
        <w:overflowPunct/>
        <w:topLinePunct w:val="0"/>
        <w:autoSpaceDE/>
        <w:autoSpaceDN/>
        <w:bidi w:val="0"/>
        <w:adjustRightInd/>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部门财政资金支出情况。</w:t>
      </w:r>
    </w:p>
    <w:p w14:paraId="18D71DA0">
      <w:pPr>
        <w:spacing w:line="600" w:lineRule="exact"/>
        <w:ind w:firstLine="640"/>
        <w:rPr>
          <w:rFonts w:hint="eastAsia" w:ascii="仿宋_GB2312" w:eastAsia="仿宋_GB2312"/>
          <w:sz w:val="32"/>
          <w:szCs w:val="32"/>
        </w:rPr>
      </w:pPr>
      <w:r>
        <w:rPr>
          <w:rFonts w:hint="eastAsia" w:ascii="仿宋_GB2312" w:eastAsia="仿宋_GB2312"/>
          <w:sz w:val="32"/>
          <w:szCs w:val="32"/>
        </w:rPr>
        <w:t>全</w:t>
      </w:r>
      <w:r>
        <w:rPr>
          <w:rFonts w:hint="eastAsia" w:ascii="仿宋_GB2312" w:eastAsia="仿宋_GB2312"/>
          <w:sz w:val="32"/>
          <w:szCs w:val="32"/>
          <w:lang w:eastAsia="zh-CN"/>
        </w:rPr>
        <w:t>镇</w:t>
      </w:r>
      <w:r>
        <w:rPr>
          <w:rFonts w:hint="eastAsia" w:ascii="仿宋_GB2312" w:eastAsia="仿宋_GB2312"/>
          <w:sz w:val="32"/>
          <w:szCs w:val="32"/>
        </w:rPr>
        <w:t>财政收入完成</w:t>
      </w:r>
      <w:r>
        <w:rPr>
          <w:rFonts w:hint="eastAsia" w:ascii="仿宋" w:hAnsi="仿宋" w:eastAsia="仿宋" w:cs="仿宋"/>
          <w:sz w:val="32"/>
          <w:szCs w:val="32"/>
          <w:lang w:val="en-US" w:eastAsia="zh-CN"/>
        </w:rPr>
        <w:t>406.47万</w:t>
      </w:r>
      <w:r>
        <w:rPr>
          <w:rFonts w:hint="eastAsia" w:ascii="仿宋_GB2312" w:eastAsia="仿宋_GB2312"/>
          <w:sz w:val="32"/>
          <w:szCs w:val="32"/>
        </w:rPr>
        <w:t>元，</w:t>
      </w:r>
      <w:r>
        <w:rPr>
          <w:rFonts w:hint="eastAsia" w:ascii="仿宋_GB2312" w:eastAsia="仿宋_GB2312"/>
          <w:sz w:val="32"/>
          <w:szCs w:val="32"/>
          <w:lang w:eastAsia="zh-CN"/>
        </w:rPr>
        <w:t>镇</w:t>
      </w:r>
      <w:r>
        <w:rPr>
          <w:rFonts w:hint="eastAsia" w:ascii="仿宋_GB2312" w:eastAsia="仿宋_GB2312"/>
          <w:sz w:val="32"/>
          <w:szCs w:val="32"/>
        </w:rPr>
        <w:t>总财政支出</w:t>
      </w:r>
      <w:r>
        <w:rPr>
          <w:rFonts w:hint="eastAsia" w:ascii="仿宋" w:hAnsi="仿宋" w:eastAsia="仿宋" w:cs="仿宋"/>
          <w:sz w:val="32"/>
          <w:szCs w:val="32"/>
          <w:lang w:val="en-US" w:eastAsia="zh-CN"/>
        </w:rPr>
        <w:t>406.47万</w:t>
      </w:r>
      <w:r>
        <w:rPr>
          <w:rFonts w:hint="eastAsia" w:ascii="仿宋_GB2312" w:eastAsia="仿宋_GB2312"/>
          <w:sz w:val="32"/>
          <w:szCs w:val="32"/>
        </w:rPr>
        <w:t>元。主要用于以下方面:一般公共服务（类）支出</w:t>
      </w:r>
      <w:r>
        <w:rPr>
          <w:rFonts w:hint="eastAsia" w:ascii="仿宋_GB2312" w:eastAsia="仿宋_GB2312"/>
          <w:sz w:val="32"/>
          <w:szCs w:val="32"/>
          <w:lang w:val="en-US" w:eastAsia="zh-CN"/>
        </w:rPr>
        <w:t>140.80</w:t>
      </w:r>
      <w:r>
        <w:rPr>
          <w:rFonts w:hint="eastAsia" w:ascii="仿宋_GB2312" w:eastAsia="仿宋_GB2312"/>
          <w:sz w:val="32"/>
          <w:szCs w:val="32"/>
        </w:rPr>
        <w:t>万元，占</w:t>
      </w:r>
      <w:r>
        <w:rPr>
          <w:rFonts w:hint="eastAsia" w:ascii="仿宋_GB2312" w:eastAsia="仿宋_GB2312"/>
          <w:sz w:val="32"/>
          <w:szCs w:val="32"/>
          <w:lang w:val="en-US" w:eastAsia="zh-CN"/>
        </w:rPr>
        <w:t>34.64</w:t>
      </w:r>
      <w:r>
        <w:rPr>
          <w:rFonts w:hint="eastAsia" w:ascii="仿宋_GB2312" w:eastAsia="仿宋_GB2312"/>
          <w:sz w:val="32"/>
          <w:szCs w:val="32"/>
        </w:rPr>
        <w:t>%；</w:t>
      </w:r>
      <w:r>
        <w:rPr>
          <w:rFonts w:hint="eastAsia" w:ascii="仿宋_GB2312" w:eastAsia="仿宋_GB2312"/>
          <w:sz w:val="32"/>
          <w:szCs w:val="32"/>
          <w:lang w:eastAsia="zh-CN"/>
        </w:rPr>
        <w:t>公共安全支出</w:t>
      </w:r>
      <w:r>
        <w:rPr>
          <w:rFonts w:hint="eastAsia" w:ascii="仿宋_GB2312" w:eastAsia="仿宋_GB2312"/>
          <w:sz w:val="32"/>
          <w:szCs w:val="32"/>
        </w:rPr>
        <w:t>（类）</w:t>
      </w:r>
      <w:r>
        <w:rPr>
          <w:rFonts w:hint="eastAsia" w:ascii="仿宋_GB2312" w:eastAsia="仿宋_GB2312"/>
          <w:sz w:val="32"/>
          <w:szCs w:val="32"/>
          <w:lang w:val="en-US" w:eastAsia="zh-CN"/>
        </w:rPr>
        <w:t>7.08</w:t>
      </w:r>
      <w:r>
        <w:rPr>
          <w:rFonts w:hint="eastAsia" w:ascii="仿宋_GB2312" w:eastAsia="仿宋_GB2312"/>
          <w:sz w:val="32"/>
          <w:szCs w:val="32"/>
        </w:rPr>
        <w:t>万元，占</w:t>
      </w:r>
      <w:r>
        <w:rPr>
          <w:rFonts w:hint="eastAsia" w:ascii="仿宋_GB2312" w:eastAsia="仿宋_GB2312"/>
          <w:sz w:val="32"/>
          <w:szCs w:val="32"/>
          <w:lang w:val="en-US" w:eastAsia="zh-CN"/>
        </w:rPr>
        <w:t>1.74</w:t>
      </w:r>
      <w:r>
        <w:rPr>
          <w:rFonts w:hint="eastAsia" w:ascii="仿宋_GB2312" w:eastAsia="仿宋_GB2312"/>
          <w:sz w:val="32"/>
          <w:szCs w:val="32"/>
        </w:rPr>
        <w:t>%；社会保障和就业（类）支出</w:t>
      </w:r>
      <w:r>
        <w:rPr>
          <w:rFonts w:hint="eastAsia" w:ascii="仿宋_GB2312" w:eastAsia="仿宋_GB2312"/>
          <w:sz w:val="32"/>
          <w:szCs w:val="32"/>
          <w:lang w:val="en-US" w:eastAsia="zh-CN"/>
        </w:rPr>
        <w:t>20.28</w:t>
      </w:r>
      <w:r>
        <w:rPr>
          <w:rFonts w:hint="eastAsia" w:ascii="仿宋_GB2312" w:eastAsia="仿宋_GB2312"/>
          <w:sz w:val="32"/>
          <w:szCs w:val="32"/>
        </w:rPr>
        <w:t>万元，占</w:t>
      </w:r>
      <w:r>
        <w:rPr>
          <w:rFonts w:hint="eastAsia" w:ascii="仿宋_GB2312" w:eastAsia="仿宋_GB2312"/>
          <w:sz w:val="32"/>
          <w:szCs w:val="32"/>
          <w:lang w:val="en-US" w:eastAsia="zh-CN"/>
        </w:rPr>
        <w:t>4.99</w:t>
      </w:r>
      <w:r>
        <w:rPr>
          <w:rFonts w:hint="eastAsia" w:ascii="仿宋_GB2312" w:eastAsia="仿宋_GB2312"/>
          <w:sz w:val="32"/>
          <w:szCs w:val="32"/>
        </w:rPr>
        <w:t>%；卫生健康</w:t>
      </w:r>
      <w:r>
        <w:rPr>
          <w:rFonts w:hint="eastAsia" w:ascii="仿宋_GB2312" w:eastAsia="仿宋_GB2312"/>
          <w:sz w:val="32"/>
          <w:szCs w:val="32"/>
          <w:lang w:eastAsia="zh-CN"/>
        </w:rPr>
        <w:t>（类）</w:t>
      </w:r>
      <w:r>
        <w:rPr>
          <w:rFonts w:hint="eastAsia" w:ascii="仿宋_GB2312" w:eastAsia="仿宋_GB2312"/>
          <w:sz w:val="32"/>
          <w:szCs w:val="32"/>
        </w:rPr>
        <w:t>支出</w:t>
      </w:r>
      <w:r>
        <w:rPr>
          <w:rFonts w:hint="eastAsia" w:ascii="仿宋_GB2312" w:eastAsia="仿宋_GB2312"/>
          <w:sz w:val="32"/>
          <w:szCs w:val="32"/>
          <w:lang w:val="en-US" w:eastAsia="zh-CN"/>
        </w:rPr>
        <w:t>13.64</w:t>
      </w:r>
      <w:r>
        <w:rPr>
          <w:rFonts w:hint="eastAsia" w:ascii="仿宋_GB2312" w:eastAsia="仿宋_GB2312"/>
          <w:sz w:val="32"/>
          <w:szCs w:val="32"/>
        </w:rPr>
        <w:t>万元，占</w:t>
      </w:r>
      <w:r>
        <w:rPr>
          <w:rFonts w:hint="eastAsia" w:ascii="仿宋_GB2312" w:eastAsia="仿宋_GB2312"/>
          <w:sz w:val="32"/>
          <w:szCs w:val="32"/>
          <w:lang w:val="en-US" w:eastAsia="zh-CN"/>
        </w:rPr>
        <w:t>3.35</w:t>
      </w:r>
      <w:r>
        <w:rPr>
          <w:rFonts w:hint="eastAsia" w:ascii="仿宋_GB2312" w:eastAsia="仿宋_GB2312"/>
          <w:sz w:val="32"/>
          <w:szCs w:val="32"/>
        </w:rPr>
        <w:t>%；</w:t>
      </w:r>
      <w:r>
        <w:rPr>
          <w:rFonts w:hint="eastAsia" w:ascii="仿宋_GB2312" w:eastAsia="仿宋_GB2312"/>
          <w:sz w:val="32"/>
          <w:szCs w:val="32"/>
          <w:lang w:val="en-US" w:eastAsia="zh-CN"/>
        </w:rPr>
        <w:t>农林水（类）支出207.76万元，占51.11%；住房保障（类）</w:t>
      </w:r>
      <w:r>
        <w:rPr>
          <w:rFonts w:hint="eastAsia" w:ascii="仿宋_GB2312" w:eastAsia="仿宋_GB2312"/>
          <w:sz w:val="32"/>
          <w:szCs w:val="32"/>
        </w:rPr>
        <w:t>支出</w:t>
      </w:r>
      <w:r>
        <w:rPr>
          <w:rFonts w:hint="eastAsia" w:ascii="仿宋_GB2312" w:eastAsia="仿宋_GB2312"/>
          <w:sz w:val="32"/>
          <w:szCs w:val="32"/>
          <w:lang w:val="en-US" w:eastAsia="zh-CN"/>
        </w:rPr>
        <w:t>16.90</w:t>
      </w:r>
      <w:r>
        <w:rPr>
          <w:rFonts w:hint="eastAsia" w:ascii="仿宋_GB2312" w:eastAsia="仿宋_GB2312"/>
          <w:sz w:val="32"/>
          <w:szCs w:val="32"/>
        </w:rPr>
        <w:t>万元，占</w:t>
      </w:r>
      <w:r>
        <w:rPr>
          <w:rFonts w:hint="eastAsia" w:ascii="仿宋_GB2312" w:eastAsia="仿宋_GB2312"/>
          <w:sz w:val="32"/>
          <w:szCs w:val="32"/>
          <w:lang w:val="en-US" w:eastAsia="zh-CN"/>
        </w:rPr>
        <w:t>4.17</w:t>
      </w:r>
      <w:r>
        <w:rPr>
          <w:rFonts w:hint="eastAsia" w:ascii="仿宋_GB2312" w:eastAsia="仿宋_GB2312"/>
          <w:sz w:val="32"/>
          <w:szCs w:val="32"/>
        </w:rPr>
        <w:t>%。</w:t>
      </w:r>
    </w:p>
    <w:p w14:paraId="7AFC6AA9">
      <w:pPr>
        <w:keepNext w:val="0"/>
        <w:keepLines w:val="0"/>
        <w:pageBreakBefore w:val="0"/>
        <w:kinsoku/>
        <w:wordWrap/>
        <w:overflowPunct/>
        <w:topLinePunct w:val="0"/>
        <w:autoSpaceDE/>
        <w:autoSpaceDN/>
        <w:bidi w:val="0"/>
        <w:adjustRightInd/>
        <w:snapToGrid/>
        <w:spacing w:line="600" w:lineRule="exact"/>
        <w:ind w:right="0" w:rightChars="0" w:firstLine="640" w:firstLineChars="200"/>
        <w:textAlignment w:val="auto"/>
        <w:outlineLvl w:val="9"/>
        <w:rPr>
          <w:rFonts w:hint="eastAsia" w:ascii="仿宋_GB2312" w:eastAsia="仿宋_GB2312"/>
          <w:sz w:val="32"/>
          <w:szCs w:val="32"/>
        </w:rPr>
      </w:pPr>
      <w:r>
        <w:rPr>
          <w:rFonts w:hint="eastAsia" w:ascii="仿宋_GB2312" w:eastAsia="仿宋_GB2312"/>
          <w:sz w:val="32"/>
          <w:szCs w:val="32"/>
        </w:rPr>
        <w:t>按经济科目分：工资及福利支出</w:t>
      </w:r>
      <w:r>
        <w:rPr>
          <w:rFonts w:hint="eastAsia" w:ascii="仿宋_GB2312" w:eastAsia="仿宋_GB2312"/>
          <w:sz w:val="32"/>
          <w:szCs w:val="32"/>
          <w:lang w:val="en-US" w:eastAsia="zh-CN"/>
        </w:rPr>
        <w:t xml:space="preserve"> 192.11万</w:t>
      </w:r>
      <w:r>
        <w:rPr>
          <w:rFonts w:hint="eastAsia" w:ascii="仿宋_GB2312" w:eastAsia="仿宋_GB2312"/>
          <w:sz w:val="32"/>
          <w:szCs w:val="32"/>
        </w:rPr>
        <w:t>元；商品和服务支出</w:t>
      </w:r>
      <w:r>
        <w:rPr>
          <w:rFonts w:hint="eastAsia" w:ascii="仿宋_GB2312" w:eastAsia="仿宋_GB2312"/>
          <w:sz w:val="32"/>
          <w:szCs w:val="32"/>
          <w:lang w:val="en-US" w:eastAsia="zh-CN"/>
        </w:rPr>
        <w:t>151.14万</w:t>
      </w:r>
      <w:r>
        <w:rPr>
          <w:rFonts w:hint="eastAsia" w:ascii="仿宋_GB2312" w:eastAsia="仿宋_GB2312"/>
          <w:sz w:val="32"/>
          <w:szCs w:val="32"/>
        </w:rPr>
        <w:t>元，对个人和家庭的补助支出</w:t>
      </w:r>
      <w:r>
        <w:rPr>
          <w:rFonts w:hint="eastAsia" w:ascii="仿宋_GB2312" w:eastAsia="仿宋_GB2312"/>
          <w:sz w:val="32"/>
          <w:szCs w:val="32"/>
          <w:lang w:val="en-US" w:eastAsia="zh-CN"/>
        </w:rPr>
        <w:t>33.22万</w:t>
      </w:r>
      <w:r>
        <w:rPr>
          <w:rFonts w:hint="eastAsia" w:ascii="仿宋_GB2312" w:eastAsia="仿宋_GB2312"/>
          <w:sz w:val="32"/>
          <w:szCs w:val="32"/>
        </w:rPr>
        <w:t>元；其他资本性支出</w:t>
      </w:r>
      <w:r>
        <w:rPr>
          <w:rFonts w:hint="eastAsia" w:ascii="仿宋_GB2312" w:eastAsia="仿宋_GB2312"/>
          <w:sz w:val="32"/>
          <w:szCs w:val="32"/>
          <w:lang w:val="en-US" w:eastAsia="zh-CN"/>
        </w:rPr>
        <w:t>30万</w:t>
      </w:r>
      <w:r>
        <w:rPr>
          <w:rFonts w:hint="eastAsia" w:ascii="仿宋_GB2312" w:eastAsia="仿宋_GB2312"/>
          <w:sz w:val="32"/>
          <w:szCs w:val="32"/>
        </w:rPr>
        <w:t>元</w:t>
      </w:r>
      <w:r>
        <w:rPr>
          <w:rFonts w:hint="eastAsia" w:ascii="仿宋_GB2312" w:eastAsia="仿宋_GB2312"/>
          <w:sz w:val="32"/>
          <w:szCs w:val="32"/>
          <w:lang w:val="en-US" w:eastAsia="zh-CN"/>
        </w:rPr>
        <w:t>。</w:t>
      </w:r>
    </w:p>
    <w:p w14:paraId="68529C6E">
      <w:pPr>
        <w:keepNext w:val="0"/>
        <w:keepLines w:val="0"/>
        <w:pageBreakBefore w:val="0"/>
        <w:kinsoku/>
        <w:wordWrap/>
        <w:overflowPunct/>
        <w:topLinePunct w:val="0"/>
        <w:autoSpaceDE/>
        <w:autoSpaceDN/>
        <w:bidi w:val="0"/>
        <w:adjustRightInd/>
        <w:snapToGrid/>
        <w:spacing w:line="600" w:lineRule="exact"/>
        <w:ind w:right="0" w:rightChars="0" w:firstLine="640" w:firstLineChars="200"/>
        <w:textAlignment w:val="auto"/>
        <w:outlineLvl w:val="9"/>
        <w:rPr>
          <w:rFonts w:hint="default" w:ascii="仿宋" w:hAnsi="仿宋" w:eastAsia="仿宋" w:cs="仿宋_GB2312"/>
          <w:sz w:val="32"/>
          <w:szCs w:val="32"/>
          <w:lang w:val="en-US" w:eastAsia="zh-CN"/>
        </w:rPr>
      </w:pPr>
      <w:r>
        <w:rPr>
          <w:rFonts w:hint="eastAsia" w:ascii="仿宋_GB2312" w:eastAsia="仿宋_GB2312"/>
          <w:sz w:val="32"/>
          <w:szCs w:val="32"/>
        </w:rPr>
        <w:t>本年度预算支出数</w:t>
      </w:r>
      <w:r>
        <w:rPr>
          <w:rFonts w:hint="eastAsia" w:ascii="仿宋" w:hAnsi="仿宋" w:eastAsia="仿宋" w:cs="仿宋"/>
          <w:sz w:val="32"/>
          <w:szCs w:val="32"/>
          <w:lang w:val="en-US" w:eastAsia="zh-CN"/>
        </w:rPr>
        <w:t>406.47万元</w:t>
      </w:r>
      <w:r>
        <w:rPr>
          <w:rFonts w:hint="eastAsia" w:ascii="仿宋_GB2312" w:eastAsia="仿宋_GB2312"/>
          <w:sz w:val="32"/>
          <w:szCs w:val="32"/>
        </w:rPr>
        <w:t>，年终决算支出数</w:t>
      </w:r>
      <w:r>
        <w:rPr>
          <w:rFonts w:hint="eastAsia" w:ascii="仿宋" w:hAnsi="仿宋" w:eastAsia="仿宋" w:cs="仿宋"/>
          <w:sz w:val="32"/>
          <w:szCs w:val="32"/>
          <w:lang w:val="en-US" w:eastAsia="zh-CN"/>
        </w:rPr>
        <w:t>406.47万</w:t>
      </w:r>
      <w:r>
        <w:rPr>
          <w:rFonts w:hint="eastAsia" w:ascii="仿宋_GB2312" w:eastAsia="仿宋_GB2312"/>
          <w:sz w:val="32"/>
          <w:szCs w:val="32"/>
        </w:rPr>
        <w:t>元。全年收支平衡。</w:t>
      </w:r>
    </w:p>
    <w:p w14:paraId="0562690A">
      <w:pPr>
        <w:pageBreakBefore w:val="0"/>
        <w:kinsoku/>
        <w:wordWrap/>
        <w:overflowPunct/>
        <w:topLinePunct w:val="0"/>
        <w:bidi w:val="0"/>
        <w:spacing w:line="600" w:lineRule="exact"/>
        <w:ind w:firstLine="640" w:firstLineChars="200"/>
        <w:textAlignment w:val="auto"/>
        <w:rPr>
          <w:rFonts w:ascii="黑体" w:hAnsi="黑体" w:eastAsia="黑体" w:cs="黑体"/>
          <w:sz w:val="32"/>
          <w:szCs w:val="32"/>
        </w:rPr>
      </w:pPr>
      <w:r>
        <w:rPr>
          <w:rFonts w:ascii="黑体" w:hAnsi="黑体" w:eastAsia="黑体" w:cs="黑体"/>
          <w:sz w:val="32"/>
          <w:szCs w:val="32"/>
        </w:rPr>
        <w:t>三、部门整体预算绩效管理情况（根据适用指标体系进行调整）</w:t>
      </w:r>
    </w:p>
    <w:p w14:paraId="4F668E5A">
      <w:pPr>
        <w:pageBreakBefore w:val="0"/>
        <w:kinsoku/>
        <w:wordWrap/>
        <w:overflowPunct/>
        <w:topLinePunct w:val="0"/>
        <w:bidi w:val="0"/>
        <w:spacing w:line="600" w:lineRule="exact"/>
        <w:ind w:firstLine="643" w:firstLineChars="200"/>
        <w:textAlignment w:val="auto"/>
        <w:rPr>
          <w:rFonts w:ascii="仿宋" w:hAnsi="仿宋" w:eastAsia="仿宋" w:cs="仿宋_GB2312"/>
          <w:sz w:val="32"/>
          <w:szCs w:val="32"/>
        </w:rPr>
      </w:pPr>
      <w:r>
        <w:rPr>
          <w:rFonts w:ascii="仿宋" w:hAnsi="仿宋" w:eastAsia="仿宋" w:cs="仿宋_GB2312"/>
          <w:b/>
          <w:bCs/>
          <w:sz w:val="32"/>
          <w:szCs w:val="32"/>
        </w:rPr>
        <w:t>（一）部门预算管理。</w:t>
      </w:r>
    </w:p>
    <w:p w14:paraId="20C18F43">
      <w:pPr>
        <w:pageBreakBefore w:val="0"/>
        <w:kinsoku/>
        <w:wordWrap/>
        <w:overflowPunct/>
        <w:topLinePunct w:val="0"/>
        <w:bidi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w:t>
      </w:r>
      <w:r>
        <w:rPr>
          <w:rFonts w:hint="eastAsia" w:ascii="华文仿宋" w:hAnsi="华文仿宋" w:eastAsia="华文仿宋" w:cs="华文仿宋"/>
          <w:sz w:val="32"/>
          <w:szCs w:val="32"/>
          <w:lang w:eastAsia="zh-CN"/>
        </w:rPr>
        <w:t>丁家乡</w:t>
      </w:r>
      <w:r>
        <w:rPr>
          <w:rFonts w:hint="eastAsia" w:ascii="华文仿宋" w:hAnsi="华文仿宋" w:eastAsia="华文仿宋" w:cs="华文仿宋"/>
          <w:sz w:val="32"/>
          <w:szCs w:val="32"/>
        </w:rPr>
        <w:t>财务支出基本符合国家财经法规和财务管理制度规定以及有关专项资金管理办法的规定，资金的拨付有完整的审批过程和手续，支出基本符合部门预算批复的用途，资金使用无截留、挤占、挪用、虚列支出等情况。根据区政府绩效考核文件精神，绩效目标在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年基本完成，在保障机关运转、履行职能职责上整体情况良好。</w:t>
      </w:r>
    </w:p>
    <w:p w14:paraId="53E85884">
      <w:pPr>
        <w:pageBreakBefore w:val="0"/>
        <w:kinsoku/>
        <w:wordWrap/>
        <w:overflowPunct/>
        <w:topLinePunct w:val="0"/>
        <w:bidi w:val="0"/>
        <w:spacing w:line="600" w:lineRule="exact"/>
        <w:ind w:firstLine="641" w:firstLineChars="200"/>
        <w:textAlignment w:val="auto"/>
        <w:rPr>
          <w:rFonts w:hint="eastAsia" w:ascii="华文仿宋" w:hAnsi="华文仿宋" w:eastAsia="华文仿宋" w:cs="华文仿宋"/>
          <w:b/>
          <w:bCs/>
          <w:sz w:val="32"/>
          <w:szCs w:val="32"/>
        </w:rPr>
      </w:pPr>
      <w:r>
        <w:rPr>
          <w:rFonts w:hint="eastAsia" w:ascii="华文仿宋" w:hAnsi="华文仿宋" w:eastAsia="华文仿宋" w:cs="华文仿宋"/>
          <w:b/>
          <w:bCs/>
          <w:sz w:val="32"/>
          <w:szCs w:val="32"/>
        </w:rPr>
        <w:t>（二）专项预算管理。</w:t>
      </w:r>
    </w:p>
    <w:p w14:paraId="44EE44C7">
      <w:pPr>
        <w:pageBreakBefore w:val="0"/>
        <w:kinsoku/>
        <w:wordWrap/>
        <w:overflowPunct/>
        <w:topLinePunct w:val="0"/>
        <w:bidi w:val="0"/>
        <w:spacing w:line="600" w:lineRule="exact"/>
        <w:ind w:firstLine="640" w:firstLineChars="200"/>
        <w:textAlignment w:val="auto"/>
        <w:rPr>
          <w:rFonts w:ascii="仿宋" w:hAnsi="仿宋" w:eastAsia="仿宋" w:cs="仿宋_GB2312"/>
          <w:sz w:val="32"/>
          <w:szCs w:val="32"/>
        </w:rPr>
      </w:pPr>
      <w:r>
        <w:rPr>
          <w:rFonts w:ascii="仿宋" w:hAnsi="仿宋" w:eastAsia="仿宋" w:cs="仿宋_GB2312"/>
          <w:sz w:val="32"/>
          <w:szCs w:val="32"/>
        </w:rPr>
        <w:t>包括专项预算项目程序严密、规划合理、结果符合、分配科学、分配及时、专项预算绩效目标完成、实施绩效、违规记录等情况。</w:t>
      </w:r>
    </w:p>
    <w:p w14:paraId="1EB8594C">
      <w:pPr>
        <w:pageBreakBefore w:val="0"/>
        <w:kinsoku/>
        <w:wordWrap/>
        <w:overflowPunct/>
        <w:topLinePunct w:val="0"/>
        <w:bidi w:val="0"/>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（三）结果应用情况。</w:t>
      </w:r>
    </w:p>
    <w:p w14:paraId="44C607EB">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1.部门职责履行结果。</w:t>
      </w:r>
      <w:r>
        <w:rPr>
          <w:rFonts w:hint="eastAsia" w:eastAsia="仿宋_GB2312" w:cs="Times New Roman"/>
          <w:sz w:val="32"/>
          <w:szCs w:val="32"/>
          <w:lang w:eastAsia="zh-CN"/>
        </w:rPr>
        <w:t>我乡</w:t>
      </w:r>
      <w:r>
        <w:rPr>
          <w:rFonts w:hint="default" w:ascii="Times New Roman" w:hAnsi="Times New Roman" w:eastAsia="仿宋_GB2312" w:cs="Times New Roman"/>
          <w:sz w:val="32"/>
          <w:szCs w:val="32"/>
        </w:rPr>
        <w:t>大力加强财政收支管理，使部门整体支出管理情况得到了提升，保障了各项工作的有序高效运转，较好地履行了各项职能，并完成了上级交</w:t>
      </w:r>
      <w:r>
        <w:rPr>
          <w:rFonts w:hint="eastAsia" w:ascii="Times New Roman" w:hAnsi="Times New Roman" w:eastAsia="仿宋_GB2312" w:cs="Times New Roman"/>
          <w:sz w:val="32"/>
          <w:szCs w:val="32"/>
          <w:lang w:eastAsia="zh-CN"/>
        </w:rPr>
        <w:t>办</w:t>
      </w:r>
      <w:r>
        <w:rPr>
          <w:rFonts w:hint="default" w:ascii="Times New Roman" w:hAnsi="Times New Roman" w:eastAsia="仿宋_GB2312" w:cs="Times New Roman"/>
          <w:sz w:val="32"/>
          <w:szCs w:val="32"/>
        </w:rPr>
        <w:t>的各项任务。</w:t>
      </w:r>
    </w:p>
    <w:p w14:paraId="55D84D86">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2.重点项目绩效评价结果。201</w:t>
      </w:r>
      <w:r>
        <w:rPr>
          <w:rFonts w:hint="eastAsia" w:ascii="Times New Roman" w:hAnsi="Times New Roman" w:eastAsia="仿宋_GB2312" w:cs="Times New Roman"/>
          <w:sz w:val="32"/>
          <w:szCs w:val="32"/>
          <w:lang w:val="en-US" w:eastAsia="zh-CN"/>
        </w:rPr>
        <w:t>9</w:t>
      </w:r>
      <w:r>
        <w:rPr>
          <w:rFonts w:hint="default" w:ascii="Times New Roman" w:hAnsi="Times New Roman" w:eastAsia="仿宋_GB2312" w:cs="Times New Roman"/>
          <w:sz w:val="32"/>
          <w:szCs w:val="32"/>
        </w:rPr>
        <w:t>年，</w:t>
      </w:r>
      <w:r>
        <w:rPr>
          <w:rFonts w:hint="eastAsia" w:eastAsia="仿宋_GB2312" w:cs="Times New Roman"/>
          <w:sz w:val="32"/>
          <w:szCs w:val="32"/>
          <w:lang w:eastAsia="zh-CN"/>
        </w:rPr>
        <w:t>我乡</w:t>
      </w:r>
      <w:r>
        <w:rPr>
          <w:rFonts w:hint="default" w:ascii="Times New Roman" w:hAnsi="Times New Roman" w:eastAsia="仿宋_GB2312" w:cs="Times New Roman"/>
          <w:sz w:val="32"/>
          <w:szCs w:val="32"/>
        </w:rPr>
        <w:t>从本级预算安排项目中选择重点项目开展支出绩效评价工作，从评价结果看，被评价项目总体绩效目标明确，决策依据充分，资金分配科学合理，项目管理较规范，项目完成良好，基本达到了预期效果。</w:t>
      </w:r>
    </w:p>
    <w:p w14:paraId="50B85C26">
      <w:pPr>
        <w:pageBreakBefore w:val="0"/>
        <w:kinsoku/>
        <w:wordWrap/>
        <w:overflowPunct/>
        <w:topLinePunct w:val="0"/>
        <w:bidi w:val="0"/>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3.服务对象满意度。积极认真</w:t>
      </w:r>
      <w:r>
        <w:rPr>
          <w:rFonts w:hint="eastAsia" w:ascii="Times New Roman" w:hAnsi="Times New Roman" w:eastAsia="仿宋_GB2312" w:cs="Times New Roman"/>
          <w:sz w:val="32"/>
          <w:szCs w:val="32"/>
          <w:lang w:eastAsia="zh-CN"/>
        </w:rPr>
        <w:t>镇</w:t>
      </w:r>
      <w:r>
        <w:rPr>
          <w:rFonts w:hint="eastAsia" w:eastAsia="仿宋_GB2312" w:cs="Times New Roman"/>
          <w:sz w:val="32"/>
          <w:szCs w:val="32"/>
          <w:lang w:eastAsia="zh-CN"/>
        </w:rPr>
        <w:t>梳</w:t>
      </w:r>
      <w:r>
        <w:rPr>
          <w:rFonts w:hint="default" w:ascii="Times New Roman" w:hAnsi="Times New Roman" w:eastAsia="仿宋_GB2312" w:cs="Times New Roman"/>
          <w:sz w:val="32"/>
          <w:szCs w:val="32"/>
        </w:rPr>
        <w:t>理人大代表建议、妥善处理群众来信来访、化解社会矛盾情况，加强政风行风建设、解决损害群众利益的情况，人民群众满意度较好。</w:t>
      </w:r>
    </w:p>
    <w:p w14:paraId="0CB51DDE">
      <w:pPr>
        <w:pageBreakBefore w:val="0"/>
        <w:kinsoku/>
        <w:wordWrap/>
        <w:overflowPunct/>
        <w:topLinePunct w:val="0"/>
        <w:bidi w:val="0"/>
        <w:spacing w:line="600" w:lineRule="exact"/>
        <w:ind w:firstLine="640" w:firstLineChars="200"/>
        <w:textAlignment w:val="auto"/>
        <w:rPr>
          <w:rFonts w:ascii="黑体" w:hAnsi="黑体" w:eastAsia="黑体" w:cs="黑体"/>
          <w:sz w:val="32"/>
          <w:szCs w:val="32"/>
        </w:rPr>
      </w:pPr>
      <w:r>
        <w:rPr>
          <w:rFonts w:ascii="黑体" w:hAnsi="黑体" w:eastAsia="黑体" w:cs="黑体"/>
          <w:sz w:val="32"/>
          <w:szCs w:val="32"/>
        </w:rPr>
        <w:t>四、评价结论及建议</w:t>
      </w:r>
    </w:p>
    <w:p w14:paraId="3BF478B8">
      <w:pPr>
        <w:pageBreakBefore w:val="0"/>
        <w:kinsoku/>
        <w:wordWrap/>
        <w:overflowPunct/>
        <w:topLinePunct w:val="0"/>
        <w:bidi w:val="0"/>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（一）评价结论。</w:t>
      </w:r>
    </w:p>
    <w:p w14:paraId="05353F66">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ascii="仿宋" w:hAnsi="仿宋" w:eastAsia="仿宋" w:cs="仿宋_GB2312"/>
          <w:sz w:val="32"/>
          <w:szCs w:val="32"/>
        </w:rPr>
      </w:pPr>
      <w:r>
        <w:rPr>
          <w:rFonts w:hint="default" w:ascii="Times New Roman" w:hAnsi="Times New Roman" w:eastAsia="仿宋_GB2312" w:cs="Times New Roman"/>
          <w:sz w:val="32"/>
          <w:szCs w:val="32"/>
        </w:rPr>
        <w:t>201</w:t>
      </w:r>
      <w:r>
        <w:rPr>
          <w:rFonts w:hint="eastAsia" w:ascii="Times New Roman" w:hAnsi="Times New Roman" w:eastAsia="仿宋_GB2312" w:cs="Times New Roman"/>
          <w:sz w:val="32"/>
          <w:szCs w:val="32"/>
          <w:lang w:val="en-US" w:eastAsia="zh-CN"/>
        </w:rPr>
        <w:t>9</w:t>
      </w:r>
      <w:r>
        <w:rPr>
          <w:rFonts w:hint="default" w:ascii="Times New Roman" w:hAnsi="Times New Roman" w:eastAsia="仿宋_GB2312" w:cs="Times New Roman"/>
          <w:sz w:val="32"/>
          <w:szCs w:val="32"/>
        </w:rPr>
        <w:t>年，</w:t>
      </w:r>
      <w:r>
        <w:rPr>
          <w:rFonts w:hint="eastAsia" w:eastAsia="仿宋_GB2312" w:cs="Times New Roman"/>
          <w:sz w:val="32"/>
          <w:szCs w:val="32"/>
          <w:lang w:eastAsia="zh-CN"/>
        </w:rPr>
        <w:t>我乡</w:t>
      </w:r>
      <w:r>
        <w:rPr>
          <w:rFonts w:hint="default" w:ascii="Times New Roman" w:hAnsi="Times New Roman" w:eastAsia="仿宋_GB2312" w:cs="Times New Roman"/>
          <w:sz w:val="32"/>
          <w:szCs w:val="32"/>
        </w:rPr>
        <w:t>紧紧围绕党委、政府中心工作依法履职，全面完成了各项任务，保障了中央和省、市、县政府重大决策部署贯彻落实，促进了作风转变和自身建设，经费保障能力不断提高，经费投向科学合理，财务管理监督规范有效，经济社会效益功能明显，为维护地方经济安全发挥了积极作用。</w:t>
      </w:r>
    </w:p>
    <w:p w14:paraId="415A783A">
      <w:pPr>
        <w:pageBreakBefore w:val="0"/>
        <w:numPr>
          <w:ilvl w:val="0"/>
          <w:numId w:val="0"/>
        </w:numPr>
        <w:kinsoku/>
        <w:wordWrap/>
        <w:overflowPunct/>
        <w:topLinePunct w:val="0"/>
        <w:bidi w:val="0"/>
        <w:spacing w:line="600" w:lineRule="exact"/>
        <w:ind w:firstLine="643" w:firstLineChars="200"/>
        <w:textAlignment w:val="auto"/>
        <w:rPr>
          <w:rFonts w:ascii="仿宋" w:hAnsi="仿宋" w:eastAsia="仿宋" w:cs="仿宋_GB2312"/>
          <w:b/>
          <w:bCs/>
          <w:sz w:val="32"/>
          <w:szCs w:val="32"/>
        </w:rPr>
      </w:pPr>
      <w:r>
        <w:rPr>
          <w:rFonts w:hint="eastAsia" w:ascii="仿宋" w:hAnsi="仿宋" w:eastAsia="仿宋" w:cs="仿宋_GB2312"/>
          <w:b/>
          <w:bCs/>
          <w:sz w:val="32"/>
          <w:szCs w:val="32"/>
          <w:lang w:eastAsia="zh-CN"/>
        </w:rPr>
        <w:t>（二）</w:t>
      </w:r>
      <w:r>
        <w:rPr>
          <w:rFonts w:ascii="仿宋" w:hAnsi="仿宋" w:eastAsia="仿宋" w:cs="仿宋_GB2312"/>
          <w:b/>
          <w:bCs/>
          <w:sz w:val="32"/>
          <w:szCs w:val="32"/>
        </w:rPr>
        <w:t>存在问题。</w:t>
      </w:r>
    </w:p>
    <w:p w14:paraId="7AFDFF40">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1.面对复杂的经济环境，财政增收的压力进一步加大，财政收入结构性矛盾突出。</w:t>
      </w:r>
    </w:p>
    <w:p w14:paraId="65225485">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2.财政科学化、精细化管理水平有待进一步提高等。</w:t>
      </w:r>
    </w:p>
    <w:p w14:paraId="3D6DD2F8">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3.财政资源配置作用有待进一步加强。</w:t>
      </w:r>
    </w:p>
    <w:p w14:paraId="695A5BCA">
      <w:pPr>
        <w:pageBreakBefore w:val="0"/>
        <w:kinsoku/>
        <w:wordWrap/>
        <w:overflowPunct/>
        <w:topLinePunct w:val="0"/>
        <w:bidi w:val="0"/>
        <w:spacing w:line="600" w:lineRule="exact"/>
        <w:ind w:firstLine="643" w:firstLineChars="200"/>
        <w:textAlignment w:val="auto"/>
        <w:rPr>
          <w:rFonts w:ascii="仿宋" w:hAnsi="仿宋" w:eastAsia="仿宋" w:cs="仿宋_GB2312"/>
          <w:sz w:val="32"/>
          <w:szCs w:val="32"/>
        </w:rPr>
      </w:pPr>
      <w:r>
        <w:rPr>
          <w:rFonts w:ascii="仿宋" w:hAnsi="仿宋" w:eastAsia="仿宋" w:cs="仿宋_GB2312"/>
          <w:b/>
          <w:bCs/>
          <w:sz w:val="32"/>
          <w:szCs w:val="32"/>
        </w:rPr>
        <w:t>（三）改进建议。</w:t>
      </w:r>
    </w:p>
    <w:p w14:paraId="423786E9">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1.抓好税收征管工作，坚持依法征税,做好企业服务工作，稳固主体税源；加强财政非税收入征缴，努力做到应收尽收，确保财政收入稳定增长。</w:t>
      </w:r>
    </w:p>
    <w:p w14:paraId="684E0BD7">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2.不断完善部门预算编制工作，在规范制度、细化编制、严肃执行等方面下功夫，切实提高预算管理全过程的科学化和精细化水平。</w:t>
      </w:r>
    </w:p>
    <w:p w14:paraId="31A8C611">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3.优化支出结构，统筹运用财力，合理调度财政资金，确保正常运转和社会稳定。加强财政监督，完善监督制约机制，特别是加强项目资金管理，做到专款专用，不断提高财政资金的使用效益。</w:t>
      </w:r>
    </w:p>
    <w:p w14:paraId="17886103">
      <w:pPr>
        <w:pageBreakBefore w:val="0"/>
        <w:kinsoku/>
        <w:wordWrap/>
        <w:overflowPunct/>
        <w:topLinePunct w:val="0"/>
        <w:bidi w:val="0"/>
        <w:spacing w:line="600" w:lineRule="exact"/>
        <w:ind w:firstLine="640" w:firstLineChars="200"/>
        <w:textAlignment w:val="auto"/>
        <w:rPr>
          <w:rFonts w:ascii="仿宋_GB2312" w:hAnsi="仿宋_GB2312" w:eastAsia="仿宋_GB2312" w:cs="仿宋_GB2312"/>
          <w:sz w:val="32"/>
          <w:szCs w:val="32"/>
        </w:rPr>
      </w:pPr>
    </w:p>
    <w:p w14:paraId="74478D31">
      <w:pPr>
        <w:pageBreakBefore w:val="0"/>
        <w:widowControl/>
        <w:kinsoku/>
        <w:wordWrap/>
        <w:overflowPunct/>
        <w:topLinePunct w:val="0"/>
        <w:bidi w:val="0"/>
        <w:spacing w:line="600" w:lineRule="exact"/>
        <w:jc w:val="left"/>
        <w:textAlignment w:val="auto"/>
        <w:rPr>
          <w:rFonts w:ascii="仿宋_GB2312" w:hAnsi="仿宋_GB2312" w:eastAsia="仿宋_GB2312" w:cs="仿宋_GB2312"/>
          <w:sz w:val="32"/>
          <w:szCs w:val="32"/>
        </w:rPr>
      </w:pPr>
      <w:r>
        <w:rPr>
          <w:rFonts w:ascii="仿宋_GB2312" w:hAnsi="仿宋_GB2312" w:eastAsia="仿宋_GB2312" w:cs="仿宋_GB2312"/>
          <w:sz w:val="32"/>
          <w:szCs w:val="32"/>
        </w:rPr>
        <w:br w:type="page"/>
      </w:r>
    </w:p>
    <w:p w14:paraId="61EF7B1B">
      <w:pPr>
        <w:pStyle w:val="3"/>
        <w:pageBreakBefore w:val="0"/>
        <w:kinsoku/>
        <w:wordWrap/>
        <w:overflowPunct/>
        <w:topLinePunct w:val="0"/>
        <w:bidi w:val="0"/>
        <w:spacing w:line="600" w:lineRule="exact"/>
        <w:textAlignment w:val="auto"/>
        <w:rPr>
          <w:rStyle w:val="24"/>
          <w:rFonts w:ascii="仿宋" w:hAnsi="仿宋" w:eastAsia="仿宋"/>
          <w:b w:val="0"/>
          <w:bCs w:val="0"/>
          <w:sz w:val="32"/>
          <w:szCs w:val="32"/>
        </w:rPr>
      </w:pPr>
      <w:bookmarkStart w:id="61" w:name="_Toc15396617"/>
      <w:r>
        <w:rPr>
          <w:rStyle w:val="24"/>
          <w:rFonts w:hint="eastAsia" w:ascii="仿宋" w:hAnsi="仿宋" w:eastAsia="仿宋"/>
          <w:b w:val="0"/>
          <w:bCs w:val="0"/>
          <w:sz w:val="32"/>
          <w:szCs w:val="32"/>
        </w:rPr>
        <w:t>附件2</w:t>
      </w:r>
      <w:bookmarkEnd w:id="61"/>
    </w:p>
    <w:p w14:paraId="2F5F6941">
      <w:pPr>
        <w:pageBreakBefore w:val="0"/>
        <w:kinsoku/>
        <w:wordWrap/>
        <w:overflowPunct/>
        <w:topLinePunct w:val="0"/>
        <w:bidi w:val="0"/>
        <w:spacing w:line="600" w:lineRule="exact"/>
        <w:jc w:val="center"/>
        <w:textAlignment w:val="auto"/>
        <w:rPr>
          <w:rFonts w:hint="default" w:ascii="黑体" w:hAnsi="黑体" w:eastAsia="黑体" w:cs="方正小标宋简体"/>
          <w:sz w:val="44"/>
          <w:szCs w:val="44"/>
          <w:lang w:val="en-US" w:eastAsia="zh-CN"/>
        </w:rPr>
      </w:pPr>
      <w:r>
        <w:rPr>
          <w:rFonts w:hint="eastAsia" w:ascii="黑体" w:hAnsi="黑体" w:eastAsia="黑体" w:cs="方正小标宋简体"/>
          <w:sz w:val="44"/>
          <w:szCs w:val="44"/>
          <w:lang w:eastAsia="zh-CN"/>
        </w:rPr>
        <w:t>广元市昭化区丁家乡人民政府</w:t>
      </w:r>
    </w:p>
    <w:p w14:paraId="56C8DA2A">
      <w:pPr>
        <w:pageBreakBefore w:val="0"/>
        <w:kinsoku/>
        <w:wordWrap/>
        <w:overflowPunct/>
        <w:topLinePunct w:val="0"/>
        <w:bidi w:val="0"/>
        <w:spacing w:line="600" w:lineRule="exact"/>
        <w:jc w:val="center"/>
        <w:textAlignment w:val="auto"/>
        <w:rPr>
          <w:rFonts w:hint="eastAsia" w:ascii="黑体" w:hAnsi="黑体" w:eastAsia="黑体" w:cs="方正小标宋简体"/>
          <w:sz w:val="44"/>
          <w:szCs w:val="44"/>
        </w:rPr>
      </w:pPr>
      <w:r>
        <w:rPr>
          <w:rFonts w:hint="eastAsia" w:ascii="黑体" w:hAnsi="黑体" w:eastAsia="黑体" w:cs="方正小标宋简体"/>
          <w:sz w:val="44"/>
          <w:szCs w:val="44"/>
        </w:rPr>
        <w:t>201</w:t>
      </w:r>
      <w:r>
        <w:rPr>
          <w:rFonts w:hint="eastAsia" w:ascii="黑体" w:hAnsi="黑体" w:eastAsia="黑体" w:cs="方正小标宋简体"/>
          <w:sz w:val="44"/>
          <w:szCs w:val="44"/>
          <w:lang w:val="en-US" w:eastAsia="zh-CN"/>
        </w:rPr>
        <w:t>9</w:t>
      </w:r>
      <w:r>
        <w:rPr>
          <w:rFonts w:hint="eastAsia" w:ascii="黑体" w:hAnsi="黑体" w:eastAsia="黑体" w:cs="方正小标宋简体"/>
          <w:sz w:val="44"/>
          <w:szCs w:val="44"/>
        </w:rPr>
        <w:t>年</w:t>
      </w:r>
      <w:r>
        <w:rPr>
          <w:rFonts w:hint="eastAsia" w:ascii="黑体" w:hAnsi="黑体" w:eastAsia="黑体" w:cs="方正小标宋简体"/>
          <w:sz w:val="44"/>
          <w:szCs w:val="44"/>
          <w:lang w:eastAsia="zh-CN"/>
        </w:rPr>
        <w:t>农村</w:t>
      </w:r>
      <w:r>
        <w:rPr>
          <w:rFonts w:hint="eastAsia" w:ascii="仿宋_GB2312" w:hAnsi="华文中宋"/>
          <w:b/>
          <w:bCs/>
          <w:sz w:val="44"/>
          <w:szCs w:val="44"/>
        </w:rPr>
        <w:t>公共运行维护</w:t>
      </w:r>
      <w:r>
        <w:rPr>
          <w:rFonts w:hint="eastAsia" w:ascii="黑体" w:hAnsi="黑体" w:eastAsia="黑体" w:cs="方正小标宋简体"/>
          <w:sz w:val="44"/>
          <w:szCs w:val="44"/>
        </w:rPr>
        <w:t>项目支出绩效</w:t>
      </w:r>
    </w:p>
    <w:p w14:paraId="087EC95B">
      <w:pPr>
        <w:pageBreakBefore w:val="0"/>
        <w:kinsoku/>
        <w:wordWrap/>
        <w:overflowPunct/>
        <w:topLinePunct w:val="0"/>
        <w:bidi w:val="0"/>
        <w:spacing w:line="600" w:lineRule="exact"/>
        <w:jc w:val="center"/>
        <w:textAlignment w:val="auto"/>
        <w:rPr>
          <w:rFonts w:ascii="黑体" w:hAnsi="黑体" w:eastAsia="黑体" w:cs="方正小标宋简体"/>
          <w:sz w:val="44"/>
          <w:szCs w:val="44"/>
        </w:rPr>
      </w:pPr>
      <w:r>
        <w:rPr>
          <w:rFonts w:hint="eastAsia" w:ascii="黑体" w:hAnsi="黑体" w:eastAsia="黑体" w:cs="方正小标宋简体"/>
          <w:sz w:val="44"/>
          <w:szCs w:val="44"/>
        </w:rPr>
        <w:t>评价报告</w:t>
      </w:r>
    </w:p>
    <w:p w14:paraId="790D0FE0">
      <w:pPr>
        <w:pageBreakBefore w:val="0"/>
        <w:kinsoku/>
        <w:wordWrap/>
        <w:overflowPunct/>
        <w:topLinePunct w:val="0"/>
        <w:bidi w:val="0"/>
        <w:spacing w:line="600" w:lineRule="exact"/>
        <w:ind w:firstLine="640" w:firstLineChars="200"/>
        <w:textAlignment w:val="auto"/>
        <w:rPr>
          <w:rFonts w:ascii="仿宋_GB2312" w:hAnsi="仿宋_GB2312" w:eastAsia="仿宋_GB2312" w:cs="仿宋_GB2312"/>
          <w:sz w:val="32"/>
          <w:szCs w:val="32"/>
        </w:rPr>
      </w:pPr>
    </w:p>
    <w:p w14:paraId="499A9A28">
      <w:pPr>
        <w:pageBreakBefore w:val="0"/>
        <w:kinsoku/>
        <w:wordWrap/>
        <w:overflowPunct/>
        <w:topLinePunct w:val="0"/>
        <w:bidi w:val="0"/>
        <w:spacing w:line="600" w:lineRule="exact"/>
        <w:ind w:firstLine="640" w:firstLineChars="200"/>
        <w:textAlignment w:val="auto"/>
        <w:rPr>
          <w:rFonts w:hint="eastAsia" w:ascii="华文中宋" w:hAnsi="华文中宋" w:eastAsia="华文中宋" w:cs="华文中宋"/>
          <w:sz w:val="32"/>
          <w:szCs w:val="32"/>
        </w:rPr>
      </w:pPr>
      <w:r>
        <w:rPr>
          <w:rFonts w:hint="eastAsia" w:ascii="华文中宋" w:hAnsi="华文中宋" w:eastAsia="华文中宋" w:cs="华文中宋"/>
          <w:sz w:val="32"/>
          <w:szCs w:val="32"/>
        </w:rPr>
        <w:t>一、评价工作开展及项目情况</w:t>
      </w:r>
    </w:p>
    <w:p w14:paraId="3ABFA33F">
      <w:pPr>
        <w:pageBreakBefore w:val="0"/>
        <w:widowControl w:val="0"/>
        <w:kinsoku/>
        <w:wordWrap/>
        <w:overflowPunct/>
        <w:topLinePunct w:val="0"/>
        <w:autoSpaceDE/>
        <w:autoSpaceDN/>
        <w:bidi w:val="0"/>
        <w:adjustRightInd/>
        <w:spacing w:line="600" w:lineRule="exact"/>
        <w:ind w:firstLine="641" w:firstLineChars="200"/>
        <w:textAlignment w:val="auto"/>
        <w:rPr>
          <w:rFonts w:hint="eastAsia" w:ascii="华文仿宋" w:hAnsi="华文仿宋" w:eastAsia="华文仿宋" w:cs="华文仿宋"/>
          <w:b/>
          <w:bCs/>
          <w:sz w:val="32"/>
          <w:szCs w:val="32"/>
          <w:lang w:eastAsia="zh-CN"/>
        </w:rPr>
      </w:pPr>
      <w:r>
        <w:rPr>
          <w:rFonts w:hint="eastAsia" w:ascii="华文仿宋" w:hAnsi="华文仿宋" w:eastAsia="华文仿宋" w:cs="华文仿宋"/>
          <w:b/>
          <w:bCs/>
          <w:sz w:val="32"/>
          <w:szCs w:val="32"/>
          <w:lang w:eastAsia="zh-CN"/>
        </w:rPr>
        <w:t>（一）项目基本情况</w:t>
      </w:r>
    </w:p>
    <w:p w14:paraId="0A5AD5FA">
      <w:pPr>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年，区财政局下达农公运资金</w:t>
      </w:r>
      <w:r>
        <w:rPr>
          <w:rFonts w:hint="eastAsia" w:ascii="华文仿宋" w:hAnsi="华文仿宋" w:eastAsia="华文仿宋" w:cs="华文仿宋"/>
          <w:sz w:val="32"/>
          <w:szCs w:val="32"/>
          <w:lang w:val="en-US" w:eastAsia="zh-CN"/>
        </w:rPr>
        <w:t>30</w:t>
      </w:r>
      <w:r>
        <w:rPr>
          <w:rFonts w:hint="eastAsia" w:ascii="华文仿宋" w:hAnsi="华文仿宋" w:eastAsia="华文仿宋" w:cs="华文仿宋"/>
          <w:sz w:val="32"/>
          <w:szCs w:val="32"/>
        </w:rPr>
        <w:t>万元，</w:t>
      </w:r>
      <w:r>
        <w:rPr>
          <w:rFonts w:hint="eastAsia" w:ascii="华文仿宋" w:hAnsi="华文仿宋" w:eastAsia="华文仿宋" w:cs="华文仿宋"/>
          <w:sz w:val="32"/>
          <w:szCs w:val="32"/>
          <w:lang w:eastAsia="zh-CN"/>
        </w:rPr>
        <w:t>我乡</w:t>
      </w:r>
      <w:r>
        <w:rPr>
          <w:rFonts w:hint="eastAsia" w:ascii="华文仿宋" w:hAnsi="华文仿宋" w:eastAsia="华文仿宋" w:cs="华文仿宋"/>
          <w:sz w:val="32"/>
          <w:szCs w:val="32"/>
        </w:rPr>
        <w:t>根据相关规定按</w:t>
      </w:r>
      <w:r>
        <w:rPr>
          <w:rFonts w:hint="eastAsia" w:ascii="华文仿宋" w:hAnsi="华文仿宋" w:eastAsia="华文仿宋" w:cs="华文仿宋"/>
          <w:sz w:val="32"/>
          <w:szCs w:val="32"/>
          <w:lang w:val="en-US" w:eastAsia="zh-CN"/>
        </w:rPr>
        <w:t>5个</w:t>
      </w:r>
      <w:r>
        <w:rPr>
          <w:rFonts w:hint="eastAsia" w:ascii="华文仿宋" w:hAnsi="华文仿宋" w:eastAsia="华文仿宋" w:cs="华文仿宋"/>
          <w:sz w:val="32"/>
          <w:szCs w:val="32"/>
        </w:rPr>
        <w:t>村</w:t>
      </w:r>
      <w:r>
        <w:rPr>
          <w:rFonts w:hint="eastAsia" w:ascii="华文仿宋" w:hAnsi="华文仿宋" w:eastAsia="华文仿宋" w:cs="华文仿宋"/>
          <w:sz w:val="32"/>
          <w:szCs w:val="32"/>
          <w:lang w:val="en-US" w:eastAsia="zh-CN"/>
        </w:rPr>
        <w:t>1个社区</w:t>
      </w:r>
      <w:r>
        <w:rPr>
          <w:rFonts w:hint="eastAsia" w:ascii="华文仿宋" w:hAnsi="华文仿宋" w:eastAsia="华文仿宋" w:cs="华文仿宋"/>
          <w:sz w:val="32"/>
          <w:szCs w:val="32"/>
        </w:rPr>
        <w:t>进行分配，各村均首先村民征求项目实施的意见，并将调查结果汇总后公示。经村“三委”审议初步方案，确定实施项目后在村民代表会议表决后实施。各村项目均先由实施方实施，待项目完成后，由</w:t>
      </w:r>
      <w:r>
        <w:rPr>
          <w:rFonts w:hint="eastAsia" w:ascii="华文仿宋" w:hAnsi="华文仿宋" w:eastAsia="华文仿宋" w:cs="华文仿宋"/>
          <w:sz w:val="32"/>
          <w:szCs w:val="32"/>
          <w:lang w:eastAsia="zh-CN"/>
        </w:rPr>
        <w:t>乡</w:t>
      </w:r>
      <w:r>
        <w:rPr>
          <w:rFonts w:hint="eastAsia" w:ascii="华文仿宋" w:hAnsi="华文仿宋" w:eastAsia="华文仿宋" w:cs="华文仿宋"/>
          <w:sz w:val="32"/>
          <w:szCs w:val="32"/>
        </w:rPr>
        <w:t>财政所、联村干部、监督委员会、村民委员会共同验收。村委将项目实施资料收集上报财政所，由财政所将经费拨付给实施方。项目资金主要用于各村卫生保洁、道路沟渠及其他设施的维修、以及社区管理等。资金的使用符合相关规定。</w:t>
      </w:r>
    </w:p>
    <w:p w14:paraId="10499078">
      <w:pPr>
        <w:pageBreakBefore w:val="0"/>
        <w:widowControl w:val="0"/>
        <w:kinsoku/>
        <w:wordWrap/>
        <w:overflowPunct/>
        <w:topLinePunct w:val="0"/>
        <w:autoSpaceDE/>
        <w:autoSpaceDN/>
        <w:bidi w:val="0"/>
        <w:adjustRightInd/>
        <w:spacing w:line="600" w:lineRule="exact"/>
        <w:ind w:firstLine="641" w:firstLineChars="200"/>
        <w:textAlignment w:val="auto"/>
        <w:rPr>
          <w:rFonts w:hint="eastAsia" w:ascii="华文仿宋" w:hAnsi="华文仿宋" w:eastAsia="华文仿宋" w:cs="华文仿宋"/>
          <w:b/>
          <w:bCs/>
          <w:sz w:val="32"/>
          <w:szCs w:val="32"/>
          <w:lang w:eastAsia="zh-CN"/>
        </w:rPr>
      </w:pPr>
      <w:r>
        <w:rPr>
          <w:rFonts w:hint="eastAsia" w:ascii="华文仿宋" w:hAnsi="华文仿宋" w:eastAsia="华文仿宋" w:cs="华文仿宋"/>
          <w:b/>
          <w:bCs/>
          <w:sz w:val="32"/>
          <w:szCs w:val="32"/>
          <w:lang w:eastAsia="zh-CN"/>
        </w:rPr>
        <w:t>（二）</w:t>
      </w:r>
      <w:r>
        <w:rPr>
          <w:rFonts w:hint="eastAsia" w:ascii="华文仿宋" w:hAnsi="华文仿宋" w:eastAsia="华文仿宋" w:cs="华文仿宋"/>
          <w:b/>
          <w:bCs/>
          <w:sz w:val="32"/>
          <w:szCs w:val="32"/>
        </w:rPr>
        <w:t>绩效评价总目标及阶段性目标</w:t>
      </w:r>
    </w:p>
    <w:p w14:paraId="506B3C23">
      <w:pPr>
        <w:pStyle w:val="4"/>
        <w:pageBreakBefore w:val="0"/>
        <w:widowControl w:val="0"/>
        <w:kinsoku/>
        <w:wordWrap/>
        <w:overflowPunct/>
        <w:topLinePunct w:val="0"/>
        <w:autoSpaceDE/>
        <w:autoSpaceDN/>
        <w:bidi w:val="0"/>
        <w:adjustRightInd/>
        <w:spacing w:before="0" w:after="0" w:line="600" w:lineRule="exact"/>
        <w:ind w:firstLine="643" w:firstLineChars="201"/>
        <w:textAlignment w:val="auto"/>
        <w:rPr>
          <w:rFonts w:hint="eastAsia" w:ascii="华文仿宋" w:hAnsi="华文仿宋" w:eastAsia="华文仿宋" w:cs="华文仿宋"/>
          <w:b w:val="0"/>
          <w:sz w:val="32"/>
          <w:szCs w:val="32"/>
        </w:rPr>
      </w:pPr>
      <w:r>
        <w:rPr>
          <w:rFonts w:hint="eastAsia" w:ascii="华文仿宋" w:hAnsi="华文仿宋" w:eastAsia="华文仿宋" w:cs="华文仿宋"/>
          <w:b w:val="0"/>
          <w:sz w:val="32"/>
          <w:szCs w:val="32"/>
          <w:lang w:val="en-US" w:eastAsia="zh-CN"/>
        </w:rPr>
        <w:t>1</w:t>
      </w:r>
      <w:r>
        <w:rPr>
          <w:rFonts w:hint="eastAsia" w:ascii="华文仿宋" w:hAnsi="华文仿宋" w:eastAsia="华文仿宋" w:cs="华文仿宋"/>
          <w:b w:val="0"/>
          <w:sz w:val="32"/>
          <w:szCs w:val="32"/>
        </w:rPr>
        <w:t>、项目支出绩效评价总目标</w:t>
      </w:r>
    </w:p>
    <w:p w14:paraId="3724A464">
      <w:pPr>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sz w:val="32"/>
          <w:szCs w:val="32"/>
          <w:lang w:val="en-US" w:eastAsia="zh-CN"/>
        </w:rPr>
      </w:pPr>
      <w:r>
        <w:rPr>
          <w:rFonts w:hint="eastAsia" w:ascii="华文仿宋" w:hAnsi="华文仿宋" w:eastAsia="华文仿宋" w:cs="华文仿宋"/>
          <w:sz w:val="32"/>
          <w:szCs w:val="32"/>
        </w:rPr>
        <w:t>维护村卫生环境，保证村各项基础设施的正常运行，为村群众提供优良生产生活环境。</w:t>
      </w:r>
    </w:p>
    <w:p w14:paraId="7793EAEA">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lang w:val="en-US" w:eastAsia="zh-CN"/>
        </w:rPr>
        <w:t>2、</w:t>
      </w:r>
      <w:r>
        <w:rPr>
          <w:rFonts w:hint="eastAsia" w:ascii="华文仿宋" w:hAnsi="华文仿宋" w:eastAsia="华文仿宋" w:cs="华文仿宋"/>
          <w:sz w:val="32"/>
          <w:szCs w:val="32"/>
        </w:rPr>
        <w:t>项目绩效评价阶段性目标</w:t>
      </w:r>
    </w:p>
    <w:p w14:paraId="3C1EEFA1">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高质量完成每年经村民审定项目，不断提升村管理水平。</w:t>
      </w:r>
    </w:p>
    <w:p w14:paraId="6458B350">
      <w:pPr>
        <w:pageBreakBefore w:val="0"/>
        <w:widowControl w:val="0"/>
        <w:numPr>
          <w:ilvl w:val="0"/>
          <w:numId w:val="8"/>
        </w:numPr>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sz w:val="32"/>
          <w:szCs w:val="32"/>
          <w:lang w:val="en-US" w:eastAsia="zh-CN"/>
        </w:rPr>
      </w:pPr>
      <w:r>
        <w:rPr>
          <w:rFonts w:hint="eastAsia" w:ascii="华文仿宋" w:hAnsi="华文仿宋" w:eastAsia="华文仿宋" w:cs="华文仿宋"/>
          <w:sz w:val="32"/>
          <w:szCs w:val="32"/>
        </w:rPr>
        <w:t>绩效评价工作开展情况</w:t>
      </w:r>
    </w:p>
    <w:p w14:paraId="7C308E6E">
      <w:pPr>
        <w:pStyle w:val="3"/>
        <w:pageBreakBefore w:val="0"/>
        <w:widowControl w:val="0"/>
        <w:kinsoku/>
        <w:wordWrap/>
        <w:overflowPunct/>
        <w:topLinePunct w:val="0"/>
        <w:autoSpaceDE/>
        <w:autoSpaceDN/>
        <w:bidi w:val="0"/>
        <w:adjustRightInd/>
        <w:spacing w:before="0" w:after="0" w:line="600" w:lineRule="exact"/>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lang w:val="en-US" w:eastAsia="zh-CN"/>
        </w:rPr>
        <w:t xml:space="preserve">    </w:t>
      </w:r>
      <w:r>
        <w:rPr>
          <w:rFonts w:hint="eastAsia" w:ascii="华文仿宋" w:hAnsi="华文仿宋" w:eastAsia="华文仿宋" w:cs="华文仿宋"/>
          <w:sz w:val="32"/>
          <w:szCs w:val="32"/>
        </w:rPr>
        <w:t>绩效评价目的</w:t>
      </w:r>
    </w:p>
    <w:p w14:paraId="71F13F7F">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000000"/>
          <w:sz w:val="32"/>
          <w:szCs w:val="32"/>
        </w:rPr>
      </w:pPr>
      <w:r>
        <w:rPr>
          <w:rFonts w:hint="eastAsia" w:ascii="华文仿宋" w:hAnsi="华文仿宋" w:eastAsia="华文仿宋" w:cs="华文仿宋"/>
          <w:color w:val="000000"/>
          <w:sz w:val="32"/>
          <w:szCs w:val="32"/>
        </w:rPr>
        <w:t>通过对201</w:t>
      </w:r>
      <w:r>
        <w:rPr>
          <w:rFonts w:hint="eastAsia" w:ascii="华文仿宋" w:hAnsi="华文仿宋" w:eastAsia="华文仿宋" w:cs="华文仿宋"/>
          <w:color w:val="000000"/>
          <w:sz w:val="32"/>
          <w:szCs w:val="32"/>
          <w:lang w:val="en-US" w:eastAsia="zh-CN"/>
        </w:rPr>
        <w:t>9</w:t>
      </w:r>
      <w:r>
        <w:rPr>
          <w:rFonts w:hint="eastAsia" w:ascii="华文仿宋" w:hAnsi="华文仿宋" w:eastAsia="华文仿宋" w:cs="华文仿宋"/>
          <w:color w:val="000000"/>
          <w:sz w:val="32"/>
          <w:szCs w:val="32"/>
        </w:rPr>
        <w:t>年</w:t>
      </w:r>
      <w:r>
        <w:rPr>
          <w:rFonts w:hint="eastAsia" w:ascii="华文仿宋" w:hAnsi="华文仿宋" w:eastAsia="华文仿宋" w:cs="华文仿宋"/>
          <w:sz w:val="32"/>
          <w:szCs w:val="32"/>
        </w:rPr>
        <w:t>公共运行维护资金项目</w:t>
      </w:r>
      <w:r>
        <w:rPr>
          <w:rFonts w:hint="eastAsia" w:ascii="华文仿宋" w:hAnsi="华文仿宋" w:eastAsia="华文仿宋" w:cs="华文仿宋"/>
          <w:color w:val="000000"/>
          <w:sz w:val="32"/>
          <w:szCs w:val="32"/>
        </w:rPr>
        <w:t>支出绩效的综合评价，实现财政资源的合理配置，提高财政性资金使用的经济性、效益性和效率性。通过了解</w:t>
      </w:r>
      <w:r>
        <w:rPr>
          <w:rFonts w:hint="eastAsia" w:ascii="华文仿宋" w:hAnsi="华文仿宋" w:eastAsia="华文仿宋" w:cs="华文仿宋"/>
          <w:sz w:val="32"/>
          <w:szCs w:val="32"/>
        </w:rPr>
        <w:t>项目资金</w:t>
      </w:r>
      <w:r>
        <w:rPr>
          <w:rFonts w:hint="eastAsia" w:ascii="华文仿宋" w:hAnsi="华文仿宋" w:eastAsia="华文仿宋" w:cs="华文仿宋"/>
          <w:color w:val="000000"/>
          <w:sz w:val="32"/>
          <w:szCs w:val="32"/>
        </w:rPr>
        <w:t>使用情况和取得的效果，总结</w:t>
      </w:r>
      <w:r>
        <w:rPr>
          <w:rFonts w:hint="eastAsia" w:ascii="华文仿宋" w:hAnsi="华文仿宋" w:eastAsia="华文仿宋" w:cs="华文仿宋"/>
          <w:sz w:val="32"/>
          <w:szCs w:val="32"/>
        </w:rPr>
        <w:t>项目专项资金支出及</w:t>
      </w:r>
      <w:r>
        <w:rPr>
          <w:rFonts w:hint="eastAsia" w:ascii="华文仿宋" w:hAnsi="华文仿宋" w:eastAsia="华文仿宋" w:cs="华文仿宋"/>
          <w:color w:val="000000"/>
          <w:sz w:val="32"/>
          <w:szCs w:val="32"/>
        </w:rPr>
        <w:t>项目管理经验，发现</w:t>
      </w:r>
      <w:r>
        <w:rPr>
          <w:rFonts w:hint="eastAsia" w:ascii="华文仿宋" w:hAnsi="华文仿宋" w:eastAsia="华文仿宋" w:cs="华文仿宋"/>
          <w:sz w:val="32"/>
          <w:szCs w:val="32"/>
        </w:rPr>
        <w:t>资金支出</w:t>
      </w:r>
      <w:r>
        <w:rPr>
          <w:rFonts w:hint="eastAsia" w:ascii="华文仿宋" w:hAnsi="华文仿宋" w:eastAsia="华文仿宋" w:cs="华文仿宋"/>
          <w:color w:val="000000"/>
          <w:sz w:val="32"/>
          <w:szCs w:val="32"/>
        </w:rPr>
        <w:t>存在的问题，进一步加强和规范资金管理，完善资金管理制度，提高</w:t>
      </w:r>
      <w:r>
        <w:rPr>
          <w:rFonts w:hint="eastAsia" w:ascii="华文仿宋" w:hAnsi="华文仿宋" w:eastAsia="华文仿宋" w:cs="华文仿宋"/>
          <w:sz w:val="32"/>
          <w:szCs w:val="32"/>
        </w:rPr>
        <w:t>资金支出</w:t>
      </w:r>
      <w:r>
        <w:rPr>
          <w:rFonts w:hint="eastAsia" w:ascii="华文仿宋" w:hAnsi="华文仿宋" w:eastAsia="华文仿宋" w:cs="华文仿宋"/>
          <w:color w:val="000000"/>
          <w:sz w:val="32"/>
          <w:szCs w:val="32"/>
        </w:rPr>
        <w:t>的管理水平，为申报绩效目标、优化财政支出结构提供决策参考和依据。</w:t>
      </w:r>
    </w:p>
    <w:p w14:paraId="70D5C5F6">
      <w:pPr>
        <w:pStyle w:val="3"/>
        <w:pageBreakBefore w:val="0"/>
        <w:widowControl w:val="0"/>
        <w:kinsoku/>
        <w:wordWrap/>
        <w:overflowPunct/>
        <w:topLinePunct w:val="0"/>
        <w:autoSpaceDE/>
        <w:autoSpaceDN/>
        <w:bidi w:val="0"/>
        <w:adjustRightInd/>
        <w:spacing w:before="0" w:after="0" w:line="600" w:lineRule="exact"/>
        <w:ind w:firstLine="641"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绩效评价原则、评价指标体系、评价方法</w:t>
      </w:r>
    </w:p>
    <w:p w14:paraId="4B72DD4E">
      <w:pPr>
        <w:pStyle w:val="4"/>
        <w:pageBreakBefore w:val="0"/>
        <w:widowControl w:val="0"/>
        <w:kinsoku/>
        <w:wordWrap/>
        <w:overflowPunct/>
        <w:topLinePunct w:val="0"/>
        <w:autoSpaceDE/>
        <w:autoSpaceDN/>
        <w:bidi w:val="0"/>
        <w:adjustRightInd/>
        <w:spacing w:before="0" w:after="0" w:line="600" w:lineRule="exact"/>
        <w:ind w:firstLine="640" w:firstLineChars="200"/>
        <w:textAlignment w:val="auto"/>
        <w:rPr>
          <w:rFonts w:hint="eastAsia" w:ascii="华文仿宋" w:hAnsi="华文仿宋" w:eastAsia="华文仿宋" w:cs="华文仿宋"/>
          <w:b w:val="0"/>
          <w:sz w:val="32"/>
          <w:szCs w:val="32"/>
        </w:rPr>
      </w:pPr>
      <w:r>
        <w:rPr>
          <w:rFonts w:hint="eastAsia" w:ascii="华文仿宋" w:hAnsi="华文仿宋" w:eastAsia="华文仿宋" w:cs="华文仿宋"/>
          <w:b w:val="0"/>
          <w:sz w:val="32"/>
          <w:szCs w:val="32"/>
        </w:rPr>
        <w:t>1、绩效评价原则</w:t>
      </w:r>
    </w:p>
    <w:p w14:paraId="4D7ADFE9">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 xml:space="preserve">（1）相关性原则。选定的绩效评价指标与其所做的工作和完成的任务有直接的联系。   </w:t>
      </w:r>
    </w:p>
    <w:p w14:paraId="2DD45344">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 xml:space="preserve">（2）重要性原则。对绩效评价指标在整个评价过程中的地位和作用进行筛选，选择最具有代表性、最能反映评价要求的绩效评价指标。 </w:t>
      </w:r>
    </w:p>
    <w:p w14:paraId="7C6F9DAA">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 xml:space="preserve">（3）可比性原则。对具有相似目标的工作选定共同的绩效目标，保证绩效结果可以相互比较。  </w:t>
      </w:r>
    </w:p>
    <w:p w14:paraId="5EBC86E8">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 xml:space="preserve">（4）经济性原则。绩效评价指标要考虑现实条件和可操作性，能在合理的成本基础上取得绩效目标数据并进行评价。 </w:t>
      </w:r>
    </w:p>
    <w:p w14:paraId="27355621">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（5）动态性原则。项目绩效评价是一个动态过程，反映专项资金项目绩效的指标体系同样不能一成不变，而应是动态性的、可补充的，可根据绩效评价工作的开展情况，不断调整、完善基本指标。</w:t>
      </w:r>
    </w:p>
    <w:p w14:paraId="2C4094A0">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（6）系统性原则。应当将定量指标与定性指标相结合，系统反映预算支出所产生的效益。</w:t>
      </w:r>
    </w:p>
    <w:p w14:paraId="76BC7B0D">
      <w:pPr>
        <w:pStyle w:val="4"/>
        <w:pageBreakBefore w:val="0"/>
        <w:widowControl w:val="0"/>
        <w:kinsoku/>
        <w:wordWrap/>
        <w:overflowPunct/>
        <w:topLinePunct w:val="0"/>
        <w:autoSpaceDE/>
        <w:autoSpaceDN/>
        <w:bidi w:val="0"/>
        <w:adjustRightInd/>
        <w:spacing w:before="0" w:after="0" w:line="600" w:lineRule="exact"/>
        <w:ind w:firstLine="640" w:firstLineChars="200"/>
        <w:textAlignment w:val="auto"/>
        <w:rPr>
          <w:rFonts w:hint="eastAsia" w:ascii="华文仿宋" w:hAnsi="华文仿宋" w:eastAsia="华文仿宋" w:cs="华文仿宋"/>
          <w:b w:val="0"/>
          <w:sz w:val="32"/>
          <w:szCs w:val="32"/>
        </w:rPr>
      </w:pPr>
      <w:r>
        <w:rPr>
          <w:rFonts w:hint="eastAsia" w:ascii="华文仿宋" w:hAnsi="华文仿宋" w:eastAsia="华文仿宋" w:cs="华文仿宋"/>
          <w:b w:val="0"/>
          <w:sz w:val="32"/>
          <w:szCs w:val="32"/>
        </w:rPr>
        <w:t>2、评价指标体系</w:t>
      </w:r>
    </w:p>
    <w:p w14:paraId="030D630F">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项目支出绩效评价指标体系</w:t>
      </w:r>
    </w:p>
    <w:p w14:paraId="207F7AE1">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基层组织活动和公共运行维护资金项目支出绩效评价指标体系原则上按照《201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 xml:space="preserve">年广元市昭化区项目支出绩效评价指标体系》设置，整个评价指标体系包括3个一级指标、10个二级指标和若干个三级指标。 </w:t>
      </w:r>
    </w:p>
    <w:p w14:paraId="4F8C2A4B">
      <w:pPr>
        <w:pageBreakBefore w:val="0"/>
        <w:widowControl w:val="0"/>
        <w:kinsoku/>
        <w:wordWrap/>
        <w:overflowPunct/>
        <w:topLinePunct w:val="0"/>
        <w:autoSpaceDE/>
        <w:autoSpaceDN/>
        <w:bidi w:val="0"/>
        <w:adjustRightInd/>
        <w:snapToGrid w:val="0"/>
        <w:spacing w:line="600" w:lineRule="exact"/>
        <w:ind w:left="420" w:left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(1)项目决策指标</w:t>
      </w:r>
    </w:p>
    <w:p w14:paraId="7BB8D5C3">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该类一级指标包含4个二级指标，9个三级指标，总分值20分。主要评价项目绩效目标是否明确、细化、量化；项目是否符合经济社会发展规划和部门年度工作计划；项目是否符合申报条件；申报、批复程序是否符合相关管理办法；是否根据需要制定相关资金管理办法，并在管理办法中明确资金分配办法；资金分配因素是否全面、合理；分配结果是否合理。</w:t>
      </w:r>
    </w:p>
    <w:p w14:paraId="3B31CFAC">
      <w:pPr>
        <w:pageBreakBefore w:val="0"/>
        <w:kinsoku/>
        <w:wordWrap/>
        <w:overflowPunct/>
        <w:topLinePunct w:val="0"/>
        <w:bidi w:val="0"/>
        <w:snapToGrid w:val="0"/>
        <w:spacing w:line="600" w:lineRule="exact"/>
        <w:ind w:firstLine="640" w:firstLineChars="200"/>
        <w:textAlignment w:val="auto"/>
        <w:rPr>
          <w:rFonts w:hint="eastAsia" w:ascii="华文仿宋" w:hAnsi="华文仿宋" w:eastAsia="华文仿宋" w:cs="华文仿宋"/>
          <w:sz w:val="32"/>
          <w:szCs w:val="32"/>
        </w:rPr>
      </w:pPr>
    </w:p>
    <w:p w14:paraId="203D17CD">
      <w:pPr>
        <w:pageBreakBefore w:val="0"/>
        <w:kinsoku/>
        <w:wordWrap/>
        <w:overflowPunct/>
        <w:topLinePunct w:val="0"/>
        <w:bidi w:val="0"/>
        <w:snapToGrid w:val="0"/>
        <w:spacing w:line="600" w:lineRule="exact"/>
        <w:ind w:firstLine="640" w:firstLineChars="200"/>
        <w:textAlignment w:val="auto"/>
        <w:rPr>
          <w:rFonts w:hint="eastAsia" w:ascii="华文仿宋" w:hAnsi="华文仿宋" w:eastAsia="华文仿宋" w:cs="华文仿宋"/>
          <w:sz w:val="32"/>
          <w:szCs w:val="32"/>
        </w:rPr>
      </w:pPr>
    </w:p>
    <w:p w14:paraId="73B0E43E">
      <w:pPr>
        <w:pageBreakBefore w:val="0"/>
        <w:kinsoku/>
        <w:wordWrap/>
        <w:overflowPunct/>
        <w:topLinePunct w:val="0"/>
        <w:bidi w:val="0"/>
        <w:snapToGrid w:val="0"/>
        <w:spacing w:line="600" w:lineRule="exact"/>
        <w:ind w:firstLine="640" w:firstLineChars="200"/>
        <w:textAlignment w:val="auto"/>
        <w:rPr>
          <w:rFonts w:hint="eastAsia" w:ascii="华文仿宋" w:hAnsi="华文仿宋" w:eastAsia="华文仿宋" w:cs="华文仿宋"/>
          <w:sz w:val="32"/>
          <w:szCs w:val="32"/>
        </w:rPr>
      </w:pPr>
    </w:p>
    <w:tbl>
      <w:tblPr>
        <w:tblStyle w:val="12"/>
        <w:tblW w:w="8820" w:type="dxa"/>
        <w:tblInd w:w="93" w:type="dxa"/>
        <w:tblLayout w:type="fixed"/>
        <w:tblCellMar>
          <w:top w:w="0" w:type="dxa"/>
          <w:left w:w="108" w:type="dxa"/>
          <w:bottom w:w="0" w:type="dxa"/>
          <w:right w:w="108" w:type="dxa"/>
        </w:tblCellMar>
      </w:tblPr>
      <w:tblGrid>
        <w:gridCol w:w="1060"/>
        <w:gridCol w:w="1620"/>
        <w:gridCol w:w="1140"/>
        <w:gridCol w:w="580"/>
        <w:gridCol w:w="4420"/>
      </w:tblGrid>
      <w:tr w14:paraId="1BBF8133">
        <w:tblPrEx>
          <w:tblCellMar>
            <w:top w:w="0" w:type="dxa"/>
            <w:left w:w="108" w:type="dxa"/>
            <w:bottom w:w="0" w:type="dxa"/>
            <w:right w:w="108" w:type="dxa"/>
          </w:tblCellMar>
        </w:tblPrEx>
        <w:trPr>
          <w:trHeight w:val="312" w:hRule="atLeast"/>
        </w:trPr>
        <w:tc>
          <w:tcPr>
            <w:tcW w:w="106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2E21C8B3">
            <w:pPr>
              <w:pageBreakBefore w:val="0"/>
              <w:widowControl/>
              <w:kinsoku/>
              <w:wordWrap/>
              <w:overflowPunct/>
              <w:topLinePunct w:val="0"/>
              <w:bidi w:val="0"/>
              <w:spacing w:line="600" w:lineRule="exact"/>
              <w:jc w:val="center"/>
              <w:textAlignment w:val="auto"/>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一级指标</w:t>
            </w:r>
          </w:p>
        </w:tc>
        <w:tc>
          <w:tcPr>
            <w:tcW w:w="16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4298488">
            <w:pPr>
              <w:pageBreakBefore w:val="0"/>
              <w:widowControl/>
              <w:kinsoku/>
              <w:wordWrap/>
              <w:overflowPunct/>
              <w:topLinePunct w:val="0"/>
              <w:bidi w:val="0"/>
              <w:spacing w:line="600" w:lineRule="exact"/>
              <w:jc w:val="center"/>
              <w:textAlignment w:val="auto"/>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二级指标</w:t>
            </w:r>
          </w:p>
        </w:tc>
        <w:tc>
          <w:tcPr>
            <w:tcW w:w="114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8726A8D">
            <w:pPr>
              <w:pageBreakBefore w:val="0"/>
              <w:widowControl/>
              <w:kinsoku/>
              <w:wordWrap/>
              <w:overflowPunct/>
              <w:topLinePunct w:val="0"/>
              <w:bidi w:val="0"/>
              <w:spacing w:line="600" w:lineRule="exact"/>
              <w:jc w:val="center"/>
              <w:textAlignment w:val="auto"/>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三级指标</w:t>
            </w:r>
          </w:p>
        </w:tc>
        <w:tc>
          <w:tcPr>
            <w:tcW w:w="5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1B9C55F">
            <w:pPr>
              <w:pageBreakBefore w:val="0"/>
              <w:widowControl/>
              <w:kinsoku/>
              <w:wordWrap/>
              <w:overflowPunct/>
              <w:topLinePunct w:val="0"/>
              <w:bidi w:val="0"/>
              <w:spacing w:line="600" w:lineRule="exact"/>
              <w:jc w:val="center"/>
              <w:textAlignment w:val="auto"/>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分值</w:t>
            </w:r>
          </w:p>
        </w:tc>
        <w:tc>
          <w:tcPr>
            <w:tcW w:w="4420" w:type="dxa"/>
            <w:vMerge w:val="restart"/>
            <w:tcBorders>
              <w:top w:val="single" w:color="auto" w:sz="4" w:space="0"/>
              <w:left w:val="single" w:color="auto" w:sz="4" w:space="0"/>
              <w:bottom w:val="single" w:color="000000" w:sz="4" w:space="0"/>
              <w:right w:val="single" w:color="000000" w:sz="4" w:space="0"/>
            </w:tcBorders>
            <w:shd w:val="clear" w:color="auto" w:fill="auto"/>
            <w:vAlign w:val="center"/>
          </w:tcPr>
          <w:p w14:paraId="4DE7F969">
            <w:pPr>
              <w:pageBreakBefore w:val="0"/>
              <w:widowControl/>
              <w:kinsoku/>
              <w:wordWrap/>
              <w:overflowPunct/>
              <w:topLinePunct w:val="0"/>
              <w:bidi w:val="0"/>
              <w:spacing w:line="600" w:lineRule="exact"/>
              <w:jc w:val="center"/>
              <w:textAlignment w:val="auto"/>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指标评价内容</w:t>
            </w:r>
          </w:p>
        </w:tc>
      </w:tr>
      <w:tr w14:paraId="3C9DF7A0">
        <w:tblPrEx>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14:paraId="35B6D227">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14:paraId="1BAB90BA">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14:paraId="6DDA8858">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14:paraId="648E44D8">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14:paraId="6AC7A080">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r>
      <w:tr w14:paraId="789B44B6">
        <w:tblPrEx>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14:paraId="01E05342">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14:paraId="16F69A4F">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14:paraId="7DF2A787">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14:paraId="1F7B1D5E">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14:paraId="6F6CD68C">
            <w:pPr>
              <w:pageBreakBefore w:val="0"/>
              <w:widowControl/>
              <w:kinsoku/>
              <w:wordWrap/>
              <w:overflowPunct/>
              <w:topLinePunct w:val="0"/>
              <w:bidi w:val="0"/>
              <w:spacing w:line="600" w:lineRule="exact"/>
              <w:jc w:val="left"/>
              <w:textAlignment w:val="auto"/>
              <w:rPr>
                <w:rFonts w:ascii="宋体" w:hAnsi="宋体" w:eastAsia="宋体" w:cs="宋体"/>
                <w:b/>
                <w:bCs/>
                <w:color w:val="000000"/>
                <w:kern w:val="0"/>
                <w:sz w:val="22"/>
                <w:szCs w:val="22"/>
              </w:rPr>
            </w:pPr>
          </w:p>
        </w:tc>
      </w:tr>
      <w:tr w14:paraId="091FDC7B">
        <w:tblPrEx>
          <w:tblCellMar>
            <w:top w:w="0" w:type="dxa"/>
            <w:left w:w="108" w:type="dxa"/>
            <w:bottom w:w="0" w:type="dxa"/>
            <w:right w:w="108" w:type="dxa"/>
          </w:tblCellMar>
        </w:tblPrEx>
        <w:trPr>
          <w:trHeight w:val="450" w:hRule="atLeast"/>
        </w:trPr>
        <w:tc>
          <w:tcPr>
            <w:tcW w:w="1060" w:type="dxa"/>
            <w:vMerge w:val="restart"/>
            <w:tcBorders>
              <w:top w:val="nil"/>
              <w:left w:val="single" w:color="auto" w:sz="4" w:space="0"/>
              <w:bottom w:val="single" w:color="auto" w:sz="4" w:space="0"/>
              <w:right w:val="single" w:color="auto" w:sz="4" w:space="0"/>
            </w:tcBorders>
            <w:shd w:val="clear" w:color="auto" w:fill="auto"/>
            <w:vAlign w:val="center"/>
          </w:tcPr>
          <w:p w14:paraId="7EF7780C">
            <w:pPr>
              <w:pageBreakBefore w:val="0"/>
              <w:widowControl/>
              <w:kinsoku/>
              <w:wordWrap/>
              <w:overflowPunct/>
              <w:topLinePunct w:val="0"/>
              <w:bidi w:val="0"/>
              <w:spacing w:line="600" w:lineRule="exac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项目决策（20分）</w:t>
            </w: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14:paraId="65FDBAE3">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绩效目标（6分）</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    </w:t>
            </w:r>
          </w:p>
        </w:tc>
        <w:tc>
          <w:tcPr>
            <w:tcW w:w="1140" w:type="dxa"/>
            <w:tcBorders>
              <w:top w:val="nil"/>
              <w:left w:val="nil"/>
              <w:bottom w:val="single" w:color="auto" w:sz="4" w:space="0"/>
              <w:right w:val="single" w:color="auto" w:sz="4" w:space="0"/>
            </w:tcBorders>
            <w:shd w:val="clear" w:color="auto" w:fill="auto"/>
            <w:vAlign w:val="center"/>
          </w:tcPr>
          <w:p w14:paraId="65A1E82B">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绩效目标</w:t>
            </w:r>
          </w:p>
        </w:tc>
        <w:tc>
          <w:tcPr>
            <w:tcW w:w="580" w:type="dxa"/>
            <w:tcBorders>
              <w:top w:val="nil"/>
              <w:left w:val="nil"/>
              <w:bottom w:val="single" w:color="auto" w:sz="4" w:space="0"/>
              <w:right w:val="single" w:color="auto" w:sz="4" w:space="0"/>
            </w:tcBorders>
            <w:shd w:val="clear" w:color="auto" w:fill="auto"/>
            <w:vAlign w:val="center"/>
          </w:tcPr>
          <w:p w14:paraId="3C6A56C6">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3</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66C38664">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项目预期提供的产品、服务、效益或其他目标明确、是否细化、量化</w:t>
            </w:r>
          </w:p>
        </w:tc>
      </w:tr>
      <w:tr w14:paraId="38B868FB">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auto" w:sz="4" w:space="0"/>
              <w:right w:val="single" w:color="auto" w:sz="4" w:space="0"/>
            </w:tcBorders>
            <w:vAlign w:val="center"/>
          </w:tcPr>
          <w:p w14:paraId="49E8D092">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14:paraId="5FC1E390">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14:paraId="1CA220F0">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进度计划</w:t>
            </w:r>
          </w:p>
        </w:tc>
        <w:tc>
          <w:tcPr>
            <w:tcW w:w="580" w:type="dxa"/>
            <w:tcBorders>
              <w:top w:val="nil"/>
              <w:left w:val="nil"/>
              <w:bottom w:val="single" w:color="auto" w:sz="4" w:space="0"/>
              <w:right w:val="single" w:color="auto" w:sz="4" w:space="0"/>
            </w:tcBorders>
            <w:shd w:val="clear" w:color="auto" w:fill="auto"/>
            <w:vAlign w:val="center"/>
          </w:tcPr>
          <w:p w14:paraId="736EE86B">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14895132">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项目计划实施进度明确</w:t>
            </w:r>
          </w:p>
        </w:tc>
      </w:tr>
      <w:tr w14:paraId="0DCF25AE">
        <w:tblPrEx>
          <w:tblCellMar>
            <w:top w:w="0" w:type="dxa"/>
            <w:left w:w="108" w:type="dxa"/>
            <w:bottom w:w="0" w:type="dxa"/>
            <w:right w:w="108" w:type="dxa"/>
          </w:tblCellMar>
        </w:tblPrEx>
        <w:trPr>
          <w:trHeight w:val="600" w:hRule="atLeast"/>
        </w:trPr>
        <w:tc>
          <w:tcPr>
            <w:tcW w:w="1060" w:type="dxa"/>
            <w:vMerge w:val="continue"/>
            <w:tcBorders>
              <w:top w:val="nil"/>
              <w:left w:val="single" w:color="auto" w:sz="4" w:space="0"/>
              <w:bottom w:val="single" w:color="auto" w:sz="4" w:space="0"/>
              <w:right w:val="single" w:color="auto" w:sz="4" w:space="0"/>
            </w:tcBorders>
            <w:vAlign w:val="center"/>
          </w:tcPr>
          <w:p w14:paraId="2EA007CC">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14:paraId="7FE64056">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14:paraId="139AB823">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目标需求</w:t>
            </w:r>
          </w:p>
        </w:tc>
        <w:tc>
          <w:tcPr>
            <w:tcW w:w="580" w:type="dxa"/>
            <w:tcBorders>
              <w:top w:val="nil"/>
              <w:left w:val="nil"/>
              <w:bottom w:val="single" w:color="auto" w:sz="4" w:space="0"/>
              <w:right w:val="single" w:color="auto" w:sz="4" w:space="0"/>
            </w:tcBorders>
            <w:shd w:val="clear" w:color="auto" w:fill="auto"/>
            <w:vAlign w:val="center"/>
          </w:tcPr>
          <w:p w14:paraId="30668FB7">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40268B83">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目标设定符合实际需求的抽样项目点个数/抽样项目点总数×100%</w:t>
            </w:r>
          </w:p>
        </w:tc>
      </w:tr>
      <w:tr w14:paraId="25A63ACC">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auto" w:sz="4" w:space="0"/>
              <w:right w:val="single" w:color="auto" w:sz="4" w:space="0"/>
            </w:tcBorders>
            <w:vAlign w:val="center"/>
          </w:tcPr>
          <w:p w14:paraId="7C532874">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14:paraId="4F150A56">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决策依据（7分）   </w:t>
            </w:r>
          </w:p>
        </w:tc>
        <w:tc>
          <w:tcPr>
            <w:tcW w:w="1140" w:type="dxa"/>
            <w:tcBorders>
              <w:top w:val="nil"/>
              <w:left w:val="nil"/>
              <w:bottom w:val="single" w:color="auto" w:sz="4" w:space="0"/>
              <w:right w:val="single" w:color="auto" w:sz="4" w:space="0"/>
            </w:tcBorders>
            <w:shd w:val="clear" w:color="auto" w:fill="auto"/>
            <w:vAlign w:val="center"/>
          </w:tcPr>
          <w:p w14:paraId="3A78FE20">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政策依据</w:t>
            </w:r>
          </w:p>
        </w:tc>
        <w:tc>
          <w:tcPr>
            <w:tcW w:w="580" w:type="dxa"/>
            <w:tcBorders>
              <w:top w:val="nil"/>
              <w:left w:val="nil"/>
              <w:bottom w:val="single" w:color="auto" w:sz="4" w:space="0"/>
              <w:right w:val="single" w:color="auto" w:sz="4" w:space="0"/>
            </w:tcBorders>
            <w:shd w:val="clear" w:color="auto" w:fill="auto"/>
            <w:vAlign w:val="center"/>
          </w:tcPr>
          <w:p w14:paraId="71699591">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06EF1A5F">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项目符合党中央、国务院和省、市、区决策部署；符合当前经济社会发展需要</w:t>
            </w:r>
          </w:p>
        </w:tc>
      </w:tr>
      <w:tr w14:paraId="283F2770">
        <w:tblPrEx>
          <w:tblCellMar>
            <w:top w:w="0" w:type="dxa"/>
            <w:left w:w="108" w:type="dxa"/>
            <w:bottom w:w="0" w:type="dxa"/>
            <w:right w:w="108" w:type="dxa"/>
          </w:tblCellMar>
        </w:tblPrEx>
        <w:trPr>
          <w:trHeight w:val="285" w:hRule="atLeast"/>
        </w:trPr>
        <w:tc>
          <w:tcPr>
            <w:tcW w:w="1060" w:type="dxa"/>
            <w:vMerge w:val="continue"/>
            <w:tcBorders>
              <w:top w:val="nil"/>
              <w:left w:val="single" w:color="auto" w:sz="4" w:space="0"/>
              <w:bottom w:val="single" w:color="auto" w:sz="4" w:space="0"/>
              <w:right w:val="single" w:color="auto" w:sz="4" w:space="0"/>
            </w:tcBorders>
            <w:vAlign w:val="center"/>
          </w:tcPr>
          <w:p w14:paraId="4C418CC8">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14:paraId="60FC469C">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140" w:type="dxa"/>
            <w:vMerge w:val="restart"/>
            <w:tcBorders>
              <w:top w:val="nil"/>
              <w:left w:val="single" w:color="auto" w:sz="4" w:space="0"/>
              <w:bottom w:val="single" w:color="auto" w:sz="4" w:space="0"/>
              <w:right w:val="single" w:color="auto" w:sz="4" w:space="0"/>
            </w:tcBorders>
            <w:shd w:val="clear" w:color="auto" w:fill="auto"/>
            <w:vAlign w:val="center"/>
          </w:tcPr>
          <w:p w14:paraId="4C544D6C">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实施方案</w:t>
            </w:r>
          </w:p>
        </w:tc>
        <w:tc>
          <w:tcPr>
            <w:tcW w:w="580" w:type="dxa"/>
            <w:tcBorders>
              <w:top w:val="nil"/>
              <w:left w:val="nil"/>
              <w:bottom w:val="single" w:color="auto" w:sz="4" w:space="0"/>
              <w:right w:val="single" w:color="auto" w:sz="4" w:space="0"/>
            </w:tcBorders>
            <w:shd w:val="clear" w:color="auto" w:fill="auto"/>
            <w:vAlign w:val="center"/>
          </w:tcPr>
          <w:p w14:paraId="7229B869">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01FED028">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制订实施方案，内容完整，并获得批准</w:t>
            </w:r>
          </w:p>
        </w:tc>
      </w:tr>
      <w:tr w14:paraId="14786B52">
        <w:tblPrEx>
          <w:tblCellMar>
            <w:top w:w="0" w:type="dxa"/>
            <w:left w:w="108" w:type="dxa"/>
            <w:bottom w:w="0" w:type="dxa"/>
            <w:right w:w="108" w:type="dxa"/>
          </w:tblCellMar>
        </w:tblPrEx>
        <w:trPr>
          <w:trHeight w:val="285" w:hRule="atLeast"/>
        </w:trPr>
        <w:tc>
          <w:tcPr>
            <w:tcW w:w="1060" w:type="dxa"/>
            <w:vMerge w:val="continue"/>
            <w:tcBorders>
              <w:top w:val="nil"/>
              <w:left w:val="single" w:color="auto" w:sz="4" w:space="0"/>
              <w:bottom w:val="single" w:color="auto" w:sz="4" w:space="0"/>
              <w:right w:val="single" w:color="auto" w:sz="4" w:space="0"/>
            </w:tcBorders>
            <w:vAlign w:val="center"/>
          </w:tcPr>
          <w:p w14:paraId="2FBCBA81">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14:paraId="77D4170A">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140" w:type="dxa"/>
            <w:vMerge w:val="continue"/>
            <w:tcBorders>
              <w:top w:val="nil"/>
              <w:left w:val="single" w:color="auto" w:sz="4" w:space="0"/>
              <w:bottom w:val="single" w:color="auto" w:sz="4" w:space="0"/>
              <w:right w:val="single" w:color="auto" w:sz="4" w:space="0"/>
            </w:tcBorders>
            <w:vAlign w:val="center"/>
          </w:tcPr>
          <w:p w14:paraId="36D1E889">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580" w:type="dxa"/>
            <w:tcBorders>
              <w:top w:val="nil"/>
              <w:left w:val="nil"/>
              <w:bottom w:val="single" w:color="auto" w:sz="4" w:space="0"/>
              <w:right w:val="single" w:color="auto" w:sz="4" w:space="0"/>
            </w:tcBorders>
            <w:shd w:val="clear" w:color="auto" w:fill="auto"/>
            <w:vAlign w:val="center"/>
          </w:tcPr>
          <w:p w14:paraId="38B2B442">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3363B17F">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实施规划符合实际，并根据情况变化适时调整</w:t>
            </w:r>
          </w:p>
        </w:tc>
      </w:tr>
      <w:tr w14:paraId="37530AEE">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auto" w:sz="4" w:space="0"/>
              <w:right w:val="single" w:color="auto" w:sz="4" w:space="0"/>
            </w:tcBorders>
            <w:vAlign w:val="center"/>
          </w:tcPr>
          <w:p w14:paraId="482B82D2">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14:paraId="1DC5DB07">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14:paraId="3F9E5513">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管理制度</w:t>
            </w:r>
          </w:p>
        </w:tc>
        <w:tc>
          <w:tcPr>
            <w:tcW w:w="580" w:type="dxa"/>
            <w:tcBorders>
              <w:top w:val="nil"/>
              <w:left w:val="nil"/>
              <w:bottom w:val="single" w:color="auto" w:sz="4" w:space="0"/>
              <w:right w:val="single" w:color="auto" w:sz="4" w:space="0"/>
            </w:tcBorders>
            <w:shd w:val="clear" w:color="auto" w:fill="auto"/>
            <w:vAlign w:val="center"/>
          </w:tcPr>
          <w:p w14:paraId="13134787">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3</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669EDD58">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项目资金管理制度、决策程序明确</w:t>
            </w:r>
          </w:p>
        </w:tc>
      </w:tr>
      <w:tr w14:paraId="4971148C">
        <w:tblPrEx>
          <w:tblCellMar>
            <w:top w:w="0" w:type="dxa"/>
            <w:left w:w="108" w:type="dxa"/>
            <w:bottom w:w="0" w:type="dxa"/>
            <w:right w:w="108" w:type="dxa"/>
          </w:tblCellMar>
        </w:tblPrEx>
        <w:trPr>
          <w:trHeight w:val="690" w:hRule="atLeast"/>
        </w:trPr>
        <w:tc>
          <w:tcPr>
            <w:tcW w:w="1060" w:type="dxa"/>
            <w:vMerge w:val="continue"/>
            <w:tcBorders>
              <w:top w:val="nil"/>
              <w:left w:val="single" w:color="auto" w:sz="4" w:space="0"/>
              <w:bottom w:val="single" w:color="auto" w:sz="4" w:space="0"/>
              <w:right w:val="single" w:color="auto" w:sz="4" w:space="0"/>
            </w:tcBorders>
            <w:vAlign w:val="center"/>
          </w:tcPr>
          <w:p w14:paraId="079064E6">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14:paraId="1F115742">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资金分配（4分）</w:t>
            </w:r>
          </w:p>
        </w:tc>
        <w:tc>
          <w:tcPr>
            <w:tcW w:w="1140" w:type="dxa"/>
            <w:tcBorders>
              <w:top w:val="nil"/>
              <w:left w:val="nil"/>
              <w:bottom w:val="single" w:color="auto" w:sz="4" w:space="0"/>
              <w:right w:val="single" w:color="auto" w:sz="4" w:space="0"/>
            </w:tcBorders>
            <w:shd w:val="clear" w:color="auto" w:fill="auto"/>
            <w:vAlign w:val="center"/>
          </w:tcPr>
          <w:p w14:paraId="476D21FD">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分配过程</w:t>
            </w:r>
          </w:p>
        </w:tc>
        <w:tc>
          <w:tcPr>
            <w:tcW w:w="580" w:type="dxa"/>
            <w:tcBorders>
              <w:top w:val="nil"/>
              <w:left w:val="nil"/>
              <w:bottom w:val="single" w:color="auto" w:sz="4" w:space="0"/>
              <w:right w:val="single" w:color="auto" w:sz="4" w:space="0"/>
            </w:tcBorders>
            <w:shd w:val="clear" w:color="auto" w:fill="auto"/>
            <w:vAlign w:val="center"/>
          </w:tcPr>
          <w:p w14:paraId="77EFFD83">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3474C40E">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分配过程符合相关规定</w:t>
            </w:r>
          </w:p>
        </w:tc>
      </w:tr>
      <w:tr w14:paraId="24C3A436">
        <w:tblPrEx>
          <w:tblCellMar>
            <w:top w:w="0" w:type="dxa"/>
            <w:left w:w="108" w:type="dxa"/>
            <w:bottom w:w="0" w:type="dxa"/>
            <w:right w:w="108" w:type="dxa"/>
          </w:tblCellMar>
        </w:tblPrEx>
        <w:trPr>
          <w:trHeight w:val="510" w:hRule="atLeast"/>
        </w:trPr>
        <w:tc>
          <w:tcPr>
            <w:tcW w:w="1060" w:type="dxa"/>
            <w:vMerge w:val="continue"/>
            <w:tcBorders>
              <w:top w:val="nil"/>
              <w:left w:val="single" w:color="auto" w:sz="4" w:space="0"/>
              <w:bottom w:val="single" w:color="auto" w:sz="4" w:space="0"/>
              <w:right w:val="single" w:color="auto" w:sz="4" w:space="0"/>
            </w:tcBorders>
            <w:vAlign w:val="center"/>
          </w:tcPr>
          <w:p w14:paraId="10F8E00C">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14:paraId="429E7026">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14:paraId="165203CA">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分配时效</w:t>
            </w:r>
          </w:p>
        </w:tc>
        <w:tc>
          <w:tcPr>
            <w:tcW w:w="580" w:type="dxa"/>
            <w:tcBorders>
              <w:top w:val="nil"/>
              <w:left w:val="nil"/>
              <w:bottom w:val="single" w:color="auto" w:sz="4" w:space="0"/>
              <w:right w:val="single" w:color="auto" w:sz="4" w:space="0"/>
            </w:tcBorders>
            <w:shd w:val="clear" w:color="auto" w:fill="auto"/>
            <w:vAlign w:val="center"/>
          </w:tcPr>
          <w:p w14:paraId="31C7F625">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459098B9">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主管部门按规定及时分配资金</w:t>
            </w:r>
          </w:p>
        </w:tc>
      </w:tr>
      <w:tr w14:paraId="2E439563">
        <w:tblPrEx>
          <w:tblCellMar>
            <w:top w:w="0" w:type="dxa"/>
            <w:left w:w="108" w:type="dxa"/>
            <w:bottom w:w="0" w:type="dxa"/>
            <w:right w:w="108" w:type="dxa"/>
          </w:tblCellMar>
        </w:tblPrEx>
        <w:trPr>
          <w:trHeight w:val="990" w:hRule="atLeast"/>
        </w:trPr>
        <w:tc>
          <w:tcPr>
            <w:tcW w:w="1060" w:type="dxa"/>
            <w:vMerge w:val="continue"/>
            <w:tcBorders>
              <w:top w:val="nil"/>
              <w:left w:val="single" w:color="auto" w:sz="4" w:space="0"/>
              <w:bottom w:val="single" w:color="auto" w:sz="4" w:space="0"/>
              <w:right w:val="single" w:color="auto" w:sz="4" w:space="0"/>
            </w:tcBorders>
            <w:vAlign w:val="center"/>
          </w:tcPr>
          <w:p w14:paraId="0E03CAEF">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p>
        </w:tc>
        <w:tc>
          <w:tcPr>
            <w:tcW w:w="1620" w:type="dxa"/>
            <w:tcBorders>
              <w:top w:val="nil"/>
              <w:left w:val="nil"/>
              <w:bottom w:val="single" w:color="auto" w:sz="4" w:space="0"/>
              <w:right w:val="single" w:color="auto" w:sz="4" w:space="0"/>
            </w:tcBorders>
            <w:shd w:val="clear" w:color="auto" w:fill="auto"/>
            <w:vAlign w:val="center"/>
          </w:tcPr>
          <w:p w14:paraId="2C2495D1">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分配结果（3分）</w:t>
            </w:r>
            <w:r>
              <w:rPr>
                <w:rFonts w:hint="eastAsia" w:ascii="宋体" w:hAnsi="宋体" w:eastAsia="宋体" w:cs="宋体"/>
                <w:color w:val="000000"/>
                <w:kern w:val="0"/>
                <w:sz w:val="20"/>
                <w:szCs w:val="20"/>
              </w:rPr>
              <w:br w:type="textWrapping"/>
            </w:r>
          </w:p>
        </w:tc>
        <w:tc>
          <w:tcPr>
            <w:tcW w:w="1140" w:type="dxa"/>
            <w:tcBorders>
              <w:top w:val="nil"/>
              <w:left w:val="nil"/>
              <w:bottom w:val="single" w:color="auto" w:sz="4" w:space="0"/>
              <w:right w:val="single" w:color="auto" w:sz="4" w:space="0"/>
            </w:tcBorders>
            <w:shd w:val="clear" w:color="auto" w:fill="auto"/>
            <w:vAlign w:val="center"/>
          </w:tcPr>
          <w:p w14:paraId="6532C858">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审核把关</w:t>
            </w:r>
          </w:p>
        </w:tc>
        <w:tc>
          <w:tcPr>
            <w:tcW w:w="580" w:type="dxa"/>
            <w:tcBorders>
              <w:top w:val="nil"/>
              <w:left w:val="nil"/>
              <w:bottom w:val="single" w:color="auto" w:sz="4" w:space="0"/>
              <w:right w:val="single" w:color="auto" w:sz="4" w:space="0"/>
            </w:tcBorders>
            <w:shd w:val="clear" w:color="auto" w:fill="auto"/>
            <w:vAlign w:val="center"/>
          </w:tcPr>
          <w:p w14:paraId="76395491">
            <w:pPr>
              <w:pageBreakBefore w:val="0"/>
              <w:widowControl/>
              <w:kinsoku/>
              <w:wordWrap/>
              <w:overflowPunct/>
              <w:topLinePunct w:val="0"/>
              <w:bidi w:val="0"/>
              <w:spacing w:line="600" w:lineRule="exact"/>
              <w:jc w:val="center"/>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3</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20D04529">
            <w:pPr>
              <w:pageBreakBefore w:val="0"/>
              <w:widowControl/>
              <w:kinsoku/>
              <w:wordWrap/>
              <w:overflowPunct/>
              <w:topLinePunct w:val="0"/>
              <w:bidi w:val="0"/>
              <w:spacing w:line="600" w:lineRule="exact"/>
              <w:jc w:val="left"/>
              <w:textAlignment w:val="auto"/>
              <w:rPr>
                <w:rFonts w:ascii="宋体" w:hAnsi="宋体" w:eastAsia="宋体" w:cs="宋体"/>
                <w:color w:val="000000"/>
                <w:kern w:val="0"/>
                <w:sz w:val="20"/>
                <w:szCs w:val="20"/>
              </w:rPr>
            </w:pPr>
            <w:r>
              <w:rPr>
                <w:rFonts w:hint="eastAsia" w:ascii="宋体" w:hAnsi="宋体" w:eastAsia="宋体" w:cs="宋体"/>
                <w:color w:val="000000"/>
                <w:kern w:val="0"/>
                <w:sz w:val="20"/>
                <w:szCs w:val="20"/>
              </w:rPr>
              <w:t>项目符合申报条件，并经过审核</w:t>
            </w:r>
          </w:p>
        </w:tc>
      </w:tr>
    </w:tbl>
    <w:p w14:paraId="053D5B15">
      <w:pPr>
        <w:pageBreakBefore w:val="0"/>
        <w:kinsoku/>
        <w:wordWrap/>
        <w:overflowPunct/>
        <w:topLinePunct w:val="0"/>
        <w:bidi w:val="0"/>
        <w:snapToGrid w:val="0"/>
        <w:spacing w:line="600" w:lineRule="exact"/>
        <w:jc w:val="left"/>
        <w:textAlignment w:val="auto"/>
        <w:rPr>
          <w:rFonts w:ascii="仿宋" w:hAnsi="仿宋" w:eastAsia="仿宋"/>
          <w:sz w:val="28"/>
          <w:szCs w:val="28"/>
        </w:rPr>
      </w:pPr>
    </w:p>
    <w:p w14:paraId="3C9F26D1">
      <w:pPr>
        <w:keepNext w:val="0"/>
        <w:keepLines w:val="0"/>
        <w:pageBreakBefore w:val="0"/>
        <w:widowControl w:val="0"/>
        <w:kinsoku/>
        <w:wordWrap/>
        <w:overflowPunct/>
        <w:topLinePunct w:val="0"/>
        <w:autoSpaceDE/>
        <w:autoSpaceDN/>
        <w:bidi w:val="0"/>
        <w:adjustRightInd/>
        <w:snapToGrid w:val="0"/>
        <w:spacing w:line="600" w:lineRule="exact"/>
        <w:ind w:left="420" w:left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(2)项目管理指标</w:t>
      </w:r>
    </w:p>
    <w:p w14:paraId="222AE3BF">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该类一级指标包含4个二级指标，9个三级指标，总分值25分。主要评价项目资金是否到位、到位时间是否符合相关规定，资金的使用范围、资金支付依据是否充分、开支标准是否符合相关规定、财务管理是否规范，是否有相关的管理制度，制度是否得到执行，项目组织实施情况，是否有相关计划，计划中是否有相关实施时间节点，项目实施后是否有项目实施总结等。</w:t>
      </w:r>
    </w:p>
    <w:p w14:paraId="01BC9306">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p>
    <w:tbl>
      <w:tblPr>
        <w:tblStyle w:val="12"/>
        <w:tblW w:w="8820" w:type="dxa"/>
        <w:tblInd w:w="93" w:type="dxa"/>
        <w:tblLayout w:type="fixed"/>
        <w:tblCellMar>
          <w:top w:w="0" w:type="dxa"/>
          <w:left w:w="108" w:type="dxa"/>
          <w:bottom w:w="0" w:type="dxa"/>
          <w:right w:w="108" w:type="dxa"/>
        </w:tblCellMar>
      </w:tblPr>
      <w:tblGrid>
        <w:gridCol w:w="1060"/>
        <w:gridCol w:w="1620"/>
        <w:gridCol w:w="1140"/>
        <w:gridCol w:w="580"/>
        <w:gridCol w:w="4420"/>
      </w:tblGrid>
      <w:tr w14:paraId="5BBB2FAF">
        <w:tblPrEx>
          <w:tblCellMar>
            <w:top w:w="0" w:type="dxa"/>
            <w:left w:w="108" w:type="dxa"/>
            <w:bottom w:w="0" w:type="dxa"/>
            <w:right w:w="108" w:type="dxa"/>
          </w:tblCellMar>
        </w:tblPrEx>
        <w:trPr>
          <w:trHeight w:val="312" w:hRule="atLeast"/>
        </w:trPr>
        <w:tc>
          <w:tcPr>
            <w:tcW w:w="106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39008CAE">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一级指标</w:t>
            </w:r>
          </w:p>
        </w:tc>
        <w:tc>
          <w:tcPr>
            <w:tcW w:w="16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0388290">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二级指标</w:t>
            </w:r>
          </w:p>
        </w:tc>
        <w:tc>
          <w:tcPr>
            <w:tcW w:w="114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7B2E1E0">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三级指标</w:t>
            </w:r>
          </w:p>
        </w:tc>
        <w:tc>
          <w:tcPr>
            <w:tcW w:w="5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7D261FB">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分值</w:t>
            </w:r>
          </w:p>
        </w:tc>
        <w:tc>
          <w:tcPr>
            <w:tcW w:w="4420" w:type="dxa"/>
            <w:vMerge w:val="restart"/>
            <w:tcBorders>
              <w:top w:val="single" w:color="auto" w:sz="4" w:space="0"/>
              <w:left w:val="single" w:color="auto" w:sz="4" w:space="0"/>
              <w:bottom w:val="single" w:color="000000" w:sz="4" w:space="0"/>
              <w:right w:val="single" w:color="000000" w:sz="4" w:space="0"/>
            </w:tcBorders>
            <w:shd w:val="clear" w:color="auto" w:fill="auto"/>
            <w:vAlign w:val="center"/>
          </w:tcPr>
          <w:p w14:paraId="7811679D">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指标评价内容</w:t>
            </w:r>
          </w:p>
        </w:tc>
      </w:tr>
      <w:tr w14:paraId="3A7EB32D">
        <w:tblPrEx>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14:paraId="7D902CF9">
            <w:pPr>
              <w:widowControl/>
              <w:jc w:val="left"/>
              <w:rPr>
                <w:rFonts w:ascii="宋体" w:hAnsi="宋体" w:eastAsia="宋体" w:cs="宋体"/>
                <w:b/>
                <w:bCs/>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14:paraId="6232C130">
            <w:pPr>
              <w:widowControl/>
              <w:jc w:val="left"/>
              <w:rPr>
                <w:rFonts w:ascii="宋体" w:hAnsi="宋体" w:eastAsia="宋体" w:cs="宋体"/>
                <w:b/>
                <w:bCs/>
                <w:color w:val="000000"/>
                <w:kern w:val="0"/>
                <w:sz w:val="22"/>
                <w:szCs w:val="2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14:paraId="09DA5562">
            <w:pPr>
              <w:widowControl/>
              <w:jc w:val="left"/>
              <w:rPr>
                <w:rFonts w:ascii="宋体" w:hAnsi="宋体" w:eastAsia="宋体" w:cs="宋体"/>
                <w:b/>
                <w:bCs/>
                <w:color w:val="000000"/>
                <w:kern w:val="0"/>
                <w:sz w:val="22"/>
                <w:szCs w:val="2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14:paraId="2848E809">
            <w:pPr>
              <w:widowControl/>
              <w:jc w:val="left"/>
              <w:rPr>
                <w:rFonts w:ascii="宋体" w:hAnsi="宋体" w:eastAsia="宋体" w:cs="宋体"/>
                <w:b/>
                <w:bCs/>
                <w:color w:val="000000"/>
                <w:kern w:val="0"/>
                <w:sz w:val="22"/>
                <w:szCs w:val="2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14:paraId="5B909F49">
            <w:pPr>
              <w:widowControl/>
              <w:jc w:val="left"/>
              <w:rPr>
                <w:rFonts w:ascii="宋体" w:hAnsi="宋体" w:eastAsia="宋体" w:cs="宋体"/>
                <w:b/>
                <w:bCs/>
                <w:color w:val="000000"/>
                <w:kern w:val="0"/>
                <w:sz w:val="22"/>
                <w:szCs w:val="22"/>
              </w:rPr>
            </w:pPr>
          </w:p>
        </w:tc>
      </w:tr>
      <w:tr w14:paraId="11E406D7">
        <w:tblPrEx>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14:paraId="6CAB8907">
            <w:pPr>
              <w:widowControl/>
              <w:jc w:val="left"/>
              <w:rPr>
                <w:rFonts w:ascii="宋体" w:hAnsi="宋体" w:eastAsia="宋体" w:cs="宋体"/>
                <w:b/>
                <w:bCs/>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14:paraId="6051BD18">
            <w:pPr>
              <w:widowControl/>
              <w:jc w:val="left"/>
              <w:rPr>
                <w:rFonts w:ascii="宋体" w:hAnsi="宋体" w:eastAsia="宋体" w:cs="宋体"/>
                <w:b/>
                <w:bCs/>
                <w:color w:val="000000"/>
                <w:kern w:val="0"/>
                <w:sz w:val="22"/>
                <w:szCs w:val="2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14:paraId="226E90A7">
            <w:pPr>
              <w:widowControl/>
              <w:jc w:val="left"/>
              <w:rPr>
                <w:rFonts w:ascii="宋体" w:hAnsi="宋体" w:eastAsia="宋体" w:cs="宋体"/>
                <w:b/>
                <w:bCs/>
                <w:color w:val="000000"/>
                <w:kern w:val="0"/>
                <w:sz w:val="22"/>
                <w:szCs w:val="2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14:paraId="399651E7">
            <w:pPr>
              <w:widowControl/>
              <w:jc w:val="left"/>
              <w:rPr>
                <w:rFonts w:ascii="宋体" w:hAnsi="宋体" w:eastAsia="宋体" w:cs="宋体"/>
                <w:b/>
                <w:bCs/>
                <w:color w:val="000000"/>
                <w:kern w:val="0"/>
                <w:sz w:val="22"/>
                <w:szCs w:val="2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14:paraId="09A793BE">
            <w:pPr>
              <w:widowControl/>
              <w:jc w:val="left"/>
              <w:rPr>
                <w:rFonts w:ascii="宋体" w:hAnsi="宋体" w:eastAsia="宋体" w:cs="宋体"/>
                <w:b/>
                <w:bCs/>
                <w:color w:val="000000"/>
                <w:kern w:val="0"/>
                <w:sz w:val="22"/>
                <w:szCs w:val="22"/>
              </w:rPr>
            </w:pPr>
          </w:p>
        </w:tc>
      </w:tr>
      <w:tr w14:paraId="72DB2AA0">
        <w:tblPrEx>
          <w:tblCellMar>
            <w:top w:w="0" w:type="dxa"/>
            <w:left w:w="108" w:type="dxa"/>
            <w:bottom w:w="0" w:type="dxa"/>
            <w:right w:w="108" w:type="dxa"/>
          </w:tblCellMar>
        </w:tblPrEx>
        <w:trPr>
          <w:trHeight w:val="585" w:hRule="atLeast"/>
        </w:trPr>
        <w:tc>
          <w:tcPr>
            <w:tcW w:w="1060" w:type="dxa"/>
            <w:vMerge w:val="restart"/>
            <w:tcBorders>
              <w:top w:val="nil"/>
              <w:left w:val="single" w:color="auto" w:sz="4" w:space="0"/>
              <w:bottom w:val="single" w:color="000000" w:sz="4" w:space="0"/>
              <w:right w:val="single" w:color="auto" w:sz="4" w:space="0"/>
            </w:tcBorders>
            <w:shd w:val="clear" w:color="auto" w:fill="auto"/>
            <w:vAlign w:val="center"/>
          </w:tcPr>
          <w:p w14:paraId="7F0902C7">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项目管理（25分）</w:t>
            </w:r>
          </w:p>
        </w:tc>
        <w:tc>
          <w:tcPr>
            <w:tcW w:w="1620" w:type="dxa"/>
            <w:vMerge w:val="restart"/>
            <w:tcBorders>
              <w:top w:val="nil"/>
              <w:left w:val="single" w:color="auto" w:sz="4" w:space="0"/>
              <w:bottom w:val="single" w:color="000000" w:sz="4" w:space="0"/>
              <w:right w:val="single" w:color="auto" w:sz="4" w:space="0"/>
            </w:tcBorders>
            <w:shd w:val="clear" w:color="auto" w:fill="auto"/>
            <w:vAlign w:val="center"/>
          </w:tcPr>
          <w:p w14:paraId="3B45CD54">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资金到位 </w:t>
            </w:r>
          </w:p>
          <w:p w14:paraId="199323BC">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（7分）    </w:t>
            </w:r>
          </w:p>
        </w:tc>
        <w:tc>
          <w:tcPr>
            <w:tcW w:w="1140" w:type="dxa"/>
            <w:tcBorders>
              <w:top w:val="nil"/>
              <w:left w:val="nil"/>
              <w:bottom w:val="nil"/>
              <w:right w:val="single" w:color="auto" w:sz="4" w:space="0"/>
            </w:tcBorders>
            <w:shd w:val="clear" w:color="auto" w:fill="auto"/>
            <w:vAlign w:val="center"/>
          </w:tcPr>
          <w:p w14:paraId="08DF8D08">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资金到位率</w:t>
            </w:r>
          </w:p>
        </w:tc>
        <w:tc>
          <w:tcPr>
            <w:tcW w:w="580" w:type="dxa"/>
            <w:tcBorders>
              <w:top w:val="nil"/>
              <w:left w:val="nil"/>
              <w:bottom w:val="single" w:color="auto" w:sz="4" w:space="0"/>
              <w:right w:val="single" w:color="auto" w:sz="4" w:space="0"/>
            </w:tcBorders>
            <w:shd w:val="clear" w:color="auto" w:fill="auto"/>
            <w:vAlign w:val="center"/>
          </w:tcPr>
          <w:p w14:paraId="75F5F8BE">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3</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68169E79">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资金到位率=实际到位资金/计划投入资金×100%</w:t>
            </w:r>
          </w:p>
        </w:tc>
      </w:tr>
      <w:tr w14:paraId="1FAE6952">
        <w:tblPrEx>
          <w:tblCellMar>
            <w:top w:w="0" w:type="dxa"/>
            <w:left w:w="108" w:type="dxa"/>
            <w:bottom w:w="0" w:type="dxa"/>
            <w:right w:w="108" w:type="dxa"/>
          </w:tblCellMar>
        </w:tblPrEx>
        <w:trPr>
          <w:trHeight w:val="675" w:hRule="atLeast"/>
        </w:trPr>
        <w:tc>
          <w:tcPr>
            <w:tcW w:w="1060" w:type="dxa"/>
            <w:vMerge w:val="continue"/>
            <w:tcBorders>
              <w:top w:val="nil"/>
              <w:left w:val="single" w:color="auto" w:sz="4" w:space="0"/>
              <w:bottom w:val="single" w:color="000000" w:sz="4" w:space="0"/>
              <w:right w:val="single" w:color="auto" w:sz="4" w:space="0"/>
            </w:tcBorders>
            <w:vAlign w:val="center"/>
          </w:tcPr>
          <w:p w14:paraId="5B058E6B">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000000" w:sz="4" w:space="0"/>
              <w:right w:val="single" w:color="auto" w:sz="4" w:space="0"/>
            </w:tcBorders>
            <w:vAlign w:val="center"/>
          </w:tcPr>
          <w:p w14:paraId="5DEF1209">
            <w:pPr>
              <w:widowControl/>
              <w:jc w:val="left"/>
              <w:rPr>
                <w:rFonts w:ascii="宋体" w:hAnsi="宋体" w:eastAsia="宋体" w:cs="宋体"/>
                <w:color w:val="000000"/>
                <w:kern w:val="0"/>
                <w:sz w:val="20"/>
                <w:szCs w:val="20"/>
              </w:rPr>
            </w:pPr>
          </w:p>
        </w:tc>
        <w:tc>
          <w:tcPr>
            <w:tcW w:w="1140" w:type="dxa"/>
            <w:tcBorders>
              <w:top w:val="single" w:color="auto" w:sz="4" w:space="0"/>
              <w:left w:val="nil"/>
              <w:bottom w:val="single" w:color="auto" w:sz="4" w:space="0"/>
              <w:right w:val="single" w:color="auto" w:sz="4" w:space="0"/>
            </w:tcBorders>
            <w:shd w:val="clear" w:color="auto" w:fill="auto"/>
            <w:vAlign w:val="center"/>
          </w:tcPr>
          <w:p w14:paraId="7E78D050">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资金拨付</w:t>
            </w:r>
          </w:p>
        </w:tc>
        <w:tc>
          <w:tcPr>
            <w:tcW w:w="580" w:type="dxa"/>
            <w:tcBorders>
              <w:top w:val="nil"/>
              <w:left w:val="nil"/>
              <w:bottom w:val="single" w:color="auto" w:sz="4" w:space="0"/>
              <w:right w:val="single" w:color="auto" w:sz="4" w:space="0"/>
            </w:tcBorders>
            <w:shd w:val="clear" w:color="auto" w:fill="auto"/>
            <w:vAlign w:val="center"/>
          </w:tcPr>
          <w:p w14:paraId="22F53894">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4</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1297588D">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按规定及时拨付资金</w:t>
            </w:r>
          </w:p>
        </w:tc>
      </w:tr>
      <w:tr w14:paraId="5309C077">
        <w:tblPrEx>
          <w:tblCellMar>
            <w:top w:w="0" w:type="dxa"/>
            <w:left w:w="108" w:type="dxa"/>
            <w:bottom w:w="0" w:type="dxa"/>
            <w:right w:w="108" w:type="dxa"/>
          </w:tblCellMar>
        </w:tblPrEx>
        <w:trPr>
          <w:trHeight w:val="810" w:hRule="atLeast"/>
        </w:trPr>
        <w:tc>
          <w:tcPr>
            <w:tcW w:w="1060" w:type="dxa"/>
            <w:vMerge w:val="continue"/>
            <w:tcBorders>
              <w:top w:val="nil"/>
              <w:left w:val="single" w:color="auto" w:sz="4" w:space="0"/>
              <w:bottom w:val="single" w:color="000000" w:sz="4" w:space="0"/>
              <w:right w:val="single" w:color="auto" w:sz="4" w:space="0"/>
            </w:tcBorders>
            <w:vAlign w:val="center"/>
          </w:tcPr>
          <w:p w14:paraId="3D2D8085">
            <w:pPr>
              <w:widowControl/>
              <w:jc w:val="left"/>
              <w:rPr>
                <w:rFonts w:ascii="宋体" w:hAnsi="宋体" w:eastAsia="宋体" w:cs="宋体"/>
                <w:color w:val="000000"/>
                <w:kern w:val="0"/>
                <w:sz w:val="20"/>
                <w:szCs w:val="20"/>
              </w:rPr>
            </w:pP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14:paraId="09132425">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资金管理</w:t>
            </w:r>
          </w:p>
          <w:p w14:paraId="7F049884">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（10分）     </w:t>
            </w:r>
          </w:p>
        </w:tc>
        <w:tc>
          <w:tcPr>
            <w:tcW w:w="1140" w:type="dxa"/>
            <w:tcBorders>
              <w:top w:val="nil"/>
              <w:left w:val="nil"/>
              <w:bottom w:val="single" w:color="auto" w:sz="4" w:space="0"/>
              <w:right w:val="single" w:color="auto" w:sz="4" w:space="0"/>
            </w:tcBorders>
            <w:shd w:val="clear" w:color="auto" w:fill="auto"/>
            <w:vAlign w:val="center"/>
          </w:tcPr>
          <w:p w14:paraId="52755508">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使用范围</w:t>
            </w:r>
          </w:p>
        </w:tc>
        <w:tc>
          <w:tcPr>
            <w:tcW w:w="580" w:type="dxa"/>
            <w:tcBorders>
              <w:top w:val="nil"/>
              <w:left w:val="nil"/>
              <w:bottom w:val="single" w:color="auto" w:sz="4" w:space="0"/>
              <w:right w:val="single" w:color="auto" w:sz="4" w:space="0"/>
            </w:tcBorders>
            <w:shd w:val="clear" w:color="auto" w:fill="auto"/>
            <w:vAlign w:val="center"/>
          </w:tcPr>
          <w:p w14:paraId="7B963FD6">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5</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114C8639">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专款专用</w:t>
            </w:r>
          </w:p>
        </w:tc>
      </w:tr>
      <w:tr w14:paraId="71BE42EB">
        <w:tblPrEx>
          <w:tblCellMar>
            <w:top w:w="0" w:type="dxa"/>
            <w:left w:w="108" w:type="dxa"/>
            <w:bottom w:w="0" w:type="dxa"/>
            <w:right w:w="108" w:type="dxa"/>
          </w:tblCellMar>
        </w:tblPrEx>
        <w:trPr>
          <w:trHeight w:val="750" w:hRule="atLeast"/>
        </w:trPr>
        <w:tc>
          <w:tcPr>
            <w:tcW w:w="1060" w:type="dxa"/>
            <w:vMerge w:val="continue"/>
            <w:tcBorders>
              <w:top w:val="nil"/>
              <w:left w:val="single" w:color="auto" w:sz="4" w:space="0"/>
              <w:bottom w:val="single" w:color="000000" w:sz="4" w:space="0"/>
              <w:right w:val="single" w:color="auto" w:sz="4" w:space="0"/>
            </w:tcBorders>
            <w:vAlign w:val="center"/>
          </w:tcPr>
          <w:p w14:paraId="47957E9C">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14:paraId="511B1698">
            <w:pPr>
              <w:widowControl/>
              <w:jc w:val="left"/>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14:paraId="3318D320">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支付依据</w:t>
            </w:r>
          </w:p>
        </w:tc>
        <w:tc>
          <w:tcPr>
            <w:tcW w:w="580" w:type="dxa"/>
            <w:tcBorders>
              <w:top w:val="nil"/>
              <w:left w:val="nil"/>
              <w:bottom w:val="single" w:color="auto" w:sz="4" w:space="0"/>
              <w:right w:val="single" w:color="auto" w:sz="4" w:space="0"/>
            </w:tcBorders>
            <w:shd w:val="clear" w:color="auto" w:fill="auto"/>
            <w:vAlign w:val="center"/>
          </w:tcPr>
          <w:p w14:paraId="1F05AD49">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5</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27B9830C">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资金支付依据符合规定</w:t>
            </w:r>
          </w:p>
        </w:tc>
      </w:tr>
      <w:tr w14:paraId="51B9FCE6">
        <w:tblPrEx>
          <w:tblCellMar>
            <w:top w:w="0" w:type="dxa"/>
            <w:left w:w="108" w:type="dxa"/>
            <w:bottom w:w="0" w:type="dxa"/>
            <w:right w:w="108" w:type="dxa"/>
          </w:tblCellMar>
        </w:tblPrEx>
        <w:trPr>
          <w:trHeight w:val="870" w:hRule="atLeast"/>
        </w:trPr>
        <w:tc>
          <w:tcPr>
            <w:tcW w:w="1060" w:type="dxa"/>
            <w:vMerge w:val="continue"/>
            <w:tcBorders>
              <w:top w:val="nil"/>
              <w:left w:val="single" w:color="auto" w:sz="4" w:space="0"/>
              <w:bottom w:val="single" w:color="000000" w:sz="4" w:space="0"/>
              <w:right w:val="single" w:color="auto" w:sz="4" w:space="0"/>
            </w:tcBorders>
            <w:vAlign w:val="center"/>
          </w:tcPr>
          <w:p w14:paraId="2753063F">
            <w:pPr>
              <w:widowControl/>
              <w:jc w:val="left"/>
              <w:rPr>
                <w:rFonts w:ascii="宋体" w:hAnsi="宋体" w:eastAsia="宋体" w:cs="宋体"/>
                <w:color w:val="000000"/>
                <w:kern w:val="0"/>
                <w:sz w:val="20"/>
                <w:szCs w:val="20"/>
              </w:rPr>
            </w:pP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14:paraId="6C270FD8">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财务管理</w:t>
            </w:r>
          </w:p>
          <w:p w14:paraId="114954A7">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（2分）</w:t>
            </w:r>
          </w:p>
        </w:tc>
        <w:tc>
          <w:tcPr>
            <w:tcW w:w="1140" w:type="dxa"/>
            <w:tcBorders>
              <w:top w:val="nil"/>
              <w:left w:val="nil"/>
              <w:bottom w:val="single" w:color="auto" w:sz="4" w:space="0"/>
              <w:right w:val="single" w:color="auto" w:sz="4" w:space="0"/>
            </w:tcBorders>
            <w:shd w:val="clear" w:color="auto" w:fill="auto"/>
            <w:vAlign w:val="center"/>
          </w:tcPr>
          <w:p w14:paraId="50420F0C">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财务制度</w:t>
            </w:r>
          </w:p>
        </w:tc>
        <w:tc>
          <w:tcPr>
            <w:tcW w:w="580" w:type="dxa"/>
            <w:tcBorders>
              <w:top w:val="nil"/>
              <w:left w:val="nil"/>
              <w:bottom w:val="single" w:color="auto" w:sz="4" w:space="0"/>
              <w:right w:val="single" w:color="auto" w:sz="4" w:space="0"/>
            </w:tcBorders>
            <w:shd w:val="clear" w:color="auto" w:fill="auto"/>
            <w:vAlign w:val="center"/>
          </w:tcPr>
          <w:p w14:paraId="1F031520">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0C8B5EA1">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财务制度健全，管理规范</w:t>
            </w:r>
          </w:p>
        </w:tc>
      </w:tr>
      <w:tr w14:paraId="27713528">
        <w:tblPrEx>
          <w:tblCellMar>
            <w:top w:w="0" w:type="dxa"/>
            <w:left w:w="108" w:type="dxa"/>
            <w:bottom w:w="0" w:type="dxa"/>
            <w:right w:w="108" w:type="dxa"/>
          </w:tblCellMar>
        </w:tblPrEx>
        <w:trPr>
          <w:trHeight w:val="285" w:hRule="atLeast"/>
        </w:trPr>
        <w:tc>
          <w:tcPr>
            <w:tcW w:w="1060" w:type="dxa"/>
            <w:vMerge w:val="continue"/>
            <w:tcBorders>
              <w:top w:val="nil"/>
              <w:left w:val="single" w:color="auto" w:sz="4" w:space="0"/>
              <w:bottom w:val="single" w:color="000000" w:sz="4" w:space="0"/>
              <w:right w:val="single" w:color="auto" w:sz="4" w:space="0"/>
            </w:tcBorders>
            <w:vAlign w:val="center"/>
          </w:tcPr>
          <w:p w14:paraId="29FC76C4">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auto" w:sz="4" w:space="0"/>
              <w:right w:val="single" w:color="auto" w:sz="4" w:space="0"/>
            </w:tcBorders>
            <w:vAlign w:val="center"/>
          </w:tcPr>
          <w:p w14:paraId="3C65145E">
            <w:pPr>
              <w:widowControl/>
              <w:jc w:val="left"/>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14:paraId="0F8B006D">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会计核算</w:t>
            </w:r>
          </w:p>
        </w:tc>
        <w:tc>
          <w:tcPr>
            <w:tcW w:w="580" w:type="dxa"/>
            <w:tcBorders>
              <w:top w:val="nil"/>
              <w:left w:val="nil"/>
              <w:bottom w:val="single" w:color="auto" w:sz="4" w:space="0"/>
              <w:right w:val="single" w:color="auto" w:sz="4" w:space="0"/>
            </w:tcBorders>
            <w:shd w:val="clear" w:color="auto" w:fill="auto"/>
            <w:vAlign w:val="center"/>
          </w:tcPr>
          <w:p w14:paraId="2C394166">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2CA5AE3A">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会计核算规范</w:t>
            </w:r>
          </w:p>
        </w:tc>
      </w:tr>
      <w:tr w14:paraId="7692E7E5">
        <w:tblPrEx>
          <w:tblCellMar>
            <w:top w:w="0" w:type="dxa"/>
            <w:left w:w="108" w:type="dxa"/>
            <w:bottom w:w="0" w:type="dxa"/>
            <w:right w:w="108" w:type="dxa"/>
          </w:tblCellMar>
        </w:tblPrEx>
        <w:trPr>
          <w:trHeight w:val="615" w:hRule="atLeast"/>
        </w:trPr>
        <w:tc>
          <w:tcPr>
            <w:tcW w:w="1060" w:type="dxa"/>
            <w:vMerge w:val="continue"/>
            <w:tcBorders>
              <w:top w:val="nil"/>
              <w:left w:val="single" w:color="auto" w:sz="4" w:space="0"/>
              <w:bottom w:val="single" w:color="000000" w:sz="4" w:space="0"/>
              <w:right w:val="single" w:color="auto" w:sz="4" w:space="0"/>
            </w:tcBorders>
            <w:vAlign w:val="center"/>
          </w:tcPr>
          <w:p w14:paraId="2AD9019B">
            <w:pPr>
              <w:widowControl/>
              <w:jc w:val="left"/>
              <w:rPr>
                <w:rFonts w:ascii="宋体" w:hAnsi="宋体" w:eastAsia="宋体" w:cs="宋体"/>
                <w:color w:val="000000"/>
                <w:kern w:val="0"/>
                <w:sz w:val="20"/>
                <w:szCs w:val="20"/>
              </w:rPr>
            </w:pPr>
          </w:p>
        </w:tc>
        <w:tc>
          <w:tcPr>
            <w:tcW w:w="1620" w:type="dxa"/>
            <w:vMerge w:val="restart"/>
            <w:tcBorders>
              <w:top w:val="nil"/>
              <w:left w:val="single" w:color="auto" w:sz="4" w:space="0"/>
              <w:bottom w:val="single" w:color="000000" w:sz="4" w:space="0"/>
              <w:right w:val="single" w:color="auto" w:sz="4" w:space="0"/>
            </w:tcBorders>
            <w:shd w:val="clear" w:color="auto" w:fill="auto"/>
            <w:vAlign w:val="center"/>
          </w:tcPr>
          <w:p w14:paraId="6292E5F2">
            <w:pPr>
              <w:widowControl/>
              <w:jc w:val="center"/>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 xml:space="preserve">组织实施 </w:t>
            </w:r>
          </w:p>
          <w:p w14:paraId="5CA3DAE6">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（6分）</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   </w:t>
            </w:r>
          </w:p>
        </w:tc>
        <w:tc>
          <w:tcPr>
            <w:tcW w:w="1140" w:type="dxa"/>
            <w:tcBorders>
              <w:top w:val="nil"/>
              <w:left w:val="nil"/>
              <w:bottom w:val="single" w:color="auto" w:sz="4" w:space="0"/>
              <w:right w:val="single" w:color="auto" w:sz="4" w:space="0"/>
            </w:tcBorders>
            <w:shd w:val="clear" w:color="auto" w:fill="auto"/>
            <w:vAlign w:val="center"/>
          </w:tcPr>
          <w:p w14:paraId="655F5974">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项目实施</w:t>
            </w:r>
          </w:p>
        </w:tc>
        <w:tc>
          <w:tcPr>
            <w:tcW w:w="580" w:type="dxa"/>
            <w:tcBorders>
              <w:top w:val="nil"/>
              <w:left w:val="nil"/>
              <w:bottom w:val="single" w:color="auto" w:sz="4" w:space="0"/>
              <w:right w:val="single" w:color="auto" w:sz="4" w:space="0"/>
            </w:tcBorders>
            <w:shd w:val="clear" w:color="auto" w:fill="auto"/>
            <w:vAlign w:val="center"/>
          </w:tcPr>
          <w:p w14:paraId="4517778B">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243A6206">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项目按实施方案实施，如有调整，调整严格履行相关手续</w:t>
            </w:r>
          </w:p>
        </w:tc>
      </w:tr>
      <w:tr w14:paraId="01A10B20">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000000" w:sz="4" w:space="0"/>
              <w:right w:val="single" w:color="auto" w:sz="4" w:space="0"/>
            </w:tcBorders>
            <w:vAlign w:val="center"/>
          </w:tcPr>
          <w:p w14:paraId="043E4C38">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000000" w:sz="4" w:space="0"/>
              <w:right w:val="single" w:color="auto" w:sz="4" w:space="0"/>
            </w:tcBorders>
            <w:vAlign w:val="center"/>
          </w:tcPr>
          <w:p w14:paraId="344D7E0E">
            <w:pPr>
              <w:widowControl/>
              <w:jc w:val="left"/>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14:paraId="0870FA03">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投资变更</w:t>
            </w:r>
          </w:p>
        </w:tc>
        <w:tc>
          <w:tcPr>
            <w:tcW w:w="580" w:type="dxa"/>
            <w:tcBorders>
              <w:top w:val="nil"/>
              <w:left w:val="nil"/>
              <w:bottom w:val="single" w:color="auto" w:sz="4" w:space="0"/>
              <w:right w:val="single" w:color="auto" w:sz="4" w:space="0"/>
            </w:tcBorders>
            <w:shd w:val="clear" w:color="auto" w:fill="auto"/>
            <w:vAlign w:val="center"/>
          </w:tcPr>
          <w:p w14:paraId="468306AA">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070B1A2F">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项目投资变更额/项目总投入×100%</w:t>
            </w:r>
          </w:p>
        </w:tc>
      </w:tr>
      <w:tr w14:paraId="235FA096">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000000" w:sz="4" w:space="0"/>
              <w:right w:val="single" w:color="auto" w:sz="4" w:space="0"/>
            </w:tcBorders>
            <w:vAlign w:val="center"/>
          </w:tcPr>
          <w:p w14:paraId="5035CF3D">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000000" w:sz="4" w:space="0"/>
              <w:right w:val="single" w:color="auto" w:sz="4" w:space="0"/>
            </w:tcBorders>
            <w:vAlign w:val="center"/>
          </w:tcPr>
          <w:p w14:paraId="3DF63D65">
            <w:pPr>
              <w:widowControl/>
              <w:jc w:val="left"/>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14:paraId="4F6FB043">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制度执行</w:t>
            </w:r>
          </w:p>
        </w:tc>
        <w:tc>
          <w:tcPr>
            <w:tcW w:w="580" w:type="dxa"/>
            <w:tcBorders>
              <w:top w:val="nil"/>
              <w:left w:val="nil"/>
              <w:bottom w:val="single" w:color="auto" w:sz="4" w:space="0"/>
              <w:right w:val="single" w:color="auto" w:sz="4" w:space="0"/>
            </w:tcBorders>
            <w:shd w:val="clear" w:color="auto" w:fill="auto"/>
            <w:vAlign w:val="center"/>
          </w:tcPr>
          <w:p w14:paraId="7098795B">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4646FBA5">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严格执行项目有关制度规定</w:t>
            </w:r>
          </w:p>
        </w:tc>
      </w:tr>
    </w:tbl>
    <w:p w14:paraId="1D423951">
      <w:pPr>
        <w:snapToGrid w:val="0"/>
        <w:spacing w:line="360" w:lineRule="auto"/>
        <w:rPr>
          <w:rFonts w:ascii="仿宋_GB2312" w:hAnsi="仿宋"/>
          <w:sz w:val="28"/>
          <w:szCs w:val="28"/>
        </w:rPr>
      </w:pPr>
    </w:p>
    <w:p w14:paraId="34F20C50">
      <w:pPr>
        <w:keepNext w:val="0"/>
        <w:keepLines w:val="0"/>
        <w:pageBreakBefore w:val="0"/>
        <w:widowControl w:val="0"/>
        <w:kinsoku/>
        <w:wordWrap/>
        <w:overflowPunct/>
        <w:topLinePunct w:val="0"/>
        <w:autoSpaceDE/>
        <w:autoSpaceDN/>
        <w:bidi w:val="0"/>
        <w:adjustRightInd/>
        <w:snapToGrid w:val="0"/>
        <w:spacing w:line="600" w:lineRule="exact"/>
        <w:ind w:left="420" w:left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(3)项目绩效指标</w:t>
      </w:r>
    </w:p>
    <w:p w14:paraId="2013E7C5">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该类一级指标包含2个二级指标，8个三级指标，总分值55分。主要评价项目产出情况、社会效果、受益群众满意度。</w:t>
      </w:r>
    </w:p>
    <w:p w14:paraId="6A2CEBD6">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p>
    <w:p w14:paraId="2E1C4C88">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p>
    <w:p w14:paraId="3A9DF4C0">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p>
    <w:tbl>
      <w:tblPr>
        <w:tblStyle w:val="12"/>
        <w:tblW w:w="8820" w:type="dxa"/>
        <w:tblInd w:w="93" w:type="dxa"/>
        <w:tblLayout w:type="fixed"/>
        <w:tblCellMar>
          <w:top w:w="0" w:type="dxa"/>
          <w:left w:w="108" w:type="dxa"/>
          <w:bottom w:w="0" w:type="dxa"/>
          <w:right w:w="108" w:type="dxa"/>
        </w:tblCellMar>
      </w:tblPr>
      <w:tblGrid>
        <w:gridCol w:w="1060"/>
        <w:gridCol w:w="1620"/>
        <w:gridCol w:w="1140"/>
        <w:gridCol w:w="580"/>
        <w:gridCol w:w="4420"/>
      </w:tblGrid>
      <w:tr w14:paraId="70D94E75">
        <w:tblPrEx>
          <w:tblCellMar>
            <w:top w:w="0" w:type="dxa"/>
            <w:left w:w="108" w:type="dxa"/>
            <w:bottom w:w="0" w:type="dxa"/>
            <w:right w:w="108" w:type="dxa"/>
          </w:tblCellMar>
        </w:tblPrEx>
        <w:trPr>
          <w:trHeight w:val="312" w:hRule="atLeast"/>
        </w:trPr>
        <w:tc>
          <w:tcPr>
            <w:tcW w:w="106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2392EACF">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一级指标</w:t>
            </w:r>
          </w:p>
        </w:tc>
        <w:tc>
          <w:tcPr>
            <w:tcW w:w="16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5FCE55C">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二级指标</w:t>
            </w:r>
          </w:p>
        </w:tc>
        <w:tc>
          <w:tcPr>
            <w:tcW w:w="114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84E5606">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三级指标</w:t>
            </w:r>
          </w:p>
        </w:tc>
        <w:tc>
          <w:tcPr>
            <w:tcW w:w="5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876CEE0">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分值</w:t>
            </w:r>
          </w:p>
        </w:tc>
        <w:tc>
          <w:tcPr>
            <w:tcW w:w="4420" w:type="dxa"/>
            <w:vMerge w:val="restart"/>
            <w:tcBorders>
              <w:top w:val="single" w:color="auto" w:sz="4" w:space="0"/>
              <w:left w:val="single" w:color="auto" w:sz="4" w:space="0"/>
              <w:bottom w:val="single" w:color="000000" w:sz="4" w:space="0"/>
              <w:right w:val="single" w:color="000000" w:sz="4" w:space="0"/>
            </w:tcBorders>
            <w:shd w:val="clear" w:color="auto" w:fill="auto"/>
            <w:vAlign w:val="center"/>
          </w:tcPr>
          <w:p w14:paraId="188065EE">
            <w:pPr>
              <w:widowControl/>
              <w:jc w:val="center"/>
              <w:rPr>
                <w:rFonts w:ascii="宋体" w:hAnsi="宋体" w:eastAsia="宋体" w:cs="宋体"/>
                <w:b/>
                <w:bCs/>
                <w:color w:val="000000"/>
                <w:kern w:val="0"/>
                <w:sz w:val="22"/>
                <w:szCs w:val="22"/>
              </w:rPr>
            </w:pPr>
            <w:r>
              <w:rPr>
                <w:rFonts w:hint="eastAsia" w:ascii="宋体" w:hAnsi="宋体" w:eastAsia="宋体" w:cs="宋体"/>
                <w:b/>
                <w:bCs/>
                <w:color w:val="000000"/>
                <w:kern w:val="0"/>
                <w:sz w:val="22"/>
                <w:szCs w:val="22"/>
              </w:rPr>
              <w:t>指标评价内容</w:t>
            </w:r>
          </w:p>
        </w:tc>
      </w:tr>
      <w:tr w14:paraId="2D215DE9">
        <w:tblPrEx>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14:paraId="3F9CBD82">
            <w:pPr>
              <w:widowControl/>
              <w:jc w:val="left"/>
              <w:rPr>
                <w:rFonts w:ascii="宋体" w:hAnsi="宋体" w:eastAsia="宋体" w:cs="宋体"/>
                <w:b/>
                <w:bCs/>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14:paraId="10243619">
            <w:pPr>
              <w:widowControl/>
              <w:jc w:val="left"/>
              <w:rPr>
                <w:rFonts w:ascii="宋体" w:hAnsi="宋体" w:eastAsia="宋体" w:cs="宋体"/>
                <w:b/>
                <w:bCs/>
                <w:color w:val="000000"/>
                <w:kern w:val="0"/>
                <w:sz w:val="22"/>
                <w:szCs w:val="2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14:paraId="4A651FA6">
            <w:pPr>
              <w:widowControl/>
              <w:jc w:val="left"/>
              <w:rPr>
                <w:rFonts w:ascii="宋体" w:hAnsi="宋体" w:eastAsia="宋体" w:cs="宋体"/>
                <w:b/>
                <w:bCs/>
                <w:color w:val="000000"/>
                <w:kern w:val="0"/>
                <w:sz w:val="22"/>
                <w:szCs w:val="2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14:paraId="663CC6FE">
            <w:pPr>
              <w:widowControl/>
              <w:jc w:val="left"/>
              <w:rPr>
                <w:rFonts w:ascii="宋体" w:hAnsi="宋体" w:eastAsia="宋体" w:cs="宋体"/>
                <w:b/>
                <w:bCs/>
                <w:color w:val="000000"/>
                <w:kern w:val="0"/>
                <w:sz w:val="22"/>
                <w:szCs w:val="2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14:paraId="531361EB">
            <w:pPr>
              <w:widowControl/>
              <w:jc w:val="left"/>
              <w:rPr>
                <w:rFonts w:ascii="宋体" w:hAnsi="宋体" w:eastAsia="宋体" w:cs="宋体"/>
                <w:b/>
                <w:bCs/>
                <w:color w:val="000000"/>
                <w:kern w:val="0"/>
                <w:sz w:val="22"/>
                <w:szCs w:val="22"/>
              </w:rPr>
            </w:pPr>
          </w:p>
        </w:tc>
      </w:tr>
      <w:tr w14:paraId="76879269">
        <w:tblPrEx>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14:paraId="27434CEE">
            <w:pPr>
              <w:widowControl/>
              <w:jc w:val="left"/>
              <w:rPr>
                <w:rFonts w:ascii="宋体" w:hAnsi="宋体" w:eastAsia="宋体" w:cs="宋体"/>
                <w:b/>
                <w:bCs/>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14:paraId="00A1D5CE">
            <w:pPr>
              <w:widowControl/>
              <w:jc w:val="left"/>
              <w:rPr>
                <w:rFonts w:ascii="宋体" w:hAnsi="宋体" w:eastAsia="宋体" w:cs="宋体"/>
                <w:b/>
                <w:bCs/>
                <w:color w:val="000000"/>
                <w:kern w:val="0"/>
                <w:sz w:val="22"/>
                <w:szCs w:val="2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14:paraId="5F768434">
            <w:pPr>
              <w:widowControl/>
              <w:jc w:val="left"/>
              <w:rPr>
                <w:rFonts w:ascii="宋体" w:hAnsi="宋体" w:eastAsia="宋体" w:cs="宋体"/>
                <w:b/>
                <w:bCs/>
                <w:color w:val="000000"/>
                <w:kern w:val="0"/>
                <w:sz w:val="22"/>
                <w:szCs w:val="2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14:paraId="02AC8998">
            <w:pPr>
              <w:widowControl/>
              <w:jc w:val="left"/>
              <w:rPr>
                <w:rFonts w:ascii="宋体" w:hAnsi="宋体" w:eastAsia="宋体" w:cs="宋体"/>
                <w:b/>
                <w:bCs/>
                <w:color w:val="000000"/>
                <w:kern w:val="0"/>
                <w:sz w:val="22"/>
                <w:szCs w:val="2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14:paraId="376286E1">
            <w:pPr>
              <w:widowControl/>
              <w:jc w:val="left"/>
              <w:rPr>
                <w:rFonts w:ascii="宋体" w:hAnsi="宋体" w:eastAsia="宋体" w:cs="宋体"/>
                <w:b/>
                <w:bCs/>
                <w:color w:val="000000"/>
                <w:kern w:val="0"/>
                <w:sz w:val="22"/>
                <w:szCs w:val="22"/>
              </w:rPr>
            </w:pPr>
          </w:p>
        </w:tc>
      </w:tr>
      <w:tr w14:paraId="04EF4A83">
        <w:tblPrEx>
          <w:tblCellMar>
            <w:top w:w="0" w:type="dxa"/>
            <w:left w:w="108" w:type="dxa"/>
            <w:bottom w:w="0" w:type="dxa"/>
            <w:right w:w="108" w:type="dxa"/>
          </w:tblCellMar>
        </w:tblPrEx>
        <w:trPr>
          <w:trHeight w:val="990" w:hRule="atLeast"/>
        </w:trPr>
        <w:tc>
          <w:tcPr>
            <w:tcW w:w="1060" w:type="dxa"/>
            <w:vMerge w:val="restart"/>
            <w:tcBorders>
              <w:top w:val="nil"/>
              <w:left w:val="single" w:color="auto" w:sz="4" w:space="0"/>
              <w:right w:val="single" w:color="auto" w:sz="4" w:space="0"/>
            </w:tcBorders>
            <w:shd w:val="clear" w:color="auto" w:fill="auto"/>
            <w:vAlign w:val="center"/>
          </w:tcPr>
          <w:p w14:paraId="0F196927">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项目绩效（55分）  </w:t>
            </w:r>
          </w:p>
        </w:tc>
        <w:tc>
          <w:tcPr>
            <w:tcW w:w="1620" w:type="dxa"/>
            <w:vMerge w:val="restart"/>
            <w:tcBorders>
              <w:top w:val="nil"/>
              <w:left w:val="single" w:color="auto" w:sz="4" w:space="0"/>
              <w:bottom w:val="single" w:color="000000" w:sz="4" w:space="0"/>
              <w:right w:val="single" w:color="auto" w:sz="4" w:space="0"/>
            </w:tcBorders>
            <w:shd w:val="clear" w:color="auto" w:fill="auto"/>
            <w:vAlign w:val="center"/>
          </w:tcPr>
          <w:p w14:paraId="47F278DB">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 xml:space="preserve">项目产出（15分）  </w:t>
            </w:r>
          </w:p>
        </w:tc>
        <w:tc>
          <w:tcPr>
            <w:tcW w:w="1140" w:type="dxa"/>
            <w:tcBorders>
              <w:top w:val="nil"/>
              <w:left w:val="nil"/>
              <w:bottom w:val="single" w:color="auto" w:sz="4" w:space="0"/>
              <w:right w:val="single" w:color="auto" w:sz="4" w:space="0"/>
            </w:tcBorders>
            <w:shd w:val="clear" w:color="auto" w:fill="auto"/>
            <w:vAlign w:val="center"/>
          </w:tcPr>
          <w:p w14:paraId="0FDADFEA">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完成数量</w:t>
            </w:r>
          </w:p>
        </w:tc>
        <w:tc>
          <w:tcPr>
            <w:tcW w:w="580" w:type="dxa"/>
            <w:tcBorders>
              <w:top w:val="nil"/>
              <w:left w:val="nil"/>
              <w:bottom w:val="single" w:color="auto" w:sz="4" w:space="0"/>
              <w:right w:val="single" w:color="auto" w:sz="4" w:space="0"/>
            </w:tcBorders>
            <w:shd w:val="clear" w:color="auto" w:fill="auto"/>
            <w:vAlign w:val="center"/>
          </w:tcPr>
          <w:p w14:paraId="07AABF58">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7 </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1E594328">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实际完成任务量/目标设定任务量×100%</w:t>
            </w:r>
          </w:p>
          <w:p w14:paraId="3A5F6BED">
            <w:pPr>
              <w:widowControl/>
              <w:jc w:val="left"/>
              <w:rPr>
                <w:rFonts w:ascii="宋体" w:hAnsi="宋体" w:eastAsia="宋体" w:cs="宋体"/>
                <w:color w:val="000000"/>
                <w:kern w:val="0"/>
                <w:sz w:val="20"/>
                <w:szCs w:val="20"/>
              </w:rPr>
            </w:pPr>
          </w:p>
        </w:tc>
      </w:tr>
      <w:tr w14:paraId="07B04B07">
        <w:tblPrEx>
          <w:tblCellMar>
            <w:top w:w="0" w:type="dxa"/>
            <w:left w:w="108" w:type="dxa"/>
            <w:bottom w:w="0" w:type="dxa"/>
            <w:right w:w="108" w:type="dxa"/>
          </w:tblCellMar>
        </w:tblPrEx>
        <w:trPr>
          <w:trHeight w:val="990" w:hRule="atLeast"/>
        </w:trPr>
        <w:tc>
          <w:tcPr>
            <w:tcW w:w="1060" w:type="dxa"/>
            <w:vMerge w:val="continue"/>
            <w:tcBorders>
              <w:left w:val="single" w:color="auto" w:sz="4" w:space="0"/>
              <w:right w:val="single" w:color="auto" w:sz="4" w:space="0"/>
            </w:tcBorders>
            <w:vAlign w:val="center"/>
          </w:tcPr>
          <w:p w14:paraId="1763941C">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000000" w:sz="4" w:space="0"/>
              <w:right w:val="single" w:color="auto" w:sz="4" w:space="0"/>
            </w:tcBorders>
            <w:vAlign w:val="center"/>
          </w:tcPr>
          <w:p w14:paraId="48034B62">
            <w:pPr>
              <w:widowControl/>
              <w:jc w:val="left"/>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14:paraId="55B38B51">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完成质量</w:t>
            </w:r>
          </w:p>
        </w:tc>
        <w:tc>
          <w:tcPr>
            <w:tcW w:w="580" w:type="dxa"/>
            <w:tcBorders>
              <w:top w:val="nil"/>
              <w:left w:val="nil"/>
              <w:bottom w:val="single" w:color="auto" w:sz="4" w:space="0"/>
              <w:right w:val="single" w:color="auto" w:sz="4" w:space="0"/>
            </w:tcBorders>
            <w:shd w:val="clear" w:color="auto" w:fill="auto"/>
            <w:vAlign w:val="center"/>
          </w:tcPr>
          <w:p w14:paraId="6CF99608">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6 </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6D709D7B">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符合目标设定的验收标准，达到行业基准水平</w:t>
            </w:r>
          </w:p>
        </w:tc>
      </w:tr>
      <w:tr w14:paraId="2A07B5A3">
        <w:tblPrEx>
          <w:tblCellMar>
            <w:top w:w="0" w:type="dxa"/>
            <w:left w:w="108" w:type="dxa"/>
            <w:bottom w:w="0" w:type="dxa"/>
            <w:right w:w="108" w:type="dxa"/>
          </w:tblCellMar>
        </w:tblPrEx>
        <w:trPr>
          <w:trHeight w:val="990" w:hRule="atLeast"/>
        </w:trPr>
        <w:tc>
          <w:tcPr>
            <w:tcW w:w="1060" w:type="dxa"/>
            <w:vMerge w:val="continue"/>
            <w:tcBorders>
              <w:left w:val="single" w:color="auto" w:sz="4" w:space="0"/>
              <w:right w:val="single" w:color="auto" w:sz="4" w:space="0"/>
            </w:tcBorders>
            <w:vAlign w:val="center"/>
          </w:tcPr>
          <w:p w14:paraId="0759A20A">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bottom w:val="single" w:color="000000" w:sz="4" w:space="0"/>
              <w:right w:val="single" w:color="auto" w:sz="4" w:space="0"/>
            </w:tcBorders>
            <w:vAlign w:val="center"/>
          </w:tcPr>
          <w:p w14:paraId="58699D56">
            <w:pPr>
              <w:widowControl/>
              <w:jc w:val="left"/>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vAlign w:val="center"/>
          </w:tcPr>
          <w:p w14:paraId="6D89D5AD">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完成时效</w:t>
            </w:r>
          </w:p>
        </w:tc>
        <w:tc>
          <w:tcPr>
            <w:tcW w:w="580" w:type="dxa"/>
            <w:tcBorders>
              <w:top w:val="nil"/>
              <w:left w:val="nil"/>
              <w:bottom w:val="single" w:color="auto" w:sz="4" w:space="0"/>
              <w:right w:val="single" w:color="auto" w:sz="4" w:space="0"/>
            </w:tcBorders>
            <w:shd w:val="clear" w:color="auto" w:fill="auto"/>
            <w:vAlign w:val="center"/>
          </w:tcPr>
          <w:p w14:paraId="00C9756F">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14:paraId="032BE9EE">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（实际完成时间-目标设定完成时间）/目标设定完成时间×100%</w:t>
            </w:r>
          </w:p>
        </w:tc>
      </w:tr>
      <w:tr w14:paraId="5CFA15EA">
        <w:tblPrEx>
          <w:tblCellMar>
            <w:top w:w="0" w:type="dxa"/>
            <w:left w:w="108" w:type="dxa"/>
            <w:bottom w:w="0" w:type="dxa"/>
            <w:right w:w="108" w:type="dxa"/>
          </w:tblCellMar>
        </w:tblPrEx>
        <w:trPr>
          <w:trHeight w:val="480" w:hRule="atLeast"/>
        </w:trPr>
        <w:tc>
          <w:tcPr>
            <w:tcW w:w="1060" w:type="dxa"/>
            <w:vMerge w:val="continue"/>
            <w:tcBorders>
              <w:left w:val="single" w:color="auto" w:sz="4" w:space="0"/>
              <w:right w:val="single" w:color="auto" w:sz="4" w:space="0"/>
            </w:tcBorders>
            <w:vAlign w:val="center"/>
          </w:tcPr>
          <w:p w14:paraId="642129C4">
            <w:pPr>
              <w:widowControl/>
              <w:jc w:val="left"/>
              <w:rPr>
                <w:rFonts w:ascii="宋体" w:hAnsi="宋体" w:eastAsia="宋体" w:cs="宋体"/>
                <w:color w:val="000000"/>
                <w:kern w:val="0"/>
                <w:sz w:val="20"/>
                <w:szCs w:val="20"/>
              </w:rPr>
            </w:pPr>
          </w:p>
        </w:tc>
        <w:tc>
          <w:tcPr>
            <w:tcW w:w="1620" w:type="dxa"/>
            <w:vMerge w:val="restart"/>
            <w:tcBorders>
              <w:top w:val="nil"/>
              <w:left w:val="single" w:color="auto" w:sz="4" w:space="0"/>
              <w:right w:val="single" w:color="auto" w:sz="4" w:space="0"/>
            </w:tcBorders>
            <w:shd w:val="clear" w:color="auto" w:fill="auto"/>
            <w:vAlign w:val="center"/>
          </w:tcPr>
          <w:p w14:paraId="0287BE6F">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项目效果（40分）</w:t>
            </w:r>
          </w:p>
        </w:tc>
        <w:tc>
          <w:tcPr>
            <w:tcW w:w="1140" w:type="dxa"/>
            <w:tcBorders>
              <w:top w:val="nil"/>
              <w:left w:val="nil"/>
              <w:bottom w:val="single" w:color="auto" w:sz="4" w:space="0"/>
              <w:right w:val="single" w:color="auto" w:sz="4" w:space="0"/>
            </w:tcBorders>
            <w:shd w:val="clear" w:color="auto" w:fill="auto"/>
          </w:tcPr>
          <w:p w14:paraId="593A134F">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环境卫生整洁度</w:t>
            </w:r>
          </w:p>
        </w:tc>
        <w:tc>
          <w:tcPr>
            <w:tcW w:w="580" w:type="dxa"/>
            <w:tcBorders>
              <w:top w:val="nil"/>
              <w:left w:val="nil"/>
              <w:bottom w:val="single" w:color="auto" w:sz="4" w:space="0"/>
              <w:right w:val="single" w:color="auto" w:sz="4" w:space="0"/>
            </w:tcBorders>
            <w:shd w:val="clear" w:color="auto" w:fill="auto"/>
          </w:tcPr>
          <w:p w14:paraId="43313AB4">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7.5</w:t>
            </w:r>
          </w:p>
        </w:tc>
        <w:tc>
          <w:tcPr>
            <w:tcW w:w="4420" w:type="dxa"/>
            <w:tcBorders>
              <w:top w:val="single" w:color="auto" w:sz="4" w:space="0"/>
              <w:left w:val="nil"/>
              <w:bottom w:val="single" w:color="auto" w:sz="4" w:space="0"/>
              <w:right w:val="single" w:color="000000" w:sz="4" w:space="0"/>
            </w:tcBorders>
            <w:shd w:val="clear" w:color="auto" w:fill="auto"/>
          </w:tcPr>
          <w:p w14:paraId="1D3BFE9B">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村内环境标示清楚、整治卫生，无明显垃圾，有垃圾专用收集场所并保持干静整洁，清运及时</w:t>
            </w:r>
          </w:p>
        </w:tc>
      </w:tr>
      <w:tr w14:paraId="4E3C4BE0">
        <w:tblPrEx>
          <w:tblCellMar>
            <w:top w:w="0" w:type="dxa"/>
            <w:left w:w="108" w:type="dxa"/>
            <w:bottom w:w="0" w:type="dxa"/>
            <w:right w:w="108" w:type="dxa"/>
          </w:tblCellMar>
        </w:tblPrEx>
        <w:trPr>
          <w:trHeight w:val="480" w:hRule="atLeast"/>
        </w:trPr>
        <w:tc>
          <w:tcPr>
            <w:tcW w:w="1060" w:type="dxa"/>
            <w:vMerge w:val="continue"/>
            <w:tcBorders>
              <w:left w:val="single" w:color="auto" w:sz="4" w:space="0"/>
              <w:right w:val="single" w:color="auto" w:sz="4" w:space="0"/>
            </w:tcBorders>
            <w:vAlign w:val="center"/>
          </w:tcPr>
          <w:p w14:paraId="355D83D7">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right w:val="single" w:color="auto" w:sz="4" w:space="0"/>
            </w:tcBorders>
            <w:shd w:val="clear" w:color="auto" w:fill="auto"/>
            <w:vAlign w:val="center"/>
          </w:tcPr>
          <w:p w14:paraId="46810E52">
            <w:pPr>
              <w:widowControl/>
              <w:jc w:val="center"/>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tcPr>
          <w:p w14:paraId="1AB394C0">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基础设施完好度</w:t>
            </w:r>
          </w:p>
        </w:tc>
        <w:tc>
          <w:tcPr>
            <w:tcW w:w="580" w:type="dxa"/>
            <w:tcBorders>
              <w:top w:val="nil"/>
              <w:left w:val="nil"/>
              <w:bottom w:val="single" w:color="auto" w:sz="4" w:space="0"/>
              <w:right w:val="single" w:color="auto" w:sz="4" w:space="0"/>
            </w:tcBorders>
            <w:shd w:val="clear" w:color="auto" w:fill="auto"/>
          </w:tcPr>
          <w:p w14:paraId="045164C4">
            <w:pPr>
              <w:widowControl/>
              <w:jc w:val="left"/>
              <w:rPr>
                <w:rFonts w:hint="default" w:ascii="宋体" w:hAnsi="宋体" w:eastAsia="宋体" w:cs="宋体"/>
                <w:color w:val="000000"/>
                <w:kern w:val="0"/>
                <w:sz w:val="20"/>
                <w:szCs w:val="20"/>
                <w:lang w:val="en-US" w:eastAsia="zh-CN"/>
              </w:rPr>
            </w:pPr>
            <w:r>
              <w:rPr>
                <w:rFonts w:hint="eastAsia" w:ascii="宋体" w:hAnsi="宋体" w:cs="宋体"/>
                <w:color w:val="000000"/>
                <w:kern w:val="0"/>
                <w:sz w:val="20"/>
                <w:szCs w:val="20"/>
                <w:lang w:val="en-US" w:eastAsia="zh-CN"/>
              </w:rPr>
              <w:t>5.5</w:t>
            </w:r>
          </w:p>
        </w:tc>
        <w:tc>
          <w:tcPr>
            <w:tcW w:w="4420" w:type="dxa"/>
            <w:tcBorders>
              <w:top w:val="single" w:color="auto" w:sz="4" w:space="0"/>
              <w:left w:val="nil"/>
              <w:bottom w:val="single" w:color="auto" w:sz="4" w:space="0"/>
              <w:right w:val="single" w:color="000000" w:sz="4" w:space="0"/>
            </w:tcBorders>
            <w:shd w:val="clear" w:color="auto" w:fill="auto"/>
          </w:tcPr>
          <w:p w14:paraId="206DCFF4">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基础设施专人维护，完好无损坏，标示清楚，使用正常</w:t>
            </w:r>
          </w:p>
        </w:tc>
      </w:tr>
      <w:tr w14:paraId="7EA2AB3C">
        <w:tblPrEx>
          <w:tblCellMar>
            <w:top w:w="0" w:type="dxa"/>
            <w:left w:w="108" w:type="dxa"/>
            <w:bottom w:w="0" w:type="dxa"/>
            <w:right w:w="108" w:type="dxa"/>
          </w:tblCellMar>
        </w:tblPrEx>
        <w:trPr>
          <w:trHeight w:val="480" w:hRule="atLeast"/>
        </w:trPr>
        <w:tc>
          <w:tcPr>
            <w:tcW w:w="1060" w:type="dxa"/>
            <w:vMerge w:val="continue"/>
            <w:tcBorders>
              <w:left w:val="single" w:color="auto" w:sz="4" w:space="0"/>
              <w:right w:val="single" w:color="auto" w:sz="4" w:space="0"/>
            </w:tcBorders>
            <w:vAlign w:val="center"/>
          </w:tcPr>
          <w:p w14:paraId="2DA2D6C6">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right w:val="single" w:color="auto" w:sz="4" w:space="0"/>
            </w:tcBorders>
            <w:shd w:val="clear" w:color="auto" w:fill="auto"/>
            <w:vAlign w:val="center"/>
          </w:tcPr>
          <w:p w14:paraId="67C07FED">
            <w:pPr>
              <w:widowControl/>
              <w:jc w:val="center"/>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tcPr>
          <w:p w14:paraId="31C0CA02">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交通道路通顺及完好度</w:t>
            </w:r>
          </w:p>
        </w:tc>
        <w:tc>
          <w:tcPr>
            <w:tcW w:w="580" w:type="dxa"/>
            <w:tcBorders>
              <w:top w:val="nil"/>
              <w:left w:val="nil"/>
              <w:bottom w:val="single" w:color="auto" w:sz="4" w:space="0"/>
              <w:right w:val="single" w:color="auto" w:sz="4" w:space="0"/>
            </w:tcBorders>
            <w:shd w:val="clear" w:color="auto" w:fill="auto"/>
          </w:tcPr>
          <w:p w14:paraId="6D177404">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7.5</w:t>
            </w:r>
          </w:p>
        </w:tc>
        <w:tc>
          <w:tcPr>
            <w:tcW w:w="4420" w:type="dxa"/>
            <w:tcBorders>
              <w:top w:val="single" w:color="auto" w:sz="4" w:space="0"/>
              <w:left w:val="nil"/>
              <w:bottom w:val="single" w:color="auto" w:sz="4" w:space="0"/>
              <w:right w:val="single" w:color="000000" w:sz="4" w:space="0"/>
            </w:tcBorders>
            <w:shd w:val="clear" w:color="auto" w:fill="auto"/>
          </w:tcPr>
          <w:p w14:paraId="08AF8931">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路面整洁无杂物，无沉陷、裂缝、无坑洞，路基坚实稳定，边沟排水畅通无淤塞</w:t>
            </w:r>
          </w:p>
        </w:tc>
      </w:tr>
      <w:tr w14:paraId="7F78829E">
        <w:tblPrEx>
          <w:tblCellMar>
            <w:top w:w="0" w:type="dxa"/>
            <w:left w:w="108" w:type="dxa"/>
            <w:bottom w:w="0" w:type="dxa"/>
            <w:right w:w="108" w:type="dxa"/>
          </w:tblCellMar>
        </w:tblPrEx>
        <w:trPr>
          <w:trHeight w:val="480" w:hRule="atLeast"/>
        </w:trPr>
        <w:tc>
          <w:tcPr>
            <w:tcW w:w="1060" w:type="dxa"/>
            <w:vMerge w:val="continue"/>
            <w:tcBorders>
              <w:left w:val="single" w:color="auto" w:sz="4" w:space="0"/>
              <w:right w:val="single" w:color="auto" w:sz="4" w:space="0"/>
            </w:tcBorders>
            <w:vAlign w:val="center"/>
          </w:tcPr>
          <w:p w14:paraId="41B63DC2">
            <w:pPr>
              <w:widowControl/>
              <w:jc w:val="left"/>
              <w:rPr>
                <w:rFonts w:ascii="宋体" w:hAnsi="宋体" w:eastAsia="宋体" w:cs="宋体"/>
                <w:color w:val="000000"/>
                <w:kern w:val="0"/>
                <w:sz w:val="20"/>
                <w:szCs w:val="20"/>
              </w:rPr>
            </w:pPr>
          </w:p>
        </w:tc>
        <w:tc>
          <w:tcPr>
            <w:tcW w:w="1620" w:type="dxa"/>
            <w:vMerge w:val="continue"/>
            <w:tcBorders>
              <w:top w:val="nil"/>
              <w:left w:val="single" w:color="auto" w:sz="4" w:space="0"/>
              <w:right w:val="single" w:color="auto" w:sz="4" w:space="0"/>
            </w:tcBorders>
            <w:shd w:val="clear" w:color="auto" w:fill="auto"/>
            <w:vAlign w:val="center"/>
          </w:tcPr>
          <w:p w14:paraId="0B0877B2">
            <w:pPr>
              <w:widowControl/>
              <w:jc w:val="center"/>
              <w:rPr>
                <w:rFonts w:ascii="宋体" w:hAnsi="宋体" w:eastAsia="宋体" w:cs="宋体"/>
                <w:color w:val="000000"/>
                <w:kern w:val="0"/>
                <w:sz w:val="20"/>
                <w:szCs w:val="20"/>
              </w:rPr>
            </w:pPr>
          </w:p>
        </w:tc>
        <w:tc>
          <w:tcPr>
            <w:tcW w:w="1140" w:type="dxa"/>
            <w:tcBorders>
              <w:top w:val="nil"/>
              <w:left w:val="nil"/>
              <w:bottom w:val="single" w:color="auto" w:sz="4" w:space="0"/>
              <w:right w:val="single" w:color="auto" w:sz="4" w:space="0"/>
            </w:tcBorders>
            <w:shd w:val="clear" w:color="auto" w:fill="auto"/>
          </w:tcPr>
          <w:p w14:paraId="709393FD">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水利设施完好度</w:t>
            </w:r>
          </w:p>
        </w:tc>
        <w:tc>
          <w:tcPr>
            <w:tcW w:w="580" w:type="dxa"/>
            <w:tcBorders>
              <w:top w:val="nil"/>
              <w:left w:val="nil"/>
              <w:bottom w:val="single" w:color="auto" w:sz="4" w:space="0"/>
              <w:right w:val="single" w:color="auto" w:sz="4" w:space="0"/>
            </w:tcBorders>
            <w:shd w:val="clear" w:color="auto" w:fill="auto"/>
          </w:tcPr>
          <w:p w14:paraId="5AD91E5B">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7.5</w:t>
            </w:r>
          </w:p>
        </w:tc>
        <w:tc>
          <w:tcPr>
            <w:tcW w:w="4420" w:type="dxa"/>
            <w:tcBorders>
              <w:top w:val="single" w:color="auto" w:sz="4" w:space="0"/>
              <w:left w:val="nil"/>
              <w:bottom w:val="single" w:color="auto" w:sz="4" w:space="0"/>
              <w:right w:val="single" w:color="000000" w:sz="4" w:space="0"/>
            </w:tcBorders>
            <w:shd w:val="clear" w:color="auto" w:fill="auto"/>
          </w:tcPr>
          <w:p w14:paraId="66C23635">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堰塘集水完好，无明显裂缝渗漏，沟渠流水通畅，无杂物</w:t>
            </w:r>
          </w:p>
        </w:tc>
      </w:tr>
      <w:tr w14:paraId="433668C8">
        <w:tblPrEx>
          <w:tblCellMar>
            <w:top w:w="0" w:type="dxa"/>
            <w:left w:w="108" w:type="dxa"/>
            <w:bottom w:w="0" w:type="dxa"/>
            <w:right w:w="108" w:type="dxa"/>
          </w:tblCellMar>
        </w:tblPrEx>
        <w:trPr>
          <w:trHeight w:val="480" w:hRule="atLeast"/>
        </w:trPr>
        <w:tc>
          <w:tcPr>
            <w:tcW w:w="1060" w:type="dxa"/>
            <w:vMerge w:val="continue"/>
            <w:tcBorders>
              <w:left w:val="single" w:color="auto" w:sz="4" w:space="0"/>
              <w:bottom w:val="single" w:color="000000" w:sz="4" w:space="0"/>
              <w:right w:val="single" w:color="auto" w:sz="4" w:space="0"/>
            </w:tcBorders>
            <w:vAlign w:val="center"/>
          </w:tcPr>
          <w:p w14:paraId="304E83BB">
            <w:pPr>
              <w:widowControl/>
              <w:jc w:val="left"/>
              <w:rPr>
                <w:rFonts w:ascii="宋体" w:hAnsi="宋体" w:eastAsia="宋体" w:cs="宋体"/>
                <w:color w:val="000000"/>
                <w:kern w:val="0"/>
                <w:sz w:val="20"/>
                <w:szCs w:val="20"/>
              </w:rPr>
            </w:pPr>
          </w:p>
        </w:tc>
        <w:tc>
          <w:tcPr>
            <w:tcW w:w="1620" w:type="dxa"/>
            <w:vMerge w:val="continue"/>
            <w:tcBorders>
              <w:left w:val="single" w:color="auto" w:sz="4" w:space="0"/>
              <w:bottom w:val="single" w:color="auto" w:sz="4" w:space="0"/>
              <w:right w:val="single" w:color="auto" w:sz="4" w:space="0"/>
            </w:tcBorders>
            <w:vAlign w:val="center"/>
          </w:tcPr>
          <w:p w14:paraId="62D2701B">
            <w:pPr>
              <w:widowControl/>
              <w:jc w:val="left"/>
              <w:rPr>
                <w:rFonts w:ascii="宋体" w:hAnsi="宋体" w:eastAsia="宋体" w:cs="宋体"/>
                <w:color w:val="000000"/>
                <w:kern w:val="0"/>
                <w:sz w:val="20"/>
                <w:szCs w:val="20"/>
              </w:rPr>
            </w:pPr>
          </w:p>
        </w:tc>
        <w:tc>
          <w:tcPr>
            <w:tcW w:w="1140" w:type="dxa"/>
            <w:tcBorders>
              <w:top w:val="single" w:color="auto" w:sz="4" w:space="0"/>
              <w:left w:val="nil"/>
              <w:bottom w:val="single" w:color="auto" w:sz="4" w:space="0"/>
              <w:right w:val="single" w:color="auto" w:sz="4" w:space="0"/>
            </w:tcBorders>
            <w:shd w:val="clear" w:color="auto" w:fill="auto"/>
          </w:tcPr>
          <w:p w14:paraId="0F61A8FC">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受益群体满意度</w:t>
            </w:r>
          </w:p>
        </w:tc>
        <w:tc>
          <w:tcPr>
            <w:tcW w:w="580" w:type="dxa"/>
            <w:tcBorders>
              <w:top w:val="single" w:color="auto" w:sz="4" w:space="0"/>
              <w:left w:val="nil"/>
              <w:bottom w:val="single" w:color="auto" w:sz="4" w:space="0"/>
              <w:right w:val="single" w:color="auto" w:sz="4" w:space="0"/>
            </w:tcBorders>
            <w:shd w:val="clear" w:color="auto" w:fill="auto"/>
          </w:tcPr>
          <w:p w14:paraId="2A546B62">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10</w:t>
            </w:r>
          </w:p>
        </w:tc>
        <w:tc>
          <w:tcPr>
            <w:tcW w:w="4420" w:type="dxa"/>
            <w:tcBorders>
              <w:top w:val="single" w:color="auto" w:sz="4" w:space="0"/>
              <w:left w:val="nil"/>
              <w:bottom w:val="single" w:color="auto" w:sz="4" w:space="0"/>
              <w:right w:val="single" w:color="000000" w:sz="4" w:space="0"/>
            </w:tcBorders>
            <w:shd w:val="clear" w:color="auto" w:fill="auto"/>
          </w:tcPr>
          <w:p w14:paraId="650FFF0E">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受益群体满意度=∑nipi/∑ni×分值。其中：n-受访者数量；p-满意度权重；i-满意状态</w:t>
            </w:r>
          </w:p>
        </w:tc>
      </w:tr>
    </w:tbl>
    <w:p w14:paraId="2D3B5AE1">
      <w:pPr>
        <w:snapToGrid w:val="0"/>
        <w:spacing w:line="360" w:lineRule="auto"/>
        <w:rPr>
          <w:rFonts w:hint="eastAsia" w:ascii="华文仿宋" w:hAnsi="华文仿宋" w:eastAsia="华文仿宋" w:cs="华文仿宋"/>
          <w:sz w:val="32"/>
          <w:szCs w:val="32"/>
        </w:rPr>
      </w:pPr>
    </w:p>
    <w:p w14:paraId="79C451B0">
      <w:pPr>
        <w:pageBreakBefore w:val="0"/>
        <w:widowControl w:val="0"/>
        <w:kinsoku/>
        <w:wordWrap/>
        <w:overflowPunct/>
        <w:topLinePunct w:val="0"/>
        <w:autoSpaceDE/>
        <w:autoSpaceDN/>
        <w:bidi w:val="0"/>
        <w:adjustRightInd/>
        <w:snapToGrid w:val="0"/>
        <w:spacing w:line="600" w:lineRule="exact"/>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 xml:space="preserve">  　绩效评价结果考核分为优、良、中、差四个等级。考核得分在90分至100分的为优，得分在80分至89分的为良，得分在70分至79分的为中，得分在70分以下的为差。</w:t>
      </w:r>
    </w:p>
    <w:p w14:paraId="61E1A9C6">
      <w:pPr>
        <w:pStyle w:val="4"/>
        <w:pageBreakBefore w:val="0"/>
        <w:widowControl w:val="0"/>
        <w:kinsoku/>
        <w:wordWrap/>
        <w:overflowPunct/>
        <w:topLinePunct w:val="0"/>
        <w:autoSpaceDE/>
        <w:autoSpaceDN/>
        <w:bidi w:val="0"/>
        <w:adjustRightInd/>
        <w:spacing w:before="0" w:after="0" w:line="600" w:lineRule="exact"/>
        <w:ind w:firstLine="640" w:firstLineChars="200"/>
        <w:textAlignment w:val="auto"/>
        <w:rPr>
          <w:rFonts w:hint="eastAsia" w:ascii="华文仿宋" w:hAnsi="华文仿宋" w:eastAsia="华文仿宋" w:cs="华文仿宋"/>
          <w:b w:val="0"/>
          <w:sz w:val="32"/>
          <w:szCs w:val="32"/>
        </w:rPr>
      </w:pPr>
      <w:r>
        <w:rPr>
          <w:rFonts w:hint="eastAsia" w:ascii="华文仿宋" w:hAnsi="华文仿宋" w:eastAsia="华文仿宋" w:cs="华文仿宋"/>
          <w:b w:val="0"/>
          <w:sz w:val="32"/>
          <w:szCs w:val="32"/>
        </w:rPr>
        <w:t>3、绩效评价方法</w:t>
      </w:r>
    </w:p>
    <w:p w14:paraId="26EC6337">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我们在资金支出绩效评工作中，综合运用以下方法：</w:t>
      </w:r>
    </w:p>
    <w:p w14:paraId="4625031D">
      <w:pPr>
        <w:pageBreakBefore w:val="0"/>
        <w:widowControl w:val="0"/>
        <w:kinsoku/>
        <w:wordWrap/>
        <w:overflowPunct/>
        <w:topLinePunct w:val="0"/>
        <w:autoSpaceDE/>
        <w:autoSpaceDN/>
        <w:bidi w:val="0"/>
        <w:adjustRightInd/>
        <w:snapToGrid w:val="0"/>
        <w:spacing w:line="600" w:lineRule="exact"/>
        <w:ind w:firstLine="320" w:firstLineChars="1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（1）成本效益分析法。是指将一定时期内的支出与效益进行对比分析，以评价绩效目标实现程度。</w:t>
      </w:r>
    </w:p>
    <w:p w14:paraId="3C55EB37">
      <w:pPr>
        <w:pageBreakBefore w:val="0"/>
        <w:widowControl w:val="0"/>
        <w:kinsoku/>
        <w:wordWrap/>
        <w:overflowPunct/>
        <w:topLinePunct w:val="0"/>
        <w:autoSpaceDE/>
        <w:autoSpaceDN/>
        <w:bidi w:val="0"/>
        <w:adjustRightInd/>
        <w:snapToGrid w:val="0"/>
        <w:spacing w:line="600" w:lineRule="exact"/>
        <w:ind w:firstLine="320" w:firstLineChars="1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（2）比较法。是指通过对绩效目标与实施效果、历史与当期情况、不同部门和地区同类支出的比较，综合分析绩效目标实现程度。</w:t>
      </w:r>
    </w:p>
    <w:p w14:paraId="3AF2476D">
      <w:pPr>
        <w:pageBreakBefore w:val="0"/>
        <w:widowControl w:val="0"/>
        <w:kinsoku/>
        <w:wordWrap/>
        <w:overflowPunct/>
        <w:topLinePunct w:val="0"/>
        <w:autoSpaceDE/>
        <w:autoSpaceDN/>
        <w:bidi w:val="0"/>
        <w:adjustRightInd/>
        <w:snapToGrid w:val="0"/>
        <w:spacing w:line="600" w:lineRule="exact"/>
        <w:ind w:firstLine="320" w:firstLineChars="1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（3）因素分析法。是指通过综合分析影响绩效目标实现、实施效果的内外因素，评价绩效目标实现程度。</w:t>
      </w:r>
    </w:p>
    <w:p w14:paraId="33F09566">
      <w:pPr>
        <w:pageBreakBefore w:val="0"/>
        <w:widowControl w:val="0"/>
        <w:kinsoku/>
        <w:wordWrap/>
        <w:overflowPunct/>
        <w:topLinePunct w:val="0"/>
        <w:autoSpaceDE/>
        <w:autoSpaceDN/>
        <w:bidi w:val="0"/>
        <w:adjustRightInd/>
        <w:snapToGrid w:val="0"/>
        <w:spacing w:line="600" w:lineRule="exact"/>
        <w:ind w:firstLine="320" w:firstLineChars="1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（4）最低成本法。是指对效益确定却不易计量的多个同类对象的实施成本进行比较，评价绩效目标实现程度。</w:t>
      </w:r>
    </w:p>
    <w:p w14:paraId="43AA8CC8">
      <w:pPr>
        <w:pageBreakBefore w:val="0"/>
        <w:widowControl w:val="0"/>
        <w:kinsoku/>
        <w:wordWrap/>
        <w:overflowPunct/>
        <w:topLinePunct w:val="0"/>
        <w:autoSpaceDE/>
        <w:autoSpaceDN/>
        <w:bidi w:val="0"/>
        <w:adjustRightInd/>
        <w:snapToGrid w:val="0"/>
        <w:spacing w:line="600" w:lineRule="exact"/>
        <w:ind w:firstLine="320" w:firstLineChars="1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（5）公众评判法。是指通过专家评估、公众问卷及抽样调查等对支出效果和服务对象满意度进行评判，从社会角度评价绩效目标实现程度。</w:t>
      </w:r>
    </w:p>
    <w:p w14:paraId="7DB725BE">
      <w:pPr>
        <w:pageBreakBefore w:val="0"/>
        <w:widowControl w:val="0"/>
        <w:kinsoku/>
        <w:wordWrap/>
        <w:overflowPunct/>
        <w:topLinePunct w:val="0"/>
        <w:autoSpaceDE/>
        <w:autoSpaceDN/>
        <w:bidi w:val="0"/>
        <w:adjustRightInd/>
        <w:snapToGrid w:val="0"/>
        <w:spacing w:line="600" w:lineRule="exact"/>
        <w:ind w:firstLine="320" w:firstLineChars="1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（6）其他评价方法。</w:t>
      </w:r>
    </w:p>
    <w:p w14:paraId="73E8709E">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其他方法包括抽样调查、调阅资料、实地调查等方法，绩效评价和政策评估方法的选用应当坚持简便有效的原则。根据评价对象的具体情况，采用一种或多种方法开展评价。</w:t>
      </w:r>
    </w:p>
    <w:p w14:paraId="359AED59">
      <w:pPr>
        <w:pStyle w:val="3"/>
        <w:pageBreakBefore w:val="0"/>
        <w:widowControl w:val="0"/>
        <w:kinsoku/>
        <w:wordWrap/>
        <w:overflowPunct/>
        <w:topLinePunct w:val="0"/>
        <w:autoSpaceDE/>
        <w:autoSpaceDN/>
        <w:bidi w:val="0"/>
        <w:adjustRightInd/>
        <w:spacing w:before="0" w:after="0" w:line="600" w:lineRule="exact"/>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（三）绩效评价工作过程</w:t>
      </w:r>
    </w:p>
    <w:p w14:paraId="6E6CBCF2">
      <w:pPr>
        <w:pStyle w:val="4"/>
        <w:pageBreakBefore w:val="0"/>
        <w:widowControl w:val="0"/>
        <w:kinsoku/>
        <w:wordWrap/>
        <w:overflowPunct/>
        <w:topLinePunct w:val="0"/>
        <w:autoSpaceDE/>
        <w:autoSpaceDN/>
        <w:bidi w:val="0"/>
        <w:adjustRightInd/>
        <w:spacing w:before="0" w:after="0" w:line="600" w:lineRule="exact"/>
        <w:ind w:firstLine="640" w:firstLineChars="200"/>
        <w:textAlignment w:val="auto"/>
        <w:rPr>
          <w:rFonts w:hint="eastAsia" w:ascii="华文仿宋" w:hAnsi="华文仿宋" w:eastAsia="华文仿宋" w:cs="华文仿宋"/>
          <w:b w:val="0"/>
          <w:sz w:val="32"/>
          <w:szCs w:val="32"/>
        </w:rPr>
      </w:pPr>
      <w:r>
        <w:rPr>
          <w:rFonts w:hint="eastAsia" w:ascii="华文仿宋" w:hAnsi="华文仿宋" w:eastAsia="华文仿宋" w:cs="华文仿宋"/>
          <w:b w:val="0"/>
          <w:sz w:val="32"/>
          <w:szCs w:val="32"/>
        </w:rPr>
        <w:t xml:space="preserve"> 1、前期准备</w:t>
      </w:r>
    </w:p>
    <w:p w14:paraId="2EE13C90">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 xml:space="preserve"> (1) 收集项目相关文件资料，掌握项目特点，分析评价对象的重点和难点，结合《201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广元市昭化区项目支出绩效评价指标体系》及本次评价所涉相关政策，构建评价指标体系、评分（估）标准、数据表、问卷调查表。并组织参与现场评价工作的人员就相关制度规定、指标体系、评分（估）标准、社会调查、工作要求等进行集中学习。</w:t>
      </w:r>
    </w:p>
    <w:p w14:paraId="4C485AB8">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 xml:space="preserve"> (2) 向被评价单位、项目实施单位发出项目评价通知，包括：评价组情况、项目评价资料清单、评价目的、评价依据、评价对象、评价内容、评价步骤、评价时间、评价指标及评价标准、评价工作相关要求等。督促受评部门做好相关资料的收集、整理、数据分析。</w:t>
      </w:r>
    </w:p>
    <w:p w14:paraId="7C53A4A3">
      <w:pPr>
        <w:pStyle w:val="4"/>
        <w:pageBreakBefore w:val="0"/>
        <w:widowControl w:val="0"/>
        <w:kinsoku/>
        <w:wordWrap/>
        <w:overflowPunct/>
        <w:topLinePunct w:val="0"/>
        <w:autoSpaceDE/>
        <w:autoSpaceDN/>
        <w:bidi w:val="0"/>
        <w:adjustRightInd/>
        <w:spacing w:before="0" w:after="0" w:line="600" w:lineRule="exact"/>
        <w:textAlignment w:val="auto"/>
        <w:rPr>
          <w:rFonts w:hint="eastAsia" w:ascii="华文仿宋" w:hAnsi="华文仿宋" w:eastAsia="华文仿宋" w:cs="华文仿宋"/>
          <w:b w:val="0"/>
          <w:sz w:val="32"/>
          <w:szCs w:val="32"/>
        </w:rPr>
      </w:pPr>
      <w:r>
        <w:rPr>
          <w:rFonts w:hint="eastAsia" w:ascii="华文仿宋" w:hAnsi="华文仿宋" w:eastAsia="华文仿宋" w:cs="华文仿宋"/>
          <w:b w:val="0"/>
          <w:sz w:val="32"/>
          <w:szCs w:val="32"/>
        </w:rPr>
        <w:t xml:space="preserve"> 2、组织实施</w:t>
      </w:r>
    </w:p>
    <w:p w14:paraId="6B5849F7">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评价工作小组根据部门财务管理绩效评价相关要求，对于项目支出方面，评价工作小组通过查阅项目相关资料，对项目申报资料、审核流程、数据统计流程等内部控制程序逐一进行检查，并通过实地察看、社会调查、访谈等方式，了解项目决策、项目管理、项目完成、项目效果等情况，收集相关数据，并进行初步分析判断。</w:t>
      </w:r>
    </w:p>
    <w:p w14:paraId="0AE886A8">
      <w:pPr>
        <w:pStyle w:val="4"/>
        <w:pageBreakBefore w:val="0"/>
        <w:widowControl w:val="0"/>
        <w:kinsoku/>
        <w:wordWrap/>
        <w:overflowPunct/>
        <w:topLinePunct w:val="0"/>
        <w:autoSpaceDE/>
        <w:autoSpaceDN/>
        <w:bidi w:val="0"/>
        <w:adjustRightInd/>
        <w:spacing w:before="0" w:after="0" w:line="600" w:lineRule="exact"/>
        <w:textAlignment w:val="auto"/>
        <w:rPr>
          <w:rFonts w:hint="eastAsia" w:ascii="华文仿宋" w:hAnsi="华文仿宋" w:eastAsia="华文仿宋" w:cs="华文仿宋"/>
          <w:b w:val="0"/>
          <w:sz w:val="32"/>
          <w:szCs w:val="32"/>
        </w:rPr>
      </w:pPr>
      <w:r>
        <w:rPr>
          <w:rFonts w:hint="eastAsia" w:ascii="华文仿宋" w:hAnsi="华文仿宋" w:eastAsia="华文仿宋" w:cs="华文仿宋"/>
          <w:b w:val="0"/>
          <w:sz w:val="32"/>
          <w:szCs w:val="32"/>
        </w:rPr>
        <w:t>3、分析评价、评估</w:t>
      </w:r>
    </w:p>
    <w:p w14:paraId="3E308EC5">
      <w:pPr>
        <w:pageBreakBefore w:val="0"/>
        <w:widowControl w:val="0"/>
        <w:numPr>
          <w:ilvl w:val="0"/>
          <w:numId w:val="0"/>
        </w:numPr>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sz w:val="32"/>
          <w:szCs w:val="32"/>
          <w:lang w:val="en-US" w:eastAsia="zh-CN"/>
        </w:rPr>
      </w:pPr>
      <w:r>
        <w:rPr>
          <w:rFonts w:hint="eastAsia" w:ascii="华文仿宋" w:hAnsi="华文仿宋" w:eastAsia="华文仿宋" w:cs="华文仿宋"/>
          <w:sz w:val="32"/>
          <w:szCs w:val="32"/>
        </w:rPr>
        <w:t>对现场评价中发现的重大问题，组织力量进行深入评价，并召开专题讨论会审，提出处理方案。评价工作组将取得的现场评价成果进行讨论分析，汇总评价结果后形成初步意见。</w:t>
      </w:r>
    </w:p>
    <w:p w14:paraId="38B50179">
      <w:pPr>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华文中宋" w:hAnsi="华文中宋" w:eastAsia="华文中宋" w:cs="华文中宋"/>
          <w:sz w:val="32"/>
          <w:szCs w:val="32"/>
        </w:rPr>
      </w:pPr>
      <w:r>
        <w:rPr>
          <w:rFonts w:hint="eastAsia" w:ascii="华文中宋" w:hAnsi="华文中宋" w:eastAsia="华文中宋" w:cs="华文中宋"/>
          <w:sz w:val="32"/>
          <w:szCs w:val="32"/>
        </w:rPr>
        <w:t>二、评价结论及绩效分析</w:t>
      </w:r>
    </w:p>
    <w:p w14:paraId="022C26CA">
      <w:pPr>
        <w:pageBreakBefore w:val="0"/>
        <w:widowControl w:val="0"/>
        <w:kinsoku/>
        <w:wordWrap/>
        <w:overflowPunct/>
        <w:topLinePunct w:val="0"/>
        <w:autoSpaceDE/>
        <w:autoSpaceDN/>
        <w:bidi w:val="0"/>
        <w:adjustRightInd/>
        <w:spacing w:line="600" w:lineRule="exact"/>
        <w:ind w:firstLine="643" w:firstLineChars="200"/>
        <w:textAlignment w:val="auto"/>
        <w:rPr>
          <w:rFonts w:ascii="仿宋" w:hAnsi="仿宋" w:eastAsia="仿宋" w:cs="仿宋_GB2312"/>
          <w:b/>
          <w:bCs/>
          <w:sz w:val="32"/>
          <w:szCs w:val="32"/>
        </w:rPr>
      </w:pPr>
      <w:r>
        <w:rPr>
          <w:rFonts w:ascii="仿宋" w:hAnsi="仿宋" w:eastAsia="仿宋" w:cs="仿宋_GB2312"/>
          <w:b/>
          <w:bCs/>
          <w:sz w:val="32"/>
          <w:szCs w:val="32"/>
        </w:rPr>
        <w:t>（一）评价结论</w:t>
      </w:r>
    </w:p>
    <w:p w14:paraId="2F6F5585">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w:t>
      </w:r>
      <w:r>
        <w:rPr>
          <w:rFonts w:hint="eastAsia" w:ascii="华文仿宋" w:hAnsi="华文仿宋" w:eastAsia="华文仿宋" w:cs="华文仿宋"/>
          <w:sz w:val="32"/>
          <w:szCs w:val="32"/>
          <w:lang w:eastAsia="zh-CN"/>
        </w:rPr>
        <w:t>丁家乡</w:t>
      </w:r>
      <w:r>
        <w:rPr>
          <w:rFonts w:hint="eastAsia" w:ascii="华文仿宋" w:hAnsi="华文仿宋" w:eastAsia="华文仿宋" w:cs="华文仿宋"/>
          <w:sz w:val="32"/>
          <w:szCs w:val="32"/>
        </w:rPr>
        <w:t>基层组织活动和公共运行维护资金专项资金项目的实施，在项目决策方面，决策依据基本充分、资金分配合理；在项目管理方面，资金到位及时、资金支出的依据、使用范围、开支标准基本符合规定，财务制度、会计核算健全规范；在项目完成方面，基本实现计划目标；在项目效果方面，项目的开展，取得了良好社会效果。</w:t>
      </w:r>
    </w:p>
    <w:p w14:paraId="6D053B01">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ascii="仿宋_GB2312" w:hAnsi="仿宋"/>
          <w:sz w:val="28"/>
          <w:szCs w:val="28"/>
        </w:rPr>
      </w:pPr>
      <w:r>
        <w:rPr>
          <w:rFonts w:hint="eastAsia" w:ascii="华文仿宋" w:hAnsi="华文仿宋" w:eastAsia="华文仿宋" w:cs="华文仿宋"/>
          <w:sz w:val="32"/>
          <w:szCs w:val="32"/>
        </w:rPr>
        <w:t>通过对基层组织活动和公共运行维护资金专项资金项目三级指标的分析考评，该项目的绩效评价得分为9</w:t>
      </w:r>
      <w:r>
        <w:rPr>
          <w:rFonts w:hint="eastAsia" w:ascii="华文仿宋" w:hAnsi="华文仿宋" w:eastAsia="华文仿宋" w:cs="华文仿宋"/>
          <w:sz w:val="32"/>
          <w:szCs w:val="32"/>
          <w:lang w:val="en-US" w:eastAsia="zh-CN"/>
        </w:rPr>
        <w:t>1</w:t>
      </w:r>
      <w:r>
        <w:rPr>
          <w:rFonts w:hint="eastAsia" w:ascii="华文仿宋" w:hAnsi="华文仿宋" w:eastAsia="华文仿宋" w:cs="华文仿宋"/>
          <w:sz w:val="32"/>
          <w:szCs w:val="32"/>
        </w:rPr>
        <w:t>分(具体指标分值见附件)，综合评价结果为优级</w:t>
      </w:r>
      <w:r>
        <w:rPr>
          <w:rFonts w:hint="eastAsia" w:ascii="仿宋_GB2312" w:hAnsi="仿宋"/>
          <w:sz w:val="28"/>
          <w:szCs w:val="28"/>
        </w:rPr>
        <w:t>。</w:t>
      </w:r>
    </w:p>
    <w:p w14:paraId="6B0CA66E">
      <w:pPr>
        <w:keepNext w:val="0"/>
        <w:keepLines w:val="0"/>
        <w:pageBreakBefore w:val="0"/>
        <w:widowControl w:val="0"/>
        <w:kinsoku/>
        <w:wordWrap/>
        <w:overflowPunct/>
        <w:topLinePunct w:val="0"/>
        <w:autoSpaceDE/>
        <w:autoSpaceDN/>
        <w:bidi w:val="0"/>
        <w:adjustRightInd/>
        <w:spacing w:line="600" w:lineRule="exact"/>
        <w:ind w:firstLine="641" w:firstLineChars="200"/>
        <w:textAlignment w:val="auto"/>
        <w:rPr>
          <w:rFonts w:hint="eastAsia" w:ascii="华文仿宋" w:hAnsi="华文仿宋" w:eastAsia="华文仿宋" w:cs="华文仿宋"/>
          <w:b/>
          <w:bCs/>
          <w:sz w:val="32"/>
          <w:szCs w:val="32"/>
        </w:rPr>
      </w:pPr>
      <w:r>
        <w:rPr>
          <w:rFonts w:hint="eastAsia" w:ascii="华文仿宋" w:hAnsi="华文仿宋" w:eastAsia="华文仿宋" w:cs="华文仿宋"/>
          <w:b/>
          <w:bCs/>
          <w:sz w:val="32"/>
          <w:szCs w:val="32"/>
        </w:rPr>
        <w:t>（二）绩效分析</w:t>
      </w:r>
    </w:p>
    <w:p w14:paraId="6558B6F3">
      <w:pPr>
        <w:keepNext w:val="0"/>
        <w:keepLines w:val="0"/>
        <w:pageBreakBefore w:val="0"/>
        <w:widowControl w:val="0"/>
        <w:kinsoku/>
        <w:wordWrap/>
        <w:overflowPunct/>
        <w:topLinePunct w:val="0"/>
        <w:autoSpaceDE/>
        <w:autoSpaceDN/>
        <w:bidi w:val="0"/>
        <w:adjustRightInd/>
        <w:spacing w:line="600" w:lineRule="exact"/>
        <w:ind w:firstLine="641" w:firstLineChars="200"/>
        <w:textAlignment w:val="auto"/>
        <w:rPr>
          <w:rFonts w:hint="eastAsia" w:ascii="华文仿宋" w:hAnsi="华文仿宋" w:eastAsia="华文仿宋" w:cs="华文仿宋"/>
          <w:b/>
          <w:bCs/>
          <w:sz w:val="32"/>
          <w:szCs w:val="32"/>
        </w:rPr>
      </w:pPr>
      <w:r>
        <w:rPr>
          <w:rFonts w:hint="eastAsia" w:ascii="华文仿宋" w:hAnsi="华文仿宋" w:eastAsia="华文仿宋" w:cs="华文仿宋"/>
          <w:b/>
          <w:bCs/>
          <w:sz w:val="32"/>
          <w:szCs w:val="32"/>
        </w:rPr>
        <w:t>1、项目决策</w:t>
      </w:r>
    </w:p>
    <w:p w14:paraId="6A5F02F8">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（1）项目资金到位情况</w:t>
      </w:r>
    </w:p>
    <w:p w14:paraId="070BF11A">
      <w:pPr>
        <w:keepNext w:val="0"/>
        <w:keepLines w:val="0"/>
        <w:pageBreakBefore w:val="0"/>
        <w:widowControl w:val="0"/>
        <w:tabs>
          <w:tab w:val="left" w:pos="680"/>
        </w:tabs>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000000"/>
          <w:kern w:val="0"/>
          <w:sz w:val="32"/>
          <w:szCs w:val="32"/>
        </w:rPr>
      </w:pP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年昭化区财政局预算指标基层组织活动和公共运行维护资金项目资金</w:t>
      </w:r>
      <w:r>
        <w:rPr>
          <w:rFonts w:hint="eastAsia" w:ascii="华文仿宋" w:hAnsi="华文仿宋" w:eastAsia="华文仿宋" w:cs="华文仿宋"/>
          <w:sz w:val="32"/>
          <w:szCs w:val="32"/>
          <w:lang w:val="en-US" w:eastAsia="zh-CN"/>
        </w:rPr>
        <w:t>30</w:t>
      </w:r>
      <w:r>
        <w:rPr>
          <w:rFonts w:hint="eastAsia" w:ascii="华文仿宋" w:hAnsi="华文仿宋" w:eastAsia="华文仿宋" w:cs="华文仿宋"/>
          <w:sz w:val="32"/>
          <w:szCs w:val="32"/>
        </w:rPr>
        <w:t>万元，</w:t>
      </w:r>
      <w:r>
        <w:rPr>
          <w:rFonts w:hint="eastAsia" w:ascii="华文仿宋" w:hAnsi="华文仿宋" w:eastAsia="华文仿宋" w:cs="华文仿宋"/>
          <w:sz w:val="32"/>
          <w:szCs w:val="32"/>
          <w:lang w:eastAsia="zh-CN"/>
        </w:rPr>
        <w:t>丁家乡</w:t>
      </w: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年已收到该项目资金</w:t>
      </w:r>
      <w:r>
        <w:rPr>
          <w:rFonts w:hint="eastAsia" w:ascii="华文仿宋" w:hAnsi="华文仿宋" w:eastAsia="华文仿宋" w:cs="华文仿宋"/>
          <w:sz w:val="32"/>
          <w:szCs w:val="32"/>
          <w:lang w:val="en-US" w:eastAsia="zh-CN"/>
        </w:rPr>
        <w:t>30</w:t>
      </w:r>
      <w:r>
        <w:rPr>
          <w:rFonts w:hint="eastAsia" w:ascii="华文仿宋" w:hAnsi="华文仿宋" w:eastAsia="华文仿宋" w:cs="华文仿宋"/>
          <w:sz w:val="32"/>
          <w:szCs w:val="32"/>
        </w:rPr>
        <w:t>万元</w:t>
      </w:r>
      <w:r>
        <w:rPr>
          <w:rFonts w:hint="eastAsia" w:ascii="华文仿宋" w:hAnsi="华文仿宋" w:eastAsia="华文仿宋" w:cs="华文仿宋"/>
          <w:color w:val="000000"/>
          <w:kern w:val="0"/>
          <w:sz w:val="32"/>
          <w:szCs w:val="32"/>
        </w:rPr>
        <w:t xml:space="preserve">，资金到位率100%。 </w:t>
      </w:r>
    </w:p>
    <w:p w14:paraId="6EAAFFE2">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（2）项目资金使用情况</w:t>
      </w:r>
    </w:p>
    <w:p w14:paraId="1EB6DAAC">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截止201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年12月31日，已将基层组织活动和公共运行维护资金</w:t>
      </w:r>
      <w:r>
        <w:rPr>
          <w:rFonts w:hint="eastAsia" w:ascii="华文仿宋" w:hAnsi="华文仿宋" w:eastAsia="华文仿宋" w:cs="华文仿宋"/>
          <w:sz w:val="32"/>
          <w:szCs w:val="32"/>
          <w:lang w:val="en-US" w:eastAsia="zh-CN"/>
        </w:rPr>
        <w:t>30</w:t>
      </w:r>
      <w:r>
        <w:rPr>
          <w:rFonts w:hint="eastAsia" w:ascii="华文仿宋" w:hAnsi="华文仿宋" w:eastAsia="华文仿宋" w:cs="华文仿宋"/>
          <w:sz w:val="32"/>
          <w:szCs w:val="32"/>
        </w:rPr>
        <w:t>万元支付到各村。</w:t>
      </w:r>
    </w:p>
    <w:p w14:paraId="29429198">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（3）项目资金管理情况</w:t>
      </w:r>
    </w:p>
    <w:p w14:paraId="6E07F8C9">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lang w:eastAsia="zh-CN"/>
        </w:rPr>
        <w:t>丁家乡</w:t>
      </w:r>
      <w:r>
        <w:rPr>
          <w:rFonts w:hint="eastAsia" w:ascii="华文仿宋" w:hAnsi="华文仿宋" w:eastAsia="华文仿宋" w:cs="华文仿宋"/>
          <w:sz w:val="32"/>
          <w:szCs w:val="32"/>
        </w:rPr>
        <w:t>制定了财务管理办法，对项目管理、资金使用提出明确规定，</w:t>
      </w:r>
      <w:r>
        <w:rPr>
          <w:rFonts w:hint="eastAsia" w:ascii="华文仿宋" w:hAnsi="华文仿宋" w:eastAsia="华文仿宋" w:cs="华文仿宋"/>
          <w:color w:val="000000"/>
          <w:sz w:val="32"/>
          <w:szCs w:val="32"/>
        </w:rPr>
        <w:t>专项资金</w:t>
      </w:r>
      <w:r>
        <w:rPr>
          <w:rFonts w:hint="eastAsia" w:ascii="华文仿宋" w:hAnsi="华文仿宋" w:eastAsia="华文仿宋" w:cs="华文仿宋"/>
          <w:sz w:val="32"/>
          <w:szCs w:val="32"/>
        </w:rPr>
        <w:t>的支付范围、支付标准基本合规合法，支付依据基本充分。</w:t>
      </w:r>
    </w:p>
    <w:p w14:paraId="61CB7D31">
      <w:pPr>
        <w:keepNext w:val="0"/>
        <w:keepLines w:val="0"/>
        <w:pageBreakBefore w:val="0"/>
        <w:widowControl w:val="0"/>
        <w:kinsoku/>
        <w:wordWrap/>
        <w:overflowPunct/>
        <w:topLinePunct w:val="0"/>
        <w:autoSpaceDE/>
        <w:autoSpaceDN/>
        <w:bidi w:val="0"/>
        <w:adjustRightInd/>
        <w:spacing w:line="600" w:lineRule="exact"/>
        <w:ind w:firstLine="641"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b/>
          <w:bCs/>
          <w:sz w:val="32"/>
          <w:szCs w:val="32"/>
        </w:rPr>
        <w:t>2、项目管理</w:t>
      </w:r>
    </w:p>
    <w:p w14:paraId="56D8471B">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（1）项目资金到位情况</w:t>
      </w:r>
    </w:p>
    <w:p w14:paraId="13D8A720">
      <w:pPr>
        <w:keepNext w:val="0"/>
        <w:keepLines w:val="0"/>
        <w:pageBreakBefore w:val="0"/>
        <w:widowControl w:val="0"/>
        <w:tabs>
          <w:tab w:val="left" w:pos="680"/>
        </w:tabs>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000000"/>
          <w:kern w:val="0"/>
          <w:sz w:val="32"/>
          <w:szCs w:val="32"/>
        </w:rPr>
      </w:pP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年昭化区财政局预算指标基层组织活动和公共运行维护资金项目</w:t>
      </w:r>
      <w:r>
        <w:rPr>
          <w:rFonts w:hint="eastAsia" w:ascii="华文仿宋" w:hAnsi="华文仿宋" w:eastAsia="华文仿宋" w:cs="华文仿宋"/>
          <w:sz w:val="32"/>
          <w:szCs w:val="32"/>
          <w:lang w:eastAsia="zh-CN"/>
        </w:rPr>
        <w:t>资金</w:t>
      </w:r>
      <w:r>
        <w:rPr>
          <w:rFonts w:hint="eastAsia" w:ascii="华文仿宋" w:hAnsi="华文仿宋" w:eastAsia="华文仿宋" w:cs="华文仿宋"/>
          <w:sz w:val="32"/>
          <w:szCs w:val="32"/>
          <w:lang w:val="en-US" w:eastAsia="zh-CN"/>
        </w:rPr>
        <w:t>30</w:t>
      </w:r>
      <w:r>
        <w:rPr>
          <w:rFonts w:hint="eastAsia" w:ascii="华文仿宋" w:hAnsi="华文仿宋" w:eastAsia="华文仿宋" w:cs="华文仿宋"/>
          <w:sz w:val="32"/>
          <w:szCs w:val="32"/>
        </w:rPr>
        <w:t>万元，</w:t>
      </w:r>
      <w:r>
        <w:rPr>
          <w:rFonts w:hint="eastAsia" w:ascii="华文仿宋" w:hAnsi="华文仿宋" w:eastAsia="华文仿宋" w:cs="华文仿宋"/>
          <w:sz w:val="32"/>
          <w:szCs w:val="32"/>
          <w:lang w:eastAsia="zh-CN"/>
        </w:rPr>
        <w:t>丁家乡</w:t>
      </w:r>
      <w:r>
        <w:rPr>
          <w:rFonts w:hint="eastAsia" w:ascii="华文仿宋" w:hAnsi="华文仿宋" w:eastAsia="华文仿宋" w:cs="华文仿宋"/>
          <w:sz w:val="32"/>
          <w:szCs w:val="32"/>
        </w:rPr>
        <w:t>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年已收到该项目资金</w:t>
      </w:r>
      <w:r>
        <w:rPr>
          <w:rFonts w:hint="eastAsia" w:ascii="华文仿宋" w:hAnsi="华文仿宋" w:eastAsia="华文仿宋" w:cs="华文仿宋"/>
          <w:sz w:val="32"/>
          <w:szCs w:val="32"/>
          <w:lang w:val="en-US" w:eastAsia="zh-CN"/>
        </w:rPr>
        <w:t>30</w:t>
      </w:r>
      <w:r>
        <w:rPr>
          <w:rFonts w:hint="eastAsia" w:ascii="华文仿宋" w:hAnsi="华文仿宋" w:eastAsia="华文仿宋" w:cs="华文仿宋"/>
          <w:sz w:val="32"/>
          <w:szCs w:val="32"/>
        </w:rPr>
        <w:t>万元</w:t>
      </w:r>
      <w:r>
        <w:rPr>
          <w:rFonts w:hint="eastAsia" w:ascii="华文仿宋" w:hAnsi="华文仿宋" w:eastAsia="华文仿宋" w:cs="华文仿宋"/>
          <w:color w:val="000000"/>
          <w:kern w:val="0"/>
          <w:sz w:val="32"/>
          <w:szCs w:val="32"/>
        </w:rPr>
        <w:t xml:space="preserve">，资金到位率100%。 </w:t>
      </w:r>
    </w:p>
    <w:p w14:paraId="20063E98">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（2）项目资金使用情况</w:t>
      </w:r>
    </w:p>
    <w:p w14:paraId="1D30121B">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截止201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年12月31日，已将基层组织活动和公共运行维护资金</w:t>
      </w:r>
      <w:r>
        <w:rPr>
          <w:rFonts w:hint="eastAsia" w:ascii="华文仿宋" w:hAnsi="华文仿宋" w:eastAsia="华文仿宋" w:cs="华文仿宋"/>
          <w:sz w:val="32"/>
          <w:szCs w:val="32"/>
          <w:lang w:val="en-US" w:eastAsia="zh-CN"/>
        </w:rPr>
        <w:t>30</w:t>
      </w:r>
      <w:r>
        <w:rPr>
          <w:rFonts w:hint="eastAsia" w:ascii="华文仿宋" w:hAnsi="华文仿宋" w:eastAsia="华文仿宋" w:cs="华文仿宋"/>
          <w:sz w:val="32"/>
          <w:szCs w:val="32"/>
        </w:rPr>
        <w:t>万元支付到各村各项目实施人。</w:t>
      </w:r>
    </w:p>
    <w:p w14:paraId="53B88DC6">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（3）项目资金管理情况</w:t>
      </w:r>
    </w:p>
    <w:p w14:paraId="3B8A99BD">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lang w:eastAsia="zh-CN"/>
        </w:rPr>
        <w:t>丁家乡</w:t>
      </w:r>
      <w:r>
        <w:rPr>
          <w:rFonts w:hint="eastAsia" w:ascii="华文仿宋" w:hAnsi="华文仿宋" w:eastAsia="华文仿宋" w:cs="华文仿宋"/>
          <w:sz w:val="32"/>
          <w:szCs w:val="32"/>
        </w:rPr>
        <w:t>制定了财务管理办法，对项目管理、资金使用提出明确规定，</w:t>
      </w:r>
      <w:r>
        <w:rPr>
          <w:rFonts w:hint="eastAsia" w:ascii="华文仿宋" w:hAnsi="华文仿宋" w:eastAsia="华文仿宋" w:cs="华文仿宋"/>
          <w:color w:val="000000"/>
          <w:sz w:val="32"/>
          <w:szCs w:val="32"/>
        </w:rPr>
        <w:t>专项资金</w:t>
      </w:r>
      <w:r>
        <w:rPr>
          <w:rFonts w:hint="eastAsia" w:ascii="华文仿宋" w:hAnsi="华文仿宋" w:eastAsia="华文仿宋" w:cs="华文仿宋"/>
          <w:sz w:val="32"/>
          <w:szCs w:val="32"/>
        </w:rPr>
        <w:t>的支付范围、支付标准基本合规合法，支付依据基本充分。</w:t>
      </w:r>
    </w:p>
    <w:p w14:paraId="11E80647">
      <w:pPr>
        <w:keepNext w:val="0"/>
        <w:keepLines w:val="0"/>
        <w:pageBreakBefore w:val="0"/>
        <w:widowControl w:val="0"/>
        <w:kinsoku/>
        <w:wordWrap/>
        <w:overflowPunct/>
        <w:topLinePunct w:val="0"/>
        <w:autoSpaceDE/>
        <w:autoSpaceDN/>
        <w:bidi w:val="0"/>
        <w:adjustRightInd/>
        <w:spacing w:line="600" w:lineRule="exact"/>
        <w:ind w:firstLine="641" w:firstLineChars="200"/>
        <w:textAlignment w:val="auto"/>
        <w:rPr>
          <w:rFonts w:hint="eastAsia" w:ascii="华文仿宋" w:hAnsi="华文仿宋" w:eastAsia="华文仿宋" w:cs="华文仿宋"/>
          <w:b/>
          <w:bCs/>
          <w:sz w:val="32"/>
          <w:szCs w:val="32"/>
        </w:rPr>
      </w:pPr>
      <w:r>
        <w:rPr>
          <w:rFonts w:hint="eastAsia" w:ascii="华文仿宋" w:hAnsi="华文仿宋" w:eastAsia="华文仿宋" w:cs="华文仿宋"/>
          <w:b/>
          <w:bCs/>
          <w:sz w:val="32"/>
          <w:szCs w:val="32"/>
        </w:rPr>
        <w:t>3、项目绩效</w:t>
      </w:r>
    </w:p>
    <w:p w14:paraId="49C6603B">
      <w:pPr>
        <w:keepNext w:val="0"/>
        <w:keepLines w:val="0"/>
        <w:pageBreakBefore w:val="0"/>
        <w:widowControl w:val="0"/>
        <w:kinsoku/>
        <w:wordWrap/>
        <w:overflowPunct/>
        <w:topLinePunct w:val="0"/>
        <w:autoSpaceDE/>
        <w:autoSpaceDN/>
        <w:bidi w:val="0"/>
        <w:adjustRightInd/>
        <w:snapToGrid w:val="0"/>
        <w:spacing w:line="600" w:lineRule="exact"/>
        <w:ind w:firstLine="57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（1）项目的完成数量</w:t>
      </w:r>
    </w:p>
    <w:p w14:paraId="5B7DC008">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 xml:space="preserve">   　 201</w:t>
      </w:r>
      <w:r>
        <w:rPr>
          <w:rFonts w:hint="eastAsia" w:ascii="华文仿宋" w:hAnsi="华文仿宋" w:eastAsia="华文仿宋" w:cs="华文仿宋"/>
          <w:sz w:val="32"/>
          <w:szCs w:val="32"/>
          <w:lang w:val="en-US" w:eastAsia="zh-CN"/>
        </w:rPr>
        <w:t>9</w:t>
      </w:r>
      <w:r>
        <w:rPr>
          <w:rFonts w:hint="eastAsia" w:ascii="华文仿宋" w:hAnsi="华文仿宋" w:eastAsia="华文仿宋" w:cs="华文仿宋"/>
          <w:sz w:val="32"/>
          <w:szCs w:val="32"/>
        </w:rPr>
        <w:t>年，各村均已按实施方案完成。</w:t>
      </w:r>
    </w:p>
    <w:p w14:paraId="02AE3B9D">
      <w:pPr>
        <w:keepNext w:val="0"/>
        <w:keepLines w:val="0"/>
        <w:pageBreakBefore w:val="0"/>
        <w:widowControl w:val="0"/>
        <w:kinsoku/>
        <w:wordWrap/>
        <w:overflowPunct/>
        <w:topLinePunct w:val="0"/>
        <w:autoSpaceDE/>
        <w:autoSpaceDN/>
        <w:bidi w:val="0"/>
        <w:adjustRightInd/>
        <w:snapToGrid w:val="0"/>
        <w:spacing w:line="600" w:lineRule="exact"/>
        <w:ind w:firstLine="646" w:firstLineChars="202"/>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（2）项目完成质量</w:t>
      </w:r>
    </w:p>
    <w:p w14:paraId="34993207">
      <w:pPr>
        <w:keepNext w:val="0"/>
        <w:keepLines w:val="0"/>
        <w:pageBreakBefore w:val="0"/>
        <w:widowControl w:val="0"/>
        <w:kinsoku/>
        <w:wordWrap/>
        <w:overflowPunct/>
        <w:topLinePunct w:val="0"/>
        <w:autoSpaceDE/>
        <w:autoSpaceDN/>
        <w:bidi w:val="0"/>
        <w:adjustRightInd/>
        <w:snapToGrid w:val="0"/>
        <w:spacing w:line="600" w:lineRule="exact"/>
        <w:ind w:firstLine="57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项目经</w:t>
      </w:r>
      <w:r>
        <w:rPr>
          <w:rFonts w:hint="eastAsia" w:ascii="华文仿宋" w:hAnsi="华文仿宋" w:eastAsia="华文仿宋" w:cs="华文仿宋"/>
          <w:sz w:val="32"/>
          <w:szCs w:val="32"/>
          <w:lang w:eastAsia="zh-CN"/>
        </w:rPr>
        <w:t>乡</w:t>
      </w:r>
      <w:r>
        <w:rPr>
          <w:rFonts w:hint="eastAsia" w:ascii="华文仿宋" w:hAnsi="华文仿宋" w:eastAsia="华文仿宋" w:cs="华文仿宋"/>
          <w:sz w:val="32"/>
          <w:szCs w:val="32"/>
        </w:rPr>
        <w:t>财政所、联村干部、监督委员会、村民委员会共同验收合格。</w:t>
      </w:r>
    </w:p>
    <w:p w14:paraId="6DFF41D4">
      <w:pPr>
        <w:keepNext w:val="0"/>
        <w:keepLines w:val="0"/>
        <w:pageBreakBefore w:val="0"/>
        <w:widowControl w:val="0"/>
        <w:kinsoku/>
        <w:wordWrap/>
        <w:overflowPunct/>
        <w:topLinePunct w:val="0"/>
        <w:autoSpaceDE/>
        <w:autoSpaceDN/>
        <w:bidi w:val="0"/>
        <w:adjustRightInd/>
        <w:snapToGrid w:val="0"/>
        <w:spacing w:line="600" w:lineRule="exact"/>
        <w:ind w:firstLine="57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（3）项目的效益性</w:t>
      </w:r>
    </w:p>
    <w:p w14:paraId="403C45F7">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项目实施后，使用各村建立了环境卫生长效保洁机制，维护了村（社区）良好的生活环境；通过对各村（社区）道路、水利及其他基础设施的维护，保证各项设施的正常运行，为各村（居）民提供良好的生产生活条件。项目实施的效果得到村（居）民普遍好评，社会效益明显。</w:t>
      </w:r>
    </w:p>
    <w:p w14:paraId="08CCA336">
      <w:pPr>
        <w:pageBreakBefore w:val="0"/>
        <w:widowControl w:val="0"/>
        <w:numPr>
          <w:ilvl w:val="0"/>
          <w:numId w:val="1"/>
        </w:numPr>
        <w:kinsoku/>
        <w:wordWrap/>
        <w:overflowPunct/>
        <w:topLinePunct w:val="0"/>
        <w:autoSpaceDE/>
        <w:autoSpaceDN/>
        <w:bidi w:val="0"/>
        <w:adjustRightInd/>
        <w:spacing w:line="600" w:lineRule="exact"/>
        <w:ind w:left="1360" w:leftChars="0" w:hanging="720" w:firstLineChars="0"/>
        <w:textAlignment w:val="auto"/>
        <w:rPr>
          <w:rFonts w:hint="eastAsia" w:ascii="华文中宋" w:hAnsi="华文中宋" w:eastAsia="华文中宋" w:cs="华文中宋"/>
          <w:sz w:val="32"/>
          <w:szCs w:val="32"/>
        </w:rPr>
      </w:pPr>
      <w:r>
        <w:rPr>
          <w:rFonts w:hint="eastAsia" w:ascii="华文中宋" w:hAnsi="华文中宋" w:eastAsia="华文中宋" w:cs="华文中宋"/>
          <w:sz w:val="32"/>
          <w:szCs w:val="32"/>
        </w:rPr>
        <w:t>存在主要问题</w:t>
      </w:r>
    </w:p>
    <w:p w14:paraId="009469E5">
      <w:pPr>
        <w:pageBreakBefore w:val="0"/>
        <w:widowControl w:val="0"/>
        <w:numPr>
          <w:ilvl w:val="0"/>
          <w:numId w:val="0"/>
        </w:numPr>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sz w:val="32"/>
          <w:szCs w:val="32"/>
        </w:rPr>
      </w:pPr>
      <w:r>
        <w:rPr>
          <w:rFonts w:hint="eastAsia" w:ascii="华文仿宋" w:hAnsi="华文仿宋" w:eastAsia="华文仿宋" w:cs="华文仿宋"/>
          <w:sz w:val="32"/>
          <w:szCs w:val="32"/>
        </w:rPr>
        <w:t>未编制该项目各村汇总实施方案，实施总结、绩效目标未细化、未量化。</w:t>
      </w:r>
    </w:p>
    <w:p w14:paraId="025EB38B">
      <w:pPr>
        <w:pageBreakBefore w:val="0"/>
        <w:widowControl w:val="0"/>
        <w:numPr>
          <w:ilvl w:val="0"/>
          <w:numId w:val="1"/>
        </w:numPr>
        <w:kinsoku/>
        <w:wordWrap/>
        <w:overflowPunct/>
        <w:topLinePunct w:val="0"/>
        <w:autoSpaceDE/>
        <w:autoSpaceDN/>
        <w:bidi w:val="0"/>
        <w:adjustRightInd/>
        <w:spacing w:line="600" w:lineRule="exact"/>
        <w:ind w:left="1360" w:leftChars="0" w:hanging="720" w:firstLineChars="0"/>
        <w:textAlignment w:val="auto"/>
        <w:rPr>
          <w:rFonts w:hint="eastAsia" w:ascii="华文中宋" w:hAnsi="华文中宋" w:eastAsia="华文中宋" w:cs="华文中宋"/>
          <w:sz w:val="32"/>
          <w:szCs w:val="32"/>
        </w:rPr>
      </w:pPr>
      <w:r>
        <w:rPr>
          <w:rFonts w:hint="eastAsia" w:ascii="华文中宋" w:hAnsi="华文中宋" w:eastAsia="华文中宋" w:cs="华文中宋"/>
          <w:sz w:val="32"/>
          <w:szCs w:val="32"/>
        </w:rPr>
        <w:t>相关措施建议</w:t>
      </w:r>
    </w:p>
    <w:p w14:paraId="75C5826A">
      <w:pPr>
        <w:pageBreakBefore w:val="0"/>
        <w:widowControl w:val="0"/>
        <w:numPr>
          <w:ilvl w:val="0"/>
          <w:numId w:val="9"/>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sz w:val="32"/>
          <w:szCs w:val="32"/>
          <w:lang w:val="en-US" w:eastAsia="zh-CN"/>
        </w:rPr>
      </w:pPr>
      <w:r>
        <w:rPr>
          <w:rFonts w:hint="eastAsia" w:ascii="华文仿宋" w:hAnsi="华文仿宋" w:eastAsia="华文仿宋" w:cs="华文仿宋"/>
          <w:sz w:val="32"/>
          <w:szCs w:val="32"/>
          <w:lang w:val="en-US" w:eastAsia="zh-CN"/>
        </w:rPr>
        <w:t>根据各村农公运使用实际，合理编制实施方案；</w:t>
      </w:r>
    </w:p>
    <w:p w14:paraId="2DC59B84">
      <w:pPr>
        <w:pageBreakBefore w:val="0"/>
        <w:widowControl w:val="0"/>
        <w:numPr>
          <w:ilvl w:val="0"/>
          <w:numId w:val="0"/>
        </w:numPr>
        <w:kinsoku/>
        <w:wordWrap/>
        <w:overflowPunct/>
        <w:topLinePunct w:val="0"/>
        <w:autoSpaceDE/>
        <w:autoSpaceDN/>
        <w:bidi w:val="0"/>
        <w:adjustRightInd/>
        <w:spacing w:line="600" w:lineRule="exact"/>
        <w:textAlignment w:val="auto"/>
        <w:rPr>
          <w:rFonts w:hint="eastAsia" w:ascii="华文仿宋" w:hAnsi="华文仿宋" w:eastAsia="华文仿宋" w:cs="华文仿宋"/>
          <w:sz w:val="32"/>
          <w:szCs w:val="32"/>
          <w:lang w:val="en-US" w:eastAsia="zh-CN"/>
        </w:rPr>
      </w:pPr>
      <w:r>
        <w:rPr>
          <w:rFonts w:hint="eastAsia" w:ascii="华文仿宋" w:hAnsi="华文仿宋" w:eastAsia="华文仿宋" w:cs="华文仿宋"/>
          <w:sz w:val="32"/>
          <w:szCs w:val="32"/>
          <w:lang w:val="en-US" w:eastAsia="zh-CN"/>
        </w:rPr>
        <w:t xml:space="preserve">    2、依据</w:t>
      </w:r>
      <w:r>
        <w:rPr>
          <w:rFonts w:hint="eastAsia" w:ascii="华文仿宋" w:hAnsi="华文仿宋" w:eastAsia="华文仿宋" w:cs="华文仿宋"/>
          <w:sz w:val="32"/>
          <w:szCs w:val="32"/>
        </w:rPr>
        <w:t>项目决策、项目管理、项目完成、项目效果等情况</w:t>
      </w:r>
      <w:r>
        <w:rPr>
          <w:rFonts w:hint="eastAsia" w:ascii="华文仿宋" w:hAnsi="华文仿宋" w:eastAsia="华文仿宋" w:cs="华文仿宋"/>
          <w:sz w:val="32"/>
          <w:szCs w:val="32"/>
          <w:lang w:eastAsia="zh-CN"/>
        </w:rPr>
        <w:t>实施总结，并对项目绩效目标进行细化、量化等进行自评。</w:t>
      </w:r>
    </w:p>
    <w:p w14:paraId="6E45BBBF">
      <w:pPr>
        <w:pageBreakBefore w:val="0"/>
        <w:widowControl w:val="0"/>
        <w:kinsoku/>
        <w:wordWrap/>
        <w:overflowPunct/>
        <w:topLinePunct w:val="0"/>
        <w:autoSpaceDE/>
        <w:autoSpaceDN/>
        <w:bidi w:val="0"/>
        <w:adjustRightInd/>
        <w:spacing w:line="600" w:lineRule="exact"/>
        <w:jc w:val="center"/>
        <w:textAlignment w:val="auto"/>
        <w:outlineLvl w:val="0"/>
        <w:rPr>
          <w:rFonts w:hint="eastAsia" w:ascii="黑体" w:hAnsi="黑体" w:eastAsia="黑体"/>
          <w:color w:val="000000"/>
          <w:sz w:val="44"/>
          <w:szCs w:val="44"/>
        </w:rPr>
      </w:pPr>
    </w:p>
    <w:p w14:paraId="4545F307">
      <w:pPr>
        <w:pageBreakBefore w:val="0"/>
        <w:widowControl w:val="0"/>
        <w:kinsoku/>
        <w:wordWrap/>
        <w:overflowPunct/>
        <w:topLinePunct w:val="0"/>
        <w:autoSpaceDE/>
        <w:autoSpaceDN/>
        <w:bidi w:val="0"/>
        <w:adjustRightInd/>
        <w:spacing w:line="600" w:lineRule="exact"/>
        <w:jc w:val="center"/>
        <w:textAlignment w:val="auto"/>
        <w:outlineLvl w:val="0"/>
        <w:rPr>
          <w:rFonts w:hint="eastAsia" w:ascii="黑体" w:hAnsi="黑体" w:eastAsia="黑体"/>
          <w:color w:val="000000"/>
          <w:sz w:val="44"/>
          <w:szCs w:val="44"/>
        </w:rPr>
      </w:pPr>
    </w:p>
    <w:p w14:paraId="44B99348">
      <w:pPr>
        <w:pageBreakBefore w:val="0"/>
        <w:widowControl w:val="0"/>
        <w:kinsoku/>
        <w:wordWrap/>
        <w:overflowPunct/>
        <w:topLinePunct w:val="0"/>
        <w:autoSpaceDE/>
        <w:autoSpaceDN/>
        <w:bidi w:val="0"/>
        <w:adjustRightInd/>
        <w:spacing w:line="600" w:lineRule="exact"/>
        <w:jc w:val="center"/>
        <w:textAlignment w:val="auto"/>
        <w:outlineLvl w:val="0"/>
        <w:rPr>
          <w:rStyle w:val="24"/>
          <w:rFonts w:ascii="黑体" w:hAnsi="黑体" w:eastAsia="黑体"/>
          <w:b w:val="0"/>
        </w:rPr>
      </w:pPr>
      <w:r>
        <w:rPr>
          <w:rFonts w:hint="eastAsia" w:ascii="黑体" w:hAnsi="黑体" w:eastAsia="黑体"/>
          <w:color w:val="000000"/>
          <w:sz w:val="44"/>
          <w:szCs w:val="44"/>
        </w:rPr>
        <w:t>第</w:t>
      </w:r>
      <w:r>
        <w:rPr>
          <w:rStyle w:val="24"/>
          <w:rFonts w:hint="eastAsia" w:ascii="黑体" w:hAnsi="黑体" w:eastAsia="黑体"/>
          <w:b w:val="0"/>
        </w:rPr>
        <w:t>五部分 附表</w:t>
      </w:r>
    </w:p>
    <w:p w14:paraId="2745DC86">
      <w:pPr>
        <w:pageBreakBefore w:val="0"/>
        <w:widowControl w:val="0"/>
        <w:tabs>
          <w:tab w:val="left" w:pos="2092"/>
        </w:tabs>
        <w:kinsoku/>
        <w:wordWrap/>
        <w:overflowPunct/>
        <w:topLinePunct w:val="0"/>
        <w:autoSpaceDE/>
        <w:autoSpaceDN/>
        <w:bidi w:val="0"/>
        <w:adjustRightInd/>
        <w:spacing w:line="600" w:lineRule="exact"/>
        <w:jc w:val="left"/>
        <w:textAlignment w:val="auto"/>
        <w:outlineLvl w:val="0"/>
        <w:rPr>
          <w:rFonts w:hint="eastAsia" w:ascii="仿宋" w:hAnsi="仿宋" w:eastAsia="仿宋"/>
          <w:b/>
          <w:color w:val="000000"/>
          <w:sz w:val="44"/>
          <w:szCs w:val="44"/>
          <w:lang w:eastAsia="zh-CN"/>
        </w:rPr>
      </w:pPr>
      <w:r>
        <w:rPr>
          <w:rFonts w:hint="eastAsia" w:ascii="仿宋" w:hAnsi="仿宋" w:eastAsia="仿宋"/>
          <w:b/>
          <w:color w:val="000000"/>
          <w:sz w:val="44"/>
          <w:szCs w:val="44"/>
          <w:lang w:eastAsia="zh-CN"/>
        </w:rPr>
        <w:tab/>
      </w:r>
    </w:p>
    <w:p w14:paraId="0947A2F1">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Fonts w:hint="eastAsia" w:ascii="仿宋" w:hAnsi="仿宋" w:eastAsia="仿宋"/>
          <w:b w:val="0"/>
          <w:color w:val="000000"/>
        </w:rPr>
        <w:t>一、收</w:t>
      </w:r>
      <w:r>
        <w:rPr>
          <w:rStyle w:val="25"/>
          <w:rFonts w:hint="eastAsia" w:ascii="仿宋" w:hAnsi="仿宋" w:eastAsia="仿宋"/>
          <w:b w:val="0"/>
          <w:bCs w:val="0"/>
        </w:rPr>
        <w:t>入支出决算总表</w:t>
      </w:r>
    </w:p>
    <w:p w14:paraId="38F2175D">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Fonts w:hint="eastAsia" w:ascii="仿宋" w:hAnsi="仿宋" w:eastAsia="仿宋"/>
          <w:b w:val="0"/>
          <w:color w:val="000000"/>
        </w:rPr>
        <w:t>二、收</w:t>
      </w:r>
      <w:r>
        <w:rPr>
          <w:rStyle w:val="25"/>
          <w:rFonts w:hint="eastAsia" w:ascii="仿宋" w:hAnsi="仿宋" w:eastAsia="仿宋"/>
          <w:b w:val="0"/>
          <w:bCs w:val="0"/>
        </w:rPr>
        <w:t>入总表</w:t>
      </w:r>
    </w:p>
    <w:p w14:paraId="3890ACB0">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Style w:val="25"/>
          <w:rFonts w:hint="eastAsia" w:ascii="仿宋" w:hAnsi="仿宋" w:eastAsia="仿宋"/>
          <w:b w:val="0"/>
          <w:bCs w:val="0"/>
        </w:rPr>
        <w:t>三、</w:t>
      </w:r>
      <w:r>
        <w:rPr>
          <w:rFonts w:hint="eastAsia" w:ascii="仿宋" w:hAnsi="仿宋" w:eastAsia="仿宋"/>
          <w:b w:val="0"/>
          <w:color w:val="000000"/>
        </w:rPr>
        <w:t>支</w:t>
      </w:r>
      <w:r>
        <w:rPr>
          <w:rStyle w:val="25"/>
          <w:rFonts w:hint="eastAsia" w:ascii="仿宋" w:hAnsi="仿宋" w:eastAsia="仿宋"/>
          <w:b w:val="0"/>
          <w:bCs w:val="0"/>
        </w:rPr>
        <w:t>出总表</w:t>
      </w:r>
    </w:p>
    <w:p w14:paraId="253B60E8">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b w:val="0"/>
          <w:color w:val="000000"/>
        </w:rPr>
      </w:pPr>
      <w:r>
        <w:rPr>
          <w:rStyle w:val="25"/>
          <w:rFonts w:hint="eastAsia" w:ascii="仿宋" w:hAnsi="仿宋" w:eastAsia="仿宋"/>
          <w:b w:val="0"/>
          <w:bCs w:val="0"/>
        </w:rPr>
        <w:t>四、</w:t>
      </w:r>
      <w:r>
        <w:rPr>
          <w:rFonts w:hint="eastAsia" w:ascii="仿宋" w:hAnsi="仿宋" w:eastAsia="仿宋"/>
          <w:b w:val="0"/>
          <w:color w:val="000000"/>
        </w:rPr>
        <w:t>财</w:t>
      </w:r>
      <w:r>
        <w:rPr>
          <w:rStyle w:val="25"/>
          <w:rFonts w:hint="eastAsia" w:ascii="仿宋" w:hAnsi="仿宋" w:eastAsia="仿宋"/>
          <w:b w:val="0"/>
          <w:bCs w:val="0"/>
        </w:rPr>
        <w:t>政拨款收入支出决算总表</w:t>
      </w:r>
    </w:p>
    <w:p w14:paraId="02C5D1E0">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Style w:val="25"/>
          <w:rFonts w:hint="eastAsia" w:ascii="仿宋" w:hAnsi="仿宋" w:eastAsia="仿宋"/>
          <w:b w:val="0"/>
          <w:bCs w:val="0"/>
        </w:rPr>
        <w:t>五、</w:t>
      </w:r>
      <w:r>
        <w:rPr>
          <w:rFonts w:hint="eastAsia" w:ascii="仿宋" w:hAnsi="仿宋" w:eastAsia="仿宋"/>
          <w:b w:val="0"/>
          <w:color w:val="000000"/>
        </w:rPr>
        <w:t>财</w:t>
      </w:r>
      <w:r>
        <w:rPr>
          <w:rStyle w:val="25"/>
          <w:rFonts w:hint="eastAsia" w:ascii="仿宋" w:hAnsi="仿宋" w:eastAsia="仿宋"/>
          <w:b w:val="0"/>
          <w:bCs w:val="0"/>
        </w:rPr>
        <w:t>政拨款支出决算明细表（政府经济分类科目）</w:t>
      </w:r>
    </w:p>
    <w:p w14:paraId="21A475C0">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Style w:val="25"/>
          <w:rFonts w:hint="eastAsia" w:ascii="仿宋" w:hAnsi="仿宋" w:eastAsia="仿宋"/>
          <w:b w:val="0"/>
          <w:bCs w:val="0"/>
        </w:rPr>
        <w:t>六、</w:t>
      </w:r>
      <w:r>
        <w:rPr>
          <w:rFonts w:hint="eastAsia" w:ascii="仿宋" w:hAnsi="仿宋" w:eastAsia="仿宋"/>
          <w:b w:val="0"/>
          <w:color w:val="000000"/>
        </w:rPr>
        <w:t>一</w:t>
      </w:r>
      <w:r>
        <w:rPr>
          <w:rStyle w:val="25"/>
          <w:rFonts w:hint="eastAsia" w:ascii="仿宋" w:hAnsi="仿宋" w:eastAsia="仿宋"/>
          <w:b w:val="0"/>
          <w:bCs w:val="0"/>
        </w:rPr>
        <w:t>般公共预算财政拨款支出决算表</w:t>
      </w:r>
    </w:p>
    <w:p w14:paraId="33355490">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Style w:val="25"/>
          <w:rFonts w:hint="eastAsia" w:ascii="仿宋" w:hAnsi="仿宋" w:eastAsia="仿宋"/>
          <w:b w:val="0"/>
          <w:bCs w:val="0"/>
        </w:rPr>
        <w:t>七、</w:t>
      </w:r>
      <w:r>
        <w:rPr>
          <w:rFonts w:hint="eastAsia" w:ascii="仿宋" w:hAnsi="仿宋" w:eastAsia="仿宋"/>
          <w:b w:val="0"/>
          <w:color w:val="000000"/>
        </w:rPr>
        <w:t>一</w:t>
      </w:r>
      <w:r>
        <w:rPr>
          <w:rStyle w:val="25"/>
          <w:rFonts w:hint="eastAsia" w:ascii="仿宋" w:hAnsi="仿宋" w:eastAsia="仿宋"/>
          <w:b w:val="0"/>
          <w:bCs w:val="0"/>
        </w:rPr>
        <w:t>般公共预算财政拨款支出决算明细表</w:t>
      </w:r>
    </w:p>
    <w:p w14:paraId="67718703">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Style w:val="25"/>
          <w:rFonts w:hint="eastAsia" w:ascii="仿宋" w:hAnsi="仿宋" w:eastAsia="仿宋"/>
          <w:b w:val="0"/>
          <w:bCs w:val="0"/>
        </w:rPr>
        <w:t>八、</w:t>
      </w:r>
      <w:r>
        <w:rPr>
          <w:rFonts w:hint="eastAsia" w:ascii="仿宋" w:hAnsi="仿宋" w:eastAsia="仿宋"/>
          <w:b w:val="0"/>
          <w:color w:val="000000"/>
        </w:rPr>
        <w:t>一</w:t>
      </w:r>
      <w:r>
        <w:rPr>
          <w:rStyle w:val="25"/>
          <w:rFonts w:hint="eastAsia" w:ascii="仿宋" w:hAnsi="仿宋" w:eastAsia="仿宋"/>
          <w:b w:val="0"/>
          <w:bCs w:val="0"/>
        </w:rPr>
        <w:t>般公共预算财政拨款基本支出决算表</w:t>
      </w:r>
    </w:p>
    <w:p w14:paraId="64575D13">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Style w:val="25"/>
          <w:rFonts w:hint="eastAsia" w:ascii="仿宋" w:hAnsi="仿宋" w:eastAsia="仿宋"/>
          <w:b w:val="0"/>
          <w:bCs w:val="0"/>
        </w:rPr>
        <w:t>九、</w:t>
      </w:r>
      <w:r>
        <w:rPr>
          <w:rFonts w:hint="eastAsia" w:ascii="仿宋" w:hAnsi="仿宋" w:eastAsia="仿宋"/>
          <w:b w:val="0"/>
          <w:color w:val="000000"/>
        </w:rPr>
        <w:t>一</w:t>
      </w:r>
      <w:r>
        <w:rPr>
          <w:rStyle w:val="25"/>
          <w:rFonts w:hint="eastAsia" w:ascii="仿宋" w:hAnsi="仿宋" w:eastAsia="仿宋"/>
          <w:b w:val="0"/>
          <w:bCs w:val="0"/>
        </w:rPr>
        <w:t>般公共预算财政拨款项目支出决算表</w:t>
      </w:r>
    </w:p>
    <w:p w14:paraId="7FFF5D7D">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Style w:val="25"/>
          <w:rFonts w:hint="eastAsia" w:ascii="仿宋" w:hAnsi="仿宋" w:eastAsia="仿宋"/>
          <w:b w:val="0"/>
          <w:bCs w:val="0"/>
        </w:rPr>
        <w:t>十、</w:t>
      </w:r>
      <w:r>
        <w:rPr>
          <w:rFonts w:hint="eastAsia" w:ascii="仿宋" w:hAnsi="仿宋" w:eastAsia="仿宋"/>
          <w:b w:val="0"/>
          <w:color w:val="000000"/>
        </w:rPr>
        <w:t>一</w:t>
      </w:r>
      <w:r>
        <w:rPr>
          <w:rStyle w:val="25"/>
          <w:rFonts w:hint="eastAsia" w:ascii="仿宋" w:hAnsi="仿宋" w:eastAsia="仿宋"/>
          <w:b w:val="0"/>
          <w:bCs w:val="0"/>
        </w:rPr>
        <w:t>般公共预算财政拨款“三公”经费支出决算表</w:t>
      </w:r>
    </w:p>
    <w:p w14:paraId="4FBB79D8">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Style w:val="25"/>
          <w:rFonts w:hint="eastAsia" w:ascii="仿宋" w:hAnsi="仿宋" w:eastAsia="仿宋"/>
          <w:b w:val="0"/>
          <w:bCs w:val="0"/>
        </w:rPr>
        <w:t>十一、</w:t>
      </w:r>
      <w:r>
        <w:rPr>
          <w:rFonts w:hint="eastAsia" w:ascii="仿宋" w:hAnsi="仿宋" w:eastAsia="仿宋"/>
          <w:b w:val="0"/>
          <w:color w:val="000000"/>
        </w:rPr>
        <w:t>政</w:t>
      </w:r>
      <w:r>
        <w:rPr>
          <w:rStyle w:val="25"/>
          <w:rFonts w:hint="eastAsia" w:ascii="仿宋" w:hAnsi="仿宋" w:eastAsia="仿宋"/>
          <w:b w:val="0"/>
          <w:bCs w:val="0"/>
        </w:rPr>
        <w:t>府性基金预算财政拨款收入支出决算表</w:t>
      </w:r>
    </w:p>
    <w:p w14:paraId="2502D437">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rPr>
      </w:pPr>
      <w:r>
        <w:rPr>
          <w:rStyle w:val="25"/>
          <w:rFonts w:hint="eastAsia" w:ascii="仿宋" w:hAnsi="仿宋" w:eastAsia="仿宋"/>
          <w:b w:val="0"/>
          <w:bCs w:val="0"/>
        </w:rPr>
        <w:t>十二、</w:t>
      </w:r>
      <w:r>
        <w:rPr>
          <w:rFonts w:hint="eastAsia" w:ascii="仿宋" w:hAnsi="仿宋" w:eastAsia="仿宋"/>
          <w:b w:val="0"/>
          <w:color w:val="000000"/>
        </w:rPr>
        <w:t>政</w:t>
      </w:r>
      <w:r>
        <w:rPr>
          <w:rStyle w:val="25"/>
          <w:rFonts w:hint="eastAsia" w:ascii="仿宋" w:hAnsi="仿宋" w:eastAsia="仿宋"/>
          <w:b w:val="0"/>
          <w:bCs w:val="0"/>
        </w:rPr>
        <w:t>府性基金预算财政拨款“三公”经费支出决算表</w:t>
      </w:r>
    </w:p>
    <w:p w14:paraId="467FAFE5">
      <w:pPr>
        <w:pStyle w:val="3"/>
        <w:pageBreakBefore w:val="0"/>
        <w:widowControl w:val="0"/>
        <w:kinsoku/>
        <w:wordWrap/>
        <w:overflowPunct/>
        <w:topLinePunct w:val="0"/>
        <w:autoSpaceDE/>
        <w:autoSpaceDN/>
        <w:bidi w:val="0"/>
        <w:adjustRightInd/>
        <w:spacing w:line="600" w:lineRule="exact"/>
        <w:textAlignment w:val="auto"/>
        <w:rPr>
          <w:rFonts w:ascii="仿宋" w:hAnsi="仿宋" w:eastAsia="仿宋"/>
          <w:color w:val="000000" w:themeColor="text1"/>
          <w14:textFill>
            <w14:solidFill>
              <w14:schemeClr w14:val="tx1"/>
            </w14:solidFill>
          </w14:textFill>
        </w:rPr>
      </w:pPr>
      <w:r>
        <w:rPr>
          <w:rStyle w:val="25"/>
          <w:rFonts w:hint="eastAsia" w:ascii="仿宋" w:hAnsi="仿宋" w:eastAsia="仿宋"/>
          <w:b w:val="0"/>
          <w:bCs w:val="0"/>
        </w:rPr>
        <w:t>十三、</w:t>
      </w:r>
      <w:r>
        <w:rPr>
          <w:rFonts w:hint="eastAsia" w:ascii="仿宋" w:hAnsi="仿宋" w:eastAsia="仿宋"/>
          <w:b w:val="0"/>
          <w:color w:val="000000"/>
        </w:rPr>
        <w:t>国</w:t>
      </w:r>
      <w:r>
        <w:rPr>
          <w:rStyle w:val="25"/>
          <w:rFonts w:hint="eastAsia" w:ascii="仿宋" w:hAnsi="仿宋" w:eastAsia="仿宋"/>
          <w:b w:val="0"/>
          <w:bCs w:val="0"/>
        </w:rPr>
        <w:t>有资本经营预算支出决算表</w:t>
      </w:r>
    </w:p>
    <w:p w14:paraId="23790D74">
      <w:pPr>
        <w:spacing w:line="600" w:lineRule="exact"/>
        <w:jc w:val="left"/>
        <w:outlineLvl w:val="0"/>
        <w:rPr>
          <w:rFonts w:ascii="方正小标宋简体" w:hAnsi="方正小标宋简体" w:eastAsia="方正小标宋简体" w:cs="方正小标宋简体"/>
          <w:sz w:val="32"/>
          <w:szCs w:val="32"/>
        </w:rPr>
      </w:pPr>
    </w:p>
    <w:bookmarkEnd w:id="57"/>
    <w:p w14:paraId="3E97E00D">
      <w:pPr>
        <w:spacing w:line="580" w:lineRule="exact"/>
        <w:jc w:val="center"/>
        <w:rPr>
          <w:rFonts w:ascii="方正小标宋简体" w:hAnsi="方正小标宋简体" w:eastAsia="方正小标宋简体" w:cs="方正小标宋简体"/>
          <w:sz w:val="44"/>
          <w:szCs w:val="44"/>
        </w:rPr>
      </w:pPr>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ACD10B0-00F1-4568-876D-D26AB40028F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embedRegular r:id="rId2" w:fontKey="{55E5F562-924A-4B1A-A428-60F480DDB0EE}"/>
  </w:font>
  <w:font w:name="仿宋_GB2312">
    <w:altName w:val="仿宋"/>
    <w:panose1 w:val="02010609030101010101"/>
    <w:charset w:val="86"/>
    <w:family w:val="modern"/>
    <w:pitch w:val="default"/>
    <w:sig w:usb0="00000000" w:usb1="00000000" w:usb2="00000010" w:usb3="00000000" w:csb0="00040000" w:csb1="00000000"/>
    <w:embedRegular r:id="rId3" w:fontKey="{DB444E9F-6F24-46F7-ADEB-B1C0FBF06B00}"/>
  </w:font>
  <w:font w:name="仿宋">
    <w:panose1 w:val="02010609060101010101"/>
    <w:charset w:val="86"/>
    <w:family w:val="modern"/>
    <w:pitch w:val="default"/>
    <w:sig w:usb0="800002BF" w:usb1="38CF7CFA" w:usb2="00000016" w:usb3="00000000" w:csb0="00040001" w:csb1="00000000"/>
    <w:embedRegular r:id="rId4" w:fontKey="{37A7E917-E6B4-4D06-B402-981DC90484CE}"/>
  </w:font>
  <w:font w:name="方正小标宋简体">
    <w:panose1 w:val="02000000000000000000"/>
    <w:charset w:val="86"/>
    <w:family w:val="script"/>
    <w:pitch w:val="default"/>
    <w:sig w:usb0="00000001" w:usb1="08000000" w:usb2="00000000" w:usb3="00000000" w:csb0="00040000" w:csb1="00000000"/>
    <w:embedRegular r:id="rId5" w:fontKey="{C77A9F43-87FC-4ABD-85FC-94EF8E6660FB}"/>
  </w:font>
  <w:font w:name="楷体_GB2312">
    <w:panose1 w:val="02010609030101010101"/>
    <w:charset w:val="86"/>
    <w:family w:val="modern"/>
    <w:pitch w:val="default"/>
    <w:sig w:usb0="00000001" w:usb1="080E0000" w:usb2="00000000" w:usb3="00000000" w:csb0="00040000" w:csb1="00000000"/>
    <w:embedRegular r:id="rId6" w:fontKey="{11423F2C-252B-4629-851F-9A2F7AD34901}"/>
  </w:font>
  <w:font w:name="华文仿宋">
    <w:panose1 w:val="02010600040101010101"/>
    <w:charset w:val="86"/>
    <w:family w:val="auto"/>
    <w:pitch w:val="default"/>
    <w:sig w:usb0="00000287" w:usb1="080F0000" w:usb2="00000000" w:usb3="00000000" w:csb0="0004009F" w:csb1="DFD70000"/>
    <w:embedRegular r:id="rId7" w:fontKey="{CC381C58-9210-4070-BB88-3F82C4894956}"/>
  </w:font>
  <w:font w:name="华文中宋">
    <w:panose1 w:val="02010600040101010101"/>
    <w:charset w:val="86"/>
    <w:family w:val="auto"/>
    <w:pitch w:val="default"/>
    <w:sig w:usb0="00000287" w:usb1="080F0000" w:usb2="00000000" w:usb3="00000000" w:csb0="0004009F" w:csb1="DFD70000"/>
    <w:embedRegular r:id="rId8" w:fontKey="{B80ED03C-B3FD-4A2A-AD7C-CEFBAE9AEB4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sdtPr>
    <w:sdtContent>
      <w:p w14:paraId="6EA9F694">
        <w:pPr>
          <w:pStyle w:val="8"/>
          <w:jc w:val="center"/>
        </w:pPr>
        <w:r>
          <w:fldChar w:fldCharType="begin"/>
        </w:r>
        <w:r>
          <w:instrText xml:space="preserve">PAGE   \* MERGEFORMAT</w:instrText>
        </w:r>
        <w:r>
          <w:fldChar w:fldCharType="separate"/>
        </w:r>
        <w:r>
          <w:rPr>
            <w:lang w:val="zh-CN"/>
          </w:rPr>
          <w:t>24</w:t>
        </w:r>
        <w:r>
          <w:fldChar w:fldCharType="end"/>
        </w:r>
      </w:p>
    </w:sdtContent>
  </w:sdt>
  <w:p w14:paraId="20CD29DA">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D67BD6">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7E3256"/>
    <w:multiLevelType w:val="singleLevel"/>
    <w:tmpl w:val="8C7E3256"/>
    <w:lvl w:ilvl="0" w:tentative="0">
      <w:start w:val="1"/>
      <w:numFmt w:val="decimal"/>
      <w:lvlText w:val="%1."/>
      <w:lvlJc w:val="left"/>
      <w:pPr>
        <w:tabs>
          <w:tab w:val="left" w:pos="312"/>
        </w:tabs>
      </w:pPr>
    </w:lvl>
  </w:abstractNum>
  <w:abstractNum w:abstractNumId="1">
    <w:nsid w:val="CDFA7A64"/>
    <w:multiLevelType w:val="singleLevel"/>
    <w:tmpl w:val="CDFA7A64"/>
    <w:lvl w:ilvl="0" w:tentative="0">
      <w:start w:val="3"/>
      <w:numFmt w:val="decimal"/>
      <w:suff w:val="nothing"/>
      <w:lvlText w:val="%1、"/>
      <w:lvlJc w:val="left"/>
    </w:lvl>
  </w:abstractNum>
  <w:abstractNum w:abstractNumId="2">
    <w:nsid w:val="CF652CEC"/>
    <w:multiLevelType w:val="singleLevel"/>
    <w:tmpl w:val="CF652CEC"/>
    <w:lvl w:ilvl="0" w:tentative="0">
      <w:start w:val="9"/>
      <w:numFmt w:val="chineseCounting"/>
      <w:suff w:val="nothing"/>
      <w:lvlText w:val="%1、"/>
      <w:lvlJc w:val="left"/>
      <w:rPr>
        <w:rFonts w:hint="eastAsia"/>
      </w:rPr>
    </w:lvl>
  </w:abstractNum>
  <w:abstractNum w:abstractNumId="3">
    <w:nsid w:val="E2FA047D"/>
    <w:multiLevelType w:val="singleLevel"/>
    <w:tmpl w:val="E2FA047D"/>
    <w:lvl w:ilvl="0" w:tentative="0">
      <w:start w:val="3"/>
      <w:numFmt w:val="chineseCounting"/>
      <w:suff w:val="space"/>
      <w:lvlText w:val="第%1部分"/>
      <w:lvlJc w:val="left"/>
      <w:rPr>
        <w:rFonts w:hint="eastAsia"/>
      </w:rPr>
    </w:lvl>
  </w:abstractNum>
  <w:abstractNum w:abstractNumId="4">
    <w:nsid w:val="EC0BEF30"/>
    <w:multiLevelType w:val="singleLevel"/>
    <w:tmpl w:val="EC0BEF30"/>
    <w:lvl w:ilvl="0" w:tentative="0">
      <w:start w:val="1"/>
      <w:numFmt w:val="chineseCounting"/>
      <w:suff w:val="nothing"/>
      <w:lvlText w:val="（%1）"/>
      <w:lvlJc w:val="left"/>
      <w:rPr>
        <w:rFonts w:hint="eastAsia" w:ascii="楷体_GB2312" w:hAnsi="楷体_GB2312" w:eastAsia="楷体_GB2312" w:cs="楷体_GB2312"/>
        <w:b/>
        <w:bCs/>
        <w:sz w:val="32"/>
        <w:szCs w:val="32"/>
      </w:rPr>
    </w:lvl>
  </w:abstractNum>
  <w:abstractNum w:abstractNumId="5">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6">
    <w:nsid w:val="2DF12A57"/>
    <w:multiLevelType w:val="singleLevel"/>
    <w:tmpl w:val="2DF12A57"/>
    <w:lvl w:ilvl="0" w:tentative="0">
      <w:start w:val="2"/>
      <w:numFmt w:val="chineseCounting"/>
      <w:suff w:val="nothing"/>
      <w:lvlText w:val="（%1）"/>
      <w:lvlJc w:val="left"/>
      <w:rPr>
        <w:rFonts w:hint="eastAsia"/>
      </w:rPr>
    </w:lvl>
  </w:abstractNum>
  <w:abstractNum w:abstractNumId="7">
    <w:nsid w:val="30A05596"/>
    <w:multiLevelType w:val="singleLevel"/>
    <w:tmpl w:val="30A05596"/>
    <w:lvl w:ilvl="0" w:tentative="0">
      <w:start w:val="2"/>
      <w:numFmt w:val="chineseCounting"/>
      <w:suff w:val="nothing"/>
      <w:lvlText w:val="（%1）"/>
      <w:lvlJc w:val="left"/>
      <w:rPr>
        <w:rFonts w:hint="eastAsia"/>
      </w:rPr>
    </w:lvl>
  </w:abstractNum>
  <w:abstractNum w:abstractNumId="8">
    <w:nsid w:val="4A1C92EC"/>
    <w:multiLevelType w:val="singleLevel"/>
    <w:tmpl w:val="4A1C92EC"/>
    <w:lvl w:ilvl="0" w:tentative="0">
      <w:start w:val="1"/>
      <w:numFmt w:val="decimal"/>
      <w:suff w:val="nothing"/>
      <w:lvlText w:val="%1、"/>
      <w:lvlJc w:val="left"/>
    </w:lvl>
  </w:abstractNum>
  <w:num w:numId="1">
    <w:abstractNumId w:val="5"/>
  </w:num>
  <w:num w:numId="2">
    <w:abstractNumId w:val="2"/>
  </w:num>
  <w:num w:numId="3">
    <w:abstractNumId w:val="0"/>
  </w:num>
  <w:num w:numId="4">
    <w:abstractNumId w:val="4"/>
  </w:num>
  <w:num w:numId="5">
    <w:abstractNumId w:val="3"/>
  </w:num>
  <w:num w:numId="6">
    <w:abstractNumId w:val="6"/>
  </w:num>
  <w:num w:numId="7">
    <w:abstractNumId w:val="7"/>
  </w:num>
  <w:num w:numId="8">
    <w:abstractNumId w:val="1"/>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361C"/>
    <w:rsid w:val="000222C6"/>
    <w:rsid w:val="0002549F"/>
    <w:rsid w:val="000468DB"/>
    <w:rsid w:val="0006487A"/>
    <w:rsid w:val="00065F8F"/>
    <w:rsid w:val="00070A43"/>
    <w:rsid w:val="000768F2"/>
    <w:rsid w:val="0009184B"/>
    <w:rsid w:val="00094236"/>
    <w:rsid w:val="0009593C"/>
    <w:rsid w:val="00097322"/>
    <w:rsid w:val="000A6A92"/>
    <w:rsid w:val="000B047F"/>
    <w:rsid w:val="000B5923"/>
    <w:rsid w:val="000B5A48"/>
    <w:rsid w:val="000B6FF3"/>
    <w:rsid w:val="000C3467"/>
    <w:rsid w:val="000C3CA6"/>
    <w:rsid w:val="000D1267"/>
    <w:rsid w:val="000D1D50"/>
    <w:rsid w:val="000D5782"/>
    <w:rsid w:val="000E6613"/>
    <w:rsid w:val="000E7119"/>
    <w:rsid w:val="00114E9B"/>
    <w:rsid w:val="00142216"/>
    <w:rsid w:val="00144D6A"/>
    <w:rsid w:val="0014729F"/>
    <w:rsid w:val="00157BAB"/>
    <w:rsid w:val="001654D1"/>
    <w:rsid w:val="00174518"/>
    <w:rsid w:val="0018106D"/>
    <w:rsid w:val="001877A7"/>
    <w:rsid w:val="00191536"/>
    <w:rsid w:val="00196687"/>
    <w:rsid w:val="001C0962"/>
    <w:rsid w:val="001D7531"/>
    <w:rsid w:val="001E737D"/>
    <w:rsid w:val="001F0592"/>
    <w:rsid w:val="001F7506"/>
    <w:rsid w:val="002006CD"/>
    <w:rsid w:val="00202B36"/>
    <w:rsid w:val="00204B7A"/>
    <w:rsid w:val="00204CDE"/>
    <w:rsid w:val="0021101A"/>
    <w:rsid w:val="00220536"/>
    <w:rsid w:val="00235629"/>
    <w:rsid w:val="00260C38"/>
    <w:rsid w:val="002616C0"/>
    <w:rsid w:val="00265372"/>
    <w:rsid w:val="002662AA"/>
    <w:rsid w:val="00280496"/>
    <w:rsid w:val="00294DC9"/>
    <w:rsid w:val="00295495"/>
    <w:rsid w:val="002A31DE"/>
    <w:rsid w:val="002B2613"/>
    <w:rsid w:val="002D19B0"/>
    <w:rsid w:val="002D6D05"/>
    <w:rsid w:val="002F1818"/>
    <w:rsid w:val="002F567B"/>
    <w:rsid w:val="003216A9"/>
    <w:rsid w:val="00335A74"/>
    <w:rsid w:val="0036561B"/>
    <w:rsid w:val="0037013F"/>
    <w:rsid w:val="00380C92"/>
    <w:rsid w:val="003A484F"/>
    <w:rsid w:val="003A4883"/>
    <w:rsid w:val="003B0BE0"/>
    <w:rsid w:val="003B0C1B"/>
    <w:rsid w:val="003B688C"/>
    <w:rsid w:val="003C0291"/>
    <w:rsid w:val="003C39AE"/>
    <w:rsid w:val="003C7B60"/>
    <w:rsid w:val="003D0C0F"/>
    <w:rsid w:val="003D1FB2"/>
    <w:rsid w:val="003D66DA"/>
    <w:rsid w:val="003E1310"/>
    <w:rsid w:val="003E6F55"/>
    <w:rsid w:val="00406254"/>
    <w:rsid w:val="00416CD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4F403E"/>
    <w:rsid w:val="00505A47"/>
    <w:rsid w:val="00512FDA"/>
    <w:rsid w:val="00520DA0"/>
    <w:rsid w:val="005664BB"/>
    <w:rsid w:val="00566FFA"/>
    <w:rsid w:val="0057481D"/>
    <w:rsid w:val="00575F0B"/>
    <w:rsid w:val="0058486E"/>
    <w:rsid w:val="00585B33"/>
    <w:rsid w:val="0059014D"/>
    <w:rsid w:val="005B5C64"/>
    <w:rsid w:val="005C6BD0"/>
    <w:rsid w:val="005C6C4C"/>
    <w:rsid w:val="005D1C8B"/>
    <w:rsid w:val="005D468D"/>
    <w:rsid w:val="005D5CED"/>
    <w:rsid w:val="005F1A4C"/>
    <w:rsid w:val="00605688"/>
    <w:rsid w:val="006070AF"/>
    <w:rsid w:val="00607E6C"/>
    <w:rsid w:val="006101B1"/>
    <w:rsid w:val="00614E44"/>
    <w:rsid w:val="0062270A"/>
    <w:rsid w:val="00622830"/>
    <w:rsid w:val="00623DA0"/>
    <w:rsid w:val="00630AEF"/>
    <w:rsid w:val="006325F8"/>
    <w:rsid w:val="00633463"/>
    <w:rsid w:val="00634C9A"/>
    <w:rsid w:val="006440E4"/>
    <w:rsid w:val="0066343B"/>
    <w:rsid w:val="00664777"/>
    <w:rsid w:val="006748A4"/>
    <w:rsid w:val="00681A31"/>
    <w:rsid w:val="00683E73"/>
    <w:rsid w:val="006A3141"/>
    <w:rsid w:val="006A5E34"/>
    <w:rsid w:val="006B2422"/>
    <w:rsid w:val="006B2B9A"/>
    <w:rsid w:val="006C1937"/>
    <w:rsid w:val="006F020C"/>
    <w:rsid w:val="007127B7"/>
    <w:rsid w:val="0071798E"/>
    <w:rsid w:val="00727533"/>
    <w:rsid w:val="007416B6"/>
    <w:rsid w:val="00746F48"/>
    <w:rsid w:val="0075404D"/>
    <w:rsid w:val="0076182A"/>
    <w:rsid w:val="00767B7E"/>
    <w:rsid w:val="007770C3"/>
    <w:rsid w:val="00784D24"/>
    <w:rsid w:val="00785FBA"/>
    <w:rsid w:val="00786E4A"/>
    <w:rsid w:val="007875EB"/>
    <w:rsid w:val="0079426B"/>
    <w:rsid w:val="007D1682"/>
    <w:rsid w:val="007D312A"/>
    <w:rsid w:val="007D3F19"/>
    <w:rsid w:val="007E23B0"/>
    <w:rsid w:val="007F1991"/>
    <w:rsid w:val="007F2C2F"/>
    <w:rsid w:val="007F55FC"/>
    <w:rsid w:val="007F5665"/>
    <w:rsid w:val="00800112"/>
    <w:rsid w:val="00813348"/>
    <w:rsid w:val="008253BB"/>
    <w:rsid w:val="00833962"/>
    <w:rsid w:val="0083706E"/>
    <w:rsid w:val="008408F6"/>
    <w:rsid w:val="008423A5"/>
    <w:rsid w:val="00850625"/>
    <w:rsid w:val="00853718"/>
    <w:rsid w:val="00855221"/>
    <w:rsid w:val="00860645"/>
    <w:rsid w:val="00871F71"/>
    <w:rsid w:val="00872FD8"/>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33499"/>
    <w:rsid w:val="00935C98"/>
    <w:rsid w:val="00946945"/>
    <w:rsid w:val="00951248"/>
    <w:rsid w:val="0095152F"/>
    <w:rsid w:val="00954C49"/>
    <w:rsid w:val="00955E37"/>
    <w:rsid w:val="0097099F"/>
    <w:rsid w:val="00971997"/>
    <w:rsid w:val="00971FFC"/>
    <w:rsid w:val="0098660A"/>
    <w:rsid w:val="009931C3"/>
    <w:rsid w:val="009B2C43"/>
    <w:rsid w:val="009B4EAE"/>
    <w:rsid w:val="009B7573"/>
    <w:rsid w:val="009C22F4"/>
    <w:rsid w:val="009C2E98"/>
    <w:rsid w:val="009C37FB"/>
    <w:rsid w:val="009D3447"/>
    <w:rsid w:val="009D4711"/>
    <w:rsid w:val="009F1185"/>
    <w:rsid w:val="009F18CD"/>
    <w:rsid w:val="009F2A13"/>
    <w:rsid w:val="009F7527"/>
    <w:rsid w:val="00A039ED"/>
    <w:rsid w:val="00A04EB0"/>
    <w:rsid w:val="00A13CC1"/>
    <w:rsid w:val="00A16847"/>
    <w:rsid w:val="00A237D8"/>
    <w:rsid w:val="00A268C4"/>
    <w:rsid w:val="00A307CD"/>
    <w:rsid w:val="00A331C8"/>
    <w:rsid w:val="00A35117"/>
    <w:rsid w:val="00A40A00"/>
    <w:rsid w:val="00A4142F"/>
    <w:rsid w:val="00A422EB"/>
    <w:rsid w:val="00A45BB7"/>
    <w:rsid w:val="00A56DF2"/>
    <w:rsid w:val="00A56E6E"/>
    <w:rsid w:val="00A67AB5"/>
    <w:rsid w:val="00A733B2"/>
    <w:rsid w:val="00A741C2"/>
    <w:rsid w:val="00A91760"/>
    <w:rsid w:val="00A93B00"/>
    <w:rsid w:val="00A93C21"/>
    <w:rsid w:val="00AB64C9"/>
    <w:rsid w:val="00AC3C6A"/>
    <w:rsid w:val="00AD0F83"/>
    <w:rsid w:val="00AD5620"/>
    <w:rsid w:val="00AD656B"/>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57DAF"/>
    <w:rsid w:val="00B77EA6"/>
    <w:rsid w:val="00B81598"/>
    <w:rsid w:val="00B841F1"/>
    <w:rsid w:val="00B944D6"/>
    <w:rsid w:val="00BB4DF0"/>
    <w:rsid w:val="00BC289F"/>
    <w:rsid w:val="00BC2D50"/>
    <w:rsid w:val="00BC5361"/>
    <w:rsid w:val="00BC5460"/>
    <w:rsid w:val="00BC6B50"/>
    <w:rsid w:val="00BD0E25"/>
    <w:rsid w:val="00BF5BD6"/>
    <w:rsid w:val="00C03E31"/>
    <w:rsid w:val="00C30E69"/>
    <w:rsid w:val="00C33E72"/>
    <w:rsid w:val="00C354B2"/>
    <w:rsid w:val="00C35554"/>
    <w:rsid w:val="00C42709"/>
    <w:rsid w:val="00C533CC"/>
    <w:rsid w:val="00C5751C"/>
    <w:rsid w:val="00C61BFC"/>
    <w:rsid w:val="00C62B85"/>
    <w:rsid w:val="00C65438"/>
    <w:rsid w:val="00C91CBB"/>
    <w:rsid w:val="00CB4E70"/>
    <w:rsid w:val="00CC09B6"/>
    <w:rsid w:val="00CC666F"/>
    <w:rsid w:val="00CD1E3F"/>
    <w:rsid w:val="00CE44F6"/>
    <w:rsid w:val="00CE49DA"/>
    <w:rsid w:val="00CE7B61"/>
    <w:rsid w:val="00D00095"/>
    <w:rsid w:val="00D114F0"/>
    <w:rsid w:val="00D20620"/>
    <w:rsid w:val="00D254F7"/>
    <w:rsid w:val="00D26091"/>
    <w:rsid w:val="00D2685C"/>
    <w:rsid w:val="00D34E7C"/>
    <w:rsid w:val="00D35489"/>
    <w:rsid w:val="00D36AFE"/>
    <w:rsid w:val="00D51276"/>
    <w:rsid w:val="00D7035F"/>
    <w:rsid w:val="00DA634F"/>
    <w:rsid w:val="00DA65AC"/>
    <w:rsid w:val="00DB1913"/>
    <w:rsid w:val="00DC410D"/>
    <w:rsid w:val="00DC5A81"/>
    <w:rsid w:val="00DC68CA"/>
    <w:rsid w:val="00DC7CBA"/>
    <w:rsid w:val="00DD73B7"/>
    <w:rsid w:val="00DF28BC"/>
    <w:rsid w:val="00DF34B9"/>
    <w:rsid w:val="00E01053"/>
    <w:rsid w:val="00E07ACF"/>
    <w:rsid w:val="00E331A1"/>
    <w:rsid w:val="00E33202"/>
    <w:rsid w:val="00E336A9"/>
    <w:rsid w:val="00E472B1"/>
    <w:rsid w:val="00E50624"/>
    <w:rsid w:val="00E568DF"/>
    <w:rsid w:val="00E64269"/>
    <w:rsid w:val="00E66797"/>
    <w:rsid w:val="00E82267"/>
    <w:rsid w:val="00E853CE"/>
    <w:rsid w:val="00E867B6"/>
    <w:rsid w:val="00E87F08"/>
    <w:rsid w:val="00EA010F"/>
    <w:rsid w:val="00ED1B63"/>
    <w:rsid w:val="00ED3C1F"/>
    <w:rsid w:val="00ED4085"/>
    <w:rsid w:val="00ED420E"/>
    <w:rsid w:val="00ED6FBE"/>
    <w:rsid w:val="00EE2F57"/>
    <w:rsid w:val="00EF4C34"/>
    <w:rsid w:val="00EF77C6"/>
    <w:rsid w:val="00F05438"/>
    <w:rsid w:val="00F1361C"/>
    <w:rsid w:val="00F156F0"/>
    <w:rsid w:val="00F160C7"/>
    <w:rsid w:val="00F2408F"/>
    <w:rsid w:val="00F240E9"/>
    <w:rsid w:val="00F36D8F"/>
    <w:rsid w:val="00F417B1"/>
    <w:rsid w:val="00F45853"/>
    <w:rsid w:val="00F602DF"/>
    <w:rsid w:val="00F754A1"/>
    <w:rsid w:val="00F81FD9"/>
    <w:rsid w:val="00F841AA"/>
    <w:rsid w:val="00F84A94"/>
    <w:rsid w:val="00F87E96"/>
    <w:rsid w:val="00FA23E8"/>
    <w:rsid w:val="00FD3CC1"/>
    <w:rsid w:val="00FF1E02"/>
    <w:rsid w:val="00FF30B4"/>
    <w:rsid w:val="01C4537E"/>
    <w:rsid w:val="09103651"/>
    <w:rsid w:val="091E15B8"/>
    <w:rsid w:val="0B82783F"/>
    <w:rsid w:val="10C055FF"/>
    <w:rsid w:val="10E82959"/>
    <w:rsid w:val="11AF5C26"/>
    <w:rsid w:val="16BB723D"/>
    <w:rsid w:val="1ED44B16"/>
    <w:rsid w:val="200A2E72"/>
    <w:rsid w:val="240371BF"/>
    <w:rsid w:val="25ED394C"/>
    <w:rsid w:val="29FD04D3"/>
    <w:rsid w:val="2A583DA7"/>
    <w:rsid w:val="319F7F4E"/>
    <w:rsid w:val="415E6410"/>
    <w:rsid w:val="488F5D3F"/>
    <w:rsid w:val="49D21EF6"/>
    <w:rsid w:val="4B097F3D"/>
    <w:rsid w:val="4D6233A3"/>
    <w:rsid w:val="4ECE2238"/>
    <w:rsid w:val="50354F5A"/>
    <w:rsid w:val="56676ED9"/>
    <w:rsid w:val="5D035616"/>
    <w:rsid w:val="5E5D61CC"/>
    <w:rsid w:val="672F0B05"/>
    <w:rsid w:val="72734D90"/>
    <w:rsid w:val="72BC1D41"/>
    <w:rsid w:val="740914C5"/>
    <w:rsid w:val="744879CA"/>
    <w:rsid w:val="7A2430DB"/>
    <w:rsid w:val="7C8F645A"/>
    <w:rsid w:val="7F7C2A1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4"/>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5"/>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8"/>
    <w:unhideWhenUsed/>
    <w:qFormat/>
    <w:uiPriority w:val="9"/>
    <w:pPr>
      <w:keepNext/>
      <w:keepLines/>
      <w:spacing w:before="260" w:after="260" w:line="416" w:lineRule="auto"/>
      <w:outlineLvl w:val="2"/>
    </w:pPr>
    <w:rPr>
      <w:b/>
      <w:bCs/>
      <w:sz w:val="32"/>
      <w:szCs w:val="32"/>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5">
    <w:name w:val="Body Text"/>
    <w:basedOn w:val="1"/>
    <w:link w:val="21"/>
    <w:qFormat/>
    <w:uiPriority w:val="99"/>
    <w:pPr>
      <w:spacing w:beforeLines="30"/>
    </w:pPr>
    <w:rPr>
      <w:rFonts w:ascii="仿宋_GB2312" w:eastAsia="仿宋_GB2312"/>
      <w:kern w:val="0"/>
      <w:sz w:val="30"/>
    </w:rPr>
  </w:style>
  <w:style w:type="paragraph" w:styleId="6">
    <w:name w:val="toc 3"/>
    <w:basedOn w:val="1"/>
    <w:next w:val="1"/>
    <w:unhideWhenUsed/>
    <w:qFormat/>
    <w:uiPriority w:val="39"/>
    <w:pPr>
      <w:tabs>
        <w:tab w:val="right" w:leader="dot" w:pos="8296"/>
      </w:tabs>
      <w:ind w:left="840" w:leftChars="400"/>
    </w:pPr>
  </w:style>
  <w:style w:type="paragraph" w:styleId="7">
    <w:name w:val="Balloon Text"/>
    <w:basedOn w:val="1"/>
    <w:link w:val="27"/>
    <w:semiHidden/>
    <w:unhideWhenUsed/>
    <w:qFormat/>
    <w:uiPriority w:val="99"/>
    <w:rPr>
      <w:sz w:val="18"/>
      <w:szCs w:val="18"/>
    </w:rPr>
  </w:style>
  <w:style w:type="paragraph" w:styleId="8">
    <w:name w:val="footer"/>
    <w:basedOn w:val="1"/>
    <w:link w:val="19"/>
    <w:qFormat/>
    <w:uiPriority w:val="99"/>
    <w:pPr>
      <w:tabs>
        <w:tab w:val="center" w:pos="4153"/>
        <w:tab w:val="right" w:pos="8306"/>
      </w:tabs>
      <w:snapToGrid w:val="0"/>
      <w:jc w:val="left"/>
    </w:pPr>
    <w:rPr>
      <w:rFonts w:ascii="Calibri" w:hAnsi="Calibri"/>
      <w:kern w:val="0"/>
      <w:sz w:val="18"/>
      <w:szCs w:val="18"/>
    </w:rPr>
  </w:style>
  <w:style w:type="paragraph" w:styleId="9">
    <w:name w:val="header"/>
    <w:basedOn w:val="1"/>
    <w:link w:val="17"/>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0">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1">
    <w:name w:val="toc 2"/>
    <w:basedOn w:val="1"/>
    <w:next w:val="1"/>
    <w:unhideWhenUsed/>
    <w:qFormat/>
    <w:uiPriority w:val="39"/>
    <w:pPr>
      <w:tabs>
        <w:tab w:val="right" w:leader="dot" w:pos="8296"/>
      </w:tabs>
      <w:ind w:left="420" w:leftChars="200"/>
    </w:pPr>
  </w:style>
  <w:style w:type="character" w:styleId="14">
    <w:name w:val="Strong"/>
    <w:basedOn w:val="13"/>
    <w:qFormat/>
    <w:uiPriority w:val="99"/>
    <w:rPr>
      <w:b/>
    </w:rPr>
  </w:style>
  <w:style w:type="character" w:styleId="15">
    <w:name w:val="Hyperlink"/>
    <w:basedOn w:val="13"/>
    <w:unhideWhenUsed/>
    <w:qFormat/>
    <w:uiPriority w:val="99"/>
    <w:rPr>
      <w:color w:val="0000FF" w:themeColor="hyperlink"/>
      <w:u w:val="single"/>
      <w14:textFill>
        <w14:solidFill>
          <w14:schemeClr w14:val="hlink"/>
        </w14:solidFill>
      </w14:textFill>
    </w:rPr>
  </w:style>
  <w:style w:type="character" w:customStyle="1" w:styleId="16">
    <w:name w:val="Header Char"/>
    <w:basedOn w:val="13"/>
    <w:semiHidden/>
    <w:qFormat/>
    <w:uiPriority w:val="99"/>
    <w:rPr>
      <w:rFonts w:ascii="Times New Roman" w:hAnsi="Times New Roman"/>
      <w:sz w:val="18"/>
      <w:szCs w:val="18"/>
    </w:rPr>
  </w:style>
  <w:style w:type="character" w:customStyle="1" w:styleId="17">
    <w:name w:val="页眉 Char"/>
    <w:link w:val="9"/>
    <w:semiHidden/>
    <w:qFormat/>
    <w:locked/>
    <w:uiPriority w:val="99"/>
    <w:rPr>
      <w:sz w:val="18"/>
    </w:rPr>
  </w:style>
  <w:style w:type="character" w:customStyle="1" w:styleId="18">
    <w:name w:val="Footer Char"/>
    <w:basedOn w:val="13"/>
    <w:semiHidden/>
    <w:qFormat/>
    <w:uiPriority w:val="99"/>
    <w:rPr>
      <w:rFonts w:ascii="Times New Roman" w:hAnsi="Times New Roman"/>
      <w:sz w:val="18"/>
      <w:szCs w:val="18"/>
    </w:rPr>
  </w:style>
  <w:style w:type="character" w:customStyle="1" w:styleId="19">
    <w:name w:val="页脚 Char"/>
    <w:link w:val="8"/>
    <w:qFormat/>
    <w:locked/>
    <w:uiPriority w:val="99"/>
    <w:rPr>
      <w:sz w:val="18"/>
    </w:rPr>
  </w:style>
  <w:style w:type="character" w:customStyle="1" w:styleId="20">
    <w:name w:val="Body Text Char"/>
    <w:basedOn w:val="13"/>
    <w:semiHidden/>
    <w:qFormat/>
    <w:uiPriority w:val="99"/>
    <w:rPr>
      <w:rFonts w:ascii="Times New Roman" w:hAnsi="Times New Roman"/>
      <w:szCs w:val="24"/>
    </w:rPr>
  </w:style>
  <w:style w:type="character" w:customStyle="1" w:styleId="21">
    <w:name w:val="正文文本 Char"/>
    <w:link w:val="5"/>
    <w:qFormat/>
    <w:locked/>
    <w:uiPriority w:val="99"/>
    <w:rPr>
      <w:rFonts w:ascii="仿宋_GB2312" w:hAnsi="Times New Roman" w:eastAsia="仿宋_GB2312"/>
      <w:sz w:val="24"/>
    </w:rPr>
  </w:style>
  <w:style w:type="paragraph" w:customStyle="1" w:styleId="22">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3">
    <w:name w:val="List Paragraph"/>
    <w:basedOn w:val="1"/>
    <w:qFormat/>
    <w:uiPriority w:val="34"/>
    <w:pPr>
      <w:ind w:firstLine="420" w:firstLineChars="200"/>
    </w:pPr>
  </w:style>
  <w:style w:type="character" w:customStyle="1" w:styleId="24">
    <w:name w:val="标题 1 Char"/>
    <w:basedOn w:val="13"/>
    <w:link w:val="2"/>
    <w:qFormat/>
    <w:uiPriority w:val="9"/>
    <w:rPr>
      <w:rFonts w:ascii="Times New Roman" w:hAnsi="Times New Roman"/>
      <w:b/>
      <w:bCs/>
      <w:kern w:val="44"/>
      <w:sz w:val="44"/>
      <w:szCs w:val="44"/>
    </w:rPr>
  </w:style>
  <w:style w:type="character" w:customStyle="1" w:styleId="25">
    <w:name w:val="标题 2 Char"/>
    <w:basedOn w:val="13"/>
    <w:link w:val="3"/>
    <w:qFormat/>
    <w:uiPriority w:val="9"/>
    <w:rPr>
      <w:rFonts w:asciiTheme="majorHAnsi" w:hAnsiTheme="majorHAnsi" w:eastAsiaTheme="majorEastAsia" w:cstheme="majorBidi"/>
      <w:b/>
      <w:bCs/>
      <w:kern w:val="2"/>
      <w:sz w:val="32"/>
      <w:szCs w:val="32"/>
    </w:rPr>
  </w:style>
  <w:style w:type="paragraph" w:customStyle="1" w:styleId="26">
    <w:name w:val="TOC 标题1"/>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27">
    <w:name w:val="批注框文本 Char"/>
    <w:basedOn w:val="13"/>
    <w:link w:val="7"/>
    <w:semiHidden/>
    <w:qFormat/>
    <w:uiPriority w:val="99"/>
    <w:rPr>
      <w:rFonts w:ascii="Times New Roman" w:hAnsi="Times New Roman"/>
      <w:kern w:val="2"/>
      <w:sz w:val="18"/>
      <w:szCs w:val="18"/>
    </w:rPr>
  </w:style>
  <w:style w:type="character" w:customStyle="1" w:styleId="28">
    <w:name w:val="标题 3 Char"/>
    <w:basedOn w:val="13"/>
    <w:link w:val="4"/>
    <w:qFormat/>
    <w:uiPriority w:val="9"/>
    <w:rPr>
      <w:rFonts w:ascii="Times New Roman" w:hAnsi="Times New Roman"/>
      <w:b/>
      <w:bCs/>
      <w:kern w:val="2"/>
      <w:sz w:val="32"/>
      <w:szCs w:val="32"/>
    </w:rPr>
  </w:style>
  <w:style w:type="paragraph" w:customStyle="1" w:styleId="29">
    <w:name w:val="TOC Heading"/>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四川省财政厅</Company>
  <Pages>32</Pages>
  <Words>1160</Words>
  <Characters>1179</Characters>
  <Lines>7</Lines>
  <Paragraphs>17</Paragraphs>
  <TotalTime>1</TotalTime>
  <ScaleCrop>false</ScaleCrop>
  <LinksUpToDate>false</LinksUpToDate>
  <CharactersWithSpaces>1190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2020-08-04T01:49:00Z</dcterms:created>
  <dc:creator>曹颖</dc:creator>
  <cp:lastModifiedBy>昭化融媒体</cp:lastModifiedBy>
  <cp:lastPrinted>2020-07-23T02:58:00Z</cp:lastPrinted>
  <dcterms:modified xsi:type="dcterms:W3CDTF">2024-12-25T02:12:25Z</dcterms:modified>
  <dc:title>四川省***</dc:title>
  <cp:revision>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KSOTemplateDocerSaveRecord">
    <vt:lpwstr>eyJoZGlkIjoiMGVhYTg4NGNkZWJkODFjNzcyZDRjM2M4Y2UzNjI5ZmUiLCJ1c2VySWQiOiI2MTE2MzEwMDYifQ==</vt:lpwstr>
  </property>
  <property fmtid="{D5CDD505-2E9C-101B-9397-08002B2CF9AE}" pid="4" name="ICV">
    <vt:lpwstr>33BA8A482413415CB734C37B215DEB60_12</vt:lpwstr>
  </property>
</Properties>
</file>