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sz w:val="44"/>
          <w:szCs w:val="44"/>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sz w:val="44"/>
          <w:szCs w:val="44"/>
          <w:highlight w:val="none"/>
          <w:lang w:val="en-US" w:eastAsia="zh-CN"/>
          <w14:textFill>
            <w14:solidFill>
              <w14:schemeClr w14:val="tx1"/>
            </w14:solidFill>
          </w14:textFill>
        </w:rPr>
        <w:t>广元市昭化区虎跳镇人民政府</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2025年部门预算编制说明</w:t>
      </w:r>
    </w:p>
    <w:p>
      <w:pPr>
        <w:jc w:val="center"/>
        <w:rPr>
          <w:rFonts w:hint="eastAsia" w:ascii="黑体" w:hAnsi="黑体" w:eastAsia="黑体" w:cs="黑体"/>
          <w:b/>
          <w:bCs/>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目   录</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一、基本职能及主要工作..............................(3</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（一）单位职能简介..................................(3</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（二）单位2025年重点工作...........................(4</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二、部门预算单位构成................................(8</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三、收支预算情况说明................................(8</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（一）收入预算情况..................................(8</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（二）支出预算情况..................................(8</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四、财政拨款收支预算情况说明........................(9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五、一般公共预算当年拨款情况说明....................(9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（一）一般公共预算当年拨款规模变化情况..............(9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（二）一般公共预算当年拨款结构情况..................(9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（三）一般公共预算当年拨款具体使用情况..............(9</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六、一般公共预算基本支出情况说明....................(12)</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七、“三公”经费财政拨款预算安排情况说明............(12</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八、政府性基金预算支出情况说明......................(13)</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九、国有资本经营预算支出情况说明....................(13)</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十、其他重要事项的情况说明........................(13</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jc w:val="both"/>
        <w:rPr>
          <w:rFonts w:hint="eastAsia" w:ascii="仿宋_GB2312" w:hAnsi="仿宋_GB2312" w:eastAsia="仿宋_GB2312" w:cs="仿宋_GB2312"/>
          <w:i w:val="0"/>
          <w:caps w:val="0"/>
          <w:color w:val="000000" w:themeColor="text1"/>
          <w:spacing w:val="0"/>
          <w:sz w:val="32"/>
          <w:szCs w:val="32"/>
          <w:highlight w:val="none"/>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十一、名词解释....................................(14</w:t>
      </w:r>
      <w:r>
        <w:rPr>
          <w:rFonts w:hint="default"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 </w:t>
      </w: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0"/>
        <w:jc w:val="both"/>
        <w:rPr>
          <w:rFonts w:hint="default" w:ascii="宋体" w:hAnsi="宋体" w:eastAsia="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pPr>
      <w:r>
        <w:rPr>
          <w:rFonts w:hint="eastAsia" w:ascii="宋体" w:hAnsi="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t xml:space="preserve">    </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w:t>
      </w:r>
      <w:r>
        <w:rPr>
          <w:rFonts w:hint="eastAsia" w:ascii="楷体_GB2312" w:hAnsi="楷体_GB2312" w:eastAsia="楷体_GB2312" w:cs="楷体_GB2312"/>
          <w:b w:val="0"/>
          <w:bCs w:val="0"/>
          <w:sz w:val="32"/>
          <w:szCs w:val="32"/>
          <w:lang w:eastAsia="zh-CN"/>
        </w:rPr>
        <w:t>虎跳镇人民政府</w:t>
      </w:r>
      <w:r>
        <w:rPr>
          <w:rFonts w:hint="eastAsia" w:ascii="楷体_GB2312" w:hAnsi="楷体_GB2312" w:eastAsia="楷体_GB2312" w:cs="楷体_GB2312"/>
          <w:b w:val="0"/>
          <w:bCs w:val="0"/>
          <w:sz w:val="32"/>
          <w:szCs w:val="32"/>
        </w:rPr>
        <w:t>职能简介</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leftChars="0" w:right="0" w:firstLine="674"/>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1.落实国家政策，严格依法行政，发挥经济管理职能，加强政策引导，制定发展规划，服务市场主体和营造发展环境，搞好市场监管，大力促进社会事业发展，发展镇村经济、文化和社会事业，提供公共服务，维护社会稳定，构建社会主义和谐社会。</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40" w:firstLineChars="200"/>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2.制定和组织实施经济、科技和社会发展计划，制定资源开发技术改造和产业结构调整方案，组织指导好各业生产，搞好商品流通，协调好本办事处与外地区的经济交流与合作，抓好招商引资，人才引进项目开发,不断培育市场体系，组织经济运行，促进经济发展。</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40" w:firstLineChars="200"/>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3.制定并组织实施村镇建设规划，部署重点工程建设，地方道路建设及公共设施，水利设施的管理，负责土地、林木、水等自然资源和生态环境的保护，做好护林防火工作。</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40" w:firstLineChars="200"/>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4.负责本行政区域内的民政、计划生育、文化教育、卫生、体育等社会公益事业的综合性工作，维护一切经济单位和个人的正当经济权益，取缔非法经济活动，调解和处理民事纠纷，打击刑事犯罪维护社会稳定。</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leftChars="0" w:right="0" w:firstLine="674"/>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5.执行本级人民代表大会的决议和上级国家行政机关的决定和命令，发布决定和命令。</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leftChars="0" w:right="0" w:firstLine="674"/>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6.按计划组织本级财政收入和地方税的征收，完成国家财政计划，不断培植税源，管好财政资金，增强财政实力。</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leftChars="0" w:right="0" w:firstLine="674"/>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7.抓好精神文明建设，丰富群众文化生活，提倡移风易俗，反对封建迷信，破除陈规陋习，树立社会主义新风尚。</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40" w:firstLineChars="200"/>
        <w:jc w:val="both"/>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8.保护好社会主义全民所有的财产和劳动群众集体所有财产，保护公民私有的合法财产，维护社会秩序，保障公民的人身权利、民主权利和其他权利。</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9.保障宪法和法律赋予妇女的男女平等、同工同酬和婚姻自由平等各项权利；保障少数民族的权利和尊重少数民族的风俗习惯；保障农村集体经济组织应有的自主权。</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76" w:lineRule="exact"/>
        <w:ind w:left="0" w:leftChars="0" w:right="0" w:firstLine="674"/>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bidi="ar"/>
        </w:rPr>
        <w:t>10.完成上级交办的其它事项。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w:t>
      </w:r>
      <w:r>
        <w:rPr>
          <w:rFonts w:hint="eastAsia" w:ascii="楷体_GB2312" w:hAnsi="楷体_GB2312" w:eastAsia="楷体_GB2312" w:cs="楷体_GB2312"/>
          <w:b w:val="0"/>
          <w:bCs w:val="0"/>
          <w:sz w:val="32"/>
          <w:szCs w:val="32"/>
          <w:lang w:eastAsia="zh-CN"/>
        </w:rPr>
        <w:t>虎跳镇人民政府</w:t>
      </w:r>
      <w:r>
        <w:rPr>
          <w:rFonts w:hint="eastAsia" w:ascii="楷体_GB2312" w:hAnsi="楷体_GB2312" w:eastAsia="楷体_GB2312" w:cs="楷体_GB2312"/>
          <w:b w:val="0"/>
          <w:bCs w:val="0"/>
          <w:sz w:val="32"/>
          <w:szCs w:val="32"/>
          <w:lang w:val="en-US"/>
        </w:rPr>
        <w:t>202</w:t>
      </w:r>
      <w:r>
        <w:rPr>
          <w:rFonts w:hint="eastAsia" w:ascii="楷体_GB2312" w:hAnsi="楷体_GB2312" w:eastAsia="楷体_GB2312" w:cs="楷体_GB2312"/>
          <w:b w:val="0"/>
          <w:bCs w:val="0"/>
          <w:sz w:val="32"/>
          <w:szCs w:val="32"/>
          <w:lang w:val="en-US" w:eastAsia="zh-CN"/>
        </w:rPr>
        <w:t>5</w:t>
      </w:r>
      <w:r>
        <w:rPr>
          <w:rFonts w:hint="eastAsia" w:ascii="楷体_GB2312" w:hAnsi="楷体_GB2312" w:eastAsia="楷体_GB2312" w:cs="楷体_GB2312"/>
          <w:b w:val="0"/>
          <w:bCs w:val="0"/>
          <w:sz w:val="32"/>
          <w:szCs w:val="32"/>
        </w:rPr>
        <w:t>年重点工作</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Times New Roman" w:hAnsi="Times New Roman" w:eastAsia="黑体" w:cs="Times New Roman"/>
          <w:b w:val="0"/>
          <w:bCs/>
          <w:spacing w:val="0"/>
          <w:sz w:val="32"/>
          <w:szCs w:val="32"/>
          <w:highlight w:val="none"/>
          <w:lang w:val="en-US" w:eastAsia="zh-CN"/>
        </w:rPr>
      </w:pPr>
      <w:r>
        <w:rPr>
          <w:rFonts w:hint="eastAsia" w:ascii="Times New Roman" w:hAnsi="Times New Roman" w:eastAsia="黑体" w:cs="Times New Roman"/>
          <w:b w:val="0"/>
          <w:bCs/>
          <w:spacing w:val="0"/>
          <w:sz w:val="32"/>
          <w:szCs w:val="32"/>
          <w:highlight w:val="none"/>
          <w:lang w:val="en-US" w:eastAsia="zh-CN"/>
        </w:rPr>
        <w:t>坚持夯基础、搭平台，奋力推进综合实力增长</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b w:val="0"/>
          <w:bCs/>
          <w:i w:val="0"/>
          <w:iCs w:val="0"/>
          <w:caps w:val="0"/>
          <w:color w:val="000000"/>
          <w:spacing w:val="0"/>
          <w:sz w:val="32"/>
          <w:szCs w:val="32"/>
          <w:shd w:val="clear" w:fill="FFFFFF"/>
        </w:rPr>
      </w:pPr>
      <w:r>
        <w:rPr>
          <w:rFonts w:hint="eastAsia" w:ascii="仿宋_GB2312" w:hAnsi="仿宋_GB2312" w:eastAsia="仿宋_GB2312" w:cs="仿宋_GB2312"/>
          <w:b w:val="0"/>
          <w:bCs/>
          <w:spacing w:val="0"/>
          <w:sz w:val="32"/>
          <w:szCs w:val="32"/>
          <w:highlight w:val="none"/>
          <w:lang w:val="en-US" w:eastAsia="zh-CN"/>
        </w:rPr>
        <w:t>压实责任目标。用好用活各项政策支持，科学编制“十五五”规划，科学谋划好2025年“开门红”和全年工作，以产业集群为抓手</w:t>
      </w:r>
      <w:r>
        <w:rPr>
          <w:rFonts w:hint="eastAsia" w:ascii="仿宋_GB2312" w:hAnsi="仿宋_GB2312" w:eastAsia="仿宋_GB2312" w:cs="仿宋_GB2312"/>
          <w:b w:val="0"/>
          <w:bCs/>
          <w:i w:val="0"/>
          <w:iCs w:val="0"/>
          <w:caps w:val="0"/>
          <w:color w:val="000000"/>
          <w:spacing w:val="0"/>
          <w:sz w:val="32"/>
          <w:szCs w:val="32"/>
          <w:shd w:val="clear" w:fill="FFFFFF"/>
        </w:rPr>
        <w:t>，推动经济实现质的有效提升和量的合理增长。</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b w:val="0"/>
          <w:bCs/>
          <w:color w:val="auto"/>
          <w:spacing w:val="0"/>
          <w:sz w:val="32"/>
          <w:szCs w:val="32"/>
          <w:highlight w:val="none"/>
          <w:shd w:val="clear" w:color="auto" w:fill="auto"/>
          <w:lang w:val="en-US" w:eastAsia="zh-CN"/>
        </w:rPr>
      </w:pPr>
      <w:r>
        <w:rPr>
          <w:rFonts w:hint="eastAsia" w:ascii="仿宋_GB2312" w:hAnsi="仿宋_GB2312" w:eastAsia="仿宋_GB2312" w:cs="仿宋_GB2312"/>
          <w:b w:val="0"/>
          <w:bCs/>
          <w:spacing w:val="0"/>
          <w:sz w:val="32"/>
          <w:szCs w:val="32"/>
          <w:highlight w:val="none"/>
          <w:lang w:val="en-US" w:eastAsia="zh-CN"/>
        </w:rPr>
        <w:t>深化互联互通。</w:t>
      </w:r>
      <w:r>
        <w:rPr>
          <w:rFonts w:hint="eastAsia" w:ascii="仿宋_GB2312" w:hAnsi="仿宋_GB2312" w:eastAsia="仿宋_GB2312" w:cs="仿宋_GB2312"/>
          <w:b w:val="0"/>
          <w:bCs/>
          <w:color w:val="auto"/>
          <w:spacing w:val="0"/>
          <w:sz w:val="32"/>
          <w:szCs w:val="32"/>
          <w:highlight w:val="none"/>
          <w:shd w:val="clear" w:color="auto" w:fill="auto"/>
          <w:lang w:val="en-US" w:eastAsia="zh-CN"/>
        </w:rPr>
        <w:t>加快建设嘉陵江宜业宜居宜游美丽虎跳。继续推进虎（跳）—青（牛）路建设；积极争取连接广南高速柏林沟镇到虎跳镇快速通道项目建设，打通虎跳镇东北方向出口；争取连接京昆复线高速的虎跳镇至江口镇到高观镇快速通道项目，打通虎跳镇西北方向出口；积极协调争取沿亭子湖环湖路尽快建设，为虎跳农文旅融合打下坚实基础。</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b w:val="0"/>
          <w:bCs/>
          <w:color w:val="auto"/>
          <w:spacing w:val="0"/>
          <w:sz w:val="32"/>
          <w:szCs w:val="32"/>
          <w:highlight w:val="none"/>
          <w:lang w:val="en-US" w:eastAsia="zh-CN"/>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夯实基础配套。</w:t>
      </w:r>
      <w:r>
        <w:rPr>
          <w:rFonts w:hint="eastAsia" w:ascii="仿宋_GB2312" w:hAnsi="仿宋_GB2312" w:eastAsia="仿宋_GB2312" w:cs="仿宋_GB2312"/>
          <w:b w:val="0"/>
          <w:bCs/>
          <w:color w:val="auto"/>
          <w:spacing w:val="0"/>
          <w:sz w:val="32"/>
          <w:szCs w:val="32"/>
          <w:highlight w:val="none"/>
          <w:lang w:val="en-US" w:eastAsia="zh-CN"/>
        </w:rPr>
        <w:t>全面</w:t>
      </w:r>
      <w:r>
        <w:rPr>
          <w:rFonts w:hint="eastAsia" w:ascii="仿宋_GB2312" w:hAnsi="仿宋_GB2312" w:eastAsia="仿宋_GB2312" w:cs="仿宋_GB2312"/>
          <w:b w:val="0"/>
          <w:bCs/>
          <w:color w:val="auto"/>
          <w:spacing w:val="0"/>
          <w:sz w:val="32"/>
          <w:szCs w:val="32"/>
          <w:highlight w:val="none"/>
        </w:rPr>
        <w:t>实施基础设施、公共服务、产业集聚、环境风貌、文化传承、城镇治理等“六大提升工程”</w:t>
      </w:r>
      <w:r>
        <w:rPr>
          <w:rFonts w:hint="eastAsia" w:ascii="仿宋_GB2312" w:hAnsi="仿宋_GB2312" w:eastAsia="仿宋_GB2312" w:cs="仿宋_GB2312"/>
          <w:b w:val="0"/>
          <w:bCs/>
          <w:color w:val="auto"/>
          <w:spacing w:val="0"/>
          <w:sz w:val="32"/>
          <w:szCs w:val="32"/>
          <w:highlight w:val="none"/>
          <w:lang w:eastAsia="zh-CN"/>
        </w:rPr>
        <w:t>，</w:t>
      </w:r>
      <w:r>
        <w:rPr>
          <w:rFonts w:hint="eastAsia" w:ascii="仿宋_GB2312" w:hAnsi="仿宋_GB2312" w:eastAsia="仿宋_GB2312" w:cs="仿宋_GB2312"/>
          <w:b w:val="0"/>
          <w:bCs/>
          <w:color w:val="auto"/>
          <w:spacing w:val="0"/>
          <w:sz w:val="32"/>
          <w:szCs w:val="32"/>
          <w:highlight w:val="none"/>
          <w:lang w:val="en-US" w:eastAsia="zh-CN"/>
        </w:rPr>
        <w:t>积极协调对接，千方百计保障投资2600余万元的八一水厂提质增效及供区管网改造延伸工程按期按质按量竣工验收，保障虎跳、青牛2个镇15个村社18000余人的生活生产用水；保障投资1500余万元的“水土保持”项目按期按质按量完工，有效治理水土流失面积30平方公里。</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Times New Roman" w:hAnsi="Times New Roman" w:eastAsia="黑体" w:cs="Times New Roman"/>
          <w:b w:val="0"/>
          <w:bCs/>
          <w:spacing w:val="0"/>
          <w:sz w:val="32"/>
          <w:szCs w:val="32"/>
          <w:highlight w:val="none"/>
          <w:lang w:val="en-US" w:eastAsia="zh-CN"/>
        </w:rPr>
      </w:pPr>
      <w:r>
        <w:rPr>
          <w:rFonts w:hint="default" w:ascii="Times New Roman" w:hAnsi="Times New Roman" w:eastAsia="黑体" w:cs="Times New Roman"/>
          <w:b w:val="0"/>
          <w:bCs/>
          <w:color w:val="auto"/>
          <w:spacing w:val="0"/>
          <w:sz w:val="32"/>
          <w:szCs w:val="32"/>
          <w:highlight w:val="none"/>
          <w:lang w:eastAsia="zh-CN"/>
        </w:rPr>
        <w:t>扩大有效投资，优化营商环境，</w:t>
      </w:r>
      <w:r>
        <w:rPr>
          <w:rFonts w:hint="eastAsia" w:ascii="Times New Roman" w:hAnsi="Times New Roman" w:eastAsia="黑体" w:cs="Times New Roman"/>
          <w:b w:val="0"/>
          <w:bCs/>
          <w:spacing w:val="0"/>
          <w:sz w:val="32"/>
          <w:szCs w:val="32"/>
          <w:highlight w:val="none"/>
          <w:lang w:val="en-US" w:eastAsia="zh-CN"/>
        </w:rPr>
        <w:t>全力增强经济发展动力</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color w:val="auto"/>
          <w:spacing w:val="0"/>
          <w:sz w:val="32"/>
          <w:szCs w:val="32"/>
          <w:highlight w:val="none"/>
          <w:lang w:eastAsia="zh-CN"/>
        </w:rPr>
        <w:t>坚持招商为要。</w:t>
      </w:r>
      <w:r>
        <w:rPr>
          <w:rFonts w:hint="eastAsia" w:ascii="仿宋_GB2312" w:hAnsi="仿宋_GB2312" w:eastAsia="仿宋_GB2312" w:cs="仿宋_GB2312"/>
          <w:sz w:val="32"/>
          <w:szCs w:val="32"/>
        </w:rPr>
        <w:t>聚焦特色小水果、嘉陵江</w:t>
      </w:r>
      <w:r>
        <w:rPr>
          <w:rFonts w:hint="eastAsia" w:ascii="仿宋_GB2312" w:hAnsi="仿宋_GB2312" w:eastAsia="仿宋_GB2312" w:cs="仿宋_GB2312"/>
          <w:sz w:val="32"/>
          <w:szCs w:val="32"/>
          <w:lang w:eastAsia="zh-CN"/>
        </w:rPr>
        <w:t>水域</w:t>
      </w:r>
      <w:r>
        <w:rPr>
          <w:rFonts w:hint="eastAsia" w:ascii="仿宋_GB2312" w:hAnsi="仿宋_GB2312" w:eastAsia="仿宋_GB2312" w:cs="仿宋_GB2312"/>
          <w:sz w:val="32"/>
          <w:szCs w:val="32"/>
        </w:rPr>
        <w:t>两岸</w:t>
      </w:r>
      <w:r>
        <w:rPr>
          <w:rFonts w:hint="eastAsia" w:ascii="仿宋_GB2312" w:hAnsi="仿宋_GB2312" w:eastAsia="仿宋_GB2312" w:cs="仿宋_GB2312"/>
          <w:sz w:val="32"/>
          <w:szCs w:val="32"/>
          <w:lang w:eastAsia="zh-CN"/>
        </w:rPr>
        <w:t>等本地优势资源，制定</w:t>
      </w:r>
      <w:r>
        <w:rPr>
          <w:rFonts w:hint="eastAsia" w:ascii="仿宋_GB2312" w:hAnsi="仿宋_GB2312" w:eastAsia="仿宋_GB2312" w:cs="仿宋_GB2312"/>
          <w:sz w:val="32"/>
          <w:szCs w:val="32"/>
          <w:lang w:val="en-US" w:eastAsia="zh-CN"/>
        </w:rPr>
        <w:t>2025年年度招商计划</w:t>
      </w:r>
      <w:r>
        <w:rPr>
          <w:rFonts w:hint="eastAsia" w:ascii="仿宋_GB2312" w:hAnsi="仿宋_GB2312" w:eastAsia="仿宋_GB2312" w:cs="仿宋_GB2312"/>
          <w:b w:val="0"/>
          <w:bCs/>
          <w:spacing w:val="0"/>
          <w:sz w:val="32"/>
          <w:szCs w:val="32"/>
        </w:rPr>
        <w:t>，</w:t>
      </w:r>
      <w:r>
        <w:rPr>
          <w:rFonts w:hint="eastAsia" w:ascii="仿宋_GB2312" w:hAnsi="仿宋_GB2312" w:eastAsia="仿宋_GB2312" w:cs="仿宋_GB2312"/>
          <w:sz w:val="32"/>
          <w:szCs w:val="32"/>
          <w:lang w:eastAsia="zh-CN"/>
        </w:rPr>
        <w:t>以气调库、葛根厂等闲置资产为基础，招引小水果加工终端企业，助力虎跳镇小水果产业发展再上新台阶</w:t>
      </w:r>
      <w:r>
        <w:rPr>
          <w:rFonts w:hint="eastAsia" w:ascii="仿宋_GB2312" w:hAnsi="仿宋_GB2312" w:eastAsia="仿宋_GB2312" w:cs="仿宋_GB2312"/>
          <w:b w:val="0"/>
          <w:bCs/>
          <w:spacing w:val="0"/>
          <w:sz w:val="32"/>
          <w:szCs w:val="32"/>
        </w:rPr>
        <w:t>。</w:t>
      </w:r>
      <w:r>
        <w:rPr>
          <w:rFonts w:hint="eastAsia" w:ascii="仿宋_GB2312" w:hAnsi="仿宋_GB2312" w:eastAsia="仿宋_GB2312" w:cs="仿宋_GB2312"/>
          <w:sz w:val="32"/>
          <w:szCs w:val="32"/>
        </w:rPr>
        <w:t>全力拓宽黄桃销售渠道，力争寻求1</w:t>
      </w:r>
      <w:r>
        <w:rPr>
          <w:rFonts w:hint="eastAsia" w:ascii="仿宋_GB2312" w:hAnsi="仿宋_GB2312" w:eastAsia="仿宋_GB2312" w:cs="仿宋_GB2312"/>
          <w:sz w:val="32"/>
          <w:szCs w:val="32"/>
          <w:lang w:eastAsia="zh-CN"/>
        </w:rPr>
        <w:t>个</w:t>
      </w:r>
      <w:r>
        <w:rPr>
          <w:rFonts w:hint="eastAsia" w:ascii="仿宋_GB2312" w:hAnsi="仿宋_GB2312" w:eastAsia="仿宋_GB2312" w:cs="仿宋_GB2312"/>
          <w:sz w:val="32"/>
          <w:szCs w:val="32"/>
        </w:rPr>
        <w:t>以上年</w:t>
      </w:r>
      <w:r>
        <w:rPr>
          <w:rFonts w:hint="eastAsia" w:ascii="仿宋_GB2312" w:hAnsi="仿宋_GB2312" w:eastAsia="仿宋_GB2312" w:cs="仿宋_GB2312"/>
          <w:sz w:val="32"/>
          <w:szCs w:val="32"/>
          <w:lang w:eastAsia="zh-CN"/>
        </w:rPr>
        <w:t>销</w:t>
      </w:r>
      <w:r>
        <w:rPr>
          <w:rFonts w:hint="eastAsia" w:ascii="仿宋_GB2312" w:hAnsi="仿宋_GB2312" w:eastAsia="仿宋_GB2312" w:cs="仿宋_GB2312"/>
          <w:sz w:val="32"/>
          <w:szCs w:val="32"/>
        </w:rPr>
        <w:t>纳</w:t>
      </w:r>
      <w:r>
        <w:rPr>
          <w:rFonts w:hint="eastAsia" w:ascii="仿宋_GB2312" w:hAnsi="仿宋_GB2312" w:eastAsia="仿宋_GB2312" w:cs="仿宋_GB2312"/>
          <w:sz w:val="32"/>
          <w:szCs w:val="32"/>
          <w:lang w:eastAsia="zh-CN"/>
        </w:rPr>
        <w:t>超</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00吨黄桃</w:t>
      </w:r>
      <w:r>
        <w:rPr>
          <w:rFonts w:hint="eastAsia" w:ascii="仿宋_GB2312" w:hAnsi="仿宋_GB2312" w:eastAsia="仿宋_GB2312" w:cs="仿宋_GB2312"/>
          <w:sz w:val="32"/>
          <w:szCs w:val="32"/>
          <w:lang w:eastAsia="zh-CN"/>
        </w:rPr>
        <w:t>销售</w:t>
      </w:r>
      <w:r>
        <w:rPr>
          <w:rFonts w:hint="eastAsia" w:ascii="仿宋_GB2312" w:hAnsi="仿宋_GB2312" w:eastAsia="仿宋_GB2312" w:cs="仿宋_GB2312"/>
          <w:sz w:val="32"/>
          <w:szCs w:val="32"/>
        </w:rPr>
        <w:t>企业，为全镇黄桃产业发展壮大打开新通道。</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color w:val="auto"/>
          <w:spacing w:val="0"/>
          <w:sz w:val="32"/>
          <w:szCs w:val="32"/>
          <w:highlight w:val="none"/>
          <w:lang w:eastAsia="zh-CN"/>
        </w:rPr>
        <w:t>坚持项目为王。</w:t>
      </w:r>
      <w:r>
        <w:rPr>
          <w:rFonts w:hint="eastAsia" w:ascii="仿宋_GB2312" w:hAnsi="仿宋_GB2312" w:eastAsia="仿宋_GB2312" w:cs="仿宋_GB2312"/>
          <w:sz w:val="32"/>
          <w:szCs w:val="32"/>
          <w:lang w:eastAsia="zh-CN"/>
        </w:rPr>
        <w:t>强力</w:t>
      </w:r>
      <w:r>
        <w:rPr>
          <w:rFonts w:hint="eastAsia" w:ascii="仿宋_GB2312" w:hAnsi="仿宋_GB2312" w:eastAsia="仿宋_GB2312" w:cs="仿宋_GB2312"/>
          <w:sz w:val="32"/>
          <w:szCs w:val="32"/>
        </w:rPr>
        <w:t>推</w:t>
      </w:r>
      <w:r>
        <w:rPr>
          <w:rFonts w:hint="eastAsia" w:ascii="仿宋_GB2312" w:hAnsi="仿宋_GB2312" w:eastAsia="仿宋_GB2312" w:cs="仿宋_GB2312"/>
          <w:sz w:val="32"/>
          <w:szCs w:val="32"/>
          <w:lang w:eastAsia="zh-CN"/>
        </w:rPr>
        <w:t>进</w:t>
      </w:r>
      <w:r>
        <w:rPr>
          <w:rFonts w:hint="eastAsia" w:ascii="仿宋_GB2312" w:hAnsi="仿宋_GB2312" w:eastAsia="仿宋_GB2312" w:cs="仿宋_GB2312"/>
          <w:sz w:val="32"/>
          <w:szCs w:val="32"/>
        </w:rPr>
        <w:t>投资</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000万元的</w:t>
      </w:r>
      <w:r>
        <w:rPr>
          <w:rFonts w:hint="eastAsia" w:ascii="仿宋_GB2312" w:hAnsi="仿宋_GB2312" w:eastAsia="仿宋_GB2312" w:cs="仿宋_GB2312"/>
          <w:sz w:val="32"/>
          <w:szCs w:val="32"/>
          <w:lang w:eastAsia="zh-CN"/>
        </w:rPr>
        <w:t>建筑垃圾粉碎循环再利用生产透水砖项目</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投资</w:t>
      </w:r>
      <w:r>
        <w:rPr>
          <w:rFonts w:hint="eastAsia" w:ascii="仿宋_GB2312" w:hAnsi="仿宋_GB2312" w:eastAsia="仿宋_GB2312" w:cs="仿宋_GB2312"/>
          <w:sz w:val="32"/>
          <w:szCs w:val="32"/>
          <w:lang w:val="en-US" w:eastAsia="zh-CN"/>
        </w:rPr>
        <w:t>500万元的孺子牛肉牛养殖项目及昭化区虎跳镇2025年中央财政以工代赈项目的实施，力争一季度申报入库，为全面完成2025年固定资产投资打好基础。</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b w:val="0"/>
          <w:bCs/>
          <w:spacing w:val="0"/>
          <w:sz w:val="32"/>
          <w:szCs w:val="32"/>
        </w:rPr>
      </w:pPr>
      <w:r>
        <w:rPr>
          <w:rFonts w:hint="eastAsia" w:ascii="仿宋_GB2312" w:hAnsi="仿宋_GB2312" w:eastAsia="仿宋_GB2312" w:cs="仿宋_GB2312"/>
          <w:b w:val="0"/>
          <w:bCs/>
          <w:color w:val="auto"/>
          <w:spacing w:val="0"/>
          <w:sz w:val="32"/>
          <w:szCs w:val="32"/>
          <w:highlight w:val="none"/>
          <w:lang w:eastAsia="zh-CN"/>
        </w:rPr>
        <w:t>持续优化营商环境。</w:t>
      </w:r>
      <w:r>
        <w:rPr>
          <w:rFonts w:hint="eastAsia" w:ascii="仿宋_GB2312" w:hAnsi="仿宋_GB2312" w:eastAsia="仿宋_GB2312" w:cs="仿宋_GB2312"/>
          <w:sz w:val="32"/>
          <w:szCs w:val="32"/>
          <w:lang w:eastAsia="zh-CN"/>
        </w:rPr>
        <w:t>立足</w:t>
      </w:r>
      <w:r>
        <w:rPr>
          <w:rFonts w:hint="eastAsia" w:ascii="仿宋_GB2312" w:hAnsi="仿宋_GB2312" w:eastAsia="仿宋_GB2312" w:cs="仿宋_GB2312"/>
          <w:sz w:val="32"/>
          <w:szCs w:val="32"/>
          <w:lang w:val="en-US" w:eastAsia="zh-CN"/>
        </w:rPr>
        <w:t>虎跳镇工业发展集聚区</w:t>
      </w:r>
      <w:r>
        <w:rPr>
          <w:rFonts w:hint="eastAsia" w:ascii="仿宋_GB2312" w:hAnsi="仿宋_GB2312" w:eastAsia="仿宋_GB2312" w:cs="仿宋_GB2312"/>
          <w:sz w:val="32"/>
          <w:szCs w:val="32"/>
          <w:lang w:eastAsia="zh-CN"/>
        </w:rPr>
        <w:t>优势，提速推动</w:t>
      </w:r>
      <w:r>
        <w:rPr>
          <w:rFonts w:hint="eastAsia" w:ascii="仿宋_GB2312" w:hAnsi="仿宋_GB2312" w:eastAsia="仿宋_GB2312" w:cs="仿宋_GB2312"/>
          <w:sz w:val="32"/>
          <w:szCs w:val="32"/>
        </w:rPr>
        <w:t>10KV及以下配电工程、砂石加工项目</w:t>
      </w:r>
      <w:r>
        <w:rPr>
          <w:rFonts w:hint="eastAsia" w:ascii="仿宋_GB2312" w:hAnsi="仿宋_GB2312" w:eastAsia="仿宋_GB2312" w:cs="仿宋_GB2312"/>
          <w:sz w:val="32"/>
          <w:szCs w:val="32"/>
          <w:lang w:eastAsia="zh-CN"/>
        </w:rPr>
        <w:t>等重点项目</w:t>
      </w:r>
      <w:r>
        <w:rPr>
          <w:rFonts w:hint="eastAsia" w:ascii="仿宋_GB2312" w:hAnsi="仿宋_GB2312" w:eastAsia="仿宋_GB2312" w:cs="仿宋_GB2312"/>
          <w:sz w:val="32"/>
          <w:szCs w:val="32"/>
        </w:rPr>
        <w:t>建设</w:t>
      </w:r>
      <w:r>
        <w:rPr>
          <w:rFonts w:hint="eastAsia" w:ascii="仿宋_GB2312" w:hAnsi="仿宋_GB2312" w:eastAsia="仿宋_GB2312" w:cs="仿宋_GB2312"/>
          <w:sz w:val="32"/>
          <w:szCs w:val="32"/>
          <w:lang w:eastAsia="zh-CN"/>
        </w:rPr>
        <w:t>进度</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力争</w:t>
      </w:r>
      <w:r>
        <w:rPr>
          <w:rFonts w:hint="eastAsia" w:ascii="仿宋_GB2312" w:hAnsi="仿宋_GB2312" w:eastAsia="仿宋_GB2312" w:cs="仿宋_GB2312"/>
          <w:sz w:val="32"/>
          <w:szCs w:val="32"/>
          <w:lang w:val="en-US" w:eastAsia="zh-CN"/>
        </w:rPr>
        <w:t>2025年6月竣工投产，为我镇工业经济发展提供新动能</w:t>
      </w:r>
      <w:r>
        <w:rPr>
          <w:rFonts w:hint="eastAsia" w:ascii="仿宋_GB2312" w:hAnsi="仿宋_GB2312" w:eastAsia="仿宋_GB2312" w:cs="仿宋_GB2312"/>
          <w:b w:val="0"/>
          <w:bCs/>
          <w:spacing w:val="0"/>
          <w:sz w:val="32"/>
          <w:szCs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Times New Roman" w:hAnsi="Times New Roman" w:eastAsia="黑体" w:cs="Times New Roman"/>
          <w:b w:val="0"/>
          <w:bCs/>
          <w:color w:val="auto"/>
          <w:spacing w:val="0"/>
          <w:sz w:val="32"/>
          <w:szCs w:val="32"/>
          <w:highlight w:val="none"/>
          <w:lang w:eastAsia="zh-CN"/>
        </w:rPr>
      </w:pPr>
      <w:r>
        <w:rPr>
          <w:rFonts w:hint="eastAsia" w:ascii="Times New Roman" w:hAnsi="Times New Roman" w:eastAsia="黑体" w:cs="Times New Roman"/>
          <w:b w:val="0"/>
          <w:bCs/>
          <w:color w:val="auto"/>
          <w:spacing w:val="0"/>
          <w:sz w:val="32"/>
          <w:szCs w:val="32"/>
          <w:highlight w:val="none"/>
          <w:lang w:eastAsia="zh-CN"/>
        </w:rPr>
        <w:t>坚持补短板、强基础，全力推动乡村振兴提速</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有力推动乡村振兴。</w:t>
      </w: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持续巩固拓展脱贫攻坚成果同乡村振兴有效衔接，落实好防返贫监测预警机制，强化项目实施管理，将各项帮扶政策落实到位。持续推动教育、卫生、养老等公共服务提标扩面、纵向延伸，切实提高弱势群体的生活水平。</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Fonts w:hint="eastAsia" w:ascii="仿宋_GB2312" w:hAnsi="仿宋_GB2312" w:eastAsia="仿宋_GB2312" w:cs="仿宋_GB2312"/>
          <w:b w:val="0"/>
          <w:bCs/>
          <w:color w:val="auto"/>
          <w:spacing w:val="0"/>
          <w:sz w:val="32"/>
          <w:szCs w:val="32"/>
          <w:highlight w:val="none"/>
          <w:shd w:val="clear" w:color="auto" w:fill="auto"/>
          <w:lang w:val="en-US" w:eastAsia="zh-CN"/>
        </w:rPr>
      </w:pPr>
      <w:r>
        <w:rPr>
          <w:rStyle w:val="13"/>
          <w:rFonts w:hint="eastAsia" w:ascii="仿宋_GB2312" w:hAnsi="仿宋_GB2312" w:eastAsia="仿宋_GB2312" w:cs="仿宋_GB2312"/>
          <w:b w:val="0"/>
          <w:bCs/>
          <w:spacing w:val="0"/>
          <w:kern w:val="0"/>
          <w:sz w:val="32"/>
          <w:szCs w:val="32"/>
          <w:shd w:val="clear" w:color="auto" w:fill="FFFFFF"/>
          <w:lang w:val="en-US" w:eastAsia="zh-CN" w:bidi="ar-SA"/>
        </w:rPr>
        <w:t>做大做强特色产业。</w:t>
      </w:r>
      <w:r>
        <w:rPr>
          <w:rFonts w:hint="eastAsia" w:ascii="仿宋_GB2312" w:hAnsi="仿宋_GB2312" w:eastAsia="仿宋_GB2312" w:cs="仿宋_GB2312"/>
          <w:b w:val="0"/>
          <w:bCs/>
          <w:color w:val="auto"/>
          <w:spacing w:val="0"/>
          <w:sz w:val="32"/>
          <w:szCs w:val="32"/>
          <w:highlight w:val="none"/>
          <w:shd w:val="clear" w:color="auto" w:fill="auto"/>
          <w:lang w:val="en-US" w:eastAsia="zh-CN"/>
        </w:rPr>
        <w:t>多元化发展库区经济，把“虎跳驿”产业品牌外向拓展。进一步破解产业发展瓶颈，把蔬菜种植、小水果发展、猕猴桃种植和小家禽养殖做精做细做优，继续依托烤烟种植基地发展“烤烟+蔬菜”产业模式，打造一批“虎跳产”的特色农产品。</w:t>
      </w:r>
    </w:p>
    <w:p>
      <w:pPr>
        <w:keepNext w:val="0"/>
        <w:keepLines w:val="0"/>
        <w:pageBreakBefore w:val="0"/>
        <w:widowControl w:val="0"/>
        <w:kinsoku/>
        <w:wordWrap/>
        <w:overflowPunct/>
        <w:topLinePunct w:val="0"/>
        <w:autoSpaceDE/>
        <w:autoSpaceDN w:val="0"/>
        <w:bidi w:val="0"/>
        <w:adjustRightInd/>
        <w:snapToGrid/>
        <w:spacing w:beforeAutospacing="0" w:afterAutospacing="0" w:line="576" w:lineRule="exact"/>
        <w:ind w:firstLine="640" w:firstLineChars="200"/>
        <w:jc w:val="left"/>
        <w:textAlignment w:val="auto"/>
        <w:outlineLvl w:val="9"/>
        <w:rPr>
          <w:rStyle w:val="13"/>
          <w:rFonts w:hint="eastAsia" w:ascii="仿宋_GB2312" w:hAnsi="仿宋_GB2312" w:eastAsia="仿宋_GB2312" w:cs="仿宋_GB2312"/>
          <w:b w:val="0"/>
          <w:bCs/>
          <w:spacing w:val="0"/>
          <w:kern w:val="0"/>
          <w:sz w:val="32"/>
          <w:szCs w:val="32"/>
          <w:shd w:val="clear" w:color="auto" w:fill="FFFFFF"/>
          <w:lang w:val="en-US" w:eastAsia="zh-CN" w:bidi="ar-SA"/>
        </w:rPr>
      </w:pPr>
      <w:r>
        <w:rPr>
          <w:rStyle w:val="13"/>
          <w:rFonts w:hint="eastAsia" w:ascii="仿宋_GB2312" w:hAnsi="仿宋_GB2312" w:eastAsia="仿宋_GB2312" w:cs="仿宋_GB2312"/>
          <w:b w:val="0"/>
          <w:bCs/>
          <w:spacing w:val="0"/>
          <w:kern w:val="0"/>
          <w:sz w:val="32"/>
          <w:szCs w:val="32"/>
          <w:shd w:val="clear" w:color="auto" w:fill="FFFFFF"/>
          <w:lang w:val="en-US" w:eastAsia="zh-CN" w:bidi="ar-SA"/>
        </w:rPr>
        <w:t>倾力打造滨湖园区。</w:t>
      </w:r>
      <w:r>
        <w:rPr>
          <w:rFonts w:hint="eastAsia" w:ascii="仿宋_GB2312" w:hAnsi="仿宋_GB2312" w:eastAsia="仿宋_GB2312" w:cs="仿宋_GB2312"/>
          <w:b w:val="0"/>
          <w:bCs/>
          <w:spacing w:val="0"/>
          <w:sz w:val="32"/>
          <w:szCs w:val="32"/>
          <w:shd w:val="clear" w:color="auto" w:fill="FFFFFF"/>
        </w:rPr>
        <w:t>充分利用现有资源，</w:t>
      </w:r>
      <w:r>
        <w:rPr>
          <w:rFonts w:hint="eastAsia" w:ascii="仿宋_GB2312" w:hAnsi="仿宋_GB2312" w:eastAsia="仿宋_GB2312" w:cs="仿宋_GB2312"/>
          <w:b w:val="0"/>
          <w:bCs/>
          <w:spacing w:val="0"/>
          <w:sz w:val="32"/>
          <w:szCs w:val="32"/>
          <w:shd w:val="clear" w:color="auto" w:fill="FFFFFF"/>
          <w:lang w:eastAsia="zh-CN"/>
        </w:rPr>
        <w:t>统一修编</w:t>
      </w:r>
      <w:r>
        <w:rPr>
          <w:rFonts w:hint="eastAsia" w:ascii="仿宋_GB2312" w:hAnsi="仿宋_GB2312" w:eastAsia="仿宋_GB2312" w:cs="仿宋_GB2312"/>
          <w:b w:val="0"/>
          <w:bCs/>
          <w:spacing w:val="0"/>
          <w:sz w:val="32"/>
          <w:szCs w:val="32"/>
          <w:shd w:val="clear" w:color="auto" w:fill="FFFFFF"/>
        </w:rPr>
        <w:t>滨湖园区</w:t>
      </w:r>
      <w:r>
        <w:rPr>
          <w:rFonts w:hint="eastAsia" w:ascii="仿宋_GB2312" w:hAnsi="仿宋_GB2312" w:eastAsia="仿宋_GB2312" w:cs="仿宋_GB2312"/>
          <w:b w:val="0"/>
          <w:bCs/>
          <w:spacing w:val="0"/>
          <w:sz w:val="32"/>
          <w:szCs w:val="32"/>
          <w:shd w:val="clear" w:color="auto" w:fill="FFFFFF"/>
          <w:lang w:eastAsia="zh-CN"/>
        </w:rPr>
        <w:t>系列规划，</w:t>
      </w:r>
      <w:r>
        <w:rPr>
          <w:rFonts w:hint="eastAsia" w:ascii="仿宋_GB2312" w:hAnsi="仿宋_GB2312" w:eastAsia="仿宋_GB2312" w:cs="仿宋_GB2312"/>
          <w:b w:val="0"/>
          <w:bCs/>
          <w:spacing w:val="0"/>
          <w:sz w:val="32"/>
          <w:szCs w:val="32"/>
          <w:shd w:val="clear" w:color="auto" w:fill="FFFFFF"/>
        </w:rPr>
        <w:t>承接产业发展平台，建设高效农业园区。推进以大雾、毗鹿为主的滨湖园区猕猴桃</w:t>
      </w:r>
      <w:r>
        <w:rPr>
          <w:rFonts w:hint="eastAsia" w:ascii="仿宋_GB2312" w:hAnsi="仿宋_GB2312" w:eastAsia="仿宋_GB2312" w:cs="仿宋_GB2312"/>
          <w:b w:val="0"/>
          <w:bCs/>
          <w:spacing w:val="0"/>
          <w:sz w:val="32"/>
          <w:szCs w:val="32"/>
          <w:shd w:val="clear" w:color="auto" w:fill="FFFFFF"/>
          <w:lang w:eastAsia="zh-CN"/>
        </w:rPr>
        <w:t>补植工作</w:t>
      </w:r>
      <w:r>
        <w:rPr>
          <w:rFonts w:hint="eastAsia" w:ascii="仿宋_GB2312" w:hAnsi="仿宋_GB2312" w:eastAsia="仿宋_GB2312" w:cs="仿宋_GB2312"/>
          <w:b w:val="0"/>
          <w:bCs/>
          <w:spacing w:val="0"/>
          <w:sz w:val="32"/>
          <w:szCs w:val="32"/>
          <w:shd w:val="clear" w:color="auto" w:fill="FFFFFF"/>
        </w:rPr>
        <w:t>，加强技术服务，持续</w:t>
      </w:r>
      <w:r>
        <w:rPr>
          <w:rFonts w:hint="eastAsia" w:ascii="仿宋_GB2312" w:hAnsi="仿宋_GB2312" w:eastAsia="仿宋_GB2312" w:cs="仿宋_GB2312"/>
          <w:b w:val="0"/>
          <w:bCs/>
          <w:spacing w:val="0"/>
          <w:sz w:val="32"/>
          <w:szCs w:val="32"/>
          <w:shd w:val="clear" w:color="auto" w:fill="FFFFFF"/>
          <w:lang w:eastAsia="zh-CN"/>
        </w:rPr>
        <w:t>抓好</w:t>
      </w:r>
      <w:r>
        <w:rPr>
          <w:rFonts w:hint="eastAsia" w:ascii="仿宋_GB2312" w:hAnsi="仿宋_GB2312" w:eastAsia="仿宋_GB2312" w:cs="仿宋_GB2312"/>
          <w:b w:val="0"/>
          <w:bCs/>
          <w:spacing w:val="0"/>
          <w:sz w:val="32"/>
          <w:szCs w:val="32"/>
          <w:shd w:val="clear" w:color="auto" w:fill="FFFFFF"/>
        </w:rPr>
        <w:t>园区科学管护</w:t>
      </w:r>
      <w:r>
        <w:rPr>
          <w:rStyle w:val="13"/>
          <w:rFonts w:hint="eastAsia" w:ascii="仿宋_GB2312" w:hAnsi="仿宋_GB2312" w:eastAsia="仿宋_GB2312" w:cs="仿宋_GB2312"/>
          <w:b w:val="0"/>
          <w:bCs/>
          <w:spacing w:val="0"/>
          <w:kern w:val="0"/>
          <w:sz w:val="32"/>
          <w:szCs w:val="32"/>
          <w:shd w:val="clear" w:color="auto" w:fill="FFFFFF"/>
          <w:lang w:val="en-US" w:eastAsia="zh-CN" w:bidi="ar-SA"/>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sz w:val="32"/>
          <w:szCs w:val="32"/>
          <w:highlight w:val="none"/>
          <w:shd w:val="clear" w:color="auto" w:fill="auto"/>
          <w:lang w:val="en-US" w:eastAsia="zh-CN"/>
        </w:rPr>
      </w:pPr>
      <w:r>
        <w:rPr>
          <w:rStyle w:val="13"/>
          <w:rFonts w:hint="eastAsia" w:ascii="仿宋_GB2312" w:hAnsi="仿宋_GB2312" w:eastAsia="仿宋_GB2312" w:cs="仿宋_GB2312"/>
          <w:b w:val="0"/>
          <w:bCs/>
          <w:spacing w:val="0"/>
          <w:kern w:val="0"/>
          <w:sz w:val="32"/>
          <w:szCs w:val="32"/>
          <w:shd w:val="clear" w:color="auto" w:fill="FFFFFF"/>
          <w:lang w:val="en-US" w:eastAsia="zh-CN" w:bidi="ar-SA"/>
        </w:rPr>
        <w:t>发展壮大集体经济。</w:t>
      </w:r>
      <w:r>
        <w:rPr>
          <w:rFonts w:hint="eastAsia" w:ascii="仿宋_GB2312" w:hAnsi="仿宋_GB2312" w:eastAsia="仿宋_GB2312" w:cs="仿宋_GB2312"/>
          <w:b w:val="0"/>
          <w:bCs/>
          <w:color w:val="auto"/>
          <w:spacing w:val="0"/>
          <w:sz w:val="32"/>
          <w:szCs w:val="32"/>
          <w:highlight w:val="none"/>
          <w:shd w:val="clear" w:color="auto" w:fill="auto"/>
          <w:lang w:val="en-US" w:eastAsia="zh-CN"/>
        </w:rPr>
        <w:t>力争2025年经营性收入在2024年的基础上稳步增长，锚定集体经济收入10万元以上增加1个、经营性收入20万元以上集体经济强村达到2个的目标。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spacing w:val="0"/>
          <w:sz w:val="32"/>
          <w:szCs w:val="32"/>
          <w:shd w:val="clear" w:color="auto" w:fill="FFFFFF"/>
          <w:lang w:val="en-US" w:eastAsia="zh-CN"/>
        </w:rPr>
      </w:pPr>
      <w:r>
        <w:rPr>
          <w:rFonts w:hint="eastAsia" w:ascii="仿宋_GB2312" w:hAnsi="仿宋_GB2312" w:eastAsia="仿宋_GB2312" w:cs="仿宋_GB2312"/>
          <w:b w:val="0"/>
          <w:bCs/>
          <w:color w:val="000000" w:themeColor="text1"/>
          <w:spacing w:val="0"/>
          <w:sz w:val="32"/>
          <w:szCs w:val="32"/>
          <w:shd w:val="clear" w:color="auto" w:fill="FFFFFF"/>
          <w:lang w:val="en-US" w:eastAsia="zh-CN"/>
          <w14:textFill>
            <w14:solidFill>
              <w14:schemeClr w14:val="tx1"/>
            </w14:solidFill>
          </w14:textFill>
        </w:rPr>
        <w:t>全面深化农文旅融合。</w:t>
      </w:r>
      <w:r>
        <w:rPr>
          <w:rFonts w:hint="eastAsia" w:ascii="仿宋_GB2312" w:hAnsi="仿宋_GB2312" w:eastAsia="仿宋_GB2312" w:cs="仿宋_GB2312"/>
          <w:b w:val="0"/>
          <w:bCs/>
          <w:spacing w:val="0"/>
          <w:sz w:val="32"/>
          <w:szCs w:val="32"/>
          <w:shd w:val="clear" w:color="auto" w:fill="FFFFFF"/>
          <w:lang w:val="en-US" w:eastAsia="zh-CN"/>
        </w:rPr>
        <w:t>坚持以文塑旅、以农活旅，做好农文旅融合大文章，加快实施黄桃、白玉枇杷、猕猴桃等产业提升项目，积极探索以采摘、观光、体验特色果园和农家乐模式，助力虎跳农文旅融合发展。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Times New Roman" w:hAnsi="Times New Roman" w:eastAsia="黑体" w:cs="Times New Roman"/>
          <w:b w:val="0"/>
          <w:bCs/>
          <w:color w:val="auto"/>
          <w:spacing w:val="0"/>
          <w:sz w:val="32"/>
          <w:szCs w:val="32"/>
          <w:highlight w:val="none"/>
          <w:shd w:val="clear" w:color="auto" w:fill="auto"/>
          <w:lang w:val="en-US" w:eastAsia="zh-CN"/>
        </w:rPr>
      </w:pPr>
      <w:r>
        <w:rPr>
          <w:rFonts w:hint="eastAsia" w:ascii="Times New Roman" w:hAnsi="Times New Roman" w:eastAsia="黑体" w:cs="Times New Roman"/>
          <w:b w:val="0"/>
          <w:bCs/>
          <w:color w:val="auto"/>
          <w:spacing w:val="0"/>
          <w:sz w:val="32"/>
          <w:szCs w:val="32"/>
          <w:highlight w:val="none"/>
          <w:shd w:val="clear" w:color="auto" w:fill="auto"/>
          <w:lang w:val="en-US" w:eastAsia="zh-CN"/>
        </w:rPr>
        <w:t>坚持惠民生、促和谐，全力提高人民幸福指数</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pP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持续改善生态环境。践行生态文明理念，严格落实林、河、田“三长制”，持续抓好秸秆禁烧工作，持续改善空气质量；加强重点河流巡查管控，适时推动解放河综合治理项目，提升水污染防治成效；加强耕地保护，超前谋划、强化调度，加快推动高标准农田建设，坚决杜绝耕地流失。</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sz w:val="32"/>
          <w:szCs w:val="32"/>
          <w:highlight w:val="none"/>
          <w:shd w:val="clear" w:color="auto" w:fill="auto"/>
          <w:lang w:val="en-US" w:eastAsia="zh-CN"/>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兜牢兜实民生保障。重点关注低保、特困供养户、残疾人等弱势群体，着力加强困难群众基本生活保障，确保特困供养人员、低保对象、贫困人口和残疾人等困难群体全员参保，认真做好农村留守儿童和妇女、老年人的关爱服务。</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sz w:val="32"/>
          <w:szCs w:val="32"/>
          <w:highlight w:val="none"/>
          <w:shd w:val="clear" w:color="auto" w:fill="auto"/>
          <w:lang w:val="en-US" w:eastAsia="zh-CN"/>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用心办好民生实事。高质量办好各类民生实事项目，扎实推进</w:t>
      </w:r>
      <w:r>
        <w:rPr>
          <w:rFonts w:hint="eastAsia" w:ascii="仿宋_GB2312" w:hAnsi="仿宋_GB2312" w:eastAsia="仿宋_GB2312" w:cs="仿宋_GB2312"/>
          <w:b w:val="0"/>
          <w:bCs/>
          <w:color w:val="auto"/>
          <w:spacing w:val="0"/>
          <w:sz w:val="32"/>
          <w:szCs w:val="32"/>
          <w:highlight w:val="none"/>
          <w:lang w:val="en-US" w:eastAsia="zh-CN"/>
        </w:rPr>
        <w:t>八一水厂提质增效及供区管网改造延伸工程和“水土保持”项目</w:t>
      </w:r>
      <w:r>
        <w:rPr>
          <w:rFonts w:hint="eastAsia" w:ascii="仿宋_GB2312" w:hAnsi="仿宋_GB2312" w:eastAsia="仿宋_GB2312" w:cs="仿宋_GB2312"/>
          <w:b w:val="0"/>
          <w:bCs/>
          <w:color w:val="auto"/>
          <w:spacing w:val="0"/>
          <w:sz w:val="32"/>
          <w:szCs w:val="32"/>
          <w:highlight w:val="none"/>
          <w:shd w:val="clear" w:color="auto" w:fill="auto"/>
          <w:lang w:val="en-US" w:eastAsia="zh-CN"/>
        </w:rPr>
        <w:t>建设，持续开展场镇污水管网系统排查整治工作和嘉陵江水域</w:t>
      </w:r>
      <w:r>
        <w:rPr>
          <w:rFonts w:hint="eastAsia" w:ascii="仿宋_GB2312" w:hAnsi="仿宋_GB2312" w:eastAsia="仿宋_GB2312" w:cs="仿宋_GB2312"/>
          <w:b w:val="0"/>
          <w:bCs/>
          <w:color w:val="auto"/>
          <w:spacing w:val="0"/>
          <w:kern w:val="0"/>
          <w:sz w:val="32"/>
          <w:szCs w:val="32"/>
          <w:highlight w:val="none"/>
          <w:lang w:val="en-US" w:eastAsia="zh-CN" w:bidi="ar-SA"/>
        </w:rPr>
        <w:t>清漂行动</w:t>
      </w:r>
      <w:r>
        <w:rPr>
          <w:rFonts w:hint="eastAsia" w:ascii="仿宋_GB2312" w:hAnsi="仿宋_GB2312" w:eastAsia="仿宋_GB2312" w:cs="仿宋_GB2312"/>
          <w:b w:val="0"/>
          <w:bCs/>
          <w:color w:val="auto"/>
          <w:spacing w:val="0"/>
          <w:sz w:val="32"/>
          <w:szCs w:val="32"/>
          <w:highlight w:val="none"/>
          <w:shd w:val="clear" w:color="auto" w:fill="auto"/>
          <w:lang w:val="en-US" w:eastAsia="zh-CN"/>
        </w:rPr>
        <w:t>，扎实推进防火通道等建设，不断提升群众获得感、幸福感。</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繁荣发展文体和精神文明。</w:t>
      </w: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加快建设亭子湖社区、陈江社区全民健身项目，积极引导各村打造提升新时代文明实践站。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 xml:space="preserve"> </w:t>
      </w:r>
      <w:r>
        <w:rPr>
          <w:rFonts w:hint="eastAsia" w:ascii="仿宋_GB2312" w:hAnsi="仿宋_GB2312" w:eastAsia="仿宋_GB2312" w:cs="仿宋_GB2312"/>
          <w:b w:val="0"/>
          <w:bCs w:val="0"/>
          <w:color w:val="000000"/>
          <w:spacing w:val="0"/>
          <w:kern w:val="2"/>
          <w:sz w:val="32"/>
          <w:szCs w:val="32"/>
          <w:highlight w:val="none"/>
          <w:lang w:val="en-US" w:eastAsia="zh-CN" w:bidi="ar-SA"/>
        </w:rPr>
        <w:t>打造更优政务服务环境。</w:t>
      </w:r>
      <w:r>
        <w:rPr>
          <w:rFonts w:hint="eastAsia" w:ascii="仿宋_GB2312" w:hAnsi="仿宋_GB2312" w:eastAsia="仿宋_GB2312" w:cs="仿宋_GB2312"/>
          <w:b w:val="0"/>
          <w:bCs w:val="0"/>
          <w:color w:val="000000"/>
          <w:spacing w:val="0"/>
          <w:sz w:val="32"/>
          <w:szCs w:val="32"/>
          <w:highlight w:val="none"/>
          <w:u w:val="none"/>
          <w:lang w:val="en-US" w:eastAsia="zh-CN"/>
        </w:rPr>
        <w:t>持续深化“1+5”营商环境工作机制，实现22个高频政务服务事项“一件事一次办”全覆盖。</w:t>
      </w:r>
      <w:r>
        <w:rPr>
          <w:rFonts w:hint="eastAsia" w:ascii="仿宋_GB2312" w:hAnsi="仿宋_GB2312" w:eastAsia="仿宋_GB2312" w:cs="仿宋_GB2312"/>
          <w:b w:val="0"/>
          <w:bCs w:val="0"/>
          <w:kern w:val="2"/>
          <w:sz w:val="32"/>
          <w:szCs w:val="32"/>
          <w:lang w:val="en-US" w:eastAsia="zh-CN" w:bidi="ar-SA"/>
        </w:rPr>
        <w:t>积极争取专项建设资金30万元，高标准改造提升虎跳镇便民服务中心，力争达到“四星级”要求。</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黑体" w:cs="Times New Roman"/>
          <w:b w:val="0"/>
          <w:bCs/>
          <w:color w:val="auto"/>
          <w:spacing w:val="0"/>
          <w:sz w:val="32"/>
          <w:szCs w:val="32"/>
          <w:highlight w:val="none"/>
          <w:shd w:val="clear" w:color="auto" w:fill="auto"/>
          <w:lang w:val="en-US" w:eastAsia="zh-CN"/>
        </w:rPr>
      </w:pPr>
      <w:r>
        <w:rPr>
          <w:rFonts w:hint="eastAsia" w:ascii="Times New Roman" w:hAnsi="Times New Roman" w:eastAsia="黑体" w:cs="Times New Roman"/>
          <w:b w:val="0"/>
          <w:bCs/>
          <w:color w:val="auto"/>
          <w:spacing w:val="0"/>
          <w:sz w:val="32"/>
          <w:szCs w:val="32"/>
          <w:highlight w:val="none"/>
          <w:shd w:val="clear" w:color="auto" w:fill="auto"/>
          <w:lang w:val="en-US" w:eastAsia="zh-CN"/>
        </w:rPr>
        <w:t>坚持抓治理、保稳定，全力维护社会安全稳定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着力提升治理水平。</w:t>
      </w: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从创新治理新方式上发力，展现平安建设新作为。强化社会治安整体防控，依法严厉打击电信网络诈骗、跨境赌博、侵害妇女儿童权益和黄赌毒、盗抢骗等突出违法犯罪。</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b w:val="0"/>
          <w:bCs/>
          <w:spacing w:val="0"/>
          <w:sz w:val="32"/>
          <w:szCs w:val="32"/>
          <w:highlight w:val="none"/>
          <w:shd w:val="clear" w:color="auto" w:fill="FFFFFF"/>
          <w:lang w:eastAsia="zh-CN"/>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全力化解矛盾纠纷。</w:t>
      </w: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持续不断深化</w:t>
      </w:r>
      <w:r>
        <w:rPr>
          <w:rFonts w:hint="eastAsia" w:ascii="仿宋_GB2312" w:hAnsi="仿宋_GB2312" w:eastAsia="仿宋_GB2312" w:cs="仿宋_GB2312"/>
          <w:b w:val="0"/>
          <w:bCs/>
          <w:spacing w:val="0"/>
          <w:sz w:val="32"/>
          <w:szCs w:val="32"/>
          <w:highlight w:val="none"/>
          <w:shd w:val="clear" w:color="auto" w:fill="FFFFFF"/>
        </w:rPr>
        <w:t>网格化服务管理</w:t>
      </w:r>
      <w:r>
        <w:rPr>
          <w:rFonts w:hint="eastAsia" w:ascii="仿宋_GB2312" w:hAnsi="仿宋_GB2312" w:eastAsia="仿宋_GB2312" w:cs="仿宋_GB2312"/>
          <w:b w:val="0"/>
          <w:bCs/>
          <w:spacing w:val="0"/>
          <w:sz w:val="32"/>
          <w:szCs w:val="32"/>
          <w:highlight w:val="none"/>
          <w:shd w:val="clear" w:color="auto" w:fill="FFFFFF"/>
          <w:lang w:eastAsia="zh-CN"/>
        </w:rPr>
        <w:t>和</w:t>
      </w:r>
      <w:r>
        <w:rPr>
          <w:rFonts w:hint="eastAsia" w:ascii="仿宋_GB2312" w:hAnsi="仿宋_GB2312" w:eastAsia="仿宋_GB2312" w:cs="仿宋_GB2312"/>
          <w:b w:val="0"/>
          <w:bCs/>
          <w:spacing w:val="0"/>
          <w:sz w:val="32"/>
          <w:szCs w:val="32"/>
          <w:highlight w:val="none"/>
          <w:shd w:val="clear" w:color="auto" w:fill="FFFFFF"/>
        </w:rPr>
        <w:t>“摸、排、劝、调、引”五步</w:t>
      </w:r>
      <w:r>
        <w:rPr>
          <w:rFonts w:hint="eastAsia" w:ascii="仿宋_GB2312" w:hAnsi="仿宋_GB2312" w:eastAsia="仿宋_GB2312" w:cs="仿宋_GB2312"/>
          <w:b w:val="0"/>
          <w:bCs/>
          <w:spacing w:val="0"/>
          <w:sz w:val="32"/>
          <w:szCs w:val="32"/>
          <w:highlight w:val="none"/>
          <w:shd w:val="clear" w:color="auto" w:fill="FFFFFF"/>
          <w:lang w:eastAsia="zh-CN"/>
        </w:rPr>
        <w:t>工作</w:t>
      </w:r>
      <w:r>
        <w:rPr>
          <w:rFonts w:hint="eastAsia" w:ascii="仿宋_GB2312" w:hAnsi="仿宋_GB2312" w:eastAsia="仿宋_GB2312" w:cs="仿宋_GB2312"/>
          <w:b w:val="0"/>
          <w:bCs/>
          <w:spacing w:val="0"/>
          <w:sz w:val="32"/>
          <w:szCs w:val="32"/>
          <w:highlight w:val="none"/>
          <w:shd w:val="clear" w:color="auto" w:fill="FFFFFF"/>
        </w:rPr>
        <w:t>法</w:t>
      </w:r>
      <w:r>
        <w:rPr>
          <w:rFonts w:hint="eastAsia" w:ascii="仿宋_GB2312" w:hAnsi="仿宋_GB2312" w:eastAsia="仿宋_GB2312" w:cs="仿宋_GB2312"/>
          <w:b w:val="0"/>
          <w:bCs/>
          <w:spacing w:val="0"/>
          <w:sz w:val="32"/>
          <w:szCs w:val="32"/>
          <w:highlight w:val="none"/>
          <w:shd w:val="clear" w:color="auto" w:fill="FFFFFF"/>
          <w:lang w:val="en-US" w:eastAsia="zh-CN"/>
        </w:rPr>
        <w:t>内容</w:t>
      </w:r>
      <w:r>
        <w:rPr>
          <w:rFonts w:hint="eastAsia" w:ascii="仿宋_GB2312" w:hAnsi="仿宋_GB2312" w:eastAsia="仿宋_GB2312" w:cs="仿宋_GB2312"/>
          <w:b w:val="0"/>
          <w:bCs/>
          <w:spacing w:val="0"/>
          <w:sz w:val="32"/>
          <w:szCs w:val="32"/>
          <w:highlight w:val="none"/>
          <w:shd w:val="clear" w:color="auto" w:fill="FFFFFF"/>
          <w:lang w:eastAsia="zh-CN"/>
        </w:rPr>
        <w:t>，</w:t>
      </w:r>
      <w:r>
        <w:rPr>
          <w:rFonts w:hint="eastAsia" w:ascii="仿宋_GB2312" w:hAnsi="仿宋_GB2312" w:eastAsia="仿宋_GB2312" w:cs="仿宋_GB2312"/>
          <w:b w:val="0"/>
          <w:bCs/>
          <w:spacing w:val="0"/>
          <w:sz w:val="32"/>
          <w:szCs w:val="32"/>
          <w:highlight w:val="none"/>
          <w:shd w:val="clear" w:color="auto" w:fill="FFFFFF"/>
        </w:rPr>
        <w:t>落实领导干部接访包案制度，充分发挥网格员力量，</w:t>
      </w:r>
      <w:r>
        <w:rPr>
          <w:rFonts w:hint="eastAsia" w:ascii="仿宋_GB2312" w:hAnsi="仿宋_GB2312" w:eastAsia="仿宋_GB2312" w:cs="仿宋_GB2312"/>
          <w:b w:val="0"/>
          <w:bCs/>
          <w:spacing w:val="0"/>
          <w:sz w:val="32"/>
          <w:szCs w:val="32"/>
          <w:highlight w:val="none"/>
          <w:shd w:val="clear" w:color="auto" w:fill="FFFFFF"/>
          <w:lang w:val="en-US" w:eastAsia="zh-CN"/>
        </w:rPr>
        <w:t>定期</w:t>
      </w:r>
      <w:r>
        <w:rPr>
          <w:rFonts w:hint="eastAsia" w:ascii="仿宋_GB2312" w:hAnsi="仿宋_GB2312" w:eastAsia="仿宋_GB2312" w:cs="仿宋_GB2312"/>
          <w:b w:val="0"/>
          <w:bCs/>
          <w:spacing w:val="0"/>
          <w:sz w:val="32"/>
          <w:szCs w:val="32"/>
          <w:highlight w:val="none"/>
          <w:shd w:val="clear" w:color="auto" w:fill="FFFFFF"/>
        </w:rPr>
        <w:t>开展矛盾纠纷大排查大化解工作</w:t>
      </w:r>
      <w:r>
        <w:rPr>
          <w:rFonts w:hint="eastAsia" w:ascii="仿宋_GB2312" w:hAnsi="仿宋_GB2312" w:eastAsia="仿宋_GB2312" w:cs="仿宋_GB2312"/>
          <w:b w:val="0"/>
          <w:bCs/>
          <w:spacing w:val="0"/>
          <w:sz w:val="32"/>
          <w:szCs w:val="32"/>
          <w:highlight w:val="none"/>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color w:val="auto"/>
          <w:spacing w:val="0"/>
          <w:sz w:val="32"/>
          <w:szCs w:val="32"/>
          <w:highlight w:val="none"/>
          <w:shd w:val="clear" w:color="auto" w:fill="auto"/>
          <w:lang w:val="en-US" w:eastAsia="zh-CN"/>
        </w:rPr>
        <w:t>抓实抓细安全生产</w:t>
      </w:r>
      <w:r>
        <w:rPr>
          <w:rFonts w:hint="eastAsia" w:ascii="仿宋_GB2312" w:hAnsi="仿宋_GB2312" w:eastAsia="仿宋_GB2312" w:cs="仿宋_GB2312"/>
          <w:b w:val="0"/>
          <w:bCs/>
          <w:color w:val="auto"/>
          <w:spacing w:val="0"/>
          <w:kern w:val="2"/>
          <w:sz w:val="32"/>
          <w:szCs w:val="32"/>
          <w:highlight w:val="none"/>
          <w:shd w:val="clear" w:color="auto" w:fill="auto"/>
          <w:lang w:val="en-US" w:eastAsia="zh-CN" w:bidi="ar-SA"/>
        </w:rPr>
        <w:t>。严格落实安全生产责任制，紧盯道路交通、建筑施工、森林防灭火、城镇燃气、学校医院、城乡消防、烟花爆竹、危险化学品等重点行业领域，常态化做好安全生产检查及隐患排查整改，坚决防范和遏制重特大安全生产事故发生。</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二、部门预算单位构成</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Times New Roman" w:eastAsia="仿宋_GB2312" w:cs="仿宋_GB2312"/>
          <w:i w:val="0"/>
          <w:caps w:val="0"/>
          <w:color w:val="333333"/>
          <w:spacing w:val="0"/>
          <w:kern w:val="0"/>
          <w:sz w:val="32"/>
          <w:szCs w:val="32"/>
          <w:shd w:val="clear" w:color="auto" w:fill="FFFFFF"/>
          <w:lang w:val="en-US" w:eastAsia="zh-CN" w:bidi="ar"/>
        </w:rPr>
        <w:t>虎跳镇人民政府属一级预算单位，无下属二级预算单位。</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三、收支预算情况说明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按照综合预算的原则，虎跳镇人民政府所有收入和支出均纳入部门预算管理。收入包括：一般公共预算拨款收入；支出包括：一般公共服务支出、社会保障和就业支出、卫生健康支出、城乡社区支出、农林水支出、住房保障支出。虎跳镇人民政府2025年收支预算总数1721.86万元,比2024年收支预算总数增加54.21万元，主要原因是</w:t>
      </w:r>
      <w:r>
        <w:rPr>
          <w:rFonts w:hint="eastAsia" w:ascii="仿宋_GB2312" w:hAnsi="仿宋_GB2312" w:eastAsia="仿宋_GB2312" w:cs="仿宋_GB2312"/>
          <w:color w:val="auto"/>
          <w:sz w:val="32"/>
          <w:szCs w:val="32"/>
          <w:highlight w:val="none"/>
          <w:lang w:eastAsia="zh-CN"/>
        </w:rPr>
        <w:t>基层组织活动和公共服务运行经费支出增加。</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val="0"/>
          <w:bCs w:val="0"/>
          <w:sz w:val="32"/>
          <w:szCs w:val="32"/>
          <w:lang w:val="en-US" w:eastAsia="zh-CN"/>
        </w:rPr>
        <w:t>收入预算情况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虎跳镇人民政府2025年收入预算1721.86万元，其中：一般公共预算拨款收入1721.86万元，占100%；</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w:t>
      </w:r>
      <w:r>
        <w:rPr>
          <w:rFonts w:hint="eastAsia" w:ascii="楷体_GB2312" w:hAnsi="楷体_GB2312" w:eastAsia="楷体_GB2312" w:cs="楷体_GB2312"/>
          <w:b w:val="0"/>
          <w:bCs w:val="0"/>
          <w:sz w:val="32"/>
          <w:szCs w:val="32"/>
          <w:lang w:val="en-US" w:eastAsia="zh-CN"/>
        </w:rPr>
        <w:t>支出预算情况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虎跳镇人民政府2025年支出预算1721.86万元，其中：基本支出1435.15万元，占83.35%；项目支出286.70万元，占16.65%</w:t>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四、财政拨款收支预算情况说明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虎跳镇人民政府2025年财政拨款收支预算总数1721.86万元,比2024年财政拨款收支预算总数增加54.21万元，主要原因是</w:t>
      </w:r>
      <w:r>
        <w:rPr>
          <w:rFonts w:hint="eastAsia" w:ascii="仿宋_GB2312" w:hAnsi="仿宋_GB2312" w:eastAsia="仿宋_GB2312" w:cs="仿宋_GB2312"/>
          <w:color w:val="auto"/>
          <w:sz w:val="32"/>
          <w:szCs w:val="32"/>
          <w:highlight w:val="none"/>
          <w:lang w:eastAsia="zh-CN"/>
        </w:rPr>
        <w:t>基层组织活动和公共服务运行经费支出增加。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1721.86万元；支出包括：一般公共服务支出579.35万元、社会保障和就业支出180.91万元、卫生健康支出34.87万元、城乡社区支出9万元、农林水支出846.77万元、住房保障支出70.96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五、一般公共预算当年拨款情况说明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（一）一般公共预算当年拨款规模变化情况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虎跳镇人民政府2025年一般公共预算当年拨款1721.86万元，比2024年预算数增加54.21万元，主要原因是</w:t>
      </w:r>
      <w:r>
        <w:rPr>
          <w:rFonts w:hint="eastAsia" w:ascii="仿宋_GB2312" w:hAnsi="仿宋_GB2312" w:eastAsia="仿宋_GB2312" w:cs="仿宋_GB2312"/>
          <w:color w:val="auto"/>
          <w:sz w:val="32"/>
          <w:szCs w:val="32"/>
          <w:highlight w:val="none"/>
          <w:lang w:eastAsia="zh-CN"/>
        </w:rPr>
        <w:t>基层组织活动和公共服务运行经费支出增加</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（二）一般公共预算当年拨款结构情况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一般公共服务支出579.35万元，占33.65%；社会保障和就业支出180.91万元，占10.51%；卫生健康支出34.87万元，占2.02%；城乡社区支出9万元，占0.52%；农林水支出846.77万元，占49.18%；住房保障支出70.96万元，占4.12%。</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（三）一般公共预算当年拨款具体使用情况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1.一般公共服务（类）人大事务（款）代表工作（项）2025年预算数为1.77万元，主要用于：人大代表开展各类视察等方面的支出。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2.一般公共服务（类）人大事务（款）其他人大事务支出（项）2025年预算数为8万元，主要用于：开展人大事务管理工作的日常支出及其他人大事务支出。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3.一般公共服务（类）政府办公厅（室）及相关机构事务（款）行政运行（项）2025年预算数为496.98万元，主要用于：行政单位的基本支出，保障机构正常运行、开展日常工作的开展。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4.一般公共服务（类）政府办公厅（室）及相关机构事务（款）事业运行（项）2025年预算数为72.60万元，主要用于：事业单位的基本支出，保障机构正常运行、开展日常工作的开展。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5.社会保障和就业（类）行政事业单位养老支出（款）行政单位离退休（项）2025年预算数为84万元，主要用于：机关及参公管理事业单位离退休人员经费支出。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6.社会保障和就业（类）行政事业单位养老支出（款）机关事业单位基本养老保险缴费支出（项）2025年预算数为94.61万元，主要用于：实施养老保险制度后，部门按规定由单位缴纳的基本养老保险费的支出。</w:t>
      </w:r>
    </w:p>
    <w:p>
      <w:pPr>
        <w:pStyle w:val="2"/>
        <w:keepNext w:val="0"/>
        <w:keepLines w:val="0"/>
        <w:pageBreakBefore w:val="0"/>
        <w:widowControl w:val="0"/>
        <w:kinsoku/>
        <w:wordWrap/>
        <w:overflowPunct/>
        <w:topLinePunct w:val="0"/>
        <w:autoSpaceDE w:val="0"/>
        <w:autoSpaceDN w:val="0"/>
        <w:bidi w:val="0"/>
        <w:adjustRightInd w:val="0"/>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7.社会保障和就业（类）其他社会保障和就业支出（款）其他社会保障和就业支出（项）2025年预算数为2.30万元，主要用于：实施保险制度后，部门按规定由单位缴纳的工伤失业保险费用的支出。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8.卫生健康（类）行政事业单位医疗（款）行政单位医疗（项）2025年预算数为16.87万元，主要用于：单位按规定由单位缴纳的基本医疗保险支出。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9.卫生健康（类）行政事业单位医疗（款）事业单位医疗（项）2025年预算数为18万元，主要用于：单位按规定由单位缴纳的基本医疗保险支出。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10.城乡社区支出（类）城乡社区环境卫生（款）城乡社区环境卫生（项）2025年预算数为9万元，主要用于：道路清扫、垃圾清运与处理、公厕建设与维护、园林绿化等方面的支出。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11.农林水支出（类）农业农村（款）行政运行（项）2025年预算数为143.40万元，主要用于：基层组织建设和农村公共运行支出、农业园区管护及人员经费等支出。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12.农林水支出（类）农业农村（款）事业运行（项）2025年预算数为305.73万元，主要用于：农业事业单位基本支出，事业单位设施、系统运行与资产维护等方面的支出。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13.农林水支出（类）巩固脱贫攻坚成果衔接乡村振兴（款）其他巩固脱贫攻坚成果衔接乡村振兴支出（项）2025年预算数为30万元，主要用于：巩固拓展脱贫攻坚成果同乡村振兴有效衔接方面的支出。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14.农林水支出（类）农村综合改革（款）对村民委员会和村党支部的补助（项）2025年预算数为367.65万元，主要用于：对村民委员会和村党支部的补助支出。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15.住房保障（类）住房改革支出（款）住房公积金（项）2025年预算数为70.96万元，主要用于：部门按规定为职工缴纳的住房公积金支出。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六、一般公共预算基本支出情况说明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虎跳镇人民政府2025年一般公共预算基本支出1435.15万元，其中：</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人员经费1190.16万元，主要包括：基本工资、津贴补贴、奖金、绩效工资、社会保险缴费、离休费、住房公积金等支出。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公用经费244.99万元，主要包括：办公费、水费、电费、差旅费、公务接待费、工会经费、其他交通费用等支出。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七、“三公”经费财政拨款预算安排情况说明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虎跳镇人民政府2025年“三公”经费财政拨款预算数16万元，其中：公务接待费16万元，公务用车购置及运行维护费0万元，因公出国（境）经费0万元。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（一）公务接待费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公务接待费与2024年预算相比下降，主要原因是降低了行政运行成本，提高了政府工作效率。2025年公务接待费计划用于执行接待考察调研、检查指导等公务活动开支的交通费、住宿费、用餐费等。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（二）公务用车购置及运行维护费与2024年预算持平。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单位现有公务用车0辆，其中：轿车0辆，旅行车（含商务车）0辆，越野车0辆。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2025年安排公务用车运行维护费0万元，用于0辆公务用车燃油、过路（桥）、维修、保险等方面支出。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（三）因公出国（境）经费与2024年预算持平。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八、政府性基金预算支出情况说明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虎跳镇人民政府2025年无政府性基金预算拨款安排的支出。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九、国有资本经营预算支出情况说明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虎跳镇人民政府2025年无国有资本经营预算拨款安排的支出。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十、其他重要事项的情况说明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（一）机关运行经费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2025年，虎跳镇人民政府下属等0家0单位的机关运行经费财政拨款预算为0万元，比2024年预算增加（减少）0万元，上升（下降）0%。</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（二）政府采购情况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2025年，虎跳镇人民政府安排政府采购预算0万元。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（三）国有资产占有使用情况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截至2024年底，虎跳镇人民政府无车辆。无单位价值200万元以上大型设备。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lang w:val="en-US" w:eastAsia="zh-CN"/>
        </w:rPr>
        <w:t>（四）绩效目标设置情况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2025年虎跳镇人民政府开展绩效目标管理的项目14个，涉及预算531.69万元。其中：人员类项目3个，涉及预算 164.49万元；运转类项目9个，涉及预算193.80万元；特定目标类项目2个，涉及预算173.40万元。因部分项目内容涉密，不予公开。</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十一、名词解释</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（一）财政拨款收入</w:t>
      </w:r>
      <w:r>
        <w:rPr>
          <w:rFonts w:hint="eastAsia" w:ascii="仿宋_GB2312" w:hAnsi="仿宋_GB2312" w:eastAsia="仿宋_GB2312" w:cs="仿宋_GB2312"/>
          <w:sz w:val="32"/>
          <w:szCs w:val="32"/>
          <w:lang w:val="en-US" w:eastAsia="zh-CN"/>
        </w:rPr>
        <w:t>:指区</w:t>
      </w:r>
      <w:bookmarkStart w:id="0" w:name="_GoBack"/>
      <w:bookmarkEnd w:id="0"/>
      <w:r>
        <w:rPr>
          <w:rFonts w:hint="eastAsia" w:ascii="仿宋_GB2312" w:hAnsi="仿宋_GB2312" w:eastAsia="仿宋_GB2312" w:cs="仿宋_GB2312"/>
          <w:sz w:val="32"/>
          <w:szCs w:val="32"/>
          <w:lang w:val="en-US" w:eastAsia="zh-CN"/>
        </w:rPr>
        <w:t>财政当年安排的财政预算收入。按现行管理制度,部门预算中反映的财政拨款包括一般公共预算拨款和政府性基金预算拨款。</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（二）其他收入：</w:t>
      </w:r>
      <w:r>
        <w:rPr>
          <w:rFonts w:hint="eastAsia" w:ascii="仿宋_GB2312" w:hAnsi="仿宋_GB2312" w:eastAsia="仿宋_GB2312" w:cs="仿宋_GB2312"/>
          <w:sz w:val="32"/>
          <w:szCs w:val="32"/>
          <w:lang w:val="en-US" w:eastAsia="zh-CN"/>
        </w:rPr>
        <w:t>指除上述“一般公共预算拨款收入” “事业收入”等以外的收入。如银行存款利息收入、罚没收入等。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（三）上年结转：</w:t>
      </w:r>
      <w:r>
        <w:rPr>
          <w:rFonts w:hint="eastAsia" w:ascii="仿宋_GB2312" w:hAnsi="仿宋_GB2312" w:eastAsia="仿宋_GB2312" w:cs="仿宋_GB2312"/>
          <w:sz w:val="32"/>
          <w:szCs w:val="32"/>
          <w:lang w:val="en-US" w:eastAsia="zh-CN"/>
        </w:rPr>
        <w:t>指以前年度尚未完成，结转到本年仍按原规定用途继续使用的资金。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（四）一般公共服务（类）人大事务（款）代表工作（项）：</w:t>
      </w:r>
      <w:r>
        <w:rPr>
          <w:rFonts w:hint="eastAsia" w:ascii="仿宋_GB2312" w:hAnsi="仿宋_GB2312" w:eastAsia="仿宋_GB2312" w:cs="仿宋_GB2312"/>
          <w:sz w:val="32"/>
          <w:szCs w:val="32"/>
          <w:lang w:val="en-US" w:eastAsia="zh-CN"/>
        </w:rPr>
        <w:t>指用于人大代表开展各类视察等方面的支出。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（五）一般公共服务（类）人大事务（款）其他人大事务支出（项）：</w:t>
      </w:r>
      <w:r>
        <w:rPr>
          <w:rFonts w:hint="eastAsia" w:ascii="仿宋_GB2312" w:hAnsi="仿宋_GB2312" w:eastAsia="仿宋_GB2312" w:cs="仿宋_GB2312"/>
          <w:sz w:val="32"/>
          <w:szCs w:val="32"/>
          <w:lang w:val="en-US" w:eastAsia="zh-CN"/>
        </w:rPr>
        <w:t>指用于开展人大事务管理工作的日常支出及其他人大事务支出。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（六）一般公共服务（类）政府办公厅（室）及相关机构事务（款）行政运行（项）：</w:t>
      </w:r>
      <w:r>
        <w:rPr>
          <w:rFonts w:hint="eastAsia" w:ascii="仿宋_GB2312" w:hAnsi="仿宋_GB2312" w:eastAsia="仿宋_GB2312" w:cs="仿宋_GB2312"/>
          <w:sz w:val="32"/>
          <w:szCs w:val="32"/>
          <w:lang w:val="en-US" w:eastAsia="zh-CN"/>
        </w:rPr>
        <w:t>指用于行政单位的基本支出，保障机构正常运行、开展日常工作的开展。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（七）一般公共服务（类）政府办公厅（室）及相关机构事务（款）事业运行（项）：</w:t>
      </w:r>
      <w:r>
        <w:rPr>
          <w:rFonts w:hint="eastAsia" w:ascii="仿宋_GB2312" w:hAnsi="仿宋_GB2312" w:eastAsia="仿宋_GB2312" w:cs="仿宋_GB2312"/>
          <w:sz w:val="32"/>
          <w:szCs w:val="32"/>
          <w:lang w:val="en-US" w:eastAsia="zh-CN"/>
        </w:rPr>
        <w:t>指用于事业单位的基本支出，保障机构正常运行、开展日常工作的开展。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（八）社会保障和就业（类）行政事业单位养老支出（款）行政单位离退休（项）：</w:t>
      </w:r>
      <w:r>
        <w:rPr>
          <w:rFonts w:hint="eastAsia" w:ascii="仿宋_GB2312" w:hAnsi="仿宋_GB2312" w:eastAsia="仿宋_GB2312" w:cs="仿宋_GB2312"/>
          <w:sz w:val="32"/>
          <w:szCs w:val="32"/>
          <w:lang w:val="en-US" w:eastAsia="zh-CN"/>
        </w:rPr>
        <w:t>指用于机关及参公管理事业单位离退休人员经费支出。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（九）社会保障和就业（类）行政事业单位养老支出（款）机关事业单位基本养老保险缴费支出（项）：</w:t>
      </w:r>
      <w:r>
        <w:rPr>
          <w:rFonts w:hint="eastAsia" w:ascii="仿宋_GB2312" w:hAnsi="仿宋_GB2312" w:eastAsia="仿宋_GB2312" w:cs="仿宋_GB2312"/>
          <w:sz w:val="32"/>
          <w:szCs w:val="32"/>
          <w:lang w:val="en-US" w:eastAsia="zh-CN"/>
        </w:rPr>
        <w:t>指用于实施养老保险制度后，部门按规定由单位缴纳的基本养老保险费的支出。</w:t>
      </w:r>
    </w:p>
    <w:p>
      <w:pPr>
        <w:pStyle w:val="2"/>
        <w:keepNext w:val="0"/>
        <w:keepLines w:val="0"/>
        <w:pageBreakBefore w:val="0"/>
        <w:widowControl w:val="0"/>
        <w:kinsoku/>
        <w:wordWrap/>
        <w:overflowPunct/>
        <w:topLinePunct w:val="0"/>
        <w:autoSpaceDE w:val="0"/>
        <w:autoSpaceDN w:val="0"/>
        <w:bidi w:val="0"/>
        <w:adjustRightInd w:val="0"/>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（十）社会保障和就业（类）其他社会保障和就业支出（款）其他社会保障和就业支出（项）：</w:t>
      </w:r>
      <w:r>
        <w:rPr>
          <w:rFonts w:hint="eastAsia" w:ascii="仿宋_GB2312" w:hAnsi="仿宋_GB2312" w:eastAsia="仿宋_GB2312" w:cs="仿宋_GB2312"/>
          <w:sz w:val="32"/>
          <w:szCs w:val="32"/>
          <w:lang w:val="en-US" w:eastAsia="zh-CN"/>
        </w:rPr>
        <w:t>指用于实施保险制度后，部门按规定由单位缴纳的工伤失业保险费用的支出。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（十一）卫生健康（类）行政事业单位医疗（款）行政单位医疗（项）：</w:t>
      </w:r>
      <w:r>
        <w:rPr>
          <w:rFonts w:hint="eastAsia" w:ascii="仿宋_GB2312" w:hAnsi="仿宋_GB2312" w:eastAsia="仿宋_GB2312" w:cs="仿宋_GB2312"/>
          <w:sz w:val="32"/>
          <w:szCs w:val="32"/>
          <w:lang w:val="en-US" w:eastAsia="zh-CN"/>
        </w:rPr>
        <w:t>指用于单位按规定由单位缴纳的基本医疗保险支出。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（十二）卫生健康（类）行政事业单位医疗（款）事业单位医疗（项）：</w:t>
      </w:r>
      <w:r>
        <w:rPr>
          <w:rFonts w:hint="eastAsia" w:ascii="仿宋_GB2312" w:hAnsi="仿宋_GB2312" w:eastAsia="仿宋_GB2312" w:cs="仿宋_GB2312"/>
          <w:sz w:val="32"/>
          <w:szCs w:val="32"/>
          <w:lang w:val="en-US" w:eastAsia="zh-CN"/>
        </w:rPr>
        <w:t>指用于单位按规定由单位缴纳的基本医疗保险支出。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（十三）城乡社区支出（类）城乡社区环境卫生（款）城乡社区环境卫生（项）：</w:t>
      </w:r>
      <w:r>
        <w:rPr>
          <w:rFonts w:hint="eastAsia" w:ascii="仿宋_GB2312" w:hAnsi="仿宋_GB2312" w:eastAsia="仿宋_GB2312" w:cs="仿宋_GB2312"/>
          <w:sz w:val="32"/>
          <w:szCs w:val="32"/>
          <w:lang w:val="en-US" w:eastAsia="zh-CN"/>
        </w:rPr>
        <w:t>指用于：道路清扫、垃圾清运与处理、公厕建设与维护、园林绿化等方面的支出。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（十四）农林水支出（类）农业农村（款）行政运行（项）：</w:t>
      </w:r>
      <w:r>
        <w:rPr>
          <w:rFonts w:hint="eastAsia" w:ascii="仿宋_GB2312" w:hAnsi="仿宋_GB2312" w:eastAsia="仿宋_GB2312" w:cs="仿宋_GB2312"/>
          <w:sz w:val="32"/>
          <w:szCs w:val="32"/>
          <w:lang w:val="en-US" w:eastAsia="zh-CN"/>
        </w:rPr>
        <w:t>指用于基层组织建设和农村公共运行支出、农业园区管护及人员经费等支出。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（十五）农林水支出（类）农业农村（款）事业运行（项）：</w:t>
      </w:r>
      <w:r>
        <w:rPr>
          <w:rFonts w:hint="eastAsia" w:ascii="仿宋_GB2312" w:hAnsi="仿宋_GB2312" w:eastAsia="仿宋_GB2312" w:cs="仿宋_GB2312"/>
          <w:sz w:val="32"/>
          <w:szCs w:val="32"/>
          <w:lang w:val="en-US" w:eastAsia="zh-CN"/>
        </w:rPr>
        <w:t>指用于农业事业单位基本支出，事业单位设施、系统运行与资产维护等方面的支出。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（十六）农林水支出（类）巩固脱贫攻坚成果衔接乡村振兴（款）其他巩固脱贫攻坚成果衔接乡村振兴支出（项）：</w:t>
      </w:r>
      <w:r>
        <w:rPr>
          <w:rFonts w:hint="eastAsia" w:ascii="仿宋_GB2312" w:hAnsi="仿宋_GB2312" w:eastAsia="仿宋_GB2312" w:cs="仿宋_GB2312"/>
          <w:sz w:val="32"/>
          <w:szCs w:val="32"/>
          <w:lang w:val="en-US" w:eastAsia="zh-CN"/>
        </w:rPr>
        <w:t>指用于巩固拓展脱贫攻坚成果同乡村振兴有效衔接方面的支出。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（十七）农林水支出（类）农村综合改革（款）对村民委员会和村党支部的补助（项）：</w:t>
      </w:r>
      <w:r>
        <w:rPr>
          <w:rFonts w:hint="eastAsia" w:ascii="仿宋_GB2312" w:hAnsi="仿宋_GB2312" w:eastAsia="仿宋_GB2312" w:cs="仿宋_GB2312"/>
          <w:sz w:val="32"/>
          <w:szCs w:val="32"/>
          <w:lang w:val="en-US" w:eastAsia="zh-CN"/>
        </w:rPr>
        <w:t>指用于对村民委员会和村党支部的补助支出。以及建立县级基本财力保障机制安排的村级组织运转奖补资金。</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（十八）住房保障（类）住房改革支出（款）住房公积金（项）：</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（十九）基本支出：</w:t>
      </w:r>
      <w:r>
        <w:rPr>
          <w:rFonts w:hint="eastAsia" w:ascii="仿宋_GB2312" w:hAnsi="仿宋_GB2312" w:eastAsia="仿宋_GB2312" w:cs="仿宋_GB2312"/>
          <w:sz w:val="32"/>
          <w:szCs w:val="32"/>
          <w:lang w:val="en-US" w:eastAsia="zh-CN"/>
        </w:rPr>
        <w:t>指为保证机构正常运转，完成日常工作任务而发生的人员支出和公用支出。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（二十）项目支出：</w:t>
      </w:r>
      <w:r>
        <w:rPr>
          <w:rFonts w:hint="eastAsia" w:ascii="仿宋_GB2312" w:hAnsi="仿宋_GB2312" w:eastAsia="仿宋_GB2312" w:cs="仿宋_GB2312"/>
          <w:sz w:val="32"/>
          <w:szCs w:val="32"/>
          <w:lang w:val="en-US" w:eastAsia="zh-CN"/>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（二十一）“三公”经费：</w:t>
      </w:r>
      <w:r>
        <w:rPr>
          <w:rFonts w:hint="eastAsia" w:ascii="仿宋_GB2312" w:hAnsi="仿宋_GB2312" w:eastAsia="仿宋_GB2312" w:cs="仿宋_GB2312"/>
          <w:sz w:val="32"/>
          <w:szCs w:val="32"/>
          <w:lang w:val="en-US" w:eastAsia="zh-CN"/>
        </w:rPr>
        <w:t>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（二十二）机关运行经费：</w:t>
      </w:r>
      <w:r>
        <w:rPr>
          <w:rFonts w:hint="eastAsia" w:ascii="仿宋_GB2312" w:hAnsi="仿宋_GB2312" w:eastAsia="仿宋_GB2312" w:cs="仿宋_GB2312"/>
          <w:sz w:val="32"/>
          <w:szCs w:val="32"/>
          <w:lang w:val="en-US" w:eastAsia="zh-CN"/>
        </w:rPr>
        <w:t>为保障行政单位（包括参照公务员法管理的事业单位）运行用于购买货物和服务的各项资金，包括办公及印刷费、邮电费、差旅费、会议费、培训费、福利费、日常维修费、专用材料及一般设备购置费、办公用房水电费、办公用房取暖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附件：1.部门预算公开表</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2.项目支出绩效目标表</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3.部门整体支出绩效目标表</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p>
    <w:sectPr>
      <w:footerReference r:id="rId3" w:type="default"/>
      <w:pgSz w:w="11906" w:h="16838"/>
      <w:pgMar w:top="2098" w:right="1474" w:bottom="1984" w:left="1587" w:header="720" w:footer="1559"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Liberation Sans">
    <w:altName w:val="Vijaya"/>
    <w:panose1 w:val="020B0604020202020204"/>
    <w:charset w:val="00"/>
    <w:family w:val="swiss"/>
    <w:pitch w:val="default"/>
    <w:sig w:usb0="00000000" w:usb1="00000000" w:usb2="00000000" w:usb3="00000000" w:csb0="6000009F" w:csb1="DFD7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Vijaya">
    <w:panose1 w:val="020B0604020202020204"/>
    <w:charset w:val="00"/>
    <w:family w:val="auto"/>
    <w:pitch w:val="default"/>
    <w:sig w:usb0="001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wNzQ3MGM5ZWEzZWFjNzU4ZWRiMTY4NTQ3NjY0NjUifQ=="/>
    <w:docVar w:name="KSO_WPS_MARK_KEY" w:val="491248f1-6cfe-44d1-9ef0-d6c790faf08c"/>
  </w:docVars>
  <w:rsids>
    <w:rsidRoot w:val="00000000"/>
    <w:rsid w:val="012352D1"/>
    <w:rsid w:val="065E1A3B"/>
    <w:rsid w:val="07941252"/>
    <w:rsid w:val="0CE9556E"/>
    <w:rsid w:val="0F2F360E"/>
    <w:rsid w:val="13051121"/>
    <w:rsid w:val="143F0797"/>
    <w:rsid w:val="14461BE1"/>
    <w:rsid w:val="173914CE"/>
    <w:rsid w:val="17EA2ECC"/>
    <w:rsid w:val="1A22199E"/>
    <w:rsid w:val="1C1A370D"/>
    <w:rsid w:val="1D951428"/>
    <w:rsid w:val="1EA779EE"/>
    <w:rsid w:val="1EC41FC5"/>
    <w:rsid w:val="1F4629DA"/>
    <w:rsid w:val="1F7BF06F"/>
    <w:rsid w:val="1FA85442"/>
    <w:rsid w:val="1FEE4B73"/>
    <w:rsid w:val="23CE9849"/>
    <w:rsid w:val="24A85EE5"/>
    <w:rsid w:val="24E605DA"/>
    <w:rsid w:val="26667E05"/>
    <w:rsid w:val="26797B39"/>
    <w:rsid w:val="26E72CF4"/>
    <w:rsid w:val="277B168E"/>
    <w:rsid w:val="27D22CD1"/>
    <w:rsid w:val="293366CF"/>
    <w:rsid w:val="298F7172"/>
    <w:rsid w:val="2A48639C"/>
    <w:rsid w:val="2AC05D36"/>
    <w:rsid w:val="2C124CA8"/>
    <w:rsid w:val="2C1A1476"/>
    <w:rsid w:val="2D427DBF"/>
    <w:rsid w:val="2D981F22"/>
    <w:rsid w:val="30420F9B"/>
    <w:rsid w:val="31EB4A5A"/>
    <w:rsid w:val="330864CC"/>
    <w:rsid w:val="336B0809"/>
    <w:rsid w:val="357A4D33"/>
    <w:rsid w:val="36BF5FC9"/>
    <w:rsid w:val="379453FA"/>
    <w:rsid w:val="39F304DD"/>
    <w:rsid w:val="3A4D6EBA"/>
    <w:rsid w:val="3C4147FD"/>
    <w:rsid w:val="3CC44735"/>
    <w:rsid w:val="3D931088"/>
    <w:rsid w:val="452334D3"/>
    <w:rsid w:val="4ABF34BD"/>
    <w:rsid w:val="4AE44CD1"/>
    <w:rsid w:val="4AEC555F"/>
    <w:rsid w:val="4BA32DDE"/>
    <w:rsid w:val="51FF6894"/>
    <w:rsid w:val="529532F4"/>
    <w:rsid w:val="52C74B96"/>
    <w:rsid w:val="54244390"/>
    <w:rsid w:val="54662A63"/>
    <w:rsid w:val="54BC281B"/>
    <w:rsid w:val="574130AF"/>
    <w:rsid w:val="58064E12"/>
    <w:rsid w:val="58D86743"/>
    <w:rsid w:val="59484FC5"/>
    <w:rsid w:val="5AD14B46"/>
    <w:rsid w:val="5B904CC4"/>
    <w:rsid w:val="5BFEE015"/>
    <w:rsid w:val="5CE03369"/>
    <w:rsid w:val="5F501716"/>
    <w:rsid w:val="5FBE3DAA"/>
    <w:rsid w:val="602F2A3B"/>
    <w:rsid w:val="604069F6"/>
    <w:rsid w:val="637D1D3F"/>
    <w:rsid w:val="63EDCF55"/>
    <w:rsid w:val="63FBFBCF"/>
    <w:rsid w:val="64FD3107"/>
    <w:rsid w:val="669360FD"/>
    <w:rsid w:val="688078CF"/>
    <w:rsid w:val="68AC3556"/>
    <w:rsid w:val="68FF6A83"/>
    <w:rsid w:val="6A380FA5"/>
    <w:rsid w:val="6FBBC9CF"/>
    <w:rsid w:val="716A51C6"/>
    <w:rsid w:val="72BC07D7"/>
    <w:rsid w:val="72BDE561"/>
    <w:rsid w:val="763C5112"/>
    <w:rsid w:val="76F978E5"/>
    <w:rsid w:val="78462278"/>
    <w:rsid w:val="7997EA6C"/>
    <w:rsid w:val="7AEAE675"/>
    <w:rsid w:val="7B615D46"/>
    <w:rsid w:val="7BA9149B"/>
    <w:rsid w:val="7BAFCE5D"/>
    <w:rsid w:val="7C523723"/>
    <w:rsid w:val="7CF34E66"/>
    <w:rsid w:val="7D46598C"/>
    <w:rsid w:val="7D6A4C5A"/>
    <w:rsid w:val="7DFB240B"/>
    <w:rsid w:val="7E0935ED"/>
    <w:rsid w:val="7FCF2AF7"/>
    <w:rsid w:val="9FEF033D"/>
    <w:rsid w:val="A27FF1E5"/>
    <w:rsid w:val="AFDEB5A7"/>
    <w:rsid w:val="AFEA7FBF"/>
    <w:rsid w:val="B83F4767"/>
    <w:rsid w:val="BF930F07"/>
    <w:rsid w:val="BFCE8436"/>
    <w:rsid w:val="C3F7EB7A"/>
    <w:rsid w:val="CFF5FEEC"/>
    <w:rsid w:val="D3DD9064"/>
    <w:rsid w:val="D6F76A0C"/>
    <w:rsid w:val="D7ECE8D2"/>
    <w:rsid w:val="DFDD4FB5"/>
    <w:rsid w:val="E7F748B5"/>
    <w:rsid w:val="EE5F3713"/>
    <w:rsid w:val="EFC9D62C"/>
    <w:rsid w:val="F6BE9755"/>
    <w:rsid w:val="F6FFA89B"/>
    <w:rsid w:val="FAE4EFE1"/>
    <w:rsid w:val="FB9B6F12"/>
    <w:rsid w:val="FBB66A4A"/>
    <w:rsid w:val="FDEE6989"/>
    <w:rsid w:val="FF5E7DB8"/>
    <w:rsid w:val="FF77E367"/>
    <w:rsid w:val="FFD576EB"/>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2">
    <w:name w:val="Default Paragraph Font"/>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customStyle="1" w:styleId="2">
    <w:name w:val="Default"/>
    <w:basedOn w:val="1"/>
    <w:qFormat/>
    <w:uiPriority w:val="0"/>
    <w:pPr>
      <w:autoSpaceDE w:val="0"/>
      <w:autoSpaceDN w:val="0"/>
      <w:adjustRightInd w:val="0"/>
      <w:jc w:val="left"/>
    </w:pPr>
    <w:rPr>
      <w:rFonts w:ascii="Calibri" w:hAnsi="Calibri" w:eastAsia="宋体" w:cs="宋体"/>
      <w:color w:val="000000"/>
      <w:kern w:val="0"/>
      <w:sz w:val="24"/>
    </w:rPr>
  </w:style>
  <w:style w:type="paragraph" w:styleId="3">
    <w:name w:val="caption"/>
    <w:basedOn w:val="1"/>
    <w:next w:val="1"/>
    <w:qFormat/>
    <w:uiPriority w:val="0"/>
    <w:pPr>
      <w:widowControl w:val="0"/>
      <w:suppressLineNumbers/>
      <w:suppressAutoHyphens/>
      <w:spacing w:before="120" w:after="120"/>
    </w:pPr>
    <w:rPr>
      <w:i/>
      <w:iCs/>
      <w:sz w:val="24"/>
      <w:szCs w:val="24"/>
    </w:rPr>
  </w:style>
  <w:style w:type="paragraph" w:styleId="4">
    <w:name w:val="Body Text"/>
    <w:basedOn w:val="1"/>
    <w:qFormat/>
    <w:uiPriority w:val="0"/>
    <w:pPr>
      <w:spacing w:before="0" w:after="140" w:line="276" w:lineRule="auto"/>
    </w:pPr>
  </w:style>
  <w:style w:type="paragraph" w:styleId="5">
    <w:name w:val="Body Text Indent"/>
    <w:basedOn w:val="1"/>
    <w:next w:val="6"/>
    <w:qFormat/>
    <w:uiPriority w:val="0"/>
    <w:pPr>
      <w:spacing w:line="600" w:lineRule="exact"/>
      <w:ind w:firstLine="640" w:firstLineChars="200"/>
    </w:pPr>
    <w:rPr>
      <w:rFonts w:ascii="仿宋_GB2312" w:hAnsi="仿宋_GB2312" w:eastAsia="仿宋_GB2312"/>
      <w:sz w:val="32"/>
    </w:rPr>
  </w:style>
  <w:style w:type="paragraph" w:styleId="6">
    <w:name w:val="Body Text First Indent 2"/>
    <w:basedOn w:val="5"/>
    <w:next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List"/>
    <w:basedOn w:val="4"/>
    <w:qFormat/>
    <w:uiPriority w:val="0"/>
  </w:style>
  <w:style w:type="paragraph" w:styleId="10">
    <w:name w:val="Normal (Web)"/>
    <w:basedOn w:val="1"/>
    <w:qFormat/>
    <w:uiPriority w:val="0"/>
    <w:rPr>
      <w:sz w:val="24"/>
    </w:rPr>
  </w:style>
  <w:style w:type="character" w:styleId="13">
    <w:name w:val="Strong"/>
    <w:basedOn w:val="12"/>
    <w:qFormat/>
    <w:uiPriority w:val="22"/>
    <w:rPr>
      <w:b/>
    </w:rPr>
  </w:style>
  <w:style w:type="character" w:customStyle="1" w:styleId="14">
    <w:name w:val="默认段落字体1"/>
    <w:qFormat/>
    <w:uiPriority w:val="0"/>
  </w:style>
  <w:style w:type="paragraph" w:customStyle="1" w:styleId="15">
    <w:name w:val="Heading"/>
    <w:basedOn w:val="1"/>
    <w:next w:val="4"/>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6">
    <w:name w:val="Index"/>
    <w:basedOn w:val="1"/>
    <w:qFormat/>
    <w:uiPriority w:val="0"/>
    <w:pPr>
      <w:widowControl w:val="0"/>
      <w:suppressLineNumbers/>
      <w:suppressAutoHyphens/>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17</Pages>
  <Words>7290</Words>
  <Characters>8207</Characters>
  <TotalTime>39</TotalTime>
  <ScaleCrop>false</ScaleCrop>
  <LinksUpToDate>false</LinksUpToDate>
  <CharactersWithSpaces>8232</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2018-11-29T09:47:00Z</dcterms:created>
  <dc:creator>admin</dc:creator>
  <cp:lastModifiedBy>看见伱</cp:lastModifiedBy>
  <dcterms:modified xsi:type="dcterms:W3CDTF">2025-02-14T01:44:25Z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8A4F614E320D4F70B3978E18BE933810_13</vt:lpwstr>
  </property>
  <property fmtid="{D5CDD505-2E9C-101B-9397-08002B2CF9AE}" pid="4" name="KSOTemplateDocerSaveRecord">
    <vt:lpwstr>eyJoZGlkIjoiZWE4OTQyZjQ4NzZmMGE3MDEzZjNjNWVjYTlhNGE5NDgiLCJ1c2VySWQiOiI0NDMxNjMzMDkifQ==</vt:lpwstr>
  </property>
</Properties>
</file>