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78441"/>
      <w:bookmarkStart w:id="4" w:name="_Toc15396475"/>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598"/>
      <w:bookmarkStart w:id="8" w:name="_Toc15377194"/>
      <w:bookmarkStart w:id="9" w:name="_Toc15378442"/>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广元市朝阳乡</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ind w:firstLine="2200" w:firstLineChars="500"/>
        <w:jc w:val="both"/>
        <w:rPr>
          <w:rFonts w:hint="eastAsia" w:ascii="黑体" w:hAnsi="黑体" w:eastAsia="黑体"/>
          <w:b w:val="0"/>
        </w:rPr>
      </w:pPr>
    </w:p>
    <w:p>
      <w:pPr>
        <w:pStyle w:val="2"/>
        <w:ind w:firstLine="2200" w:firstLineChars="500"/>
        <w:jc w:val="both"/>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1.</w:t>
      </w:r>
      <w:r>
        <w:rPr>
          <w:rFonts w:hint="default" w:ascii="Times New Roman" w:hAnsi="Times New Roman" w:eastAsia="仿宋_GB2312" w:cs="Times New Roman"/>
          <w:sz w:val="32"/>
          <w:szCs w:val="32"/>
        </w:rPr>
        <w:t>制定和组织实施经济、科技和社会发展计划，制定资源开发技术改造和产业结构调整方案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组织指导好各业生产,搞好商品流通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协调好本</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与外地区的经济交流与合作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抓好招商引资，人才引进项目开发,不断培育市场体系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组织经济运行,促进经济发展。</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2.</w:t>
      </w:r>
      <w:r>
        <w:rPr>
          <w:rFonts w:hint="default" w:ascii="Times New Roman" w:hAnsi="Times New Roman" w:eastAsia="仿宋_GB2312" w:cs="Times New Roman"/>
          <w:sz w:val="32"/>
          <w:szCs w:val="32"/>
        </w:rPr>
        <w:t>制定并组织实施村</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建设规划，部署重点工程建设，地方道路建设及公共设施，水利设施的管理，负责土地、林木、水等自然资源和生态环境的保护，做好护林防火工作。</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3.</w:t>
      </w:r>
      <w:r>
        <w:rPr>
          <w:rFonts w:hint="default" w:ascii="Times New Roman" w:hAnsi="Times New Roman" w:eastAsia="仿宋_GB2312" w:cs="Times New Roman"/>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4.</w:t>
      </w:r>
      <w:r>
        <w:rPr>
          <w:rFonts w:hint="default" w:ascii="Times New Roman" w:hAnsi="Times New Roman" w:eastAsia="仿宋_GB2312" w:cs="Times New Roman"/>
          <w:sz w:val="32"/>
          <w:szCs w:val="32"/>
        </w:rPr>
        <w:t>按计划组织本级财政收入和地方税的征收，完成国家财政计划，不断培植税源，管好财政资金，增强财政实力。</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5.</w:t>
      </w:r>
      <w:r>
        <w:rPr>
          <w:rFonts w:hint="default" w:ascii="Times New Roman" w:hAnsi="Times New Roman" w:eastAsia="仿宋_GB2312" w:cs="Times New Roman"/>
          <w:sz w:val="32"/>
          <w:szCs w:val="32"/>
        </w:rPr>
        <w:t>抓好精神文明建设，丰富群众文化生活，提倡移风易俗，反对封建迷信，破除陈规陋习，树立社会主义新风尚。</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6.</w:t>
      </w:r>
      <w:r>
        <w:rPr>
          <w:rFonts w:hint="default" w:ascii="Times New Roman" w:hAnsi="Times New Roman" w:eastAsia="仿宋_GB2312" w:cs="Times New Roman"/>
          <w:sz w:val="32"/>
          <w:szCs w:val="32"/>
        </w:rPr>
        <w:t>执行本级人民代表大会的决议和上级国家行政机关的决定和命令，发布决定和命令。</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7.</w:t>
      </w:r>
      <w:r>
        <w:rPr>
          <w:rFonts w:hint="default" w:ascii="Times New Roman" w:hAnsi="Times New Roman" w:eastAsia="仿宋_GB2312" w:cs="Times New Roman"/>
          <w:sz w:val="32"/>
          <w:szCs w:val="32"/>
        </w:rPr>
        <w:t>执行本行政区域内的经济和社会发展计划、预算。管理本行政区域内的经济、教育、科学、文化、卫生、体育事业和财政、民政、计划生育等行政工作。</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8.</w:t>
      </w:r>
      <w:r>
        <w:rPr>
          <w:rFonts w:hint="default" w:ascii="Times New Roman" w:hAnsi="Times New Roman" w:eastAsia="仿宋_GB2312" w:cs="Times New Roman"/>
          <w:sz w:val="32"/>
          <w:szCs w:val="32"/>
        </w:rPr>
        <w:t>保护好社会主义全民所有的财产和劳动群众集体所有财产，保护公民私有的合法财产，维护社会秩序，保障公民的人身权利、民主权利和其他权利。</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9.</w:t>
      </w:r>
      <w:r>
        <w:rPr>
          <w:rFonts w:hint="default" w:ascii="Times New Roman" w:hAnsi="Times New Roman" w:eastAsia="仿宋_GB2312" w:cs="Times New Roman"/>
          <w:sz w:val="32"/>
          <w:szCs w:val="32"/>
        </w:rPr>
        <w:t>保障农村集体经济组织应有的自主权。</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保障少数民族的权利和尊重少数民族的风俗习惯。</w:t>
      </w:r>
    </w:p>
    <w:p>
      <w:pPr>
        <w:pStyle w:val="5"/>
        <w:adjustRightInd w:val="0"/>
        <w:snapToGrid w:val="0"/>
        <w:spacing w:before="93" w:line="600" w:lineRule="exact"/>
        <w:ind w:firstLine="640" w:firstLineChars="200"/>
        <w:jc w:val="both"/>
        <w:outlineLvl w:val="2"/>
        <w:rPr>
          <w:rFonts w:ascii="仿宋" w:hAnsi="仿宋" w:eastAsia="仿宋"/>
          <w:bCs/>
          <w:color w:val="000000"/>
          <w:sz w:val="32"/>
          <w:szCs w:val="32"/>
        </w:rPr>
      </w:pPr>
      <w:r>
        <w:rPr>
          <w:rFonts w:hint="eastAsia" w:ascii="Times New Roman" w:hAnsi="Times New Roman" w:cs="Times New Roman"/>
          <w:sz w:val="32"/>
          <w:szCs w:val="32"/>
          <w:lang w:val="en-US" w:eastAsia="zh-CN"/>
        </w:rPr>
        <w:t>11.</w:t>
      </w:r>
      <w:r>
        <w:rPr>
          <w:rFonts w:hint="default" w:ascii="Times New Roman" w:hAnsi="Times New Roman" w:eastAsia="仿宋_GB2312" w:cs="Times New Roman"/>
          <w:sz w:val="32"/>
          <w:szCs w:val="32"/>
        </w:rPr>
        <w:t>完成和办理上级人民政府交办的其他事项。</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cs="仿宋"/>
          <w:b w:val="0"/>
          <w:bCs w:val="0"/>
          <w:color w:val="000000"/>
          <w:sz w:val="32"/>
          <w:szCs w:val="32"/>
          <w:lang w:eastAsia="zh-CN"/>
        </w:rPr>
        <w:t>广元市昭化区朝阳乡严格按照预算法规定的各项预算收支完成了当年的各项预算收支任务。</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widowControl/>
        <w:ind w:firstLine="640" w:firstLineChars="200"/>
        <w:jc w:val="left"/>
        <w:rPr>
          <w:rFonts w:ascii="仿宋" w:hAnsi="仿宋" w:eastAsia="仿宋"/>
          <w:color w:val="000000"/>
          <w:kern w:val="0"/>
          <w:sz w:val="32"/>
          <w:szCs w:val="32"/>
        </w:rPr>
      </w:pPr>
      <w:r>
        <w:rPr>
          <w:rFonts w:hint="eastAsia" w:ascii="仿宋" w:hAnsi="仿宋" w:eastAsia="仿宋" w:cs="仿宋"/>
          <w:b w:val="0"/>
          <w:i w:val="0"/>
          <w:caps w:val="0"/>
          <w:color w:val="333333"/>
          <w:spacing w:val="0"/>
          <w:sz w:val="32"/>
          <w:szCs w:val="32"/>
          <w:shd w:val="clear" w:color="auto" w:fill="FFFFFF"/>
          <w:lang w:eastAsia="zh-CN"/>
        </w:rPr>
        <w:t>广元市昭化区朝阳乡</w:t>
      </w:r>
      <w:r>
        <w:rPr>
          <w:rFonts w:hint="eastAsia" w:ascii="仿宋" w:hAnsi="仿宋" w:eastAsia="仿宋" w:cs="仿宋"/>
          <w:b w:val="0"/>
          <w:i w:val="0"/>
          <w:caps w:val="0"/>
          <w:color w:val="333333"/>
          <w:spacing w:val="0"/>
          <w:sz w:val="32"/>
          <w:szCs w:val="32"/>
          <w:shd w:val="clear" w:color="auto" w:fill="FFFFFF"/>
        </w:rPr>
        <w:t>属于一级预算单位，政府单位机构数1个，其中行政单位1个，参照公务员法管理的事业单位0个，其他事业单位0个。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568.83</w:t>
      </w:r>
      <w:r>
        <w:rPr>
          <w:rFonts w:hint="eastAsia" w:ascii="仿宋" w:hAnsi="仿宋" w:eastAsia="仿宋"/>
          <w:color w:val="000000"/>
          <w:sz w:val="32"/>
          <w:szCs w:val="32"/>
        </w:rPr>
        <w:t>万元。与2018年相比，收、支总计减少</w:t>
      </w:r>
      <w:r>
        <w:rPr>
          <w:rFonts w:hint="eastAsia" w:ascii="仿宋" w:hAnsi="仿宋" w:eastAsia="仿宋"/>
          <w:color w:val="000000"/>
          <w:sz w:val="32"/>
          <w:szCs w:val="32"/>
          <w:lang w:val="en-US" w:eastAsia="zh-CN"/>
        </w:rPr>
        <w:t>9.59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568.83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568.83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568.83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561.5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98.7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7.33万</w:t>
      </w:r>
      <w:r>
        <w:rPr>
          <w:rFonts w:hint="eastAsia" w:ascii="仿宋" w:hAnsi="仿宋" w:eastAsia="仿宋"/>
          <w:color w:val="000000"/>
          <w:sz w:val="32"/>
          <w:szCs w:val="32"/>
        </w:rPr>
        <w:t>元，占</w:t>
      </w:r>
      <w:r>
        <w:rPr>
          <w:rFonts w:hint="eastAsia" w:ascii="仿宋" w:hAnsi="仿宋" w:eastAsia="仿宋"/>
          <w:color w:val="000000"/>
          <w:sz w:val="32"/>
          <w:szCs w:val="32"/>
          <w:lang w:val="en-US" w:eastAsia="zh-CN"/>
        </w:rPr>
        <w:t>1.3</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黑体" w:hAnsi="黑体" w:eastAsia="黑体"/>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568.83</w:t>
      </w:r>
      <w:r>
        <w:rPr>
          <w:rFonts w:hint="eastAsia" w:ascii="仿宋" w:hAnsi="仿宋" w:eastAsia="仿宋"/>
          <w:color w:val="000000"/>
          <w:sz w:val="32"/>
          <w:szCs w:val="32"/>
        </w:rPr>
        <w:t>万元。与2018年相比，收、支总计减少</w:t>
      </w:r>
      <w:r>
        <w:rPr>
          <w:rFonts w:hint="eastAsia" w:ascii="仿宋" w:hAnsi="仿宋" w:eastAsia="仿宋"/>
          <w:color w:val="000000"/>
          <w:sz w:val="32"/>
          <w:szCs w:val="32"/>
          <w:lang w:val="en-US" w:eastAsia="zh-CN"/>
        </w:rPr>
        <w:t>9.59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bookmarkStart w:id="32" w:name="_Toc15377209"/>
      <w:bookmarkStart w:id="33" w:name="_Toc15396607"/>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568.83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。与2018年相比，收、支总计减少</w:t>
      </w:r>
      <w:r>
        <w:rPr>
          <w:rFonts w:hint="eastAsia" w:ascii="仿宋" w:hAnsi="仿宋" w:eastAsia="仿宋"/>
          <w:color w:val="000000"/>
          <w:sz w:val="32"/>
          <w:szCs w:val="32"/>
          <w:lang w:val="en-US" w:eastAsia="zh-CN"/>
        </w:rPr>
        <w:t>9.59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568.83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239.53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42.1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公共安全支出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18.14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10.14</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cs="Times New Roman"/>
          <w:color w:val="000000" w:themeColor="text1"/>
          <w:sz w:val="32"/>
          <w:szCs w:val="32"/>
          <w:lang w:val="en-US" w:eastAsia="zh-CN"/>
          <w14:textFill>
            <w14:solidFill>
              <w14:schemeClr w14:val="tx1"/>
            </w14:solidFill>
          </w14:textFill>
        </w:rPr>
        <w:t>1.79%</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27.52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24.38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bCs/>
          <w:color w:val="000000" w:themeColor="text1"/>
          <w:sz w:val="32"/>
          <w:szCs w:val="32"/>
          <w:lang w:eastAsia="zh-CN"/>
          <w14:textFill>
            <w14:solidFill>
              <w14:schemeClr w14:val="tx1"/>
            </w14:solidFill>
          </w14:textFill>
        </w:rPr>
        <w:t>城乡社区（类）</w:t>
      </w:r>
      <w:r>
        <w:rPr>
          <w:rFonts w:hint="eastAsia" w:ascii="仿宋" w:hAnsi="仿宋" w:eastAsia="仿宋"/>
          <w:color w:val="000000" w:themeColor="text1"/>
          <w:sz w:val="32"/>
          <w:szCs w:val="32"/>
          <w:lang w:eastAsia="zh-CN"/>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11.27万元，占2%；</w:t>
      </w:r>
      <w:r>
        <w:rPr>
          <w:rFonts w:hint="eastAsia" w:ascii="仿宋" w:hAnsi="仿宋" w:eastAsia="仿宋" w:cs="Times New Roman"/>
          <w:b/>
          <w:bCs/>
          <w:color w:val="000000" w:themeColor="text1"/>
          <w:sz w:val="32"/>
          <w:szCs w:val="32"/>
          <w:lang w:val="en-US" w:eastAsia="zh-CN"/>
          <w14:textFill>
            <w14:solidFill>
              <w14:schemeClr w14:val="tx1"/>
            </w14:solidFill>
          </w14:textFill>
        </w:rPr>
        <w:t>农林水（类）</w:t>
      </w:r>
      <w:r>
        <w:rPr>
          <w:rFonts w:hint="eastAsia" w:ascii="仿宋" w:hAnsi="仿宋" w:eastAsia="仿宋"/>
          <w:color w:val="000000" w:themeColor="text1"/>
          <w:sz w:val="32"/>
          <w:szCs w:val="32"/>
          <w:lang w:val="en-US" w:eastAsia="zh-CN"/>
          <w14:textFill>
            <w14:solidFill>
              <w14:schemeClr w14:val="tx1"/>
            </w14:solidFill>
          </w14:textFill>
        </w:rPr>
        <w:t>支出219.48万元，占38.58%；</w:t>
      </w:r>
      <w:r>
        <w:rPr>
          <w:rFonts w:hint="eastAsia" w:ascii="仿宋" w:hAnsi="仿宋" w:eastAsia="仿宋" w:cs="Times New Roman"/>
          <w:b/>
          <w:bCs/>
          <w:color w:val="000000" w:themeColor="text1"/>
          <w:sz w:val="32"/>
          <w:szCs w:val="32"/>
          <w:lang w:val="en-US" w:eastAsia="zh-CN"/>
          <w14:textFill>
            <w14:solidFill>
              <w14:schemeClr w14:val="tx1"/>
            </w14:solidFill>
          </w14:textFill>
        </w:rPr>
        <w:t>住房保障（类）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18.36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568.83</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239.53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Fonts w:hint="eastAsia" w:ascii="仿宋" w:hAnsi="仿宋" w:eastAsia="仿宋"/>
          <w:b/>
          <w:color w:val="000000" w:themeColor="text1"/>
          <w:sz w:val="32"/>
          <w:szCs w:val="32"/>
          <w:lang w:eastAsia="zh-CN"/>
          <w14:textFill>
            <w14:solidFill>
              <w14:schemeClr w14:val="tx1"/>
            </w14:solidFill>
          </w14:textFill>
        </w:rPr>
        <w:t>公共安全支出</w:t>
      </w:r>
      <w:r>
        <w:rPr>
          <w:rFonts w:hint="eastAsia" w:ascii="仿宋" w:hAnsi="仿宋" w:eastAsia="仿宋"/>
          <w:b/>
          <w:color w:val="000000" w:themeColor="text1"/>
          <w:sz w:val="32"/>
          <w:szCs w:val="32"/>
          <w14:textFill>
            <w14:solidFill>
              <w14:schemeClr w14:val="tx1"/>
            </w14:solidFill>
          </w14:textFill>
        </w:rPr>
        <w:t>（类）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18.14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10.14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27.52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24.38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6</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城乡社区</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11.27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农林水</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219.48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8</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住房保障</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18.36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561.49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431.17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130.32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val="en-US" w:eastAsia="zh-CN"/>
        </w:rPr>
        <w:t>,与上年持平</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5</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156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1390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w:t>
      </w:r>
    </w:p>
    <w:p>
      <w:pPr>
        <w:spacing w:line="60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广元市昭化区朝阳乡</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130.32</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26.89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20.63</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大型现场会会议次数增多。</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广元市昭化区朝阳乡</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广元市昭化区朝阳乡</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农村公共运行维护</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农村公共运行维护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w:t>
      </w:r>
    </w:p>
    <w:p>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做到了</w:t>
      </w:r>
      <w:r>
        <w:rPr>
          <w:rFonts w:hint="eastAsia" w:ascii="仿宋_GB2312" w:hAnsi="仿宋_GB2312" w:eastAsia="仿宋_GB2312" w:cs="仿宋_GB2312"/>
          <w:sz w:val="32"/>
          <w:szCs w:val="32"/>
        </w:rPr>
        <w:t>加强基层组织建设，提高基层公共服务保障水平和社会治理能力，完成</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村基础设施维护，维持</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村正常运行等。发现的主要问题：</w:t>
      </w:r>
      <w:r>
        <w:rPr>
          <w:rFonts w:hint="eastAsia" w:ascii="仿宋" w:hAnsi="仿宋" w:eastAsia="仿宋" w:cs="仿宋"/>
          <w:sz w:val="32"/>
          <w:szCs w:val="32"/>
          <w:lang w:eastAsia="zh-CN"/>
        </w:rPr>
        <w:t>一是</w:t>
      </w:r>
      <w:r>
        <w:rPr>
          <w:rFonts w:hint="eastAsia" w:ascii="仿宋" w:hAnsi="仿宋" w:eastAsia="仿宋" w:cs="仿宋"/>
          <w:sz w:val="32"/>
          <w:szCs w:val="32"/>
        </w:rPr>
        <w:t>村社干部及农户对农村公共服务运行维护机制建设认识尚不到位，存在重建设、轻管理消极思想，对既有的建设成果不珍惜，不能长时间保持与维护。</w:t>
      </w:r>
      <w:r>
        <w:rPr>
          <w:rFonts w:hint="eastAsia" w:ascii="仿宋" w:hAnsi="仿宋" w:eastAsia="仿宋" w:cs="仿宋"/>
          <w:sz w:val="32"/>
          <w:szCs w:val="32"/>
          <w:lang w:eastAsia="zh-CN"/>
        </w:rPr>
        <w:t>二是</w:t>
      </w:r>
      <w:r>
        <w:rPr>
          <w:rFonts w:hint="eastAsia" w:ascii="仿宋" w:hAnsi="仿宋" w:eastAsia="仿宋" w:cs="仿宋"/>
          <w:sz w:val="32"/>
          <w:szCs w:val="32"/>
        </w:rPr>
        <w:t>项目申报、实施、管理等系列程序尚缺乏一套完整、详细、有效的制度和奖惩措施，导致在项目实施过程中，存在有些具体细节不好把握的问题，如有待规范规定维护项目应有保质期标准等。</w:t>
      </w:r>
      <w:r>
        <w:rPr>
          <w:rFonts w:hint="eastAsia" w:ascii="仿宋" w:hAnsi="仿宋" w:eastAsia="仿宋" w:cs="仿宋"/>
          <w:sz w:val="32"/>
          <w:szCs w:val="32"/>
          <w:lang w:eastAsia="zh-CN"/>
        </w:rPr>
        <w:t>三是</w:t>
      </w:r>
      <w:r>
        <w:rPr>
          <w:rFonts w:hint="eastAsia" w:ascii="仿宋" w:hAnsi="仿宋" w:eastAsia="仿宋" w:cs="仿宋"/>
          <w:sz w:val="32"/>
          <w:szCs w:val="32"/>
        </w:rPr>
        <w:t>资金存在严重不足，如有些村有道路由于遭受过暴雨毁损，没有足够的资金进行维护，个别山坪塘漏水无资金维修，日常道路保洁因为资金受限，工资太低，无人愿意清扫等问题。</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w:t>
      </w:r>
      <w:r>
        <w:rPr>
          <w:rFonts w:hint="eastAsia" w:ascii="仿宋" w:hAnsi="仿宋" w:eastAsia="仿宋" w:cs="仿宋"/>
          <w:sz w:val="32"/>
          <w:szCs w:val="32"/>
        </w:rPr>
        <w:t>规范性出台一套项目管理的奖惩制度，促进村社及农户对维护项目成果的珍惜和保持。</w:t>
      </w:r>
      <w:r>
        <w:rPr>
          <w:rFonts w:hint="eastAsia" w:ascii="仿宋" w:hAnsi="仿宋" w:eastAsia="仿宋" w:cs="仿宋"/>
          <w:sz w:val="32"/>
          <w:szCs w:val="32"/>
          <w:lang w:eastAsia="zh-CN"/>
        </w:rPr>
        <w:t>二是</w:t>
      </w:r>
      <w:r>
        <w:rPr>
          <w:rFonts w:hint="eastAsia" w:ascii="仿宋" w:hAnsi="仿宋" w:eastAsia="仿宋" w:cs="仿宋"/>
          <w:sz w:val="32"/>
          <w:szCs w:val="32"/>
        </w:rPr>
        <w:t>进一步完善法规程序，加强公开透明，避免民主参与流于形式。</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9960"/>
      </w:tblGrid>
      <w:tr>
        <w:tblPrEx>
          <w:tblLayout w:type="fixed"/>
          <w:tblCellMar>
            <w:top w:w="0" w:type="dxa"/>
            <w:left w:w="0" w:type="dxa"/>
            <w:bottom w:w="0" w:type="dxa"/>
            <w:right w:w="0" w:type="dxa"/>
          </w:tblCellMar>
        </w:tblPrEx>
        <w:trPr>
          <w:trHeight w:val="1034" w:hRule="atLeast"/>
          <w:jc w:val="center"/>
        </w:trPr>
        <w:tc>
          <w:tcPr>
            <w:tcW w:w="9960" w:type="dxa"/>
            <w:tcBorders>
              <w:top w:val="nil"/>
              <w:left w:val="nil"/>
              <w:bottom w:val="nil"/>
              <w:right w:val="nil"/>
            </w:tcBorders>
            <w:tcMar>
              <w:top w:w="15" w:type="dxa"/>
              <w:left w:w="15" w:type="dxa"/>
              <w:right w:w="15" w:type="dxa"/>
            </w:tcMar>
            <w:vAlign w:val="center"/>
          </w:tcPr>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573"/>
              <w:gridCol w:w="1113"/>
              <w:gridCol w:w="2504"/>
              <w:gridCol w:w="2435"/>
              <w:gridCol w:w="1945"/>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年度)</w:t>
                  </w:r>
                </w:p>
              </w:tc>
            </w:tr>
            <w:tr>
              <w:tblPrEx>
                <w:tblLayout w:type="fixed"/>
                <w:tblCellMar>
                  <w:top w:w="0" w:type="dxa"/>
                  <w:left w:w="0" w:type="dxa"/>
                  <w:bottom w:w="0" w:type="dxa"/>
                  <w:right w:w="0" w:type="dxa"/>
                </w:tblCellMar>
              </w:tblPrEx>
              <w:trPr>
                <w:trHeight w:val="276" w:hRule="atLeast"/>
              </w:trPr>
              <w:tc>
                <w:tcPr>
                  <w:tcW w:w="307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68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基层活动和公共服务运行经费</w:t>
                  </w:r>
                </w:p>
              </w:tc>
            </w:tr>
            <w:tr>
              <w:tblPrEx>
                <w:tblLayout w:type="fixed"/>
                <w:tblCellMar>
                  <w:top w:w="0" w:type="dxa"/>
                  <w:left w:w="0" w:type="dxa"/>
                  <w:bottom w:w="0" w:type="dxa"/>
                  <w:right w:w="0" w:type="dxa"/>
                </w:tblCellMar>
              </w:tblPrEx>
              <w:trPr>
                <w:trHeight w:val="276" w:hRule="atLeast"/>
              </w:trPr>
              <w:tc>
                <w:tcPr>
                  <w:tcW w:w="307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68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广元市昭化区朝阳乡人民政府</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6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30万元</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6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30万元</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6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519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3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519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加强基层组织建设，提高基层公共服务保障水平和社会治理能力，按照《广元市昭化区基层活动和公共服务运行经费使用管理办法》，开展组织活动</w:t>
                  </w:r>
                  <w:r>
                    <w:rPr>
                      <w:rFonts w:hint="eastAsia" w:ascii="宋体" w:hAnsi="宋体" w:cs="宋体"/>
                      <w:color w:val="000000"/>
                      <w:sz w:val="24"/>
                      <w:lang w:val="en-US" w:eastAsia="zh-CN"/>
                    </w:rPr>
                    <w:t>15</w:t>
                  </w:r>
                  <w:r>
                    <w:rPr>
                      <w:rFonts w:hint="eastAsia" w:ascii="宋体" w:hAnsi="宋体" w:cs="宋体"/>
                      <w:color w:val="000000"/>
                      <w:sz w:val="24"/>
                    </w:rPr>
                    <w:t>次，党员干部培训</w:t>
                  </w:r>
                  <w:r>
                    <w:rPr>
                      <w:rFonts w:hint="eastAsia" w:ascii="宋体" w:hAnsi="宋体" w:cs="宋体"/>
                      <w:color w:val="000000"/>
                      <w:sz w:val="24"/>
                      <w:lang w:val="en-US" w:eastAsia="zh-CN"/>
                    </w:rPr>
                    <w:t>20</w:t>
                  </w:r>
                  <w:r>
                    <w:rPr>
                      <w:rFonts w:hint="eastAsia" w:ascii="宋体" w:hAnsi="宋体" w:cs="宋体"/>
                      <w:color w:val="000000"/>
                      <w:sz w:val="24"/>
                    </w:rPr>
                    <w:t>次，走访慰问45次，完成</w:t>
                  </w:r>
                  <w:r>
                    <w:rPr>
                      <w:rFonts w:hint="eastAsia" w:ascii="宋体" w:hAnsi="宋体" w:cs="宋体"/>
                      <w:color w:val="000000"/>
                      <w:sz w:val="24"/>
                      <w:lang w:val="en-US" w:eastAsia="zh-CN"/>
                    </w:rPr>
                    <w:t>6</w:t>
                  </w:r>
                  <w:r>
                    <w:rPr>
                      <w:rFonts w:hint="eastAsia" w:ascii="宋体" w:hAnsi="宋体" w:cs="宋体"/>
                      <w:color w:val="000000"/>
                      <w:sz w:val="24"/>
                    </w:rPr>
                    <w:t>个村(社区)组织活动场所维护，完成</w:t>
                  </w:r>
                  <w:r>
                    <w:rPr>
                      <w:rFonts w:hint="eastAsia" w:ascii="宋体" w:hAnsi="宋体" w:cs="宋体"/>
                      <w:color w:val="000000"/>
                      <w:sz w:val="24"/>
                      <w:lang w:val="en-US" w:eastAsia="zh-CN"/>
                    </w:rPr>
                    <w:t>6</w:t>
                  </w:r>
                  <w:r>
                    <w:rPr>
                      <w:rFonts w:hint="eastAsia" w:ascii="宋体" w:hAnsi="宋体" w:cs="宋体"/>
                      <w:color w:val="000000"/>
                      <w:sz w:val="24"/>
                    </w:rPr>
                    <w:t>个村(社区)基础设施维护，完成</w:t>
                  </w:r>
                  <w:r>
                    <w:rPr>
                      <w:rFonts w:hint="eastAsia" w:ascii="宋体" w:hAnsi="宋体" w:cs="宋体"/>
                      <w:color w:val="000000"/>
                      <w:sz w:val="24"/>
                      <w:lang w:val="en-US" w:eastAsia="zh-CN"/>
                    </w:rPr>
                    <w:t>6</w:t>
                  </w:r>
                  <w:r>
                    <w:rPr>
                      <w:rFonts w:hint="eastAsia" w:ascii="宋体" w:hAnsi="宋体" w:cs="宋体"/>
                      <w:color w:val="000000"/>
                      <w:sz w:val="24"/>
                    </w:rPr>
                    <w:t>个村(社区)环境卫生管护，维持</w:t>
                  </w:r>
                  <w:r>
                    <w:rPr>
                      <w:rFonts w:hint="eastAsia" w:ascii="宋体" w:hAnsi="宋体" w:cs="宋体"/>
                      <w:color w:val="000000"/>
                      <w:sz w:val="24"/>
                      <w:lang w:val="en-US" w:eastAsia="zh-CN"/>
                    </w:rPr>
                    <w:t>6</w:t>
                  </w:r>
                  <w:r>
                    <w:rPr>
                      <w:rFonts w:hint="eastAsia" w:ascii="宋体" w:hAnsi="宋体" w:cs="宋体"/>
                      <w:color w:val="000000"/>
                      <w:sz w:val="24"/>
                    </w:rPr>
                    <w:t>个村(社区)正常运行等。</w:t>
                  </w:r>
                </w:p>
              </w:tc>
              <w:tc>
                <w:tcPr>
                  <w:tcW w:w="43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加强基层组织建设，提高基层公共服务保障水平和社会治理能力，按照《广元市昭化区基层活动和公共服务运行经费使用管理办法》，开展组织活动</w:t>
                  </w:r>
                  <w:r>
                    <w:rPr>
                      <w:rFonts w:hint="eastAsia" w:ascii="宋体" w:hAnsi="宋体" w:cs="宋体"/>
                      <w:color w:val="000000"/>
                      <w:sz w:val="24"/>
                      <w:lang w:val="en-US" w:eastAsia="zh-CN"/>
                    </w:rPr>
                    <w:t>15</w:t>
                  </w:r>
                  <w:r>
                    <w:rPr>
                      <w:rFonts w:hint="eastAsia" w:ascii="宋体" w:hAnsi="宋体" w:cs="宋体"/>
                      <w:color w:val="000000"/>
                      <w:sz w:val="24"/>
                    </w:rPr>
                    <w:t>次，党员干部培训</w:t>
                  </w:r>
                  <w:r>
                    <w:rPr>
                      <w:rFonts w:hint="eastAsia" w:ascii="宋体" w:hAnsi="宋体" w:cs="宋体"/>
                      <w:color w:val="000000"/>
                      <w:sz w:val="24"/>
                      <w:lang w:val="en-US" w:eastAsia="zh-CN"/>
                    </w:rPr>
                    <w:t>20</w:t>
                  </w:r>
                  <w:r>
                    <w:rPr>
                      <w:rFonts w:hint="eastAsia" w:ascii="宋体" w:hAnsi="宋体" w:cs="宋体"/>
                      <w:color w:val="000000"/>
                      <w:sz w:val="24"/>
                    </w:rPr>
                    <w:t>次，走访慰问45次，完成</w:t>
                  </w:r>
                  <w:r>
                    <w:rPr>
                      <w:rFonts w:hint="eastAsia" w:ascii="宋体" w:hAnsi="宋体" w:cs="宋体"/>
                      <w:color w:val="000000"/>
                      <w:sz w:val="24"/>
                      <w:lang w:val="en-US" w:eastAsia="zh-CN"/>
                    </w:rPr>
                    <w:t>6</w:t>
                  </w:r>
                  <w:r>
                    <w:rPr>
                      <w:rFonts w:hint="eastAsia" w:ascii="宋体" w:hAnsi="宋体" w:cs="宋体"/>
                      <w:color w:val="000000"/>
                      <w:sz w:val="24"/>
                    </w:rPr>
                    <w:t>个村(社区)组织活动场所维护，完成</w:t>
                  </w:r>
                  <w:r>
                    <w:rPr>
                      <w:rFonts w:hint="eastAsia" w:ascii="宋体" w:hAnsi="宋体" w:cs="宋体"/>
                      <w:color w:val="000000"/>
                      <w:sz w:val="24"/>
                      <w:lang w:val="en-US" w:eastAsia="zh-CN"/>
                    </w:rPr>
                    <w:t>6</w:t>
                  </w:r>
                  <w:r>
                    <w:rPr>
                      <w:rFonts w:hint="eastAsia" w:ascii="宋体" w:hAnsi="宋体" w:cs="宋体"/>
                      <w:color w:val="000000"/>
                      <w:sz w:val="24"/>
                    </w:rPr>
                    <w:t>个村(社区)基础设施维护，完成</w:t>
                  </w:r>
                  <w:r>
                    <w:rPr>
                      <w:rFonts w:hint="eastAsia" w:ascii="宋体" w:hAnsi="宋体" w:cs="宋体"/>
                      <w:color w:val="000000"/>
                      <w:sz w:val="24"/>
                      <w:lang w:val="en-US" w:eastAsia="zh-CN"/>
                    </w:rPr>
                    <w:t>6</w:t>
                  </w:r>
                  <w:r>
                    <w:rPr>
                      <w:rFonts w:hint="eastAsia" w:ascii="宋体" w:hAnsi="宋体" w:cs="宋体"/>
                      <w:color w:val="000000"/>
                      <w:sz w:val="24"/>
                    </w:rPr>
                    <w:t>个村(社区)环境卫生管护，维持</w:t>
                  </w:r>
                  <w:r>
                    <w:rPr>
                      <w:rFonts w:hint="eastAsia" w:ascii="宋体" w:hAnsi="宋体" w:cs="宋体"/>
                      <w:color w:val="000000"/>
                      <w:sz w:val="24"/>
                      <w:lang w:val="en-US" w:eastAsia="zh-CN"/>
                    </w:rPr>
                    <w:t>6</w:t>
                  </w:r>
                  <w:r>
                    <w:rPr>
                      <w:rFonts w:hint="eastAsia" w:ascii="宋体" w:hAnsi="宋体" w:cs="宋体"/>
                      <w:color w:val="000000"/>
                      <w:sz w:val="24"/>
                    </w:rPr>
                    <w:t>个村(社区)正常运行等。</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55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村组织活动场所维护个数</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6个</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6个</w:t>
                  </w:r>
                </w:p>
              </w:tc>
            </w:tr>
            <w:tr>
              <w:tblPrEx>
                <w:tblLayout w:type="fixed"/>
                <w:tblCellMar>
                  <w:top w:w="0" w:type="dxa"/>
                  <w:left w:w="0" w:type="dxa"/>
                  <w:bottom w:w="0" w:type="dxa"/>
                  <w:right w:w="0" w:type="dxa"/>
                </w:tblCellMar>
              </w:tblPrEx>
              <w:trPr>
                <w:trHeight w:val="52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村组织活动开展次数</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w:t>
                  </w:r>
                  <w:r>
                    <w:rPr>
                      <w:rFonts w:hint="eastAsia" w:ascii="宋体" w:hAnsi="宋体" w:cs="宋体"/>
                      <w:color w:val="000000"/>
                      <w:sz w:val="24"/>
                    </w:rPr>
                    <w:t>次</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w:t>
                  </w:r>
                  <w:r>
                    <w:rPr>
                      <w:rFonts w:hint="eastAsia" w:ascii="宋体" w:hAnsi="宋体" w:cs="宋体"/>
                      <w:color w:val="000000"/>
                      <w:sz w:val="24"/>
                    </w:rPr>
                    <w:t>次</w:t>
                  </w:r>
                </w:p>
              </w:tc>
            </w:tr>
            <w:tr>
              <w:tblPrEx>
                <w:tblLayout w:type="fixed"/>
                <w:tblCellMar>
                  <w:top w:w="0" w:type="dxa"/>
                  <w:left w:w="0" w:type="dxa"/>
                  <w:bottom w:w="0" w:type="dxa"/>
                  <w:right w:w="0" w:type="dxa"/>
                </w:tblCellMar>
              </w:tblPrEx>
              <w:trPr>
                <w:trHeight w:val="56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垃圾清运次数</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650</w:t>
                  </w:r>
                  <w:r>
                    <w:rPr>
                      <w:rFonts w:hint="eastAsia" w:ascii="宋体" w:hAnsi="宋体" w:cs="宋体"/>
                      <w:color w:val="000000"/>
                      <w:sz w:val="24"/>
                    </w:rPr>
                    <w:t>次</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650</w:t>
                  </w:r>
                  <w:r>
                    <w:rPr>
                      <w:rFonts w:hint="eastAsia" w:ascii="宋体" w:hAnsi="宋体" w:cs="宋体"/>
                      <w:color w:val="000000"/>
                      <w:sz w:val="24"/>
                    </w:rPr>
                    <w:t>次</w:t>
                  </w:r>
                </w:p>
              </w:tc>
            </w:tr>
            <w:tr>
              <w:tblPrEx>
                <w:tblLayout w:type="fixed"/>
                <w:tblCellMar>
                  <w:top w:w="0" w:type="dxa"/>
                  <w:left w:w="0" w:type="dxa"/>
                  <w:bottom w:w="0" w:type="dxa"/>
                  <w:right w:w="0" w:type="dxa"/>
                </w:tblCellMar>
              </w:tblPrEx>
              <w:trPr>
                <w:trHeight w:val="5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村容村貌、基础设施配备率</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Layout w:type="fixed"/>
                <w:tblCellMar>
                  <w:top w:w="0" w:type="dxa"/>
                  <w:left w:w="0" w:type="dxa"/>
                  <w:bottom w:w="0" w:type="dxa"/>
                  <w:right w:w="0" w:type="dxa"/>
                </w:tblCellMar>
              </w:tblPrEx>
              <w:trPr>
                <w:trHeight w:val="52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资金使用合理合规率</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Layout w:type="fixed"/>
                <w:tblCellMar>
                  <w:top w:w="0" w:type="dxa"/>
                  <w:left w:w="0" w:type="dxa"/>
                  <w:bottom w:w="0" w:type="dxa"/>
                  <w:right w:w="0" w:type="dxa"/>
                </w:tblCellMar>
              </w:tblPrEx>
              <w:trPr>
                <w:trHeight w:val="56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绩效评价得分</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≥95分</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≥95分</w:t>
                  </w:r>
                </w:p>
              </w:tc>
            </w:tr>
            <w:tr>
              <w:tblPrEx>
                <w:tblLayout w:type="fixed"/>
                <w:tblCellMar>
                  <w:top w:w="0" w:type="dxa"/>
                  <w:left w:w="0" w:type="dxa"/>
                  <w:bottom w:w="0" w:type="dxa"/>
                  <w:right w:w="0" w:type="dxa"/>
                </w:tblCellMar>
              </w:tblPrEx>
              <w:trPr>
                <w:trHeight w:val="6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完成及时率</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Layout w:type="fixed"/>
                <w:tblCellMar>
                  <w:top w:w="0" w:type="dxa"/>
                  <w:left w:w="0" w:type="dxa"/>
                  <w:bottom w:w="0" w:type="dxa"/>
                  <w:right w:w="0" w:type="dxa"/>
                </w:tblCellMar>
              </w:tblPrEx>
              <w:trPr>
                <w:trHeight w:val="69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每个村活动场所维护资金概算</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28</w:t>
                  </w:r>
                  <w:r>
                    <w:rPr>
                      <w:rFonts w:hint="eastAsia" w:ascii="宋体" w:hAnsi="宋体" w:cs="宋体"/>
                      <w:color w:val="000000"/>
                      <w:sz w:val="24"/>
                    </w:rPr>
                    <w:t>万元</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28</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72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其他（文化活动）</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万元</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638" w:hRule="atLeast"/>
              </w:trPr>
              <w:tc>
                <w:tcPr>
                  <w:tcW w:w="390"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color w:val="000000"/>
                      <w:sz w:val="24"/>
                      <w:lang w:eastAsia="zh-CN"/>
                    </w:rPr>
                  </w:pPr>
                  <w:r>
                    <w:rPr>
                      <w:rFonts w:hint="eastAsia" w:ascii="宋体" w:hAnsi="宋体" w:cs="宋体"/>
                      <w:color w:val="000000"/>
                      <w:sz w:val="24"/>
                    </w:rPr>
                    <w:t>绩效指标完成情</w:t>
                  </w:r>
                  <w:r>
                    <w:rPr>
                      <w:rFonts w:hint="eastAsia" w:ascii="宋体" w:hAnsi="宋体" w:cs="宋体"/>
                      <w:color w:val="000000"/>
                      <w:sz w:val="24"/>
                      <w:lang w:eastAsia="zh-CN"/>
                    </w:rPr>
                    <w:t>况</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覆盖村小组数</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37</w:t>
                  </w:r>
                  <w:r>
                    <w:rPr>
                      <w:rFonts w:hint="eastAsia" w:ascii="宋体" w:hAnsi="宋体" w:cs="宋体"/>
                      <w:color w:val="000000"/>
                      <w:sz w:val="24"/>
                    </w:rPr>
                    <w:t>个</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37</w:t>
                  </w:r>
                  <w:r>
                    <w:rPr>
                      <w:rFonts w:hint="eastAsia" w:ascii="宋体" w:hAnsi="宋体" w:cs="宋体"/>
                      <w:color w:val="000000"/>
                      <w:sz w:val="24"/>
                    </w:rPr>
                    <w:t>个</w:t>
                  </w:r>
                </w:p>
              </w:tc>
            </w:tr>
            <w:tr>
              <w:tblPrEx>
                <w:tblLayout w:type="fixed"/>
                <w:tblCellMar>
                  <w:top w:w="0" w:type="dxa"/>
                  <w:left w:w="0" w:type="dxa"/>
                  <w:bottom w:w="0" w:type="dxa"/>
                  <w:right w:w="0" w:type="dxa"/>
                </w:tblCellMar>
              </w:tblPrEx>
              <w:trPr>
                <w:trHeight w:val="60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覆盖党员数</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272</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272</w:t>
                  </w:r>
                  <w:r>
                    <w:rPr>
                      <w:rFonts w:hint="eastAsia" w:ascii="宋体" w:hAnsi="宋体" w:cs="宋体"/>
                      <w:color w:val="000000"/>
                      <w:sz w:val="24"/>
                    </w:rPr>
                    <w:t>人</w:t>
                  </w:r>
                </w:p>
              </w:tc>
            </w:tr>
            <w:tr>
              <w:tblPrEx>
                <w:tblLayout w:type="fixed"/>
                <w:tblCellMar>
                  <w:top w:w="0" w:type="dxa"/>
                  <w:left w:w="0" w:type="dxa"/>
                  <w:bottom w:w="0" w:type="dxa"/>
                  <w:right w:w="0" w:type="dxa"/>
                </w:tblCellMar>
              </w:tblPrEx>
              <w:trPr>
                <w:trHeight w:val="60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覆盖村民数</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5906</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5906</w:t>
                  </w:r>
                  <w:r>
                    <w:rPr>
                      <w:rFonts w:hint="eastAsia" w:ascii="宋体" w:hAnsi="宋体" w:cs="宋体"/>
                      <w:color w:val="000000"/>
                      <w:sz w:val="24"/>
                    </w:rPr>
                    <w:t>人</w:t>
                  </w:r>
                </w:p>
              </w:tc>
            </w:tr>
            <w:tr>
              <w:tblPrEx>
                <w:tblLayout w:type="fixed"/>
                <w:tblCellMar>
                  <w:top w:w="0" w:type="dxa"/>
                  <w:left w:w="0" w:type="dxa"/>
                  <w:bottom w:w="0" w:type="dxa"/>
                  <w:right w:w="0" w:type="dxa"/>
                </w:tblCellMar>
              </w:tblPrEx>
              <w:trPr>
                <w:trHeight w:val="60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覆盖建档立卡贫困人数</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910</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910</w:t>
                  </w:r>
                  <w:r>
                    <w:rPr>
                      <w:rFonts w:hint="eastAsia" w:ascii="宋体" w:hAnsi="宋体" w:cs="宋体"/>
                      <w:color w:val="000000"/>
                      <w:sz w:val="24"/>
                    </w:rPr>
                    <w:t>人</w:t>
                  </w:r>
                </w:p>
              </w:tc>
            </w:tr>
            <w:tr>
              <w:tblPrEx>
                <w:tblLayout w:type="fixed"/>
                <w:tblCellMar>
                  <w:top w:w="0" w:type="dxa"/>
                  <w:left w:w="0" w:type="dxa"/>
                  <w:bottom w:w="0" w:type="dxa"/>
                  <w:right w:w="0" w:type="dxa"/>
                </w:tblCellMar>
              </w:tblPrEx>
              <w:trPr>
                <w:trHeight w:val="741"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党组织的战斗堡垒作用</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明显发挥</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明显发挥</w:t>
                  </w:r>
                </w:p>
              </w:tc>
            </w:tr>
            <w:tr>
              <w:tblPrEx>
                <w:tblLayout w:type="fixed"/>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项目使用年限标</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≥5年</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≥5年</w:t>
                  </w:r>
                </w:p>
              </w:tc>
            </w:tr>
            <w:tr>
              <w:tblPrEx>
                <w:tblLayout w:type="fixed"/>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群众满意度</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r>
              <w:tblPrEx>
                <w:tblLayout w:type="fixed"/>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党员满意度</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r>
              <w:tblPrEx>
                <w:tblLayout w:type="fixed"/>
                <w:tblCellMar>
                  <w:top w:w="0" w:type="dxa"/>
                  <w:left w:w="0" w:type="dxa"/>
                  <w:bottom w:w="0" w:type="dxa"/>
                  <w:right w:w="0" w:type="dxa"/>
                </w:tblCellMar>
              </w:tblPrEx>
              <w:trPr>
                <w:trHeight w:val="647" w:hRule="atLeast"/>
              </w:trPr>
              <w:tc>
                <w:tcPr>
                  <w:tcW w:w="390"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受益贫困人口满意度</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Style w:val="4"/>
              <w:pageBreakBefore w:val="0"/>
              <w:kinsoku/>
              <w:wordWrap/>
              <w:overflowPunct/>
              <w:topLinePunct w:val="0"/>
              <w:bidi w:val="0"/>
              <w:spacing w:before="0" w:after="0" w:line="600" w:lineRule="exact"/>
              <w:ind w:firstLine="643" w:firstLineChars="200"/>
              <w:textAlignment w:val="auto"/>
              <w:rPr>
                <w:rFonts w:ascii="仿宋" w:hAnsi="仿宋" w:eastAsia="仿宋" w:cs="仿宋_GB2312"/>
                <w:sz w:val="32"/>
                <w:szCs w:val="32"/>
              </w:rPr>
            </w:pPr>
            <w:r>
              <w:rPr>
                <w:rFonts w:hint="eastAsia" w:ascii="华文仿宋" w:hAnsi="华文仿宋" w:eastAsia="华文仿宋" w:cs="华文仿宋"/>
                <w:b/>
                <w:bCs w:val="0"/>
                <w:sz w:val="32"/>
                <w:szCs w:val="32"/>
              </w:rPr>
              <w:t>1、财务管理绩效总评价结果</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朝阳乡</w:t>
            </w:r>
            <w:r>
              <w:rPr>
                <w:rFonts w:hint="eastAsia" w:ascii="华文仿宋" w:hAnsi="华文仿宋" w:eastAsia="华文仿宋" w:cs="华文仿宋"/>
                <w:sz w:val="32"/>
                <w:szCs w:val="32"/>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年基本完成，在保障机关运转、履行职能职责上整体情况良好。</w:t>
            </w:r>
          </w:p>
          <w:p>
            <w:pPr>
              <w:spacing w:line="580" w:lineRule="exact"/>
              <w:jc w:val="lef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通过对</w:t>
            </w:r>
            <w:r>
              <w:rPr>
                <w:rFonts w:hint="eastAsia" w:ascii="华文仿宋" w:hAnsi="华文仿宋" w:eastAsia="华文仿宋" w:cs="华文仿宋"/>
                <w:sz w:val="32"/>
                <w:szCs w:val="32"/>
                <w:lang w:eastAsia="zh-CN"/>
              </w:rPr>
              <w:t>广元市昭化区朝阳乡</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年部门财务管理三级指标的分析考评，</w:t>
            </w:r>
            <w:r>
              <w:rPr>
                <w:rFonts w:hint="eastAsia" w:ascii="华文仿宋" w:hAnsi="华文仿宋" w:eastAsia="华文仿宋" w:cs="华文仿宋"/>
                <w:sz w:val="32"/>
                <w:szCs w:val="32"/>
                <w:lang w:eastAsia="zh-CN"/>
              </w:rPr>
              <w:t>广元市昭化区朝阳乡</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年部门财务管理绩效评价得分为</w:t>
            </w:r>
            <w:r>
              <w:rPr>
                <w:rFonts w:hint="eastAsia" w:ascii="华文仿宋" w:hAnsi="华文仿宋" w:eastAsia="华文仿宋" w:cs="华文仿宋"/>
                <w:sz w:val="32"/>
                <w:szCs w:val="32"/>
                <w:lang w:val="en-US" w:eastAsia="zh-CN"/>
              </w:rPr>
              <w:t>95</w:t>
            </w:r>
            <w:r>
              <w:rPr>
                <w:rFonts w:hint="eastAsia" w:ascii="华文仿宋" w:hAnsi="华文仿宋" w:eastAsia="华文仿宋" w:cs="华文仿宋"/>
                <w:sz w:val="32"/>
                <w:szCs w:val="32"/>
              </w:rPr>
              <w:t>分</w:t>
            </w:r>
            <w:r>
              <w:rPr>
                <w:rFonts w:hint="eastAsia" w:ascii="华文仿宋" w:hAnsi="华文仿宋" w:eastAsia="华文仿宋" w:cs="华文仿宋"/>
                <w:sz w:val="32"/>
                <w:szCs w:val="32"/>
                <w:lang w:eastAsia="zh-CN"/>
              </w:rPr>
              <w:t>。</w:t>
            </w:r>
          </w:p>
          <w:p>
            <w:pPr>
              <w:pageBreakBefore w:val="0"/>
              <w:kinsoku/>
              <w:wordWrap/>
              <w:overflowPunct/>
              <w:topLinePunct w:val="0"/>
              <w:bidi w:val="0"/>
              <w:snapToGrid w:val="0"/>
              <w:spacing w:line="600" w:lineRule="exact"/>
              <w:ind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2、项目绩效总评价结果</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朝阳乡</w:t>
            </w:r>
            <w:r>
              <w:rPr>
                <w:rFonts w:hint="eastAsia" w:ascii="华文仿宋" w:hAnsi="华文仿宋" w:eastAsia="华文仿宋" w:cs="华文仿宋"/>
                <w:sz w:val="32"/>
                <w:szCs w:val="32"/>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通过对基层组织活动和公共运行维护资金专项资金项目三级指标的分析考评，该项目的绩效评价得分为9</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分，综合评价结果为优级。</w:t>
            </w:r>
          </w:p>
          <w:p>
            <w:pPr>
              <w:widowControl/>
              <w:jc w:val="center"/>
              <w:textAlignment w:val="center"/>
              <w:rPr>
                <w:rFonts w:ascii="宋体" w:hAnsi="宋体" w:cs="宋体"/>
                <w:color w:val="000000"/>
                <w:sz w:val="36"/>
                <w:szCs w:val="36"/>
              </w:rPr>
            </w:pPr>
          </w:p>
        </w:tc>
      </w:tr>
    </w:tbl>
    <w:p>
      <w:pPr>
        <w:spacing w:line="600" w:lineRule="exact"/>
        <w:jc w:val="left"/>
        <w:rPr>
          <w:rFonts w:ascii="宋体"/>
          <w:b/>
          <w:color w:val="000000"/>
          <w:sz w:val="44"/>
          <w:szCs w:val="44"/>
        </w:rPr>
      </w:pPr>
    </w:p>
    <w:p>
      <w:pPr>
        <w:pageBreakBefore w:val="0"/>
        <w:numPr>
          <w:ilvl w:val="0"/>
          <w:numId w:val="5"/>
        </w:numPr>
        <w:kinsoku/>
        <w:wordWrap/>
        <w:overflowPunct/>
        <w:topLinePunct w:val="0"/>
        <w:bidi w:val="0"/>
        <w:spacing w:line="600" w:lineRule="exact"/>
        <w:ind w:firstLine="663" w:firstLineChars="150"/>
        <w:jc w:val="center"/>
        <w:textAlignment w:val="auto"/>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pStyle w:val="22"/>
        <w:spacing w:line="560" w:lineRule="exact"/>
        <w:ind w:firstLine="640" w:firstLineChars="200"/>
        <w:rPr>
          <w:rFonts w:ascii="仿宋_GB2312" w:eastAsia="仿宋_GB2312"/>
          <w:sz w:val="32"/>
          <w:szCs w:val="32"/>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sz w:val="32"/>
          <w:szCs w:val="32"/>
        </w:rPr>
      </w:pPr>
      <w:bookmarkStart w:id="62" w:name="_GoBack"/>
      <w:bookmarkEnd w:id="62"/>
    </w:p>
    <w:p>
      <w:pPr>
        <w:pageBreakBefore w:val="0"/>
        <w:kinsoku/>
        <w:wordWrap/>
        <w:overflowPunct/>
        <w:topLinePunct w:val="0"/>
        <w:bidi w:val="0"/>
        <w:spacing w:line="600" w:lineRule="exact"/>
        <w:jc w:val="center"/>
        <w:textAlignment w:val="auto"/>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pageBreakBefore w:val="0"/>
        <w:kinsoku/>
        <w:wordWrap/>
        <w:overflowPunct/>
        <w:topLinePunct w:val="0"/>
        <w:bidi w:val="0"/>
        <w:spacing w:line="600" w:lineRule="exact"/>
        <w:jc w:val="center"/>
        <w:textAlignment w:val="auto"/>
        <w:outlineLvl w:val="0"/>
        <w:rPr>
          <w:rStyle w:val="24"/>
        </w:rPr>
      </w:pPr>
    </w:p>
    <w:p>
      <w:pPr>
        <w:pStyle w:val="3"/>
        <w:pageBreakBefore w:val="0"/>
        <w:kinsoku/>
        <w:wordWrap/>
        <w:overflowPunct/>
        <w:topLinePunct w:val="0"/>
        <w:bidi w:val="0"/>
        <w:spacing w:line="600" w:lineRule="exact"/>
        <w:textAlignment w:val="auto"/>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pageBreakBefore w:val="0"/>
        <w:kinsoku/>
        <w:wordWrap/>
        <w:overflowPunct/>
        <w:topLinePunct w:val="0"/>
        <w:bidi w:val="0"/>
        <w:spacing w:line="600" w:lineRule="exact"/>
        <w:jc w:val="center"/>
        <w:textAlignment w:val="auto"/>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广元市昭化区朝阳乡人民政府</w:t>
      </w:r>
    </w:p>
    <w:p>
      <w:pPr>
        <w:pageBreakBefore w:val="0"/>
        <w:kinsoku/>
        <w:wordWrap/>
        <w:overflowPunct/>
        <w:topLinePunct w:val="0"/>
        <w:bidi w:val="0"/>
        <w:spacing w:line="600" w:lineRule="exact"/>
        <w:jc w:val="center"/>
        <w:textAlignment w:val="auto"/>
        <w:outlineLvl w:val="0"/>
        <w:rPr>
          <w:rFonts w:ascii="黑体" w:hAnsi="黑体" w:eastAsia="黑体" w:cs="方正小标宋简体"/>
          <w:sz w:val="36"/>
          <w:szCs w:val="36"/>
        </w:rPr>
      </w:pPr>
      <w:r>
        <w:rPr>
          <w:rFonts w:hint="eastAsia" w:ascii="黑体" w:hAnsi="黑体" w:eastAsia="黑体" w:cs="方正小标宋简体"/>
          <w:sz w:val="36"/>
          <w:szCs w:val="36"/>
        </w:rPr>
        <w:t>20</w:t>
      </w:r>
      <w:r>
        <w:rPr>
          <w:rFonts w:hint="eastAsia" w:ascii="黑体" w:hAnsi="黑体" w:eastAsia="黑体" w:cs="方正小标宋简体"/>
          <w:sz w:val="36"/>
          <w:szCs w:val="36"/>
          <w:lang w:val="en-US" w:eastAsia="zh-CN"/>
        </w:rPr>
        <w:t>19</w:t>
      </w:r>
      <w:r>
        <w:rPr>
          <w:rFonts w:hint="eastAsia" w:ascii="黑体" w:hAnsi="黑体" w:eastAsia="黑体" w:cs="方正小标宋简体"/>
          <w:sz w:val="36"/>
          <w:szCs w:val="36"/>
        </w:rPr>
        <w:t>年部门整体支出绩效评价报告</w:t>
      </w:r>
      <w:bookmarkEnd w:id="60"/>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一、部门（单位）概况</w:t>
      </w:r>
    </w:p>
    <w:p>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（一）机构组成。</w:t>
      </w:r>
    </w:p>
    <w:p>
      <w:pPr>
        <w:pageBreakBefore w:val="0"/>
        <w:kinsoku/>
        <w:wordWrap/>
        <w:overflowPunct/>
        <w:topLinePunct w:val="0"/>
        <w:bidi w:val="0"/>
        <w:spacing w:line="600" w:lineRule="exact"/>
        <w:ind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eastAsia="仿宋_GB2312" w:cs="Times New Roman"/>
          <w:sz w:val="32"/>
          <w:szCs w:val="32"/>
          <w:lang w:eastAsia="zh-CN"/>
        </w:rPr>
        <w:t>朝阳乡</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年末机构数为</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sz w:val="32"/>
          <w:szCs w:val="32"/>
        </w:rPr>
        <w:t>个，其中行政机关1个即</w:t>
      </w:r>
      <w:r>
        <w:rPr>
          <w:rFonts w:hint="eastAsia" w:eastAsia="仿宋_GB2312" w:cs="Times New Roman"/>
          <w:sz w:val="32"/>
          <w:szCs w:val="32"/>
          <w:lang w:eastAsia="zh-CN"/>
        </w:rPr>
        <w:t>朝阳乡</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w:t>
      </w:r>
    </w:p>
    <w:p>
      <w:pPr>
        <w:pageBreakBefore w:val="0"/>
        <w:numPr>
          <w:ilvl w:val="0"/>
          <w:numId w:val="6"/>
        </w:numPr>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机构职能。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1.政府职能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落实国家政策，严格依法行政，发挥经济管理职能，加强政策引导，制定发展规划，服务市场主体和营造发展环境，搞好市场监管，大力促进社会事业发展，发展</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村经济、文化和社会事业，提供公共服务，维护社会稳定，构建社会主义和谐社会。具体如下：①执行本级人民代表大会的决议和上级国家行政机关的决定和命令，发布决定和命令； ②执行本行政区域内的经济和社会发展计划、预算，管理本行政区域内的经济、教育、科学、文化、卫生、体育事业和财政、民政、公安、司法行政、计划生育等行政工作；③保护社会主义的全民所有的财产和劳动群众集体所有的财产，保护公民私人所有的合法财产，维护社会秩序，保障公民的人身权利、民主权利和其他权利；④保护各种经济组织的合法权益；⑤</w:t>
      </w:r>
      <w:r>
        <w:rPr>
          <w:rFonts w:hint="eastAsia" w:eastAsia="仿宋_GB2312" w:cs="Times New Roman"/>
          <w:sz w:val="32"/>
          <w:szCs w:val="32"/>
          <w:lang w:eastAsia="zh-CN"/>
        </w:rPr>
        <w:t>办理</w:t>
      </w:r>
      <w:r>
        <w:rPr>
          <w:rFonts w:hint="default" w:ascii="Times New Roman" w:hAnsi="Times New Roman" w:eastAsia="仿宋_GB2312" w:cs="Times New Roman"/>
          <w:sz w:val="32"/>
          <w:szCs w:val="32"/>
        </w:rPr>
        <w:t>上级人民政府交</w:t>
      </w:r>
      <w:r>
        <w:rPr>
          <w:rFonts w:hint="eastAsia" w:eastAsia="仿宋_GB2312" w:cs="Times New Roman"/>
          <w:sz w:val="32"/>
          <w:szCs w:val="32"/>
          <w:lang w:eastAsia="zh-CN"/>
        </w:rPr>
        <w:t>办</w:t>
      </w:r>
      <w:r>
        <w:rPr>
          <w:rFonts w:hint="default" w:ascii="Times New Roman" w:hAnsi="Times New Roman" w:eastAsia="仿宋_GB2312" w:cs="Times New Roman"/>
          <w:sz w:val="32"/>
          <w:szCs w:val="32"/>
        </w:rPr>
        <w:t>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2.社会事务服务中心职能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整理</w:t>
      </w:r>
      <w:r>
        <w:rPr>
          <w:rFonts w:hint="default" w:ascii="Times New Roman" w:hAnsi="Times New Roman" w:eastAsia="仿宋_GB2312" w:cs="Times New Roman"/>
          <w:sz w:val="32"/>
          <w:szCs w:val="32"/>
        </w:rPr>
        <w:t>就业失业登记证、落实村干部养老金政策、开展城</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居民社会养老保险工作、开展城</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居民养老保险；开展技能培训职业介绍和就业指导；大力开发农村劳动力资源；开展退休人员社会化管理等工作。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3.农村经济技术服务中心职能</w:t>
      </w:r>
    </w:p>
    <w:p>
      <w:pPr>
        <w:pStyle w:val="23"/>
        <w:pageBreakBefore w:val="0"/>
        <w:tabs>
          <w:tab w:val="left" w:pos="993"/>
        </w:tabs>
        <w:kinsoku/>
        <w:wordWrap/>
        <w:overflowPunct/>
        <w:topLinePunct w:val="0"/>
        <w:bidi w:val="0"/>
        <w:snapToGrid w:val="0"/>
        <w:spacing w:line="600" w:lineRule="exact"/>
        <w:ind w:firstLine="560"/>
        <w:textAlignment w:val="auto"/>
        <w:rPr>
          <w:rFonts w:ascii="仿宋" w:hAnsi="仿宋" w:eastAsia="仿宋" w:cs="仿宋_GB2312"/>
          <w:sz w:val="32"/>
          <w:szCs w:val="32"/>
        </w:rPr>
      </w:pPr>
      <w:r>
        <w:rPr>
          <w:rFonts w:hint="default" w:ascii="Times New Roman" w:hAnsi="Times New Roman" w:eastAsia="仿宋_GB2312" w:cs="Times New Roman"/>
          <w:sz w:val="32"/>
          <w:szCs w:val="32"/>
        </w:rPr>
        <w:t>主要从事农业技术服务，解决</w:t>
      </w:r>
      <w:r>
        <w:rPr>
          <w:rFonts w:hint="eastAsia"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工作的难题，为广大农村农民群众排忧解难，宣传和落实好党在农村工作的惠农政策。</w:t>
      </w:r>
    </w:p>
    <w:p>
      <w:pPr>
        <w:keepNext w:val="0"/>
        <w:keepLines w:val="0"/>
        <w:pageBreakBefore w:val="0"/>
        <w:widowControl w:val="0"/>
        <w:numPr>
          <w:ilvl w:val="0"/>
          <w:numId w:val="6"/>
        </w:numPr>
        <w:kinsoku/>
        <w:wordWrap/>
        <w:overflowPunct/>
        <w:topLinePunct w:val="0"/>
        <w:autoSpaceDE/>
        <w:autoSpaceDN/>
        <w:bidi w:val="0"/>
        <w:adjustRightInd/>
        <w:spacing w:line="600" w:lineRule="exact"/>
        <w:ind w:left="0" w:leftChars="0"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人员概况。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sz w:val="32"/>
          <w:szCs w:val="32"/>
        </w:rPr>
      </w:pPr>
      <w:r>
        <w:rPr>
          <w:rFonts w:hint="eastAsia" w:eastAsia="仿宋_GB2312" w:cs="Times New Roman"/>
          <w:sz w:val="32"/>
          <w:szCs w:val="32"/>
          <w:lang w:eastAsia="zh-CN"/>
        </w:rPr>
        <w:t>朝阳乡</w:t>
      </w:r>
      <w:r>
        <w:rPr>
          <w:rFonts w:hint="default" w:ascii="Times New Roman" w:hAnsi="Times New Roman" w:eastAsia="仿宋_GB2312" w:cs="Times New Roman"/>
          <w:sz w:val="32"/>
          <w:szCs w:val="32"/>
        </w:rPr>
        <w:t>属行政单位，执行行政单位会计制度，财务隶属关系为一级单位，</w:t>
      </w:r>
      <w:r>
        <w:rPr>
          <w:rFonts w:hint="eastAsia" w:ascii="仿宋_GB2312" w:eastAsia="仿宋_GB2312"/>
          <w:sz w:val="32"/>
          <w:szCs w:val="32"/>
        </w:rPr>
        <w:t>全</w:t>
      </w:r>
      <w:r>
        <w:rPr>
          <w:rFonts w:hint="eastAsia" w:ascii="仿宋_GB2312" w:eastAsia="仿宋_GB2312"/>
          <w:sz w:val="32"/>
          <w:szCs w:val="32"/>
          <w:lang w:eastAsia="zh-CN"/>
        </w:rPr>
        <w:t>镇</w:t>
      </w:r>
      <w:r>
        <w:rPr>
          <w:rFonts w:hint="eastAsia" w:ascii="仿宋_GB2312" w:eastAsia="仿宋_GB2312"/>
          <w:sz w:val="32"/>
          <w:szCs w:val="32"/>
        </w:rPr>
        <w:t>机关干部</w:t>
      </w:r>
      <w:r>
        <w:rPr>
          <w:rFonts w:hint="eastAsia" w:ascii="仿宋_GB2312" w:eastAsia="仿宋_GB2312"/>
          <w:sz w:val="32"/>
          <w:szCs w:val="32"/>
          <w:lang w:val="en-US" w:eastAsia="zh-CN"/>
        </w:rPr>
        <w:t>24</w:t>
      </w:r>
      <w:r>
        <w:rPr>
          <w:rFonts w:hint="eastAsia" w:ascii="仿宋_GB2312" w:eastAsia="仿宋_GB2312"/>
          <w:sz w:val="32"/>
          <w:szCs w:val="32"/>
        </w:rPr>
        <w:t>人，其中：公务员</w:t>
      </w:r>
      <w:r>
        <w:rPr>
          <w:rFonts w:hint="eastAsia" w:ascii="仿宋_GB2312" w:eastAsia="仿宋_GB2312"/>
          <w:sz w:val="32"/>
          <w:szCs w:val="32"/>
          <w:lang w:val="en-US" w:eastAsia="zh-CN"/>
        </w:rPr>
        <w:t>13</w:t>
      </w:r>
      <w:r>
        <w:rPr>
          <w:rFonts w:hint="eastAsia" w:ascii="仿宋_GB2312" w:eastAsia="仿宋_GB2312"/>
          <w:sz w:val="32"/>
          <w:szCs w:val="32"/>
        </w:rPr>
        <w:t>人（人大</w:t>
      </w:r>
      <w:r>
        <w:rPr>
          <w:rFonts w:hint="eastAsia" w:ascii="仿宋_GB2312" w:eastAsia="仿宋_GB2312"/>
          <w:sz w:val="32"/>
          <w:szCs w:val="32"/>
          <w:lang w:val="en-US" w:eastAsia="zh-CN"/>
        </w:rPr>
        <w:t>1</w:t>
      </w:r>
      <w:r>
        <w:rPr>
          <w:rFonts w:hint="eastAsia" w:ascii="仿宋_GB2312" w:eastAsia="仿宋_GB2312"/>
          <w:sz w:val="32"/>
          <w:szCs w:val="32"/>
        </w:rPr>
        <w:t>人，政府机关</w:t>
      </w:r>
      <w:r>
        <w:rPr>
          <w:rFonts w:hint="eastAsia" w:ascii="仿宋_GB2312" w:eastAsia="仿宋_GB2312"/>
          <w:sz w:val="32"/>
          <w:szCs w:val="32"/>
          <w:lang w:val="en-US" w:eastAsia="zh-CN"/>
        </w:rPr>
        <w:t>6</w:t>
      </w:r>
      <w:r>
        <w:rPr>
          <w:rFonts w:hint="eastAsia" w:ascii="仿宋_GB2312" w:eastAsia="仿宋_GB2312"/>
          <w:sz w:val="32"/>
          <w:szCs w:val="32"/>
        </w:rPr>
        <w:t>人，财政</w:t>
      </w:r>
      <w:r>
        <w:rPr>
          <w:rFonts w:hint="eastAsia" w:ascii="仿宋_GB2312" w:eastAsia="仿宋_GB2312"/>
          <w:sz w:val="32"/>
          <w:szCs w:val="32"/>
          <w:lang w:val="en-US" w:eastAsia="zh-CN"/>
        </w:rPr>
        <w:t>1</w:t>
      </w:r>
      <w:r>
        <w:rPr>
          <w:rFonts w:hint="eastAsia" w:ascii="仿宋_GB2312" w:eastAsia="仿宋_GB2312"/>
          <w:sz w:val="32"/>
          <w:szCs w:val="32"/>
        </w:rPr>
        <w:t>人，党委</w:t>
      </w:r>
      <w:r>
        <w:rPr>
          <w:rFonts w:hint="eastAsia" w:ascii="仿宋_GB2312" w:eastAsia="仿宋_GB2312"/>
          <w:sz w:val="32"/>
          <w:szCs w:val="32"/>
          <w:lang w:val="en-US" w:eastAsia="zh-CN"/>
        </w:rPr>
        <w:t>3</w:t>
      </w:r>
      <w:r>
        <w:rPr>
          <w:rFonts w:hint="eastAsia" w:ascii="仿宋_GB2312" w:eastAsia="仿宋_GB2312"/>
          <w:sz w:val="32"/>
          <w:szCs w:val="32"/>
        </w:rPr>
        <w:t>人</w:t>
      </w:r>
      <w:r>
        <w:rPr>
          <w:rFonts w:hint="eastAsia" w:ascii="仿宋_GB2312" w:eastAsia="仿宋_GB2312"/>
          <w:sz w:val="32"/>
          <w:szCs w:val="32"/>
          <w:lang w:eastAsia="zh-CN"/>
        </w:rPr>
        <w:t>，计生</w:t>
      </w:r>
      <w:r>
        <w:rPr>
          <w:rFonts w:hint="eastAsia" w:ascii="仿宋_GB2312" w:eastAsia="仿宋_GB2312"/>
          <w:sz w:val="32"/>
          <w:szCs w:val="32"/>
          <w:lang w:val="en-US" w:eastAsia="zh-CN"/>
        </w:rPr>
        <w:t>1人</w:t>
      </w:r>
      <w:r>
        <w:rPr>
          <w:rFonts w:hint="eastAsia" w:ascii="仿宋_GB2312" w:eastAsia="仿宋_GB2312"/>
          <w:sz w:val="32"/>
          <w:szCs w:val="32"/>
        </w:rPr>
        <w:t>）</w:t>
      </w:r>
      <w:r>
        <w:rPr>
          <w:rFonts w:hint="eastAsia" w:ascii="仿宋_GB2312" w:eastAsia="仿宋_GB2312"/>
          <w:sz w:val="32"/>
          <w:szCs w:val="32"/>
          <w:lang w:eastAsia="zh-CN"/>
        </w:rPr>
        <w:t>；机关工勤人员</w:t>
      </w:r>
      <w:r>
        <w:rPr>
          <w:rFonts w:hint="eastAsia" w:ascii="仿宋_GB2312" w:eastAsia="仿宋_GB2312"/>
          <w:sz w:val="32"/>
          <w:szCs w:val="32"/>
          <w:lang w:val="en-US" w:eastAsia="zh-CN"/>
        </w:rPr>
        <w:t>4人；</w:t>
      </w:r>
      <w:r>
        <w:rPr>
          <w:rFonts w:hint="eastAsia" w:ascii="仿宋_GB2312" w:eastAsia="仿宋_GB2312"/>
          <w:sz w:val="32"/>
          <w:szCs w:val="32"/>
        </w:rPr>
        <w:t>事业干部</w:t>
      </w:r>
      <w:r>
        <w:rPr>
          <w:rFonts w:hint="eastAsia" w:ascii="仿宋_GB2312" w:eastAsia="仿宋_GB2312"/>
          <w:sz w:val="32"/>
          <w:szCs w:val="32"/>
          <w:lang w:val="en-US" w:eastAsia="zh-CN"/>
        </w:rPr>
        <w:t>7</w:t>
      </w:r>
      <w:r>
        <w:rPr>
          <w:rFonts w:hint="eastAsia" w:ascii="仿宋_GB2312" w:eastAsia="仿宋_GB2312"/>
          <w:sz w:val="32"/>
          <w:szCs w:val="32"/>
        </w:rPr>
        <w:t>人（社保1人，农业</w:t>
      </w:r>
      <w:r>
        <w:rPr>
          <w:rFonts w:hint="eastAsia" w:ascii="仿宋_GB2312" w:eastAsia="仿宋_GB2312"/>
          <w:sz w:val="32"/>
          <w:szCs w:val="32"/>
          <w:lang w:val="en-US" w:eastAsia="zh-CN"/>
        </w:rPr>
        <w:t>3</w:t>
      </w:r>
      <w:r>
        <w:rPr>
          <w:rFonts w:hint="eastAsia" w:ascii="仿宋_GB2312" w:eastAsia="仿宋_GB2312"/>
          <w:sz w:val="32"/>
          <w:szCs w:val="32"/>
        </w:rPr>
        <w:t>人，林业</w:t>
      </w:r>
      <w:r>
        <w:rPr>
          <w:rFonts w:hint="eastAsia" w:ascii="仿宋_GB2312" w:eastAsia="仿宋_GB2312"/>
          <w:sz w:val="32"/>
          <w:szCs w:val="32"/>
          <w:lang w:val="en-US" w:eastAsia="zh-CN"/>
        </w:rPr>
        <w:t>1</w:t>
      </w:r>
      <w:r>
        <w:rPr>
          <w:rFonts w:hint="eastAsia" w:ascii="仿宋_GB2312" w:eastAsia="仿宋_GB2312"/>
          <w:sz w:val="32"/>
          <w:szCs w:val="32"/>
        </w:rPr>
        <w:t>人，兽防</w:t>
      </w:r>
      <w:r>
        <w:rPr>
          <w:rFonts w:hint="eastAsia" w:ascii="仿宋_GB2312" w:eastAsia="仿宋_GB2312"/>
          <w:sz w:val="32"/>
          <w:szCs w:val="32"/>
          <w:lang w:val="en-US" w:eastAsia="zh-CN"/>
        </w:rPr>
        <w:t>2</w:t>
      </w:r>
      <w:r>
        <w:rPr>
          <w:rFonts w:hint="eastAsia" w:ascii="仿宋_GB2312" w:eastAsia="仿宋_GB2312"/>
          <w:sz w:val="32"/>
          <w:szCs w:val="32"/>
        </w:rPr>
        <w:t>人），大学生村官</w:t>
      </w:r>
      <w:r>
        <w:rPr>
          <w:rFonts w:hint="eastAsia" w:ascii="仿宋_GB2312" w:eastAsia="仿宋_GB2312"/>
          <w:sz w:val="32"/>
          <w:szCs w:val="32"/>
          <w:lang w:val="en-US" w:eastAsia="zh-CN"/>
        </w:rPr>
        <w:t>0</w:t>
      </w:r>
      <w:r>
        <w:rPr>
          <w:rFonts w:hint="eastAsia" w:ascii="仿宋_GB2312" w:eastAsia="仿宋_GB2312"/>
          <w:sz w:val="32"/>
          <w:szCs w:val="32"/>
        </w:rPr>
        <w:t>人，交通协警</w:t>
      </w:r>
      <w:r>
        <w:rPr>
          <w:rFonts w:hint="eastAsia" w:ascii="仿宋_GB2312" w:eastAsia="仿宋_GB2312"/>
          <w:sz w:val="32"/>
          <w:szCs w:val="32"/>
          <w:lang w:val="en-US" w:eastAsia="zh-CN"/>
        </w:rPr>
        <w:t>1</w:t>
      </w:r>
      <w:r>
        <w:rPr>
          <w:rFonts w:hint="eastAsia" w:ascii="仿宋_GB2312" w:eastAsia="仿宋_GB2312"/>
          <w:sz w:val="32"/>
          <w:szCs w:val="32"/>
        </w:rPr>
        <w:t>人，遗属补助</w:t>
      </w:r>
      <w:r>
        <w:rPr>
          <w:rFonts w:hint="eastAsia" w:ascii="仿宋_GB2312" w:eastAsia="仿宋_GB2312"/>
          <w:sz w:val="32"/>
          <w:szCs w:val="32"/>
          <w:lang w:val="en-US" w:eastAsia="zh-CN"/>
        </w:rPr>
        <w:t>3</w:t>
      </w:r>
      <w:r>
        <w:rPr>
          <w:rFonts w:hint="eastAsia" w:ascii="仿宋_GB2312" w:eastAsia="仿宋_GB2312"/>
          <w:sz w:val="32"/>
          <w:szCs w:val="32"/>
        </w:rPr>
        <w:t>人，炊事员1人，退休人员</w:t>
      </w:r>
      <w:r>
        <w:rPr>
          <w:rFonts w:hint="eastAsia" w:ascii="仿宋_GB2312" w:eastAsia="仿宋_GB2312"/>
          <w:sz w:val="32"/>
          <w:szCs w:val="32"/>
          <w:lang w:val="en-US" w:eastAsia="zh-CN"/>
        </w:rPr>
        <w:t>7</w:t>
      </w:r>
      <w:r>
        <w:rPr>
          <w:rFonts w:hint="eastAsia" w:ascii="仿宋_GB2312" w:eastAsia="仿宋_GB2312"/>
          <w:sz w:val="32"/>
          <w:szCs w:val="32"/>
        </w:rPr>
        <w:t>人（公务员</w:t>
      </w:r>
      <w:r>
        <w:rPr>
          <w:rFonts w:hint="eastAsia" w:ascii="仿宋_GB2312" w:eastAsia="仿宋_GB2312"/>
          <w:sz w:val="32"/>
          <w:szCs w:val="32"/>
          <w:lang w:val="en-US" w:eastAsia="zh-CN"/>
        </w:rPr>
        <w:t>1</w:t>
      </w:r>
      <w:r>
        <w:rPr>
          <w:rFonts w:hint="eastAsia" w:ascii="仿宋_GB2312" w:eastAsia="仿宋_GB2312"/>
          <w:sz w:val="32"/>
          <w:szCs w:val="32"/>
        </w:rPr>
        <w:t>人，事业</w:t>
      </w:r>
      <w:r>
        <w:rPr>
          <w:rFonts w:hint="eastAsia" w:ascii="仿宋_GB2312" w:eastAsia="仿宋_GB2312"/>
          <w:sz w:val="32"/>
          <w:szCs w:val="32"/>
          <w:lang w:val="en-US" w:eastAsia="zh-CN"/>
        </w:rPr>
        <w:t>6</w:t>
      </w:r>
      <w:r>
        <w:rPr>
          <w:rFonts w:hint="eastAsia" w:ascii="仿宋_GB2312" w:eastAsia="仿宋_GB2312"/>
          <w:sz w:val="32"/>
          <w:szCs w:val="32"/>
        </w:rPr>
        <w:t>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二、部门财政资金收支情况</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（一）部门财政资金收入情况。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lang w:val="en-US" w:eastAsia="zh-CN"/>
        </w:rPr>
        <w:t>2019年我乡</w:t>
      </w:r>
      <w:r>
        <w:rPr>
          <w:rFonts w:hint="eastAsia" w:ascii="仿宋" w:hAnsi="仿宋" w:eastAsia="仿宋" w:cs="仿宋"/>
          <w:sz w:val="32"/>
          <w:szCs w:val="32"/>
        </w:rPr>
        <w:t>本年总收入</w:t>
      </w:r>
      <w:r>
        <w:rPr>
          <w:rFonts w:hint="eastAsia" w:ascii="仿宋" w:hAnsi="仿宋" w:eastAsia="仿宋" w:cs="仿宋"/>
          <w:sz w:val="32"/>
          <w:szCs w:val="32"/>
          <w:lang w:val="en-US" w:eastAsia="zh-CN"/>
        </w:rPr>
        <w:t>511.67万</w:t>
      </w:r>
      <w:r>
        <w:rPr>
          <w:rFonts w:hint="eastAsia" w:ascii="仿宋" w:hAnsi="仿宋" w:eastAsia="仿宋" w:cs="仿宋"/>
          <w:sz w:val="32"/>
          <w:szCs w:val="32"/>
        </w:rPr>
        <w:t>元，其中：一般财政拨款收入为</w:t>
      </w:r>
      <w:r>
        <w:rPr>
          <w:rFonts w:hint="eastAsia" w:ascii="仿宋" w:hAnsi="仿宋" w:eastAsia="仿宋" w:cs="仿宋"/>
          <w:sz w:val="32"/>
          <w:szCs w:val="32"/>
          <w:lang w:val="en-US" w:eastAsia="zh-CN"/>
        </w:rPr>
        <w:t>511.67万</w:t>
      </w:r>
      <w:r>
        <w:rPr>
          <w:rFonts w:hint="eastAsia" w:ascii="仿宋" w:hAnsi="仿宋" w:eastAsia="仿宋" w:cs="仿宋"/>
          <w:sz w:val="32"/>
          <w:szCs w:val="32"/>
        </w:rPr>
        <w:t>元，年初结转和结余收入为</w:t>
      </w:r>
      <w:r>
        <w:rPr>
          <w:rFonts w:hint="eastAsia" w:ascii="仿宋" w:hAnsi="仿宋" w:eastAsia="仿宋" w:cs="仿宋"/>
          <w:sz w:val="32"/>
          <w:szCs w:val="32"/>
          <w:lang w:val="en-US" w:eastAsia="zh-CN"/>
        </w:rPr>
        <w:t>0万</w:t>
      </w:r>
      <w:r>
        <w:rPr>
          <w:rFonts w:hint="eastAsia" w:ascii="仿宋" w:hAnsi="仿宋" w:eastAsia="仿宋" w:cs="仿宋"/>
          <w:sz w:val="32"/>
          <w:szCs w:val="32"/>
        </w:rPr>
        <w:t>元。201</w:t>
      </w:r>
      <w:r>
        <w:rPr>
          <w:rFonts w:hint="eastAsia" w:ascii="仿宋" w:hAnsi="仿宋" w:eastAsia="仿宋" w:cs="仿宋"/>
          <w:sz w:val="32"/>
          <w:szCs w:val="32"/>
          <w:lang w:val="en-US" w:eastAsia="zh-CN"/>
        </w:rPr>
        <w:t>9</w:t>
      </w:r>
      <w:r>
        <w:rPr>
          <w:rFonts w:hint="eastAsia" w:ascii="仿宋" w:hAnsi="仿宋" w:eastAsia="仿宋" w:cs="仿宋"/>
          <w:sz w:val="32"/>
          <w:szCs w:val="32"/>
        </w:rPr>
        <w:t>年年初预算财政拨款收入为</w:t>
      </w:r>
      <w:r>
        <w:rPr>
          <w:rFonts w:hint="eastAsia" w:ascii="仿宋" w:hAnsi="仿宋" w:eastAsia="仿宋" w:cs="仿宋"/>
          <w:sz w:val="32"/>
          <w:szCs w:val="32"/>
          <w:lang w:val="en-US" w:eastAsia="zh-CN"/>
        </w:rPr>
        <w:t>493.12万</w:t>
      </w:r>
      <w:r>
        <w:rPr>
          <w:rFonts w:hint="eastAsia" w:ascii="仿宋" w:hAnsi="仿宋" w:eastAsia="仿宋" w:cs="仿宋"/>
          <w:sz w:val="32"/>
          <w:szCs w:val="32"/>
        </w:rPr>
        <w:t>元，年终调整预算追加为</w:t>
      </w:r>
      <w:r>
        <w:rPr>
          <w:rFonts w:hint="eastAsia" w:ascii="仿宋" w:hAnsi="仿宋" w:eastAsia="仿宋" w:cs="仿宋"/>
          <w:kern w:val="0"/>
          <w:sz w:val="32"/>
          <w:szCs w:val="32"/>
          <w:lang w:val="en-US" w:eastAsia="zh-CN"/>
        </w:rPr>
        <w:t>511.67万</w:t>
      </w:r>
      <w:r>
        <w:rPr>
          <w:rFonts w:hint="eastAsia" w:ascii="仿宋" w:hAnsi="仿宋" w:eastAsia="仿宋" w:cs="仿宋"/>
          <w:sz w:val="32"/>
          <w:szCs w:val="32"/>
        </w:rPr>
        <w:t>元</w:t>
      </w:r>
      <w:r>
        <w:rPr>
          <w:rFonts w:hint="eastAsia" w:ascii="仿宋" w:hAnsi="仿宋" w:eastAsia="仿宋" w:cs="仿宋"/>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部门财政资金支出情况。</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全</w:t>
      </w:r>
      <w:r>
        <w:rPr>
          <w:rFonts w:hint="eastAsia" w:ascii="仿宋_GB2312" w:eastAsia="仿宋_GB2312"/>
          <w:sz w:val="32"/>
          <w:szCs w:val="32"/>
          <w:lang w:eastAsia="zh-CN"/>
        </w:rPr>
        <w:t>乡</w:t>
      </w:r>
      <w:r>
        <w:rPr>
          <w:rFonts w:hint="eastAsia" w:ascii="仿宋_GB2312" w:eastAsia="仿宋_GB2312"/>
          <w:sz w:val="32"/>
          <w:szCs w:val="32"/>
        </w:rPr>
        <w:t>财政收入完成</w:t>
      </w:r>
      <w:r>
        <w:rPr>
          <w:rFonts w:hint="eastAsia" w:ascii="仿宋" w:hAnsi="仿宋" w:eastAsia="仿宋" w:cs="仿宋"/>
          <w:sz w:val="32"/>
          <w:szCs w:val="32"/>
          <w:lang w:val="en-US" w:eastAsia="zh-CN"/>
        </w:rPr>
        <w:t>511.67万</w:t>
      </w:r>
      <w:r>
        <w:rPr>
          <w:rFonts w:hint="eastAsia" w:ascii="仿宋_GB2312" w:eastAsia="仿宋_GB2312"/>
          <w:sz w:val="32"/>
          <w:szCs w:val="32"/>
        </w:rPr>
        <w:t>元，</w:t>
      </w:r>
      <w:r>
        <w:rPr>
          <w:rFonts w:hint="eastAsia" w:ascii="仿宋_GB2312" w:eastAsia="仿宋_GB2312"/>
          <w:sz w:val="32"/>
          <w:szCs w:val="32"/>
          <w:lang w:eastAsia="zh-CN"/>
        </w:rPr>
        <w:t>乡</w:t>
      </w:r>
      <w:r>
        <w:rPr>
          <w:rFonts w:hint="eastAsia" w:ascii="仿宋_GB2312" w:eastAsia="仿宋_GB2312"/>
          <w:sz w:val="32"/>
          <w:szCs w:val="32"/>
        </w:rPr>
        <w:t>总财政支出</w:t>
      </w:r>
      <w:r>
        <w:rPr>
          <w:rFonts w:hint="eastAsia" w:ascii="仿宋" w:hAnsi="仿宋" w:eastAsia="仿宋" w:cs="仿宋"/>
          <w:sz w:val="32"/>
          <w:szCs w:val="32"/>
          <w:lang w:val="en-US" w:eastAsia="zh-CN"/>
        </w:rPr>
        <w:t>511.67万</w:t>
      </w:r>
      <w:r>
        <w:rPr>
          <w:rFonts w:hint="eastAsia" w:ascii="仿宋_GB2312" w:eastAsia="仿宋_GB2312"/>
          <w:sz w:val="32"/>
          <w:szCs w:val="32"/>
        </w:rPr>
        <w:t>元。其中按功能科目分：一般公共服务支出</w:t>
      </w:r>
      <w:r>
        <w:rPr>
          <w:rFonts w:hint="eastAsia" w:ascii="仿宋_GB2312" w:eastAsia="仿宋_GB2312"/>
          <w:sz w:val="32"/>
          <w:szCs w:val="32"/>
          <w:lang w:val="en-US" w:eastAsia="zh-CN"/>
        </w:rPr>
        <w:t>180.42万</w:t>
      </w:r>
      <w:r>
        <w:rPr>
          <w:rFonts w:hint="eastAsia" w:ascii="仿宋_GB2312" w:eastAsia="仿宋_GB2312"/>
          <w:sz w:val="32"/>
          <w:szCs w:val="32"/>
        </w:rPr>
        <w:t>元,社会保障与就业</w:t>
      </w:r>
      <w:r>
        <w:rPr>
          <w:rFonts w:hint="eastAsia" w:ascii="仿宋_GB2312" w:eastAsia="仿宋_GB2312"/>
          <w:sz w:val="32"/>
          <w:szCs w:val="32"/>
          <w:lang w:val="en-US" w:eastAsia="zh-CN"/>
        </w:rPr>
        <w:t>38.65万</w:t>
      </w:r>
      <w:r>
        <w:rPr>
          <w:rFonts w:hint="eastAsia" w:ascii="仿宋_GB2312" w:eastAsia="仿宋_GB2312"/>
          <w:sz w:val="32"/>
          <w:szCs w:val="32"/>
        </w:rPr>
        <w:t>元,医疗卫生与计划生育支出</w:t>
      </w:r>
      <w:r>
        <w:rPr>
          <w:rFonts w:hint="eastAsia" w:ascii="仿宋_GB2312" w:eastAsia="仿宋_GB2312"/>
          <w:sz w:val="32"/>
          <w:szCs w:val="32"/>
          <w:lang w:val="en-US" w:eastAsia="zh-CN"/>
        </w:rPr>
        <w:t>22.95万</w:t>
      </w:r>
      <w:r>
        <w:rPr>
          <w:rFonts w:hint="eastAsia" w:ascii="仿宋_GB2312" w:eastAsia="仿宋_GB2312"/>
          <w:sz w:val="32"/>
          <w:szCs w:val="32"/>
        </w:rPr>
        <w:t>元，城</w:t>
      </w:r>
      <w:r>
        <w:rPr>
          <w:rFonts w:hint="eastAsia" w:ascii="仿宋_GB2312" w:eastAsia="仿宋_GB2312"/>
          <w:sz w:val="32"/>
          <w:szCs w:val="32"/>
          <w:lang w:eastAsia="zh-CN"/>
        </w:rPr>
        <w:t>乡</w:t>
      </w:r>
      <w:r>
        <w:rPr>
          <w:rFonts w:hint="eastAsia" w:ascii="仿宋_GB2312" w:eastAsia="仿宋_GB2312"/>
          <w:sz w:val="32"/>
          <w:szCs w:val="32"/>
        </w:rPr>
        <w:t>社区支出</w:t>
      </w:r>
      <w:r>
        <w:rPr>
          <w:rFonts w:hint="eastAsia" w:ascii="仿宋_GB2312" w:eastAsia="仿宋_GB2312"/>
          <w:sz w:val="32"/>
          <w:szCs w:val="32"/>
          <w:lang w:val="en-US" w:eastAsia="zh-CN"/>
        </w:rPr>
        <w:t>11.80万</w:t>
      </w:r>
      <w:r>
        <w:rPr>
          <w:rFonts w:hint="eastAsia" w:ascii="仿宋_GB2312" w:eastAsia="仿宋_GB2312"/>
          <w:sz w:val="32"/>
          <w:szCs w:val="32"/>
        </w:rPr>
        <w:t>元，农林水事务支出</w:t>
      </w:r>
      <w:r>
        <w:rPr>
          <w:rFonts w:hint="eastAsia" w:ascii="仿宋_GB2312" w:eastAsia="仿宋_GB2312"/>
          <w:sz w:val="32"/>
          <w:szCs w:val="32"/>
          <w:lang w:val="en-US" w:eastAsia="zh-CN"/>
        </w:rPr>
        <w:t>220.08万</w:t>
      </w:r>
      <w:r>
        <w:rPr>
          <w:rFonts w:hint="eastAsia" w:ascii="仿宋_GB2312" w:eastAsia="仿宋_GB2312"/>
          <w:sz w:val="32"/>
          <w:szCs w:val="32"/>
        </w:rPr>
        <w:t>元，公共安全支出</w:t>
      </w:r>
      <w:r>
        <w:rPr>
          <w:rFonts w:hint="eastAsia" w:ascii="仿宋_GB2312" w:eastAsia="仿宋_GB2312"/>
          <w:sz w:val="32"/>
          <w:szCs w:val="32"/>
          <w:lang w:val="en-US" w:eastAsia="zh-CN"/>
        </w:rPr>
        <w:t>8.5万</w:t>
      </w:r>
      <w:r>
        <w:rPr>
          <w:rFonts w:hint="eastAsia" w:ascii="仿宋_GB2312" w:eastAsia="仿宋_GB2312"/>
          <w:sz w:val="32"/>
          <w:szCs w:val="32"/>
        </w:rPr>
        <w:t>元，住房保障支出</w:t>
      </w:r>
      <w:r>
        <w:rPr>
          <w:rFonts w:hint="eastAsia" w:ascii="仿宋_GB2312" w:eastAsia="仿宋_GB2312"/>
          <w:sz w:val="32"/>
          <w:szCs w:val="32"/>
          <w:lang w:val="en-US" w:eastAsia="zh-CN"/>
        </w:rPr>
        <w:t>19.26万</w:t>
      </w:r>
      <w:r>
        <w:rPr>
          <w:rFonts w:hint="eastAsia" w:ascii="仿宋_GB2312" w:eastAsia="仿宋_GB2312"/>
          <w:sz w:val="32"/>
          <w:szCs w:val="32"/>
        </w:rPr>
        <w:t>元</w:t>
      </w:r>
      <w:r>
        <w:rPr>
          <w:rFonts w:hint="eastAsia" w:ascii="仿宋_GB2312" w:eastAsia="仿宋_GB2312"/>
          <w:sz w:val="32"/>
          <w:szCs w:val="32"/>
          <w:lang w:eastAsia="zh-CN"/>
        </w:rPr>
        <w:t>，文化旅游体育与传媒支出</w:t>
      </w:r>
      <w:r>
        <w:rPr>
          <w:rFonts w:hint="eastAsia" w:ascii="仿宋_GB2312" w:eastAsia="仿宋_GB2312"/>
          <w:sz w:val="32"/>
          <w:szCs w:val="32"/>
          <w:lang w:val="en-US" w:eastAsia="zh-CN"/>
        </w:rPr>
        <w:t>10万元。</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按经济科目分：工资及福利支出</w:t>
      </w:r>
      <w:r>
        <w:rPr>
          <w:rFonts w:hint="eastAsia" w:ascii="仿宋_GB2312" w:eastAsia="仿宋_GB2312"/>
          <w:sz w:val="32"/>
          <w:szCs w:val="32"/>
          <w:lang w:val="en-US" w:eastAsia="zh-CN"/>
        </w:rPr>
        <w:t>280.70万</w:t>
      </w:r>
      <w:r>
        <w:rPr>
          <w:rFonts w:hint="eastAsia" w:ascii="仿宋_GB2312" w:eastAsia="仿宋_GB2312"/>
          <w:sz w:val="32"/>
          <w:szCs w:val="32"/>
        </w:rPr>
        <w:t>元；商品和服务支出</w:t>
      </w:r>
      <w:r>
        <w:rPr>
          <w:rFonts w:hint="eastAsia" w:ascii="仿宋_GB2312" w:eastAsia="仿宋_GB2312"/>
          <w:sz w:val="32"/>
          <w:szCs w:val="32"/>
          <w:lang w:val="en-US" w:eastAsia="zh-CN"/>
        </w:rPr>
        <w:t>99.24万</w:t>
      </w:r>
      <w:r>
        <w:rPr>
          <w:rFonts w:hint="eastAsia" w:ascii="仿宋_GB2312" w:eastAsia="仿宋_GB2312"/>
          <w:sz w:val="32"/>
          <w:szCs w:val="32"/>
        </w:rPr>
        <w:t>元，对个人和家庭的补助支出</w:t>
      </w:r>
      <w:r>
        <w:rPr>
          <w:rFonts w:hint="eastAsia" w:ascii="仿宋_GB2312" w:eastAsia="仿宋_GB2312"/>
          <w:sz w:val="32"/>
          <w:szCs w:val="32"/>
          <w:lang w:val="en-US" w:eastAsia="zh-CN"/>
        </w:rPr>
        <w:t>71.72万</w:t>
      </w:r>
      <w:r>
        <w:rPr>
          <w:rFonts w:hint="eastAsia" w:ascii="仿宋_GB2312" w:eastAsia="仿宋_GB2312"/>
          <w:sz w:val="32"/>
          <w:szCs w:val="32"/>
        </w:rPr>
        <w:t>元；其他资本性支出</w:t>
      </w:r>
      <w:r>
        <w:rPr>
          <w:rFonts w:hint="eastAsia" w:ascii="仿宋_GB2312" w:eastAsia="仿宋_GB2312"/>
          <w:sz w:val="32"/>
          <w:szCs w:val="32"/>
          <w:lang w:val="en-US" w:eastAsia="zh-CN"/>
        </w:rPr>
        <w:t>60万</w:t>
      </w:r>
      <w:r>
        <w:rPr>
          <w:rFonts w:hint="eastAsia" w:ascii="仿宋_GB2312" w:eastAsia="仿宋_GB2312"/>
          <w:sz w:val="32"/>
          <w:szCs w:val="32"/>
        </w:rPr>
        <w:t>元</w:t>
      </w:r>
      <w:r>
        <w:rPr>
          <w:rFonts w:hint="eastAsia" w:ascii="仿宋_GB2312"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 w:hAnsi="仿宋" w:eastAsia="仿宋" w:cs="仿宋_GB2312"/>
          <w:sz w:val="32"/>
          <w:szCs w:val="32"/>
          <w:lang w:val="en-US" w:eastAsia="zh-CN"/>
        </w:rPr>
      </w:pPr>
      <w:r>
        <w:rPr>
          <w:rFonts w:hint="eastAsia" w:ascii="仿宋_GB2312" w:eastAsia="仿宋_GB2312"/>
          <w:sz w:val="32"/>
          <w:szCs w:val="32"/>
        </w:rPr>
        <w:t>本年度预算支出数</w:t>
      </w:r>
      <w:r>
        <w:rPr>
          <w:rFonts w:hint="eastAsia" w:ascii="仿宋" w:hAnsi="仿宋" w:eastAsia="仿宋" w:cs="仿宋"/>
          <w:sz w:val="32"/>
          <w:szCs w:val="32"/>
          <w:lang w:val="en-US" w:eastAsia="zh-CN"/>
        </w:rPr>
        <w:t>511.67万元</w:t>
      </w:r>
      <w:r>
        <w:rPr>
          <w:rFonts w:hint="eastAsia" w:ascii="仿宋_GB2312" w:eastAsia="仿宋_GB2312"/>
          <w:sz w:val="32"/>
          <w:szCs w:val="32"/>
        </w:rPr>
        <w:t>，年终决算支出数</w:t>
      </w:r>
      <w:r>
        <w:rPr>
          <w:rFonts w:hint="eastAsia" w:ascii="仿宋" w:hAnsi="仿宋" w:eastAsia="仿宋" w:cs="仿宋"/>
          <w:sz w:val="32"/>
          <w:szCs w:val="32"/>
          <w:lang w:val="en-US" w:eastAsia="zh-CN"/>
        </w:rPr>
        <w:t>511.67万</w:t>
      </w:r>
      <w:r>
        <w:rPr>
          <w:rFonts w:hint="eastAsia" w:ascii="仿宋_GB2312" w:eastAsia="仿宋_GB2312"/>
          <w:sz w:val="32"/>
          <w:szCs w:val="32"/>
        </w:rPr>
        <w:t>元。全年收支平衡。</w:t>
      </w:r>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pageBreakBefore w:val="0"/>
        <w:kinsoku/>
        <w:wordWrap/>
        <w:overflowPunct/>
        <w:topLinePunct w:val="0"/>
        <w:bidi w:val="0"/>
        <w:spacing w:line="600" w:lineRule="exact"/>
        <w:ind w:firstLine="643" w:firstLineChars="200"/>
        <w:textAlignment w:val="auto"/>
        <w:rPr>
          <w:rFonts w:ascii="仿宋" w:hAnsi="仿宋" w:eastAsia="仿宋" w:cs="仿宋_GB2312"/>
          <w:sz w:val="32"/>
          <w:szCs w:val="32"/>
        </w:rPr>
      </w:pPr>
      <w:r>
        <w:rPr>
          <w:rFonts w:ascii="仿宋" w:hAnsi="仿宋" w:eastAsia="仿宋" w:cs="仿宋_GB2312"/>
          <w:b/>
          <w:bCs/>
          <w:sz w:val="32"/>
          <w:szCs w:val="32"/>
        </w:rPr>
        <w:t>（一）部门预算管理。</w:t>
      </w:r>
    </w:p>
    <w:p>
      <w:pPr>
        <w:pageBreakBefore w:val="0"/>
        <w:kinsoku/>
        <w:wordWrap/>
        <w:overflowPunct/>
        <w:topLinePunct w:val="0"/>
        <w:bidi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朝阳乡</w:t>
      </w:r>
      <w:r>
        <w:rPr>
          <w:rFonts w:hint="eastAsia" w:ascii="华文仿宋" w:hAnsi="华文仿宋" w:eastAsia="华文仿宋" w:cs="华文仿宋"/>
          <w:sz w:val="32"/>
          <w:szCs w:val="32"/>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年基本完成，在保障机关运转、履行职能职责上整体情况良好。</w:t>
      </w:r>
    </w:p>
    <w:p>
      <w:pPr>
        <w:pageBreakBefore w:val="0"/>
        <w:kinsoku/>
        <w:wordWrap/>
        <w:overflowPunct/>
        <w:topLinePunct w:val="0"/>
        <w:bidi w:val="0"/>
        <w:spacing w:line="600" w:lineRule="exact"/>
        <w:ind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（二）专项预算管理。</w:t>
      </w:r>
    </w:p>
    <w:p>
      <w:pPr>
        <w:pageBreakBefore w:val="0"/>
        <w:kinsoku/>
        <w:wordWrap/>
        <w:overflowPunct/>
        <w:topLinePunct w:val="0"/>
        <w:bidi w:val="0"/>
        <w:spacing w:line="6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（三）结果应用情况。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1.部门职责履行结果。我</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大力加强财政收支管理，使部门整体支出管理情况得到了提升，保障了各项工作的有序高效运转，较好地履行了各项职能，并完成了上级交</w:t>
      </w:r>
      <w:r>
        <w:rPr>
          <w:rFonts w:hint="eastAsia"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的各项任务。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2.重点项目绩效评价结果。201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年，我</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从本级预算安排项目中选择重点项目开展支出绩效评价工作，从评价结果看，被评价项目总体绩效目标明确，决策依据充分，资金分配科学合理，项目管理较规范，项目完成良好，基本达到了预期效果。</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3.服务对象满意度。积极认真</w:t>
      </w:r>
      <w:r>
        <w:rPr>
          <w:rFonts w:hint="eastAsia" w:ascii="Times New Roman" w:hAnsi="Times New Roman" w:eastAsia="仿宋_GB2312" w:cs="Times New Roman"/>
          <w:sz w:val="32"/>
          <w:szCs w:val="32"/>
          <w:lang w:eastAsia="zh-CN"/>
        </w:rPr>
        <w:t>镇</w:t>
      </w:r>
      <w:r>
        <w:rPr>
          <w:rFonts w:hint="eastAsia" w:eastAsia="仿宋_GB2312" w:cs="Times New Roman"/>
          <w:sz w:val="32"/>
          <w:szCs w:val="32"/>
          <w:lang w:eastAsia="zh-CN"/>
        </w:rPr>
        <w:t>梳</w:t>
      </w:r>
      <w:r>
        <w:rPr>
          <w:rFonts w:hint="default" w:ascii="Times New Roman" w:hAnsi="Times New Roman" w:eastAsia="仿宋_GB2312" w:cs="Times New Roman"/>
          <w:sz w:val="32"/>
          <w:szCs w:val="32"/>
        </w:rPr>
        <w:t>理人大代表建议、妥善处理群众来信来访、化解社会矛盾情况，加强政风行风建设、解决损害群众利益的情况，人民群众满意度较好。</w:t>
      </w:r>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四、评价结论及建议</w:t>
      </w:r>
    </w:p>
    <w:p>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_GB2312"/>
          <w:sz w:val="32"/>
          <w:szCs w:val="32"/>
        </w:rPr>
      </w:pP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年，我</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紧紧围绕党委、政府中心工作依法履职，全面完成了各项任务，保障了中央和省、市、县政府重大决策部署贯彻落实，促进了作风转变和自身建设，经费保障能力不断提高，经费投向科学合理，财务管理监督规范有效，经济社会效益功能明显，为维护地方经济安全发挥了积极作用。</w:t>
      </w:r>
    </w:p>
    <w:p>
      <w:pPr>
        <w:pageBreakBefore w:val="0"/>
        <w:numPr>
          <w:ilvl w:val="0"/>
          <w:numId w:val="0"/>
        </w:numPr>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hint="eastAsia" w:ascii="仿宋" w:hAnsi="仿宋" w:eastAsia="仿宋" w:cs="仿宋_GB2312"/>
          <w:b/>
          <w:bCs/>
          <w:sz w:val="32"/>
          <w:szCs w:val="32"/>
          <w:lang w:eastAsia="zh-CN"/>
        </w:rPr>
        <w:t>（二）</w:t>
      </w:r>
      <w:r>
        <w:rPr>
          <w:rFonts w:ascii="仿宋" w:hAnsi="仿宋" w:eastAsia="仿宋" w:cs="仿宋_GB2312"/>
          <w:b/>
          <w:bCs/>
          <w:sz w:val="32"/>
          <w:szCs w:val="32"/>
        </w:rPr>
        <w:t>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1.面对复杂的经济环境，财政增收的压力进一步加大，财政收入结构性矛盾突出。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2.财政科学化、精细化管理水平有待进一步提高等。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3.财政资源配置作用有待进一步加强。</w:t>
      </w:r>
    </w:p>
    <w:p>
      <w:pPr>
        <w:pageBreakBefore w:val="0"/>
        <w:kinsoku/>
        <w:wordWrap/>
        <w:overflowPunct/>
        <w:topLinePunct w:val="0"/>
        <w:bidi w:val="0"/>
        <w:spacing w:line="600" w:lineRule="exact"/>
        <w:ind w:firstLine="643" w:firstLineChars="200"/>
        <w:textAlignment w:val="auto"/>
        <w:rPr>
          <w:rFonts w:ascii="仿宋" w:hAnsi="仿宋" w:eastAsia="仿宋" w:cs="仿宋_GB2312"/>
          <w:sz w:val="32"/>
          <w:szCs w:val="32"/>
        </w:rPr>
      </w:pPr>
      <w:r>
        <w:rPr>
          <w:rFonts w:ascii="仿宋" w:hAnsi="仿宋" w:eastAsia="仿宋" w:cs="仿宋_GB2312"/>
          <w:b/>
          <w:bCs/>
          <w:sz w:val="32"/>
          <w:szCs w:val="32"/>
        </w:rPr>
        <w:t>（三）改进建议。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1.抓好税收征管工作，坚持依法征税,做好企业服务工作，稳固主体税源；加强财政非税收入征缴，努力做到应收尽收，确保财政收入稳定增长。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2.不断完善部门预算编制工作，在规范制度、细化编制、严肃执行等方面下功夫，切实提高预算管理全过程的科学化和精细化水平。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3.优化支出结构，统筹运用财力，合理调度财政资金，确保正常运转和社会稳定。加强财政监督，完善监督制约机制，特别是加强项目资金管理，做到专款专用，不断提高财政资金的使用效益。</w:t>
      </w:r>
    </w:p>
    <w:p>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p>
    <w:p>
      <w:pPr>
        <w:pageBreakBefore w:val="0"/>
        <w:widowControl/>
        <w:kinsoku/>
        <w:wordWrap/>
        <w:overflowPunct/>
        <w:topLinePunct w:val="0"/>
        <w:bidi w:val="0"/>
        <w:spacing w:line="60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pageBreakBefore w:val="0"/>
        <w:kinsoku/>
        <w:wordWrap/>
        <w:overflowPunct/>
        <w:topLinePunct w:val="0"/>
        <w:bidi w:val="0"/>
        <w:spacing w:line="600" w:lineRule="exact"/>
        <w:textAlignment w:val="auto"/>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pageBreakBefore w:val="0"/>
        <w:kinsoku/>
        <w:wordWrap/>
        <w:overflowPunct/>
        <w:topLinePunct w:val="0"/>
        <w:bidi w:val="0"/>
        <w:spacing w:line="600" w:lineRule="exact"/>
        <w:jc w:val="center"/>
        <w:textAlignment w:val="auto"/>
        <w:rPr>
          <w:rFonts w:hint="default" w:ascii="黑体" w:hAnsi="黑体" w:eastAsia="黑体" w:cs="方正小标宋简体"/>
          <w:sz w:val="44"/>
          <w:szCs w:val="44"/>
          <w:lang w:val="en-US" w:eastAsia="zh-CN"/>
        </w:rPr>
      </w:pPr>
      <w:r>
        <w:rPr>
          <w:rFonts w:hint="eastAsia" w:ascii="黑体" w:hAnsi="黑体" w:eastAsia="黑体" w:cs="方正小标宋简体"/>
          <w:sz w:val="44"/>
          <w:szCs w:val="44"/>
          <w:lang w:eastAsia="zh-CN"/>
        </w:rPr>
        <w:t>广元市昭化区朝阳乡人民政府</w:t>
      </w:r>
    </w:p>
    <w:p>
      <w:pPr>
        <w:pageBreakBefore w:val="0"/>
        <w:kinsoku/>
        <w:wordWrap/>
        <w:overflowPunct/>
        <w:topLinePunct w:val="0"/>
        <w:bidi w:val="0"/>
        <w:spacing w:line="600" w:lineRule="exact"/>
        <w:jc w:val="center"/>
        <w:textAlignment w:val="auto"/>
        <w:rPr>
          <w:rFonts w:hint="eastAsia"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农村</w:t>
      </w:r>
      <w:r>
        <w:rPr>
          <w:rFonts w:hint="eastAsia" w:ascii="仿宋_GB2312" w:hAnsi="华文中宋"/>
          <w:b/>
          <w:bCs/>
          <w:sz w:val="44"/>
          <w:szCs w:val="44"/>
        </w:rPr>
        <w:t>公共运行维护</w:t>
      </w:r>
      <w:r>
        <w:rPr>
          <w:rFonts w:hint="eastAsia" w:ascii="黑体" w:hAnsi="黑体" w:eastAsia="黑体" w:cs="方正小标宋简体"/>
          <w:sz w:val="44"/>
          <w:szCs w:val="44"/>
        </w:rPr>
        <w:t>项目支出绩效</w:t>
      </w:r>
    </w:p>
    <w:p>
      <w:pPr>
        <w:pageBreakBefore w:val="0"/>
        <w:kinsoku/>
        <w:wordWrap/>
        <w:overflowPunct/>
        <w:topLinePunct w:val="0"/>
        <w:bidi w:val="0"/>
        <w:spacing w:line="600" w:lineRule="exact"/>
        <w:jc w:val="center"/>
        <w:textAlignment w:val="auto"/>
        <w:rPr>
          <w:rFonts w:ascii="黑体" w:hAnsi="黑体" w:eastAsia="黑体" w:cs="方正小标宋简体"/>
          <w:sz w:val="44"/>
          <w:szCs w:val="44"/>
        </w:rPr>
      </w:pPr>
      <w:r>
        <w:rPr>
          <w:rFonts w:hint="eastAsia" w:ascii="黑体" w:hAnsi="黑体" w:eastAsia="黑体" w:cs="方正小标宋简体"/>
          <w:sz w:val="44"/>
          <w:szCs w:val="44"/>
        </w:rPr>
        <w:t>评价报告</w:t>
      </w:r>
    </w:p>
    <w:p>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600" w:lineRule="exact"/>
        <w:ind w:firstLine="640" w:firstLineChars="20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一、评价工作开展及项目情况</w:t>
      </w:r>
    </w:p>
    <w:p>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（一）项目基本情况</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年，区财政局下达农公运资金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我乡</w:t>
      </w:r>
      <w:r>
        <w:rPr>
          <w:rFonts w:hint="eastAsia" w:ascii="华文仿宋" w:hAnsi="华文仿宋" w:eastAsia="华文仿宋" w:cs="华文仿宋"/>
          <w:sz w:val="32"/>
          <w:szCs w:val="32"/>
        </w:rPr>
        <w:t>根据相关规定按</w:t>
      </w:r>
      <w:r>
        <w:rPr>
          <w:rFonts w:hint="eastAsia" w:ascii="华文仿宋" w:hAnsi="华文仿宋" w:eastAsia="华文仿宋" w:cs="华文仿宋"/>
          <w:sz w:val="32"/>
          <w:szCs w:val="32"/>
          <w:lang w:val="en-US" w:eastAsia="zh-CN"/>
        </w:rPr>
        <w:t>6个</w:t>
      </w:r>
      <w:r>
        <w:rPr>
          <w:rFonts w:hint="eastAsia" w:ascii="华文仿宋" w:hAnsi="华文仿宋" w:eastAsia="华文仿宋" w:cs="华文仿宋"/>
          <w:sz w:val="32"/>
          <w:szCs w:val="32"/>
        </w:rPr>
        <w:t>二类村进行分配，各村均首先村民征求项目实施的意见，并将调查结果汇总后公示。经村“三委”审议初步方案，确定实施项目后在村民代表会议表决后实施。各村项目均先由实施方实施，待项目完成后，由</w:t>
      </w:r>
      <w:r>
        <w:rPr>
          <w:rFonts w:hint="eastAsia" w:ascii="华文仿宋" w:hAnsi="华文仿宋" w:eastAsia="华文仿宋" w:cs="华文仿宋"/>
          <w:sz w:val="32"/>
          <w:szCs w:val="32"/>
          <w:lang w:eastAsia="zh-CN"/>
        </w:rPr>
        <w:t>乡</w:t>
      </w:r>
      <w:r>
        <w:rPr>
          <w:rFonts w:hint="eastAsia" w:ascii="华文仿宋" w:hAnsi="华文仿宋" w:eastAsia="华文仿宋" w:cs="华文仿宋"/>
          <w:sz w:val="32"/>
          <w:szCs w:val="32"/>
        </w:rPr>
        <w:t>财政所、联村干部、监督委员会、村民委员会共同验收。村委将项目实施资料收集上报财政所，由财政所将经费拨付给实施方。项目资金主要用于各村卫生保洁、道路沟渠及其他设施的维修、以及社区管理等。资金的使用符合相关规定。</w:t>
      </w:r>
    </w:p>
    <w:p>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（二）</w:t>
      </w:r>
      <w:r>
        <w:rPr>
          <w:rFonts w:hint="eastAsia" w:ascii="华文仿宋" w:hAnsi="华文仿宋" w:eastAsia="华文仿宋" w:cs="华文仿宋"/>
          <w:b/>
          <w:bCs/>
          <w:sz w:val="32"/>
          <w:szCs w:val="32"/>
        </w:rPr>
        <w:t>绩效评价总目标及阶段性目标</w:t>
      </w:r>
    </w:p>
    <w:p>
      <w:pPr>
        <w:pStyle w:val="4"/>
        <w:pageBreakBefore w:val="0"/>
        <w:widowControl w:val="0"/>
        <w:kinsoku/>
        <w:wordWrap/>
        <w:overflowPunct/>
        <w:topLinePunct w:val="0"/>
        <w:autoSpaceDE/>
        <w:autoSpaceDN/>
        <w:bidi w:val="0"/>
        <w:adjustRightInd/>
        <w:spacing w:before="0" w:after="0" w:line="600" w:lineRule="exact"/>
        <w:ind w:firstLine="643" w:firstLineChars="201"/>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lang w:val="en-US" w:eastAsia="zh-CN"/>
        </w:rPr>
        <w:t>1</w:t>
      </w:r>
      <w:r>
        <w:rPr>
          <w:rFonts w:hint="eastAsia" w:ascii="华文仿宋" w:hAnsi="华文仿宋" w:eastAsia="华文仿宋" w:cs="华文仿宋"/>
          <w:b w:val="0"/>
          <w:sz w:val="32"/>
          <w:szCs w:val="32"/>
        </w:rPr>
        <w:t>、项目支出绩效评价总目标</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维护村卫生环境，保证村各项基础设施的正常运行，为村群众提供优良生产生活环境。</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项目绩效评价阶段性目标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高质量完成每年经村民审定项目，不断提升村管理水平。</w:t>
      </w:r>
    </w:p>
    <w:p>
      <w:pPr>
        <w:pageBreakBefore w:val="0"/>
        <w:widowControl w:val="0"/>
        <w:numPr>
          <w:ilvl w:val="0"/>
          <w:numId w:val="8"/>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绩效评价工作开展情况</w:t>
      </w:r>
    </w:p>
    <w:p>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绩效评价目的</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通过对201</w:t>
      </w:r>
      <w:r>
        <w:rPr>
          <w:rFonts w:hint="eastAsia" w:ascii="华文仿宋" w:hAnsi="华文仿宋" w:eastAsia="华文仿宋" w:cs="华文仿宋"/>
          <w:color w:val="000000"/>
          <w:sz w:val="32"/>
          <w:szCs w:val="32"/>
          <w:lang w:val="en-US" w:eastAsia="zh-CN"/>
        </w:rPr>
        <w:t>9</w:t>
      </w:r>
      <w:r>
        <w:rPr>
          <w:rFonts w:hint="eastAsia" w:ascii="华文仿宋" w:hAnsi="华文仿宋" w:eastAsia="华文仿宋" w:cs="华文仿宋"/>
          <w:color w:val="000000"/>
          <w:sz w:val="32"/>
          <w:szCs w:val="32"/>
        </w:rPr>
        <w:t>年</w:t>
      </w:r>
      <w:r>
        <w:rPr>
          <w:rFonts w:hint="eastAsia" w:ascii="华文仿宋" w:hAnsi="华文仿宋" w:eastAsia="华文仿宋" w:cs="华文仿宋"/>
          <w:sz w:val="32"/>
          <w:szCs w:val="32"/>
        </w:rPr>
        <w:t>公共运行维护资金项目</w:t>
      </w:r>
      <w:r>
        <w:rPr>
          <w:rFonts w:hint="eastAsia" w:ascii="华文仿宋" w:hAnsi="华文仿宋" w:eastAsia="华文仿宋" w:cs="华文仿宋"/>
          <w:color w:val="000000"/>
          <w:sz w:val="32"/>
          <w:szCs w:val="32"/>
        </w:rPr>
        <w:t>支出绩效的综合评价，实现财政资源的合理配置，提高财政性资金使用的经济性、效益性和效率性。通过了解</w:t>
      </w:r>
      <w:r>
        <w:rPr>
          <w:rFonts w:hint="eastAsia" w:ascii="华文仿宋" w:hAnsi="华文仿宋" w:eastAsia="华文仿宋" w:cs="华文仿宋"/>
          <w:sz w:val="32"/>
          <w:szCs w:val="32"/>
        </w:rPr>
        <w:t>项目资金</w:t>
      </w:r>
      <w:r>
        <w:rPr>
          <w:rFonts w:hint="eastAsia" w:ascii="华文仿宋" w:hAnsi="华文仿宋" w:eastAsia="华文仿宋" w:cs="华文仿宋"/>
          <w:color w:val="000000"/>
          <w:sz w:val="32"/>
          <w:szCs w:val="32"/>
        </w:rPr>
        <w:t>使用情况和取得的效果，总结</w:t>
      </w:r>
      <w:r>
        <w:rPr>
          <w:rFonts w:hint="eastAsia" w:ascii="华文仿宋" w:hAnsi="华文仿宋" w:eastAsia="华文仿宋" w:cs="华文仿宋"/>
          <w:sz w:val="32"/>
          <w:szCs w:val="32"/>
        </w:rPr>
        <w:t>项目专项资金支出及</w:t>
      </w:r>
      <w:r>
        <w:rPr>
          <w:rFonts w:hint="eastAsia" w:ascii="华文仿宋" w:hAnsi="华文仿宋" w:eastAsia="华文仿宋" w:cs="华文仿宋"/>
          <w:color w:val="000000"/>
          <w:sz w:val="32"/>
          <w:szCs w:val="32"/>
        </w:rPr>
        <w:t>项目管理经验，发现</w:t>
      </w:r>
      <w:r>
        <w:rPr>
          <w:rFonts w:hint="eastAsia" w:ascii="华文仿宋" w:hAnsi="华文仿宋" w:eastAsia="华文仿宋" w:cs="华文仿宋"/>
          <w:sz w:val="32"/>
          <w:szCs w:val="32"/>
        </w:rPr>
        <w:t>资金支出</w:t>
      </w:r>
      <w:r>
        <w:rPr>
          <w:rFonts w:hint="eastAsia" w:ascii="华文仿宋" w:hAnsi="华文仿宋" w:eastAsia="华文仿宋" w:cs="华文仿宋"/>
          <w:color w:val="000000"/>
          <w:sz w:val="32"/>
          <w:szCs w:val="32"/>
        </w:rPr>
        <w:t>存在的问题，进一步加强和规范资金管理，完善资金管理制度，提高</w:t>
      </w:r>
      <w:r>
        <w:rPr>
          <w:rFonts w:hint="eastAsia" w:ascii="华文仿宋" w:hAnsi="华文仿宋" w:eastAsia="华文仿宋" w:cs="华文仿宋"/>
          <w:sz w:val="32"/>
          <w:szCs w:val="32"/>
        </w:rPr>
        <w:t>资金支出</w:t>
      </w:r>
      <w:r>
        <w:rPr>
          <w:rFonts w:hint="eastAsia" w:ascii="华文仿宋" w:hAnsi="华文仿宋" w:eastAsia="华文仿宋" w:cs="华文仿宋"/>
          <w:color w:val="000000"/>
          <w:sz w:val="32"/>
          <w:szCs w:val="32"/>
        </w:rPr>
        <w:t>的管理水平，为申报绩效目标、优化财政支出结构提供决策参考和依据。</w:t>
      </w:r>
    </w:p>
    <w:p>
      <w:pPr>
        <w:pStyle w:val="3"/>
        <w:pageBreakBefore w:val="0"/>
        <w:widowControl w:val="0"/>
        <w:kinsoku/>
        <w:wordWrap/>
        <w:overflowPunct/>
        <w:topLinePunct w:val="0"/>
        <w:autoSpaceDE/>
        <w:autoSpaceDN/>
        <w:bidi w:val="0"/>
        <w:adjustRightInd/>
        <w:spacing w:before="0" w:after="0" w:line="600" w:lineRule="exact"/>
        <w:ind w:firstLine="643"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绩效评价原则、评价指标体系、评价方法</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1、绩效评价原则</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（1）相关性原则。选定的绩效评价指标与其所做的工作和完成的任务有直接的联系。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（2）重要性原则。对绩效评价指标在整个评价过程中的地位和作用进行筛选，选择最具有代表性、最能反映评价要求的绩效评价指标。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（3）可比性原则。对具有相似目标的工作选定共同的绩效目标，保证绩效结果可以相互比较。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（4）经济性原则。绩效评价指标要考虑现实条件和可操作性，能在合理的成本基础上取得绩效目标数据并进行评价。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（5）动态性原则。项目绩效评价是一个动态过程，反映专项资金项目绩效的指标体系同样不能一成不变，而应是动态性的、可补充的，可根据绩效评价工作的开展情况，不断调整、完善基本指标。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（6）系统性原则。应当将定量指标与定性指标相结合，系统反映预算支出所产生的效益。</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2、评价指标体系</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项目支出绩效评价指标体系</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基层组织活动和公共运行维护资金项目支出绩效评价指标体系原则上按照《201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 xml:space="preserve">年广元市昭化区项目支出绩效评价指标体系》设置，整个评价指标体系包括3个一级指标、10个二级指标和若干个三级指标。 </w:t>
      </w:r>
    </w:p>
    <w:p>
      <w:pPr>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(1)项目决策指标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4个二级指标，9个三级指标，总分值20分。主要评价项目绩效目标是否明确、细化、量化；项目是否符合经济社会发展规划和部门年度工作计划；项目是否符合申报条件；申报、批复程序是否符合相关管理办法；是否根据需要制定相关资金管理办法，并在管理办法中明确资金分配办法；资金分配因素是否全面、合理；分配结果是否合理。</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tblPrEx>
          <w:tblLayout w:type="fixed"/>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tblPrEx>
          <w:tblLayout w:type="fixed"/>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项目决策（20分）</w:t>
            </w: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绩效目标（6分）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项目预期提供的产品、服务、效益或其他目标明确、是否细化、量化</w:t>
            </w:r>
          </w:p>
        </w:tc>
      </w:tr>
      <w:tr>
        <w:tblPrEx>
          <w:tblLayout w:type="fixed"/>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进度计划</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项目计划实施进度明确</w:t>
            </w:r>
          </w:p>
        </w:tc>
      </w:tr>
      <w:tr>
        <w:tblPrEx>
          <w:tblLayout w:type="fixed"/>
          <w:tblCellMar>
            <w:top w:w="0" w:type="dxa"/>
            <w:left w:w="108" w:type="dxa"/>
            <w:bottom w:w="0" w:type="dxa"/>
            <w:right w:w="108" w:type="dxa"/>
          </w:tblCellMar>
        </w:tblPrEx>
        <w:trPr>
          <w:trHeight w:val="60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目标需求</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目标设定符合实际需求的抽样项目点个数/抽样项目点总数×100%</w:t>
            </w:r>
          </w:p>
        </w:tc>
      </w:tr>
      <w:tr>
        <w:tblPrEx>
          <w:tblLayout w:type="fixed"/>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决策依据（7分）   </w:t>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政策依据</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项目符合党中央、国务院和省、市、区决策部署；符合当前经济社会发展需要</w:t>
            </w:r>
          </w:p>
        </w:tc>
      </w:tr>
      <w:tr>
        <w:tblPrEx>
          <w:tblLayout w:type="fixed"/>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实施方案</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制订实施方案，内容完整，并获得批准</w:t>
            </w:r>
          </w:p>
        </w:tc>
      </w:tr>
      <w:tr>
        <w:tblPrEx>
          <w:tblLayout w:type="fixed"/>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实施规划符合实际，并根据情况变化适时调整</w:t>
            </w:r>
          </w:p>
        </w:tc>
      </w:tr>
      <w:tr>
        <w:tblPrEx>
          <w:tblLayout w:type="fixed"/>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管理制度</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项目资金管理制度、决策程序明确</w:t>
            </w:r>
          </w:p>
        </w:tc>
      </w:tr>
      <w:tr>
        <w:tblPrEx>
          <w:tblLayout w:type="fixed"/>
          <w:tblCellMar>
            <w:top w:w="0" w:type="dxa"/>
            <w:left w:w="108" w:type="dxa"/>
            <w:bottom w:w="0" w:type="dxa"/>
            <w:right w:w="108" w:type="dxa"/>
          </w:tblCellMar>
        </w:tblPrEx>
        <w:trPr>
          <w:trHeight w:val="69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资金分配（4分）</w:t>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分配过程</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分配过程符合相关规定</w:t>
            </w:r>
          </w:p>
        </w:tc>
      </w:tr>
      <w:tr>
        <w:tblPrEx>
          <w:tblLayout w:type="fixed"/>
          <w:tblCellMar>
            <w:top w:w="0" w:type="dxa"/>
            <w:left w:w="108" w:type="dxa"/>
            <w:bottom w:w="0" w:type="dxa"/>
            <w:right w:w="108" w:type="dxa"/>
          </w:tblCellMar>
        </w:tblPrEx>
        <w:trPr>
          <w:trHeight w:val="51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分配时效</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主管部门按规定及时分配资金</w:t>
            </w:r>
          </w:p>
        </w:tc>
      </w:tr>
      <w:tr>
        <w:tblPrEx>
          <w:tblLayout w:type="fixed"/>
          <w:tblCellMar>
            <w:top w:w="0" w:type="dxa"/>
            <w:left w:w="108" w:type="dxa"/>
            <w:bottom w:w="0" w:type="dxa"/>
            <w:right w:w="108" w:type="dxa"/>
          </w:tblCellMar>
        </w:tblPrEx>
        <w:trPr>
          <w:trHeight w:val="99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分配结果（3分）</w:t>
            </w:r>
            <w:r>
              <w:rPr>
                <w:rFonts w:hint="eastAsia" w:ascii="宋体" w:hAnsi="宋体" w:eastAsia="宋体" w:cs="宋体"/>
                <w:color w:val="000000"/>
                <w:kern w:val="0"/>
                <w:sz w:val="20"/>
                <w:szCs w:val="20"/>
              </w:rPr>
              <w:br w:type="textWrapping"/>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审核把关</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项目符合申报条件，并经过审核</w:t>
            </w:r>
          </w:p>
        </w:tc>
      </w:tr>
    </w:tbl>
    <w:p>
      <w:pPr>
        <w:pageBreakBefore w:val="0"/>
        <w:kinsoku/>
        <w:wordWrap/>
        <w:overflowPunct/>
        <w:topLinePunct w:val="0"/>
        <w:bidi w:val="0"/>
        <w:snapToGrid w:val="0"/>
        <w:spacing w:line="600" w:lineRule="exact"/>
        <w:jc w:val="lef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(2)项目管理指标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4个二级指标，9个三级指标，总分值25分。主要评价项目资金是否到位、到位时间是否符合相关规定，资金的使用范围、资金支付依据是否充分、开支标准是否符合相关规定、财务管理是否规范，是否有相关的管理制度，制度是否得到执行，项目组织实施情况，是否有相关计划，计划中是否有相关实施时间节点，项目实施后是否有项目实施总结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tblPrEx>
          <w:tblLayout w:type="fixed"/>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tblPrEx>
          <w:tblLayout w:type="fixed"/>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Layout w:type="fixed"/>
          <w:tblCellMar>
            <w:top w:w="0" w:type="dxa"/>
            <w:left w:w="108" w:type="dxa"/>
            <w:bottom w:w="0" w:type="dxa"/>
            <w:right w:w="108" w:type="dxa"/>
          </w:tblCellMar>
        </w:tblPrEx>
        <w:trPr>
          <w:trHeight w:val="585"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项目管理（25分）</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资金到位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（7分）    </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资金到位率=实际到位资金/计划投入资金×100%</w:t>
            </w:r>
          </w:p>
        </w:tc>
      </w:tr>
      <w:tr>
        <w:tblPrEx>
          <w:tblLayout w:type="fixed"/>
          <w:tblCellMar>
            <w:top w:w="0" w:type="dxa"/>
            <w:left w:w="108" w:type="dxa"/>
            <w:bottom w:w="0" w:type="dxa"/>
            <w:right w:w="108" w:type="dxa"/>
          </w:tblCellMar>
        </w:tblPrEx>
        <w:trPr>
          <w:trHeight w:val="675"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资金拨付</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按规定及时拨付资金</w:t>
            </w:r>
          </w:p>
        </w:tc>
      </w:tr>
      <w:tr>
        <w:tblPrEx>
          <w:tblLayout w:type="fixed"/>
          <w:tblCellMar>
            <w:top w:w="0" w:type="dxa"/>
            <w:left w:w="108" w:type="dxa"/>
            <w:bottom w:w="0" w:type="dxa"/>
            <w:right w:w="108" w:type="dxa"/>
          </w:tblCellMar>
        </w:tblPrEx>
        <w:trPr>
          <w:trHeight w:val="81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资金管理</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（10分）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使用范围</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专款专用</w:t>
            </w:r>
          </w:p>
        </w:tc>
      </w:tr>
      <w:tr>
        <w:tblPrEx>
          <w:tblLayout w:type="fixed"/>
          <w:tblCellMar>
            <w:top w:w="0" w:type="dxa"/>
            <w:left w:w="108" w:type="dxa"/>
            <w:bottom w:w="0" w:type="dxa"/>
            <w:right w:w="108" w:type="dxa"/>
          </w:tblCellMar>
        </w:tblPrEx>
        <w:trPr>
          <w:trHeight w:val="75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支付依据</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资金支付依据符合规定</w:t>
            </w:r>
          </w:p>
        </w:tc>
      </w:tr>
      <w:tr>
        <w:tblPrEx>
          <w:tblLayout w:type="fixed"/>
          <w:tblCellMar>
            <w:top w:w="0" w:type="dxa"/>
            <w:left w:w="108" w:type="dxa"/>
            <w:bottom w:w="0" w:type="dxa"/>
            <w:right w:w="108" w:type="dxa"/>
          </w:tblCellMar>
        </w:tblPrEx>
        <w:trPr>
          <w:trHeight w:val="87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财务管理</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（2分）</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财务制度健全，管理规范</w:t>
            </w:r>
          </w:p>
        </w:tc>
      </w:tr>
      <w:tr>
        <w:tblPrEx>
          <w:tblLayout w:type="fixed"/>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会计核算</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会计核算规范</w:t>
            </w:r>
          </w:p>
        </w:tc>
      </w:tr>
      <w:tr>
        <w:tblPrEx>
          <w:tblLayout w:type="fixed"/>
          <w:tblCellMar>
            <w:top w:w="0" w:type="dxa"/>
            <w:left w:w="108" w:type="dxa"/>
            <w:bottom w:w="0" w:type="dxa"/>
            <w:right w:w="108" w:type="dxa"/>
          </w:tblCellMar>
        </w:tblPrEx>
        <w:trPr>
          <w:trHeight w:val="615"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组织实施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项目实施</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项目按实施方案实施，如有调整，调整严格履行相关手续</w:t>
            </w:r>
          </w:p>
        </w:tc>
      </w:tr>
      <w:tr>
        <w:tblPrEx>
          <w:tblLayout w:type="fixed"/>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投资变更</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项目投资变更额/项目总投入×100%</w:t>
            </w:r>
          </w:p>
        </w:tc>
      </w:tr>
      <w:tr>
        <w:tblPrEx>
          <w:tblLayout w:type="fixed"/>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制度执行</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严格执行项目有关制度规定</w:t>
            </w:r>
          </w:p>
        </w:tc>
      </w:tr>
    </w:tbl>
    <w:p>
      <w:pPr>
        <w:snapToGrid w:val="0"/>
        <w:spacing w:line="360" w:lineRule="auto"/>
        <w:rPr>
          <w:rFonts w:ascii="仿宋_GB2312" w:hAnsi="仿宋"/>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(3)项目绩效指标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该类一级指标包含2个二级指标，8个三级指标，总分值55分。主要评价项目产出情况、社会效果、受益群众满意度。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tblPrEx>
          <w:tblLayout w:type="fixed"/>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tblPrEx>
          <w:tblLayout w:type="fixed"/>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Layout w:type="fixed"/>
          <w:tblCellMar>
            <w:top w:w="0" w:type="dxa"/>
            <w:left w:w="108" w:type="dxa"/>
            <w:bottom w:w="0" w:type="dxa"/>
            <w:right w:w="108" w:type="dxa"/>
          </w:tblCellMar>
        </w:tblPrEx>
        <w:trPr>
          <w:trHeight w:val="990" w:hRule="atLeast"/>
        </w:trPr>
        <w:tc>
          <w:tcPr>
            <w:tcW w:w="106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项目绩效（55分）  </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项目产出（15分）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完成数量</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 </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实际完成任务量/目标设定任务量×100%</w:t>
            </w:r>
          </w:p>
          <w:p>
            <w:pPr>
              <w:widowControl/>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99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完成质量</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符合目标设定的验收标准，达到行业基准水平</w:t>
            </w:r>
          </w:p>
        </w:tc>
      </w:tr>
      <w:tr>
        <w:tblPrEx>
          <w:tblLayout w:type="fixed"/>
          <w:tblCellMar>
            <w:top w:w="0" w:type="dxa"/>
            <w:left w:w="108" w:type="dxa"/>
            <w:bottom w:w="0" w:type="dxa"/>
            <w:right w:w="108" w:type="dxa"/>
          </w:tblCellMar>
        </w:tblPrEx>
        <w:trPr>
          <w:trHeight w:val="99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完成时效</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（实际完成时间-目标设定完成时间）/目标设定完成时间×100%</w:t>
            </w:r>
          </w:p>
        </w:tc>
      </w:tr>
      <w:tr>
        <w:tblPrEx>
          <w:tblLayout w:type="fixed"/>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项目效果（40分）</w:t>
            </w: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环境卫生整洁度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村内环境标示清楚、整治卫生，无明显垃圾，有垃圾专用收集场所并保持干静整洁，清运及时</w:t>
            </w:r>
          </w:p>
        </w:tc>
      </w:tr>
      <w:tr>
        <w:tblPrEx>
          <w:tblLayout w:type="fixed"/>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基础设施完好度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基础设施专人维护，完好无损坏，标示清楚，使用正常</w:t>
            </w:r>
          </w:p>
        </w:tc>
      </w:tr>
      <w:tr>
        <w:tblPrEx>
          <w:tblLayout w:type="fixed"/>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交通道路通顺及完好度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路面整洁无杂物，无沉陷、裂缝、无坑洞，路基坚实稳定，边沟排水畅通无淤塞</w:t>
            </w:r>
          </w:p>
        </w:tc>
      </w:tr>
      <w:tr>
        <w:tblPrEx>
          <w:tblLayout w:type="fixed"/>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水利设施完好度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堰塘集水完好，无明显裂缝渗漏，沟渠流水通畅，无杂物</w:t>
            </w:r>
          </w:p>
        </w:tc>
      </w:tr>
      <w:tr>
        <w:tblPrEx>
          <w:tblLayout w:type="fixed"/>
          <w:tblCellMar>
            <w:top w:w="0" w:type="dxa"/>
            <w:left w:w="108" w:type="dxa"/>
            <w:bottom w:w="0" w:type="dxa"/>
            <w:right w:w="108" w:type="dxa"/>
          </w:tblCellMar>
        </w:tblPrEx>
        <w:trPr>
          <w:trHeight w:val="480" w:hRule="atLeast"/>
        </w:trPr>
        <w:tc>
          <w:tcPr>
            <w:tcW w:w="106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受益群体满意度</w:t>
            </w:r>
          </w:p>
        </w:tc>
        <w:tc>
          <w:tcPr>
            <w:tcW w:w="58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受益群体满意度=∑nipi/∑ni×分值。其中：n-受访者数量；p-满意度权重；i-满意状态</w:t>
            </w:r>
          </w:p>
        </w:tc>
      </w:tr>
    </w:tbl>
    <w:p>
      <w:pPr>
        <w:snapToGrid w:val="0"/>
        <w:spacing w:line="360" w:lineRule="auto"/>
        <w:rPr>
          <w:rFonts w:hint="eastAsia" w:ascii="华文仿宋" w:hAnsi="华文仿宋" w:eastAsia="华文仿宋" w:cs="华文仿宋"/>
          <w:sz w:val="32"/>
          <w:szCs w:val="32"/>
        </w:rPr>
      </w:pPr>
    </w:p>
    <w:p>
      <w:pPr>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绩效评价结果考核分为优、良、中、差四个等级。考核得分在90分至100分的为优，得分在80分至89分的为良，得分在70分至79分的为中，得分在70分以下的为差。</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3、绩效评价方法</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我们在资金支出绩效评工作中，综合运用以下方法：</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（1）成本效益分析法。是指将一定时期内的支出与效益进行对比分析，以评价绩效目标实现程度。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（2）比较法。是指通过对绩效目标与实施效果、历史与当期情况、不同部门和地区同类支出的比较，综合分析绩效目标实现程度。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（3）因素分析法。是指通过综合分析影响绩效目标实现、实施效果的内外因素，评价绩效目标实现程度。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（4）最低成本法。是指对效益确定却不易计量的多个同类对象的实施成本进行比较，评价绩效目标实现程度。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（5）公众评判法。是指通过专家评估、公众问卷及抽样调查等对支出效果和服务对象满意度进行评判，从社会角度评价绩效目标实现程度。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（6）其他评价方法。</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其他方法包括抽样调查、调阅资料、实地调查等方法，绩效评价和政策评估方法的选用应当坚持简便有效的原则。根据评价对象的具体情况，采用一种或多种方法开展评价。</w:t>
      </w:r>
    </w:p>
    <w:p>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（三）绩效评价工作过程</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 xml:space="preserve"> 1、前期准备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 收集项目相关文件资料，掌握项目特点，分析评价对象的重点和难点，结合《201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广元市昭化区项目支出绩效评价指标体系》及本次评价所涉相关政策，构建评价指标体系、评分（估）标准、数据表、问卷调查表。并组织参与现场评价工作的人员就相关制度规定、指标体系、评分（估）标准、社会调查、工作要求等进行集中学习。</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 向被评价单位、项目实施单位发出项目评价通知，包括：评价组情况、项目评价资料清单、评价目的、评价依据、评价对象、评价内容、评价步骤、评价时间、评价指标及评价标准、评价工作相关要求等。督促受评部门做好相关资料的收集、整理、数据分析。</w:t>
      </w:r>
    </w:p>
    <w:p>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 xml:space="preserve"> 2、组织实施</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评价工作小组根据部门财务管理绩效评价相关要求，对于项目支出方面，评价工作小组通过查阅项目相关资料，对项目申报资料、审核流程、数据统计流程等内部控制程序逐一进行检查，并通过实地察看、社会调查、访谈等方式，了解项目决策、项目管理、项目完成、项目效果等情况，收集相关数据，并进行初步分析判断。</w:t>
      </w:r>
    </w:p>
    <w:p>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3、分析评价、评估</w:t>
      </w:r>
    </w:p>
    <w:p>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对现场评价中发现的重大问题，组织力量进行深入评价，并召开专题讨论会审，提出处理方案。评价工作组将取得的现场评价成果进行讨论分析，汇总评价结果后形成初步意见。</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二、评价结论及绩效分析</w:t>
      </w:r>
    </w:p>
    <w:p>
      <w:pPr>
        <w:pageBreakBefore w:val="0"/>
        <w:widowControl w:val="0"/>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（一）评价结论</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朝阳乡</w:t>
      </w:r>
      <w:r>
        <w:rPr>
          <w:rFonts w:hint="eastAsia" w:ascii="华文仿宋" w:hAnsi="华文仿宋" w:eastAsia="华文仿宋" w:cs="华文仿宋"/>
          <w:sz w:val="32"/>
          <w:szCs w:val="32"/>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
          <w:sz w:val="28"/>
          <w:szCs w:val="28"/>
        </w:rPr>
      </w:pPr>
      <w:r>
        <w:rPr>
          <w:rFonts w:hint="eastAsia" w:ascii="华文仿宋" w:hAnsi="华文仿宋" w:eastAsia="华文仿宋" w:cs="华文仿宋"/>
          <w:sz w:val="32"/>
          <w:szCs w:val="32"/>
        </w:rPr>
        <w:t>通过对基层组织活动和公共运行维护资金专项资金项目三级指标的分析考评，该项目的绩效评价得分为9</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分(具体指标分值见附件)，综合评价结果为优级</w:t>
      </w:r>
      <w:r>
        <w:rPr>
          <w:rFonts w:hint="eastAsia" w:ascii="仿宋_GB2312" w:hAnsi="仿宋"/>
          <w:sz w:val="28"/>
          <w:szCs w:val="28"/>
        </w:rPr>
        <w:t>。</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（二）绩效分析</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1、项目决策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w:t>
      </w:r>
    </w:p>
    <w:p>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年昭化区财政局预算指标基层组织活动和公共运行维护资金项目资金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朝阳乡</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年已收到该项目资金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color w:val="000000"/>
          <w:kern w:val="0"/>
          <w:sz w:val="32"/>
          <w:szCs w:val="32"/>
        </w:rPr>
        <w:t xml:space="preserve">，资金到位率100%。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截止201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年12月31日，已将基层组织活动和公共运行维护资金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万元支付到各村。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朝阳乡</w:t>
      </w:r>
      <w:r>
        <w:rPr>
          <w:rFonts w:hint="eastAsia" w:ascii="华文仿宋" w:hAnsi="华文仿宋" w:eastAsia="华文仿宋" w:cs="华文仿宋"/>
          <w:sz w:val="32"/>
          <w:szCs w:val="32"/>
        </w:rPr>
        <w:t>制定了财务管理办法，对项目管理、资金使用提出明确规定，</w:t>
      </w:r>
      <w:r>
        <w:rPr>
          <w:rFonts w:hint="eastAsia" w:ascii="华文仿宋" w:hAnsi="华文仿宋" w:eastAsia="华文仿宋" w:cs="华文仿宋"/>
          <w:color w:val="000000"/>
          <w:sz w:val="32"/>
          <w:szCs w:val="32"/>
        </w:rPr>
        <w:t>专项资金</w:t>
      </w:r>
      <w:r>
        <w:rPr>
          <w:rFonts w:hint="eastAsia" w:ascii="华文仿宋" w:hAnsi="华文仿宋" w:eastAsia="华文仿宋" w:cs="华文仿宋"/>
          <w:sz w:val="32"/>
          <w:szCs w:val="32"/>
        </w:rPr>
        <w:t>的支付范围、支付标准基本合规合法，支付依据基本充分。</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2、项目管理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w:t>
      </w:r>
    </w:p>
    <w:p>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年昭化区财政局预算指标基层组织活动和公共运行维护资金项目</w:t>
      </w:r>
      <w:r>
        <w:rPr>
          <w:rFonts w:hint="eastAsia" w:ascii="华文仿宋" w:hAnsi="华文仿宋" w:eastAsia="华文仿宋" w:cs="华文仿宋"/>
          <w:sz w:val="32"/>
          <w:szCs w:val="32"/>
          <w:lang w:eastAsia="zh-CN"/>
        </w:rPr>
        <w:t>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朝阳乡</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年已收到该项目资金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color w:val="000000"/>
          <w:kern w:val="0"/>
          <w:sz w:val="32"/>
          <w:szCs w:val="32"/>
        </w:rPr>
        <w:t xml:space="preserve">，资金到位率100%。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截止201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年12月31日，已将基层组织活动和公共运行维护资金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万元支付到各村各项目实施人。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朝阳乡</w:t>
      </w:r>
      <w:r>
        <w:rPr>
          <w:rFonts w:hint="eastAsia" w:ascii="华文仿宋" w:hAnsi="华文仿宋" w:eastAsia="华文仿宋" w:cs="华文仿宋"/>
          <w:sz w:val="32"/>
          <w:szCs w:val="32"/>
        </w:rPr>
        <w:t>制定了财务管理办法，对项目管理、资金使用提出明确规定，</w:t>
      </w:r>
      <w:r>
        <w:rPr>
          <w:rFonts w:hint="eastAsia" w:ascii="华文仿宋" w:hAnsi="华文仿宋" w:eastAsia="华文仿宋" w:cs="华文仿宋"/>
          <w:color w:val="000000"/>
          <w:sz w:val="32"/>
          <w:szCs w:val="32"/>
        </w:rPr>
        <w:t>专项资金</w:t>
      </w:r>
      <w:r>
        <w:rPr>
          <w:rFonts w:hint="eastAsia" w:ascii="华文仿宋" w:hAnsi="华文仿宋" w:eastAsia="华文仿宋" w:cs="华文仿宋"/>
          <w:sz w:val="32"/>
          <w:szCs w:val="32"/>
        </w:rPr>
        <w:t>的支付范围、支付标准基本合规合法，支付依据基本充分。</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3、项目绩效</w:t>
      </w:r>
    </w:p>
    <w:p>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（1）项目的完成数量</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年，各村均已按实施方案完成。</w:t>
      </w:r>
    </w:p>
    <w:p>
      <w:pPr>
        <w:keepNext w:val="0"/>
        <w:keepLines w:val="0"/>
        <w:pageBreakBefore w:val="0"/>
        <w:widowControl w:val="0"/>
        <w:kinsoku/>
        <w:wordWrap/>
        <w:overflowPunct/>
        <w:topLinePunct w:val="0"/>
        <w:autoSpaceDE/>
        <w:autoSpaceDN/>
        <w:bidi w:val="0"/>
        <w:adjustRightInd/>
        <w:snapToGrid w:val="0"/>
        <w:spacing w:line="600" w:lineRule="exact"/>
        <w:ind w:firstLine="646" w:firstLineChars="202"/>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（2）项目完成质量</w:t>
      </w:r>
    </w:p>
    <w:p>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项目经</w:t>
      </w:r>
      <w:r>
        <w:rPr>
          <w:rFonts w:hint="eastAsia" w:ascii="华文仿宋" w:hAnsi="华文仿宋" w:eastAsia="华文仿宋" w:cs="华文仿宋"/>
          <w:sz w:val="32"/>
          <w:szCs w:val="32"/>
          <w:lang w:eastAsia="zh-CN"/>
        </w:rPr>
        <w:t>乡</w:t>
      </w:r>
      <w:r>
        <w:rPr>
          <w:rFonts w:hint="eastAsia" w:ascii="华文仿宋" w:hAnsi="华文仿宋" w:eastAsia="华文仿宋" w:cs="华文仿宋"/>
          <w:sz w:val="32"/>
          <w:szCs w:val="32"/>
        </w:rPr>
        <w:t>财政所、联村干部、监督委员会、村民委员会共同验收合格。</w:t>
      </w:r>
    </w:p>
    <w:p>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（3）项目的效益性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实施后，使用各村建立了环境卫生长效保洁机制，维护了村（社区）良好的生活环境；通过对各村（社区）道路、水利及其他基础设施的维护，保证各项设施的正常运行，为各村（居）民提供良好的生产生活条件。项目实施的效果得到村（居）民普遍好评，社会效益明显。</w:t>
      </w:r>
    </w:p>
    <w:p>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存在主要问题</w:t>
      </w:r>
    </w:p>
    <w:p>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未编制该项目各村汇总实施方案，实施总结、绩效目标未细化、未量化。</w:t>
      </w:r>
    </w:p>
    <w:p>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相关措施建议</w:t>
      </w:r>
    </w:p>
    <w:p>
      <w:pPr>
        <w:pageBreakBefore w:val="0"/>
        <w:widowControl w:val="0"/>
        <w:numPr>
          <w:ilvl w:val="0"/>
          <w:numId w:val="9"/>
        </w:numPr>
        <w:kinsoku/>
        <w:wordWrap/>
        <w:overflowPunct/>
        <w:topLinePunct w:val="0"/>
        <w:autoSpaceDE/>
        <w:autoSpaceDN/>
        <w:bidi w:val="0"/>
        <w:adjustRightInd/>
        <w:spacing w:line="600" w:lineRule="exact"/>
        <w:ind w:left="640" w:leftChars="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根据各村农公运使用实际，合理编制实施方案；</w:t>
      </w:r>
    </w:p>
    <w:p>
      <w:pPr>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2、依据</w:t>
      </w:r>
      <w:r>
        <w:rPr>
          <w:rFonts w:hint="eastAsia" w:ascii="华文仿宋" w:hAnsi="华文仿宋" w:eastAsia="华文仿宋" w:cs="华文仿宋"/>
          <w:sz w:val="32"/>
          <w:szCs w:val="32"/>
        </w:rPr>
        <w:t>项目决策、项目管理、项目完成、项目效果等情况</w:t>
      </w:r>
      <w:r>
        <w:rPr>
          <w:rFonts w:hint="eastAsia" w:ascii="华文仿宋" w:hAnsi="华文仿宋" w:eastAsia="华文仿宋" w:cs="华文仿宋"/>
          <w:sz w:val="32"/>
          <w:szCs w:val="32"/>
          <w:lang w:eastAsia="zh-CN"/>
        </w:rPr>
        <w:t>实施总结，并对项目绩效目标进行细化、量化等进行自评。</w:t>
      </w:r>
    </w:p>
    <w:p>
      <w:pPr>
        <w:pageBreakBefore w:val="0"/>
        <w:widowControl w:val="0"/>
        <w:kinsoku/>
        <w:wordWrap/>
        <w:overflowPunct/>
        <w:topLinePunct w:val="0"/>
        <w:autoSpaceDE/>
        <w:autoSpaceDN/>
        <w:bidi w:val="0"/>
        <w:adjustRightInd/>
        <w:spacing w:line="600" w:lineRule="exact"/>
        <w:jc w:val="center"/>
        <w:textAlignment w:val="auto"/>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p>
    <w:p>
      <w:pPr>
        <w:pageBreakBefore w:val="0"/>
        <w:widowControl w:val="0"/>
        <w:tabs>
          <w:tab w:val="left" w:pos="2092"/>
        </w:tabs>
        <w:kinsoku/>
        <w:wordWrap/>
        <w:overflowPunct/>
        <w:topLinePunct w:val="0"/>
        <w:autoSpaceDE/>
        <w:autoSpaceDN/>
        <w:bidi w:val="0"/>
        <w:adjustRightInd/>
        <w:spacing w:line="600" w:lineRule="exact"/>
        <w:jc w:val="left"/>
        <w:textAlignment w:val="auto"/>
        <w:outlineLvl w:val="0"/>
        <w:rPr>
          <w:rFonts w:hint="eastAsia" w:ascii="仿宋" w:hAnsi="仿宋" w:eastAsia="仿宋"/>
          <w:b/>
          <w:color w:val="000000"/>
          <w:sz w:val="44"/>
          <w:szCs w:val="44"/>
          <w:lang w:eastAsia="zh-CN"/>
        </w:rPr>
      </w:pPr>
      <w:r>
        <w:rPr>
          <w:rFonts w:hint="eastAsia" w:ascii="仿宋" w:hAnsi="仿宋" w:eastAsia="仿宋"/>
          <w:b/>
          <w:color w:val="000000"/>
          <w:sz w:val="44"/>
          <w:szCs w:val="44"/>
          <w:lang w:eastAsia="zh-CN"/>
        </w:rPr>
        <w:tab/>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Fonts w:hint="eastAsia" w:ascii="仿宋" w:hAnsi="仿宋" w:eastAsia="仿宋"/>
          <w:b w:val="0"/>
          <w:color w:val="000000"/>
        </w:rPr>
        <w:t>一、收</w:t>
      </w:r>
      <w:r>
        <w:rPr>
          <w:rStyle w:val="25"/>
          <w:rFonts w:hint="eastAsia" w:ascii="仿宋" w:hAnsi="仿宋" w:eastAsia="仿宋"/>
          <w:b w:val="0"/>
          <w:bCs w:val="0"/>
        </w:rPr>
        <w:t>入支出决算总表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Fonts w:hint="eastAsia" w:ascii="仿宋" w:hAnsi="仿宋" w:eastAsia="仿宋"/>
          <w:b w:val="0"/>
          <w:color w:val="000000"/>
        </w:rPr>
        <w:t>二、收</w:t>
      </w:r>
      <w:r>
        <w:rPr>
          <w:rStyle w:val="25"/>
          <w:rFonts w:hint="eastAsia" w:ascii="仿宋" w:hAnsi="仿宋" w:eastAsia="仿宋"/>
          <w:b w:val="0"/>
          <w:bCs w:val="0"/>
        </w:rPr>
        <w:t>入总表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b w:val="0"/>
          <w:color w:val="000000"/>
        </w:rPr>
      </w:pPr>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themeColor="text1"/>
          <w14:textFill>
            <w14:solidFill>
              <w14:schemeClr w14:val="tx1"/>
            </w14:solidFill>
          </w14:textFill>
        </w:rPr>
      </w:pPr>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p>
    <w:p>
      <w:pPr>
        <w:spacing w:line="600" w:lineRule="exact"/>
        <w:jc w:val="left"/>
        <w:outlineLvl w:val="0"/>
        <w:rPr>
          <w:rFonts w:ascii="方正小标宋简体" w:hAnsi="方正小标宋简体" w:eastAsia="方正小标宋简体" w:cs="方正小标宋简体"/>
          <w:sz w:val="32"/>
          <w:szCs w:val="32"/>
        </w:rPr>
      </w:pPr>
    </w:p>
    <w:p>
      <w:pPr>
        <w:spacing w:line="580" w:lineRule="exact"/>
        <w:jc w:val="center"/>
        <w:rPr>
          <w:rFonts w:ascii="方正小标宋简体" w:hAnsi="方正小标宋简体" w:eastAsia="方正小标宋简体" w:cs="方正小标宋简体"/>
          <w:sz w:val="44"/>
          <w:szCs w:val="44"/>
        </w:rPr>
      </w:pPr>
    </w:p>
    <w:bookmarkEnd w:id="57"/>
    <w:p>
      <w:pPr>
        <w:pStyle w:val="3"/>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E3256"/>
    <w:multiLevelType w:val="singleLevel"/>
    <w:tmpl w:val="8C7E3256"/>
    <w:lvl w:ilvl="0" w:tentative="0">
      <w:start w:val="1"/>
      <w:numFmt w:val="decimal"/>
      <w:lvlText w:val="%1."/>
      <w:lvlJc w:val="left"/>
      <w:pPr>
        <w:tabs>
          <w:tab w:val="left" w:pos="312"/>
        </w:tabs>
      </w:pPr>
    </w:lvl>
  </w:abstractNum>
  <w:abstractNum w:abstractNumId="1">
    <w:nsid w:val="CDFA7A64"/>
    <w:multiLevelType w:val="singleLevel"/>
    <w:tmpl w:val="CDFA7A64"/>
    <w:lvl w:ilvl="0" w:tentative="0">
      <w:start w:val="3"/>
      <w:numFmt w:val="decimal"/>
      <w:suff w:val="nothing"/>
      <w:lvlText w:val="%1、"/>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DF12A57"/>
    <w:multiLevelType w:val="singleLevel"/>
    <w:tmpl w:val="2DF12A57"/>
    <w:lvl w:ilvl="0" w:tentative="0">
      <w:start w:val="2"/>
      <w:numFmt w:val="chineseCounting"/>
      <w:suff w:val="nothing"/>
      <w:lvlText w:val="（%1）"/>
      <w:lvlJc w:val="left"/>
      <w:rPr>
        <w:rFonts w:hint="eastAsia"/>
      </w:rPr>
    </w:lvl>
  </w:abstractNum>
  <w:abstractNum w:abstractNumId="7">
    <w:nsid w:val="30A05596"/>
    <w:multiLevelType w:val="singleLevel"/>
    <w:tmpl w:val="30A05596"/>
    <w:lvl w:ilvl="0" w:tentative="0">
      <w:start w:val="2"/>
      <w:numFmt w:val="chineseCounting"/>
      <w:suff w:val="nothing"/>
      <w:lvlText w:val="（%1）"/>
      <w:lvlJc w:val="left"/>
      <w:rPr>
        <w:rFonts w:hint="eastAsia"/>
      </w:rPr>
    </w:lvl>
  </w:abstractNum>
  <w:abstractNum w:abstractNumId="8">
    <w:nsid w:val="4A1C92EC"/>
    <w:multiLevelType w:val="singleLevel"/>
    <w:tmpl w:val="4A1C92EC"/>
    <w:lvl w:ilvl="0" w:tentative="0">
      <w:start w:val="1"/>
      <w:numFmt w:val="decimal"/>
      <w:suff w:val="nothing"/>
      <w:lvlText w:val="%1、"/>
      <w:lvlJc w:val="left"/>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5E5734"/>
    <w:rsid w:val="07477292"/>
    <w:rsid w:val="09103651"/>
    <w:rsid w:val="0E370830"/>
    <w:rsid w:val="10C055FF"/>
    <w:rsid w:val="11AF5C26"/>
    <w:rsid w:val="16BB723D"/>
    <w:rsid w:val="240371BF"/>
    <w:rsid w:val="25ED394C"/>
    <w:rsid w:val="29FD04D3"/>
    <w:rsid w:val="2DA579B6"/>
    <w:rsid w:val="319F7F4E"/>
    <w:rsid w:val="349E32E5"/>
    <w:rsid w:val="3A180F3D"/>
    <w:rsid w:val="4196606A"/>
    <w:rsid w:val="488F5D3F"/>
    <w:rsid w:val="4D6233A3"/>
    <w:rsid w:val="4ECE2238"/>
    <w:rsid w:val="50354F5A"/>
    <w:rsid w:val="530F29A0"/>
    <w:rsid w:val="55256CDB"/>
    <w:rsid w:val="56676ED9"/>
    <w:rsid w:val="5CD623BF"/>
    <w:rsid w:val="5E5D61CC"/>
    <w:rsid w:val="63BB4402"/>
    <w:rsid w:val="6A885DA7"/>
    <w:rsid w:val="72734D90"/>
    <w:rsid w:val="72BC1D41"/>
    <w:rsid w:val="744879CA"/>
    <w:rsid w:val="77406471"/>
    <w:rsid w:val="7A2430DB"/>
    <w:rsid w:val="7C8F64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0</TotalTime>
  <ScaleCrop>false</ScaleCrop>
  <LinksUpToDate>false</LinksUpToDate>
  <CharactersWithSpaces>8536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2021-05-23T07:27:28Z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