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default" w:ascii="方正小标宋简体" w:hAnsi="宋体" w:eastAsia="方正小标宋简体"/>
          <w:color w:val="auto"/>
          <w:sz w:val="72"/>
          <w:szCs w:val="72"/>
          <w:highlight w:val="none"/>
          <w:lang w:val="en-US" w:eastAsia="zh-CN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auto"/>
          <w:sz w:val="72"/>
          <w:szCs w:val="72"/>
          <w:highlight w:val="none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auto"/>
          <w:sz w:val="72"/>
          <w:szCs w:val="72"/>
          <w:highlight w:val="none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auto"/>
          <w:sz w:val="72"/>
          <w:szCs w:val="72"/>
          <w:highlight w:val="none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highlight w:val="none"/>
        </w:rPr>
      </w:pPr>
      <w:bookmarkStart w:id="1" w:name="_Toc15396475"/>
      <w:bookmarkStart w:id="2" w:name="_Toc15378441"/>
      <w:bookmarkStart w:id="3" w:name="_Toc15377425"/>
      <w:bookmarkStart w:id="4" w:name="_Toc15396597"/>
      <w:bookmarkStart w:id="5" w:name="_Toc15377193"/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highlight w:val="none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highlight w:val="none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highlight w:val="none"/>
        </w:rPr>
        <w:t>年度</w:t>
      </w:r>
      <w:bookmarkEnd w:id="1"/>
      <w:bookmarkEnd w:id="2"/>
      <w:bookmarkEnd w:id="3"/>
      <w:bookmarkEnd w:id="4"/>
      <w:bookmarkEnd w:id="5"/>
    </w:p>
    <w:p>
      <w:pPr>
        <w:adjustRightInd w:val="0"/>
        <w:snapToGrid w:val="0"/>
        <w:spacing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highlight w:val="none"/>
          <w:lang w:val="en-US" w:eastAsia="zh-CN"/>
        </w:rPr>
      </w:pPr>
      <w:bookmarkStart w:id="6" w:name="_Toc15377194"/>
      <w:bookmarkStart w:id="7" w:name="_Toc15396598"/>
      <w:bookmarkStart w:id="8" w:name="_Toc15396476"/>
      <w:bookmarkStart w:id="9" w:name="_Toc15377426"/>
      <w:bookmarkStart w:id="10" w:name="_Toc15378442"/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highlight w:val="none"/>
        </w:rPr>
        <w:t>四川省</w:t>
      </w:r>
      <w:bookmarkEnd w:id="0"/>
      <w:bookmarkStart w:id="11" w:name="_Toc15306268"/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highlight w:val="none"/>
          <w:lang w:val="en-US" w:eastAsia="zh-CN"/>
        </w:rPr>
        <w:t>广元市昭化区职业高级中学</w:t>
      </w: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highlight w:val="none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highlight w:val="none"/>
        </w:rPr>
        <w:t>决算</w:t>
      </w:r>
      <w:bookmarkEnd w:id="6"/>
      <w:bookmarkEnd w:id="7"/>
      <w:bookmarkEnd w:id="8"/>
      <w:bookmarkEnd w:id="9"/>
      <w:bookmarkEnd w:id="10"/>
      <w:bookmarkEnd w:id="11"/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highlight w:val="none"/>
          <w:lang w:val="en-US" w:eastAsia="zh-CN"/>
        </w:rPr>
        <w:t>公开</w:t>
      </w:r>
    </w:p>
    <w:p>
      <w:pPr>
        <w:widowControl/>
        <w:jc w:val="center"/>
        <w:rPr>
          <w:rFonts w:ascii="黑体" w:hAnsi="黑体" w:eastAsia="黑体"/>
          <w:color w:val="auto"/>
          <w:sz w:val="48"/>
          <w:szCs w:val="48"/>
          <w:highlight w:val="none"/>
        </w:rPr>
      </w:pPr>
      <w:r>
        <w:rPr>
          <w:rFonts w:ascii="方正小标宋简体" w:hAnsi="宋体" w:eastAsia="方正小标宋简体"/>
          <w:color w:val="auto"/>
          <w:sz w:val="36"/>
          <w:szCs w:val="36"/>
          <w:highlight w:val="none"/>
        </w:rPr>
        <w:br w:type="page"/>
      </w:r>
      <w:r>
        <w:rPr>
          <w:rFonts w:hint="eastAsia" w:ascii="黑体" w:hAnsi="黑体" w:eastAsia="黑体"/>
          <w:color w:val="auto"/>
          <w:sz w:val="48"/>
          <w:szCs w:val="48"/>
          <w:highlight w:val="none"/>
        </w:rPr>
        <w:t>目录</w:t>
      </w:r>
    </w:p>
    <w:p>
      <w:pPr>
        <w:pStyle w:val="12"/>
        <w:jc w:val="both"/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pStyle w:val="12"/>
        <w:keepNext w:val="0"/>
        <w:keepLines w:val="0"/>
        <w:pageBreakBefore w:val="0"/>
        <w:widowControl w:val="0"/>
        <w:tabs>
          <w:tab w:val="right" w:leader="middleDot" w:pos="82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40" w:lineRule="exact"/>
        <w:jc w:val="distribute"/>
        <w:textAlignment w:val="auto"/>
        <w:rPr>
          <w:rFonts w:hint="default" w:eastAsia="仿宋" w:cstheme="minorBidi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 xml:space="preserve">第一部分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概况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  <w:highlight w:val="none"/>
          <w:lang w:val="en-US" w:eastAsia="zh-CN"/>
        </w:rPr>
        <w:tab/>
      </w:r>
      <w:r>
        <w:rPr>
          <w:rFonts w:hint="eastAsia"/>
          <w:color w:val="auto"/>
          <w:sz w:val="24"/>
          <w:highlight w:val="none"/>
          <w:lang w:val="en-US" w:eastAsia="zh-CN"/>
        </w:rPr>
        <w:t>4</w:t>
      </w:r>
    </w:p>
    <w:p>
      <w:pPr>
        <w:pStyle w:val="13"/>
        <w:keepNext w:val="0"/>
        <w:keepLines w:val="0"/>
        <w:pageBreakBefore w:val="0"/>
        <w:widowControl w:val="0"/>
        <w:tabs>
          <w:tab w:val="right" w:leader="middleDot" w:pos="82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distribute"/>
        <w:textAlignment w:val="auto"/>
        <w:rPr>
          <w:rFonts w:hint="default" w:eastAsia="宋体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</w:rPr>
        <w:t>一、职能</w:t>
      </w:r>
      <w:r>
        <w:rPr>
          <w:rFonts w:hint="eastAsia"/>
          <w:color w:val="auto"/>
          <w:sz w:val="24"/>
          <w:highlight w:val="none"/>
          <w:lang w:eastAsia="zh-CN"/>
        </w:rPr>
        <w:t>简介</w:t>
      </w:r>
      <w:r>
        <w:rPr>
          <w:rFonts w:hint="eastAsia"/>
          <w:color w:val="auto"/>
          <w:sz w:val="24"/>
          <w:highlight w:val="none"/>
          <w:lang w:val="en-US" w:eastAsia="zh-CN"/>
        </w:rPr>
        <w:tab/>
      </w:r>
      <w:r>
        <w:rPr>
          <w:rFonts w:hint="eastAsia"/>
          <w:color w:val="auto"/>
          <w:sz w:val="24"/>
          <w:highlight w:val="none"/>
          <w:lang w:val="en-US" w:eastAsia="zh-CN"/>
        </w:rPr>
        <w:t>4</w:t>
      </w:r>
    </w:p>
    <w:p>
      <w:pPr>
        <w:pStyle w:val="13"/>
        <w:keepNext w:val="0"/>
        <w:keepLines w:val="0"/>
        <w:pageBreakBefore w:val="0"/>
        <w:widowControl w:val="0"/>
        <w:tabs>
          <w:tab w:val="right" w:leader="middleDot" w:pos="82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distribute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2021年重点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工作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完成情况</w:t>
      </w:r>
      <w:r>
        <w:rPr>
          <w:rFonts w:hint="eastAsia"/>
          <w:color w:val="auto"/>
          <w:sz w:val="24"/>
          <w:highlight w:val="none"/>
          <w:lang w:val="en-US" w:eastAsia="zh-CN"/>
        </w:rPr>
        <w:tab/>
      </w:r>
      <w:r>
        <w:rPr>
          <w:rFonts w:hint="eastAsia"/>
          <w:color w:val="auto"/>
          <w:sz w:val="24"/>
          <w:highlight w:val="none"/>
          <w:lang w:val="en-US" w:eastAsia="zh-CN"/>
        </w:rPr>
        <w:t>4</w:t>
      </w:r>
    </w:p>
    <w:p>
      <w:pPr>
        <w:pStyle w:val="12"/>
        <w:keepNext w:val="0"/>
        <w:keepLines w:val="0"/>
        <w:pageBreakBefore w:val="0"/>
        <w:widowControl w:val="0"/>
        <w:tabs>
          <w:tab w:val="right" w:leader="middleDot" w:pos="82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40" w:lineRule="exact"/>
        <w:jc w:val="distribute"/>
        <w:textAlignment w:val="auto"/>
        <w:rPr>
          <w:rFonts w:hint="default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第二部分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2021年度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决算情况说明</w:t>
      </w:r>
      <w:r>
        <w:rPr>
          <w:rFonts w:hint="eastAsia"/>
          <w:color w:val="auto"/>
          <w:sz w:val="24"/>
          <w:highlight w:val="none"/>
          <w:lang w:val="en-US" w:eastAsia="zh-CN"/>
        </w:rPr>
        <w:tab/>
      </w:r>
      <w:r>
        <w:rPr>
          <w:rFonts w:hint="eastAsia"/>
          <w:color w:val="auto"/>
          <w:sz w:val="24"/>
          <w:highlight w:val="none"/>
          <w:lang w:val="en-US" w:eastAsia="zh-CN"/>
        </w:rPr>
        <w:t>6</w:t>
      </w:r>
    </w:p>
    <w:p>
      <w:pPr>
        <w:pStyle w:val="13"/>
        <w:keepNext w:val="0"/>
        <w:keepLines w:val="0"/>
        <w:pageBreakBefore w:val="0"/>
        <w:widowControl w:val="0"/>
        <w:tabs>
          <w:tab w:val="right" w:leader="middleDot" w:pos="82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distribute"/>
        <w:textAlignment w:val="auto"/>
        <w:rPr>
          <w:rFonts w:hint="default" w:ascii="仿宋" w:hAnsi="仿宋" w:eastAsia="仿宋" w:cstheme="minorBidi"/>
          <w:color w:val="auto"/>
          <w:sz w:val="24"/>
          <w:highlight w:val="none"/>
          <w:lang w:val="en-US"/>
        </w:rPr>
      </w:pPr>
      <w:r>
        <w:rPr>
          <w:rFonts w:hint="eastAsia"/>
          <w:color w:val="auto"/>
          <w:sz w:val="24"/>
          <w:highlight w:val="none"/>
        </w:rPr>
        <w:t>一、收入支出决算总体情况说明</w:t>
      </w:r>
      <w:r>
        <w:rPr>
          <w:rFonts w:hint="eastAsia"/>
          <w:color w:val="auto"/>
          <w:sz w:val="24"/>
          <w:highlight w:val="none"/>
          <w:lang w:val="en-US" w:eastAsia="zh-CN"/>
        </w:rPr>
        <w:tab/>
      </w:r>
      <w:r>
        <w:rPr>
          <w:rFonts w:hint="eastAsia"/>
          <w:color w:val="auto"/>
          <w:sz w:val="24"/>
          <w:highlight w:val="none"/>
          <w:lang w:val="en-US" w:eastAsia="zh-CN"/>
        </w:rPr>
        <w:t>6</w:t>
      </w:r>
    </w:p>
    <w:p>
      <w:pPr>
        <w:pStyle w:val="13"/>
        <w:keepNext w:val="0"/>
        <w:keepLines w:val="0"/>
        <w:pageBreakBefore w:val="0"/>
        <w:widowControl w:val="0"/>
        <w:tabs>
          <w:tab w:val="right" w:leader="middleDot" w:pos="82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distribute"/>
        <w:textAlignment w:val="auto"/>
        <w:rPr>
          <w:rFonts w:hint="default" w:ascii="仿宋" w:hAnsi="仿宋" w:eastAsia="仿宋" w:cstheme="minorBidi"/>
          <w:color w:val="auto"/>
          <w:sz w:val="24"/>
          <w:highlight w:val="none"/>
          <w:lang w:val="en-US"/>
        </w:rPr>
      </w:pPr>
      <w:r>
        <w:rPr>
          <w:rFonts w:hint="eastAsia"/>
          <w:color w:val="auto"/>
          <w:sz w:val="24"/>
          <w:highlight w:val="none"/>
        </w:rPr>
        <w:t>二、收入决算情况说明</w:t>
      </w:r>
      <w:r>
        <w:rPr>
          <w:rFonts w:hint="eastAsia"/>
          <w:color w:val="auto"/>
          <w:sz w:val="24"/>
          <w:highlight w:val="none"/>
          <w:lang w:val="en-US" w:eastAsia="zh-CN"/>
        </w:rPr>
        <w:tab/>
      </w:r>
      <w:r>
        <w:rPr>
          <w:rFonts w:hint="eastAsia"/>
          <w:color w:val="auto"/>
          <w:sz w:val="24"/>
          <w:highlight w:val="none"/>
          <w:lang w:val="en-US" w:eastAsia="zh-CN"/>
        </w:rPr>
        <w:t>6</w:t>
      </w:r>
    </w:p>
    <w:p>
      <w:pPr>
        <w:pStyle w:val="13"/>
        <w:keepNext w:val="0"/>
        <w:keepLines w:val="0"/>
        <w:pageBreakBefore w:val="0"/>
        <w:widowControl w:val="0"/>
        <w:tabs>
          <w:tab w:val="right" w:leader="middleDot" w:pos="82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distribute"/>
        <w:textAlignment w:val="auto"/>
        <w:rPr>
          <w:rFonts w:hint="default" w:ascii="仿宋" w:hAnsi="仿宋" w:eastAsia="仿宋" w:cstheme="minorBidi"/>
          <w:color w:val="auto"/>
          <w:sz w:val="24"/>
          <w:highlight w:val="none"/>
          <w:lang w:val="en-US"/>
        </w:rPr>
      </w:pPr>
      <w:r>
        <w:rPr>
          <w:rFonts w:hint="eastAsia"/>
          <w:color w:val="auto"/>
          <w:sz w:val="24"/>
          <w:highlight w:val="none"/>
        </w:rPr>
        <w:t>三、支出决算情况说明</w:t>
      </w:r>
      <w:r>
        <w:rPr>
          <w:rFonts w:hint="eastAsia"/>
          <w:color w:val="auto"/>
          <w:sz w:val="24"/>
          <w:highlight w:val="none"/>
          <w:lang w:val="en-US" w:eastAsia="zh-CN"/>
        </w:rPr>
        <w:tab/>
      </w:r>
      <w:r>
        <w:rPr>
          <w:rFonts w:hint="eastAsia"/>
          <w:color w:val="auto"/>
          <w:sz w:val="24"/>
          <w:highlight w:val="none"/>
          <w:lang w:val="en-US" w:eastAsia="zh-CN"/>
        </w:rPr>
        <w:t>7</w:t>
      </w:r>
    </w:p>
    <w:p>
      <w:pPr>
        <w:pStyle w:val="13"/>
        <w:keepNext w:val="0"/>
        <w:keepLines w:val="0"/>
        <w:pageBreakBefore w:val="0"/>
        <w:widowControl w:val="0"/>
        <w:tabs>
          <w:tab w:val="right" w:leader="middleDot" w:pos="82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distribute"/>
        <w:textAlignment w:val="auto"/>
        <w:rPr>
          <w:rFonts w:ascii="仿宋" w:hAnsi="仿宋" w:eastAsia="仿宋" w:cstheme="minorBidi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四、财政拨款收入支出决算总体情况说明</w:t>
      </w:r>
      <w:r>
        <w:rPr>
          <w:rFonts w:hint="eastAsia"/>
          <w:color w:val="auto"/>
          <w:sz w:val="24"/>
          <w:highlight w:val="none"/>
          <w:lang w:val="en-US" w:eastAsia="zh-CN"/>
        </w:rPr>
        <w:tab/>
      </w:r>
      <w:r>
        <w:rPr>
          <w:rFonts w:hint="eastAsia"/>
          <w:color w:val="auto"/>
          <w:sz w:val="24"/>
          <w:highlight w:val="none"/>
          <w:lang w:val="en-US" w:eastAsia="zh-CN"/>
        </w:rPr>
        <w:t>7</w:t>
      </w:r>
    </w:p>
    <w:p>
      <w:pPr>
        <w:pStyle w:val="13"/>
        <w:keepNext w:val="0"/>
        <w:keepLines w:val="0"/>
        <w:pageBreakBefore w:val="0"/>
        <w:widowControl w:val="0"/>
        <w:tabs>
          <w:tab w:val="right" w:leader="middleDot" w:pos="82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distribute"/>
        <w:textAlignment w:val="auto"/>
        <w:rPr>
          <w:rFonts w:hint="default" w:ascii="仿宋" w:hAnsi="仿宋" w:eastAsia="仿宋" w:cstheme="minorBidi"/>
          <w:color w:val="auto"/>
          <w:sz w:val="24"/>
          <w:highlight w:val="none"/>
          <w:lang w:val="en-US"/>
        </w:rPr>
      </w:pPr>
      <w:r>
        <w:rPr>
          <w:rFonts w:hint="eastAsia"/>
          <w:color w:val="auto"/>
          <w:sz w:val="24"/>
          <w:highlight w:val="none"/>
        </w:rPr>
        <w:t>五、一般公共预算财政拨款支出决算情况说明</w:t>
      </w:r>
      <w:r>
        <w:rPr>
          <w:rFonts w:hint="eastAsia"/>
          <w:color w:val="auto"/>
          <w:sz w:val="24"/>
          <w:highlight w:val="none"/>
          <w:lang w:val="en-US" w:eastAsia="zh-CN"/>
        </w:rPr>
        <w:tab/>
      </w:r>
      <w:r>
        <w:rPr>
          <w:rFonts w:hint="eastAsia"/>
          <w:color w:val="auto"/>
          <w:sz w:val="24"/>
          <w:highlight w:val="none"/>
          <w:lang w:val="en-US" w:eastAsia="zh-CN"/>
        </w:rPr>
        <w:t>8</w:t>
      </w:r>
    </w:p>
    <w:p>
      <w:pPr>
        <w:pStyle w:val="13"/>
        <w:keepNext w:val="0"/>
        <w:keepLines w:val="0"/>
        <w:pageBreakBefore w:val="0"/>
        <w:widowControl w:val="0"/>
        <w:tabs>
          <w:tab w:val="right" w:leader="middleDot" w:pos="82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distribute"/>
        <w:textAlignment w:val="auto"/>
        <w:rPr>
          <w:rFonts w:hint="default" w:ascii="仿宋" w:hAnsi="仿宋" w:eastAsia="仿宋" w:cstheme="minorBidi"/>
          <w:color w:val="auto"/>
          <w:sz w:val="24"/>
          <w:highlight w:val="none"/>
          <w:lang w:val="en-US"/>
        </w:rPr>
      </w:pPr>
      <w:r>
        <w:rPr>
          <w:rFonts w:hint="eastAsia"/>
          <w:color w:val="auto"/>
          <w:sz w:val="24"/>
          <w:highlight w:val="none"/>
        </w:rPr>
        <w:t>六、一般公共预算财政拨款基本支出决算情况说明</w:t>
      </w:r>
      <w:r>
        <w:rPr>
          <w:rFonts w:hint="eastAsia"/>
          <w:color w:val="auto"/>
          <w:sz w:val="24"/>
          <w:highlight w:val="none"/>
          <w:lang w:val="en-US" w:eastAsia="zh-CN"/>
        </w:rPr>
        <w:tab/>
      </w:r>
      <w:r>
        <w:rPr>
          <w:rFonts w:hint="eastAsia"/>
          <w:color w:val="auto"/>
          <w:sz w:val="24"/>
          <w:highlight w:val="none"/>
          <w:lang w:val="en-US" w:eastAsia="zh-CN"/>
        </w:rPr>
        <w:t>9</w:t>
      </w:r>
    </w:p>
    <w:p>
      <w:pPr>
        <w:pStyle w:val="13"/>
        <w:keepNext w:val="0"/>
        <w:keepLines w:val="0"/>
        <w:pageBreakBefore w:val="0"/>
        <w:widowControl w:val="0"/>
        <w:tabs>
          <w:tab w:val="right" w:leader="middleDot" w:pos="82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distribute"/>
        <w:textAlignment w:val="auto"/>
        <w:rPr>
          <w:rFonts w:hint="default" w:ascii="仿宋" w:hAnsi="仿宋" w:eastAsia="仿宋" w:cstheme="minorBidi"/>
          <w:color w:val="auto"/>
          <w:sz w:val="24"/>
          <w:highlight w:val="none"/>
          <w:lang w:val="en-US"/>
        </w:rPr>
      </w:pPr>
      <w:r>
        <w:rPr>
          <w:rFonts w:hint="eastAsia"/>
          <w:color w:val="auto"/>
          <w:sz w:val="24"/>
          <w:highlight w:val="none"/>
        </w:rPr>
        <w:t>七、</w:t>
      </w:r>
      <w:r>
        <w:rPr>
          <w:rFonts w:hint="eastAsia"/>
          <w:color w:val="auto"/>
          <w:sz w:val="24"/>
          <w:highlight w:val="none"/>
          <w:lang w:eastAsia="zh-CN"/>
        </w:rPr>
        <w:t>“</w:t>
      </w:r>
      <w:r>
        <w:rPr>
          <w:rFonts w:hint="eastAsia"/>
          <w:color w:val="auto"/>
          <w:sz w:val="24"/>
          <w:highlight w:val="none"/>
        </w:rPr>
        <w:t>三公”经费财政拨款支出决算情况说明</w:t>
      </w:r>
      <w:r>
        <w:rPr>
          <w:rFonts w:hint="eastAsia"/>
          <w:color w:val="auto"/>
          <w:sz w:val="24"/>
          <w:highlight w:val="none"/>
          <w:lang w:val="en-US" w:eastAsia="zh-CN"/>
        </w:rPr>
        <w:tab/>
      </w:r>
      <w:r>
        <w:rPr>
          <w:rFonts w:hint="eastAsia"/>
          <w:color w:val="auto"/>
          <w:sz w:val="24"/>
          <w:highlight w:val="none"/>
          <w:lang w:val="en-US" w:eastAsia="zh-CN"/>
        </w:rPr>
        <w:t>9</w:t>
      </w:r>
    </w:p>
    <w:p>
      <w:pPr>
        <w:pStyle w:val="13"/>
        <w:keepNext w:val="0"/>
        <w:keepLines w:val="0"/>
        <w:pageBreakBefore w:val="0"/>
        <w:widowControl w:val="0"/>
        <w:tabs>
          <w:tab w:val="right" w:leader="middleDot" w:pos="82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distribute"/>
        <w:textAlignment w:val="auto"/>
        <w:rPr>
          <w:rFonts w:hint="default" w:ascii="仿宋" w:hAnsi="仿宋" w:eastAsia="仿宋" w:cstheme="minorBidi"/>
          <w:color w:val="auto"/>
          <w:sz w:val="24"/>
          <w:highlight w:val="none"/>
          <w:lang w:val="en-US"/>
        </w:rPr>
      </w:pPr>
      <w:r>
        <w:rPr>
          <w:rFonts w:hint="eastAsia"/>
          <w:color w:val="auto"/>
          <w:sz w:val="24"/>
          <w:highlight w:val="none"/>
        </w:rPr>
        <w:t>八、政府性基金预算支出决算情况说明</w:t>
      </w:r>
      <w:r>
        <w:rPr>
          <w:rFonts w:hint="eastAsia"/>
          <w:color w:val="auto"/>
          <w:sz w:val="24"/>
          <w:highlight w:val="none"/>
          <w:lang w:val="en-US" w:eastAsia="zh-CN"/>
        </w:rPr>
        <w:tab/>
      </w:r>
      <w:r>
        <w:rPr>
          <w:rFonts w:hint="eastAsia"/>
          <w:color w:val="auto"/>
          <w:sz w:val="24"/>
          <w:highlight w:val="none"/>
          <w:lang w:val="en-US" w:eastAsia="zh-CN"/>
        </w:rPr>
        <w:t>10</w:t>
      </w:r>
    </w:p>
    <w:p>
      <w:pPr>
        <w:pStyle w:val="13"/>
        <w:keepNext w:val="0"/>
        <w:keepLines w:val="0"/>
        <w:pageBreakBefore w:val="0"/>
        <w:widowControl w:val="0"/>
        <w:tabs>
          <w:tab w:val="right" w:leader="middleDot" w:pos="82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distribute"/>
        <w:textAlignment w:val="auto"/>
        <w:rPr>
          <w:rFonts w:hint="default" w:ascii="仿宋" w:hAnsi="仿宋" w:eastAsia="仿宋" w:cstheme="minorBidi"/>
          <w:color w:val="auto"/>
          <w:sz w:val="24"/>
          <w:highlight w:val="none"/>
          <w:lang w:val="en-US"/>
        </w:rPr>
      </w:pPr>
      <w:r>
        <w:rPr>
          <w:rFonts w:hint="eastAsia"/>
          <w:color w:val="auto"/>
          <w:sz w:val="24"/>
          <w:highlight w:val="none"/>
        </w:rPr>
        <w:t>九、国有资本经营预算支出决算情况说明</w:t>
      </w:r>
      <w:r>
        <w:rPr>
          <w:rFonts w:hint="eastAsia"/>
          <w:color w:val="auto"/>
          <w:sz w:val="24"/>
          <w:highlight w:val="none"/>
          <w:lang w:val="en-US" w:eastAsia="zh-CN"/>
        </w:rPr>
        <w:tab/>
      </w:r>
      <w:r>
        <w:rPr>
          <w:rFonts w:hint="eastAsia"/>
          <w:color w:val="auto"/>
          <w:sz w:val="24"/>
          <w:highlight w:val="none"/>
          <w:lang w:val="en-US" w:eastAsia="zh-CN"/>
        </w:rPr>
        <w:t>10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distribute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color w:val="auto"/>
          <w:sz w:val="24"/>
          <w:highlight w:val="none"/>
        </w:rPr>
        <w:t>十、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预算绩效管理情况</w:t>
      </w:r>
      <w:r>
        <w:rPr>
          <w:rFonts w:hint="eastAsia"/>
          <w:color w:val="auto"/>
          <w:sz w:val="24"/>
          <w:highlight w:val="none"/>
          <w:lang w:val="en-US" w:eastAsia="zh-CN"/>
        </w:rPr>
        <w:tab/>
      </w:r>
      <w:r>
        <w:rPr>
          <w:rFonts w:hint="eastAsia"/>
          <w:color w:val="auto"/>
          <w:sz w:val="24"/>
          <w:highlight w:val="none"/>
          <w:lang w:val="en-US" w:eastAsia="zh-CN"/>
        </w:rPr>
        <w:t>11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distribute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十一、</w:t>
      </w:r>
      <w:r>
        <w:rPr>
          <w:rFonts w:hint="eastAsia"/>
          <w:color w:val="auto"/>
          <w:sz w:val="24"/>
          <w:highlight w:val="none"/>
        </w:rPr>
        <w:t>其他重要事项的情况说明</w:t>
      </w:r>
      <w:r>
        <w:rPr>
          <w:rFonts w:hint="eastAsia"/>
          <w:color w:val="auto"/>
          <w:sz w:val="24"/>
          <w:highlight w:val="none"/>
          <w:lang w:val="en-US" w:eastAsia="zh-CN"/>
        </w:rPr>
        <w:tab/>
      </w:r>
      <w:r>
        <w:rPr>
          <w:rFonts w:hint="eastAsia"/>
          <w:color w:val="auto"/>
          <w:sz w:val="24"/>
          <w:highlight w:val="none"/>
          <w:lang w:val="en-US" w:eastAsia="zh-CN"/>
        </w:rPr>
        <w:t>11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40" w:lineRule="exact"/>
        <w:jc w:val="distribute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第三部分 名词解释</w:t>
      </w:r>
      <w:r>
        <w:rPr>
          <w:rFonts w:hint="eastAsia"/>
          <w:color w:val="auto"/>
          <w:sz w:val="24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12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40" w:lineRule="exact"/>
        <w:jc w:val="distribute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第四部分 附件</w:t>
      </w:r>
      <w:r>
        <w:rPr>
          <w:rFonts w:hint="eastAsia"/>
          <w:color w:val="auto"/>
          <w:sz w:val="24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13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40" w:lineRule="exact"/>
        <w:jc w:val="distribute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第五部分 附表</w:t>
      </w:r>
      <w:r>
        <w:rPr>
          <w:rFonts w:hint="eastAsia"/>
          <w:color w:val="auto"/>
          <w:sz w:val="24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16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</w:rPr>
        <w:t>一、收入支出决算总表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17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</w:rPr>
        <w:t>二、收入决算表</w:t>
      </w:r>
      <w:r>
        <w:rPr>
          <w:rFonts w:hint="eastAsia"/>
          <w:color w:val="auto"/>
          <w:sz w:val="24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17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三、支出决算表</w:t>
      </w:r>
      <w:r>
        <w:rPr>
          <w:rFonts w:hint="eastAsia"/>
          <w:color w:val="auto"/>
          <w:sz w:val="24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17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四、财政拨款收入支出决算总表</w:t>
      </w:r>
      <w:r>
        <w:rPr>
          <w:rFonts w:hint="eastAsia"/>
          <w:color w:val="auto"/>
          <w:sz w:val="24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17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五、财政拨款支出决算明细表</w:t>
      </w:r>
      <w:r>
        <w:rPr>
          <w:rFonts w:hint="eastAsia"/>
          <w:color w:val="auto"/>
          <w:sz w:val="24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17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六、一般公共预算财政拨款支出决算表</w:t>
      </w:r>
      <w:r>
        <w:rPr>
          <w:rFonts w:hint="eastAsia"/>
          <w:color w:val="auto"/>
          <w:sz w:val="24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17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七、一般公共预算财政拨款支出决算明细表</w:t>
      </w:r>
      <w:r>
        <w:rPr>
          <w:rFonts w:hint="eastAsia"/>
          <w:color w:val="auto"/>
          <w:sz w:val="24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17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八、一般公共预算财政拨款基本支出决算表</w:t>
      </w:r>
      <w:r>
        <w:rPr>
          <w:rFonts w:hint="eastAsia"/>
          <w:color w:val="auto"/>
          <w:sz w:val="24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17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九、一般公共预算财政拨款项目支出决算表</w:t>
      </w:r>
      <w:r>
        <w:rPr>
          <w:rFonts w:hint="eastAsia"/>
          <w:color w:val="auto"/>
          <w:sz w:val="24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17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十、一般公共预算财政拨款“三公”经费支出决算表</w:t>
      </w:r>
      <w:r>
        <w:rPr>
          <w:rFonts w:hint="eastAsia"/>
          <w:color w:val="auto"/>
          <w:sz w:val="24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17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十一、政府性基金预算财政拨款收入支出决算表</w:t>
      </w:r>
      <w:r>
        <w:rPr>
          <w:rFonts w:hint="eastAsia"/>
          <w:color w:val="auto"/>
          <w:sz w:val="24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17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十二、政府性基金预算财政拨款“三公”经费支出决算表</w:t>
      </w:r>
      <w:r>
        <w:rPr>
          <w:rFonts w:hint="eastAsia"/>
          <w:color w:val="auto"/>
          <w:sz w:val="24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17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十三、国有资本经营预算</w:t>
      </w:r>
      <w:r>
        <w:rPr>
          <w:rFonts w:hint="eastAsia"/>
          <w:color w:val="auto"/>
          <w:sz w:val="24"/>
          <w:highlight w:val="none"/>
          <w:lang w:eastAsia="zh-CN"/>
        </w:rPr>
        <w:t>财政拨款收入</w:t>
      </w:r>
      <w:r>
        <w:rPr>
          <w:rFonts w:hint="eastAsia"/>
          <w:color w:val="auto"/>
          <w:sz w:val="24"/>
          <w:highlight w:val="none"/>
        </w:rPr>
        <w:t>支出决算表</w:t>
      </w:r>
      <w:r>
        <w:rPr>
          <w:rFonts w:hint="eastAsia"/>
          <w:color w:val="auto"/>
          <w:sz w:val="24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17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default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十四、国有资本经营预算财政拨款支出决算表</w:t>
      </w:r>
      <w:r>
        <w:rPr>
          <w:rFonts w:hint="eastAsia"/>
          <w:color w:val="auto"/>
          <w:sz w:val="24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17</w:t>
      </w:r>
    </w:p>
    <w:p>
      <w:pPr>
        <w:keepNext w:val="0"/>
        <w:keepLines w:val="0"/>
        <w:pageBreakBefore w:val="0"/>
        <w:widowControl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spacing w:line="440" w:lineRule="exact"/>
        <w:jc w:val="left"/>
        <w:textAlignment w:val="auto"/>
        <w:rPr>
          <w:rFonts w:ascii="仿宋" w:hAnsi="仿宋" w:eastAsia="仿宋"/>
          <w:bCs/>
          <w:color w:val="auto"/>
          <w:kern w:val="44"/>
          <w:sz w:val="24"/>
          <w:highlight w:val="none"/>
        </w:rPr>
      </w:pPr>
      <w:bookmarkStart w:id="12" w:name="_Toc15377196"/>
      <w:bookmarkStart w:id="13" w:name="_Toc15396599"/>
      <w:r>
        <w:rPr>
          <w:rFonts w:ascii="仿宋" w:hAnsi="仿宋" w:eastAsia="仿宋"/>
          <w:b/>
          <w:color w:val="auto"/>
          <w:sz w:val="24"/>
          <w:highlight w:val="none"/>
        </w:rPr>
        <w:br w:type="page"/>
      </w:r>
    </w:p>
    <w:p>
      <w:pPr>
        <w:pStyle w:val="4"/>
        <w:jc w:val="center"/>
        <w:rPr>
          <w:rStyle w:val="26"/>
          <w:rFonts w:ascii="黑体" w:hAnsi="黑体" w:eastAsia="黑体"/>
          <w:b/>
          <w:bCs w:val="0"/>
          <w:color w:val="auto"/>
          <w:highlight w:val="none"/>
        </w:rPr>
      </w:pPr>
      <w:r>
        <w:rPr>
          <w:rFonts w:hint="eastAsia" w:ascii="黑体" w:hAnsi="黑体" w:eastAsia="黑体"/>
          <w:b w:val="0"/>
          <w:color w:val="auto"/>
          <w:highlight w:val="none"/>
        </w:rPr>
        <w:t xml:space="preserve">第一部分 </w:t>
      </w:r>
      <w:r>
        <w:rPr>
          <w:rFonts w:hint="eastAsia" w:ascii="黑体" w:hAnsi="黑体" w:eastAsia="黑体"/>
          <w:b w:val="0"/>
          <w:color w:val="auto"/>
          <w:highlight w:val="none"/>
          <w:lang w:eastAsia="zh-CN"/>
        </w:rPr>
        <w:t>单位</w:t>
      </w:r>
      <w:r>
        <w:rPr>
          <w:rStyle w:val="26"/>
          <w:rFonts w:hint="eastAsia" w:ascii="黑体" w:hAnsi="黑体" w:eastAsia="黑体"/>
          <w:b w:val="0"/>
          <w:bCs w:val="0"/>
          <w:color w:val="auto"/>
          <w:highlight w:val="none"/>
        </w:rPr>
        <w:t>概况</w:t>
      </w:r>
      <w:bookmarkEnd w:id="12"/>
      <w:bookmarkEnd w:id="13"/>
    </w:p>
    <w:p>
      <w:pPr>
        <w:widowControl/>
        <w:jc w:val="left"/>
        <w:rPr>
          <w:rFonts w:ascii="黑体" w:eastAsia="黑体"/>
          <w:color w:val="auto"/>
          <w:sz w:val="32"/>
          <w:szCs w:val="32"/>
          <w:highlight w:val="none"/>
        </w:rPr>
      </w:pPr>
    </w:p>
    <w:p>
      <w:pPr>
        <w:pStyle w:val="5"/>
        <w:numPr>
          <w:ilvl w:val="0"/>
          <w:numId w:val="1"/>
        </w:numPr>
        <w:rPr>
          <w:rFonts w:hint="eastAsia" w:ascii="黑体" w:hAnsi="黑体" w:eastAsia="黑体"/>
          <w:b w:val="0"/>
          <w:color w:val="auto"/>
          <w:highlight w:val="none"/>
        </w:rPr>
      </w:pPr>
      <w:bookmarkStart w:id="14" w:name="_Toc15377197"/>
      <w:bookmarkStart w:id="15" w:name="_Toc15396600"/>
      <w:r>
        <w:rPr>
          <w:rStyle w:val="27"/>
          <w:rFonts w:hint="eastAsia" w:ascii="黑体" w:hAnsi="黑体" w:eastAsia="黑体"/>
          <w:b w:val="0"/>
          <w:bCs w:val="0"/>
          <w:color w:val="auto"/>
          <w:highlight w:val="none"/>
        </w:rPr>
        <w:t>职能</w:t>
      </w:r>
      <w:r>
        <w:rPr>
          <w:rStyle w:val="27"/>
          <w:rFonts w:hint="eastAsia" w:ascii="黑体" w:hAnsi="黑体" w:eastAsia="黑体"/>
          <w:b w:val="0"/>
          <w:bCs w:val="0"/>
          <w:color w:val="auto"/>
          <w:highlight w:val="none"/>
          <w:lang w:eastAsia="zh-CN"/>
        </w:rPr>
        <w:t>简介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广元市昭化区职业高级中学是由四川省教育厅批准成立，由广元市昭化区人民政府主办的全日制国办中等职业学校，主要培养高中、初中学历技术应用人才，提高社会职业素质；文秘、财会等专业学历教育与相关职业培训。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黑体" w:hAnsi="黑体" w:eastAsia="黑体"/>
          <w:b w:val="0"/>
          <w:color w:val="auto"/>
          <w:highlight w:val="none"/>
          <w:lang w:eastAsia="zh-CN"/>
        </w:rPr>
      </w:pPr>
      <w:r>
        <w:rPr>
          <w:rFonts w:hint="eastAsia" w:ascii="黑体" w:hAnsi="黑体" w:eastAsia="黑体"/>
          <w:b w:val="0"/>
          <w:color w:val="auto"/>
          <w:highlight w:val="none"/>
          <w:lang w:val="en-US" w:eastAsia="zh-CN"/>
        </w:rPr>
        <w:t>二、2021年重点</w:t>
      </w:r>
      <w:r>
        <w:rPr>
          <w:rFonts w:hint="eastAsia" w:ascii="黑体" w:hAnsi="黑体" w:eastAsia="黑体"/>
          <w:b w:val="0"/>
          <w:color w:val="auto"/>
          <w:highlight w:val="none"/>
        </w:rPr>
        <w:t>工作</w:t>
      </w:r>
      <w:bookmarkEnd w:id="14"/>
      <w:bookmarkEnd w:id="15"/>
      <w:r>
        <w:rPr>
          <w:rFonts w:hint="eastAsia" w:ascii="黑体" w:hAnsi="黑体" w:eastAsia="黑体"/>
          <w:b w:val="0"/>
          <w:color w:val="auto"/>
          <w:highlight w:val="none"/>
          <w:lang w:eastAsia="zh-CN"/>
        </w:rPr>
        <w:t>完成情况</w:t>
      </w:r>
    </w:p>
    <w:p>
      <w:pPr>
        <w:pStyle w:val="7"/>
        <w:numPr>
          <w:ilvl w:val="0"/>
          <w:numId w:val="2"/>
        </w:numPr>
        <w:adjustRightInd w:val="0"/>
        <w:snapToGrid w:val="0"/>
        <w:spacing w:before="93" w:beforeLines="0" w:line="500" w:lineRule="exact"/>
        <w:ind w:firstLine="630" w:firstLineChars="210"/>
        <w:outlineLvl w:val="2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以党员队伍为抓手，带动干部队伍的建设；学校班子成员分工明确，责任落实；各处室各司其职，充分的</w:t>
      </w:r>
      <w:r>
        <w:rPr>
          <w:rFonts w:hint="eastAsia" w:ascii="仿宋" w:hAnsi="仿宋" w:eastAsia="仿宋"/>
          <w:bCs/>
          <w:color w:val="000000"/>
          <w:sz w:val="32"/>
          <w:szCs w:val="32"/>
          <w:lang w:eastAsia="zh-CN"/>
        </w:rPr>
        <w:t>发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挥了职能作用；班子团结勤奋，作风民主，凝聚力强。全面贯彻了“谁主管，谁负责，责、权高度统一”的原则；全面落实了“块线结合，以块为主，分校分区包干，分年级管理”的管理策略，实现了“规范管理、阳光行政、民主监督”的管理要求。</w:t>
      </w:r>
    </w:p>
    <w:p>
      <w:pPr>
        <w:pStyle w:val="7"/>
        <w:numPr>
          <w:ilvl w:val="0"/>
          <w:numId w:val="2"/>
        </w:numPr>
        <w:adjustRightInd w:val="0"/>
        <w:snapToGrid w:val="0"/>
        <w:spacing w:before="93" w:beforeLines="0" w:line="500" w:lineRule="exact"/>
        <w:ind w:firstLine="672" w:firstLineChars="210"/>
        <w:outlineLvl w:val="2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学校教研工作重点围绕促进教师专业化发展这一中心任务，广泛开展校本教研活动，提高教师的教育科研能力。充分利用多媒体教学提升教师的教育教学水平和业务能力。</w:t>
      </w:r>
    </w:p>
    <w:p>
      <w:pPr>
        <w:pStyle w:val="7"/>
        <w:numPr>
          <w:ilvl w:val="0"/>
          <w:numId w:val="2"/>
        </w:numPr>
        <w:adjustRightInd w:val="0"/>
        <w:snapToGrid w:val="0"/>
        <w:spacing w:before="93" w:beforeLines="0" w:line="500" w:lineRule="exact"/>
        <w:ind w:firstLine="672" w:firstLineChars="210"/>
        <w:outlineLvl w:val="2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学校始终把“养成”教育放在首位，以精细管理推动养成教育；以学习引导和氛围营造为主线，致力于学生自律意识的培养；围绕“感恩教育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·生命教育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”的德育主题，深入开展爱国主义教育、感恩教育、礼仪教育和生命教育，切实提高德育工作的针对性、主动性和实效性。</w:t>
      </w:r>
    </w:p>
    <w:p>
      <w:pPr>
        <w:pStyle w:val="7"/>
        <w:numPr>
          <w:ilvl w:val="0"/>
          <w:numId w:val="2"/>
        </w:numPr>
        <w:adjustRightInd w:val="0"/>
        <w:snapToGrid w:val="0"/>
        <w:spacing w:before="93" w:beforeLines="0" w:line="500" w:lineRule="exact"/>
        <w:ind w:firstLine="672" w:firstLineChars="210"/>
        <w:outlineLvl w:val="2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学校坚持以人为本，牢固树立“安全第一，预防为主”思想，明确责任，强化措施，常抓不懈，确保不发生安全责任事故。</w:t>
      </w:r>
    </w:p>
    <w:p>
      <w:pPr>
        <w:rPr>
          <w:rFonts w:hint="default"/>
          <w:lang w:val="en-US"/>
        </w:rPr>
      </w:pPr>
    </w:p>
    <w:p>
      <w:pPr>
        <w:widowControl/>
        <w:jc w:val="left"/>
        <w:rPr>
          <w:rFonts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br w:type="page"/>
      </w:r>
    </w:p>
    <w:p>
      <w:pPr>
        <w:pStyle w:val="4"/>
        <w:ind w:right="440"/>
        <w:jc w:val="center"/>
        <w:rPr>
          <w:rStyle w:val="26"/>
          <w:rFonts w:ascii="黑体" w:hAnsi="黑体" w:eastAsia="黑体"/>
          <w:b w:val="0"/>
          <w:bCs/>
          <w:color w:val="auto"/>
          <w:highlight w:val="none"/>
        </w:rPr>
      </w:pPr>
      <w:bookmarkStart w:id="16" w:name="_Toc15377204"/>
      <w:bookmarkStart w:id="17" w:name="_Toc15396602"/>
      <w:r>
        <w:rPr>
          <w:rFonts w:hint="eastAsia" w:ascii="黑体" w:hAnsi="黑体" w:eastAsia="黑体"/>
          <w:b w:val="0"/>
          <w:bCs/>
          <w:color w:val="auto"/>
          <w:highlight w:val="none"/>
        </w:rPr>
        <w:t xml:space="preserve">第二部分 </w:t>
      </w:r>
      <w:r>
        <w:rPr>
          <w:rFonts w:hint="eastAsia" w:ascii="黑体" w:hAnsi="黑体" w:eastAsia="黑体"/>
          <w:b w:val="0"/>
          <w:bCs/>
          <w:color w:val="auto"/>
          <w:highlight w:val="none"/>
          <w:lang w:val="en-US" w:eastAsia="zh-CN"/>
        </w:rPr>
        <w:t>2021年度</w:t>
      </w:r>
      <w:r>
        <w:rPr>
          <w:rStyle w:val="26"/>
          <w:rFonts w:hint="eastAsia" w:ascii="黑体" w:hAnsi="黑体" w:eastAsia="黑体"/>
          <w:b w:val="0"/>
          <w:bCs/>
          <w:color w:val="auto"/>
          <w:highlight w:val="none"/>
          <w:lang w:eastAsia="zh-CN"/>
        </w:rPr>
        <w:t>单位</w:t>
      </w:r>
      <w:r>
        <w:rPr>
          <w:rStyle w:val="26"/>
          <w:rFonts w:hint="eastAsia" w:ascii="黑体" w:hAnsi="黑体" w:eastAsia="黑体"/>
          <w:b w:val="0"/>
          <w:bCs/>
          <w:color w:val="auto"/>
          <w:highlight w:val="none"/>
        </w:rPr>
        <w:t>决算情况说明</w:t>
      </w:r>
      <w:bookmarkEnd w:id="16"/>
      <w:bookmarkEnd w:id="17"/>
    </w:p>
    <w:p>
      <w:pPr>
        <w:rPr>
          <w:color w:val="auto"/>
          <w:highlight w:val="none"/>
        </w:rPr>
      </w:pPr>
    </w:p>
    <w:p>
      <w:pPr>
        <w:pStyle w:val="25"/>
        <w:numPr>
          <w:ilvl w:val="0"/>
          <w:numId w:val="3"/>
        </w:numPr>
        <w:spacing w:line="600" w:lineRule="exact"/>
        <w:ind w:firstLineChars="0"/>
        <w:outlineLvl w:val="1"/>
        <w:rPr>
          <w:rStyle w:val="27"/>
          <w:rFonts w:ascii="黑体" w:hAnsi="黑体" w:eastAsia="黑体"/>
          <w:b w:val="0"/>
          <w:color w:val="auto"/>
          <w:highlight w:val="none"/>
        </w:rPr>
      </w:pPr>
      <w:bookmarkStart w:id="18" w:name="_Toc15377205"/>
      <w:bookmarkStart w:id="19" w:name="_Toc15396603"/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收</w:t>
      </w:r>
      <w:r>
        <w:rPr>
          <w:rStyle w:val="27"/>
          <w:rFonts w:hint="eastAsia" w:ascii="黑体" w:hAnsi="黑体" w:eastAsia="黑体"/>
          <w:b w:val="0"/>
          <w:color w:val="auto"/>
          <w:highlight w:val="none"/>
        </w:rPr>
        <w:t>入支出决算总体情况说明</w:t>
      </w:r>
      <w:bookmarkEnd w:id="18"/>
      <w:bookmarkEnd w:id="19"/>
    </w:p>
    <w:p>
      <w:pPr>
        <w:spacing w:line="600" w:lineRule="exact"/>
        <w:ind w:firstLine="640" w:firstLineChars="200"/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年度收、支总计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1024.07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万元。与20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年相比，收、支总计各减少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128.53万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元，下降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11.15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。主要变动原因是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2020年有职业教育提升计划项目资金，2021年无项目资金。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90170</wp:posOffset>
            </wp:positionV>
            <wp:extent cx="5080000" cy="2174240"/>
            <wp:effectExtent l="4445" t="4445" r="20955" b="12065"/>
            <wp:wrapSquare wrapText="bothSides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>
      <w:pPr>
        <w:pStyle w:val="25"/>
        <w:numPr>
          <w:ilvl w:val="0"/>
          <w:numId w:val="3"/>
        </w:numPr>
        <w:spacing w:line="600" w:lineRule="exact"/>
        <w:ind w:firstLineChars="0"/>
        <w:outlineLvl w:val="1"/>
        <w:rPr>
          <w:rStyle w:val="27"/>
          <w:rFonts w:ascii="黑体" w:hAnsi="黑体" w:eastAsia="黑体"/>
          <w:b w:val="0"/>
          <w:color w:val="auto"/>
          <w:highlight w:val="none"/>
        </w:rPr>
      </w:pPr>
      <w:bookmarkStart w:id="20" w:name="_Toc15396604"/>
      <w:bookmarkStart w:id="21" w:name="_Toc15377206"/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收</w:t>
      </w:r>
      <w:r>
        <w:rPr>
          <w:rStyle w:val="27"/>
          <w:rFonts w:hint="eastAsia" w:ascii="黑体" w:hAnsi="黑体" w:eastAsia="黑体"/>
          <w:b w:val="0"/>
          <w:color w:val="auto"/>
          <w:highlight w:val="none"/>
        </w:rPr>
        <w:t>入决算情况说明</w:t>
      </w:r>
      <w:bookmarkEnd w:id="20"/>
      <w:bookmarkEnd w:id="21"/>
    </w:p>
    <w:p>
      <w:pPr>
        <w:spacing w:line="600" w:lineRule="exact"/>
        <w:ind w:firstLine="640" w:firstLineChars="200"/>
        <w:outlineLvl w:val="1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年本年收入合计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1024.07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万元，其中：一般公共预算财政拨款收入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1024.07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万元，占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；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248920</wp:posOffset>
            </wp:positionH>
            <wp:positionV relativeFrom="paragraph">
              <wp:posOffset>123190</wp:posOffset>
            </wp:positionV>
            <wp:extent cx="4403725" cy="1619885"/>
            <wp:effectExtent l="4445" t="4445" r="11430" b="13970"/>
            <wp:wrapTopAndBottom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</w:p>
    <w:p>
      <w:pPr>
        <w:pStyle w:val="25"/>
        <w:numPr>
          <w:ilvl w:val="0"/>
          <w:numId w:val="3"/>
        </w:numPr>
        <w:spacing w:line="600" w:lineRule="exact"/>
        <w:ind w:firstLineChars="0"/>
        <w:outlineLvl w:val="1"/>
        <w:rPr>
          <w:rStyle w:val="27"/>
          <w:rFonts w:ascii="黑体" w:hAnsi="黑体" w:eastAsia="黑体"/>
          <w:b w:val="0"/>
          <w:color w:val="auto"/>
          <w:highlight w:val="none"/>
        </w:rPr>
      </w:pPr>
      <w:bookmarkStart w:id="22" w:name="_Toc15377207"/>
      <w:bookmarkStart w:id="23" w:name="_Toc15396605"/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支</w:t>
      </w:r>
      <w:r>
        <w:rPr>
          <w:rStyle w:val="27"/>
          <w:rFonts w:hint="eastAsia" w:ascii="黑体" w:hAnsi="黑体" w:eastAsia="黑体"/>
          <w:b w:val="0"/>
          <w:color w:val="auto"/>
          <w:highlight w:val="none"/>
        </w:rPr>
        <w:t>出决算情况说明</w:t>
      </w:r>
      <w:bookmarkEnd w:id="22"/>
      <w:bookmarkEnd w:id="23"/>
    </w:p>
    <w:p>
      <w:pPr>
        <w:spacing w:line="600" w:lineRule="exact"/>
        <w:ind w:firstLine="640" w:firstLineChars="200"/>
        <w:outlineLvl w:val="1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年本年支出合计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1008.37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万元，其中：基本支出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1008.37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万元，占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；</w:t>
      </w:r>
    </w:p>
    <w:p>
      <w:pPr>
        <w:spacing w:line="600" w:lineRule="exact"/>
        <w:ind w:firstLine="640"/>
        <w:rPr>
          <w:rStyle w:val="27"/>
          <w:rFonts w:ascii="黑体" w:hAnsi="黑体" w:eastAsia="黑体"/>
          <w:b w:val="0"/>
          <w:color w:val="auto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shd w:val="pct10" w:color="auto" w:fill="FFFFFF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166370</wp:posOffset>
            </wp:positionV>
            <wp:extent cx="5061585" cy="2191385"/>
            <wp:effectExtent l="4445" t="4445" r="20320" b="13970"/>
            <wp:wrapSquare wrapText="bothSides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bookmarkStart w:id="24" w:name="_Toc15377208"/>
      <w:bookmarkStart w:id="25" w:name="_Toc15396606"/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四、财</w:t>
      </w:r>
      <w:r>
        <w:rPr>
          <w:rStyle w:val="27"/>
          <w:rFonts w:hint="eastAsia" w:ascii="黑体" w:hAnsi="黑体" w:eastAsia="黑体"/>
          <w:b w:val="0"/>
          <w:color w:val="auto"/>
          <w:highlight w:val="none"/>
        </w:rPr>
        <w:t>政拨款收入支出决算总体情况说明</w:t>
      </w:r>
      <w:bookmarkEnd w:id="24"/>
      <w:bookmarkEnd w:id="25"/>
    </w:p>
    <w:p>
      <w:pPr>
        <w:spacing w:line="600" w:lineRule="exact"/>
        <w:ind w:firstLine="640" w:firstLineChars="200"/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年财政拨款收、支总计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1024.07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万元。与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年相比，财政拨款收、支总计各减少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128.53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万元，下降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11.15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。主要变动原因是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2020年有职业教育提升计划项目资金，2021年无项目资金。</w:t>
      </w:r>
    </w:p>
    <w:p>
      <w:pPr>
        <w:spacing w:line="600" w:lineRule="exact"/>
        <w:ind w:firstLine="640"/>
        <w:rPr>
          <w:rFonts w:ascii="仿宋" w:hAnsi="仿宋" w:eastAsia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213360</wp:posOffset>
            </wp:positionV>
            <wp:extent cx="4947285" cy="2258695"/>
            <wp:effectExtent l="4445" t="4445" r="20320" b="22860"/>
            <wp:wrapSquare wrapText="bothSides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>
      <w:pPr>
        <w:spacing w:line="600" w:lineRule="exact"/>
        <w:ind w:firstLine="640" w:firstLineChars="200"/>
        <w:outlineLvl w:val="1"/>
        <w:rPr>
          <w:rStyle w:val="27"/>
          <w:rFonts w:ascii="黑体" w:hAnsi="黑体" w:eastAsia="黑体"/>
          <w:b w:val="0"/>
          <w:color w:val="auto"/>
          <w:highlight w:val="none"/>
        </w:rPr>
      </w:pPr>
      <w:bookmarkStart w:id="26" w:name="_Toc15396607"/>
      <w:bookmarkStart w:id="27" w:name="_Toc15377209"/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五、</w:t>
      </w: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一</w:t>
      </w:r>
      <w:r>
        <w:rPr>
          <w:rStyle w:val="27"/>
          <w:rFonts w:hint="eastAsia" w:ascii="黑体" w:hAnsi="黑体" w:eastAsia="黑体"/>
          <w:b w:val="0"/>
          <w:color w:val="auto"/>
          <w:highlight w:val="none"/>
        </w:rPr>
        <w:t>般公共预算财政拨款支出决算情况说明</w:t>
      </w:r>
      <w:bookmarkEnd w:id="26"/>
      <w:bookmarkEnd w:id="27"/>
    </w:p>
    <w:p>
      <w:pPr>
        <w:spacing w:line="600" w:lineRule="exact"/>
        <w:ind w:firstLine="643" w:firstLineChars="200"/>
        <w:outlineLvl w:val="2"/>
        <w:rPr>
          <w:rFonts w:ascii="仿宋" w:hAnsi="仿宋" w:eastAsia="仿宋"/>
          <w:b/>
          <w:color w:val="auto"/>
          <w:sz w:val="32"/>
          <w:szCs w:val="32"/>
          <w:highlight w:val="none"/>
        </w:rPr>
      </w:pPr>
      <w:bookmarkStart w:id="28" w:name="_Toc15377210"/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</w:rPr>
        <w:t>（一）一般公共预算财政拨款支出决算总体情况</w:t>
      </w:r>
      <w:bookmarkEnd w:id="28"/>
    </w:p>
    <w:p>
      <w:pPr>
        <w:spacing w:line="600" w:lineRule="exact"/>
        <w:ind w:firstLine="640" w:firstLineChars="200"/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年一般公共预算财政拨款支出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1008.37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万元，占本年支出合计的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。与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年相比，一般公共预算财政拨款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支出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减少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21.19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万元，下降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2.06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。主要变动原因是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2020年有职业教育提升计划项目资金支出，2021年无项目资金支出。</w:t>
      </w:r>
    </w:p>
    <w:p>
      <w:pPr>
        <w:spacing w:line="600" w:lineRule="exact"/>
        <w:ind w:firstLine="640" w:firstLineChars="200"/>
        <w:rPr>
          <w:rFonts w:ascii="仿宋" w:hAnsi="仿宋" w:eastAsia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175895</wp:posOffset>
            </wp:positionV>
            <wp:extent cx="5080000" cy="2258060"/>
            <wp:effectExtent l="4445" t="4445" r="20955" b="23495"/>
            <wp:wrapSquare wrapText="bothSides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bookmarkStart w:id="29" w:name="_Toc15377211"/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</w:rPr>
        <w:t>（二）一般公共预算财政拨款支出决算结构情况</w:t>
      </w:r>
      <w:bookmarkEnd w:id="29"/>
    </w:p>
    <w:p>
      <w:pPr>
        <w:spacing w:line="600" w:lineRule="exact"/>
        <w:ind w:firstLine="640"/>
        <w:rPr>
          <w:rFonts w:hint="eastAsia" w:ascii="仿宋" w:hAnsi="仿宋" w:eastAsia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shd w:val="pct10" w:color="auto" w:fill="FFFFFF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832485</wp:posOffset>
            </wp:positionV>
            <wp:extent cx="5203825" cy="1419860"/>
            <wp:effectExtent l="4445" t="4445" r="11430" b="23495"/>
            <wp:wrapSquare wrapText="bothSides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年一般公共预算财政拨款支出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1008.37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万元，主要用于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:</w:t>
      </w:r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</w:rPr>
        <w:t>教育支出（类）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1008.37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万元，占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。</w:t>
      </w:r>
    </w:p>
    <w:p>
      <w:pPr>
        <w:spacing w:line="600" w:lineRule="exact"/>
        <w:ind w:firstLine="643" w:firstLineChars="200"/>
        <w:outlineLvl w:val="2"/>
        <w:rPr>
          <w:rFonts w:ascii="仿宋" w:hAnsi="仿宋" w:eastAsia="仿宋"/>
          <w:b/>
          <w:color w:val="auto"/>
          <w:sz w:val="32"/>
          <w:szCs w:val="32"/>
          <w:highlight w:val="none"/>
        </w:rPr>
      </w:pPr>
      <w:bookmarkStart w:id="30" w:name="_Toc15377212"/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</w:rPr>
        <w:t>（三）一般公共预算财政拨款支出决算具体情况</w:t>
      </w:r>
      <w:bookmarkEnd w:id="30"/>
    </w:p>
    <w:p>
      <w:pPr>
        <w:spacing w:line="600" w:lineRule="exact"/>
        <w:ind w:firstLine="640" w:firstLineChars="200"/>
        <w:outlineLvl w:val="2"/>
        <w:rPr>
          <w:rFonts w:ascii="仿宋" w:hAnsi="仿宋" w:eastAsia="仿宋"/>
          <w:color w:val="auto"/>
          <w:sz w:val="32"/>
          <w:szCs w:val="32"/>
          <w:highlight w:val="none"/>
        </w:rPr>
      </w:pPr>
      <w:bookmarkStart w:id="31" w:name="_Toc15377444"/>
      <w:bookmarkStart w:id="32" w:name="_Toc15377213"/>
      <w:bookmarkStart w:id="33" w:name="_Toc15378460"/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2021年一般公共预算支出决算数为 1008.37万元，预算数为1024.07万元，完成预算98.46%。</w:t>
      </w:r>
      <w:r>
        <w:rPr>
          <w:rStyle w:val="16"/>
          <w:rFonts w:hint="eastAsia" w:ascii="仿宋" w:hAnsi="仿宋" w:eastAsia="仿宋"/>
          <w:bCs/>
          <w:color w:val="auto"/>
          <w:sz w:val="32"/>
          <w:szCs w:val="32"/>
          <w:highlight w:val="none"/>
        </w:rPr>
        <w:t>其中：</w:t>
      </w:r>
      <w:bookmarkEnd w:id="31"/>
      <w:bookmarkEnd w:id="32"/>
      <w:bookmarkEnd w:id="33"/>
    </w:p>
    <w:p>
      <w:pPr>
        <w:spacing w:line="600" w:lineRule="exact"/>
        <w:ind w:firstLine="643" w:firstLineChars="200"/>
        <w:rPr>
          <w:rFonts w:ascii="仿宋" w:hAnsi="仿宋" w:eastAsia="仿宋"/>
          <w:b/>
          <w:color w:val="auto"/>
          <w:sz w:val="32"/>
          <w:szCs w:val="32"/>
          <w:highlight w:val="none"/>
        </w:rPr>
      </w:pPr>
      <w:r>
        <w:rPr>
          <w:rStyle w:val="16"/>
          <w:rFonts w:ascii="仿宋" w:hAnsi="仿宋" w:eastAsia="仿宋"/>
          <w:bCs/>
          <w:color w:val="auto"/>
          <w:sz w:val="32"/>
          <w:szCs w:val="32"/>
          <w:highlight w:val="none"/>
        </w:rPr>
        <w:t>1.</w:t>
      </w:r>
      <w:r>
        <w:rPr>
          <w:rStyle w:val="16"/>
          <w:rFonts w:hint="eastAsia" w:ascii="仿宋" w:hAnsi="仿宋" w:eastAsia="仿宋"/>
          <w:bCs/>
          <w:color w:val="auto"/>
          <w:sz w:val="32"/>
          <w:szCs w:val="32"/>
          <w:highlight w:val="none"/>
        </w:rPr>
        <w:t>教育（类）</w:t>
      </w:r>
      <w:r>
        <w:rPr>
          <w:rStyle w:val="16"/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205</w:t>
      </w:r>
      <w:r>
        <w:rPr>
          <w:rStyle w:val="16"/>
          <w:rFonts w:hint="eastAsia" w:ascii="仿宋" w:hAnsi="仿宋" w:eastAsia="仿宋"/>
          <w:bCs/>
          <w:color w:val="auto"/>
          <w:sz w:val="32"/>
          <w:szCs w:val="32"/>
          <w:highlight w:val="none"/>
        </w:rPr>
        <w:t>（款）</w:t>
      </w:r>
      <w:r>
        <w:rPr>
          <w:rStyle w:val="16"/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03</w:t>
      </w:r>
      <w:r>
        <w:rPr>
          <w:rStyle w:val="16"/>
          <w:rFonts w:hint="eastAsia" w:ascii="仿宋" w:hAnsi="仿宋" w:eastAsia="仿宋"/>
          <w:bCs/>
          <w:color w:val="auto"/>
          <w:sz w:val="32"/>
          <w:szCs w:val="32"/>
          <w:highlight w:val="none"/>
        </w:rPr>
        <w:t>（项）</w:t>
      </w:r>
      <w:r>
        <w:rPr>
          <w:rStyle w:val="16"/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02</w:t>
      </w:r>
      <w:r>
        <w:rPr>
          <w:rStyle w:val="16"/>
          <w:rFonts w:ascii="仿宋" w:hAnsi="仿宋" w:eastAsia="仿宋"/>
          <w:bCs/>
          <w:color w:val="auto"/>
          <w:sz w:val="32"/>
          <w:szCs w:val="32"/>
          <w:highlight w:val="none"/>
        </w:rPr>
        <w:t>:</w:t>
      </w:r>
      <w:r>
        <w:rPr>
          <w:rStyle w:val="16"/>
          <w:rFonts w:ascii="仿宋" w:hAnsi="仿宋" w:eastAsia="仿宋"/>
          <w:b w:val="0"/>
          <w:bCs/>
          <w:color w:val="auto"/>
          <w:sz w:val="32"/>
          <w:szCs w:val="32"/>
          <w:highlight w:val="none"/>
        </w:rPr>
        <w:t xml:space="preserve"> </w:t>
      </w:r>
      <w:r>
        <w:rPr>
          <w:rStyle w:val="16"/>
          <w:rFonts w:hint="eastAsia" w:ascii="仿宋" w:hAnsi="仿宋" w:eastAsia="仿宋"/>
          <w:b w:val="0"/>
          <w:bCs/>
          <w:color w:val="auto"/>
          <w:sz w:val="32"/>
          <w:szCs w:val="32"/>
          <w:highlight w:val="none"/>
        </w:rPr>
        <w:t>支出决算为</w:t>
      </w:r>
      <w:r>
        <w:rPr>
          <w:rStyle w:val="16"/>
          <w:rFonts w:hint="eastAsia" w:ascii="仿宋" w:hAnsi="仿宋" w:eastAsia="仿宋"/>
          <w:b w:val="0"/>
          <w:bCs/>
          <w:color w:val="auto"/>
          <w:sz w:val="32"/>
          <w:szCs w:val="32"/>
          <w:highlight w:val="none"/>
          <w:lang w:val="en-US" w:eastAsia="zh-CN"/>
        </w:rPr>
        <w:t>1008.37</w:t>
      </w:r>
      <w:r>
        <w:rPr>
          <w:rStyle w:val="16"/>
          <w:rFonts w:hint="eastAsia" w:ascii="仿宋" w:hAnsi="仿宋" w:eastAsia="仿宋"/>
          <w:b w:val="0"/>
          <w:bCs/>
          <w:color w:val="auto"/>
          <w:sz w:val="32"/>
          <w:szCs w:val="32"/>
          <w:highlight w:val="none"/>
        </w:rPr>
        <w:t>万元，</w:t>
      </w:r>
      <w:r>
        <w:rPr>
          <w:rStyle w:val="16"/>
          <w:rFonts w:hint="eastAsia" w:ascii="仿宋" w:hAnsi="仿宋" w:eastAsia="仿宋"/>
          <w:b w:val="0"/>
          <w:bCs/>
          <w:color w:val="auto"/>
          <w:sz w:val="32"/>
          <w:szCs w:val="32"/>
          <w:highlight w:val="none"/>
          <w:lang w:val="en-US" w:eastAsia="zh-CN"/>
        </w:rPr>
        <w:t>预算数为1024.07  ，</w:t>
      </w:r>
      <w:r>
        <w:rPr>
          <w:rStyle w:val="16"/>
          <w:rFonts w:hint="eastAsia" w:ascii="仿宋" w:hAnsi="仿宋" w:eastAsia="仿宋"/>
          <w:b w:val="0"/>
          <w:bCs/>
          <w:color w:val="auto"/>
          <w:sz w:val="32"/>
          <w:szCs w:val="32"/>
          <w:highlight w:val="none"/>
        </w:rPr>
        <w:t>完成预算</w:t>
      </w:r>
      <w:r>
        <w:rPr>
          <w:rStyle w:val="16"/>
          <w:rFonts w:hint="eastAsia" w:ascii="仿宋" w:hAnsi="仿宋" w:eastAsia="仿宋"/>
          <w:b w:val="0"/>
          <w:bCs/>
          <w:color w:val="auto"/>
          <w:sz w:val="32"/>
          <w:szCs w:val="32"/>
          <w:highlight w:val="none"/>
          <w:lang w:val="en-US" w:eastAsia="zh-CN"/>
        </w:rPr>
        <w:t>98.46</w:t>
      </w:r>
      <w:r>
        <w:rPr>
          <w:rStyle w:val="16"/>
          <w:rFonts w:ascii="仿宋" w:hAnsi="仿宋" w:eastAsia="仿宋"/>
          <w:b w:val="0"/>
          <w:bCs/>
          <w:color w:val="auto"/>
          <w:sz w:val="32"/>
          <w:szCs w:val="32"/>
          <w:highlight w:val="none"/>
        </w:rPr>
        <w:t>%</w:t>
      </w:r>
      <w:r>
        <w:rPr>
          <w:rStyle w:val="16"/>
          <w:rFonts w:hint="eastAsia" w:ascii="仿宋" w:hAnsi="仿宋" w:eastAsia="仿宋"/>
          <w:b w:val="0"/>
          <w:bCs/>
          <w:color w:val="auto"/>
          <w:sz w:val="32"/>
          <w:szCs w:val="32"/>
          <w:highlight w:val="none"/>
        </w:rPr>
        <w:t>，决算数小于预算数的主要原因是</w:t>
      </w:r>
      <w:r>
        <w:rPr>
          <w:rStyle w:val="16"/>
          <w:rFonts w:hint="eastAsia" w:ascii="仿宋" w:hAnsi="仿宋" w:eastAsia="仿宋"/>
          <w:b w:val="0"/>
          <w:bCs/>
          <w:color w:val="auto"/>
          <w:sz w:val="32"/>
          <w:szCs w:val="32"/>
          <w:highlight w:val="none"/>
          <w:lang w:val="en-US" w:eastAsia="zh-CN"/>
        </w:rPr>
        <w:t>年末追加保安工资及社会保险等结转至2022年</w:t>
      </w:r>
      <w:r>
        <w:rPr>
          <w:rStyle w:val="16"/>
          <w:rFonts w:hint="eastAsia" w:ascii="仿宋" w:hAnsi="仿宋" w:eastAsia="仿宋"/>
          <w:b w:val="0"/>
          <w:bCs/>
          <w:color w:val="auto"/>
          <w:sz w:val="32"/>
          <w:szCs w:val="32"/>
          <w:highlight w:val="none"/>
        </w:rPr>
        <w:t>。</w:t>
      </w:r>
    </w:p>
    <w:p>
      <w:pPr>
        <w:tabs>
          <w:tab w:val="right" w:pos="8306"/>
        </w:tabs>
        <w:spacing w:line="600" w:lineRule="exact"/>
        <w:ind w:firstLine="640"/>
        <w:outlineLvl w:val="1"/>
        <w:rPr>
          <w:rStyle w:val="27"/>
          <w:color w:val="auto"/>
          <w:highlight w:val="none"/>
        </w:rPr>
      </w:pPr>
      <w:bookmarkStart w:id="34" w:name="_Toc15396608"/>
      <w:bookmarkStart w:id="35" w:name="_Toc15377214"/>
      <w:r>
        <w:rPr>
          <w:rFonts w:hint="eastAsia" w:ascii="黑体" w:eastAsia="黑体"/>
          <w:color w:val="auto"/>
          <w:sz w:val="32"/>
          <w:szCs w:val="32"/>
          <w:highlight w:val="none"/>
        </w:rPr>
        <w:t>六</w:t>
      </w:r>
      <w:r>
        <w:rPr>
          <w:rFonts w:hint="eastAsia" w:ascii="黑体" w:eastAsia="黑体"/>
          <w:b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一</w:t>
      </w:r>
      <w:r>
        <w:rPr>
          <w:rStyle w:val="27"/>
          <w:rFonts w:hint="eastAsia" w:ascii="黑体" w:hAnsi="黑体" w:eastAsia="黑体"/>
          <w:b w:val="0"/>
          <w:color w:val="auto"/>
          <w:highlight w:val="none"/>
        </w:rPr>
        <w:t>般公共预算财政拨款基本支出决算情况说明</w:t>
      </w:r>
      <w:bookmarkEnd w:id="34"/>
      <w:bookmarkEnd w:id="35"/>
      <w:r>
        <w:rPr>
          <w:rStyle w:val="27"/>
          <w:rFonts w:ascii="黑体" w:hAnsi="黑体" w:eastAsia="黑体"/>
          <w:b w:val="0"/>
          <w:color w:val="auto"/>
          <w:highlight w:val="none"/>
        </w:rPr>
        <w:tab/>
      </w:r>
    </w:p>
    <w:p>
      <w:pPr>
        <w:spacing w:line="600" w:lineRule="exact"/>
        <w:ind w:firstLine="645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年一般公共预算财政拨款基本支出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1008.37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万元，其中：</w:t>
      </w:r>
    </w:p>
    <w:p>
      <w:pPr>
        <w:spacing w:line="600" w:lineRule="exact"/>
        <w:ind w:firstLine="645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人员经费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799.82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万元，主要包括：基本工资、津贴补贴、奖金、伙食补助费、绩效工资、机关事业单位基本养老保险缴费、职业年金缴费、其他社会保障缴费、其他工资福利支出、抚恤金、生活补助、医疗费补助、奖励金、住房公积金、其他对个人和家庭的补助支出等。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br w:type="textWrapping"/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　　公用经费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208.55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万元，主要包括：办公费、印刷费、咨询费、手续费、水费、电费、邮电费、物业管理费、差旅费、维修（护）费、培训费、公务接待费、劳务费、委托业务费、工会经费、其他商品和服务支出、办公设备购置、专用设备购置等。</w:t>
      </w:r>
    </w:p>
    <w:p>
      <w:pPr>
        <w:spacing w:line="600" w:lineRule="exact"/>
        <w:ind w:firstLine="640"/>
        <w:outlineLvl w:val="1"/>
        <w:rPr>
          <w:rStyle w:val="27"/>
          <w:rFonts w:ascii="黑体" w:hAnsi="黑体" w:eastAsia="黑体"/>
          <w:b w:val="0"/>
          <w:color w:val="auto"/>
          <w:highlight w:val="none"/>
        </w:rPr>
      </w:pPr>
      <w:bookmarkStart w:id="36" w:name="_Toc15396609"/>
      <w:bookmarkStart w:id="37" w:name="_Toc15377215"/>
      <w:r>
        <w:rPr>
          <w:rFonts w:hint="eastAsia" w:ascii="黑体" w:eastAsia="黑体"/>
          <w:color w:val="auto"/>
          <w:sz w:val="32"/>
          <w:szCs w:val="32"/>
          <w:highlight w:val="none"/>
        </w:rPr>
        <w:t>七、</w:t>
      </w:r>
      <w:r>
        <w:rPr>
          <w:rStyle w:val="27"/>
          <w:rFonts w:hint="eastAsia" w:ascii="黑体" w:hAnsi="黑体" w:eastAsia="黑体"/>
          <w:color w:val="auto"/>
          <w:highlight w:val="none"/>
        </w:rPr>
        <w:t>“</w:t>
      </w:r>
      <w:r>
        <w:rPr>
          <w:rStyle w:val="27"/>
          <w:rFonts w:hint="eastAsia" w:ascii="黑体" w:hAnsi="黑体" w:eastAsia="黑体"/>
          <w:b w:val="0"/>
          <w:color w:val="auto"/>
          <w:highlight w:val="none"/>
        </w:rPr>
        <w:t>三公”经费财政拨款支出决算情况说明</w:t>
      </w:r>
      <w:bookmarkEnd w:id="36"/>
      <w:bookmarkEnd w:id="37"/>
    </w:p>
    <w:p>
      <w:pPr>
        <w:spacing w:line="600" w:lineRule="exact"/>
        <w:ind w:firstLine="640"/>
        <w:outlineLvl w:val="2"/>
        <w:rPr>
          <w:rFonts w:ascii="仿宋" w:hAnsi="仿宋" w:eastAsia="仿宋"/>
          <w:b/>
          <w:color w:val="auto"/>
          <w:sz w:val="32"/>
          <w:szCs w:val="32"/>
          <w:highlight w:val="none"/>
        </w:rPr>
      </w:pPr>
      <w:bookmarkStart w:id="38" w:name="_Toc15377216"/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</w:rPr>
        <w:t>（一）“三公”经费财政拨款支出决算总体情况说明</w:t>
      </w:r>
      <w:bookmarkEnd w:id="38"/>
    </w:p>
    <w:p>
      <w:pPr>
        <w:spacing w:line="600" w:lineRule="exact"/>
        <w:ind w:firstLine="64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年“三公”经费财政拨款支出决算为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2.5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万元，完成预算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，决算数与预算数持平的主要原因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是严格按预算执行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。</w:t>
      </w:r>
    </w:p>
    <w:p>
      <w:pPr>
        <w:spacing w:line="600" w:lineRule="exact"/>
        <w:ind w:firstLine="640"/>
        <w:outlineLvl w:val="2"/>
        <w:rPr>
          <w:rFonts w:ascii="仿宋" w:hAnsi="仿宋" w:eastAsia="仿宋"/>
          <w:b/>
          <w:color w:val="auto"/>
          <w:sz w:val="32"/>
          <w:szCs w:val="32"/>
          <w:highlight w:val="none"/>
        </w:rPr>
      </w:pPr>
      <w:bookmarkStart w:id="39" w:name="_Toc15377217"/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</w:rPr>
        <w:t>（二）“三公”经费财政拨款支出决算具体情况说明</w:t>
      </w:r>
      <w:bookmarkEnd w:id="39"/>
    </w:p>
    <w:p>
      <w:pPr>
        <w:spacing w:line="600" w:lineRule="exact"/>
        <w:ind w:firstLine="64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年“三公”经费财政拨款支出决算中，因公出国（境）费支出决算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年初未安排预算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；公务用车购置及运行维护费支出决算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年初未安排预算；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公务接待费支出决算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2.5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万元，占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主要用于学生活动费（分流学生259人次的职教体验周活动，专业技能展示活动5（批）场，文艺演出活动1（批）场，本次活动从公务接待中列支25000元）</w:t>
      </w:r>
      <w:bookmarkStart w:id="67" w:name="_GoBack"/>
      <w:bookmarkEnd w:id="67"/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具体情况如下：</w:t>
      </w:r>
    </w:p>
    <w:p>
      <w:pPr>
        <w:spacing w:line="600" w:lineRule="exact"/>
        <w:ind w:firstLine="640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shd w:val="pct10" w:color="auto" w:fill="FFFFFF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137795</wp:posOffset>
            </wp:positionV>
            <wp:extent cx="5061585" cy="2258060"/>
            <wp:effectExtent l="4445" t="4445" r="20320" b="23495"/>
            <wp:wrapSquare wrapText="bothSides"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>
        <w:rPr>
          <w:rFonts w:ascii="仿宋_GB2312" w:eastAsia="仿宋_GB2312"/>
          <w:b/>
          <w:color w:val="auto"/>
          <w:sz w:val="32"/>
          <w:szCs w:val="32"/>
          <w:highlight w:val="none"/>
        </w:rPr>
        <w:t>1.</w:t>
      </w: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>因公出国（境）经费支出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年初未安排预算</w:t>
      </w:r>
      <w:r>
        <w:rPr>
          <w:rStyle w:val="16"/>
          <w:rFonts w:hint="eastAsia" w:ascii="仿宋" w:hAnsi="仿宋" w:eastAsia="仿宋"/>
          <w:b w:val="0"/>
          <w:bCs/>
          <w:color w:val="000000"/>
          <w:sz w:val="32"/>
          <w:szCs w:val="32"/>
          <w:lang w:eastAsia="zh-CN"/>
        </w:rPr>
        <w:t>因公</w:t>
      </w:r>
      <w:r>
        <w:rPr>
          <w:rFonts w:hint="eastAsia" w:ascii="仿宋_GB2312" w:eastAsia="仿宋_GB2312"/>
          <w:color w:val="000000"/>
          <w:sz w:val="32"/>
          <w:szCs w:val="32"/>
        </w:rPr>
        <w:t>出国（境）支出决算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与</w:t>
      </w:r>
      <w:r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持平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spacing w:line="600" w:lineRule="exact"/>
        <w:ind w:firstLine="645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/>
          <w:b/>
          <w:color w:val="auto"/>
          <w:sz w:val="32"/>
          <w:szCs w:val="32"/>
          <w:highlight w:val="none"/>
        </w:rPr>
        <w:t>2.</w:t>
      </w: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>公务用车购置及运行维护费支出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万元,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年初未安排预算，公务用车购置及运行维护费支出决算与2020年持平。</w:t>
      </w:r>
    </w:p>
    <w:p>
      <w:pPr>
        <w:pStyle w:val="7"/>
        <w:rPr>
          <w:rFonts w:hint="default"/>
          <w:lang w:val="en-US" w:eastAsia="zh-CN"/>
        </w:rPr>
      </w:pP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其中：公务用车购置支出0万元，公务用车运行维护费支出0万元。</w:t>
      </w:r>
    </w:p>
    <w:p>
      <w:pPr>
        <w:spacing w:line="600" w:lineRule="exact"/>
        <w:ind w:firstLine="640"/>
        <w:rPr>
          <w:rFonts w:hint="default" w:ascii="仿宋_GB2312" w:eastAsia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ascii="仿宋_GB2312" w:eastAsia="仿宋_GB2312"/>
          <w:b/>
          <w:color w:val="auto"/>
          <w:sz w:val="32"/>
          <w:szCs w:val="32"/>
          <w:highlight w:val="none"/>
        </w:rPr>
        <w:t>3.</w:t>
      </w: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>公务接待费支出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2.5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</w:t>
      </w:r>
      <w:r>
        <w:rPr>
          <w:rStyle w:val="16"/>
          <w:rFonts w:hint="eastAsia" w:ascii="仿宋" w:hAnsi="仿宋" w:eastAsia="仿宋"/>
          <w:b w:val="0"/>
          <w:bCs/>
          <w:color w:val="auto"/>
          <w:sz w:val="32"/>
          <w:szCs w:val="32"/>
          <w:highlight w:val="none"/>
        </w:rPr>
        <w:t>完成预算</w:t>
      </w:r>
      <w:r>
        <w:rPr>
          <w:rStyle w:val="16"/>
          <w:rFonts w:hint="eastAsia" w:ascii="仿宋" w:hAnsi="仿宋" w:eastAsia="仿宋"/>
          <w:b w:val="0"/>
          <w:bCs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Style w:val="16"/>
          <w:rFonts w:ascii="仿宋" w:hAnsi="仿宋" w:eastAsia="仿宋"/>
          <w:b w:val="0"/>
          <w:bCs/>
          <w:color w:val="auto"/>
          <w:sz w:val="32"/>
          <w:szCs w:val="32"/>
          <w:highlight w:val="none"/>
        </w:rPr>
        <w:t>%</w:t>
      </w:r>
      <w:r>
        <w:rPr>
          <w:rStyle w:val="16"/>
          <w:rFonts w:hint="eastAsia" w:ascii="仿宋" w:hAnsi="仿宋" w:eastAsia="仿宋"/>
          <w:b w:val="0"/>
          <w:bCs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公务接待费支出决算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与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持平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。主要原因是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严格按预算执行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。其中：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因学校经费比较紧张，公务接待费主要用于学生活动费（分流学生259人次的职教体验周活动，专业技能展示活动5（批）场，文艺演出活动1（批）场，本次活动从公务接待中列支25000元）。</w:t>
      </w:r>
    </w:p>
    <w:p>
      <w:pPr>
        <w:spacing w:line="600" w:lineRule="exact"/>
        <w:ind w:firstLine="640"/>
        <w:outlineLvl w:val="1"/>
        <w:rPr>
          <w:rStyle w:val="27"/>
          <w:rFonts w:ascii="黑体" w:hAnsi="黑体" w:eastAsia="黑体"/>
          <w:color w:val="auto"/>
          <w:highlight w:val="none"/>
        </w:rPr>
      </w:pPr>
      <w:bookmarkStart w:id="40" w:name="_Toc15377218"/>
      <w:bookmarkStart w:id="41" w:name="_Toc15396610"/>
      <w:r>
        <w:rPr>
          <w:rFonts w:hint="eastAsia" w:ascii="黑体" w:eastAsia="黑体"/>
          <w:color w:val="auto"/>
          <w:sz w:val="32"/>
          <w:szCs w:val="32"/>
          <w:highlight w:val="none"/>
        </w:rPr>
        <w:t>八、</w:t>
      </w:r>
      <w:r>
        <w:rPr>
          <w:rStyle w:val="27"/>
          <w:rFonts w:hint="eastAsia" w:ascii="黑体" w:hAnsi="黑体" w:eastAsia="黑体"/>
          <w:b w:val="0"/>
          <w:color w:val="auto"/>
          <w:highlight w:val="none"/>
        </w:rPr>
        <w:t>政府性基金预算支出决算情况说明</w:t>
      </w:r>
      <w:bookmarkEnd w:id="40"/>
      <w:bookmarkEnd w:id="41"/>
    </w:p>
    <w:p>
      <w:pPr>
        <w:spacing w:line="600" w:lineRule="exact"/>
        <w:ind w:firstLine="64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ascii="仿宋_GB2312" w:eastAsia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年政府性基金预算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财政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拨款支出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年初未安排预算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>
      <w:pPr>
        <w:numPr>
          <w:ilvl w:val="0"/>
          <w:numId w:val="4"/>
        </w:numPr>
        <w:spacing w:line="600" w:lineRule="exact"/>
        <w:ind w:firstLine="640"/>
        <w:outlineLvl w:val="1"/>
        <w:rPr>
          <w:rStyle w:val="27"/>
          <w:rFonts w:ascii="黑体" w:hAnsi="黑体" w:eastAsia="黑体"/>
          <w:b w:val="0"/>
          <w:color w:val="auto"/>
          <w:highlight w:val="none"/>
        </w:rPr>
      </w:pPr>
      <w:bookmarkStart w:id="42" w:name="_Toc15396611"/>
      <w:bookmarkStart w:id="43" w:name="_Toc15377219"/>
      <w:r>
        <w:rPr>
          <w:rStyle w:val="27"/>
          <w:rFonts w:hint="eastAsia" w:ascii="黑体" w:hAnsi="黑体" w:eastAsia="黑体"/>
          <w:b w:val="0"/>
          <w:color w:val="auto"/>
          <w:highlight w:val="none"/>
        </w:rPr>
        <w:t>国有资本经营预算支出决算情况说明</w:t>
      </w:r>
      <w:bookmarkEnd w:id="42"/>
      <w:bookmarkEnd w:id="43"/>
    </w:p>
    <w:p>
      <w:pPr>
        <w:spacing w:line="600" w:lineRule="exact"/>
        <w:ind w:firstLine="64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ascii="仿宋_GB2312" w:eastAsia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年国有资本经营预算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财政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拨款支出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年初未安排预算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>
      <w:pPr>
        <w:numPr>
          <w:ilvl w:val="0"/>
          <w:numId w:val="4"/>
        </w:numPr>
        <w:spacing w:line="600" w:lineRule="exact"/>
        <w:ind w:firstLine="640"/>
        <w:outlineLvl w:val="1"/>
        <w:rPr>
          <w:rStyle w:val="27"/>
          <w:rFonts w:hint="eastAsia" w:ascii="黑体" w:hAnsi="黑体" w:eastAsia="黑体"/>
          <w:b w:val="0"/>
          <w:color w:val="auto"/>
          <w:highlight w:val="none"/>
        </w:rPr>
      </w:pPr>
      <w:bookmarkStart w:id="44" w:name="_Toc15377221"/>
      <w:bookmarkStart w:id="45" w:name="_Toc15396612"/>
      <w:r>
        <w:rPr>
          <w:rStyle w:val="27"/>
          <w:rFonts w:hint="eastAsia" w:ascii="黑体" w:hAnsi="黑体" w:eastAsia="黑体"/>
          <w:b w:val="0"/>
          <w:color w:val="auto"/>
          <w:highlight w:val="none"/>
          <w:lang w:val="en-US" w:eastAsia="zh-CN"/>
        </w:rPr>
        <w:t>预算绩效管理情况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根据预算绩效管理要求，本单位在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2021年度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预算编制阶段，组织对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中等职业教育助学金1个项目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开展了预算事前绩效评估，对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个项目编制了绩效目标，预算执行过程中，选取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个项目开展绩效监控，年终执行完毕后，对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个项目开展了绩效自评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2021年部门预算项目绩效目标自评表见附件（第四部分）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numPr>
          <w:ilvl w:val="0"/>
          <w:numId w:val="4"/>
        </w:numPr>
        <w:spacing w:line="600" w:lineRule="exact"/>
        <w:ind w:firstLine="640"/>
        <w:outlineLvl w:val="1"/>
        <w:rPr>
          <w:rStyle w:val="27"/>
          <w:rFonts w:hint="eastAsia" w:ascii="黑体" w:hAnsi="黑体" w:eastAsia="黑体"/>
          <w:b w:val="0"/>
          <w:color w:val="auto"/>
          <w:highlight w:val="none"/>
        </w:rPr>
      </w:pPr>
      <w:r>
        <w:rPr>
          <w:rStyle w:val="27"/>
          <w:rFonts w:hint="eastAsia" w:ascii="黑体" w:hAnsi="黑体" w:eastAsia="黑体"/>
          <w:b w:val="0"/>
          <w:color w:val="auto"/>
          <w:highlight w:val="none"/>
        </w:rPr>
        <w:t>其他重要事项的情况说明</w:t>
      </w:r>
      <w:bookmarkEnd w:id="44"/>
      <w:bookmarkEnd w:id="45"/>
    </w:p>
    <w:p>
      <w:pPr>
        <w:spacing w:line="600" w:lineRule="exact"/>
        <w:ind w:firstLine="643" w:firstLineChars="200"/>
        <w:outlineLvl w:val="2"/>
        <w:rPr>
          <w:rFonts w:ascii="仿宋" w:hAnsi="仿宋" w:eastAsia="仿宋"/>
          <w:color w:val="auto"/>
          <w:sz w:val="32"/>
          <w:szCs w:val="32"/>
          <w:highlight w:val="none"/>
        </w:rPr>
      </w:pPr>
      <w:bookmarkStart w:id="46" w:name="_Toc15377222"/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</w:rPr>
        <w:t>（一）机关运行经费支出情况</w:t>
      </w:r>
      <w:bookmarkEnd w:id="46"/>
    </w:p>
    <w:p>
      <w:pPr>
        <w:spacing w:line="600" w:lineRule="exact"/>
        <w:ind w:firstLine="640" w:firstLineChars="200"/>
        <w:rPr>
          <w:rFonts w:ascii="仿宋" w:hAnsi="仿宋" w:eastAsia="仿宋"/>
          <w:b/>
          <w:color w:val="auto"/>
          <w:sz w:val="32"/>
          <w:szCs w:val="32"/>
          <w:highlight w:val="none"/>
        </w:rPr>
      </w:pPr>
      <w:r>
        <w:rPr>
          <w:rFonts w:ascii="仿宋_GB2312" w:eastAsia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我单位属公益二类事业单位，未预算机关运行运行经费支出，与2020年决算数持平。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outlineLvl w:val="2"/>
        <w:rPr>
          <w:rFonts w:ascii="仿宋" w:hAnsi="仿宋" w:eastAsia="仿宋"/>
          <w:b/>
          <w:color w:val="auto"/>
          <w:sz w:val="32"/>
          <w:szCs w:val="32"/>
          <w:highlight w:val="none"/>
        </w:rPr>
      </w:pPr>
      <w:bookmarkStart w:id="47" w:name="_Toc15377223"/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</w:rPr>
        <w:t>（二）政府采购支出情况</w:t>
      </w:r>
      <w:bookmarkEnd w:id="47"/>
    </w:p>
    <w:p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ascii="仿宋_GB2312" w:eastAsia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昭化职中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政府采购支出总额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万元。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outlineLvl w:val="2"/>
        <w:rPr>
          <w:rFonts w:ascii="仿宋" w:hAnsi="仿宋" w:eastAsia="仿宋"/>
          <w:b/>
          <w:color w:val="auto"/>
          <w:sz w:val="32"/>
          <w:szCs w:val="32"/>
          <w:highlight w:val="none"/>
        </w:rPr>
      </w:pPr>
      <w:bookmarkStart w:id="48" w:name="_Toc15377224"/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</w:rPr>
        <w:t>（三）国有资产占有使用情况</w:t>
      </w:r>
      <w:bookmarkEnd w:id="48"/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" w:hAnsi="仿宋" w:eastAsia="仿宋"/>
          <w:b/>
          <w:color w:val="FF0000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截至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12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月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31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日，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昭化职中共有车辆0辆，</w:t>
      </w:r>
      <w:r>
        <w:rPr>
          <w:rFonts w:hint="eastAsia" w:ascii="仿宋_GB2312" w:eastAsia="仿宋_GB2312"/>
          <w:color w:val="000000"/>
          <w:sz w:val="32"/>
          <w:szCs w:val="32"/>
        </w:rPr>
        <w:t>其中：主要领导干部用车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辆、机要通信用车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辆、应急保障用车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辆、其他用车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辆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其他用车单价</w:t>
      </w:r>
      <w:r>
        <w:rPr>
          <w:rFonts w:ascii="仿宋_GB2312" w:eastAsia="仿宋_GB2312"/>
          <w:color w:val="000000"/>
          <w:sz w:val="32"/>
          <w:szCs w:val="32"/>
        </w:rPr>
        <w:t>50</w:t>
      </w:r>
      <w:r>
        <w:rPr>
          <w:rFonts w:hint="eastAsia" w:ascii="仿宋_GB2312" w:eastAsia="仿宋_GB2312"/>
          <w:color w:val="000000"/>
          <w:sz w:val="32"/>
          <w:szCs w:val="32"/>
        </w:rPr>
        <w:t>万元以上通用设备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台（套），单价</w:t>
      </w:r>
      <w:r>
        <w:rPr>
          <w:rFonts w:ascii="仿宋_GB2312" w:eastAsia="仿宋_GB2312"/>
          <w:color w:val="000000"/>
          <w:sz w:val="32"/>
          <w:szCs w:val="32"/>
        </w:rPr>
        <w:t>100</w:t>
      </w:r>
      <w:r>
        <w:rPr>
          <w:rFonts w:hint="eastAsia" w:ascii="仿宋_GB2312" w:eastAsia="仿宋_GB2312"/>
          <w:color w:val="000000"/>
          <w:sz w:val="32"/>
          <w:szCs w:val="32"/>
        </w:rPr>
        <w:t>万元以上专用设备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台（套）。</w:t>
      </w:r>
    </w:p>
    <w:p>
      <w:pPr>
        <w:pStyle w:val="7"/>
        <w:rPr>
          <w:highlight w:val="yellow"/>
        </w:rPr>
      </w:pPr>
    </w:p>
    <w:p>
      <w:pPr>
        <w:widowControl/>
        <w:ind w:firstLine="2200" w:firstLineChars="500"/>
        <w:jc w:val="left"/>
        <w:rPr>
          <w:rStyle w:val="26"/>
          <w:rFonts w:ascii="黑体" w:hAnsi="黑体" w:eastAsia="黑体"/>
          <w:b w:val="0"/>
          <w:color w:val="auto"/>
          <w:highlight w:val="none"/>
        </w:rPr>
      </w:pPr>
      <w:bookmarkStart w:id="49" w:name="_Toc15396613"/>
      <w:bookmarkStart w:id="50" w:name="_Toc15377225"/>
      <w:r>
        <w:rPr>
          <w:rFonts w:hint="eastAsia" w:ascii="黑体" w:hAnsi="黑体" w:eastAsia="黑体"/>
          <w:color w:val="auto"/>
          <w:sz w:val="44"/>
          <w:szCs w:val="44"/>
          <w:highlight w:val="none"/>
          <w:lang w:val="en-US" w:eastAsia="zh-CN"/>
        </w:rPr>
        <w:t xml:space="preserve">第三部分 </w:t>
      </w:r>
      <w:r>
        <w:rPr>
          <w:rFonts w:hint="eastAsia" w:ascii="黑体" w:hAnsi="黑体" w:eastAsia="黑体"/>
          <w:color w:val="auto"/>
          <w:sz w:val="44"/>
          <w:szCs w:val="44"/>
          <w:highlight w:val="none"/>
        </w:rPr>
        <w:t>名</w:t>
      </w:r>
      <w:r>
        <w:rPr>
          <w:rStyle w:val="26"/>
          <w:rFonts w:hint="eastAsia" w:ascii="黑体" w:hAnsi="黑体" w:eastAsia="黑体"/>
          <w:b w:val="0"/>
          <w:color w:val="auto"/>
          <w:highlight w:val="none"/>
        </w:rPr>
        <w:t>词解释</w:t>
      </w:r>
      <w:bookmarkEnd w:id="49"/>
      <w:bookmarkEnd w:id="50"/>
    </w:p>
    <w:p>
      <w:pPr>
        <w:pStyle w:val="24"/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ascii="仿宋_GB2312" w:eastAsia="仿宋_GB2312"/>
          <w:color w:val="auto"/>
          <w:sz w:val="32"/>
          <w:szCs w:val="32"/>
          <w:highlight w:val="none"/>
        </w:rPr>
        <w:t>1.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财政拨款收入：指单位从同级财政部门取得的财政预算资金。</w:t>
      </w:r>
    </w:p>
    <w:p>
      <w:pPr>
        <w:pStyle w:val="24"/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使用非财政拨款结余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：指事业单位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使用以前年度积累的非财政拨款结余弥补当年收支差额的金额。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 xml:space="preserve"> </w:t>
      </w:r>
    </w:p>
    <w:p>
      <w:pPr>
        <w:pStyle w:val="24"/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年初结转和结余：指以前年度尚未完成、结转到本年按有关规定继续使用的资金。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 xml:space="preserve"> </w:t>
      </w:r>
    </w:p>
    <w:p>
      <w:pPr>
        <w:pStyle w:val="24"/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结余分配：指事业单位按照会计制度规定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缴纳的所得税、提取的专用结余以及转入非财政拨款结余的金额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等。</w:t>
      </w:r>
    </w:p>
    <w:p>
      <w:pPr>
        <w:pStyle w:val="24"/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、年末结转和结余：指单位按有关规定结转到下年或以后年度继续使用的资金。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教育（类）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（款）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03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（项）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：指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中等职业教育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基本支出：指为保障机构正常运转、完成日常工作任务而发生的人员支出和公用支出。</w:t>
      </w:r>
    </w:p>
    <w:p>
      <w:pPr>
        <w:pStyle w:val="24"/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“三公”经费：指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用财政拨款安排的公务接待费。其中，公务接待费反映单位按规定开支的各类公务接待（含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主要用于学生活动费（职教体验周活动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）支出。</w:t>
      </w:r>
    </w:p>
    <w:p>
      <w:pPr>
        <w:pStyle w:val="24"/>
        <w:spacing w:line="560" w:lineRule="exact"/>
        <w:ind w:firstLine="640" w:firstLineChars="200"/>
        <w:rPr>
          <w:rFonts w:ascii="仿宋_GB2312" w:eastAsia="仿宋_GB2312" w:cs="黑体"/>
          <w:color w:val="auto"/>
          <w:sz w:val="32"/>
          <w:szCs w:val="32"/>
          <w:highlight w:val="none"/>
        </w:rPr>
      </w:pPr>
    </w:p>
    <w:p>
      <w:pPr>
        <w:spacing w:line="600" w:lineRule="exact"/>
        <w:jc w:val="center"/>
        <w:outlineLvl w:val="0"/>
        <w:rPr>
          <w:rStyle w:val="26"/>
          <w:rFonts w:ascii="黑体" w:hAnsi="黑体" w:eastAsia="黑体"/>
          <w:b w:val="0"/>
          <w:color w:val="auto"/>
          <w:highlight w:val="none"/>
        </w:rPr>
      </w:pPr>
      <w:bookmarkStart w:id="51" w:name="_Toc15396614"/>
      <w:bookmarkStart w:id="52" w:name="_Toc15377226"/>
      <w:r>
        <w:rPr>
          <w:rFonts w:hint="eastAsia" w:ascii="黑体" w:hAnsi="黑体" w:eastAsia="黑体"/>
          <w:color w:val="auto"/>
          <w:sz w:val="44"/>
          <w:szCs w:val="44"/>
          <w:highlight w:val="none"/>
        </w:rPr>
        <w:t>第</w:t>
      </w:r>
      <w:r>
        <w:rPr>
          <w:rStyle w:val="26"/>
          <w:rFonts w:hint="eastAsia" w:ascii="黑体" w:hAnsi="黑体" w:eastAsia="黑体"/>
          <w:b w:val="0"/>
          <w:color w:val="auto"/>
          <w:highlight w:val="none"/>
        </w:rPr>
        <w:t>四部分 附件</w:t>
      </w:r>
      <w:bookmarkEnd w:id="5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2" w:lineRule="exact"/>
        <w:jc w:val="left"/>
        <w:textAlignment w:val="auto"/>
        <w:outlineLvl w:val="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</w:p>
    <w:tbl>
      <w:tblPr>
        <w:tblStyle w:val="14"/>
        <w:tblpPr w:leftFromText="180" w:rightFromText="180" w:vertAnchor="text" w:horzAnchor="page" w:tblpX="1281" w:tblpY="660"/>
        <w:tblOverlap w:val="never"/>
        <w:tblW w:w="98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1142"/>
        <w:gridCol w:w="1400"/>
        <w:gridCol w:w="1424"/>
        <w:gridCol w:w="1576"/>
        <w:gridCol w:w="2058"/>
        <w:gridCol w:w="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5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bookmarkStart w:id="53" w:name="_Toc15396618"/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2021年部门预算</w:t>
            </w:r>
            <w:r>
              <w:rPr>
                <w:rFonts w:hint="eastAsia" w:ascii="宋体" w:hAnsi="宋体" w:cs="宋体"/>
                <w:b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助学金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项目绩效目标自评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254" w:hRule="atLeast"/>
        </w:trPr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2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360301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广元市昭化区职业高级中学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341" w:hRule="atLeast"/>
        </w:trPr>
        <w:tc>
          <w:tcPr>
            <w:tcW w:w="31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项目预算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执行情况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预算数：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140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执行数：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65.89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555" w:hRule="atLeast"/>
        </w:trPr>
        <w:tc>
          <w:tcPr>
            <w:tcW w:w="31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140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65.89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341" w:hRule="atLeast"/>
        </w:trPr>
        <w:tc>
          <w:tcPr>
            <w:tcW w:w="31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217" w:hRule="atLeast"/>
        </w:trPr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年度总体目标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完成情况</w:t>
            </w:r>
          </w:p>
        </w:tc>
        <w:tc>
          <w:tcPr>
            <w:tcW w:w="3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目标实际完成情况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797" w:hRule="atLeast"/>
        </w:trPr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 xml:space="preserve"> 目标1：按四川省助学管理文件完成学生助学信息的报送、审核、公示。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 xml:space="preserve"> 目标2：做好建档立卡贫困户、低保户、残疾学生、家庭困难学生的台账及入户调查核实工作。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 xml:space="preserve"> 目标3：按时间节点及时发放助学。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ab/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目标1：按四川省助学管理文件完成学生助学信息的报送、审核、公示。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 xml:space="preserve"> 目标2：做好建档立卡贫困户、低保户、残疾学生、家庭困难学生的台账及入户调查核实工作。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 xml:space="preserve"> 目标3：按时间节点及时发放助学。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693" w:hRule="atLeast"/>
        </w:trPr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年度绩效指标完成情况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预期指标值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实际完成指标值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415" w:hRule="atLeast"/>
        </w:trPr>
        <w:tc>
          <w:tcPr>
            <w:tcW w:w="1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  <w:t>全年共享受中职助学金人次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700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415" w:hRule="atLeast"/>
        </w:trPr>
        <w:tc>
          <w:tcPr>
            <w:tcW w:w="1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  <w:t>享受中职助学金人数比例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100%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415" w:hRule="atLeast"/>
        </w:trPr>
        <w:tc>
          <w:tcPr>
            <w:tcW w:w="1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2021年全年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2021年全年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2021年全年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480" w:hRule="atLeast"/>
        </w:trPr>
        <w:tc>
          <w:tcPr>
            <w:tcW w:w="1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助学金发放标准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2000元/生.年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2000元/生.年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480" w:hRule="atLeast"/>
        </w:trPr>
        <w:tc>
          <w:tcPr>
            <w:tcW w:w="1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效益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社会效益  指标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  <w:t>对困难学生的影响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  <w:t>确保100%家庭经济困难学生人人有学上，减轻家庭经济负担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  <w:t>确保100%家庭经济困难学生人人有学上，减轻家庭经济负担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530" w:hRule="atLeast"/>
        </w:trPr>
        <w:tc>
          <w:tcPr>
            <w:tcW w:w="19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度指标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  <w:t>受助学生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  <w:t>家长满意度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95%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95%</w:t>
            </w:r>
          </w:p>
        </w:tc>
      </w:tr>
    </w:tbl>
    <w:p>
      <w:pPr>
        <w:widowControl/>
        <w:adjustRightInd w:val="0"/>
        <w:snapToGrid w:val="0"/>
        <w:spacing w:line="580" w:lineRule="exact"/>
        <w:contextualSpacing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yellow"/>
          <w:shd w:val="clear" w:color="auto" w:fill="FFFFFF"/>
          <w:lang w:val="en-US" w:eastAsia="zh-CN"/>
        </w:rPr>
      </w:pPr>
    </w:p>
    <w:tbl>
      <w:tblPr>
        <w:tblStyle w:val="14"/>
        <w:tblpPr w:leftFromText="180" w:rightFromText="180" w:vertAnchor="text" w:horzAnchor="page" w:tblpX="1281" w:tblpY="660"/>
        <w:tblOverlap w:val="never"/>
        <w:tblW w:w="9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1087"/>
        <w:gridCol w:w="1334"/>
        <w:gridCol w:w="1"/>
        <w:gridCol w:w="1355"/>
        <w:gridCol w:w="1500"/>
        <w:gridCol w:w="1"/>
        <w:gridCol w:w="1955"/>
        <w:gridCol w:w="2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1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2021年部门预算</w:t>
            </w:r>
            <w:r>
              <w:rPr>
                <w:rFonts w:hint="eastAsia" w:ascii="宋体" w:hAnsi="宋体" w:cs="宋体"/>
                <w:b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聘请专业课教师经费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项目绩效目标自评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827" w:hRule="atLeast"/>
        </w:trPr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2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360301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广元市昭化区职业高级中学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429" w:hRule="atLeast"/>
        </w:trPr>
        <w:tc>
          <w:tcPr>
            <w:tcW w:w="29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项目预算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执行情况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预算数：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12.5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执行数：</w:t>
            </w: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827" w:hRule="atLeast"/>
        </w:trPr>
        <w:tc>
          <w:tcPr>
            <w:tcW w:w="29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12.5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429" w:hRule="atLeast"/>
        </w:trPr>
        <w:tc>
          <w:tcPr>
            <w:tcW w:w="29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429" w:hRule="atLeast"/>
        </w:trPr>
        <w:tc>
          <w:tcPr>
            <w:tcW w:w="1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年度总体目标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完成情况</w:t>
            </w:r>
          </w:p>
        </w:tc>
        <w:tc>
          <w:tcPr>
            <w:tcW w:w="37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目标实际完成情况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1774" w:hRule="atLeast"/>
        </w:trPr>
        <w:tc>
          <w:tcPr>
            <w:tcW w:w="1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7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目标1：学校专业课教师占比35%以上。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 xml:space="preserve"> 目标2：学校双师型教师30%以上。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 xml:space="preserve"> 目标3：让学生专业技能大幅提升，在升学考试中专业分全员上线。</w:t>
            </w:r>
          </w:p>
        </w:tc>
        <w:tc>
          <w:tcPr>
            <w:tcW w:w="3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目标1：学校专业课教师占比35%以上。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 xml:space="preserve"> 目标2：学校双师型教师30%以上。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 xml:space="preserve"> 目标3：让学生专业技能大幅提升，在升学考试中专业分全员上线。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827" w:hRule="atLeast"/>
        </w:trPr>
        <w:tc>
          <w:tcPr>
            <w:tcW w:w="18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年度绩效指标完成情况</w:t>
            </w: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预期指标值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实际完成指标值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862" w:hRule="atLeast"/>
        </w:trPr>
        <w:tc>
          <w:tcPr>
            <w:tcW w:w="18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聘请校外专业课教师</w:t>
            </w:r>
          </w:p>
        </w:tc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5人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1193" w:hRule="atLeast"/>
        </w:trPr>
        <w:tc>
          <w:tcPr>
            <w:tcW w:w="18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学校每年专业课有专业教师</w:t>
            </w:r>
          </w:p>
        </w:tc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专业课100%的专业教师上课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专业课100%的专业教师上课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429" w:hRule="atLeast"/>
        </w:trPr>
        <w:tc>
          <w:tcPr>
            <w:tcW w:w="18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2022年全年</w:t>
            </w:r>
          </w:p>
        </w:tc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2022年全年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807" w:hRule="atLeast"/>
        </w:trPr>
        <w:tc>
          <w:tcPr>
            <w:tcW w:w="18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按2022年初预算执行</w:t>
            </w:r>
          </w:p>
        </w:tc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12.5万全部用于聘请专业课教师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12.5万全部用于聘请专业课教师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1580" w:hRule="atLeast"/>
        </w:trPr>
        <w:tc>
          <w:tcPr>
            <w:tcW w:w="18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效益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社会效益  指标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对学生专业技能的提升</w:t>
            </w:r>
          </w:p>
        </w:tc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确保各专业有专业教师上课，毕业班学生专业成绩全员高质量上升学线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确保各专业有专业教师上课，毕业班学生专业成绩全员高质量上升学线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860" w:hRule="atLeast"/>
        </w:trPr>
        <w:tc>
          <w:tcPr>
            <w:tcW w:w="18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度指标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学校、学生满意度</w:t>
            </w:r>
          </w:p>
        </w:tc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95%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95%</w:t>
            </w:r>
          </w:p>
        </w:tc>
      </w:tr>
    </w:tbl>
    <w:p>
      <w:pPr>
        <w:spacing w:line="600" w:lineRule="exact"/>
        <w:jc w:val="center"/>
        <w:outlineLvl w:val="0"/>
        <w:rPr>
          <w:rFonts w:hint="eastAsia" w:ascii="黑体" w:hAnsi="黑体" w:eastAsia="黑体"/>
          <w:color w:val="auto"/>
          <w:sz w:val="44"/>
          <w:szCs w:val="44"/>
          <w:highlight w:val="none"/>
        </w:rPr>
      </w:pPr>
    </w:p>
    <w:p>
      <w:pPr>
        <w:pStyle w:val="7"/>
        <w:rPr>
          <w:rFonts w:hint="eastAsia" w:ascii="黑体" w:hAnsi="黑体" w:eastAsia="黑体"/>
          <w:color w:val="auto"/>
          <w:sz w:val="44"/>
          <w:szCs w:val="44"/>
          <w:highlight w:val="none"/>
        </w:rPr>
      </w:pPr>
    </w:p>
    <w:p>
      <w:pPr>
        <w:pStyle w:val="7"/>
        <w:rPr>
          <w:rFonts w:hint="eastAsia" w:ascii="黑体" w:hAnsi="黑体" w:eastAsia="黑体"/>
          <w:color w:val="auto"/>
          <w:sz w:val="44"/>
          <w:szCs w:val="44"/>
          <w:highlight w:val="none"/>
        </w:rPr>
      </w:pPr>
    </w:p>
    <w:tbl>
      <w:tblPr>
        <w:tblStyle w:val="14"/>
        <w:tblpPr w:leftFromText="180" w:rightFromText="180" w:vertAnchor="text" w:horzAnchor="page" w:tblpX="1281" w:tblpY="660"/>
        <w:tblOverlap w:val="never"/>
        <w:tblW w:w="9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1087"/>
        <w:gridCol w:w="1334"/>
        <w:gridCol w:w="1"/>
        <w:gridCol w:w="1355"/>
        <w:gridCol w:w="1500"/>
        <w:gridCol w:w="1"/>
        <w:gridCol w:w="1955"/>
        <w:gridCol w:w="2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1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2021年部门预算</w:t>
            </w:r>
            <w:r>
              <w:rPr>
                <w:rFonts w:hint="eastAsia" w:ascii="宋体" w:hAnsi="宋体" w:cs="宋体"/>
                <w:b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师培经费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项目绩效目标自评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827" w:hRule="atLeast"/>
        </w:trPr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2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360301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广元市昭化区职业高级中学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429" w:hRule="atLeast"/>
        </w:trPr>
        <w:tc>
          <w:tcPr>
            <w:tcW w:w="29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项目预算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执行情况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预算数：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5.63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执行数：</w:t>
            </w: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827" w:hRule="atLeast"/>
        </w:trPr>
        <w:tc>
          <w:tcPr>
            <w:tcW w:w="29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5.63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429" w:hRule="atLeast"/>
        </w:trPr>
        <w:tc>
          <w:tcPr>
            <w:tcW w:w="29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429" w:hRule="atLeast"/>
        </w:trPr>
        <w:tc>
          <w:tcPr>
            <w:tcW w:w="1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年度总体目标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完成情况</w:t>
            </w:r>
          </w:p>
        </w:tc>
        <w:tc>
          <w:tcPr>
            <w:tcW w:w="37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目标实际完成情况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2074" w:hRule="atLeast"/>
        </w:trPr>
        <w:tc>
          <w:tcPr>
            <w:tcW w:w="1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7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目标1：组织专业课教师到高一级学校参加国培。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 xml:space="preserve"> 目标2：对专业教师网上培训与线下培训相结合。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 xml:space="preserve"> 目标3：完成100%以上专任教师本科以上学历培训。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ab/>
            </w:r>
          </w:p>
        </w:tc>
        <w:tc>
          <w:tcPr>
            <w:tcW w:w="3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 xml:space="preserve"> 目标1：组织专业课教师到高一级学校参加国培。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 xml:space="preserve"> 目标2：对专业教师网上培训与线下培训相结合。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 xml:space="preserve"> 目标3：完成100%以上专任教师本科以上学历培训。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827" w:hRule="atLeast"/>
        </w:trPr>
        <w:tc>
          <w:tcPr>
            <w:tcW w:w="18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年度绩效指标完成情况</w:t>
            </w: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预期指标值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实际完成指标值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807" w:hRule="atLeast"/>
        </w:trPr>
        <w:tc>
          <w:tcPr>
            <w:tcW w:w="18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全年专业技能培训人次</w:t>
            </w:r>
          </w:p>
        </w:tc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1193" w:hRule="atLeast"/>
        </w:trPr>
        <w:tc>
          <w:tcPr>
            <w:tcW w:w="18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专任教师教育教学水平提升</w:t>
            </w:r>
          </w:p>
        </w:tc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教育教学水平大幅提升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教育教学水平大幅提升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429" w:hRule="atLeast"/>
        </w:trPr>
        <w:tc>
          <w:tcPr>
            <w:tcW w:w="18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2022年全年</w:t>
            </w:r>
          </w:p>
        </w:tc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2022年全年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807" w:hRule="atLeast"/>
        </w:trPr>
        <w:tc>
          <w:tcPr>
            <w:tcW w:w="18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按年初预算执行</w:t>
            </w:r>
          </w:p>
        </w:tc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5.63万元全部用于培训教师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5.63万元全部用于培训教师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1580" w:hRule="atLeast"/>
        </w:trPr>
        <w:tc>
          <w:tcPr>
            <w:tcW w:w="18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效益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社会效益  指标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学历本科人数</w:t>
            </w:r>
          </w:p>
        </w:tc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年末在职专业教师全员本达到本科及以上学历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年末在职专业教师全员本达到本科及以上学历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860" w:hRule="atLeast"/>
        </w:trPr>
        <w:tc>
          <w:tcPr>
            <w:tcW w:w="18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度指标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受培教师满意度</w:t>
            </w:r>
          </w:p>
        </w:tc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95%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95%</w:t>
            </w:r>
          </w:p>
        </w:tc>
      </w:tr>
    </w:tbl>
    <w:p>
      <w:pPr>
        <w:spacing w:line="600" w:lineRule="exact"/>
        <w:jc w:val="center"/>
        <w:outlineLvl w:val="0"/>
        <w:rPr>
          <w:rFonts w:hint="eastAsia" w:ascii="黑体" w:hAnsi="黑体" w:eastAsia="黑体"/>
          <w:color w:val="auto"/>
          <w:sz w:val="44"/>
          <w:szCs w:val="44"/>
          <w:highlight w:val="none"/>
        </w:rPr>
      </w:pPr>
    </w:p>
    <w:p>
      <w:pPr>
        <w:spacing w:line="600" w:lineRule="exact"/>
        <w:jc w:val="center"/>
        <w:outlineLvl w:val="0"/>
        <w:rPr>
          <w:rFonts w:hint="eastAsia" w:ascii="仿宋" w:hAnsi="仿宋" w:eastAsia="仿宋"/>
          <w:b w:val="0"/>
          <w:color w:val="auto"/>
          <w:highlight w:val="none"/>
        </w:rPr>
      </w:pPr>
      <w:r>
        <w:rPr>
          <w:rFonts w:hint="eastAsia" w:ascii="黑体" w:hAnsi="黑体" w:eastAsia="黑体"/>
          <w:color w:val="auto"/>
          <w:sz w:val="44"/>
          <w:szCs w:val="44"/>
          <w:highlight w:val="none"/>
        </w:rPr>
        <w:t>第</w:t>
      </w:r>
      <w:r>
        <w:rPr>
          <w:rStyle w:val="26"/>
          <w:rFonts w:hint="eastAsia" w:ascii="黑体" w:hAnsi="黑体" w:eastAsia="黑体"/>
          <w:b w:val="0"/>
          <w:color w:val="auto"/>
          <w:highlight w:val="none"/>
        </w:rPr>
        <w:t>五部分 附表</w:t>
      </w:r>
      <w:bookmarkEnd w:id="52"/>
      <w:bookmarkEnd w:id="53"/>
      <w:bookmarkStart w:id="54" w:name="_Toc15396619"/>
    </w:p>
    <w:p>
      <w:pPr>
        <w:pStyle w:val="5"/>
        <w:rPr>
          <w:rFonts w:ascii="仿宋" w:hAnsi="仿宋" w:eastAsia="仿宋"/>
          <w:color w:val="auto"/>
          <w:highlight w:val="none"/>
        </w:rPr>
      </w:pPr>
      <w:r>
        <w:rPr>
          <w:rFonts w:hint="eastAsia" w:ascii="仿宋" w:hAnsi="仿宋" w:eastAsia="仿宋"/>
          <w:b w:val="0"/>
          <w:color w:val="auto"/>
          <w:highlight w:val="none"/>
        </w:rPr>
        <w:t>一、收</w:t>
      </w:r>
      <w:r>
        <w:rPr>
          <w:rStyle w:val="27"/>
          <w:rFonts w:hint="eastAsia" w:ascii="仿宋" w:hAnsi="仿宋" w:eastAsia="仿宋"/>
          <w:b w:val="0"/>
          <w:bCs w:val="0"/>
          <w:color w:val="auto"/>
          <w:highlight w:val="none"/>
        </w:rPr>
        <w:t>入支出决算总表</w:t>
      </w:r>
      <w:bookmarkEnd w:id="54"/>
    </w:p>
    <w:p>
      <w:pPr>
        <w:pStyle w:val="5"/>
        <w:rPr>
          <w:rFonts w:ascii="仿宋" w:hAnsi="仿宋" w:eastAsia="仿宋"/>
          <w:color w:val="auto"/>
          <w:highlight w:val="none"/>
        </w:rPr>
      </w:pPr>
      <w:bookmarkStart w:id="55" w:name="_Toc15396620"/>
      <w:r>
        <w:rPr>
          <w:rFonts w:hint="eastAsia" w:ascii="仿宋" w:hAnsi="仿宋" w:eastAsia="仿宋"/>
          <w:b w:val="0"/>
          <w:color w:val="auto"/>
          <w:highlight w:val="none"/>
        </w:rPr>
        <w:t>二、收</w:t>
      </w:r>
      <w:r>
        <w:rPr>
          <w:rStyle w:val="27"/>
          <w:rFonts w:hint="eastAsia" w:ascii="仿宋" w:hAnsi="仿宋" w:eastAsia="仿宋"/>
          <w:b w:val="0"/>
          <w:bCs w:val="0"/>
          <w:color w:val="auto"/>
          <w:highlight w:val="none"/>
        </w:rPr>
        <w:t>入决算表</w:t>
      </w:r>
      <w:bookmarkEnd w:id="55"/>
    </w:p>
    <w:p>
      <w:pPr>
        <w:pStyle w:val="5"/>
        <w:rPr>
          <w:rFonts w:ascii="仿宋" w:hAnsi="仿宋" w:eastAsia="仿宋"/>
          <w:color w:val="auto"/>
          <w:highlight w:val="none"/>
        </w:rPr>
      </w:pPr>
      <w:bookmarkStart w:id="56" w:name="_Toc15396621"/>
      <w:r>
        <w:rPr>
          <w:rStyle w:val="27"/>
          <w:rFonts w:hint="eastAsia" w:ascii="仿宋" w:hAnsi="仿宋" w:eastAsia="仿宋"/>
          <w:b w:val="0"/>
          <w:bCs w:val="0"/>
          <w:color w:val="auto"/>
          <w:highlight w:val="none"/>
        </w:rPr>
        <w:t>三、</w:t>
      </w:r>
      <w:r>
        <w:rPr>
          <w:rFonts w:hint="eastAsia" w:ascii="仿宋" w:hAnsi="仿宋" w:eastAsia="仿宋"/>
          <w:b w:val="0"/>
          <w:color w:val="auto"/>
          <w:highlight w:val="none"/>
        </w:rPr>
        <w:t>支</w:t>
      </w:r>
      <w:r>
        <w:rPr>
          <w:rStyle w:val="27"/>
          <w:rFonts w:hint="eastAsia" w:ascii="仿宋" w:hAnsi="仿宋" w:eastAsia="仿宋"/>
          <w:b w:val="0"/>
          <w:bCs w:val="0"/>
          <w:color w:val="auto"/>
          <w:highlight w:val="none"/>
        </w:rPr>
        <w:t>出决算表</w:t>
      </w:r>
      <w:bookmarkEnd w:id="56"/>
    </w:p>
    <w:p>
      <w:pPr>
        <w:pStyle w:val="5"/>
        <w:rPr>
          <w:rFonts w:ascii="仿宋" w:hAnsi="仿宋" w:eastAsia="仿宋"/>
          <w:b w:val="0"/>
          <w:color w:val="auto"/>
          <w:highlight w:val="none"/>
        </w:rPr>
      </w:pPr>
      <w:bookmarkStart w:id="57" w:name="_Toc15396622"/>
      <w:r>
        <w:rPr>
          <w:rStyle w:val="27"/>
          <w:rFonts w:hint="eastAsia" w:ascii="仿宋" w:hAnsi="仿宋" w:eastAsia="仿宋"/>
          <w:b w:val="0"/>
          <w:bCs w:val="0"/>
          <w:color w:val="auto"/>
          <w:highlight w:val="none"/>
        </w:rPr>
        <w:t>四、</w:t>
      </w:r>
      <w:r>
        <w:rPr>
          <w:rFonts w:hint="eastAsia" w:ascii="仿宋" w:hAnsi="仿宋" w:eastAsia="仿宋"/>
          <w:b w:val="0"/>
          <w:color w:val="auto"/>
          <w:highlight w:val="none"/>
        </w:rPr>
        <w:t>财</w:t>
      </w:r>
      <w:r>
        <w:rPr>
          <w:rStyle w:val="27"/>
          <w:rFonts w:hint="eastAsia" w:ascii="仿宋" w:hAnsi="仿宋" w:eastAsia="仿宋"/>
          <w:b w:val="0"/>
          <w:bCs w:val="0"/>
          <w:color w:val="auto"/>
          <w:highlight w:val="none"/>
        </w:rPr>
        <w:t>政拨款收入支出决算总表</w:t>
      </w:r>
      <w:bookmarkEnd w:id="57"/>
    </w:p>
    <w:p>
      <w:pPr>
        <w:pStyle w:val="5"/>
        <w:rPr>
          <w:rStyle w:val="27"/>
          <w:rFonts w:ascii="仿宋" w:hAnsi="仿宋" w:eastAsia="仿宋"/>
          <w:b w:val="0"/>
          <w:bCs w:val="0"/>
          <w:color w:val="auto"/>
          <w:highlight w:val="none"/>
        </w:rPr>
      </w:pPr>
      <w:bookmarkStart w:id="58" w:name="_Toc15396623"/>
      <w:r>
        <w:rPr>
          <w:rStyle w:val="27"/>
          <w:rFonts w:hint="eastAsia" w:ascii="仿宋" w:hAnsi="仿宋" w:eastAsia="仿宋"/>
          <w:b w:val="0"/>
          <w:bCs w:val="0"/>
          <w:color w:val="auto"/>
          <w:highlight w:val="none"/>
        </w:rPr>
        <w:t>五、</w:t>
      </w:r>
      <w:r>
        <w:rPr>
          <w:rFonts w:hint="eastAsia" w:ascii="仿宋" w:hAnsi="仿宋" w:eastAsia="仿宋"/>
          <w:b w:val="0"/>
          <w:color w:val="auto"/>
          <w:highlight w:val="none"/>
        </w:rPr>
        <w:t>财</w:t>
      </w:r>
      <w:r>
        <w:rPr>
          <w:rStyle w:val="27"/>
          <w:rFonts w:hint="eastAsia" w:ascii="仿宋" w:hAnsi="仿宋" w:eastAsia="仿宋"/>
          <w:b w:val="0"/>
          <w:bCs w:val="0"/>
          <w:color w:val="auto"/>
          <w:highlight w:val="none"/>
        </w:rPr>
        <w:t>政拨款支出决算明细表</w:t>
      </w:r>
      <w:bookmarkEnd w:id="58"/>
      <w:bookmarkStart w:id="59" w:name="_Toc15396624"/>
    </w:p>
    <w:p>
      <w:pPr>
        <w:pStyle w:val="5"/>
        <w:rPr>
          <w:rFonts w:ascii="仿宋" w:hAnsi="仿宋" w:eastAsia="仿宋"/>
          <w:color w:val="auto"/>
          <w:highlight w:val="none"/>
        </w:rPr>
      </w:pPr>
      <w:r>
        <w:rPr>
          <w:rStyle w:val="27"/>
          <w:rFonts w:hint="eastAsia" w:ascii="仿宋" w:hAnsi="仿宋" w:eastAsia="仿宋"/>
          <w:b w:val="0"/>
          <w:bCs w:val="0"/>
          <w:color w:val="auto"/>
          <w:highlight w:val="none"/>
        </w:rPr>
        <w:t>六、</w:t>
      </w:r>
      <w:r>
        <w:rPr>
          <w:rFonts w:hint="eastAsia" w:ascii="仿宋" w:hAnsi="仿宋" w:eastAsia="仿宋"/>
          <w:b w:val="0"/>
          <w:color w:val="auto"/>
          <w:highlight w:val="none"/>
        </w:rPr>
        <w:t>一</w:t>
      </w:r>
      <w:r>
        <w:rPr>
          <w:rStyle w:val="27"/>
          <w:rFonts w:hint="eastAsia" w:ascii="仿宋" w:hAnsi="仿宋" w:eastAsia="仿宋"/>
          <w:b w:val="0"/>
          <w:bCs w:val="0"/>
          <w:color w:val="auto"/>
          <w:highlight w:val="none"/>
        </w:rPr>
        <w:t>般公共预算财政拨款支出决算表</w:t>
      </w:r>
      <w:bookmarkEnd w:id="59"/>
    </w:p>
    <w:p>
      <w:pPr>
        <w:pStyle w:val="5"/>
        <w:rPr>
          <w:rFonts w:ascii="仿宋" w:hAnsi="仿宋" w:eastAsia="仿宋"/>
          <w:color w:val="auto"/>
          <w:highlight w:val="none"/>
        </w:rPr>
      </w:pPr>
      <w:bookmarkStart w:id="60" w:name="_Toc15396625"/>
      <w:r>
        <w:rPr>
          <w:rStyle w:val="27"/>
          <w:rFonts w:hint="eastAsia" w:ascii="仿宋" w:hAnsi="仿宋" w:eastAsia="仿宋"/>
          <w:b w:val="0"/>
          <w:bCs w:val="0"/>
          <w:color w:val="auto"/>
          <w:highlight w:val="none"/>
        </w:rPr>
        <w:t>七、</w:t>
      </w:r>
      <w:r>
        <w:rPr>
          <w:rFonts w:hint="eastAsia" w:ascii="仿宋" w:hAnsi="仿宋" w:eastAsia="仿宋"/>
          <w:b w:val="0"/>
          <w:color w:val="auto"/>
          <w:highlight w:val="none"/>
        </w:rPr>
        <w:t>一</w:t>
      </w:r>
      <w:r>
        <w:rPr>
          <w:rStyle w:val="27"/>
          <w:rFonts w:hint="eastAsia" w:ascii="仿宋" w:hAnsi="仿宋" w:eastAsia="仿宋"/>
          <w:b w:val="0"/>
          <w:bCs w:val="0"/>
          <w:color w:val="auto"/>
          <w:highlight w:val="none"/>
        </w:rPr>
        <w:t>般公共预算财政拨款支出决算明细表</w:t>
      </w:r>
      <w:bookmarkEnd w:id="60"/>
    </w:p>
    <w:p>
      <w:pPr>
        <w:pStyle w:val="5"/>
        <w:rPr>
          <w:rFonts w:ascii="仿宋" w:hAnsi="仿宋" w:eastAsia="仿宋"/>
          <w:color w:val="auto"/>
          <w:highlight w:val="none"/>
        </w:rPr>
      </w:pPr>
      <w:bookmarkStart w:id="61" w:name="_Toc15396626"/>
      <w:r>
        <w:rPr>
          <w:rStyle w:val="27"/>
          <w:rFonts w:hint="eastAsia" w:ascii="仿宋" w:hAnsi="仿宋" w:eastAsia="仿宋"/>
          <w:b w:val="0"/>
          <w:bCs w:val="0"/>
          <w:color w:val="auto"/>
          <w:highlight w:val="none"/>
        </w:rPr>
        <w:t>八、</w:t>
      </w:r>
      <w:r>
        <w:rPr>
          <w:rFonts w:hint="eastAsia" w:ascii="仿宋" w:hAnsi="仿宋" w:eastAsia="仿宋"/>
          <w:b w:val="0"/>
          <w:color w:val="auto"/>
          <w:highlight w:val="none"/>
        </w:rPr>
        <w:t>一</w:t>
      </w:r>
      <w:r>
        <w:rPr>
          <w:rStyle w:val="27"/>
          <w:rFonts w:hint="eastAsia" w:ascii="仿宋" w:hAnsi="仿宋" w:eastAsia="仿宋"/>
          <w:b w:val="0"/>
          <w:bCs w:val="0"/>
          <w:color w:val="auto"/>
          <w:highlight w:val="none"/>
        </w:rPr>
        <w:t>般公共预算财政拨款基本支出决算表</w:t>
      </w:r>
      <w:bookmarkEnd w:id="61"/>
    </w:p>
    <w:p>
      <w:pPr>
        <w:pStyle w:val="5"/>
        <w:rPr>
          <w:rFonts w:ascii="仿宋" w:hAnsi="仿宋" w:eastAsia="仿宋"/>
          <w:color w:val="auto"/>
          <w:highlight w:val="none"/>
        </w:rPr>
      </w:pPr>
      <w:bookmarkStart w:id="62" w:name="_Toc15396627"/>
      <w:r>
        <w:rPr>
          <w:rStyle w:val="27"/>
          <w:rFonts w:hint="eastAsia" w:ascii="仿宋" w:hAnsi="仿宋" w:eastAsia="仿宋"/>
          <w:b w:val="0"/>
          <w:bCs w:val="0"/>
          <w:color w:val="auto"/>
          <w:highlight w:val="none"/>
        </w:rPr>
        <w:t>九、</w:t>
      </w:r>
      <w:r>
        <w:rPr>
          <w:rFonts w:hint="eastAsia" w:ascii="仿宋" w:hAnsi="仿宋" w:eastAsia="仿宋"/>
          <w:b w:val="0"/>
          <w:color w:val="auto"/>
          <w:highlight w:val="none"/>
        </w:rPr>
        <w:t>一</w:t>
      </w:r>
      <w:r>
        <w:rPr>
          <w:rStyle w:val="27"/>
          <w:rFonts w:hint="eastAsia" w:ascii="仿宋" w:hAnsi="仿宋" w:eastAsia="仿宋"/>
          <w:b w:val="0"/>
          <w:bCs w:val="0"/>
          <w:color w:val="auto"/>
          <w:highlight w:val="none"/>
        </w:rPr>
        <w:t>般公共预算财政拨款项目支出决算表</w:t>
      </w:r>
      <w:bookmarkEnd w:id="62"/>
    </w:p>
    <w:p>
      <w:pPr>
        <w:pStyle w:val="5"/>
        <w:rPr>
          <w:rFonts w:ascii="仿宋" w:hAnsi="仿宋" w:eastAsia="仿宋"/>
          <w:color w:val="auto"/>
          <w:highlight w:val="none"/>
        </w:rPr>
      </w:pPr>
      <w:bookmarkStart w:id="63" w:name="_Toc15396628"/>
      <w:r>
        <w:rPr>
          <w:rStyle w:val="27"/>
          <w:rFonts w:hint="eastAsia" w:ascii="仿宋" w:hAnsi="仿宋" w:eastAsia="仿宋"/>
          <w:b w:val="0"/>
          <w:bCs w:val="0"/>
          <w:color w:val="auto"/>
          <w:highlight w:val="none"/>
        </w:rPr>
        <w:t>十、</w:t>
      </w:r>
      <w:r>
        <w:rPr>
          <w:rFonts w:hint="eastAsia" w:ascii="仿宋" w:hAnsi="仿宋" w:eastAsia="仿宋"/>
          <w:b w:val="0"/>
          <w:color w:val="auto"/>
          <w:highlight w:val="none"/>
        </w:rPr>
        <w:t>一</w:t>
      </w:r>
      <w:r>
        <w:rPr>
          <w:rStyle w:val="27"/>
          <w:rFonts w:hint="eastAsia" w:ascii="仿宋" w:hAnsi="仿宋" w:eastAsia="仿宋"/>
          <w:b w:val="0"/>
          <w:bCs w:val="0"/>
          <w:color w:val="auto"/>
          <w:highlight w:val="none"/>
        </w:rPr>
        <w:t>般公共预算财政拨款“三公”经费支出决算表</w:t>
      </w:r>
      <w:bookmarkEnd w:id="63"/>
    </w:p>
    <w:p>
      <w:pPr>
        <w:pStyle w:val="5"/>
        <w:rPr>
          <w:rFonts w:ascii="仿宋" w:hAnsi="仿宋" w:eastAsia="仿宋"/>
          <w:color w:val="auto"/>
          <w:highlight w:val="none"/>
        </w:rPr>
      </w:pPr>
      <w:bookmarkStart w:id="64" w:name="_Toc15396629"/>
      <w:r>
        <w:rPr>
          <w:rStyle w:val="27"/>
          <w:rFonts w:hint="eastAsia" w:ascii="仿宋" w:hAnsi="仿宋" w:eastAsia="仿宋"/>
          <w:b w:val="0"/>
          <w:bCs w:val="0"/>
          <w:color w:val="auto"/>
          <w:highlight w:val="none"/>
        </w:rPr>
        <w:t>十一、</w:t>
      </w:r>
      <w:r>
        <w:rPr>
          <w:rFonts w:hint="eastAsia" w:ascii="仿宋" w:hAnsi="仿宋" w:eastAsia="仿宋"/>
          <w:b w:val="0"/>
          <w:color w:val="auto"/>
          <w:highlight w:val="none"/>
        </w:rPr>
        <w:t>政</w:t>
      </w:r>
      <w:r>
        <w:rPr>
          <w:rStyle w:val="27"/>
          <w:rFonts w:hint="eastAsia" w:ascii="仿宋" w:hAnsi="仿宋" w:eastAsia="仿宋"/>
          <w:b w:val="0"/>
          <w:bCs w:val="0"/>
          <w:color w:val="auto"/>
          <w:highlight w:val="none"/>
        </w:rPr>
        <w:t>府性基金预算财政拨款收入支出决算表</w:t>
      </w:r>
      <w:bookmarkEnd w:id="64"/>
    </w:p>
    <w:p>
      <w:pPr>
        <w:pStyle w:val="5"/>
        <w:rPr>
          <w:rFonts w:ascii="仿宋" w:hAnsi="仿宋" w:eastAsia="仿宋"/>
          <w:color w:val="auto"/>
          <w:highlight w:val="none"/>
        </w:rPr>
      </w:pPr>
      <w:bookmarkStart w:id="65" w:name="_Toc15396630"/>
      <w:r>
        <w:rPr>
          <w:rStyle w:val="27"/>
          <w:rFonts w:hint="eastAsia" w:ascii="仿宋" w:hAnsi="仿宋" w:eastAsia="仿宋"/>
          <w:b w:val="0"/>
          <w:bCs w:val="0"/>
          <w:color w:val="auto"/>
          <w:highlight w:val="none"/>
        </w:rPr>
        <w:t>十二、</w:t>
      </w:r>
      <w:r>
        <w:rPr>
          <w:rFonts w:hint="eastAsia" w:ascii="仿宋" w:hAnsi="仿宋" w:eastAsia="仿宋"/>
          <w:b w:val="0"/>
          <w:color w:val="auto"/>
          <w:highlight w:val="none"/>
        </w:rPr>
        <w:t>政</w:t>
      </w:r>
      <w:r>
        <w:rPr>
          <w:rStyle w:val="27"/>
          <w:rFonts w:hint="eastAsia" w:ascii="仿宋" w:hAnsi="仿宋" w:eastAsia="仿宋"/>
          <w:b w:val="0"/>
          <w:bCs w:val="0"/>
          <w:color w:val="auto"/>
          <w:highlight w:val="none"/>
        </w:rPr>
        <w:t>府性基金预算财政拨款“三公”经费支出决算表</w:t>
      </w:r>
      <w:bookmarkEnd w:id="65"/>
    </w:p>
    <w:p>
      <w:pPr>
        <w:pStyle w:val="5"/>
        <w:rPr>
          <w:rStyle w:val="27"/>
          <w:rFonts w:hint="eastAsia" w:ascii="仿宋" w:hAnsi="仿宋" w:eastAsia="仿宋"/>
          <w:b w:val="0"/>
          <w:bCs w:val="0"/>
          <w:color w:val="auto"/>
          <w:highlight w:val="none"/>
        </w:rPr>
      </w:pPr>
      <w:bookmarkStart w:id="66" w:name="_Toc15396631"/>
      <w:r>
        <w:rPr>
          <w:rStyle w:val="27"/>
          <w:rFonts w:hint="eastAsia" w:ascii="仿宋" w:hAnsi="仿宋" w:eastAsia="仿宋"/>
          <w:b w:val="0"/>
          <w:bCs w:val="0"/>
          <w:color w:val="auto"/>
          <w:highlight w:val="none"/>
        </w:rPr>
        <w:t>十三、</w:t>
      </w:r>
      <w:r>
        <w:rPr>
          <w:rFonts w:hint="eastAsia" w:ascii="仿宋" w:hAnsi="仿宋" w:eastAsia="仿宋"/>
          <w:b w:val="0"/>
          <w:color w:val="auto"/>
          <w:highlight w:val="none"/>
        </w:rPr>
        <w:t>国</w:t>
      </w:r>
      <w:r>
        <w:rPr>
          <w:rStyle w:val="27"/>
          <w:rFonts w:hint="eastAsia" w:ascii="仿宋" w:hAnsi="仿宋" w:eastAsia="仿宋"/>
          <w:b w:val="0"/>
          <w:bCs w:val="0"/>
          <w:color w:val="auto"/>
          <w:highlight w:val="none"/>
        </w:rPr>
        <w:t>有资本经营预算</w:t>
      </w:r>
      <w:r>
        <w:rPr>
          <w:rStyle w:val="27"/>
          <w:rFonts w:hint="eastAsia" w:ascii="仿宋" w:hAnsi="仿宋" w:eastAsia="仿宋"/>
          <w:b w:val="0"/>
          <w:bCs w:val="0"/>
          <w:color w:val="auto"/>
          <w:highlight w:val="none"/>
          <w:lang w:eastAsia="zh-CN"/>
        </w:rPr>
        <w:t>财政拨款收入</w:t>
      </w:r>
      <w:r>
        <w:rPr>
          <w:rStyle w:val="27"/>
          <w:rFonts w:hint="eastAsia" w:ascii="仿宋" w:hAnsi="仿宋" w:eastAsia="仿宋"/>
          <w:b w:val="0"/>
          <w:bCs w:val="0"/>
          <w:color w:val="auto"/>
          <w:highlight w:val="none"/>
        </w:rPr>
        <w:t>支出决算表</w:t>
      </w:r>
      <w:bookmarkEnd w:id="66"/>
    </w:p>
    <w:p>
      <w:pPr>
        <w:rPr>
          <w:rFonts w:hint="eastAsia" w:eastAsia="仿宋"/>
          <w:color w:val="auto"/>
          <w:highlight w:val="none"/>
          <w:lang w:eastAsia="zh-CN"/>
        </w:rPr>
      </w:pPr>
      <w:r>
        <w:rPr>
          <w:rStyle w:val="27"/>
          <w:rFonts w:hint="eastAsia" w:ascii="仿宋" w:hAnsi="仿宋" w:eastAsia="仿宋"/>
          <w:b w:val="0"/>
          <w:bCs w:val="0"/>
          <w:color w:val="auto"/>
          <w:highlight w:val="none"/>
          <w:lang w:eastAsia="zh-CN"/>
        </w:rPr>
        <w:t>十四、国有资本经营预算财政拨款支出决算表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94781956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652CEC"/>
    <w:multiLevelType w:val="singleLevel"/>
    <w:tmpl w:val="CF652CEC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C"/>
    <w:multiLevelType w:val="singleLevel"/>
    <w:tmpl w:val="0000000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272550B"/>
    <w:multiLevelType w:val="multilevel"/>
    <w:tmpl w:val="1272550B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7BA570E"/>
    <w:multiLevelType w:val="singleLevel"/>
    <w:tmpl w:val="57BA57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ZWViZWZhNjI5YzhmMDFmYWJkYmI1M2MzYjEwZmUifQ=="/>
  </w:docVars>
  <w:rsids>
    <w:rsidRoot w:val="00F1361C"/>
    <w:rsid w:val="000222C6"/>
    <w:rsid w:val="0002549F"/>
    <w:rsid w:val="000468DB"/>
    <w:rsid w:val="0006487A"/>
    <w:rsid w:val="00065F8F"/>
    <w:rsid w:val="00070A43"/>
    <w:rsid w:val="000768F2"/>
    <w:rsid w:val="0009184B"/>
    <w:rsid w:val="00094236"/>
    <w:rsid w:val="0009593C"/>
    <w:rsid w:val="00097322"/>
    <w:rsid w:val="000A6A92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14E9B"/>
    <w:rsid w:val="00142216"/>
    <w:rsid w:val="00144D6A"/>
    <w:rsid w:val="0014729F"/>
    <w:rsid w:val="00157BAB"/>
    <w:rsid w:val="001654D1"/>
    <w:rsid w:val="00174518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04CDE"/>
    <w:rsid w:val="0021101A"/>
    <w:rsid w:val="00220536"/>
    <w:rsid w:val="00235629"/>
    <w:rsid w:val="00260C38"/>
    <w:rsid w:val="002616C0"/>
    <w:rsid w:val="00265372"/>
    <w:rsid w:val="002662AA"/>
    <w:rsid w:val="00280496"/>
    <w:rsid w:val="00294DC9"/>
    <w:rsid w:val="00295495"/>
    <w:rsid w:val="002A31DE"/>
    <w:rsid w:val="002B2613"/>
    <w:rsid w:val="002D6D05"/>
    <w:rsid w:val="002F1818"/>
    <w:rsid w:val="002F567B"/>
    <w:rsid w:val="003216A9"/>
    <w:rsid w:val="00335A74"/>
    <w:rsid w:val="0036561B"/>
    <w:rsid w:val="0037013F"/>
    <w:rsid w:val="00380C92"/>
    <w:rsid w:val="003A484F"/>
    <w:rsid w:val="003A4883"/>
    <w:rsid w:val="003B0BE0"/>
    <w:rsid w:val="003B0C1B"/>
    <w:rsid w:val="003B688C"/>
    <w:rsid w:val="003C0291"/>
    <w:rsid w:val="003C39AE"/>
    <w:rsid w:val="003C7B60"/>
    <w:rsid w:val="003D0C0F"/>
    <w:rsid w:val="003D1FB2"/>
    <w:rsid w:val="003D66DA"/>
    <w:rsid w:val="003E1310"/>
    <w:rsid w:val="003E6F55"/>
    <w:rsid w:val="00406254"/>
    <w:rsid w:val="004223DE"/>
    <w:rsid w:val="00434489"/>
    <w:rsid w:val="00437085"/>
    <w:rsid w:val="00443880"/>
    <w:rsid w:val="004464F4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66FFA"/>
    <w:rsid w:val="0057481D"/>
    <w:rsid w:val="0058486E"/>
    <w:rsid w:val="00585B33"/>
    <w:rsid w:val="0059014D"/>
    <w:rsid w:val="005B5C64"/>
    <w:rsid w:val="005C5337"/>
    <w:rsid w:val="005C6BD0"/>
    <w:rsid w:val="005D1C8B"/>
    <w:rsid w:val="005D468D"/>
    <w:rsid w:val="005D5CED"/>
    <w:rsid w:val="005F1A4C"/>
    <w:rsid w:val="00605688"/>
    <w:rsid w:val="006070AF"/>
    <w:rsid w:val="00607E6C"/>
    <w:rsid w:val="006101B1"/>
    <w:rsid w:val="00614E44"/>
    <w:rsid w:val="0062270A"/>
    <w:rsid w:val="00622830"/>
    <w:rsid w:val="00623DA0"/>
    <w:rsid w:val="00630AEF"/>
    <w:rsid w:val="006325F8"/>
    <w:rsid w:val="00633463"/>
    <w:rsid w:val="00634C9A"/>
    <w:rsid w:val="006440E4"/>
    <w:rsid w:val="0066343B"/>
    <w:rsid w:val="00664777"/>
    <w:rsid w:val="006748A4"/>
    <w:rsid w:val="00681A31"/>
    <w:rsid w:val="00683E73"/>
    <w:rsid w:val="006A3141"/>
    <w:rsid w:val="006A5E34"/>
    <w:rsid w:val="006B2422"/>
    <w:rsid w:val="006B2B9A"/>
    <w:rsid w:val="006C1937"/>
    <w:rsid w:val="006F020C"/>
    <w:rsid w:val="007127B7"/>
    <w:rsid w:val="0071798E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1682"/>
    <w:rsid w:val="007D312A"/>
    <w:rsid w:val="007D3F19"/>
    <w:rsid w:val="007E23B0"/>
    <w:rsid w:val="007E23E5"/>
    <w:rsid w:val="007F1991"/>
    <w:rsid w:val="007F2C2F"/>
    <w:rsid w:val="007F55FC"/>
    <w:rsid w:val="007F5665"/>
    <w:rsid w:val="00800112"/>
    <w:rsid w:val="00813348"/>
    <w:rsid w:val="008253BB"/>
    <w:rsid w:val="0083706E"/>
    <w:rsid w:val="008408F6"/>
    <w:rsid w:val="008423A5"/>
    <w:rsid w:val="00850625"/>
    <w:rsid w:val="00853718"/>
    <w:rsid w:val="00855221"/>
    <w:rsid w:val="00860645"/>
    <w:rsid w:val="00871F71"/>
    <w:rsid w:val="00872FD8"/>
    <w:rsid w:val="00885AF4"/>
    <w:rsid w:val="008939CD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33499"/>
    <w:rsid w:val="00935C98"/>
    <w:rsid w:val="00946945"/>
    <w:rsid w:val="00951248"/>
    <w:rsid w:val="0095152F"/>
    <w:rsid w:val="00954C49"/>
    <w:rsid w:val="00955E37"/>
    <w:rsid w:val="0097099F"/>
    <w:rsid w:val="00971997"/>
    <w:rsid w:val="00971FFC"/>
    <w:rsid w:val="0098660A"/>
    <w:rsid w:val="009931C3"/>
    <w:rsid w:val="009B2C43"/>
    <w:rsid w:val="009B4EAE"/>
    <w:rsid w:val="009B7573"/>
    <w:rsid w:val="009C22F4"/>
    <w:rsid w:val="009C2A4B"/>
    <w:rsid w:val="009C2E98"/>
    <w:rsid w:val="009D3447"/>
    <w:rsid w:val="009D4711"/>
    <w:rsid w:val="009F1185"/>
    <w:rsid w:val="009F18CD"/>
    <w:rsid w:val="009F2A13"/>
    <w:rsid w:val="009F7527"/>
    <w:rsid w:val="00A04EB0"/>
    <w:rsid w:val="00A13CC1"/>
    <w:rsid w:val="00A16847"/>
    <w:rsid w:val="00A237D8"/>
    <w:rsid w:val="00A268C4"/>
    <w:rsid w:val="00A307CD"/>
    <w:rsid w:val="00A331C8"/>
    <w:rsid w:val="00A40A00"/>
    <w:rsid w:val="00A4142F"/>
    <w:rsid w:val="00A422EB"/>
    <w:rsid w:val="00A45BB7"/>
    <w:rsid w:val="00A56DF2"/>
    <w:rsid w:val="00A56E6E"/>
    <w:rsid w:val="00A67AB5"/>
    <w:rsid w:val="00A733B2"/>
    <w:rsid w:val="00A741C2"/>
    <w:rsid w:val="00A91760"/>
    <w:rsid w:val="00A93B00"/>
    <w:rsid w:val="00A93C21"/>
    <w:rsid w:val="00AB64C9"/>
    <w:rsid w:val="00AC3C6A"/>
    <w:rsid w:val="00AD5620"/>
    <w:rsid w:val="00AD656B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310B9"/>
    <w:rsid w:val="00B35F3F"/>
    <w:rsid w:val="00B36CBB"/>
    <w:rsid w:val="00B425E0"/>
    <w:rsid w:val="00B440AA"/>
    <w:rsid w:val="00B44B70"/>
    <w:rsid w:val="00B53C56"/>
    <w:rsid w:val="00B57DAF"/>
    <w:rsid w:val="00B77EA6"/>
    <w:rsid w:val="00B81598"/>
    <w:rsid w:val="00B841F1"/>
    <w:rsid w:val="00B944D6"/>
    <w:rsid w:val="00BB4DF0"/>
    <w:rsid w:val="00BC289F"/>
    <w:rsid w:val="00BC2D50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5438"/>
    <w:rsid w:val="00C87FD8"/>
    <w:rsid w:val="00C91381"/>
    <w:rsid w:val="00C91CBB"/>
    <w:rsid w:val="00CB4E70"/>
    <w:rsid w:val="00CC09B6"/>
    <w:rsid w:val="00CC666F"/>
    <w:rsid w:val="00CD1E3F"/>
    <w:rsid w:val="00CE44F6"/>
    <w:rsid w:val="00CE49DA"/>
    <w:rsid w:val="00CE7B61"/>
    <w:rsid w:val="00D00095"/>
    <w:rsid w:val="00D114F0"/>
    <w:rsid w:val="00D20620"/>
    <w:rsid w:val="00D254F7"/>
    <w:rsid w:val="00D26091"/>
    <w:rsid w:val="00D2685C"/>
    <w:rsid w:val="00D34E7C"/>
    <w:rsid w:val="00D35489"/>
    <w:rsid w:val="00D36AFE"/>
    <w:rsid w:val="00D51276"/>
    <w:rsid w:val="00D7035F"/>
    <w:rsid w:val="00DA634F"/>
    <w:rsid w:val="00DA65AC"/>
    <w:rsid w:val="00DB1913"/>
    <w:rsid w:val="00DC410D"/>
    <w:rsid w:val="00DC5A81"/>
    <w:rsid w:val="00DC68CA"/>
    <w:rsid w:val="00DC7CBA"/>
    <w:rsid w:val="00DD73B7"/>
    <w:rsid w:val="00DF28BC"/>
    <w:rsid w:val="00DF34B9"/>
    <w:rsid w:val="00E01053"/>
    <w:rsid w:val="00E07ACF"/>
    <w:rsid w:val="00E331A1"/>
    <w:rsid w:val="00E33202"/>
    <w:rsid w:val="00E336A9"/>
    <w:rsid w:val="00E472B1"/>
    <w:rsid w:val="00E50624"/>
    <w:rsid w:val="00E568DF"/>
    <w:rsid w:val="00E64269"/>
    <w:rsid w:val="00E82267"/>
    <w:rsid w:val="00E853CE"/>
    <w:rsid w:val="00E867B6"/>
    <w:rsid w:val="00EA010F"/>
    <w:rsid w:val="00ED1B63"/>
    <w:rsid w:val="00ED3C1F"/>
    <w:rsid w:val="00ED4085"/>
    <w:rsid w:val="00ED420E"/>
    <w:rsid w:val="00ED6FBE"/>
    <w:rsid w:val="00EE2F57"/>
    <w:rsid w:val="00EF4C34"/>
    <w:rsid w:val="00EF77C6"/>
    <w:rsid w:val="00F05438"/>
    <w:rsid w:val="00F1361C"/>
    <w:rsid w:val="00F156F0"/>
    <w:rsid w:val="00F160C7"/>
    <w:rsid w:val="00F2408F"/>
    <w:rsid w:val="00F240E9"/>
    <w:rsid w:val="00F36D8F"/>
    <w:rsid w:val="00F417B1"/>
    <w:rsid w:val="00F45853"/>
    <w:rsid w:val="00F602DF"/>
    <w:rsid w:val="00F754A1"/>
    <w:rsid w:val="00F81FD9"/>
    <w:rsid w:val="00F841AA"/>
    <w:rsid w:val="00F84A94"/>
    <w:rsid w:val="00F87E96"/>
    <w:rsid w:val="00FA23E8"/>
    <w:rsid w:val="00FD3CC1"/>
    <w:rsid w:val="00FF1E02"/>
    <w:rsid w:val="00FF30B4"/>
    <w:rsid w:val="018D0A90"/>
    <w:rsid w:val="09DA7A8E"/>
    <w:rsid w:val="0A2032A3"/>
    <w:rsid w:val="0B8A37D8"/>
    <w:rsid w:val="0FFC5724"/>
    <w:rsid w:val="1031004E"/>
    <w:rsid w:val="10C055FF"/>
    <w:rsid w:val="118107EC"/>
    <w:rsid w:val="11DD6519"/>
    <w:rsid w:val="16BB723D"/>
    <w:rsid w:val="18015F3F"/>
    <w:rsid w:val="188C6F95"/>
    <w:rsid w:val="1BE8440E"/>
    <w:rsid w:val="1D155CEE"/>
    <w:rsid w:val="20F57F95"/>
    <w:rsid w:val="240371BF"/>
    <w:rsid w:val="25C741E6"/>
    <w:rsid w:val="27842671"/>
    <w:rsid w:val="29FD04D3"/>
    <w:rsid w:val="2ABE7A3E"/>
    <w:rsid w:val="2E8C4A8D"/>
    <w:rsid w:val="2EFA178C"/>
    <w:rsid w:val="30B46D73"/>
    <w:rsid w:val="319F7F4E"/>
    <w:rsid w:val="39AE70AB"/>
    <w:rsid w:val="3C0C0783"/>
    <w:rsid w:val="3F795B0E"/>
    <w:rsid w:val="3F9F3A96"/>
    <w:rsid w:val="402D3602"/>
    <w:rsid w:val="41BC00F2"/>
    <w:rsid w:val="48C555BC"/>
    <w:rsid w:val="493C27E9"/>
    <w:rsid w:val="496F39ED"/>
    <w:rsid w:val="49FF41D3"/>
    <w:rsid w:val="4A185DC8"/>
    <w:rsid w:val="4BE068DB"/>
    <w:rsid w:val="4BF6002B"/>
    <w:rsid w:val="4ECE2238"/>
    <w:rsid w:val="51DB4B86"/>
    <w:rsid w:val="55333C3E"/>
    <w:rsid w:val="55E34A7B"/>
    <w:rsid w:val="560A1A98"/>
    <w:rsid w:val="57A91970"/>
    <w:rsid w:val="5A761322"/>
    <w:rsid w:val="5BF2475F"/>
    <w:rsid w:val="64CA39A1"/>
    <w:rsid w:val="6C4A05C8"/>
    <w:rsid w:val="72734D90"/>
    <w:rsid w:val="747C35D7"/>
    <w:rsid w:val="74CC0E9B"/>
    <w:rsid w:val="74E366CA"/>
    <w:rsid w:val="79E7B28D"/>
    <w:rsid w:val="7F9F20EE"/>
    <w:rsid w:val="9E3A10E2"/>
    <w:rsid w:val="F2E1F9D4"/>
    <w:rsid w:val="F788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rFonts w:cs="Calibri"/>
      <w:szCs w:val="21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7">
    <w:name w:val="Body Text"/>
    <w:basedOn w:val="1"/>
    <w:link w:val="23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8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9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11">
    <w:name w:val="header"/>
    <w:basedOn w:val="1"/>
    <w:link w:val="1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3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6">
    <w:name w:val="Strong"/>
    <w:basedOn w:val="15"/>
    <w:qFormat/>
    <w:uiPriority w:val="99"/>
    <w:rPr>
      <w:b/>
    </w:rPr>
  </w:style>
  <w:style w:type="character" w:styleId="17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Header Char"/>
    <w:basedOn w:val="15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眉 Char"/>
    <w:link w:val="11"/>
    <w:semiHidden/>
    <w:qFormat/>
    <w:locked/>
    <w:uiPriority w:val="99"/>
    <w:rPr>
      <w:sz w:val="18"/>
    </w:rPr>
  </w:style>
  <w:style w:type="character" w:customStyle="1" w:styleId="20">
    <w:name w:val="Footer Char"/>
    <w:basedOn w:val="15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21">
    <w:name w:val="页脚 Char"/>
    <w:link w:val="10"/>
    <w:qFormat/>
    <w:locked/>
    <w:uiPriority w:val="99"/>
    <w:rPr>
      <w:sz w:val="18"/>
    </w:rPr>
  </w:style>
  <w:style w:type="character" w:customStyle="1" w:styleId="22">
    <w:name w:val="Body Text Char"/>
    <w:basedOn w:val="15"/>
    <w:semiHidden/>
    <w:qFormat/>
    <w:uiPriority w:val="99"/>
    <w:rPr>
      <w:rFonts w:ascii="Times New Roman" w:hAnsi="Times New Roman"/>
      <w:szCs w:val="24"/>
    </w:rPr>
  </w:style>
  <w:style w:type="character" w:customStyle="1" w:styleId="23">
    <w:name w:val="正文文本 Char"/>
    <w:link w:val="7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标题 1 Char"/>
    <w:basedOn w:val="15"/>
    <w:link w:val="4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7">
    <w:name w:val="标题 2 Char"/>
    <w:basedOn w:val="15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8">
    <w:name w:val="TOC 标题1"/>
    <w:basedOn w:val="4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9">
    <w:name w:val="批注框文本 Char"/>
    <w:basedOn w:val="15"/>
    <w:link w:val="9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30">
    <w:name w:val="标题 3 Char"/>
    <w:basedOn w:val="15"/>
    <w:link w:val="6"/>
    <w:qFormat/>
    <w:uiPriority w:val="9"/>
    <w:rPr>
      <w:rFonts w:ascii="Times New Roman" w:hAnsi="Times New Roman"/>
      <w:b/>
      <w:bCs/>
      <w:kern w:val="2"/>
      <w:sz w:val="32"/>
      <w:szCs w:val="32"/>
    </w:rPr>
  </w:style>
  <w:style w:type="paragraph" w:customStyle="1" w:styleId="31">
    <w:name w:val="TOC Heading"/>
    <w:basedOn w:val="4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4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chart" Target="charts/chart7.xml"/><Relationship Id="rId11" Type="http://schemas.openxmlformats.org/officeDocument/2006/relationships/chart" Target="charts/chart6.xml"/><Relationship Id="rId10" Type="http://schemas.openxmlformats.org/officeDocument/2006/relationships/chart" Target="charts/chart5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package" Target="../embeddings/Workbook7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package" Target="../embeddings/Workbook5.xlsx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package" Target="../embeddings/Workbook4.xlsx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package" Target="../embeddings/Workbook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altLang="en-US"/>
              <a:t>年度收、支总计</a:t>
            </a:r>
            <a:endParaRPr lang="en-US" altLang="zh-CN"/>
          </a:p>
        </c:rich>
      </c:tx>
      <c:layout>
        <c:manualLayout>
          <c:xMode val="edge"/>
          <c:yMode val="edge"/>
          <c:x val="0.31625"/>
          <c:y val="0.030296909715209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单位：万元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Sheet1!$A$2:$A$3</c:f>
              <c:strCache>
                <c:ptCount val="2"/>
                <c:pt idx="0">
                  <c:v>2020年</c:v>
                </c:pt>
                <c:pt idx="1">
                  <c:v>2021年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1152.6</c:v>
                </c:pt>
                <c:pt idx="1">
                  <c:v>1024.07</c:v>
                </c:pt>
              </c:numCache>
            </c:numRef>
          </c:val>
        </c:ser>
        <c:ser>
          <c:idx val="1"/>
          <c:order val="1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Sheet1!$A$2:$A$3</c:f>
              <c:strCache>
                <c:ptCount val="2"/>
                <c:pt idx="0">
                  <c:v>2020年</c:v>
                </c:pt>
                <c:pt idx="1">
                  <c:v>2021年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Sheet1!$A$2:$A$3</c:f>
              <c:strCache>
                <c:ptCount val="2"/>
                <c:pt idx="0">
                  <c:v>2020年</c:v>
                </c:pt>
                <c:pt idx="1">
                  <c:v>2021年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2443211"/>
        <c:axId val="491467272"/>
      </c:barChart>
      <c:catAx>
        <c:axId val="98244321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91467272"/>
        <c:crosses val="autoZero"/>
        <c:auto val="1"/>
        <c:lblAlgn val="ctr"/>
        <c:lblOffset val="100"/>
        <c:noMultiLvlLbl val="0"/>
      </c:catAx>
      <c:valAx>
        <c:axId val="491467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824432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2021年收入：一般公共预算财政拨款收入</a:t>
            </a:r>
          </a:p>
        </c:rich>
      </c:tx>
      <c:layout>
        <c:manualLayout>
          <c:xMode val="edge"/>
          <c:yMode val="edge"/>
          <c:x val="0.135904830569575"/>
          <c:y val="0.088200705605644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2021年收入合计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Sheet1!$A$2:$A$5</c:f>
              <c:strCache>
                <c:ptCount val="4"/>
                <c:pt idx="0">
                  <c:v>单位：万元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1024.07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276568132660418"/>
          <c:y val="0.84594276754214"/>
          <c:w val="0.405335255948089"/>
          <c:h val="0.130537044296354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2021</a:t>
            </a:r>
            <a:r>
              <a:rPr altLang="en-US"/>
              <a:t>年支出合计（其中：基本支出占</a:t>
            </a:r>
            <a:r>
              <a:rPr lang="en-US" altLang="zh-CN"/>
              <a:t>100%</a:t>
            </a:r>
            <a:r>
              <a:rPr altLang="en-US"/>
              <a:t>）</a:t>
            </a:r>
            <a:endParaRPr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Sheet1!$A$2:$A$5</c:f>
              <c:strCache>
                <c:ptCount val="4"/>
                <c:pt idx="0">
                  <c:v>单位：万元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1008.37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718264664356309"/>
          <c:y val="0.0482136663198058"/>
          <c:w val="0.91655"/>
          <c:h val="0.70012343502027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单位：万元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Sheet1!$A$2:$A$3</c:f>
              <c:strCache>
                <c:ptCount val="2"/>
                <c:pt idx="0">
                  <c:v>2020年</c:v>
                </c:pt>
                <c:pt idx="1">
                  <c:v>2021年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1152.6</c:v>
                </c:pt>
                <c:pt idx="1">
                  <c:v>1024.07</c:v>
                </c:pt>
              </c:numCache>
            </c:numRef>
          </c:val>
        </c:ser>
        <c:ser>
          <c:idx val="1"/>
          <c:order val="1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Sheet1!$A$2:$A$3</c:f>
              <c:strCache>
                <c:ptCount val="2"/>
                <c:pt idx="0">
                  <c:v>2020年</c:v>
                </c:pt>
                <c:pt idx="1">
                  <c:v>2021年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Sheet1!$A$2:$A$3</c:f>
              <c:strCache>
                <c:ptCount val="2"/>
                <c:pt idx="0">
                  <c:v>2020年</c:v>
                </c:pt>
                <c:pt idx="1">
                  <c:v>2021年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40751831"/>
        <c:axId val="448074621"/>
      </c:barChart>
      <c:catAx>
        <c:axId val="64075183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8074621"/>
        <c:crosses val="autoZero"/>
        <c:auto val="1"/>
        <c:lblAlgn val="ctr"/>
        <c:lblOffset val="100"/>
        <c:noMultiLvlLbl val="0"/>
      </c:catAx>
      <c:valAx>
        <c:axId val="44807462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407518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472"/>
          <c:y val="0.173511072887551"/>
          <c:w val="0.91655"/>
          <c:h val="0.63435820253708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单位：万元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Sheet1!$A$2:$A$3</c:f>
              <c:strCache>
                <c:ptCount val="2"/>
                <c:pt idx="0">
                  <c:v>2020年</c:v>
                </c:pt>
                <c:pt idx="1">
                  <c:v>2021年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1029.56</c:v>
                </c:pt>
                <c:pt idx="1">
                  <c:v>1008.37</c:v>
                </c:pt>
              </c:numCache>
            </c:numRef>
          </c:val>
        </c:ser>
        <c:ser>
          <c:idx val="1"/>
          <c:order val="1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Sheet1!$A$2:$A$3</c:f>
              <c:strCache>
                <c:ptCount val="2"/>
                <c:pt idx="0">
                  <c:v>2020年</c:v>
                </c:pt>
                <c:pt idx="1">
                  <c:v>2021年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Sheet1!$A$2:$A$3</c:f>
              <c:strCache>
                <c:ptCount val="2"/>
                <c:pt idx="0">
                  <c:v>2020年</c:v>
                </c:pt>
                <c:pt idx="1">
                  <c:v>2021年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97229139"/>
        <c:axId val="331192832"/>
      </c:barChart>
      <c:catAx>
        <c:axId val="79722913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31192832"/>
        <c:crosses val="autoZero"/>
        <c:auto val="1"/>
        <c:lblAlgn val="ctr"/>
        <c:lblOffset val="100"/>
        <c:noMultiLvlLbl val="0"/>
      </c:catAx>
      <c:valAx>
        <c:axId val="331192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972291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Sheet1!$A$2:$A$5</c:f>
              <c:strCache>
                <c:ptCount val="4"/>
                <c:pt idx="0">
                  <c:v>单位：万元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1008.37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2021</a:t>
            </a:r>
            <a:r>
              <a:rPr altLang="en-US"/>
              <a:t>年</a:t>
            </a:r>
            <a:r>
              <a:rPr lang="en-US" altLang="zh-CN"/>
              <a:t>“</a:t>
            </a:r>
            <a:r>
              <a:rPr altLang="en-US"/>
              <a:t>三公</a:t>
            </a:r>
            <a:r>
              <a:rPr lang="en-US" altLang="zh-CN"/>
              <a:t>”</a:t>
            </a:r>
            <a:r>
              <a:rPr altLang="en-US"/>
              <a:t>经费支出合计</a:t>
            </a:r>
            <a:r>
              <a:rPr lang="en-US" altLang="zh-CN"/>
              <a:t>2.5</a:t>
            </a:r>
            <a:r>
              <a:rPr altLang="en-US"/>
              <a:t>万元（其中：公务接待支出</a:t>
            </a:r>
            <a:r>
              <a:rPr lang="en-US" altLang="zh-CN"/>
              <a:t>2.5</a:t>
            </a:r>
            <a:r>
              <a:rPr altLang="en-US"/>
              <a:t>万元，占</a:t>
            </a:r>
            <a:r>
              <a:rPr lang="en-US" altLang="zh-CN"/>
              <a:t>100%</a:t>
            </a:r>
            <a:r>
              <a:rPr altLang="en-US"/>
              <a:t>）</a:t>
            </a:r>
            <a:endParaRPr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Sheet1!$A$2:$A$5</c:f>
              <c:strCache>
                <c:ptCount val="4"/>
                <c:pt idx="0">
                  <c:v>单位：万元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1008.37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17</Pages>
  <Words>4812</Words>
  <Characters>5271</Characters>
  <Lines>61</Lines>
  <Paragraphs>17</Paragraphs>
  <TotalTime>0</TotalTime>
  <ScaleCrop>false</ScaleCrop>
  <LinksUpToDate>false</LinksUpToDate>
  <CharactersWithSpaces>5361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2020-08-05T01:49:00Z</dcterms:created>
  <dc:creator>曹颖</dc:creator>
  <cp:lastModifiedBy>志哥</cp:lastModifiedBy>
  <cp:lastPrinted>2022-08-06T02:23:00Z</cp:lastPrinted>
  <dcterms:modified xsi:type="dcterms:W3CDTF">2022-09-30T02:46:36Z</dcterms:modified>
  <dc:title>四川省***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6DF7E888EE82460A9E81DBA633502CDF</vt:lpwstr>
  </property>
</Properties>
</file>