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1151D1">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方正小标宋简体" w:hAnsi="方正小标宋简体" w:eastAsia="方正小标宋简体" w:cs="方正小标宋简体"/>
          <w:b w:val="0"/>
          <w:bCs w:val="0"/>
          <w:i w:val="0"/>
          <w:caps w:val="0"/>
          <w:color w:val="000000" w:themeColor="text1"/>
          <w:spacing w:val="0"/>
          <w:sz w:val="44"/>
          <w:szCs w:val="44"/>
          <w:highlight w:val="none"/>
          <w:lang w:val="en-US"/>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14:textFill>
            <w14:solidFill>
              <w14:schemeClr w14:val="tx1"/>
            </w14:solidFill>
          </w14:textFill>
        </w:rPr>
        <w:t>广元市昭化区民政局</w:t>
      </w:r>
    </w:p>
    <w:p w14:paraId="4ADF0E3A">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14:textFill>
            <w14:solidFill>
              <w14:schemeClr w14:val="tx1"/>
            </w14:solidFill>
          </w14:textFill>
        </w:rPr>
        <w:t>2025年部门预算编制说明</w:t>
      </w:r>
    </w:p>
    <w:p w14:paraId="16054E32">
      <w:pPr>
        <w:jc w:val="center"/>
        <w:rPr>
          <w:rFonts w:hint="eastAsia" w:ascii="黑体" w:hAnsi="黑体" w:eastAsia="黑体" w:cs="黑体"/>
          <w:b/>
          <w:bCs/>
          <w:i w:val="0"/>
          <w:caps w:val="0"/>
          <w:color w:val="000000" w:themeColor="text1"/>
          <w:spacing w:val="0"/>
          <w:kern w:val="0"/>
          <w:sz w:val="32"/>
          <w:szCs w:val="32"/>
          <w:highlight w:val="none"/>
          <w:shd w:val="clear" w:color="auto" w:fill="FFFFFF"/>
          <w:lang w:val="en-US" w:eastAsia="zh-CN"/>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14:textFill>
            <w14:solidFill>
              <w14:schemeClr w14:val="tx1"/>
            </w14:solidFill>
          </w14:textFill>
        </w:rPr>
        <w:t>目   录</w:t>
      </w:r>
    </w:p>
    <w:p w14:paraId="0C374967">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default"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14:textFill>
            <w14:solidFill>
              <w14:schemeClr w14:val="tx1"/>
            </w14:solidFill>
          </w14:textFill>
        </w:rPr>
        <w:t>一</w:t>
      </w: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、基本职能及主要工作..............................1</w:t>
      </w:r>
    </w:p>
    <w:p w14:paraId="50350EB9">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default"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（一）单位职能简介..................................1</w:t>
      </w:r>
    </w:p>
    <w:p w14:paraId="0F74C3CD">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default"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（二）单位2025年重点工作...........................4</w:t>
      </w:r>
    </w:p>
    <w:p w14:paraId="7B4C15A0">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default"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二、部门预算单位构成................................5</w:t>
      </w:r>
    </w:p>
    <w:p w14:paraId="7A7E24D3">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三、收支预算情况说明................................5</w:t>
      </w:r>
    </w:p>
    <w:p w14:paraId="4896AE8E">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default"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（一）收入预算情况..................................5</w:t>
      </w:r>
    </w:p>
    <w:p w14:paraId="03DD295D">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default"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（二）支出预算情况..................................5</w:t>
      </w:r>
    </w:p>
    <w:p w14:paraId="16347F7C">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default"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四、财政拨款收支预算情况说明.......................5</w:t>
      </w:r>
    </w:p>
    <w:p w14:paraId="74570C73">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default"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五、一般公共预算当年拨款情况说明....................8</w:t>
      </w:r>
    </w:p>
    <w:p w14:paraId="34A4D6CF">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（一）一般公共预算当年拨款规模变化情况..............8</w:t>
      </w:r>
    </w:p>
    <w:p w14:paraId="1283A316">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（二）一般公共预算当年拨款结构情况..................8</w:t>
      </w:r>
    </w:p>
    <w:p w14:paraId="71C96260">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（三）一般公共预算当年拨款具体使用情况..............8</w:t>
      </w:r>
    </w:p>
    <w:p w14:paraId="4B6DF876">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default"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六、一般公共预算基本支出情况说明....................8</w:t>
      </w:r>
    </w:p>
    <w:p w14:paraId="71B82C9E">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default"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七、“三公”经费财政拨款预算安排情况说明...........9</w:t>
      </w:r>
    </w:p>
    <w:p w14:paraId="77000B18">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八、政府性基金预算支出情况说明......................9</w:t>
      </w:r>
    </w:p>
    <w:p w14:paraId="25750574">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九、国有资本经营预算支出情况说明....................9</w:t>
      </w:r>
    </w:p>
    <w:p w14:paraId="3C79E093">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十、其他重要事项的情况说明........................9</w:t>
      </w:r>
    </w:p>
    <w:p w14:paraId="411BE665">
      <w:pPr>
        <w:keepNext w:val="0"/>
        <w:keepLines w:val="0"/>
        <w:pageBreakBefore w:val="0"/>
        <w:widowControl w:val="0"/>
        <w:kinsoku/>
        <w:wordWrap/>
        <w:overflowPunct/>
        <w:topLinePunct w:val="0"/>
        <w:autoSpaceDE/>
        <w:autoSpaceDN/>
        <w:bidi w:val="0"/>
        <w:adjustRightInd/>
        <w:snapToGrid/>
        <w:spacing w:line="550" w:lineRule="exact"/>
        <w:jc w:val="distribute"/>
        <w:textAlignment w:val="auto"/>
        <w:rPr>
          <w:rFonts w:hint="default" w:ascii="黑体" w:hAnsi="黑体" w:eastAsia="黑体" w:cs="黑体"/>
          <w:color w:val="auto"/>
          <w:sz w:val="32"/>
          <w:szCs w:val="32"/>
          <w:highlight w:val="none"/>
          <w:lang w:val="en-US" w:eastAsia="zh-CN"/>
        </w:rPr>
        <w:sectPr>
          <w:footerReference r:id="rId3" w:type="default"/>
          <w:pgSz w:w="11906" w:h="16838"/>
          <w:pgMar w:top="2098" w:right="1474" w:bottom="1984" w:left="1587" w:header="720" w:footer="1559" w:gutter="0"/>
          <w:pgNumType w:fmt="decimal"/>
          <w:cols w:space="720" w:num="1"/>
          <w:docGrid w:type="lines" w:linePitch="312" w:charSpace="0"/>
        </w:sect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十一、名词解释....................................11</w:t>
      </w:r>
    </w:p>
    <w:p w14:paraId="29F562C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lang w:val="en-US" w:eastAsia="zh-CN"/>
        </w:rPr>
        <w:t>一、基本职能及主要工作</w:t>
      </w:r>
    </w:p>
    <w:p w14:paraId="3C9CC37D">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eastAsia" w:ascii="仿宋_GB2312" w:hAnsi="仿宋_GB2312" w:eastAsia="仿宋_GB2312" w:cs="仿宋_GB2312"/>
          <w:i w:val="0"/>
          <w:caps w:val="0"/>
          <w:color w:val="auto"/>
          <w:spacing w:val="0"/>
          <w:kern w:val="0"/>
          <w:sz w:val="32"/>
          <w:szCs w:val="32"/>
          <w:highlight w:val="none"/>
          <w:shd w:val="clear" w:color="auto" w:fill="FFFFFF"/>
          <w:lang w:val="en-US" w:eastAsia="zh-CN"/>
        </w:rPr>
        <w:t>（一）民政局职能简介</w:t>
      </w:r>
    </w:p>
    <w:p w14:paraId="5491F3CA">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lang w:val="en-US" w:eastAsia="zh-CN"/>
        </w:rPr>
        <w:t>）起草民政工作规范性文件，拟订全区民政事业发展规划、标准并组织实施。</w:t>
      </w:r>
    </w:p>
    <w:p w14:paraId="14803668">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lang w:val="en-US" w:eastAsia="zh-CN"/>
        </w:rPr>
        <w:t>）牵头拟订社会团体、社会服务机构等社会组织登记和监督管理办法并组织实施，依法对社会组织进行登记管理和执法监督。</w:t>
      </w:r>
    </w:p>
    <w:p w14:paraId="0CD82A1A">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lang w:val="en-US" w:eastAsia="zh-CN"/>
        </w:rPr>
        <w:t>）牵头拟订全区社会救助规划、政策、标准，统筹推进社会救助体系建设，负责城乡居民生活保障、特困人员救助供养、临时救助、生活无着流浪乞讨人员救助工作。</w:t>
      </w:r>
    </w:p>
    <w:p w14:paraId="62967173">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lang w:val="en-US" w:eastAsia="zh-CN"/>
        </w:rPr>
        <w:t>）拟订行政区划、行政区域界线管理和地名管理政策，组织拟订全区行政区划优化设置建议方案，按照管理权限牵头负责全区乡镇行政区划设立、命名、撤销、变更和政府驻地迁移审核报批工作。按照管理权限确定、公布行政区划代码，组织并指导全区行政区域界线勘定、管理工作，调处行政区划边界争议，服务全区地名工作的统一监督管理工作。</w:t>
      </w:r>
    </w:p>
    <w:p w14:paraId="37F54660">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5</w:t>
      </w:r>
      <w:r>
        <w:rPr>
          <w:rFonts w:hint="default" w:ascii="Times New Roman" w:hAnsi="Times New Roman" w:eastAsia="仿宋_GB2312" w:cs="Times New Roman"/>
          <w:color w:val="auto"/>
          <w:sz w:val="32"/>
          <w:szCs w:val="32"/>
          <w:highlight w:val="none"/>
          <w:lang w:val="en-US" w:eastAsia="zh-CN"/>
        </w:rPr>
        <w:t>）拟订婚姻管理政策并组织实施，推进婚俗改革。</w:t>
      </w:r>
    </w:p>
    <w:p w14:paraId="078C99AC">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6</w:t>
      </w:r>
      <w:r>
        <w:rPr>
          <w:rFonts w:hint="default" w:ascii="Times New Roman" w:hAnsi="Times New Roman" w:eastAsia="仿宋_GB2312" w:cs="Times New Roman"/>
          <w:color w:val="auto"/>
          <w:sz w:val="32"/>
          <w:szCs w:val="32"/>
          <w:highlight w:val="none"/>
          <w:lang w:val="en-US" w:eastAsia="zh-CN"/>
        </w:rPr>
        <w:t>）贯彻执行殡葬管理政策、服务规范并组织实施，推进殡葬改革。</w:t>
      </w:r>
    </w:p>
    <w:p w14:paraId="40F080C1">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7</w:t>
      </w:r>
      <w:r>
        <w:rPr>
          <w:rFonts w:hint="default" w:ascii="Times New Roman" w:hAnsi="Times New Roman" w:eastAsia="仿宋_GB2312" w:cs="Times New Roman"/>
          <w:color w:val="auto"/>
          <w:sz w:val="32"/>
          <w:szCs w:val="32"/>
          <w:highlight w:val="none"/>
          <w:lang w:val="en-US" w:eastAsia="zh-CN"/>
        </w:rPr>
        <w:t>）拟订社会福利事业发展规划、政策、标准，拟订全区社会福利事业发展规划，拟订社会福利机构管理办法并指导实施，执行残疾人权益保护政策并监督实施。负责康复辅助器具行业管理，统筹推进残疾人福利制度建设和康复辅助器具产业发展。</w:t>
      </w:r>
    </w:p>
    <w:p w14:paraId="27020D25">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8</w:t>
      </w:r>
      <w:r>
        <w:rPr>
          <w:rFonts w:hint="default" w:ascii="Times New Roman" w:hAnsi="Times New Roman" w:eastAsia="仿宋_GB2312" w:cs="Times New Roman"/>
          <w:color w:val="auto"/>
          <w:sz w:val="32"/>
          <w:szCs w:val="32"/>
          <w:highlight w:val="none"/>
          <w:lang w:val="en-US" w:eastAsia="zh-CN"/>
        </w:rPr>
        <w:t>）承担区老龄工作委员会的具体工作。组织拟订并协调落实积极应对人口老龄化政策措施。指导协调老年人权益保障工作。组织拟订老年人社会参与政策并组织实施。</w:t>
      </w:r>
    </w:p>
    <w:p w14:paraId="5151DA74">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9</w:t>
      </w:r>
      <w:r>
        <w:rPr>
          <w:rFonts w:hint="default" w:ascii="Times New Roman" w:hAnsi="Times New Roman" w:eastAsia="仿宋_GB2312" w:cs="Times New Roman"/>
          <w:color w:val="auto"/>
          <w:sz w:val="32"/>
          <w:szCs w:val="32"/>
          <w:highlight w:val="none"/>
          <w:lang w:val="en-US" w:eastAsia="zh-CN"/>
        </w:rPr>
        <w:t>）组织拟订并协调落实养老事业发展的政策措施，统筹推进、督促指导、监督管理养老服务工作，拟订全区养老服务体系建设规划、政策、标准并组织实施，承担老年人福利和特殊困难老年人救助工作，协调推进农村留守老年人关爱服务工作。</w:t>
      </w:r>
    </w:p>
    <w:p w14:paraId="27104789">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10</w:t>
      </w:r>
      <w:r>
        <w:rPr>
          <w:rFonts w:hint="default" w:ascii="Times New Roman" w:hAnsi="Times New Roman" w:eastAsia="仿宋_GB2312" w:cs="Times New Roman"/>
          <w:color w:val="auto"/>
          <w:sz w:val="32"/>
          <w:szCs w:val="32"/>
          <w:highlight w:val="none"/>
          <w:lang w:val="en-US" w:eastAsia="zh-CN"/>
        </w:rPr>
        <w:t>）拟订儿童福利、孤弃儿童保障、儿童收养、儿童救助保护政策和标准并组织实施，健全农村留守儿童关爱服务体系和困境儿童保障制度。负责全区儿童收养登记工作。</w:t>
      </w:r>
    </w:p>
    <w:p w14:paraId="1855C7F3">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11</w:t>
      </w:r>
      <w:r>
        <w:rPr>
          <w:rFonts w:hint="default" w:ascii="Times New Roman" w:hAnsi="Times New Roman" w:eastAsia="仿宋_GB2312" w:cs="Times New Roman"/>
          <w:color w:val="auto"/>
          <w:sz w:val="32"/>
          <w:szCs w:val="32"/>
          <w:highlight w:val="none"/>
          <w:lang w:val="en-US" w:eastAsia="zh-CN"/>
        </w:rPr>
        <w:t>）组织拟订促进全区慈善事业发展政策，指导社会捐助工作。负责福利彩票管理工作。</w:t>
      </w:r>
    </w:p>
    <w:p w14:paraId="683381E1">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12</w:t>
      </w:r>
      <w:r>
        <w:rPr>
          <w:rFonts w:hint="default" w:ascii="Times New Roman" w:hAnsi="Times New Roman" w:eastAsia="仿宋_GB2312" w:cs="Times New Roman"/>
          <w:color w:val="auto"/>
          <w:sz w:val="32"/>
          <w:szCs w:val="32"/>
          <w:highlight w:val="none"/>
          <w:lang w:val="en-US" w:eastAsia="zh-CN"/>
        </w:rPr>
        <w:t>）依法依规负责康复辅助器具行业和社会福利、养老服务、殡葬服务、救助管理机构安全生产监督管理工作。负责职责范围内的职业健康、生态环境保护、审批服务便民化等工作。</w:t>
      </w:r>
    </w:p>
    <w:p w14:paraId="11B731EF">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val="en-US" w:eastAsia="zh-CN"/>
        </w:rPr>
        <w:t>（</w:t>
      </w:r>
      <w:r>
        <w:rPr>
          <w:rFonts w:hint="eastAsia" w:ascii="Times New Roman" w:hAnsi="Times New Roman" w:eastAsia="仿宋_GB2312" w:cs="Times New Roman"/>
          <w:color w:val="auto"/>
          <w:sz w:val="32"/>
          <w:szCs w:val="32"/>
          <w:highlight w:val="none"/>
          <w:lang w:val="en-US" w:eastAsia="zh-CN"/>
        </w:rPr>
        <w:t>13</w:t>
      </w:r>
      <w:r>
        <w:rPr>
          <w:rFonts w:hint="default" w:ascii="Times New Roman" w:hAnsi="Times New Roman" w:eastAsia="仿宋_GB2312" w:cs="Times New Roman"/>
          <w:color w:val="auto"/>
          <w:sz w:val="32"/>
          <w:szCs w:val="32"/>
          <w:highlight w:val="none"/>
          <w:lang w:val="en-US" w:eastAsia="zh-CN"/>
        </w:rPr>
        <w:t>）完成区委、区政府交办的其他任务。</w:t>
      </w:r>
    </w:p>
    <w:p w14:paraId="38FEBA77">
      <w:pPr>
        <w:pStyle w:val="7"/>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right="0" w:firstLine="643" w:firstLineChars="200"/>
        <w:jc w:val="both"/>
        <w:textAlignment w:val="auto"/>
        <w:rPr>
          <w:rFonts w:hint="eastAsia" w:ascii="楷体_GB2312" w:eastAsia="楷体_GB2312" w:cs="楷体_GB2312"/>
          <w:b/>
          <w:i w:val="0"/>
          <w:caps w:val="0"/>
          <w:color w:val="auto"/>
          <w:spacing w:val="0"/>
          <w:sz w:val="32"/>
          <w:szCs w:val="32"/>
          <w:highlight w:val="none"/>
          <w:shd w:val="clear" w:color="auto" w:fill="FFFFFF"/>
        </w:rPr>
      </w:pPr>
      <w:r>
        <w:rPr>
          <w:rFonts w:hint="eastAsia" w:ascii="楷体_GB2312" w:eastAsia="楷体_GB2312" w:cs="楷体_GB2312"/>
          <w:b/>
          <w:i w:val="0"/>
          <w:caps w:val="0"/>
          <w:color w:val="auto"/>
          <w:spacing w:val="0"/>
          <w:sz w:val="32"/>
          <w:szCs w:val="32"/>
          <w:highlight w:val="none"/>
          <w:shd w:val="clear" w:color="auto" w:fill="FFFFFF"/>
        </w:rPr>
        <w:t>（二）</w:t>
      </w:r>
      <w:r>
        <w:rPr>
          <w:rFonts w:hint="eastAsia" w:ascii="楷体_GB2312" w:eastAsia="楷体_GB2312" w:cs="楷体_GB2312"/>
          <w:b/>
          <w:i w:val="0"/>
          <w:caps w:val="0"/>
          <w:color w:val="auto"/>
          <w:spacing w:val="0"/>
          <w:sz w:val="32"/>
          <w:szCs w:val="32"/>
          <w:highlight w:val="none"/>
          <w:shd w:val="clear" w:color="auto" w:fill="FFFFFF"/>
          <w:lang w:val="en-US" w:eastAsia="zh-CN"/>
        </w:rPr>
        <w:t>民政局</w:t>
      </w:r>
      <w:r>
        <w:rPr>
          <w:rFonts w:hint="eastAsia" w:ascii="楷体_GB2312" w:eastAsia="楷体_GB2312" w:cs="楷体_GB2312"/>
          <w:b/>
          <w:i w:val="0"/>
          <w:caps w:val="0"/>
          <w:color w:val="auto"/>
          <w:spacing w:val="0"/>
          <w:sz w:val="32"/>
          <w:szCs w:val="32"/>
          <w:highlight w:val="none"/>
          <w:shd w:val="clear" w:color="auto" w:fill="FFFFFF"/>
        </w:rPr>
        <w:t>202</w:t>
      </w:r>
      <w:r>
        <w:rPr>
          <w:rFonts w:hint="eastAsia" w:ascii="楷体_GB2312" w:eastAsia="楷体_GB2312" w:cs="楷体_GB2312"/>
          <w:b/>
          <w:i w:val="0"/>
          <w:caps w:val="0"/>
          <w:color w:val="auto"/>
          <w:spacing w:val="0"/>
          <w:sz w:val="32"/>
          <w:szCs w:val="32"/>
          <w:highlight w:val="none"/>
          <w:shd w:val="clear" w:color="auto" w:fill="FFFFFF"/>
          <w:lang w:val="en-US" w:eastAsia="zh-CN"/>
        </w:rPr>
        <w:t>5</w:t>
      </w:r>
      <w:r>
        <w:rPr>
          <w:rFonts w:hint="eastAsia" w:ascii="楷体_GB2312" w:eastAsia="楷体_GB2312" w:cs="楷体_GB2312"/>
          <w:b/>
          <w:i w:val="0"/>
          <w:caps w:val="0"/>
          <w:color w:val="auto"/>
          <w:spacing w:val="0"/>
          <w:sz w:val="32"/>
          <w:szCs w:val="32"/>
          <w:highlight w:val="none"/>
          <w:shd w:val="clear" w:color="auto" w:fill="FFFFFF"/>
        </w:rPr>
        <w:t>年重点工作</w:t>
      </w:r>
    </w:p>
    <w:p w14:paraId="5229DEB6">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eastAsia" w:ascii="Times New Roman" w:hAnsi="Times New Roman" w:eastAsia="仿宋_GB2312" w:cs="Times New Roman"/>
          <w:color w:val="auto"/>
          <w:sz w:val="32"/>
          <w:szCs w:val="32"/>
          <w:highlight w:val="none"/>
          <w:lang w:eastAsia="zh-CN"/>
        </w:rPr>
      </w:pPr>
      <w:r>
        <w:rPr>
          <w:rFonts w:hint="eastAsia" w:ascii="Times New Roman" w:hAnsi="Times New Roman" w:eastAsia="仿宋_GB2312" w:cs="Times New Roman"/>
          <w:color w:val="auto"/>
          <w:sz w:val="32"/>
          <w:szCs w:val="32"/>
          <w:highlight w:val="none"/>
          <w:lang w:eastAsia="zh-CN"/>
        </w:rPr>
        <w:t>2025年是“十四五”规划的收官之年，是“十五五”规划的布局之年。全区民政工作要坚持以习近平新时代中国特色社会主义思想为指导，深入学习贯彻习近平总书记关于民政工作的重要论述和重要指示批示精神，坚决贯彻党中央、国务院和省市区党委、政府重大决策部署，坚持以人民为中心的发展思想，坚守“民政为民、民政爱民”的工作理念，进一步健全社会救助体系，完善养老服务体系，加强社会组织和区划地名管理，深化殡葬等领域改革，促进慈善事业发展，全面推进普惠性、基础性、兜底性民生建设，积极为群众做好事、办实事、解难事，奋力推进昭化民政事业高质量发展。一是严格落实全面从严治党主体责任。针对全面从严治党工作中存在的薄弱环节，深入学习领会</w:t>
      </w:r>
      <w:bookmarkStart w:id="0" w:name="_GoBack"/>
      <w:bookmarkEnd w:id="0"/>
      <w:r>
        <w:rPr>
          <w:rFonts w:hint="eastAsia" w:ascii="Times New Roman" w:hAnsi="Times New Roman" w:eastAsia="仿宋_GB2312" w:cs="Times New Roman"/>
          <w:color w:val="auto"/>
          <w:sz w:val="32"/>
          <w:szCs w:val="32"/>
          <w:highlight w:val="none"/>
          <w:lang w:eastAsia="zh-CN"/>
        </w:rPr>
        <w:t>习近平总书记关于党的自我革命的重要思想，提高政治能力，聚焦主责主业，围绕学习宣传贯彻党的二十大精神为主线，统筹推进党的思想建设、组织建设、作风建设、纪律建设，促进全面进步、全面过硬，努力打造忠诚干净担当的民政队伍。二是全力兜好民生底线。坚持保基本、兜底线、救急难、可持续的方针，持续健全以基本生活救助、专项社会救助、急难社会救助为主体，社会力量参与为补充的分层分类社会救助体系，保障特殊困难群众的基本生活。聚焦困难群众需求，紧盯社会救助领域重难点问题，坚持“权责对等、职能下移、管办分离”原则，进一步健全和完善“1234”城乡低保动态调整工作机制，在全区范围内推广“三减三加”城乡低保管理服务新模式，切实做到“审批规范运行、权责相对统一、政策精准落实、调整及时高效”改革目标。大力推进我区社会救助工作制度化、规范化建设，不断提升社会救助服务管理水平，切实保障困难群众合法权益。落实好儿童福利、残疾人福利制度，多措并举、压实责任，织密织牢民生兜底保障安全网。三是努力实现老有所养。抢抓机遇，落实积极应对人口老龄化的重点任务，推动完善老年人社会保障体系、健康支撑体系，将积极老龄观、健康老龄化理念融入经济社会发展全过程，大力发展普惠型养老服务，完善养老服务基础设施，构建布局合理、功能完善、运转高效、可持续的区镇村三级养老服务网络。大力实施县域养老服务高质量发展（能力提升）项目，开展居家社区智慧养老服务和老年认知障碍服务，不断提升居家养老服务水平。鼓励支持老年人发挥积极作用，努力让广大老年人过上更高质量的生活。开展“幸福食光”老年助餐服务，建成老年助餐服务网络。大力实施农村困难老年人集中供养和困难老年人关爱提质项目，鼓励支持经济困难失能老年人入住养老院，切实增强困难老年人及其家庭的获得感、幸福感和安全感，实现农村老人“生活有照料、生病有看护、纠纷有调解、精神有慰藉”目标。四是着力提升为民服务水平。引导支持社会组织规范有序发展，进一步发挥服务群众、企业、行业和社会的积极作用，促进慈善事业健康发展，发挥好慈善帮扶和政府保障的协同作用。强化地名公共服务，提高便民惠企水平。强化婚俗、殡葬改革与服务，持续推进婚丧领域移风易俗，让全区人民群众更有获得感、幸福感。</w:t>
      </w:r>
    </w:p>
    <w:p w14:paraId="0F3A9391">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二、部门预算单位构成</w:t>
      </w:r>
    </w:p>
    <w:p w14:paraId="1460C527">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val="en-US" w:eastAsia="zh-CN"/>
        </w:rPr>
        <w:t>广元市昭化区民政局无下属二级预算单位，</w:t>
      </w:r>
      <w:r>
        <w:rPr>
          <w:rFonts w:hint="eastAsia" w:ascii="Times New Roman" w:hAnsi="Times New Roman" w:eastAsia="仿宋_GB2312" w:cs="Times New Roman"/>
          <w:color w:val="auto"/>
          <w:sz w:val="32"/>
          <w:szCs w:val="32"/>
          <w:highlight w:val="none"/>
          <w:lang w:val="en-US" w:eastAsia="zh-CN"/>
        </w:rPr>
        <w:t>包含</w:t>
      </w:r>
      <w:r>
        <w:rPr>
          <w:rFonts w:hint="default" w:ascii="Times New Roman" w:hAnsi="Times New Roman" w:eastAsia="仿宋_GB2312" w:cs="Times New Roman"/>
          <w:color w:val="auto"/>
          <w:sz w:val="32"/>
          <w:szCs w:val="32"/>
          <w:highlight w:val="none"/>
          <w:lang w:val="en-US" w:eastAsia="zh-CN"/>
        </w:rPr>
        <w:t>其他事业单位4个。主要包括：</w:t>
      </w:r>
      <w:r>
        <w:rPr>
          <w:rFonts w:hint="default" w:ascii="Times New Roman" w:hAnsi="Times New Roman" w:eastAsia="仿宋_GB2312" w:cs="Times New Roman"/>
          <w:color w:val="auto"/>
          <w:sz w:val="32"/>
          <w:szCs w:val="32"/>
          <w:highlight w:val="none"/>
          <w:lang w:eastAsia="zh-CN"/>
        </w:rPr>
        <w:t>区殡葬事务中心、区社会福利院、区养老</w:t>
      </w:r>
      <w:r>
        <w:rPr>
          <w:rFonts w:hint="eastAsia" w:ascii="Times New Roman" w:hAnsi="Times New Roman" w:eastAsia="仿宋_GB2312" w:cs="Times New Roman"/>
          <w:color w:val="auto"/>
          <w:sz w:val="32"/>
          <w:szCs w:val="32"/>
          <w:highlight w:val="none"/>
          <w:lang w:eastAsia="zh-CN"/>
        </w:rPr>
        <w:t>服务</w:t>
      </w:r>
      <w:r>
        <w:rPr>
          <w:rFonts w:hint="default" w:ascii="Times New Roman" w:hAnsi="Times New Roman" w:eastAsia="仿宋_GB2312" w:cs="Times New Roman"/>
          <w:color w:val="auto"/>
          <w:sz w:val="32"/>
          <w:szCs w:val="32"/>
          <w:highlight w:val="none"/>
          <w:lang w:eastAsia="zh-CN"/>
        </w:rPr>
        <w:t>中心、区社会救助服务中心</w:t>
      </w:r>
      <w:r>
        <w:rPr>
          <w:rFonts w:hint="eastAsia" w:ascii="Times New Roman" w:hAnsi="Times New Roman" w:eastAsia="仿宋_GB2312" w:cs="Times New Roman"/>
          <w:color w:val="auto"/>
          <w:sz w:val="32"/>
          <w:szCs w:val="32"/>
          <w:highlight w:val="none"/>
          <w:lang w:eastAsia="zh-CN"/>
        </w:rPr>
        <w:t>，这四个单位均未独立预算。</w:t>
      </w:r>
    </w:p>
    <w:p w14:paraId="178BECB9">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三、收支预算情况说明</w:t>
      </w:r>
    </w:p>
    <w:p w14:paraId="437E8CD2">
      <w:pPr>
        <w:keepNext w:val="0"/>
        <w:keepLines w:val="0"/>
        <w:pageBreakBefore w:val="0"/>
        <w:widowControl w:val="0"/>
        <w:kinsoku/>
        <w:wordWrap/>
        <w:overflowPunct/>
        <w:topLinePunct w:val="0"/>
        <w:autoSpaceDE/>
        <w:autoSpaceDN/>
        <w:bidi w:val="0"/>
        <w:adjustRightInd/>
        <w:snapToGrid/>
        <w:spacing w:line="576" w:lineRule="exact"/>
        <w:ind w:left="0" w:firstLine="640" w:firstLineChars="200"/>
        <w:jc w:val="both"/>
        <w:textAlignment w:val="auto"/>
        <w:rPr>
          <w:rFonts w:hint="eastAsia" w:ascii="Times New Roman" w:hAnsi="Times New Roman" w:eastAsia="仿宋_GB2312" w:cs="仿宋_GB2312"/>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按照综合预算的原则，区民政局所有收入和支出均纳入部门</w:t>
      </w:r>
      <w:r>
        <w:rPr>
          <w:rFonts w:hint="eastAsia" w:ascii="仿宋_GB2312" w:hAnsi="仿宋_GB2312" w:eastAsia="仿宋_GB2312" w:cs="仿宋_GB2312"/>
          <w:color w:val="auto"/>
          <w:sz w:val="32"/>
          <w:szCs w:val="32"/>
          <w:highlight w:val="none"/>
          <w:lang w:val="en-US" w:eastAsia="zh-CN"/>
        </w:rPr>
        <w:t>预算管理。收入包括：</w:t>
      </w:r>
      <w:r>
        <w:rPr>
          <w:rFonts w:hint="eastAsia" w:ascii="Times New Roman" w:hAnsi="Times New Roman" w:eastAsia="仿宋_GB2312" w:cs="仿宋_GB2312"/>
          <w:color w:val="auto"/>
          <w:sz w:val="32"/>
          <w:szCs w:val="32"/>
          <w:highlight w:val="none"/>
          <w:lang w:val="en-US" w:eastAsia="zh-CN"/>
        </w:rPr>
        <w:t>一般公共预算拨款收入、上年结转；支出包括：社会保障和就业支出、卫生健康支出、住房保障支出。区民政局2025年收支总预算6726.46万元,比2024年收支预算总数增加811.99万元，主要原因是</w:t>
      </w:r>
      <w:r>
        <w:rPr>
          <w:rFonts w:hint="default" w:ascii="Times New Roman" w:hAnsi="Times New Roman" w:eastAsia="仿宋_GB2312" w:cs="仿宋_GB2312"/>
          <w:color w:val="auto"/>
          <w:sz w:val="32"/>
          <w:szCs w:val="32"/>
          <w:highlight w:val="none"/>
          <w:lang w:val="en-US" w:eastAsia="zh-CN"/>
        </w:rPr>
        <w:t>十大救助涉及我区的城乡低保、临时救助以及高龄补贴预算、养老服务机构临聘人员经费。</w:t>
      </w:r>
    </w:p>
    <w:p w14:paraId="191BCE6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（一）收入预算情况</w:t>
      </w:r>
    </w:p>
    <w:p w14:paraId="7E171FD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区民政局</w:t>
      </w:r>
      <w:r>
        <w:rPr>
          <w:rFonts w:hint="eastAsia" w:ascii="仿宋_GB2312" w:hAnsi="仿宋_GB2312" w:eastAsia="仿宋_GB2312" w:cs="仿宋_GB2312"/>
          <w:color w:val="auto"/>
          <w:sz w:val="32"/>
          <w:szCs w:val="32"/>
          <w:highlight w:val="none"/>
          <w:lang w:val="en-US" w:eastAsia="zh-CN"/>
        </w:rPr>
        <w:t>2025年收入预算</w:t>
      </w:r>
      <w:r>
        <w:rPr>
          <w:rFonts w:hint="eastAsia" w:ascii="Times New Roman" w:hAnsi="Times New Roman" w:eastAsia="仿宋_GB2312" w:cs="仿宋_GB2312"/>
          <w:color w:val="auto"/>
          <w:sz w:val="32"/>
          <w:szCs w:val="32"/>
          <w:highlight w:val="none"/>
          <w:lang w:val="en-US" w:eastAsia="zh-CN"/>
        </w:rPr>
        <w:t>6726.46万元</w:t>
      </w:r>
      <w:r>
        <w:rPr>
          <w:rFonts w:hint="eastAsia" w:ascii="仿宋_GB2312" w:hAnsi="仿宋_GB2312" w:eastAsia="仿宋_GB2312" w:cs="仿宋_GB2312"/>
          <w:color w:val="auto"/>
          <w:sz w:val="32"/>
          <w:szCs w:val="32"/>
          <w:highlight w:val="none"/>
          <w:lang w:val="en-US" w:eastAsia="zh-CN"/>
        </w:rPr>
        <w:t>，其中：一般公共预算拨款收入</w:t>
      </w:r>
      <w:r>
        <w:rPr>
          <w:rFonts w:hint="eastAsia" w:ascii="Times New Roman" w:hAnsi="Times New Roman" w:eastAsia="仿宋_GB2312" w:cs="仿宋_GB2312"/>
          <w:color w:val="auto"/>
          <w:sz w:val="32"/>
          <w:szCs w:val="32"/>
          <w:highlight w:val="none"/>
          <w:lang w:val="en-US" w:eastAsia="zh-CN"/>
        </w:rPr>
        <w:t>6726.46</w:t>
      </w:r>
      <w:r>
        <w:rPr>
          <w:rFonts w:hint="eastAsia" w:ascii="仿宋_GB2312" w:hAnsi="仿宋_GB2312" w:eastAsia="仿宋_GB2312" w:cs="仿宋_GB2312"/>
          <w:color w:val="auto"/>
          <w:sz w:val="32"/>
          <w:szCs w:val="32"/>
          <w:highlight w:val="none"/>
          <w:lang w:val="en-US" w:eastAsia="zh-CN"/>
        </w:rPr>
        <w:t>万元，占100%。</w:t>
      </w:r>
    </w:p>
    <w:p w14:paraId="6BBB527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（二）支出预算情况</w:t>
      </w:r>
    </w:p>
    <w:p w14:paraId="5E7ADFA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仿宋_GB2312"/>
          <w:color w:val="auto"/>
          <w:sz w:val="32"/>
          <w:szCs w:val="32"/>
          <w:highlight w:val="none"/>
          <w:lang w:val="en-US" w:eastAsia="zh-CN"/>
        </w:rPr>
      </w:pP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区民政局</w:t>
      </w:r>
      <w:r>
        <w:rPr>
          <w:rFonts w:hint="eastAsia" w:ascii="仿宋_GB2312" w:hAnsi="仿宋_GB2312" w:eastAsia="仿宋_GB2312" w:cs="仿宋_GB2312"/>
          <w:color w:val="auto"/>
          <w:sz w:val="32"/>
          <w:szCs w:val="32"/>
          <w:highlight w:val="none"/>
          <w:lang w:val="en-US" w:eastAsia="zh-CN"/>
        </w:rPr>
        <w:t>2025年支出预算</w:t>
      </w:r>
      <w:r>
        <w:rPr>
          <w:rFonts w:hint="eastAsia" w:ascii="Times New Roman" w:hAnsi="Times New Roman" w:eastAsia="仿宋_GB2312" w:cs="仿宋_GB2312"/>
          <w:color w:val="auto"/>
          <w:sz w:val="32"/>
          <w:szCs w:val="32"/>
          <w:highlight w:val="none"/>
          <w:lang w:val="en-US" w:eastAsia="zh-CN"/>
        </w:rPr>
        <w:t>6726.46</w:t>
      </w:r>
      <w:r>
        <w:rPr>
          <w:rFonts w:hint="eastAsia" w:ascii="仿宋_GB2312" w:hAnsi="仿宋_GB2312" w:eastAsia="仿宋_GB2312" w:cs="仿宋_GB2312"/>
          <w:color w:val="auto"/>
          <w:sz w:val="32"/>
          <w:szCs w:val="32"/>
          <w:highlight w:val="none"/>
          <w:lang w:val="en-US" w:eastAsia="zh-CN"/>
        </w:rPr>
        <w:t>万元，其中</w:t>
      </w:r>
      <w:r>
        <w:rPr>
          <w:rFonts w:hint="eastAsia" w:ascii="Times New Roman" w:hAnsi="Times New Roman" w:eastAsia="仿宋_GB2312" w:cs="仿宋_GB2312"/>
          <w:color w:val="auto"/>
          <w:sz w:val="32"/>
          <w:szCs w:val="32"/>
          <w:highlight w:val="none"/>
          <w:lang w:val="en-US" w:eastAsia="zh-CN"/>
        </w:rPr>
        <w:t>：基本支出376.93万元，占5.61%；项目支出6349.53万元，占94.39%。</w:t>
      </w:r>
    </w:p>
    <w:p w14:paraId="02033B4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lang w:val="en-US" w:eastAsia="zh-CN"/>
        </w:rPr>
        <w:t>四、财政拨款收支预算情况说明</w:t>
      </w:r>
    </w:p>
    <w:p w14:paraId="3AF60A6A">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区民政局</w:t>
      </w:r>
      <w:r>
        <w:rPr>
          <w:rFonts w:hint="eastAsia" w:ascii="仿宋_GB2312" w:hAnsi="仿宋_GB2312" w:eastAsia="仿宋_GB2312" w:cs="仿宋_GB2312"/>
          <w:color w:val="auto"/>
          <w:sz w:val="32"/>
          <w:szCs w:val="32"/>
          <w:highlight w:val="none"/>
          <w:lang w:val="en-US" w:eastAsia="zh-CN"/>
        </w:rPr>
        <w:t>2054年财政拨款收支预算总数</w:t>
      </w:r>
      <w:r>
        <w:rPr>
          <w:rFonts w:hint="eastAsia" w:ascii="Times New Roman" w:hAnsi="Times New Roman" w:eastAsia="仿宋_GB2312" w:cs="仿宋_GB2312"/>
          <w:color w:val="auto"/>
          <w:sz w:val="32"/>
          <w:szCs w:val="32"/>
          <w:highlight w:val="none"/>
          <w:lang w:val="en-US" w:eastAsia="zh-CN"/>
        </w:rPr>
        <w:t>6726.46</w:t>
      </w:r>
      <w:r>
        <w:rPr>
          <w:rFonts w:hint="eastAsia" w:ascii="仿宋_GB2312" w:hAnsi="仿宋_GB2312" w:eastAsia="仿宋_GB2312" w:cs="仿宋_GB2312"/>
          <w:color w:val="auto"/>
          <w:sz w:val="32"/>
          <w:szCs w:val="32"/>
          <w:highlight w:val="none"/>
          <w:lang w:val="en-US" w:eastAsia="zh-CN"/>
        </w:rPr>
        <w:t>万元,比2024年收支预算总数增加</w:t>
      </w:r>
      <w:r>
        <w:rPr>
          <w:rFonts w:hint="eastAsia" w:ascii="Times New Roman" w:hAnsi="Times New Roman" w:eastAsia="仿宋_GB2312" w:cs="仿宋_GB2312"/>
          <w:color w:val="auto"/>
          <w:sz w:val="32"/>
          <w:szCs w:val="32"/>
          <w:highlight w:val="none"/>
          <w:lang w:val="en-US" w:eastAsia="zh-CN"/>
        </w:rPr>
        <w:t>811.99</w:t>
      </w:r>
      <w:r>
        <w:rPr>
          <w:rFonts w:hint="eastAsia" w:ascii="仿宋_GB2312" w:hAnsi="仿宋_GB2312" w:eastAsia="仿宋_GB2312" w:cs="仿宋_GB2312"/>
          <w:color w:val="auto"/>
          <w:sz w:val="32"/>
          <w:szCs w:val="32"/>
          <w:highlight w:val="none"/>
          <w:lang w:val="en-US" w:eastAsia="zh-CN"/>
        </w:rPr>
        <w:t>万元，</w:t>
      </w:r>
      <w:r>
        <w:rPr>
          <w:rFonts w:hint="eastAsia" w:ascii="Times New Roman" w:hAnsi="Times New Roman" w:eastAsia="仿宋_GB2312" w:cs="仿宋_GB2312"/>
          <w:color w:val="auto"/>
          <w:sz w:val="32"/>
          <w:szCs w:val="32"/>
          <w:highlight w:val="none"/>
          <w:lang w:val="en-US" w:eastAsia="zh-CN"/>
        </w:rPr>
        <w:t>主要原因是</w:t>
      </w:r>
      <w:r>
        <w:rPr>
          <w:rFonts w:hint="default" w:ascii="Times New Roman" w:hAnsi="Times New Roman" w:eastAsia="仿宋_GB2312" w:cs="仿宋_GB2312"/>
          <w:color w:val="auto"/>
          <w:sz w:val="32"/>
          <w:szCs w:val="32"/>
          <w:highlight w:val="none"/>
          <w:lang w:val="en-US" w:eastAsia="zh-CN"/>
        </w:rPr>
        <w:t>十大救助涉及我区的城乡低保</w:t>
      </w:r>
      <w:r>
        <w:rPr>
          <w:rFonts w:hint="eastAsia" w:ascii="Times New Roman" w:hAnsi="Times New Roman" w:eastAsia="仿宋_GB2312" w:cs="仿宋_GB2312"/>
          <w:color w:val="auto"/>
          <w:sz w:val="32"/>
          <w:szCs w:val="32"/>
          <w:highlight w:val="none"/>
          <w:lang w:val="en-US" w:eastAsia="zh-CN"/>
        </w:rPr>
        <w:t>、特困供养提标和动态调整，殡葬领域专项整治后增加预算，新增</w:t>
      </w:r>
      <w:r>
        <w:rPr>
          <w:rFonts w:hint="default" w:ascii="Times New Roman" w:hAnsi="Times New Roman" w:eastAsia="仿宋_GB2312" w:cs="仿宋_GB2312"/>
          <w:color w:val="auto"/>
          <w:sz w:val="32"/>
          <w:szCs w:val="32"/>
          <w:highlight w:val="none"/>
          <w:lang w:val="en-US" w:eastAsia="zh-CN"/>
        </w:rPr>
        <w:t>养老机构</w:t>
      </w:r>
      <w:r>
        <w:rPr>
          <w:rFonts w:hint="eastAsia" w:ascii="Times New Roman" w:hAnsi="Times New Roman" w:eastAsia="仿宋_GB2312" w:cs="仿宋_GB2312"/>
          <w:color w:val="auto"/>
          <w:sz w:val="32"/>
          <w:szCs w:val="32"/>
          <w:highlight w:val="none"/>
          <w:lang w:val="en-US" w:eastAsia="zh-CN"/>
        </w:rPr>
        <w:t>运行</w:t>
      </w:r>
      <w:r>
        <w:rPr>
          <w:rFonts w:hint="default" w:ascii="Times New Roman" w:hAnsi="Times New Roman" w:eastAsia="仿宋_GB2312" w:cs="仿宋_GB2312"/>
          <w:color w:val="auto"/>
          <w:sz w:val="32"/>
          <w:szCs w:val="32"/>
          <w:highlight w:val="none"/>
          <w:lang w:val="en-US" w:eastAsia="zh-CN"/>
        </w:rPr>
        <w:t>经费。</w:t>
      </w:r>
    </w:p>
    <w:p w14:paraId="7B6F66F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收入包括：本年一般公共预算拨款收入</w:t>
      </w:r>
      <w:r>
        <w:rPr>
          <w:rFonts w:hint="eastAsia" w:ascii="Times New Roman" w:hAnsi="Times New Roman" w:eastAsia="仿宋_GB2312" w:cs="仿宋_GB2312"/>
          <w:color w:val="auto"/>
          <w:sz w:val="32"/>
          <w:szCs w:val="32"/>
          <w:highlight w:val="none"/>
          <w:lang w:val="en-US" w:eastAsia="zh-CN"/>
        </w:rPr>
        <w:t>6726.46</w:t>
      </w:r>
      <w:r>
        <w:rPr>
          <w:rFonts w:hint="eastAsia" w:ascii="仿宋_GB2312" w:hAnsi="仿宋_GB2312" w:eastAsia="仿宋_GB2312" w:cs="仿宋_GB2312"/>
          <w:color w:val="auto"/>
          <w:sz w:val="32"/>
          <w:szCs w:val="32"/>
          <w:highlight w:val="none"/>
          <w:lang w:val="en-US" w:eastAsia="zh-CN"/>
        </w:rPr>
        <w:t>万元、政府性基金预算拨款收入0万元；支出包括：社会保障和就业支出6604.2万元、卫生健康支出94.12万元、住房保障支出28.14万元。</w:t>
      </w:r>
    </w:p>
    <w:p w14:paraId="7A5FE02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五、一般公共预算当年拨款情况说明</w:t>
      </w:r>
    </w:p>
    <w:p w14:paraId="218B602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（一）一般公共预算当年拨款规模变化情况</w:t>
      </w:r>
    </w:p>
    <w:p w14:paraId="35E47B56">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区民政局</w:t>
      </w:r>
      <w:r>
        <w:rPr>
          <w:rFonts w:hint="eastAsia" w:ascii="仿宋_GB2312" w:hAnsi="仿宋_GB2312" w:eastAsia="仿宋_GB2312" w:cs="仿宋_GB2312"/>
          <w:color w:val="auto"/>
          <w:sz w:val="32"/>
          <w:szCs w:val="32"/>
          <w:highlight w:val="none"/>
          <w:lang w:val="en-US" w:eastAsia="zh-CN"/>
        </w:rPr>
        <w:t>2025年财政拨款收支预算总数</w:t>
      </w:r>
      <w:r>
        <w:rPr>
          <w:rFonts w:hint="eastAsia" w:ascii="Times New Roman" w:hAnsi="Times New Roman" w:eastAsia="仿宋_GB2312" w:cs="仿宋_GB2312"/>
          <w:color w:val="auto"/>
          <w:sz w:val="32"/>
          <w:szCs w:val="32"/>
          <w:highlight w:val="none"/>
          <w:lang w:val="en-US" w:eastAsia="zh-CN"/>
        </w:rPr>
        <w:t>6726.46</w:t>
      </w:r>
      <w:r>
        <w:rPr>
          <w:rFonts w:hint="eastAsia" w:ascii="仿宋_GB2312" w:hAnsi="仿宋_GB2312" w:eastAsia="仿宋_GB2312" w:cs="仿宋_GB2312"/>
          <w:color w:val="auto"/>
          <w:sz w:val="32"/>
          <w:szCs w:val="32"/>
          <w:highlight w:val="none"/>
          <w:lang w:val="en-US" w:eastAsia="zh-CN"/>
        </w:rPr>
        <w:t>万元,比2024年收支预算总数增加</w:t>
      </w:r>
      <w:r>
        <w:rPr>
          <w:rFonts w:hint="eastAsia" w:ascii="Times New Roman" w:hAnsi="Times New Roman" w:eastAsia="仿宋_GB2312" w:cs="仿宋_GB2312"/>
          <w:color w:val="auto"/>
          <w:sz w:val="32"/>
          <w:szCs w:val="32"/>
          <w:highlight w:val="none"/>
          <w:lang w:val="en-US" w:eastAsia="zh-CN"/>
        </w:rPr>
        <w:t>811.99</w:t>
      </w:r>
      <w:r>
        <w:rPr>
          <w:rFonts w:hint="eastAsia" w:ascii="仿宋_GB2312" w:hAnsi="仿宋_GB2312" w:eastAsia="仿宋_GB2312" w:cs="仿宋_GB2312"/>
          <w:color w:val="auto"/>
          <w:sz w:val="32"/>
          <w:szCs w:val="32"/>
          <w:highlight w:val="none"/>
          <w:lang w:val="en-US" w:eastAsia="zh-CN"/>
        </w:rPr>
        <w:t>万元，</w:t>
      </w:r>
      <w:r>
        <w:rPr>
          <w:rFonts w:hint="eastAsia" w:ascii="Times New Roman" w:hAnsi="Times New Roman" w:eastAsia="仿宋_GB2312" w:cs="仿宋_GB2312"/>
          <w:color w:val="auto"/>
          <w:sz w:val="32"/>
          <w:szCs w:val="32"/>
          <w:highlight w:val="none"/>
          <w:lang w:val="en-US" w:eastAsia="zh-CN"/>
        </w:rPr>
        <w:t>主要原因是</w:t>
      </w:r>
      <w:r>
        <w:rPr>
          <w:rFonts w:hint="default" w:ascii="Times New Roman" w:hAnsi="Times New Roman" w:eastAsia="仿宋_GB2312" w:cs="仿宋_GB2312"/>
          <w:color w:val="auto"/>
          <w:sz w:val="32"/>
          <w:szCs w:val="32"/>
          <w:highlight w:val="none"/>
          <w:lang w:val="en-US" w:eastAsia="zh-CN"/>
        </w:rPr>
        <w:t>十大救助涉及我区的城乡低保</w:t>
      </w:r>
      <w:r>
        <w:rPr>
          <w:rFonts w:hint="eastAsia" w:ascii="Times New Roman" w:hAnsi="Times New Roman" w:eastAsia="仿宋_GB2312" w:cs="仿宋_GB2312"/>
          <w:color w:val="auto"/>
          <w:sz w:val="32"/>
          <w:szCs w:val="32"/>
          <w:highlight w:val="none"/>
          <w:lang w:val="en-US" w:eastAsia="zh-CN"/>
        </w:rPr>
        <w:t>、特困供养提标和动态调整，殡葬领域专项整治后增加预算，新增</w:t>
      </w:r>
      <w:r>
        <w:rPr>
          <w:rFonts w:hint="default" w:ascii="Times New Roman" w:hAnsi="Times New Roman" w:eastAsia="仿宋_GB2312" w:cs="仿宋_GB2312"/>
          <w:color w:val="auto"/>
          <w:sz w:val="32"/>
          <w:szCs w:val="32"/>
          <w:highlight w:val="none"/>
          <w:lang w:val="en-US" w:eastAsia="zh-CN"/>
        </w:rPr>
        <w:t>养老</w:t>
      </w:r>
      <w:r>
        <w:rPr>
          <w:rFonts w:hint="eastAsia" w:ascii="Times New Roman" w:hAnsi="Times New Roman" w:eastAsia="仿宋_GB2312" w:cs="仿宋_GB2312"/>
          <w:color w:val="auto"/>
          <w:sz w:val="32"/>
          <w:szCs w:val="32"/>
          <w:highlight w:val="none"/>
          <w:lang w:val="en-US" w:eastAsia="zh-CN"/>
        </w:rPr>
        <w:t>机构运行</w:t>
      </w:r>
      <w:r>
        <w:rPr>
          <w:rFonts w:hint="default" w:ascii="Times New Roman" w:hAnsi="Times New Roman" w:eastAsia="仿宋_GB2312" w:cs="仿宋_GB2312"/>
          <w:color w:val="auto"/>
          <w:sz w:val="32"/>
          <w:szCs w:val="32"/>
          <w:highlight w:val="none"/>
          <w:lang w:val="en-US" w:eastAsia="zh-CN"/>
        </w:rPr>
        <w:t>经费。</w:t>
      </w:r>
    </w:p>
    <w:p w14:paraId="3ABF109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（二）一般公共预算当年拨款结构情况</w:t>
      </w:r>
    </w:p>
    <w:p w14:paraId="2420937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社会保障和就业支出6604.2万元，占99.83%；卫生健康支出94.12万元，占0.13%；住房保障支出28.14万元，占0.04%。</w:t>
      </w:r>
    </w:p>
    <w:p w14:paraId="49B6681A">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（三）一般公共预算当年拨款具体使用情况</w:t>
      </w:r>
    </w:p>
    <w:p w14:paraId="29797AE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1.社会保障和就业（类）民政管理事务（款）行政运行、事业运行共计</w:t>
      </w:r>
      <w:r>
        <w:rPr>
          <w:rFonts w:hint="eastAsia" w:ascii="Times New Roman" w:hAnsi="Times New Roman" w:eastAsia="仿宋_GB2312" w:cs="仿宋_GB2312"/>
          <w:color w:val="auto"/>
          <w:sz w:val="32"/>
          <w:szCs w:val="32"/>
          <w:highlight w:val="none"/>
          <w:lang w:val="en-US" w:eastAsia="zh-CN"/>
        </w:rPr>
        <w:t>376.93</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万元，主要用于：人员的基本工资、绩效、目标奖励等支出，公用经费用于办公费、印刷费、水电费、公务接待等日常支出,保障部门正常运转。</w:t>
      </w:r>
    </w:p>
    <w:p w14:paraId="7828324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2.社会保障和就业（类）城乡最低生活保障金支出（款）2025年预算数为3473.6万元，主要用途：使我区城市农村低保对象基本生活得到有效保障。</w:t>
      </w:r>
    </w:p>
    <w:p w14:paraId="586902C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3.</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社会保障和就业（类）</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特困供养人员生活补助</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（款）</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1170.84万元，</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主要用于：</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我区农村特困供养人员生活护理补助</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w:t>
      </w:r>
    </w:p>
    <w:p w14:paraId="7ECD7F6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4.</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社会保障和就业（类）流浪乞讨人员救助</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（项）2025年预算数为</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20</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万元，主要用途：为生活无着落流浪乞讨人员提供临时食宿、疾病救治、协助返回等救助，并妥善安置返乡受助人员。对流浪未成年人提供特殊保护及教育矫治等专业服务，确保其健康成长。</w:t>
      </w:r>
    </w:p>
    <w:p w14:paraId="1BA8932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5.</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社会保障和就业（类）</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孤儿（含艾滋病儿童）、事实无人抚养儿童生活补助</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（项）2025年预算数为</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39.86</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万元，主要用途：适时提高孤儿生活保障水平，孤儿生活保障政策规范高效；使孤儿、艾滋病病毒感染儿童和事实无人抚养儿童的基本生活得到保障。</w:t>
      </w:r>
    </w:p>
    <w:p w14:paraId="2EAC0CC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6.</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社会保障和就业（类）</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80岁以上老年人高龄津贴</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（项）2025年预算数为</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285</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万元，主要用于：我区80岁以上老年人生活补贴。</w:t>
      </w:r>
    </w:p>
    <w:p w14:paraId="66D979B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default" w:ascii="Times New Roman" w:hAnsi="Times New Roman" w:cs="Times New Roman"/>
          <w:i w:val="0"/>
          <w:caps w:val="0"/>
          <w:color w:val="auto"/>
          <w:spacing w:val="0"/>
          <w:sz w:val="32"/>
          <w:szCs w:val="32"/>
          <w:highlight w:val="none"/>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7.</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社会保障和就业（类）</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困难老人集中供养及困难群众住院治疗期间的医疗救助和生活补助）</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（项）2025年预算数为</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80</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万元，主要用于：困难老人集中供养生活费，困难群众住院治疗期间医疗兜底保障及生活补助。</w:t>
      </w:r>
    </w:p>
    <w:p w14:paraId="2B11D50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default" w:ascii="Times New Roman" w:hAnsi="Times New Roman" w:cs="Times New Roman"/>
          <w:i w:val="0"/>
          <w:caps w:val="0"/>
          <w:color w:val="auto"/>
          <w:spacing w:val="0"/>
          <w:sz w:val="32"/>
          <w:szCs w:val="32"/>
          <w:highlight w:val="none"/>
          <w:lang w:val="en-US"/>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8.</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社会保障和就业（类）</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殡葬救助</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（项）2025年预算数为92万元，主要用于：广元市昭化区域内死亡并在广元市内各殡仪馆火化的户籍人员殡葬服务补贴。</w:t>
      </w:r>
    </w:p>
    <w:p w14:paraId="41DF22A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default" w:ascii="Times New Roman" w:hAnsi="Times New Roman" w:cs="Times New Roman"/>
          <w:i w:val="0"/>
          <w:caps w:val="0"/>
          <w:color w:val="auto"/>
          <w:spacing w:val="0"/>
          <w:sz w:val="32"/>
          <w:szCs w:val="32"/>
          <w:highlight w:val="none"/>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9.</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社会保障和就业（类）</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三残补助（项）2025年预算数为</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611.4</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万元</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，主要用于：困难残疾人生活补助、重度残疾人护理补贴。</w:t>
      </w:r>
    </w:p>
    <w:p w14:paraId="40FA559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10.</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社会保障和就业（类）</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社会救助补助</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（项）2025年预算数为</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82.32</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万元，主要用于：严重精神病患者监护人以奖代补费、因公致残人员生活补助、精简退职老职工生活补助、襄渝铁路民工生活补助、麻风人员生活补助、代缴区定困难群众医疗保险。</w:t>
      </w:r>
    </w:p>
    <w:p w14:paraId="0300FAF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default" w:ascii="Times New Roman" w:hAnsi="Times New Roman" w:cs="Times New Roman"/>
          <w:i w:val="0"/>
          <w:caps w:val="0"/>
          <w:color w:val="auto"/>
          <w:spacing w:val="0"/>
          <w:sz w:val="32"/>
          <w:szCs w:val="32"/>
          <w:highlight w:val="none"/>
        </w:rPr>
      </w:pP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11.</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卫生健康（类）行政事业单位医疗（款）行政单位医疗（项）202</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5</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年预算数为</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94.12</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万元，主要用于：</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特困人员医疗救助及</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机关及事业单位按规定由单位缴纳的基本医疗保险支出。</w:t>
      </w:r>
    </w:p>
    <w:p w14:paraId="6CA4307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default" w:ascii="Times New Roman" w:hAnsi="Times New Roman" w:cs="Times New Roman"/>
          <w:i w:val="0"/>
          <w:caps w:val="0"/>
          <w:color w:val="auto"/>
          <w:spacing w:val="0"/>
          <w:sz w:val="32"/>
          <w:szCs w:val="32"/>
          <w:highlight w:val="none"/>
        </w:rPr>
      </w:pP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1</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2.</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住房保障（类）住房改革支出（款）住房公积金（项）202</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5</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年预算数为</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28.14</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万元，主要用于：部门按规定为职工缴纳的住房公积金支出。</w:t>
      </w:r>
    </w:p>
    <w:p w14:paraId="6E6B6EC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lang w:val="en-US" w:eastAsia="zh-CN"/>
        </w:rPr>
        <w:t>六、一般公共预算基本支出情况说明</w:t>
      </w:r>
    </w:p>
    <w:p w14:paraId="7067357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区民政局2025年一般公共预算基本支出</w:t>
      </w:r>
      <w:r>
        <w:rPr>
          <w:rFonts w:hint="eastAsia" w:ascii="Times New Roman" w:hAnsi="Times New Roman" w:eastAsia="仿宋_GB2312" w:cs="仿宋_GB2312"/>
          <w:color w:val="auto"/>
          <w:sz w:val="32"/>
          <w:szCs w:val="32"/>
          <w:highlight w:val="none"/>
          <w:lang w:val="en-US" w:eastAsia="zh-CN"/>
        </w:rPr>
        <w:t>376.92万元</w:t>
      </w:r>
      <w:r>
        <w:rPr>
          <w:rFonts w:hint="eastAsia" w:ascii="仿宋_GB2312" w:hAnsi="仿宋_GB2312" w:eastAsia="仿宋_GB2312" w:cs="仿宋_GB2312"/>
          <w:color w:val="auto"/>
          <w:sz w:val="32"/>
          <w:szCs w:val="32"/>
          <w:highlight w:val="none"/>
          <w:lang w:val="en-US" w:eastAsia="zh-CN"/>
        </w:rPr>
        <w:t>，其中：</w:t>
      </w:r>
    </w:p>
    <w:p w14:paraId="1F9F010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人员经费335.4万元，主要包括：基本工资、津贴补贴、奖金、社会保险缴费、住房公积金、退休人员经费等支出。</w:t>
      </w:r>
    </w:p>
    <w:p w14:paraId="6DDB149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公用经费41.52万元，主要包括：办公费、印刷费、水费、电费、邮电费、物业管理费、差旅费、公务接待费、工会经费、公务交通补贴、其他交通费用等支出。</w:t>
      </w:r>
    </w:p>
    <w:p w14:paraId="478C8C0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lang w:val="en-US" w:eastAsia="zh-CN"/>
        </w:rPr>
        <w:t>七、“三公”经费财政拨款预算安排情况说明</w:t>
      </w:r>
    </w:p>
    <w:p w14:paraId="04D966B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Autospacing="0" w:line="576" w:lineRule="exact"/>
        <w:ind w:left="0" w:right="0" w:firstLine="640" w:firstLineChars="200"/>
        <w:jc w:val="both"/>
        <w:textAlignment w:val="auto"/>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color w:val="auto"/>
          <w:sz w:val="32"/>
          <w:szCs w:val="32"/>
          <w:highlight w:val="none"/>
          <w:lang w:val="en-US" w:eastAsia="zh-CN"/>
        </w:rPr>
        <w:t>区民政局2025年“三公”经费财政拨款预算数0.5万元，其中：公务接待费0.5万元，</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公务用车购置及运行维护费</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0</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万元</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202</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5年本单位无公务用车购置及运行维护费预算）</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，因公出国（境）经费</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0</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万元</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202</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5年本单位无因公出国（境）经费预算）。</w:t>
      </w:r>
    </w:p>
    <w:p w14:paraId="3DE0A59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（一）公务接待费</w:t>
      </w:r>
    </w:p>
    <w:p w14:paraId="5F47A79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default" w:ascii="仿宋_GB2312" w:hAnsi="Times New Roman"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公务接待费与2025年预算相比持平，主要原因是单位延续厉行节俭，接待考察调研、检查指导等公务活动开支的交通费、住宿费、用餐费减少。</w:t>
      </w:r>
    </w:p>
    <w:p w14:paraId="5EEB00F9">
      <w:pPr>
        <w:keepNext w:val="0"/>
        <w:keepLines w:val="0"/>
        <w:pageBreakBefore w:val="0"/>
        <w:widowControl w:val="0"/>
        <w:numPr>
          <w:ilvl w:val="0"/>
          <w:numId w:val="1"/>
        </w:numPr>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公务用车购置及运行维护费</w:t>
      </w:r>
    </w:p>
    <w:p w14:paraId="6954037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default" w:ascii="仿宋_GB2312" w:hAnsi="Times New Roman"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公务用车购置及维护费与2024年持平。</w:t>
      </w:r>
    </w:p>
    <w:p w14:paraId="45FFC7B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w:t>
      </w:r>
      <w:r>
        <w:rPr>
          <w:rFonts w:hint="eastAsia" w:ascii="楷体_GB2312" w:hAnsi="楷体_GB2312" w:eastAsia="楷体_GB2312" w:cs="楷体_GB2312"/>
          <w:color w:val="auto"/>
          <w:sz w:val="32"/>
          <w:szCs w:val="32"/>
          <w:highlight w:val="none"/>
          <w:lang w:val="en-US" w:eastAsia="zh-CN"/>
        </w:rPr>
        <w:t>三）因公出国（境）经费</w:t>
      </w:r>
    </w:p>
    <w:p w14:paraId="48C5DC7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default" w:ascii="仿宋_GB2312" w:hAnsi="Times New Roman"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因公出国（境）经费与</w:t>
      </w:r>
      <w:r>
        <w:rPr>
          <w:rFonts w:hint="eastAsia" w:ascii="仿宋_GB2312" w:hAnsi="仿宋_GB2312" w:eastAsia="仿宋_GB2312" w:cs="仿宋_GB2312"/>
          <w:color w:val="auto"/>
          <w:sz w:val="32"/>
          <w:szCs w:val="32"/>
          <w:highlight w:val="none"/>
          <w:lang w:val="en-US" w:eastAsia="zh-CN"/>
        </w:rPr>
        <w:t>2024</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年预算持平。</w:t>
      </w:r>
    </w:p>
    <w:p w14:paraId="5BCB5EE7">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八、政府性基金预算支出情况说明</w:t>
      </w:r>
    </w:p>
    <w:p w14:paraId="305C65F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区民政局2025年无政府性基金预算拨款安排的支出。</w:t>
      </w:r>
    </w:p>
    <w:p w14:paraId="30D32C7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九、国有资本经营预算支出情况说明</w:t>
      </w:r>
    </w:p>
    <w:p w14:paraId="519F0A60">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区民政局2025年无国有资本经营预算拨款安排的支出。</w:t>
      </w:r>
    </w:p>
    <w:p w14:paraId="08A6891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lang w:val="en-US" w:eastAsia="zh-CN"/>
        </w:rPr>
        <w:t>十、其他重要事项的情况说明</w:t>
      </w:r>
    </w:p>
    <w:p w14:paraId="6C6DE21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（一）机关运行经费</w:t>
      </w:r>
    </w:p>
    <w:p w14:paraId="34D87BC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2025年，机关运行经费财政拨款预算为71.5万元，比2024年预算减少2.5万元，减少4%。主要原因：单位历行节检，减少开支。</w:t>
      </w:r>
    </w:p>
    <w:p w14:paraId="2F98BAF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（二）政府采购情况</w:t>
      </w:r>
    </w:p>
    <w:p w14:paraId="6231272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color w:val="auto"/>
          <w:sz w:val="32"/>
          <w:szCs w:val="32"/>
          <w:highlight w:val="none"/>
          <w:lang w:val="en-US" w:eastAsia="zh-CN"/>
        </w:rPr>
        <w:t>2025年，</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区民政局</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安排政府采购预算</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0</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万元。</w:t>
      </w:r>
    </w:p>
    <w:p w14:paraId="6E1546B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（三）国有资产占有使用情况</w:t>
      </w:r>
    </w:p>
    <w:p w14:paraId="7CFF35C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pPr>
      <w:r>
        <w:rPr>
          <w:rFonts w:hint="eastAsia" w:ascii="仿宋_GB2312" w:hAnsi="仿宋_GB2312" w:eastAsia="仿宋_GB2312" w:cs="仿宋_GB2312"/>
          <w:color w:val="auto"/>
          <w:sz w:val="32"/>
          <w:szCs w:val="32"/>
          <w:highlight w:val="none"/>
          <w:lang w:val="en-US" w:eastAsia="zh-CN"/>
        </w:rPr>
        <w:t>截至2024年底，</w:t>
      </w: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区民政局共有车辆0辆。</w:t>
      </w:r>
    </w:p>
    <w:p w14:paraId="723C24ED">
      <w:pPr>
        <w:pStyle w:val="3"/>
        <w:rPr>
          <w:rFonts w:hint="default"/>
          <w:color w:val="auto"/>
          <w:highlight w:val="none"/>
          <w:lang w:val="en-US" w:eastAsia="zh-CN"/>
        </w:rPr>
      </w:pPr>
      <w:r>
        <w:rPr>
          <w:rFonts w:hint="eastAsia" w:ascii="仿宋_GB2312" w:hAnsi="Times New Roman" w:eastAsia="仿宋_GB2312" w:cs="仿宋_GB2312"/>
          <w:i w:val="0"/>
          <w:caps w:val="0"/>
          <w:color w:val="auto"/>
          <w:spacing w:val="0"/>
          <w:kern w:val="0"/>
          <w:sz w:val="32"/>
          <w:szCs w:val="32"/>
          <w:highlight w:val="none"/>
          <w:shd w:val="clear" w:color="auto" w:fill="FFFFFF"/>
          <w:lang w:val="en-US" w:eastAsia="zh-CN"/>
        </w:rPr>
        <w:t xml:space="preserve">    </w:t>
      </w:r>
      <w:r>
        <w:rPr>
          <w:rFonts w:hint="eastAsia" w:ascii="仿宋_GB2312" w:hAnsi="仿宋_GB2312" w:eastAsia="仿宋_GB2312" w:cs="仿宋_GB2312"/>
          <w:color w:val="auto"/>
          <w:sz w:val="32"/>
          <w:szCs w:val="32"/>
          <w:highlight w:val="none"/>
          <w:lang w:val="en-US" w:eastAsia="zh-CN"/>
        </w:rPr>
        <w:t>2025年部门预算安排车辆购置经费0万元</w:t>
      </w:r>
    </w:p>
    <w:p w14:paraId="7552297C">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color w:val="auto"/>
          <w:sz w:val="32"/>
          <w:szCs w:val="32"/>
          <w:highlight w:val="none"/>
        </w:rPr>
      </w:pPr>
      <w:r>
        <w:rPr>
          <w:rFonts w:hint="eastAsia" w:ascii="楷体_GB2312" w:hAnsi="楷体_GB2312" w:eastAsia="楷体_GB2312" w:cs="楷体_GB2312"/>
          <w:color w:val="auto"/>
          <w:sz w:val="32"/>
          <w:szCs w:val="32"/>
          <w:highlight w:val="none"/>
          <w:lang w:val="en-US" w:eastAsia="zh-CN"/>
        </w:rPr>
        <w:t>（四）绩效目标设置情况</w:t>
      </w:r>
    </w:p>
    <w:p w14:paraId="13F0B91F">
      <w:pPr>
        <w:keepNext w:val="0"/>
        <w:keepLines w:val="0"/>
        <w:pageBreakBefore w:val="0"/>
        <w:widowControl/>
        <w:numPr>
          <w:ilvl w:val="0"/>
          <w:numId w:val="0"/>
        </w:numPr>
        <w:kinsoku/>
        <w:wordWrap/>
        <w:overflowPunct/>
        <w:topLinePunct w:val="0"/>
        <w:autoSpaceDE/>
        <w:autoSpaceDN/>
        <w:bidi w:val="0"/>
        <w:adjustRightInd/>
        <w:snapToGrid/>
        <w:spacing w:line="576"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default" w:ascii="Times New Roman" w:hAnsi="Times New Roman" w:eastAsia="仿宋_GB2312" w:cs="Times New Roman"/>
          <w:b w:val="0"/>
          <w:bCs w:val="0"/>
          <w:color w:val="000000"/>
          <w:sz w:val="32"/>
          <w:szCs w:val="32"/>
          <w:lang w:val="en-US" w:eastAsia="zh-CN"/>
        </w:rPr>
        <w:t>202</w:t>
      </w:r>
      <w:r>
        <w:rPr>
          <w:rFonts w:hint="eastAsia" w:ascii="Times New Roman" w:hAnsi="Times New Roman" w:eastAsia="仿宋_GB2312" w:cs="Times New Roman"/>
          <w:b w:val="0"/>
          <w:bCs w:val="0"/>
          <w:color w:val="000000"/>
          <w:sz w:val="32"/>
          <w:szCs w:val="32"/>
          <w:lang w:val="en-US" w:eastAsia="zh-CN"/>
        </w:rPr>
        <w:t>5</w:t>
      </w:r>
      <w:r>
        <w:rPr>
          <w:rFonts w:hint="default" w:ascii="Times New Roman" w:hAnsi="Times New Roman" w:eastAsia="仿宋_GB2312" w:cs="Times New Roman"/>
          <w:b w:val="0"/>
          <w:bCs w:val="0"/>
          <w:color w:val="000000"/>
          <w:sz w:val="32"/>
          <w:szCs w:val="32"/>
          <w:lang w:val="en-US" w:eastAsia="zh-CN"/>
        </w:rPr>
        <w:t>年全面编制部门整体支出绩效目标、项目及政策支出绩效目标。一是编制项目及政策支出</w:t>
      </w:r>
      <w:r>
        <w:rPr>
          <w:rFonts w:hint="eastAsia" w:ascii="Times New Roman" w:hAnsi="Times New Roman" w:eastAsia="仿宋_GB2312" w:cs="Times New Roman"/>
          <w:b w:val="0"/>
          <w:bCs w:val="0"/>
          <w:color w:val="000000"/>
          <w:sz w:val="32"/>
          <w:szCs w:val="32"/>
          <w:lang w:val="en-US" w:eastAsia="zh-CN"/>
        </w:rPr>
        <w:t>19</w:t>
      </w:r>
      <w:r>
        <w:rPr>
          <w:rFonts w:hint="default" w:ascii="Times New Roman" w:hAnsi="Times New Roman" w:eastAsia="仿宋_GB2312" w:cs="Times New Roman"/>
          <w:b w:val="0"/>
          <w:bCs w:val="0"/>
          <w:color w:val="000000"/>
          <w:sz w:val="32"/>
          <w:szCs w:val="32"/>
          <w:lang w:val="en-US" w:eastAsia="zh-CN"/>
        </w:rPr>
        <w:t>个，预算资金</w:t>
      </w:r>
      <w:r>
        <w:rPr>
          <w:rFonts w:hint="eastAsia" w:ascii="Times New Roman" w:hAnsi="Times New Roman" w:eastAsia="仿宋_GB2312" w:cs="Times New Roman"/>
          <w:b w:val="0"/>
          <w:bCs w:val="0"/>
          <w:color w:val="000000"/>
          <w:sz w:val="32"/>
          <w:szCs w:val="32"/>
          <w:lang w:val="en-US" w:eastAsia="zh-CN"/>
        </w:rPr>
        <w:t>6391.04</w:t>
      </w:r>
      <w:r>
        <w:rPr>
          <w:rFonts w:hint="default" w:ascii="Times New Roman" w:hAnsi="Times New Roman" w:eastAsia="仿宋_GB2312" w:cs="Times New Roman"/>
          <w:b w:val="0"/>
          <w:bCs w:val="0"/>
          <w:color w:val="000000"/>
          <w:sz w:val="32"/>
          <w:szCs w:val="32"/>
          <w:lang w:val="en-US" w:eastAsia="zh-CN"/>
        </w:rPr>
        <w:t>万元。其中：定额日常公用经费、其他公用经费（公务交通补贴）项目</w:t>
      </w:r>
      <w:r>
        <w:rPr>
          <w:rFonts w:hint="eastAsia" w:ascii="Times New Roman" w:hAnsi="Times New Roman" w:eastAsia="仿宋_GB2312" w:cs="Times New Roman"/>
          <w:b w:val="0"/>
          <w:bCs w:val="0"/>
          <w:color w:val="000000"/>
          <w:sz w:val="32"/>
          <w:szCs w:val="32"/>
          <w:lang w:val="en-US" w:eastAsia="zh-CN"/>
        </w:rPr>
        <w:t>2</w:t>
      </w:r>
      <w:r>
        <w:rPr>
          <w:rFonts w:hint="default" w:ascii="Times New Roman" w:hAnsi="Times New Roman" w:eastAsia="仿宋_GB2312" w:cs="Times New Roman"/>
          <w:b w:val="0"/>
          <w:bCs w:val="0"/>
          <w:color w:val="000000"/>
          <w:sz w:val="32"/>
          <w:szCs w:val="32"/>
          <w:lang w:val="en-US" w:eastAsia="zh-CN"/>
        </w:rPr>
        <w:t>个，涉及预算</w:t>
      </w:r>
      <w:r>
        <w:rPr>
          <w:rFonts w:hint="eastAsia" w:ascii="Times New Roman" w:hAnsi="Times New Roman" w:eastAsia="仿宋_GB2312" w:cs="Times New Roman"/>
          <w:b w:val="0"/>
          <w:bCs w:val="0"/>
          <w:color w:val="000000"/>
          <w:sz w:val="32"/>
          <w:szCs w:val="32"/>
          <w:lang w:val="en-US" w:eastAsia="zh-CN"/>
        </w:rPr>
        <w:t>41.53</w:t>
      </w:r>
      <w:r>
        <w:rPr>
          <w:rFonts w:hint="default" w:ascii="Times New Roman" w:hAnsi="Times New Roman" w:eastAsia="仿宋_GB2312" w:cs="Times New Roman"/>
          <w:b w:val="0"/>
          <w:bCs w:val="0"/>
          <w:color w:val="000000"/>
          <w:sz w:val="32"/>
          <w:szCs w:val="32"/>
          <w:lang w:val="en-US" w:eastAsia="zh-CN"/>
        </w:rPr>
        <w:t>万元；其他项目</w:t>
      </w:r>
      <w:r>
        <w:rPr>
          <w:rFonts w:hint="eastAsia" w:ascii="Times New Roman" w:hAnsi="Times New Roman" w:eastAsia="仿宋_GB2312" w:cs="Times New Roman"/>
          <w:b w:val="0"/>
          <w:bCs w:val="0"/>
          <w:color w:val="000000"/>
          <w:sz w:val="32"/>
          <w:szCs w:val="32"/>
          <w:lang w:val="en-US" w:eastAsia="zh-CN"/>
        </w:rPr>
        <w:t>17</w:t>
      </w:r>
      <w:r>
        <w:rPr>
          <w:rFonts w:hint="default" w:ascii="Times New Roman" w:hAnsi="Times New Roman" w:eastAsia="仿宋_GB2312" w:cs="Times New Roman"/>
          <w:b w:val="0"/>
          <w:bCs w:val="0"/>
          <w:color w:val="000000"/>
          <w:sz w:val="32"/>
          <w:szCs w:val="32"/>
          <w:lang w:val="en-US" w:eastAsia="zh-CN"/>
        </w:rPr>
        <w:t>个，涉及预算</w:t>
      </w:r>
      <w:r>
        <w:rPr>
          <w:rFonts w:hint="eastAsia" w:ascii="Times New Roman" w:hAnsi="Times New Roman" w:eastAsia="仿宋_GB2312" w:cs="Times New Roman"/>
          <w:b w:val="0"/>
          <w:bCs w:val="0"/>
          <w:color w:val="000000"/>
          <w:sz w:val="32"/>
          <w:szCs w:val="32"/>
          <w:lang w:val="en-US" w:eastAsia="zh-CN"/>
        </w:rPr>
        <w:t>6349.52</w:t>
      </w:r>
      <w:r>
        <w:rPr>
          <w:rFonts w:hint="default" w:ascii="Times New Roman" w:hAnsi="Times New Roman" w:eastAsia="仿宋_GB2312" w:cs="Times New Roman"/>
          <w:b w:val="0"/>
          <w:bCs w:val="0"/>
          <w:color w:val="000000"/>
          <w:sz w:val="32"/>
          <w:szCs w:val="32"/>
          <w:lang w:val="en-US" w:eastAsia="zh-CN"/>
        </w:rPr>
        <w:t>万元；二是编制部门整体支出绩效目标1个，涉及预算金额</w:t>
      </w:r>
      <w:r>
        <w:rPr>
          <w:rFonts w:hint="eastAsia" w:ascii="Times New Roman" w:hAnsi="Times New Roman" w:eastAsia="仿宋_GB2312" w:cs="Times New Roman"/>
          <w:b w:val="0"/>
          <w:bCs w:val="0"/>
          <w:color w:val="000000"/>
          <w:sz w:val="32"/>
          <w:szCs w:val="32"/>
          <w:lang w:val="en-US" w:eastAsia="zh-CN"/>
        </w:rPr>
        <w:t>6726.46</w:t>
      </w:r>
      <w:r>
        <w:rPr>
          <w:rFonts w:hint="default" w:ascii="Times New Roman" w:hAnsi="Times New Roman" w:eastAsia="仿宋_GB2312" w:cs="Times New Roman"/>
          <w:b w:val="0"/>
          <w:bCs w:val="0"/>
          <w:color w:val="000000"/>
          <w:sz w:val="32"/>
          <w:szCs w:val="32"/>
          <w:lang w:val="en-US" w:eastAsia="zh-CN"/>
        </w:rPr>
        <w:t>万元。完成事前绩效评估项目及政策（新增项目及政策金额在30万元以上，延续性项目金额增长20%以上）</w:t>
      </w:r>
      <w:r>
        <w:rPr>
          <w:rFonts w:hint="eastAsia" w:ascii="Times New Roman" w:hAnsi="Times New Roman" w:eastAsia="仿宋_GB2312" w:cs="Times New Roman"/>
          <w:b w:val="0"/>
          <w:bCs w:val="0"/>
          <w:color w:val="000000"/>
          <w:sz w:val="32"/>
          <w:szCs w:val="32"/>
          <w:lang w:val="en-US" w:eastAsia="zh-CN"/>
        </w:rPr>
        <w:t>6</w:t>
      </w:r>
      <w:r>
        <w:rPr>
          <w:rFonts w:hint="default" w:ascii="Times New Roman" w:hAnsi="Times New Roman" w:eastAsia="仿宋_GB2312" w:cs="Times New Roman"/>
          <w:b w:val="0"/>
          <w:bCs w:val="0"/>
          <w:color w:val="000000"/>
          <w:sz w:val="32"/>
          <w:szCs w:val="32"/>
          <w:lang w:val="en-US" w:eastAsia="zh-CN"/>
        </w:rPr>
        <w:t>个，涉及金额</w:t>
      </w:r>
      <w:r>
        <w:rPr>
          <w:rFonts w:hint="eastAsia" w:ascii="Times New Roman" w:hAnsi="Times New Roman" w:eastAsia="仿宋_GB2312" w:cs="Times New Roman"/>
          <w:b w:val="0"/>
          <w:bCs w:val="0"/>
          <w:color w:val="000000"/>
          <w:sz w:val="32"/>
          <w:szCs w:val="32"/>
          <w:lang w:val="en-US" w:eastAsia="zh-CN"/>
        </w:rPr>
        <w:t>5081.44</w:t>
      </w:r>
      <w:r>
        <w:rPr>
          <w:rFonts w:hint="default" w:ascii="Times New Roman" w:hAnsi="Times New Roman" w:eastAsia="仿宋_GB2312" w:cs="Times New Roman"/>
          <w:b w:val="0"/>
          <w:bCs w:val="0"/>
          <w:color w:val="000000"/>
          <w:sz w:val="32"/>
          <w:szCs w:val="32"/>
          <w:lang w:val="en-US" w:eastAsia="zh-CN"/>
        </w:rPr>
        <w:t>万元。</w:t>
      </w:r>
      <w:r>
        <w:rPr>
          <w:rFonts w:hint="eastAsia" w:ascii="仿宋_GB2312" w:hAnsi="仿宋_GB2312" w:eastAsia="仿宋_GB2312" w:cs="仿宋_GB2312"/>
          <w:color w:val="auto"/>
          <w:sz w:val="32"/>
          <w:szCs w:val="32"/>
          <w:highlight w:val="none"/>
          <w:lang w:val="en-US" w:eastAsia="zh-CN"/>
        </w:rPr>
        <w:t>因部分项目内容涉密，不予公开。</w:t>
      </w:r>
    </w:p>
    <w:p w14:paraId="535B2D9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lang w:val="en-US" w:eastAsia="zh-CN"/>
        </w:rPr>
        <w:t>十一、名词解释</w:t>
      </w:r>
    </w:p>
    <w:p w14:paraId="37D2A1E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right="0" w:firstLine="640" w:firstLineChars="200"/>
        <w:jc w:val="both"/>
        <w:textAlignment w:val="auto"/>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（一）财政拨款收入</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指区财政当年安排的财政预算收入。按现行管理制度</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部门预算中反映的财政拨款包括一般公共预算拨款和政府性基金预算拨款。</w:t>
      </w:r>
    </w:p>
    <w:p w14:paraId="037AE6F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right="0" w:firstLine="640" w:firstLineChars="200"/>
        <w:jc w:val="both"/>
        <w:textAlignment w:val="auto"/>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（二）卫生健康（类）行政事业单位医疗（款）行政单位医疗（项）：指机关及参公管理事业单位用于单位应缴纳基本医疗保险支出。</w:t>
      </w:r>
    </w:p>
    <w:p w14:paraId="420F52B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right="0" w:firstLine="640" w:firstLineChars="200"/>
        <w:jc w:val="both"/>
        <w:textAlignment w:val="auto"/>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三</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）卫生健康（类）行政事业单位医疗（款）事业单位医疗（项）：指事业单位用于单位应缴纳基本医疗保险支出。</w:t>
      </w:r>
    </w:p>
    <w:p w14:paraId="7770908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right="0" w:firstLine="640" w:firstLineChars="200"/>
        <w:jc w:val="both"/>
        <w:textAlignment w:val="auto"/>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四</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）住房保障（类）住房改革支出（款）住房公积金（项）：指按照《住房公积金管理条例》的规定，由单位及其在职职工缴存的长期住房储金。</w:t>
      </w:r>
    </w:p>
    <w:p w14:paraId="72B57E5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right="0" w:firstLine="640" w:firstLineChars="200"/>
        <w:jc w:val="both"/>
        <w:textAlignment w:val="auto"/>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五</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）基本支出：指为保证机构正常运转，完成日常工作任务而发生的人员支出和公用支出。</w:t>
      </w:r>
    </w:p>
    <w:p w14:paraId="195CC8B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right="0" w:firstLine="640" w:firstLineChars="200"/>
        <w:jc w:val="both"/>
        <w:textAlignment w:val="auto"/>
        <w:rPr>
          <w:rFonts w:hint="default" w:ascii="Times New Roman" w:hAnsi="Times New Roman" w:cs="Times New Roman"/>
          <w:i w:val="0"/>
          <w:caps w:val="0"/>
          <w:color w:val="auto"/>
          <w:spacing w:val="0"/>
          <w:sz w:val="32"/>
          <w:szCs w:val="32"/>
          <w:highlight w:val="none"/>
        </w:rPr>
      </w:pP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六</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）项目支出：指在基本支出之外为完成特定行政任务和事业发展目标所发生的支出。</w:t>
      </w:r>
    </w:p>
    <w:p w14:paraId="38F1309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七</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三公”经费：纳入财政厅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 xml:space="preserve"> </w:t>
      </w:r>
    </w:p>
    <w:p w14:paraId="5B7F02F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76" w:lineRule="exact"/>
        <w:ind w:left="0" w:right="0" w:firstLine="640" w:firstLineChars="200"/>
        <w:jc w:val="both"/>
        <w:textAlignment w:val="auto"/>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八</w:t>
      </w:r>
      <w:r>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t>）机关运行经费：为保障行政单位（包括参照公务员法管理的事业单位）运行用于购买货物和服务的各项资金，包括办公及印刷费、邮电费、差旅费、会议费、培训费、福利费、日常维修费、专用材料及一般设备购置费、办公用房水电费、办公用房取暖费、办公用房物业管理费、公务用车运行维护费以及其他费用。</w:t>
      </w:r>
    </w:p>
    <w:p w14:paraId="2E180686">
      <w:pPr>
        <w:pStyle w:val="3"/>
        <w:rPr>
          <w:rFonts w:hint="eastAsia"/>
          <w:lang w:val="en-US" w:eastAsia="zh-CN"/>
        </w:rPr>
      </w:pPr>
      <w:r>
        <w:rPr>
          <w:rFonts w:hint="eastAsia"/>
          <w:lang w:val="en-US" w:eastAsia="zh-CN"/>
        </w:rPr>
        <w:t xml:space="preserve">        </w:t>
      </w:r>
    </w:p>
    <w:p w14:paraId="6FE0C33A">
      <w:pPr>
        <w:pStyle w:val="3"/>
        <w:rPr>
          <w:rFonts w:hint="eastAsia"/>
          <w:lang w:val="en-US" w:eastAsia="zh-CN"/>
        </w:rPr>
      </w:pPr>
    </w:p>
    <w:p w14:paraId="0CD28A84">
      <w:pPr>
        <w:pStyle w:val="3"/>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eastAsia"/>
          <w:lang w:val="en-US" w:eastAsia="zh-CN"/>
        </w:rPr>
        <w:t xml:space="preserve">                        </w:t>
      </w: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 xml:space="preserve">               广元市昭化区民政局</w:t>
      </w:r>
    </w:p>
    <w:p w14:paraId="0EFA48A3">
      <w:pPr>
        <w:pStyle w:val="3"/>
        <w:ind w:firstLine="5440" w:firstLineChars="1700"/>
        <w:rPr>
          <w:rFonts w:hint="default" w:ascii="Times New Roman" w:hAnsi="Times New Roman" w:eastAsia="仿宋_GB2312" w:cs="Times New Roman"/>
          <w:i w:val="0"/>
          <w:caps w:val="0"/>
          <w:color w:val="auto"/>
          <w:spacing w:val="0"/>
          <w:kern w:val="0"/>
          <w:sz w:val="32"/>
          <w:szCs w:val="32"/>
          <w:highlight w:val="none"/>
          <w:shd w:val="clear" w:color="auto" w:fill="FFFFFF"/>
          <w:lang w:val="en-US" w:eastAsia="zh-CN"/>
        </w:rPr>
      </w:pPr>
      <w:r>
        <w:rPr>
          <w:rFonts w:hint="eastAsia" w:ascii="Times New Roman" w:hAnsi="Times New Roman" w:eastAsia="仿宋_GB2312" w:cs="Times New Roman"/>
          <w:i w:val="0"/>
          <w:caps w:val="0"/>
          <w:color w:val="auto"/>
          <w:spacing w:val="0"/>
          <w:kern w:val="0"/>
          <w:sz w:val="32"/>
          <w:szCs w:val="32"/>
          <w:highlight w:val="none"/>
          <w:shd w:val="clear" w:color="auto" w:fill="FFFFFF"/>
          <w:lang w:val="en-US" w:eastAsia="zh-CN"/>
        </w:rPr>
        <w:t>2025年2月9日</w:t>
      </w:r>
    </w:p>
    <w:p w14:paraId="54BF6332">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p>
    <w:p w14:paraId="498E4498">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附件：1.广元市昭化区民政局2025年部门预算公开表</w:t>
      </w:r>
    </w:p>
    <w:p w14:paraId="1A9DCC10">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1600" w:lef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2.广元市昭化区民政局2025年项目支出绩效目标表</w:t>
      </w:r>
    </w:p>
    <w:p w14:paraId="42CCB1A0">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1600" w:leftChars="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3.广元市昭化区民政局2025年部门整体支出绩效目标表</w:t>
      </w:r>
    </w:p>
    <w:p w14:paraId="39B5F905">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eastAsia="zh-CN"/>
        </w:rPr>
      </w:pPr>
    </w:p>
    <w:sectPr>
      <w:footerReference r:id="rId4" w:type="default"/>
      <w:pgSz w:w="11906" w:h="16838"/>
      <w:pgMar w:top="2098" w:right="1474" w:bottom="1984" w:left="1587" w:header="720" w:footer="1559" w:gutter="0"/>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3547A37-068A-47DC-A3D4-0F28303E34A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Liberation Sans">
    <w:altName w:val="Segoe Print"/>
    <w:panose1 w:val="020B0604020202020204"/>
    <w:charset w:val="00"/>
    <w:family w:val="auto"/>
    <w:pitch w:val="default"/>
    <w:sig w:usb0="00000000" w:usb1="00000000" w:usb2="00000000" w:usb3="00000000" w:csb0="6000009F" w:csb1="DFD70000"/>
  </w:font>
  <w:font w:name="Segoe Print">
    <w:panose1 w:val="02000600000000000000"/>
    <w:charset w:val="00"/>
    <w:family w:val="auto"/>
    <w:pitch w:val="default"/>
    <w:sig w:usb0="0000028F" w:usb1="00000000" w:usb2="00000000" w:usb3="00000000" w:csb0="2000009F" w:csb1="47010000"/>
  </w:font>
  <w:font w:name="Noto Sans CJK SC Regular">
    <w:altName w:val="宋体"/>
    <w:panose1 w:val="020B0500000000000000"/>
    <w:charset w:val="86"/>
    <w:family w:val="auto"/>
    <w:pitch w:val="default"/>
    <w:sig w:usb0="00000000" w:usb1="00000000" w:usb2="00000016" w:usb3="00000000" w:csb0="602E0107" w:csb1="00000000"/>
  </w:font>
  <w:font w:name="方正小标宋简体">
    <w:panose1 w:val="02000000000000000000"/>
    <w:charset w:val="86"/>
    <w:family w:val="auto"/>
    <w:pitch w:val="default"/>
    <w:sig w:usb0="00000001" w:usb1="08000000" w:usb2="00000000" w:usb3="00000000" w:csb0="00040000" w:csb1="00000000"/>
    <w:embedRegular r:id="rId2" w:fontKey="{62CC91DD-1448-49CF-B1FC-8EEAD2356716}"/>
  </w:font>
  <w:font w:name="仿宋_GB2312">
    <w:altName w:val="仿宋"/>
    <w:panose1 w:val="02010609030101010101"/>
    <w:charset w:val="86"/>
    <w:family w:val="auto"/>
    <w:pitch w:val="default"/>
    <w:sig w:usb0="00000000" w:usb1="00000000" w:usb2="00000000" w:usb3="00000000" w:csb0="00040000" w:csb1="00000000"/>
    <w:embedRegular r:id="rId3" w:fontKey="{1F15899A-D678-44C8-BDC0-8191DB27B22C}"/>
  </w:font>
  <w:font w:name="楷体_GB2312">
    <w:panose1 w:val="02010609030101010101"/>
    <w:charset w:val="86"/>
    <w:family w:val="auto"/>
    <w:pitch w:val="default"/>
    <w:sig w:usb0="00000001" w:usb1="080E0000" w:usb2="00000000" w:usb3="00000000" w:csb0="00040000" w:csb1="00000000"/>
    <w:embedRegular r:id="rId4" w:fontKey="{F02510D1-6C05-47FF-8941-93D37F011288}"/>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AC7A78">
    <w:pPr>
      <w:pStyle w:val="4"/>
      <w:rPr>
        <w:rFonts w:hint="default"/>
        <w:lang w:val="en-US"/>
      </w:rP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2"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44ECA724">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anchor="t" upright="0">
                      <a:spAutoFit/>
                    </wps:bodyPr>
                  </wps:wsp>
                </a:graphicData>
              </a:graphic>
            </wp:anchor>
          </w:drawing>
        </mc:Choice>
        <mc:Fallback>
          <w:pict>
            <v:rect id="文本框 1" o:spid="_x0000_s1026" o:spt="1"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uXW5UtAAAAAFAQAADwAAAAAAAAABACAAAAAiAAAAZHJzL2Rvd25yZXYueG1sUEsB&#10;AhQAFAAAAAgAh07iQJjK3Dr9AQAA/wMAAA4AAAAAAAAAAQAgAAAAHwEAAGRycy9lMm9Eb2MueG1s&#10;UEsFBgAAAAAGAAYAWQEAAI4FAAAAAA==&#10;">
              <v:fill on="f" focussize="0,0"/>
              <v:stroke on="f"/>
              <v:imagedata o:title=""/>
              <o:lock v:ext="edit" aspectratio="f"/>
              <v:textbox inset="0mm,0mm,0mm,0mm" style="mso-fit-shape-to-text:t;">
                <w:txbxContent>
                  <w:p w14:paraId="44ECA724">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rect>
          </w:pict>
        </mc:Fallback>
      </mc:AlternateContent>
    </w:r>
    <w:r>
      <w:rPr>
        <w:rFonts w:hint="eastAsia"/>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4EE0D">
    <w:pPr>
      <w:pStyle w:val="4"/>
      <w:rPr>
        <w:rFonts w:hint="default"/>
        <w:lang w:val="en-US"/>
      </w:rPr>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3"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0CB361F4">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anchor="t" upright="0">
                      <a:spAutoFit/>
                    </wps:bodyPr>
                  </wps:wsp>
                </a:graphicData>
              </a:graphic>
            </wp:anchor>
          </w:drawing>
        </mc:Choice>
        <mc:Fallback>
          <w:pict>
            <v:rect id="文本框 2" o:spid="_x0000_s1026" o:spt="1"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uXW5UtAAAAAFAQAADwAAAAAAAAABACAAAAAiAAAAZHJzL2Rvd25yZXYueG1sUEsB&#10;AhQAFAAAAAgAh07iQMKzIAX9AQAA/wMAAA4AAAAAAAAAAQAgAAAAHwEAAGRycy9lMm9Eb2MueG1s&#10;UEsFBgAAAAAGAAYAWQEAAI4FAAAAAA==&#10;">
              <v:fill on="f" focussize="0,0"/>
              <v:stroke on="f"/>
              <v:imagedata o:title=""/>
              <o:lock v:ext="edit" aspectratio="f"/>
              <v:textbox inset="0mm,0mm,0mm,0mm" style="mso-fit-shape-to-text:t;">
                <w:txbxContent>
                  <w:p w14:paraId="0CB361F4">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rect>
          </w:pict>
        </mc:Fallback>
      </mc:AlternateContent>
    </w:r>
    <w:r>
      <w:rPr>
        <w:rFonts w:hint="eastAsia"/>
        <w:lang w:val="en-US" w:eastAsia="zh-CN"/>
      </w:rPr>
      <w:t xml:space="preserve">   </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3208E"/>
    <w:multiLevelType w:val="singleLevel"/>
    <w:tmpl w:val="0053208E"/>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
  <w:drawingGridVerticalSpacing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wYmQ3N2FhZmE1Yjg0OGFkNTU5NTg3M2QzNjJlMDgifQ=="/>
  </w:docVars>
  <w:rsids>
    <w:rsidRoot w:val="00000000"/>
    <w:rsid w:val="01E46D89"/>
    <w:rsid w:val="058A194E"/>
    <w:rsid w:val="05C00CD7"/>
    <w:rsid w:val="07C47B39"/>
    <w:rsid w:val="0C9870EE"/>
    <w:rsid w:val="0CD143AE"/>
    <w:rsid w:val="12D15108"/>
    <w:rsid w:val="1367781A"/>
    <w:rsid w:val="1D412E8A"/>
    <w:rsid w:val="23AB5501"/>
    <w:rsid w:val="24C06D8A"/>
    <w:rsid w:val="264724B6"/>
    <w:rsid w:val="286D0FD7"/>
    <w:rsid w:val="32FD4F14"/>
    <w:rsid w:val="380971DC"/>
    <w:rsid w:val="42B27F2E"/>
    <w:rsid w:val="436B215F"/>
    <w:rsid w:val="497F0713"/>
    <w:rsid w:val="4AF62C56"/>
    <w:rsid w:val="5023004A"/>
    <w:rsid w:val="5655131D"/>
    <w:rsid w:val="5B6E739F"/>
    <w:rsid w:val="5DA14CA4"/>
    <w:rsid w:val="5F9C0077"/>
    <w:rsid w:val="65711400"/>
    <w:rsid w:val="6804655B"/>
    <w:rsid w:val="70C90342"/>
    <w:rsid w:val="71E35433"/>
    <w:rsid w:val="72F86CBC"/>
    <w:rsid w:val="74575C64"/>
    <w:rsid w:val="75385A96"/>
    <w:rsid w:val="78484242"/>
    <w:rsid w:val="7A8377B3"/>
  </w:rsids>
  <m:mathPr>
    <m:brkBin m:val="before"/>
    <m:brkBinSub m:val="--"/>
    <m:smallFrac m:val="0"/>
    <m:dispDef/>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10">
    <w:name w:val="Default Paragraph Font"/>
    <w:autoRedefine/>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2">
    <w:name w:val="caption"/>
    <w:basedOn w:val="1"/>
    <w:autoRedefine/>
    <w:qFormat/>
    <w:uiPriority w:val="0"/>
    <w:pPr>
      <w:widowControl w:val="0"/>
      <w:suppressLineNumbers/>
      <w:suppressAutoHyphens/>
      <w:spacing w:before="120" w:after="120"/>
    </w:pPr>
    <w:rPr>
      <w:i/>
      <w:iCs/>
      <w:sz w:val="24"/>
      <w:szCs w:val="24"/>
    </w:rPr>
  </w:style>
  <w:style w:type="paragraph" w:styleId="3">
    <w:name w:val="Body Text"/>
    <w:basedOn w:val="1"/>
    <w:autoRedefine/>
    <w:qFormat/>
    <w:uiPriority w:val="0"/>
    <w:pPr>
      <w:spacing w:before="0" w:after="140" w:line="276" w:lineRule="auto"/>
    </w:p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List"/>
    <w:basedOn w:val="3"/>
    <w:autoRedefine/>
    <w:qFormat/>
    <w:uiPriority w:val="0"/>
  </w:style>
  <w:style w:type="paragraph" w:styleId="7">
    <w:name w:val="Normal (Web)"/>
    <w:basedOn w:val="1"/>
    <w:autoRedefine/>
    <w:qFormat/>
    <w:uiPriority w:val="0"/>
    <w:rPr>
      <w:sz w:val="24"/>
    </w:rPr>
  </w:style>
  <w:style w:type="table" w:styleId="9">
    <w:name w:val="Table Gri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customStyle="1" w:styleId="11">
    <w:name w:val="默认段落字体1"/>
    <w:autoRedefine/>
    <w:qFormat/>
    <w:uiPriority w:val="0"/>
  </w:style>
  <w:style w:type="paragraph" w:customStyle="1" w:styleId="12">
    <w:name w:val="Heading"/>
    <w:basedOn w:val="1"/>
    <w:next w:val="3"/>
    <w:autoRedefine/>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3">
    <w:name w:val="Index"/>
    <w:basedOn w:val="1"/>
    <w:autoRedefine/>
    <w:qFormat/>
    <w:uiPriority w:val="0"/>
    <w:pPr>
      <w:widowControl w:val="0"/>
      <w:suppressLineNumbers/>
      <w:suppressAutoHyphens/>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13</Pages>
  <Words>5708</Words>
  <Characters>6520</Characters>
  <TotalTime>47</TotalTime>
  <ScaleCrop>false</ScaleCrop>
  <LinksUpToDate>false</LinksUpToDate>
  <CharactersWithSpaces>6575</CharactersWithSpaces>
  <Application>WPS Office_12.1.0.20260_F1E327BC-269C-435d-A152-05C5408002CA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2018-11-29T17:47:00Z</dcterms:created>
  <dc:creator>admin</dc:creator>
  <cp:lastModifiedBy>昭化融媒体</cp:lastModifiedBy>
  <dcterms:modified xsi:type="dcterms:W3CDTF">2025-02-17T00:50:10Z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2052-12.1.0.20260</vt:lpwstr>
  </property>
  <property fmtid="{D5CDD505-2E9C-101B-9397-08002B2CF9AE}" pid="3" name="ICV">
    <vt:lpwstr>6BD7618473A142D99C48C14CE08AEB56_13</vt:lpwstr>
  </property>
  <property fmtid="{D5CDD505-2E9C-101B-9397-08002B2CF9AE}" pid="4" name="KSOTemplateDocerSaveRecord">
    <vt:lpwstr>eyJoZGlkIjoiMGVhYTg4NGNkZWJkODFjNzcyZDRjM2M4Y2UzNjI5ZmUiLCJ1c2VySWQiOiI2MTE2MzEwMDYifQ==</vt:lpwstr>
  </property>
</Properties>
</file>