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6F8588">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right="0" w:rightChars="0" w:firstLine="0" w:firstLineChars="0"/>
        <w:jc w:val="center"/>
        <w:textAlignment w:val="auto"/>
        <w:outlineLvl w:val="0"/>
        <w:rPr>
          <w:rFonts w:hint="default" w:ascii="Times New Roman" w:hAnsi="Times New Roman" w:eastAsia="方正小标宋简体" w:cs="Times New Roman"/>
          <w:b w:val="0"/>
          <w:bCs w:val="0"/>
          <w:kern w:val="2"/>
          <w:sz w:val="44"/>
          <w:szCs w:val="44"/>
          <w:highlight w:val="none"/>
          <w:lang w:val="en-US" w:eastAsia="zh-CN" w:bidi="ar-SA"/>
        </w:rPr>
      </w:pPr>
      <w:bookmarkStart w:id="0" w:name="_Toc18742"/>
      <w:bookmarkStart w:id="1" w:name="_Toc8990"/>
      <w:r>
        <w:rPr>
          <w:rFonts w:hint="default" w:ascii="Times New Roman" w:hAnsi="Times New Roman" w:eastAsia="方正小标宋简体" w:cs="Times New Roman"/>
          <w:b w:val="0"/>
          <w:bCs w:val="0"/>
          <w:kern w:val="2"/>
          <w:sz w:val="44"/>
          <w:szCs w:val="44"/>
          <w:highlight w:val="none"/>
          <w:lang w:val="en-US" w:eastAsia="zh-CN" w:bidi="ar-SA"/>
        </w:rPr>
        <w:t>广元市昭化区区属国有企业投资监督管理</w:t>
      </w:r>
      <w:bookmarkEnd w:id="0"/>
      <w:bookmarkEnd w:id="1"/>
    </w:p>
    <w:p w14:paraId="14937639">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right="0" w:rightChars="0" w:firstLine="0" w:firstLineChars="0"/>
        <w:jc w:val="center"/>
        <w:textAlignment w:val="auto"/>
        <w:outlineLvl w:val="0"/>
        <w:rPr>
          <w:rFonts w:hint="default" w:ascii="Times New Roman" w:hAnsi="Times New Roman" w:eastAsia="方正小标宋简体" w:cs="Times New Roman"/>
          <w:b w:val="0"/>
          <w:bCs w:val="0"/>
          <w:kern w:val="2"/>
          <w:sz w:val="44"/>
          <w:szCs w:val="44"/>
          <w:highlight w:val="none"/>
          <w:lang w:val="en-US" w:eastAsia="zh-CN" w:bidi="ar-SA"/>
        </w:rPr>
      </w:pPr>
      <w:bookmarkStart w:id="2" w:name="_Toc20914"/>
      <w:bookmarkStart w:id="3" w:name="_Toc11112"/>
      <w:r>
        <w:rPr>
          <w:rFonts w:hint="default" w:ascii="Times New Roman" w:hAnsi="Times New Roman" w:eastAsia="方正小标宋简体" w:cs="Times New Roman"/>
          <w:b w:val="0"/>
          <w:bCs w:val="0"/>
          <w:kern w:val="2"/>
          <w:sz w:val="44"/>
          <w:szCs w:val="44"/>
          <w:highlight w:val="none"/>
          <w:lang w:val="en-US" w:eastAsia="zh-CN" w:bidi="ar-SA"/>
        </w:rPr>
        <w:t>试行办法</w:t>
      </w:r>
      <w:bookmarkEnd w:id="2"/>
      <w:bookmarkEnd w:id="3"/>
      <w:bookmarkStart w:id="4" w:name="_Toc10132"/>
      <w:bookmarkStart w:id="5" w:name="_Toc9698"/>
      <w:r>
        <w:rPr>
          <w:rFonts w:hint="default" w:ascii="Times New Roman" w:hAnsi="Times New Roman" w:eastAsia="方正小标宋简体" w:cs="Times New Roman"/>
          <w:b w:val="0"/>
          <w:bCs w:val="0"/>
          <w:kern w:val="2"/>
          <w:sz w:val="44"/>
          <w:szCs w:val="44"/>
          <w:highlight w:val="none"/>
          <w:lang w:bidi="ar-SA"/>
        </w:rPr>
        <w:t>（</w:t>
      </w:r>
      <w:r>
        <w:rPr>
          <w:rFonts w:hint="default" w:ascii="Times New Roman" w:hAnsi="Times New Roman" w:eastAsia="方正小标宋简体" w:cs="Times New Roman"/>
          <w:b w:val="0"/>
          <w:bCs w:val="0"/>
          <w:kern w:val="2"/>
          <w:sz w:val="44"/>
          <w:szCs w:val="44"/>
          <w:highlight w:val="none"/>
          <w:lang w:val="en-US" w:eastAsia="zh-CN" w:bidi="ar-SA"/>
        </w:rPr>
        <w:t>征求意见稿</w:t>
      </w:r>
      <w:r>
        <w:rPr>
          <w:rFonts w:hint="default" w:ascii="Times New Roman" w:hAnsi="Times New Roman" w:eastAsia="方正小标宋简体" w:cs="Times New Roman"/>
          <w:b w:val="0"/>
          <w:bCs w:val="0"/>
          <w:kern w:val="2"/>
          <w:sz w:val="44"/>
          <w:szCs w:val="44"/>
          <w:highlight w:val="none"/>
          <w:lang w:bidi="ar-SA"/>
        </w:rPr>
        <w:t>）</w:t>
      </w:r>
      <w:bookmarkEnd w:id="4"/>
      <w:bookmarkEnd w:id="5"/>
    </w:p>
    <w:p w14:paraId="065C0578">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auto"/>
        <w:rPr>
          <w:rStyle w:val="8"/>
          <w:rFonts w:hint="default" w:ascii="Times New Roman" w:hAnsi="Times New Roman" w:eastAsia="黑体" w:cs="Times New Roman"/>
          <w:b w:val="0"/>
          <w:bCs w:val="0"/>
          <w:sz w:val="32"/>
          <w:szCs w:val="32"/>
          <w:highlight w:val="none"/>
        </w:rPr>
      </w:pPr>
    </w:p>
    <w:p w14:paraId="539E5E0E">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right="0" w:rightChars="0" w:firstLine="0" w:firstLineChars="0"/>
        <w:jc w:val="center"/>
        <w:textAlignment w:val="auto"/>
        <w:rPr>
          <w:rFonts w:hint="default" w:ascii="Times New Roman" w:hAnsi="Times New Roman" w:eastAsia="黑体" w:cs="Times New Roman"/>
          <w:b w:val="0"/>
          <w:bCs w:val="0"/>
          <w:sz w:val="32"/>
          <w:szCs w:val="32"/>
          <w:highlight w:val="none"/>
        </w:rPr>
      </w:pPr>
      <w:bookmarkStart w:id="12" w:name="_GoBack"/>
      <w:bookmarkEnd w:id="12"/>
      <w:r>
        <w:rPr>
          <w:rStyle w:val="8"/>
          <w:rFonts w:hint="default" w:ascii="Times New Roman" w:hAnsi="Times New Roman" w:eastAsia="黑体" w:cs="Times New Roman"/>
          <w:b w:val="0"/>
          <w:bCs w:val="0"/>
          <w:sz w:val="32"/>
          <w:szCs w:val="32"/>
          <w:highlight w:val="none"/>
        </w:rPr>
        <w:t>第一章　总则</w:t>
      </w:r>
    </w:p>
    <w:p w14:paraId="1938C4A0">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第一条</w:t>
      </w:r>
      <w:r>
        <w:rPr>
          <w:rFonts w:hint="default" w:ascii="Times New Roman" w:hAnsi="Times New Roman" w:eastAsia="仿宋" w:cs="Times New Roman"/>
          <w:b w:val="0"/>
          <w:bCs w:val="0"/>
          <w:sz w:val="32"/>
          <w:szCs w:val="32"/>
          <w:highlight w:val="none"/>
        </w:rPr>
        <w:t>　</w:t>
      </w:r>
      <w:r>
        <w:rPr>
          <w:rFonts w:hint="eastAsia" w:ascii="仿宋_GB2312" w:hAnsi="仿宋_GB2312" w:eastAsia="仿宋_GB2312" w:cs="仿宋_GB2312"/>
          <w:b w:val="0"/>
          <w:bCs w:val="0"/>
          <w:sz w:val="32"/>
          <w:szCs w:val="32"/>
          <w:highlight w:val="none"/>
        </w:rPr>
        <w:t>为依法履行出资人职责，推动</w:t>
      </w:r>
      <w:r>
        <w:rPr>
          <w:rFonts w:hint="eastAsia" w:ascii="仿宋_GB2312" w:hAnsi="仿宋_GB2312" w:eastAsia="仿宋_GB2312" w:cs="仿宋_GB2312"/>
          <w:b w:val="0"/>
          <w:bCs w:val="0"/>
          <w:sz w:val="32"/>
          <w:szCs w:val="32"/>
          <w:highlight w:val="none"/>
          <w:lang w:eastAsia="zh-CN"/>
        </w:rPr>
        <w:t>区</w:t>
      </w:r>
      <w:r>
        <w:rPr>
          <w:rFonts w:hint="eastAsia" w:ascii="仿宋_GB2312" w:hAnsi="仿宋_GB2312" w:eastAsia="仿宋_GB2312" w:cs="仿宋_GB2312"/>
          <w:b w:val="0"/>
          <w:bCs w:val="0"/>
          <w:sz w:val="32"/>
          <w:szCs w:val="32"/>
          <w:highlight w:val="none"/>
        </w:rPr>
        <w:t>属国有企业投资科学化、规范化，确保国有资本保值增值，根据《中华人民共和国公司法》《中华人民共和国企业国有资产法》</w:t>
      </w:r>
      <w:r>
        <w:rPr>
          <w:rFonts w:hint="eastAsia" w:ascii="仿宋_GB2312" w:hAnsi="仿宋_GB2312" w:eastAsia="仿宋_GB2312" w:cs="仿宋_GB2312"/>
          <w:b w:val="0"/>
          <w:bCs w:val="0"/>
          <w:sz w:val="32"/>
          <w:szCs w:val="32"/>
          <w:highlight w:val="none"/>
          <w:lang w:eastAsia="zh-CN"/>
        </w:rPr>
        <w:t>等法律法规和文件规定</w:t>
      </w:r>
      <w:r>
        <w:rPr>
          <w:rFonts w:hint="eastAsia" w:ascii="仿宋_GB2312" w:hAnsi="仿宋_GB2312" w:eastAsia="仿宋_GB2312" w:cs="仿宋_GB2312"/>
          <w:b w:val="0"/>
          <w:bCs w:val="0"/>
          <w:sz w:val="32"/>
          <w:szCs w:val="32"/>
          <w:highlight w:val="none"/>
        </w:rPr>
        <w:t>，结合我</w:t>
      </w:r>
      <w:r>
        <w:rPr>
          <w:rFonts w:hint="eastAsia" w:ascii="仿宋_GB2312" w:hAnsi="仿宋_GB2312" w:eastAsia="仿宋_GB2312" w:cs="仿宋_GB2312"/>
          <w:b w:val="0"/>
          <w:bCs w:val="0"/>
          <w:sz w:val="32"/>
          <w:szCs w:val="32"/>
          <w:highlight w:val="none"/>
          <w:lang w:eastAsia="zh-CN"/>
        </w:rPr>
        <w:t>区</w:t>
      </w:r>
      <w:r>
        <w:rPr>
          <w:rFonts w:hint="eastAsia" w:ascii="仿宋_GB2312" w:hAnsi="仿宋_GB2312" w:eastAsia="仿宋_GB2312" w:cs="仿宋_GB2312"/>
          <w:b w:val="0"/>
          <w:bCs w:val="0"/>
          <w:sz w:val="32"/>
          <w:szCs w:val="32"/>
          <w:highlight w:val="none"/>
        </w:rPr>
        <w:t>实际，制定本办法。</w:t>
      </w:r>
    </w:p>
    <w:p w14:paraId="6ECA4453">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第二条</w:t>
      </w:r>
      <w:r>
        <w:rPr>
          <w:rFonts w:hint="default" w:ascii="Times New Roman" w:hAnsi="Times New Roman" w:eastAsia="仿宋_GB2312" w:cs="Times New Roman"/>
          <w:b w:val="0"/>
          <w:bCs w:val="0"/>
          <w:sz w:val="32"/>
          <w:szCs w:val="32"/>
          <w:highlight w:val="none"/>
        </w:rPr>
        <w:t>　</w:t>
      </w:r>
      <w:r>
        <w:rPr>
          <w:rFonts w:hint="eastAsia" w:ascii="仿宋_GB2312" w:hAnsi="仿宋_GB2312" w:eastAsia="仿宋_GB2312" w:cs="仿宋_GB2312"/>
          <w:b w:val="0"/>
          <w:bCs w:val="0"/>
          <w:sz w:val="32"/>
          <w:szCs w:val="32"/>
          <w:highlight w:val="none"/>
        </w:rPr>
        <w:t>本办法适用于</w:t>
      </w:r>
      <w:r>
        <w:rPr>
          <w:rFonts w:hint="eastAsia" w:ascii="仿宋_GB2312" w:hAnsi="仿宋_GB2312" w:eastAsia="仿宋_GB2312" w:cs="仿宋_GB2312"/>
          <w:b w:val="0"/>
          <w:bCs w:val="0"/>
          <w:sz w:val="32"/>
          <w:szCs w:val="32"/>
          <w:highlight w:val="none"/>
          <w:lang w:eastAsia="zh-CN"/>
        </w:rPr>
        <w:t>昭化区国有资产监督管理机构</w:t>
      </w:r>
      <w:r>
        <w:rPr>
          <w:rFonts w:hint="eastAsia" w:ascii="仿宋_GB2312" w:hAnsi="仿宋_GB2312" w:eastAsia="仿宋_GB2312" w:cs="仿宋_GB2312"/>
          <w:b w:val="0"/>
          <w:bCs w:val="0"/>
          <w:sz w:val="32"/>
          <w:szCs w:val="32"/>
          <w:highlight w:val="none"/>
        </w:rPr>
        <w:t>（以下简称</w:t>
      </w:r>
      <w:r>
        <w:rPr>
          <w:rFonts w:hint="eastAsia" w:ascii="仿宋_GB2312" w:hAnsi="仿宋_GB2312" w:eastAsia="仿宋_GB2312" w:cs="仿宋_GB2312"/>
          <w:b w:val="0"/>
          <w:bCs w:val="0"/>
          <w:sz w:val="32"/>
          <w:szCs w:val="32"/>
          <w:highlight w:val="none"/>
          <w:lang w:eastAsia="zh-CN"/>
        </w:rPr>
        <w:t>“</w:t>
      </w:r>
      <w:r>
        <w:rPr>
          <w:rFonts w:hint="eastAsia" w:ascii="仿宋_GB2312" w:hAnsi="仿宋_GB2312" w:eastAsia="仿宋_GB2312" w:cs="仿宋_GB2312"/>
          <w:b w:val="0"/>
          <w:bCs w:val="0"/>
          <w:sz w:val="32"/>
          <w:szCs w:val="32"/>
          <w:highlight w:val="none"/>
          <w:lang w:val="en-US" w:eastAsia="zh-CN"/>
        </w:rPr>
        <w:t>区国资</w:t>
      </w:r>
      <w:r>
        <w:rPr>
          <w:rFonts w:hint="eastAsia" w:ascii="仿宋_GB2312" w:hAnsi="仿宋_GB2312" w:eastAsia="仿宋_GB2312" w:cs="仿宋_GB2312"/>
          <w:b w:val="0"/>
          <w:bCs w:val="0"/>
          <w:sz w:val="32"/>
          <w:szCs w:val="32"/>
          <w:highlight w:val="none"/>
          <w:lang w:eastAsia="zh-CN"/>
        </w:rPr>
        <w:t>监管机构”</w:t>
      </w:r>
      <w:r>
        <w:rPr>
          <w:rFonts w:hint="eastAsia" w:ascii="仿宋_GB2312" w:hAnsi="仿宋_GB2312" w:eastAsia="仿宋_GB2312" w:cs="仿宋_GB2312"/>
          <w:b w:val="0"/>
          <w:bCs w:val="0"/>
          <w:sz w:val="32"/>
          <w:szCs w:val="32"/>
          <w:highlight w:val="none"/>
        </w:rPr>
        <w:t>）履行出资人职责的国有</w:t>
      </w:r>
      <w:r>
        <w:rPr>
          <w:rFonts w:hint="eastAsia" w:ascii="仿宋_GB2312" w:hAnsi="仿宋_GB2312" w:eastAsia="仿宋_GB2312" w:cs="仿宋_GB2312"/>
          <w:b w:val="0"/>
          <w:bCs w:val="0"/>
          <w:sz w:val="32"/>
          <w:szCs w:val="32"/>
          <w:highlight w:val="none"/>
          <w:lang w:eastAsia="zh-CN"/>
        </w:rPr>
        <w:t>全资、</w:t>
      </w:r>
      <w:r>
        <w:rPr>
          <w:rFonts w:hint="eastAsia" w:ascii="仿宋_GB2312" w:hAnsi="仿宋_GB2312" w:eastAsia="仿宋_GB2312" w:cs="仿宋_GB2312"/>
          <w:b w:val="0"/>
          <w:bCs w:val="0"/>
          <w:sz w:val="32"/>
          <w:szCs w:val="32"/>
          <w:highlight w:val="none"/>
        </w:rPr>
        <w:t>独资、国有控股公司，及其实际控制的各级子企业（以下统称企业）。</w:t>
      </w:r>
    </w:p>
    <w:p w14:paraId="6B2428AA">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本办法所称投资是指</w:t>
      </w:r>
      <w:r>
        <w:rPr>
          <w:rFonts w:hint="eastAsia" w:ascii="仿宋_GB2312" w:hAnsi="仿宋_GB2312" w:eastAsia="仿宋_GB2312" w:cs="仿宋_GB2312"/>
          <w:b w:val="0"/>
          <w:bCs w:val="0"/>
          <w:sz w:val="32"/>
          <w:szCs w:val="32"/>
          <w:highlight w:val="none"/>
          <w:lang w:eastAsia="zh-CN"/>
        </w:rPr>
        <w:t>区</w:t>
      </w:r>
      <w:r>
        <w:rPr>
          <w:rFonts w:hint="eastAsia" w:ascii="仿宋_GB2312" w:hAnsi="仿宋_GB2312" w:eastAsia="仿宋_GB2312" w:cs="仿宋_GB2312"/>
          <w:b w:val="0"/>
          <w:bCs w:val="0"/>
          <w:sz w:val="32"/>
          <w:szCs w:val="32"/>
          <w:highlight w:val="none"/>
        </w:rPr>
        <w:t>属国有企业及其子企业从事的</w:t>
      </w:r>
      <w:r>
        <w:rPr>
          <w:rFonts w:hint="eastAsia" w:ascii="仿宋_GB2312" w:hAnsi="仿宋_GB2312" w:eastAsia="仿宋_GB2312" w:cs="仿宋_GB2312"/>
          <w:b w:val="0"/>
          <w:bCs w:val="0"/>
          <w:sz w:val="32"/>
          <w:szCs w:val="32"/>
          <w:highlight w:val="none"/>
          <w:u w:val="none"/>
        </w:rPr>
        <w:t>股权投资</w:t>
      </w:r>
      <w:r>
        <w:rPr>
          <w:rFonts w:hint="eastAsia" w:ascii="仿宋_GB2312" w:hAnsi="仿宋_GB2312" w:eastAsia="仿宋_GB2312" w:cs="仿宋_GB2312"/>
          <w:b w:val="0"/>
          <w:bCs w:val="0"/>
          <w:sz w:val="32"/>
          <w:szCs w:val="32"/>
          <w:highlight w:val="none"/>
          <w:u w:val="none"/>
          <w:lang w:eastAsia="zh-CN"/>
        </w:rPr>
        <w:t>、</w:t>
      </w:r>
      <w:r>
        <w:rPr>
          <w:rFonts w:hint="eastAsia" w:ascii="仿宋_GB2312" w:hAnsi="仿宋_GB2312" w:eastAsia="仿宋_GB2312" w:cs="仿宋_GB2312"/>
          <w:b w:val="0"/>
          <w:bCs w:val="0"/>
          <w:sz w:val="32"/>
          <w:szCs w:val="32"/>
          <w:highlight w:val="none"/>
        </w:rPr>
        <w:t>固定资产投资</w:t>
      </w:r>
      <w:r>
        <w:rPr>
          <w:rFonts w:hint="eastAsia" w:ascii="仿宋_GB2312" w:hAnsi="仿宋_GB2312" w:eastAsia="仿宋_GB2312" w:cs="仿宋_GB2312"/>
          <w:b w:val="0"/>
          <w:bCs w:val="0"/>
          <w:color w:val="auto"/>
          <w:sz w:val="32"/>
          <w:szCs w:val="32"/>
          <w:highlight w:val="none"/>
          <w:u w:val="none"/>
          <w:lang w:eastAsia="zh-CN"/>
        </w:rPr>
        <w:t>、无形资产投资等投资项目</w:t>
      </w:r>
      <w:r>
        <w:rPr>
          <w:rFonts w:hint="eastAsia" w:ascii="仿宋_GB2312" w:hAnsi="仿宋_GB2312" w:eastAsia="仿宋_GB2312" w:cs="仿宋_GB2312"/>
          <w:b w:val="0"/>
          <w:bCs w:val="0"/>
          <w:sz w:val="32"/>
          <w:szCs w:val="32"/>
          <w:highlight w:val="none"/>
        </w:rPr>
        <w:t>。其中股权投资包括新设企业、增资、参股、收购兼并、合资合作等，固定资产投资包括基本建设、技术改造和购置经营性</w:t>
      </w:r>
      <w:r>
        <w:rPr>
          <w:rFonts w:hint="eastAsia" w:ascii="仿宋_GB2312" w:hAnsi="仿宋_GB2312" w:eastAsia="仿宋_GB2312" w:cs="仿宋_GB2312"/>
          <w:b w:val="0"/>
          <w:bCs w:val="0"/>
          <w:sz w:val="32"/>
          <w:szCs w:val="32"/>
          <w:highlight w:val="none"/>
          <w:lang w:eastAsia="zh-CN"/>
        </w:rPr>
        <w:t>资产</w:t>
      </w:r>
      <w:r>
        <w:rPr>
          <w:rFonts w:hint="eastAsia" w:ascii="仿宋_GB2312" w:hAnsi="仿宋_GB2312" w:eastAsia="仿宋_GB2312" w:cs="仿宋_GB2312"/>
          <w:b w:val="0"/>
          <w:bCs w:val="0"/>
          <w:sz w:val="32"/>
          <w:szCs w:val="32"/>
          <w:highlight w:val="none"/>
        </w:rPr>
        <w:t>等。</w:t>
      </w:r>
    </w:p>
    <w:p w14:paraId="0B3C9E0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i w:val="0"/>
          <w:iCs w:val="0"/>
          <w:caps w:val="0"/>
          <w:color w:val="auto"/>
          <w:spacing w:val="0"/>
          <w:sz w:val="32"/>
          <w:szCs w:val="32"/>
          <w:highlight w:val="none"/>
          <w:u w:val="none"/>
        </w:rPr>
      </w:pPr>
      <w:r>
        <w:rPr>
          <w:rFonts w:hint="eastAsia" w:ascii="仿宋_GB2312" w:hAnsi="仿宋_GB2312" w:eastAsia="仿宋_GB2312" w:cs="仿宋_GB2312"/>
          <w:b w:val="0"/>
          <w:bCs w:val="0"/>
          <w:i w:val="0"/>
          <w:iCs w:val="0"/>
          <w:caps w:val="0"/>
          <w:color w:val="auto"/>
          <w:spacing w:val="0"/>
          <w:sz w:val="32"/>
          <w:szCs w:val="32"/>
          <w:highlight w:val="none"/>
          <w:u w:val="none"/>
        </w:rPr>
        <w:t>本办法所称主业是指</w:t>
      </w:r>
      <w:r>
        <w:rPr>
          <w:rFonts w:hint="eastAsia" w:ascii="仿宋_GB2312" w:hAnsi="仿宋_GB2312" w:eastAsia="仿宋_GB2312" w:cs="仿宋_GB2312"/>
          <w:b w:val="0"/>
          <w:bCs w:val="0"/>
          <w:i w:val="0"/>
          <w:iCs w:val="0"/>
          <w:caps w:val="0"/>
          <w:color w:val="auto"/>
          <w:spacing w:val="0"/>
          <w:sz w:val="32"/>
          <w:szCs w:val="32"/>
          <w:highlight w:val="none"/>
          <w:u w:val="none"/>
          <w:lang w:eastAsia="zh-CN"/>
        </w:rPr>
        <w:t>区</w:t>
      </w:r>
      <w:r>
        <w:rPr>
          <w:rFonts w:hint="eastAsia" w:ascii="仿宋_GB2312" w:hAnsi="仿宋_GB2312" w:eastAsia="仿宋_GB2312" w:cs="仿宋_GB2312"/>
          <w:b w:val="0"/>
          <w:bCs w:val="0"/>
          <w:i w:val="0"/>
          <w:iCs w:val="0"/>
          <w:caps w:val="0"/>
          <w:color w:val="auto"/>
          <w:spacing w:val="0"/>
          <w:sz w:val="32"/>
          <w:szCs w:val="32"/>
          <w:highlight w:val="none"/>
          <w:u w:val="none"/>
        </w:rPr>
        <w:t>属企业按</w:t>
      </w:r>
      <w:r>
        <w:rPr>
          <w:rFonts w:hint="eastAsia" w:ascii="仿宋_GB2312" w:hAnsi="仿宋_GB2312" w:eastAsia="仿宋_GB2312" w:cs="仿宋_GB2312"/>
          <w:b w:val="0"/>
          <w:bCs w:val="0"/>
          <w:i w:val="0"/>
          <w:iCs w:val="0"/>
          <w:caps w:val="0"/>
          <w:color w:val="auto"/>
          <w:spacing w:val="0"/>
          <w:sz w:val="32"/>
          <w:szCs w:val="32"/>
          <w:highlight w:val="none"/>
          <w:u w:val="none"/>
          <w:lang w:eastAsia="zh-CN"/>
        </w:rPr>
        <w:t>区国资</w:t>
      </w:r>
      <w:r>
        <w:rPr>
          <w:rFonts w:hint="eastAsia" w:ascii="仿宋_GB2312" w:hAnsi="仿宋_GB2312" w:eastAsia="仿宋_GB2312" w:cs="仿宋_GB2312"/>
          <w:b w:val="0"/>
          <w:bCs w:val="0"/>
          <w:i w:val="0"/>
          <w:iCs w:val="0"/>
          <w:caps w:val="0"/>
          <w:color w:val="auto"/>
          <w:spacing w:val="0"/>
          <w:sz w:val="32"/>
          <w:szCs w:val="32"/>
          <w:highlight w:val="none"/>
          <w:u w:val="none"/>
          <w:lang w:val="en-US" w:eastAsia="zh-CN"/>
        </w:rPr>
        <w:t>监管机构</w:t>
      </w:r>
      <w:r>
        <w:rPr>
          <w:rFonts w:hint="eastAsia" w:ascii="仿宋_GB2312" w:hAnsi="仿宋_GB2312" w:eastAsia="仿宋_GB2312" w:cs="仿宋_GB2312"/>
          <w:b w:val="0"/>
          <w:bCs w:val="0"/>
          <w:i w:val="0"/>
          <w:iCs w:val="0"/>
          <w:caps w:val="0"/>
          <w:color w:val="auto"/>
          <w:spacing w:val="0"/>
          <w:sz w:val="32"/>
          <w:szCs w:val="32"/>
          <w:highlight w:val="none"/>
          <w:u w:val="none"/>
        </w:rPr>
        <w:t>主业管理制度确定并经</w:t>
      </w:r>
      <w:r>
        <w:rPr>
          <w:rFonts w:hint="eastAsia" w:ascii="仿宋_GB2312" w:hAnsi="仿宋_GB2312" w:eastAsia="仿宋_GB2312" w:cs="仿宋_GB2312"/>
          <w:b w:val="0"/>
          <w:bCs w:val="0"/>
          <w:i w:val="0"/>
          <w:iCs w:val="0"/>
          <w:caps w:val="0"/>
          <w:color w:val="auto"/>
          <w:spacing w:val="0"/>
          <w:sz w:val="32"/>
          <w:szCs w:val="32"/>
          <w:highlight w:val="none"/>
          <w:u w:val="none"/>
          <w:lang w:eastAsia="zh-CN"/>
        </w:rPr>
        <w:t>区国资监管机构</w:t>
      </w:r>
      <w:r>
        <w:rPr>
          <w:rFonts w:hint="eastAsia" w:ascii="仿宋_GB2312" w:hAnsi="仿宋_GB2312" w:eastAsia="仿宋_GB2312" w:cs="仿宋_GB2312"/>
          <w:b w:val="0"/>
          <w:bCs w:val="0"/>
          <w:i w:val="0"/>
          <w:iCs w:val="0"/>
          <w:caps w:val="0"/>
          <w:color w:val="auto"/>
          <w:spacing w:val="0"/>
          <w:sz w:val="32"/>
          <w:szCs w:val="32"/>
          <w:highlight w:val="none"/>
          <w:u w:val="none"/>
        </w:rPr>
        <w:t>确认公布的企业主要经营业务。非主业是指主业以外的其他经营业务。</w:t>
      </w:r>
    </w:p>
    <w:p w14:paraId="2DDACE7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Style w:val="8"/>
          <w:rFonts w:hint="default" w:ascii="Times New Roman" w:hAnsi="Times New Roman" w:eastAsia="黑体" w:cs="Times New Roman"/>
          <w:b w:val="0"/>
          <w:bCs w:val="0"/>
          <w:sz w:val="32"/>
          <w:szCs w:val="32"/>
          <w:highlight w:val="none"/>
        </w:rPr>
        <w:t>第</w:t>
      </w:r>
      <w:r>
        <w:rPr>
          <w:rStyle w:val="8"/>
          <w:rFonts w:hint="default" w:ascii="Times New Roman" w:hAnsi="Times New Roman" w:eastAsia="黑体" w:cs="Times New Roman"/>
          <w:b w:val="0"/>
          <w:bCs w:val="0"/>
          <w:sz w:val="32"/>
          <w:szCs w:val="32"/>
          <w:highlight w:val="none"/>
          <w:lang w:val="en-US" w:eastAsia="zh-CN"/>
        </w:rPr>
        <w:t>三条</w:t>
      </w:r>
      <w:r>
        <w:rPr>
          <w:rFonts w:hint="eastAsia" w:ascii="仿宋_GB2312" w:hAnsi="仿宋_GB2312" w:eastAsia="仿宋_GB2312" w:cs="仿宋_GB2312"/>
          <w:b w:val="0"/>
          <w:bCs w:val="0"/>
          <w:sz w:val="32"/>
          <w:szCs w:val="32"/>
          <w:highlight w:val="none"/>
        </w:rPr>
        <w:t>　</w:t>
      </w:r>
      <w:r>
        <w:rPr>
          <w:rFonts w:hint="eastAsia" w:ascii="仿宋_GB2312" w:hAnsi="仿宋_GB2312" w:eastAsia="仿宋_GB2312" w:cs="仿宋_GB2312"/>
          <w:b w:val="0"/>
          <w:bCs w:val="0"/>
          <w:sz w:val="32"/>
          <w:szCs w:val="32"/>
          <w:highlight w:val="none"/>
          <w:lang w:eastAsia="zh-CN"/>
        </w:rPr>
        <w:t>区国资监管机构</w:t>
      </w:r>
      <w:r>
        <w:rPr>
          <w:rFonts w:hint="eastAsia" w:ascii="仿宋_GB2312" w:hAnsi="仿宋_GB2312" w:eastAsia="仿宋_GB2312" w:cs="仿宋_GB2312"/>
          <w:b w:val="0"/>
          <w:bCs w:val="0"/>
          <w:sz w:val="32"/>
          <w:szCs w:val="32"/>
          <w:highlight w:val="none"/>
        </w:rPr>
        <w:t>按照以管资本为主的原则，以引导投资方向、规范决策程序、提高资本回报、维护资本安全为重点，依法建立信息对称、权责对等、运行规范、风险控制有力的投资监督管理体系，推动企业强化投资行为的全程全面</w:t>
      </w:r>
      <w:r>
        <w:rPr>
          <w:rFonts w:hint="eastAsia" w:ascii="仿宋_GB2312" w:hAnsi="仿宋_GB2312" w:eastAsia="仿宋_GB2312" w:cs="仿宋_GB2312"/>
          <w:b w:val="0"/>
          <w:bCs w:val="0"/>
          <w:sz w:val="32"/>
          <w:szCs w:val="32"/>
          <w:highlight w:val="none"/>
          <w:lang w:val="en-US" w:eastAsia="zh-CN"/>
        </w:rPr>
        <w:t>穿透式</w:t>
      </w:r>
      <w:r>
        <w:rPr>
          <w:rFonts w:hint="eastAsia" w:ascii="仿宋_GB2312" w:hAnsi="仿宋_GB2312" w:eastAsia="仿宋_GB2312" w:cs="仿宋_GB2312"/>
          <w:b w:val="0"/>
          <w:bCs w:val="0"/>
          <w:sz w:val="32"/>
          <w:szCs w:val="32"/>
          <w:highlight w:val="none"/>
        </w:rPr>
        <w:t>监管。主要履行以下职责：</w:t>
      </w:r>
    </w:p>
    <w:p w14:paraId="25860E8B">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（一）引导国有资本投资方向，对企业主业进行确认；</w:t>
      </w:r>
    </w:p>
    <w:p w14:paraId="31AE3293">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（二）指导和监督企业建立健全投资管理制度；</w:t>
      </w:r>
    </w:p>
    <w:p w14:paraId="17D1ADD1">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（三）督促企业编制执行年度投资计划，并对年度投资计划实行备案管理；</w:t>
      </w:r>
    </w:p>
    <w:p w14:paraId="01CF3C8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（四）制定企业投资项目负面清单，对企业投资项目进行监管；</w:t>
      </w:r>
    </w:p>
    <w:p w14:paraId="6FFDF597">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（五）监督检查企业投资管理制度执行情况，包括投资决策、实施、评价等</w:t>
      </w:r>
      <w:r>
        <w:rPr>
          <w:rFonts w:hint="eastAsia" w:ascii="仿宋_GB2312" w:hAnsi="仿宋_GB2312" w:eastAsia="仿宋_GB2312" w:cs="仿宋_GB2312"/>
          <w:b w:val="0"/>
          <w:bCs w:val="0"/>
          <w:sz w:val="32"/>
          <w:szCs w:val="32"/>
          <w:highlight w:val="none"/>
          <w:lang w:eastAsia="zh-CN"/>
        </w:rPr>
        <w:t>，</w:t>
      </w:r>
      <w:r>
        <w:rPr>
          <w:rFonts w:hint="eastAsia" w:ascii="仿宋_GB2312" w:hAnsi="仿宋_GB2312" w:eastAsia="仿宋_GB2312" w:cs="仿宋_GB2312"/>
          <w:b w:val="0"/>
          <w:bCs w:val="0"/>
          <w:spacing w:val="0"/>
          <w:sz w:val="32"/>
          <w:szCs w:val="32"/>
          <w:highlight w:val="none"/>
        </w:rPr>
        <w:t>对违规投资造成国有资产损失以及其他严重不良后果的进行责任追究</w:t>
      </w:r>
      <w:r>
        <w:rPr>
          <w:rFonts w:hint="eastAsia" w:ascii="仿宋_GB2312" w:hAnsi="仿宋_GB2312" w:eastAsia="仿宋_GB2312" w:cs="仿宋_GB2312"/>
          <w:b w:val="0"/>
          <w:bCs w:val="0"/>
          <w:spacing w:val="0"/>
          <w:sz w:val="32"/>
          <w:szCs w:val="32"/>
          <w:highlight w:val="none"/>
          <w:lang w:eastAsia="zh-CN"/>
        </w:rPr>
        <w:t>；</w:t>
      </w:r>
    </w:p>
    <w:p w14:paraId="5C06DFA7">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pacing w:val="0"/>
          <w:sz w:val="32"/>
          <w:szCs w:val="32"/>
          <w:highlight w:val="none"/>
          <w:lang w:eastAsia="zh-CN"/>
        </w:rPr>
      </w:pPr>
      <w:r>
        <w:rPr>
          <w:rFonts w:hint="eastAsia" w:ascii="仿宋_GB2312" w:hAnsi="仿宋_GB2312" w:eastAsia="仿宋_GB2312" w:cs="仿宋_GB2312"/>
          <w:b w:val="0"/>
          <w:bCs w:val="0"/>
          <w:sz w:val="32"/>
          <w:szCs w:val="32"/>
          <w:highlight w:val="none"/>
          <w:lang w:eastAsia="zh-CN"/>
        </w:rPr>
        <w:t>（六）</w:t>
      </w:r>
      <w:r>
        <w:rPr>
          <w:rFonts w:hint="eastAsia" w:ascii="仿宋_GB2312" w:hAnsi="仿宋_GB2312" w:eastAsia="仿宋_GB2312" w:cs="仿宋_GB2312"/>
          <w:b w:val="0"/>
          <w:bCs w:val="0"/>
          <w:spacing w:val="0"/>
          <w:sz w:val="32"/>
          <w:szCs w:val="32"/>
          <w:highlight w:val="none"/>
        </w:rPr>
        <w:t>向区人民政府报告需要协调的企业重大投资事项</w:t>
      </w:r>
      <w:r>
        <w:rPr>
          <w:rFonts w:hint="eastAsia" w:ascii="仿宋_GB2312" w:hAnsi="仿宋_GB2312" w:eastAsia="仿宋_GB2312" w:cs="仿宋_GB2312"/>
          <w:b w:val="0"/>
          <w:bCs w:val="0"/>
          <w:spacing w:val="0"/>
          <w:sz w:val="32"/>
          <w:szCs w:val="32"/>
          <w:highlight w:val="none"/>
          <w:lang w:eastAsia="zh-CN"/>
        </w:rPr>
        <w:t>；</w:t>
      </w:r>
    </w:p>
    <w:p w14:paraId="382F7ADE">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i w:val="0"/>
          <w:iCs w:val="0"/>
          <w:caps w:val="0"/>
          <w:color w:val="auto"/>
          <w:spacing w:val="0"/>
          <w:sz w:val="32"/>
          <w:szCs w:val="32"/>
          <w:highlight w:val="none"/>
          <w:u w:val="none"/>
        </w:rPr>
      </w:pPr>
      <w:r>
        <w:rPr>
          <w:rFonts w:hint="eastAsia" w:ascii="仿宋_GB2312" w:hAnsi="仿宋_GB2312" w:eastAsia="仿宋_GB2312" w:cs="仿宋_GB2312"/>
          <w:b w:val="0"/>
          <w:bCs w:val="0"/>
          <w:spacing w:val="0"/>
          <w:sz w:val="32"/>
          <w:szCs w:val="32"/>
          <w:highlight w:val="none"/>
          <w:lang w:eastAsia="zh-CN"/>
        </w:rPr>
        <w:t>（七）</w:t>
      </w:r>
      <w:r>
        <w:rPr>
          <w:rFonts w:hint="eastAsia" w:ascii="仿宋_GB2312" w:hAnsi="仿宋_GB2312" w:eastAsia="仿宋_GB2312" w:cs="仿宋_GB2312"/>
          <w:b w:val="0"/>
          <w:bCs w:val="0"/>
          <w:spacing w:val="0"/>
          <w:sz w:val="32"/>
          <w:szCs w:val="32"/>
          <w:highlight w:val="none"/>
        </w:rPr>
        <w:t>法律、法规规定的其他出资人职责。</w:t>
      </w:r>
    </w:p>
    <w:p w14:paraId="690C9613">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Style w:val="8"/>
          <w:rFonts w:hint="default" w:ascii="Times New Roman" w:hAnsi="Times New Roman" w:eastAsia="黑体" w:cs="Times New Roman"/>
          <w:b w:val="0"/>
          <w:bCs w:val="0"/>
          <w:sz w:val="32"/>
          <w:szCs w:val="32"/>
          <w:highlight w:val="none"/>
        </w:rPr>
        <w:t>第</w:t>
      </w:r>
      <w:r>
        <w:rPr>
          <w:rStyle w:val="8"/>
          <w:rFonts w:hint="default" w:ascii="Times New Roman" w:hAnsi="Times New Roman" w:eastAsia="黑体" w:cs="Times New Roman"/>
          <w:b w:val="0"/>
          <w:bCs w:val="0"/>
          <w:sz w:val="32"/>
          <w:szCs w:val="32"/>
          <w:highlight w:val="none"/>
          <w:lang w:eastAsia="zh-CN"/>
        </w:rPr>
        <w:t>四</w:t>
      </w:r>
      <w:r>
        <w:rPr>
          <w:rStyle w:val="8"/>
          <w:rFonts w:hint="default" w:ascii="Times New Roman" w:hAnsi="Times New Roman" w:eastAsia="黑体" w:cs="Times New Roman"/>
          <w:b w:val="0"/>
          <w:bCs w:val="0"/>
          <w:sz w:val="32"/>
          <w:szCs w:val="32"/>
          <w:highlight w:val="none"/>
        </w:rPr>
        <w:t>条</w:t>
      </w:r>
      <w:r>
        <w:rPr>
          <w:rFonts w:hint="default" w:ascii="Times New Roman" w:hAnsi="Times New Roman" w:eastAsia="仿宋_GB2312" w:cs="Times New Roman"/>
          <w:b w:val="0"/>
          <w:bCs w:val="0"/>
          <w:sz w:val="32"/>
          <w:szCs w:val="32"/>
          <w:highlight w:val="none"/>
        </w:rPr>
        <w:t>　</w:t>
      </w:r>
      <w:r>
        <w:rPr>
          <w:rFonts w:hint="eastAsia" w:ascii="仿宋_GB2312" w:hAnsi="仿宋_GB2312" w:eastAsia="仿宋_GB2312" w:cs="仿宋_GB2312"/>
          <w:b w:val="0"/>
          <w:bCs w:val="0"/>
          <w:sz w:val="32"/>
          <w:szCs w:val="32"/>
          <w:highlight w:val="none"/>
        </w:rPr>
        <w:t>企业是投资的决策主体、执行主体和责任主体，</w:t>
      </w:r>
      <w:r>
        <w:rPr>
          <w:rFonts w:hint="eastAsia" w:ascii="仿宋_GB2312" w:hAnsi="仿宋_GB2312" w:eastAsia="仿宋_GB2312" w:cs="仿宋_GB2312"/>
          <w:b w:val="0"/>
          <w:bCs w:val="0"/>
          <w:spacing w:val="0"/>
          <w:sz w:val="32"/>
          <w:szCs w:val="32"/>
          <w:highlight w:val="none"/>
        </w:rPr>
        <w:t>应当服务国家、省、市、区发展</w:t>
      </w:r>
      <w:r>
        <w:rPr>
          <w:rFonts w:hint="eastAsia" w:ascii="仿宋_GB2312" w:hAnsi="仿宋_GB2312" w:eastAsia="仿宋_GB2312" w:cs="仿宋_GB2312"/>
          <w:b w:val="0"/>
          <w:bCs w:val="0"/>
          <w:spacing w:val="0"/>
          <w:sz w:val="32"/>
          <w:szCs w:val="32"/>
          <w:highlight w:val="none"/>
          <w:lang w:val="en-US" w:eastAsia="zh-CN"/>
        </w:rPr>
        <w:t>规划</w:t>
      </w:r>
      <w:r>
        <w:rPr>
          <w:rFonts w:hint="eastAsia" w:ascii="仿宋_GB2312" w:hAnsi="仿宋_GB2312" w:eastAsia="仿宋_GB2312" w:cs="仿宋_GB2312"/>
          <w:b w:val="0"/>
          <w:bCs w:val="0"/>
          <w:spacing w:val="0"/>
          <w:sz w:val="32"/>
          <w:szCs w:val="32"/>
          <w:highlight w:val="none"/>
        </w:rPr>
        <w:t>，体现出资人投资意愿，坚持以规划为引领，聚焦主业发展，大力培育和发展战略性新兴</w:t>
      </w:r>
      <w:r>
        <w:rPr>
          <w:rFonts w:hint="eastAsia" w:ascii="仿宋_GB2312" w:hAnsi="仿宋_GB2312" w:eastAsia="仿宋_GB2312" w:cs="仿宋_GB2312"/>
          <w:b w:val="0"/>
          <w:bCs w:val="0"/>
          <w:spacing w:val="0"/>
          <w:sz w:val="32"/>
          <w:szCs w:val="32"/>
          <w:highlight w:val="none"/>
          <w:lang w:eastAsia="zh-CN"/>
        </w:rPr>
        <w:t>产业，</w:t>
      </w:r>
      <w:r>
        <w:rPr>
          <w:rFonts w:hint="eastAsia" w:ascii="仿宋_GB2312" w:hAnsi="仿宋_GB2312" w:eastAsia="仿宋_GB2312" w:cs="仿宋_GB2312"/>
          <w:b w:val="0"/>
          <w:bCs w:val="0"/>
          <w:color w:val="auto"/>
          <w:spacing w:val="0"/>
          <w:sz w:val="32"/>
          <w:highlight w:val="none"/>
          <w:u w:val="none"/>
        </w:rPr>
        <w:t>严格控制非主业投资，严格遵守投资决策程序，提高投资回报，防止国有资产流失。</w:t>
      </w:r>
      <w:r>
        <w:rPr>
          <w:rFonts w:hint="eastAsia" w:ascii="仿宋_GB2312" w:hAnsi="仿宋_GB2312" w:eastAsia="仿宋_GB2312" w:cs="仿宋_GB2312"/>
          <w:b w:val="0"/>
          <w:bCs w:val="0"/>
          <w:sz w:val="32"/>
          <w:szCs w:val="32"/>
          <w:highlight w:val="none"/>
        </w:rPr>
        <w:t>主要职责是：</w:t>
      </w:r>
    </w:p>
    <w:p w14:paraId="54ED2AB1">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（一）依据</w:t>
      </w:r>
      <w:r>
        <w:rPr>
          <w:rFonts w:hint="eastAsia" w:ascii="仿宋_GB2312" w:hAnsi="仿宋_GB2312" w:eastAsia="仿宋_GB2312" w:cs="仿宋_GB2312"/>
          <w:b w:val="0"/>
          <w:bCs w:val="0"/>
          <w:sz w:val="32"/>
          <w:szCs w:val="32"/>
          <w:highlight w:val="none"/>
          <w:lang w:val="en-US" w:eastAsia="zh-CN"/>
        </w:rPr>
        <w:t>国有资本优化布局和结构调整规划，与企业</w:t>
      </w:r>
      <w:r>
        <w:rPr>
          <w:rFonts w:hint="eastAsia" w:ascii="仿宋_GB2312" w:hAnsi="仿宋_GB2312" w:eastAsia="仿宋_GB2312" w:cs="仿宋_GB2312"/>
          <w:b w:val="0"/>
          <w:bCs w:val="0"/>
          <w:sz w:val="32"/>
          <w:szCs w:val="32"/>
          <w:highlight w:val="none"/>
        </w:rPr>
        <w:t>功能定位，合理确定投资方向、策略和标准；</w:t>
      </w:r>
    </w:p>
    <w:p w14:paraId="1DAF07E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（二）健全投资管理制度，制定本企业投资负面清单，完善投资科学决策机制；</w:t>
      </w:r>
    </w:p>
    <w:p w14:paraId="4BFC867E">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（三）制定和执行年度投资计划；</w:t>
      </w:r>
    </w:p>
    <w:p w14:paraId="774B7811">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（四）强化投资项目尽职调查、可行性研究、审查论证等前期工作，审慎决策投资项目，监管类项目履行决策程序后报</w:t>
      </w:r>
      <w:r>
        <w:rPr>
          <w:rFonts w:hint="eastAsia" w:ascii="仿宋_GB2312" w:hAnsi="仿宋_GB2312" w:eastAsia="仿宋_GB2312" w:cs="仿宋_GB2312"/>
          <w:b w:val="0"/>
          <w:bCs w:val="0"/>
          <w:sz w:val="32"/>
          <w:szCs w:val="32"/>
          <w:highlight w:val="none"/>
          <w:lang w:val="en-US" w:eastAsia="zh-CN"/>
        </w:rPr>
        <w:t>区国资</w:t>
      </w:r>
      <w:r>
        <w:rPr>
          <w:rFonts w:hint="eastAsia" w:ascii="仿宋_GB2312" w:hAnsi="仿宋_GB2312" w:eastAsia="仿宋_GB2312" w:cs="仿宋_GB2312"/>
          <w:b w:val="0"/>
          <w:bCs w:val="0"/>
          <w:sz w:val="32"/>
          <w:szCs w:val="32"/>
          <w:highlight w:val="none"/>
          <w:u w:val="none"/>
          <w:lang w:eastAsia="zh-CN"/>
        </w:rPr>
        <w:t>监管机构</w:t>
      </w:r>
      <w:r>
        <w:rPr>
          <w:rFonts w:hint="eastAsia" w:ascii="仿宋_GB2312" w:hAnsi="仿宋_GB2312" w:eastAsia="仿宋_GB2312" w:cs="仿宋_GB2312"/>
          <w:b w:val="0"/>
          <w:bCs w:val="0"/>
          <w:sz w:val="32"/>
          <w:szCs w:val="32"/>
          <w:highlight w:val="none"/>
        </w:rPr>
        <w:t>审核；</w:t>
      </w:r>
    </w:p>
    <w:p w14:paraId="412110CE">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（五）组织实施投资项目，开展项目后评价</w:t>
      </w:r>
      <w:r>
        <w:rPr>
          <w:rFonts w:hint="eastAsia" w:ascii="仿宋_GB2312" w:hAnsi="仿宋_GB2312" w:eastAsia="仿宋_GB2312" w:cs="仿宋_GB2312"/>
          <w:b w:val="0"/>
          <w:bCs w:val="0"/>
          <w:sz w:val="32"/>
          <w:szCs w:val="32"/>
          <w:highlight w:val="none"/>
          <w:u w:val="none"/>
          <w:lang w:eastAsia="zh-CN"/>
        </w:rPr>
        <w:t>和审计</w:t>
      </w:r>
      <w:r>
        <w:rPr>
          <w:rFonts w:hint="eastAsia" w:ascii="仿宋_GB2312" w:hAnsi="仿宋_GB2312" w:eastAsia="仿宋_GB2312" w:cs="仿宋_GB2312"/>
          <w:b w:val="0"/>
          <w:bCs w:val="0"/>
          <w:sz w:val="32"/>
          <w:szCs w:val="32"/>
          <w:highlight w:val="none"/>
        </w:rPr>
        <w:t>；</w:t>
      </w:r>
    </w:p>
    <w:p w14:paraId="4C8CD9C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Fonts w:hint="eastAsia" w:ascii="仿宋_GB2312" w:hAnsi="仿宋_GB2312" w:eastAsia="仿宋_GB2312" w:cs="仿宋_GB2312"/>
          <w:b w:val="0"/>
          <w:bCs w:val="0"/>
          <w:sz w:val="32"/>
          <w:szCs w:val="32"/>
          <w:highlight w:val="none"/>
        </w:rPr>
        <w:t>（六）按规定报告投资管理制度、投资计划及执行、投资项目后评价等情况。</w:t>
      </w:r>
      <w:r>
        <w:rPr>
          <w:rFonts w:hint="default" w:ascii="Times New Roman" w:hAnsi="Times New Roman" w:eastAsia="微软雅黑" w:cs="Times New Roman"/>
          <w:b w:val="0"/>
          <w:bCs w:val="0"/>
          <w:sz w:val="32"/>
          <w:szCs w:val="32"/>
          <w:highlight w:val="none"/>
        </w:rPr>
        <w:t>　　</w:t>
      </w:r>
    </w:p>
    <w:p w14:paraId="61F9871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Style w:val="8"/>
          <w:rFonts w:hint="default" w:ascii="Times New Roman" w:hAnsi="Times New Roman" w:eastAsia="黑体" w:cs="Times New Roman"/>
          <w:b w:val="0"/>
          <w:bCs w:val="0"/>
          <w:sz w:val="32"/>
          <w:szCs w:val="32"/>
          <w:highlight w:val="none"/>
        </w:rPr>
        <w:t>第</w:t>
      </w:r>
      <w:r>
        <w:rPr>
          <w:rStyle w:val="8"/>
          <w:rFonts w:hint="default" w:ascii="Times New Roman" w:hAnsi="Times New Roman" w:eastAsia="黑体" w:cs="Times New Roman"/>
          <w:b w:val="0"/>
          <w:bCs w:val="0"/>
          <w:sz w:val="32"/>
          <w:szCs w:val="32"/>
          <w:highlight w:val="none"/>
          <w:lang w:val="en-US" w:eastAsia="zh-CN"/>
        </w:rPr>
        <w:t>五</w:t>
      </w:r>
      <w:r>
        <w:rPr>
          <w:rStyle w:val="8"/>
          <w:rFonts w:hint="default" w:ascii="Times New Roman" w:hAnsi="Times New Roman" w:eastAsia="黑体" w:cs="Times New Roman"/>
          <w:b w:val="0"/>
          <w:bCs w:val="0"/>
          <w:sz w:val="32"/>
          <w:szCs w:val="32"/>
          <w:highlight w:val="none"/>
        </w:rPr>
        <w:t>条</w:t>
      </w:r>
      <w:r>
        <w:rPr>
          <w:rFonts w:hint="default" w:ascii="Times New Roman" w:hAnsi="Times New Roman" w:eastAsia="仿宋_GB2312" w:cs="Times New Roman"/>
          <w:b w:val="0"/>
          <w:bCs w:val="0"/>
          <w:sz w:val="32"/>
          <w:szCs w:val="32"/>
          <w:highlight w:val="none"/>
        </w:rPr>
        <w:t>　</w:t>
      </w:r>
      <w:r>
        <w:rPr>
          <w:rFonts w:hint="eastAsia" w:ascii="仿宋_GB2312" w:hAnsi="仿宋_GB2312" w:eastAsia="仿宋_GB2312" w:cs="仿宋_GB2312"/>
          <w:b w:val="0"/>
          <w:bCs w:val="0"/>
          <w:sz w:val="32"/>
          <w:szCs w:val="32"/>
          <w:highlight w:val="none"/>
        </w:rPr>
        <w:t>投资应当遵循下列原则：</w:t>
      </w:r>
    </w:p>
    <w:p w14:paraId="5CFE249B">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（一）贯彻落实</w:t>
      </w:r>
      <w:r>
        <w:rPr>
          <w:rFonts w:hint="eastAsia" w:ascii="仿宋_GB2312" w:hAnsi="仿宋_GB2312" w:eastAsia="仿宋_GB2312" w:cs="仿宋_GB2312"/>
          <w:b w:val="0"/>
          <w:bCs w:val="0"/>
          <w:sz w:val="32"/>
          <w:szCs w:val="32"/>
          <w:highlight w:val="none"/>
          <w:lang w:val="en-US" w:eastAsia="zh-CN"/>
        </w:rPr>
        <w:t>高质量</w:t>
      </w:r>
      <w:r>
        <w:rPr>
          <w:rFonts w:hint="eastAsia" w:ascii="仿宋_GB2312" w:hAnsi="仿宋_GB2312" w:eastAsia="仿宋_GB2312" w:cs="仿宋_GB2312"/>
          <w:b w:val="0"/>
          <w:bCs w:val="0"/>
          <w:sz w:val="32"/>
          <w:szCs w:val="32"/>
          <w:highlight w:val="none"/>
        </w:rPr>
        <w:t>发展理念</w:t>
      </w:r>
      <w:r>
        <w:rPr>
          <w:rFonts w:hint="eastAsia" w:ascii="仿宋_GB2312" w:hAnsi="仿宋_GB2312" w:eastAsia="仿宋_GB2312" w:cs="仿宋_GB2312"/>
          <w:b w:val="0"/>
          <w:bCs w:val="0"/>
          <w:sz w:val="32"/>
          <w:szCs w:val="32"/>
          <w:highlight w:val="none"/>
          <w:lang w:eastAsia="zh-CN"/>
        </w:rPr>
        <w:t>，</w:t>
      </w:r>
      <w:r>
        <w:rPr>
          <w:rFonts w:hint="eastAsia" w:ascii="仿宋_GB2312" w:hAnsi="仿宋_GB2312" w:eastAsia="仿宋_GB2312" w:cs="仿宋_GB2312"/>
          <w:b w:val="0"/>
          <w:bCs w:val="0"/>
          <w:sz w:val="32"/>
          <w:szCs w:val="32"/>
          <w:highlight w:val="none"/>
        </w:rPr>
        <w:t>坚持质量第一、效益优先，聚焦关键核心技术和发展模式创新，增强企业核心竞争力;</w:t>
      </w:r>
    </w:p>
    <w:p w14:paraId="215FC384">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（二）遵守有关法律法规和</w:t>
      </w:r>
      <w:r>
        <w:rPr>
          <w:rFonts w:hint="eastAsia" w:ascii="仿宋_GB2312" w:hAnsi="仿宋_GB2312" w:eastAsia="仿宋_GB2312" w:cs="仿宋_GB2312"/>
          <w:b w:val="0"/>
          <w:bCs w:val="0"/>
          <w:sz w:val="32"/>
          <w:szCs w:val="32"/>
          <w:highlight w:val="none"/>
          <w:lang w:val="en-US" w:eastAsia="zh-CN"/>
        </w:rPr>
        <w:t>公司</w:t>
      </w:r>
      <w:r>
        <w:rPr>
          <w:rFonts w:hint="eastAsia" w:ascii="仿宋_GB2312" w:hAnsi="仿宋_GB2312" w:eastAsia="仿宋_GB2312" w:cs="仿宋_GB2312"/>
          <w:b w:val="0"/>
          <w:bCs w:val="0"/>
          <w:sz w:val="32"/>
          <w:szCs w:val="32"/>
          <w:highlight w:val="none"/>
        </w:rPr>
        <w:t>章程，符合产业政策、发展规划，以及国有资本布局结构调整导向，体现出资人意愿；</w:t>
      </w:r>
    </w:p>
    <w:p w14:paraId="61730B88">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（三）符合企业功能定位、发展规划及投资管理制度，坚持聚焦主业，严控非主业、产能严重过剩行业、高风险业务和低端低效产业投资；</w:t>
      </w:r>
    </w:p>
    <w:p w14:paraId="398240FD">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Fonts w:hint="eastAsia" w:ascii="仿宋_GB2312" w:hAnsi="仿宋_GB2312" w:eastAsia="仿宋_GB2312" w:cs="仿宋_GB2312"/>
          <w:b w:val="0"/>
          <w:bCs w:val="0"/>
          <w:sz w:val="32"/>
          <w:szCs w:val="32"/>
          <w:highlight w:val="none"/>
        </w:rPr>
        <w:t>（四）投资规模与企业资产规模、资产负债水平和筹融资能力相适应，与企业管理能力、人力资源等相匹配。</w:t>
      </w:r>
    </w:p>
    <w:p w14:paraId="5DFD8E6C">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cs="Times New Roman"/>
          <w:b w:val="0"/>
          <w:bCs w:val="0"/>
          <w:spacing w:val="0"/>
          <w:sz w:val="30"/>
          <w:szCs w:val="30"/>
          <w:highlight w:val="none"/>
          <w:lang w:eastAsia="zh-CN"/>
        </w:rPr>
      </w:pPr>
      <w:r>
        <w:rPr>
          <w:rStyle w:val="8"/>
          <w:rFonts w:hint="default" w:ascii="Times New Roman" w:hAnsi="Times New Roman" w:eastAsia="黑体" w:cs="Times New Roman"/>
          <w:b w:val="0"/>
          <w:bCs w:val="0"/>
          <w:sz w:val="32"/>
          <w:szCs w:val="32"/>
          <w:highlight w:val="none"/>
        </w:rPr>
        <w:t>　　</w:t>
      </w:r>
    </w:p>
    <w:p w14:paraId="150750EB">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第二章　投资监管体系</w:t>
      </w:r>
    </w:p>
    <w:p w14:paraId="5C310507">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Style w:val="8"/>
          <w:rFonts w:hint="default" w:ascii="Times New Roman" w:hAnsi="Times New Roman" w:eastAsia="黑体" w:cs="Times New Roman"/>
          <w:b w:val="0"/>
          <w:bCs w:val="0"/>
          <w:sz w:val="32"/>
          <w:szCs w:val="32"/>
          <w:highlight w:val="none"/>
        </w:rPr>
        <w:t>第六条</w:t>
      </w:r>
      <w:r>
        <w:rPr>
          <w:rFonts w:hint="default" w:ascii="Times New Roman" w:hAnsi="Times New Roman" w:eastAsia="仿宋_GB2312" w:cs="Times New Roman"/>
          <w:b w:val="0"/>
          <w:bCs w:val="0"/>
          <w:sz w:val="32"/>
          <w:szCs w:val="32"/>
          <w:highlight w:val="none"/>
        </w:rPr>
        <w:t>　</w:t>
      </w:r>
      <w:r>
        <w:rPr>
          <w:rFonts w:hint="eastAsia" w:ascii="仿宋_GB2312" w:hAnsi="仿宋_GB2312" w:eastAsia="仿宋_GB2312" w:cs="仿宋_GB2312"/>
          <w:b w:val="0"/>
          <w:bCs w:val="0"/>
          <w:sz w:val="32"/>
          <w:szCs w:val="32"/>
          <w:highlight w:val="none"/>
        </w:rPr>
        <w:t>企业应当建立健全投资管理制度、实施细则及流程等投资管理制度体系，主要包括：</w:t>
      </w:r>
    </w:p>
    <w:p w14:paraId="02AB4C0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（一）投资应遵循的基本原则；</w:t>
      </w:r>
    </w:p>
    <w:p w14:paraId="48B5A7F3">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（二）投资管理流程、管理部门及相关职责；</w:t>
      </w:r>
    </w:p>
    <w:p w14:paraId="7023B65E">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（三）投资决策程序、决策机构及其职责；</w:t>
      </w:r>
    </w:p>
    <w:p w14:paraId="5B61561E">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（四）投资项目负面清单；</w:t>
      </w:r>
    </w:p>
    <w:p w14:paraId="1057AC48">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（五）投资项目跟踪、中止、终止或退出制度；</w:t>
      </w:r>
    </w:p>
    <w:p w14:paraId="7DE77A2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（六）投资风险管控制度；</w:t>
      </w:r>
    </w:p>
    <w:p w14:paraId="69EF6A0E">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（七）投资信息化管理、投资事项报告制度；</w:t>
      </w:r>
    </w:p>
    <w:p w14:paraId="6B87C7C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（八）投资项目后评价、责任追究和奖惩制度；</w:t>
      </w:r>
    </w:p>
    <w:p w14:paraId="4634FAB0">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（九）对所属企业投资的授权与监管制度。</w:t>
      </w:r>
    </w:p>
    <w:p w14:paraId="002C8F71">
      <w:pPr>
        <w:pStyle w:val="2"/>
        <w:pageBreakBefore w:val="0"/>
        <w:kinsoku/>
        <w:bidi w:val="0"/>
        <w:spacing w:before="0" w:after="0" w:line="576" w:lineRule="exact"/>
        <w:ind w:left="0" w:leftChars="0" w:right="0" w:rightChars="0" w:firstLine="640" w:firstLineChars="200"/>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lang w:eastAsia="zh-CN"/>
        </w:rPr>
        <w:t>（十）</w:t>
      </w:r>
      <w:r>
        <w:rPr>
          <w:rFonts w:hint="eastAsia" w:ascii="仿宋_GB2312" w:hAnsi="仿宋_GB2312" w:eastAsia="仿宋_GB2312" w:cs="仿宋_GB2312"/>
          <w:b w:val="0"/>
          <w:bCs w:val="0"/>
          <w:spacing w:val="0"/>
          <w:sz w:val="32"/>
          <w:szCs w:val="32"/>
          <w:highlight w:val="none"/>
        </w:rPr>
        <w:t>对所属企业投资活动的授权、监督与管理制度。</w:t>
      </w:r>
    </w:p>
    <w:p w14:paraId="5B79BBA4">
      <w:pPr>
        <w:pStyle w:val="2"/>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lang w:eastAsia="zh-CN"/>
        </w:rPr>
      </w:pPr>
      <w:r>
        <w:rPr>
          <w:rFonts w:hint="eastAsia" w:ascii="仿宋_GB2312" w:hAnsi="仿宋_GB2312" w:eastAsia="仿宋_GB2312" w:cs="仿宋_GB2312"/>
          <w:b w:val="0"/>
          <w:bCs w:val="0"/>
          <w:spacing w:val="0"/>
          <w:sz w:val="32"/>
          <w:szCs w:val="32"/>
          <w:highlight w:val="none"/>
        </w:rPr>
        <w:t>企业投资管理制度经董事会审议通过后书</w:t>
      </w:r>
      <w:r>
        <w:rPr>
          <w:rFonts w:hint="eastAsia" w:ascii="仿宋_GB2312" w:hAnsi="仿宋_GB2312" w:eastAsia="仿宋_GB2312" w:cs="仿宋_GB2312"/>
          <w:b w:val="0"/>
          <w:bCs w:val="0"/>
          <w:spacing w:val="0"/>
          <w:sz w:val="32"/>
          <w:szCs w:val="32"/>
          <w:highlight w:val="none"/>
          <w:lang w:eastAsia="zh-CN"/>
        </w:rPr>
        <w:t>面</w:t>
      </w:r>
      <w:r>
        <w:rPr>
          <w:rFonts w:hint="eastAsia" w:ascii="仿宋_GB2312" w:hAnsi="仿宋_GB2312" w:eastAsia="仿宋_GB2312" w:cs="仿宋_GB2312"/>
          <w:b w:val="0"/>
          <w:bCs w:val="0"/>
          <w:spacing w:val="0"/>
          <w:sz w:val="32"/>
          <w:szCs w:val="32"/>
          <w:highlight w:val="none"/>
        </w:rPr>
        <w:t>报告区</w:t>
      </w:r>
      <w:r>
        <w:rPr>
          <w:rFonts w:hint="eastAsia" w:ascii="仿宋_GB2312" w:hAnsi="仿宋_GB2312" w:eastAsia="仿宋_GB2312" w:cs="仿宋_GB2312"/>
          <w:b w:val="0"/>
          <w:bCs w:val="0"/>
          <w:spacing w:val="0"/>
          <w:sz w:val="32"/>
          <w:szCs w:val="32"/>
          <w:highlight w:val="none"/>
          <w:lang w:eastAsia="zh-CN"/>
        </w:rPr>
        <w:t>国资监管机构</w:t>
      </w:r>
      <w:r>
        <w:rPr>
          <w:rFonts w:hint="eastAsia" w:ascii="仿宋_GB2312" w:hAnsi="仿宋_GB2312" w:eastAsia="仿宋_GB2312" w:cs="仿宋_GB2312"/>
          <w:b w:val="0"/>
          <w:bCs w:val="0"/>
          <w:spacing w:val="0"/>
          <w:sz w:val="32"/>
          <w:szCs w:val="32"/>
          <w:highlight w:val="none"/>
        </w:rPr>
        <w:t>。</w:t>
      </w:r>
    </w:p>
    <w:p w14:paraId="03CEDE20">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第七条</w:t>
      </w:r>
      <w:r>
        <w:rPr>
          <w:rFonts w:hint="default" w:ascii="Times New Roman" w:hAnsi="Times New Roman" w:eastAsia="仿宋_GB2312" w:cs="Times New Roman"/>
          <w:b w:val="0"/>
          <w:bCs w:val="0"/>
          <w:sz w:val="32"/>
          <w:szCs w:val="32"/>
          <w:highlight w:val="none"/>
        </w:rPr>
        <w:t>　企业应当加强对所属企业投资行为的监管，对所属企业的投资事项，依法依规发表意见，行使表决权。</w:t>
      </w:r>
    </w:p>
    <w:p w14:paraId="76AF7784">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第八条</w:t>
      </w:r>
      <w:r>
        <w:rPr>
          <w:rStyle w:val="8"/>
          <w:rFonts w:hint="eastAsia" w:ascii="Times New Roman" w:hAnsi="Times New Roman" w:eastAsia="黑体" w:cs="Times New Roman"/>
          <w:b w:val="0"/>
          <w:bCs w:val="0"/>
          <w:sz w:val="32"/>
          <w:szCs w:val="32"/>
          <w:highlight w:val="none"/>
          <w:lang w:eastAsia="zh-CN"/>
        </w:rPr>
        <w:t>　</w:t>
      </w:r>
      <w:r>
        <w:rPr>
          <w:rStyle w:val="8"/>
          <w:rFonts w:hint="eastAsia" w:ascii="仿宋_GB2312" w:hAnsi="仿宋_GB2312" w:eastAsia="仿宋_GB2312" w:cs="仿宋_GB2312"/>
          <w:b w:val="0"/>
          <w:bCs w:val="0"/>
          <w:sz w:val="32"/>
          <w:szCs w:val="32"/>
          <w:highlight w:val="none"/>
          <w:lang w:val="en-US" w:eastAsia="zh-CN"/>
        </w:rPr>
        <w:t>区国资</w:t>
      </w:r>
      <w:r>
        <w:rPr>
          <w:rFonts w:hint="eastAsia" w:ascii="仿宋_GB2312" w:hAnsi="仿宋_GB2312" w:eastAsia="仿宋_GB2312" w:cs="仿宋_GB2312"/>
          <w:b w:val="0"/>
          <w:bCs w:val="0"/>
          <w:kern w:val="2"/>
          <w:sz w:val="32"/>
          <w:szCs w:val="32"/>
          <w:highlight w:val="none"/>
          <w:lang w:eastAsia="zh-CN" w:bidi="ar-SA"/>
        </w:rPr>
        <w:t>监管机构应</w:t>
      </w:r>
      <w:r>
        <w:rPr>
          <w:rFonts w:hint="default" w:ascii="Times New Roman" w:hAnsi="Times New Roman" w:eastAsia="仿宋_GB2312" w:cs="Times New Roman"/>
          <w:b w:val="0"/>
          <w:bCs w:val="0"/>
          <w:sz w:val="32"/>
          <w:szCs w:val="32"/>
          <w:highlight w:val="none"/>
        </w:rPr>
        <w:t>建立投资监</w:t>
      </w:r>
      <w:r>
        <w:rPr>
          <w:rFonts w:hint="eastAsia" w:ascii="仿宋_GB2312" w:hAnsi="仿宋_GB2312" w:eastAsia="仿宋_GB2312" w:cs="仿宋_GB2312"/>
          <w:b w:val="0"/>
          <w:bCs w:val="0"/>
          <w:kern w:val="2"/>
          <w:sz w:val="32"/>
          <w:szCs w:val="32"/>
          <w:highlight w:val="none"/>
          <w:lang w:bidi="ar-SA"/>
        </w:rPr>
        <w:t>管</w:t>
      </w:r>
      <w:r>
        <w:rPr>
          <w:rFonts w:hint="eastAsia" w:ascii="仿宋_GB2312" w:hAnsi="仿宋_GB2312" w:eastAsia="仿宋_GB2312" w:cs="仿宋_GB2312"/>
          <w:b w:val="0"/>
          <w:bCs w:val="0"/>
          <w:kern w:val="2"/>
          <w:sz w:val="32"/>
          <w:szCs w:val="32"/>
          <w:highlight w:val="none"/>
          <w:lang w:eastAsia="zh-CN" w:bidi="ar-SA"/>
        </w:rPr>
        <w:t>台账</w:t>
      </w:r>
      <w:r>
        <w:rPr>
          <w:rFonts w:hint="eastAsia" w:ascii="仿宋_GB2312" w:hAnsi="仿宋_GB2312" w:eastAsia="仿宋_GB2312" w:cs="仿宋_GB2312"/>
          <w:b w:val="0"/>
          <w:bCs w:val="0"/>
          <w:kern w:val="2"/>
          <w:sz w:val="32"/>
          <w:szCs w:val="32"/>
          <w:highlight w:val="none"/>
          <w:lang w:bidi="ar-SA"/>
        </w:rPr>
        <w:t>，对</w:t>
      </w:r>
      <w:r>
        <w:rPr>
          <w:rFonts w:hint="default" w:ascii="Times New Roman" w:hAnsi="Times New Roman" w:eastAsia="仿宋_GB2312" w:cs="Times New Roman"/>
          <w:b w:val="0"/>
          <w:bCs w:val="0"/>
          <w:sz w:val="32"/>
          <w:szCs w:val="32"/>
          <w:highlight w:val="none"/>
        </w:rPr>
        <w:t>企业年度投资计划、季度及年度投资完成情况、重大投资项目实施及后评价情况等投资信息进行监测、分析和管理。企业须建立完善本企业投资管理</w:t>
      </w:r>
      <w:r>
        <w:rPr>
          <w:rFonts w:hint="eastAsia" w:ascii="仿宋_GB2312" w:hAnsi="仿宋_GB2312" w:eastAsia="仿宋_GB2312" w:cs="仿宋_GB2312"/>
          <w:b w:val="0"/>
          <w:bCs w:val="0"/>
          <w:kern w:val="2"/>
          <w:sz w:val="32"/>
          <w:szCs w:val="32"/>
          <w:highlight w:val="none"/>
          <w:lang w:eastAsia="zh-CN" w:bidi="ar-SA"/>
        </w:rPr>
        <w:t>台账</w:t>
      </w:r>
      <w:r>
        <w:rPr>
          <w:rFonts w:hint="eastAsia" w:ascii="仿宋_GB2312" w:hAnsi="仿宋_GB2312" w:eastAsia="仿宋_GB2312" w:cs="仿宋_GB2312"/>
          <w:b w:val="0"/>
          <w:bCs w:val="0"/>
          <w:kern w:val="2"/>
          <w:sz w:val="32"/>
          <w:szCs w:val="32"/>
          <w:highlight w:val="none"/>
          <w:lang w:bidi="ar-SA"/>
        </w:rPr>
        <w:t>，对企</w:t>
      </w:r>
      <w:r>
        <w:rPr>
          <w:rFonts w:hint="default" w:ascii="Times New Roman" w:hAnsi="Times New Roman" w:eastAsia="仿宋_GB2312" w:cs="Times New Roman"/>
          <w:b w:val="0"/>
          <w:bCs w:val="0"/>
          <w:sz w:val="32"/>
          <w:szCs w:val="32"/>
          <w:highlight w:val="none"/>
        </w:rPr>
        <w:t>业年度投资计划编制及执行、投资项目实施及调整、项目运营及后评价等情况，进行动态监管。</w:t>
      </w:r>
    </w:p>
    <w:p w14:paraId="7ACBA829">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Style w:val="8"/>
          <w:rFonts w:hint="default" w:ascii="Times New Roman" w:hAnsi="Times New Roman" w:eastAsia="黑体" w:cs="Times New Roman"/>
          <w:b w:val="0"/>
          <w:bCs w:val="0"/>
          <w:sz w:val="32"/>
          <w:szCs w:val="32"/>
          <w:highlight w:val="none"/>
        </w:rPr>
        <w:t>第九条</w:t>
      </w:r>
      <w:r>
        <w:rPr>
          <w:rFonts w:hint="default" w:ascii="Times New Roman" w:hAnsi="Times New Roman" w:eastAsia="仿宋_GB2312" w:cs="Times New Roman"/>
          <w:b w:val="0"/>
          <w:bCs w:val="0"/>
          <w:sz w:val="32"/>
          <w:szCs w:val="32"/>
          <w:highlight w:val="none"/>
        </w:rPr>
        <w:t>　</w:t>
      </w:r>
      <w:r>
        <w:rPr>
          <w:rFonts w:hint="eastAsia" w:ascii="仿宋_GB2312" w:hAnsi="仿宋_GB2312" w:eastAsia="仿宋_GB2312" w:cs="仿宋_GB2312"/>
          <w:b w:val="0"/>
          <w:bCs w:val="0"/>
          <w:sz w:val="32"/>
          <w:szCs w:val="32"/>
          <w:highlight w:val="none"/>
          <w:lang w:val="en-US" w:eastAsia="zh-CN"/>
        </w:rPr>
        <w:t>区国资</w:t>
      </w:r>
      <w:r>
        <w:rPr>
          <w:rFonts w:hint="eastAsia" w:ascii="仿宋_GB2312" w:hAnsi="仿宋_GB2312" w:eastAsia="仿宋_GB2312" w:cs="仿宋_GB2312"/>
          <w:b w:val="0"/>
          <w:bCs w:val="0"/>
          <w:sz w:val="32"/>
          <w:szCs w:val="32"/>
          <w:highlight w:val="none"/>
          <w:lang w:eastAsia="zh-CN"/>
        </w:rPr>
        <w:t>监管机构</w:t>
      </w:r>
      <w:r>
        <w:rPr>
          <w:rFonts w:hint="eastAsia" w:ascii="仿宋_GB2312" w:hAnsi="仿宋_GB2312" w:eastAsia="仿宋_GB2312" w:cs="仿宋_GB2312"/>
          <w:b w:val="0"/>
          <w:bCs w:val="0"/>
          <w:sz w:val="32"/>
          <w:szCs w:val="32"/>
          <w:highlight w:val="none"/>
        </w:rPr>
        <w:t>根据监管要求，对企业主业进行确认，</w:t>
      </w:r>
      <w:r>
        <w:rPr>
          <w:rFonts w:hint="eastAsia" w:ascii="仿宋_GB2312" w:hAnsi="仿宋_GB2312" w:eastAsia="仿宋_GB2312" w:cs="仿宋_GB2312"/>
          <w:b w:val="0"/>
          <w:bCs w:val="0"/>
          <w:sz w:val="32"/>
          <w:szCs w:val="32"/>
          <w:highlight w:val="none"/>
          <w:lang w:eastAsia="zh-CN"/>
        </w:rPr>
        <w:t>优化</w:t>
      </w:r>
      <w:r>
        <w:rPr>
          <w:rFonts w:hint="eastAsia" w:ascii="仿宋_GB2312" w:hAnsi="仿宋_GB2312" w:eastAsia="仿宋_GB2312" w:cs="仿宋_GB2312"/>
          <w:b w:val="0"/>
          <w:bCs w:val="0"/>
          <w:sz w:val="32"/>
          <w:szCs w:val="32"/>
          <w:highlight w:val="none"/>
        </w:rPr>
        <w:t>企业主业管理方式，经确认的主业作为企业编制年度投资计划、开展项目投资和</w:t>
      </w:r>
      <w:r>
        <w:rPr>
          <w:rFonts w:hint="eastAsia" w:ascii="仿宋_GB2312" w:hAnsi="仿宋_GB2312" w:eastAsia="仿宋_GB2312" w:cs="仿宋_GB2312"/>
          <w:b w:val="0"/>
          <w:bCs w:val="0"/>
          <w:sz w:val="32"/>
          <w:szCs w:val="32"/>
          <w:highlight w:val="none"/>
          <w:lang w:val="en-US" w:eastAsia="zh-CN"/>
        </w:rPr>
        <w:t>区国资</w:t>
      </w:r>
      <w:r>
        <w:rPr>
          <w:rFonts w:hint="eastAsia" w:ascii="仿宋_GB2312" w:hAnsi="仿宋_GB2312" w:eastAsia="仿宋_GB2312" w:cs="仿宋_GB2312"/>
          <w:b w:val="0"/>
          <w:bCs w:val="0"/>
          <w:sz w:val="32"/>
          <w:szCs w:val="32"/>
          <w:highlight w:val="none"/>
          <w:lang w:eastAsia="zh-CN"/>
        </w:rPr>
        <w:t>监管机构</w:t>
      </w:r>
      <w:r>
        <w:rPr>
          <w:rFonts w:hint="eastAsia" w:ascii="仿宋_GB2312" w:hAnsi="仿宋_GB2312" w:eastAsia="仿宋_GB2312" w:cs="仿宋_GB2312"/>
          <w:b w:val="0"/>
          <w:bCs w:val="0"/>
          <w:sz w:val="32"/>
          <w:szCs w:val="32"/>
          <w:highlight w:val="none"/>
        </w:rPr>
        <w:t>对企业投资监管的重要依据。</w:t>
      </w:r>
    </w:p>
    <w:p w14:paraId="5A250BD1">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第十条</w:t>
      </w:r>
      <w:r>
        <w:rPr>
          <w:rFonts w:hint="default" w:ascii="Times New Roman" w:hAnsi="Times New Roman" w:eastAsia="仿宋_GB2312" w:cs="Times New Roman"/>
          <w:b w:val="0"/>
          <w:bCs w:val="0"/>
          <w:sz w:val="32"/>
          <w:szCs w:val="32"/>
          <w:highlight w:val="none"/>
        </w:rPr>
        <w:t>　</w:t>
      </w:r>
      <w:r>
        <w:rPr>
          <w:rFonts w:hint="eastAsia" w:ascii="仿宋_GB2312" w:hAnsi="仿宋_GB2312" w:eastAsia="仿宋_GB2312" w:cs="仿宋_GB2312"/>
          <w:b w:val="0"/>
          <w:bCs w:val="0"/>
          <w:sz w:val="32"/>
          <w:szCs w:val="32"/>
          <w:highlight w:val="none"/>
          <w:lang w:val="en-US" w:eastAsia="zh-CN"/>
        </w:rPr>
        <w:t>区国资</w:t>
      </w:r>
      <w:r>
        <w:rPr>
          <w:rFonts w:hint="eastAsia" w:ascii="仿宋_GB2312" w:hAnsi="仿宋_GB2312" w:eastAsia="仿宋_GB2312" w:cs="仿宋_GB2312"/>
          <w:b w:val="0"/>
          <w:bCs w:val="0"/>
          <w:sz w:val="32"/>
          <w:szCs w:val="32"/>
          <w:highlight w:val="none"/>
          <w:lang w:eastAsia="zh-CN"/>
        </w:rPr>
        <w:t>监管机构</w:t>
      </w:r>
      <w:r>
        <w:rPr>
          <w:rFonts w:hint="eastAsia" w:ascii="仿宋_GB2312" w:hAnsi="仿宋_GB2312" w:eastAsia="仿宋_GB2312" w:cs="仿宋_GB2312"/>
          <w:b w:val="0"/>
          <w:bCs w:val="0"/>
          <w:sz w:val="32"/>
          <w:szCs w:val="32"/>
          <w:highlight w:val="none"/>
        </w:rPr>
        <w:t>建立发布企业投资项目负面清单，设定禁止类、监管类投资项目。对于禁止类的投资项目，企业一律不得投资；对于监管类的投资项目，企业应报</w:t>
      </w:r>
      <w:r>
        <w:rPr>
          <w:rFonts w:hint="eastAsia" w:ascii="仿宋_GB2312" w:hAnsi="仿宋_GB2312" w:eastAsia="仿宋_GB2312" w:cs="仿宋_GB2312"/>
          <w:b w:val="0"/>
          <w:bCs w:val="0"/>
          <w:sz w:val="32"/>
          <w:szCs w:val="32"/>
          <w:highlight w:val="none"/>
          <w:lang w:val="en-US" w:eastAsia="zh-CN"/>
        </w:rPr>
        <w:t>区国资</w:t>
      </w:r>
      <w:r>
        <w:rPr>
          <w:rFonts w:hint="eastAsia" w:ascii="仿宋_GB2312" w:hAnsi="仿宋_GB2312" w:eastAsia="仿宋_GB2312" w:cs="仿宋_GB2312"/>
          <w:b w:val="0"/>
          <w:bCs w:val="0"/>
          <w:sz w:val="32"/>
          <w:szCs w:val="32"/>
          <w:highlight w:val="none"/>
          <w:lang w:eastAsia="zh-CN"/>
        </w:rPr>
        <w:t>监管机构</w:t>
      </w:r>
      <w:r>
        <w:rPr>
          <w:rFonts w:hint="eastAsia" w:ascii="仿宋_GB2312" w:hAnsi="仿宋_GB2312" w:eastAsia="仿宋_GB2312" w:cs="仿宋_GB2312"/>
          <w:b w:val="0"/>
          <w:bCs w:val="0"/>
          <w:sz w:val="32"/>
          <w:szCs w:val="32"/>
          <w:highlight w:val="none"/>
        </w:rPr>
        <w:t>履行相关程序。负面清单之外的投资项目，由企业按照</w:t>
      </w:r>
      <w:r>
        <w:rPr>
          <w:rFonts w:hint="eastAsia" w:ascii="仿宋_GB2312" w:hAnsi="仿宋_GB2312" w:eastAsia="仿宋_GB2312" w:cs="仿宋_GB2312"/>
          <w:b w:val="0"/>
          <w:bCs w:val="0"/>
          <w:sz w:val="32"/>
          <w:szCs w:val="32"/>
          <w:highlight w:val="none"/>
          <w:lang w:eastAsia="zh-CN"/>
        </w:rPr>
        <w:t>区国有资本布局规划</w:t>
      </w:r>
      <w:r>
        <w:rPr>
          <w:rFonts w:hint="eastAsia" w:ascii="仿宋_GB2312" w:hAnsi="仿宋_GB2312" w:eastAsia="仿宋_GB2312" w:cs="仿宋_GB2312"/>
          <w:b w:val="0"/>
          <w:bCs w:val="0"/>
          <w:sz w:val="32"/>
          <w:szCs w:val="32"/>
          <w:highlight w:val="none"/>
        </w:rPr>
        <w:t>自主决策。企业投资项目负面清单的内容保持相对稳定，适时动态调整。</w:t>
      </w:r>
    </w:p>
    <w:p w14:paraId="0645C5E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Style w:val="8"/>
          <w:rFonts w:hint="default" w:ascii="Times New Roman" w:hAnsi="Times New Roman" w:eastAsia="黑体" w:cs="Times New Roman"/>
          <w:b w:val="0"/>
          <w:bCs w:val="0"/>
          <w:sz w:val="32"/>
          <w:szCs w:val="32"/>
          <w:highlight w:val="none"/>
        </w:rPr>
      </w:pPr>
    </w:p>
    <w:p w14:paraId="5BCF58EA">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第三章　投资事前管理</w:t>
      </w:r>
    </w:p>
    <w:p w14:paraId="65464881">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Style w:val="8"/>
          <w:rFonts w:hint="default" w:ascii="Times New Roman" w:hAnsi="Times New Roman" w:eastAsia="黑体" w:cs="Times New Roman"/>
          <w:b w:val="0"/>
          <w:bCs w:val="0"/>
          <w:sz w:val="32"/>
          <w:szCs w:val="32"/>
          <w:highlight w:val="none"/>
        </w:rPr>
        <w:t>第十一条</w:t>
      </w:r>
      <w:r>
        <w:rPr>
          <w:rFonts w:hint="default" w:ascii="Times New Roman" w:hAnsi="Times New Roman" w:eastAsia="微软雅黑" w:cs="Times New Roman"/>
          <w:b w:val="0"/>
          <w:bCs w:val="0"/>
          <w:sz w:val="32"/>
          <w:szCs w:val="32"/>
          <w:highlight w:val="none"/>
          <w:lang w:val="en-US" w:eastAsia="zh-CN"/>
        </w:rPr>
        <w:t xml:space="preserve"> </w:t>
      </w:r>
      <w:r>
        <w:rPr>
          <w:rFonts w:hint="eastAsia" w:ascii="仿宋_GB2312" w:hAnsi="仿宋_GB2312" w:eastAsia="仿宋_GB2312" w:cs="仿宋_GB2312"/>
          <w:b w:val="0"/>
          <w:bCs w:val="0"/>
          <w:sz w:val="32"/>
          <w:szCs w:val="32"/>
          <w:highlight w:val="none"/>
        </w:rPr>
        <w:t>企业应当依据发展规划和主业编制年度投资计划，并与企业年度财务预算相衔接，</w:t>
      </w:r>
      <w:r>
        <w:rPr>
          <w:rFonts w:hint="eastAsia" w:ascii="仿宋_GB2312" w:hAnsi="仿宋_GB2312" w:eastAsia="仿宋_GB2312" w:cs="仿宋_GB2312"/>
          <w:b w:val="0"/>
          <w:bCs w:val="0"/>
          <w:spacing w:val="0"/>
          <w:sz w:val="32"/>
          <w:szCs w:val="32"/>
          <w:highlight w:val="none"/>
        </w:rPr>
        <w:t>与合理的资产负债水平相适应，并进行可行性研究论证</w:t>
      </w:r>
      <w:r>
        <w:rPr>
          <w:rFonts w:hint="eastAsia" w:ascii="仿宋_GB2312" w:hAnsi="仿宋_GB2312" w:eastAsia="仿宋_GB2312" w:cs="仿宋_GB2312"/>
          <w:b w:val="0"/>
          <w:bCs w:val="0"/>
          <w:spacing w:val="0"/>
          <w:sz w:val="32"/>
          <w:szCs w:val="32"/>
          <w:highlight w:val="none"/>
          <w:lang w:eastAsia="zh-CN"/>
        </w:rPr>
        <w:t>。</w:t>
      </w:r>
      <w:r>
        <w:rPr>
          <w:rFonts w:hint="eastAsia" w:ascii="仿宋_GB2312" w:hAnsi="仿宋_GB2312" w:eastAsia="仿宋_GB2312" w:cs="仿宋_GB2312"/>
          <w:b w:val="0"/>
          <w:bCs w:val="0"/>
          <w:spacing w:val="0"/>
          <w:sz w:val="32"/>
          <w:szCs w:val="32"/>
          <w:highlight w:val="none"/>
        </w:rPr>
        <w:t>企业投资活动应当纳入年度投资计划，未纳入年度投资计划的投资项目原则上不得投资，</w:t>
      </w:r>
      <w:r>
        <w:rPr>
          <w:rFonts w:hint="eastAsia" w:ascii="仿宋_GB2312" w:hAnsi="仿宋_GB2312" w:eastAsia="仿宋_GB2312" w:cs="仿宋_GB2312"/>
          <w:b w:val="0"/>
          <w:bCs w:val="0"/>
          <w:sz w:val="32"/>
          <w:szCs w:val="32"/>
          <w:highlight w:val="none"/>
        </w:rPr>
        <w:t>非主业投资占年度投资计划总额比重原则上不超过</w:t>
      </w:r>
      <w:r>
        <w:rPr>
          <w:rFonts w:hint="eastAsia" w:ascii="Times New Roman" w:hAnsi="Times New Roman" w:eastAsia="仿宋_GB2312" w:cs="仿宋_GB2312"/>
          <w:b w:val="0"/>
          <w:bCs w:val="0"/>
          <w:sz w:val="32"/>
          <w:szCs w:val="32"/>
          <w:highlight w:val="none"/>
        </w:rPr>
        <w:t>10</w:t>
      </w:r>
      <w:r>
        <w:rPr>
          <w:rFonts w:hint="eastAsia" w:ascii="仿宋_GB2312" w:hAnsi="仿宋_GB2312" w:eastAsia="仿宋_GB2312" w:cs="仿宋_GB2312"/>
          <w:b w:val="0"/>
          <w:bCs w:val="0"/>
          <w:sz w:val="32"/>
          <w:szCs w:val="32"/>
          <w:highlight w:val="none"/>
        </w:rPr>
        <w:t>%。列入计划的投资项目应完成必要的前期工作，具备年内实施条件。</w:t>
      </w:r>
    </w:p>
    <w:p w14:paraId="741BFC0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Times New Roman" w:hAnsi="Times New Roman" w:eastAsia="仿宋_GB2312" w:cs="Times New Roman"/>
          <w:b w:val="0"/>
          <w:bCs w:val="0"/>
          <w:sz w:val="32"/>
          <w:szCs w:val="32"/>
          <w:highlight w:val="none"/>
          <w:lang w:eastAsia="zh-CN"/>
        </w:rPr>
      </w:pPr>
      <w:r>
        <w:rPr>
          <w:rStyle w:val="8"/>
          <w:rFonts w:hint="default" w:ascii="Times New Roman" w:hAnsi="Times New Roman" w:eastAsia="黑体" w:cs="Times New Roman"/>
          <w:b w:val="0"/>
          <w:bCs w:val="0"/>
          <w:sz w:val="32"/>
          <w:szCs w:val="32"/>
          <w:highlight w:val="none"/>
        </w:rPr>
        <w:t>第十二条</w:t>
      </w:r>
      <w:r>
        <w:rPr>
          <w:rFonts w:hint="eastAsia" w:ascii="Times New Roman" w:hAnsi="Times New Roman" w:eastAsia="微软雅黑" w:cs="Times New Roman"/>
          <w:b w:val="0"/>
          <w:bCs w:val="0"/>
          <w:sz w:val="32"/>
          <w:szCs w:val="32"/>
          <w:highlight w:val="none"/>
          <w:lang w:eastAsia="zh-CN"/>
        </w:rPr>
        <w:t>　</w:t>
      </w:r>
      <w:r>
        <w:rPr>
          <w:rFonts w:hint="default" w:ascii="Times New Roman" w:hAnsi="Times New Roman" w:eastAsia="仿宋_GB2312" w:cs="Times New Roman"/>
          <w:b w:val="0"/>
          <w:bCs w:val="0"/>
          <w:sz w:val="32"/>
          <w:szCs w:val="32"/>
          <w:highlight w:val="none"/>
        </w:rPr>
        <w:t>企业资产负债率</w:t>
      </w:r>
      <w:r>
        <w:rPr>
          <w:rFonts w:hint="default" w:ascii="Times New Roman" w:hAnsi="Times New Roman" w:eastAsia="仿宋_GB2312" w:cs="Times New Roman"/>
          <w:b w:val="0"/>
          <w:bCs w:val="0"/>
          <w:sz w:val="32"/>
          <w:szCs w:val="32"/>
          <w:highlight w:val="none"/>
          <w:lang w:eastAsia="zh-CN"/>
        </w:rPr>
        <w:t>在</w:t>
      </w:r>
      <w:r>
        <w:rPr>
          <w:rFonts w:hint="default" w:ascii="Times New Roman" w:hAnsi="Times New Roman" w:eastAsia="仿宋_GB2312" w:cs="Times New Roman"/>
          <w:b w:val="0"/>
          <w:bCs w:val="0"/>
          <w:sz w:val="32"/>
          <w:szCs w:val="32"/>
          <w:highlight w:val="none"/>
        </w:rPr>
        <w:t>重点关注区间（70%以上）的，应当严格控制年度计划投资规模，原则上不得因投资推高企业负债率。</w:t>
      </w:r>
    </w:p>
    <w:p w14:paraId="4B6255C0">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Style w:val="8"/>
          <w:rFonts w:hint="default" w:ascii="Times New Roman" w:hAnsi="Times New Roman" w:eastAsia="黑体" w:cs="Times New Roman"/>
          <w:b w:val="0"/>
          <w:bCs w:val="0"/>
          <w:sz w:val="32"/>
          <w:szCs w:val="32"/>
          <w:highlight w:val="none"/>
        </w:rPr>
        <w:t>第十三条</w:t>
      </w:r>
      <w:r>
        <w:rPr>
          <w:rStyle w:val="8"/>
          <w:rFonts w:hint="default" w:ascii="Times New Roman" w:hAnsi="Times New Roman" w:eastAsia="仿宋_GB2312" w:cs="Times New Roman"/>
          <w:b w:val="0"/>
          <w:bCs w:val="0"/>
          <w:sz w:val="32"/>
          <w:szCs w:val="32"/>
          <w:highlight w:val="none"/>
        </w:rPr>
        <w:t>　</w:t>
      </w:r>
      <w:r>
        <w:rPr>
          <w:rFonts w:hint="eastAsia" w:ascii="仿宋_GB2312" w:hAnsi="仿宋_GB2312" w:eastAsia="仿宋_GB2312" w:cs="仿宋_GB2312"/>
          <w:b w:val="0"/>
          <w:bCs w:val="0"/>
          <w:sz w:val="32"/>
          <w:szCs w:val="32"/>
          <w:highlight w:val="none"/>
        </w:rPr>
        <w:t>企业年度投资计划经董事会审议通过后，于每</w:t>
      </w:r>
      <w:r>
        <w:rPr>
          <w:rFonts w:hint="eastAsia" w:ascii="仿宋_GB2312" w:hAnsi="仿宋_GB2312" w:eastAsia="仿宋_GB2312" w:cs="仿宋_GB2312"/>
          <w:b w:val="0"/>
          <w:bCs w:val="0"/>
          <w:sz w:val="32"/>
          <w:szCs w:val="32"/>
          <w:highlight w:val="none"/>
          <w:lang w:val="en-US" w:eastAsia="zh-CN"/>
        </w:rPr>
        <w:t>年初</w:t>
      </w:r>
      <w:r>
        <w:rPr>
          <w:rFonts w:hint="eastAsia" w:ascii="仿宋_GB2312" w:hAnsi="仿宋_GB2312" w:eastAsia="仿宋_GB2312" w:cs="仿宋_GB2312"/>
          <w:b w:val="0"/>
          <w:bCs w:val="0"/>
          <w:sz w:val="32"/>
          <w:szCs w:val="32"/>
          <w:highlight w:val="none"/>
        </w:rPr>
        <w:t>报</w:t>
      </w:r>
      <w:r>
        <w:rPr>
          <w:rFonts w:hint="eastAsia" w:ascii="仿宋_GB2312" w:hAnsi="仿宋_GB2312" w:eastAsia="仿宋_GB2312" w:cs="仿宋_GB2312"/>
          <w:b w:val="0"/>
          <w:bCs w:val="0"/>
          <w:sz w:val="32"/>
          <w:szCs w:val="32"/>
          <w:highlight w:val="none"/>
          <w:lang w:eastAsia="zh-CN"/>
        </w:rPr>
        <w:t>送至区国资监管机构</w:t>
      </w:r>
      <w:r>
        <w:rPr>
          <w:rFonts w:hint="eastAsia" w:ascii="仿宋_GB2312" w:hAnsi="仿宋_GB2312" w:eastAsia="仿宋_GB2312" w:cs="仿宋_GB2312"/>
          <w:b w:val="0"/>
          <w:bCs w:val="0"/>
          <w:sz w:val="32"/>
          <w:szCs w:val="32"/>
          <w:highlight w:val="none"/>
        </w:rPr>
        <w:t>，</w:t>
      </w:r>
      <w:r>
        <w:rPr>
          <w:rFonts w:hint="eastAsia" w:ascii="仿宋_GB2312" w:hAnsi="仿宋_GB2312" w:eastAsia="仿宋_GB2312" w:cs="仿宋_GB2312"/>
          <w:b w:val="0"/>
          <w:bCs w:val="0"/>
          <w:sz w:val="32"/>
          <w:szCs w:val="32"/>
          <w:highlight w:val="none"/>
          <w:lang w:eastAsia="zh-CN"/>
        </w:rPr>
        <w:t>企业年度</w:t>
      </w:r>
      <w:r>
        <w:rPr>
          <w:rFonts w:hint="eastAsia" w:ascii="仿宋_GB2312" w:hAnsi="仿宋_GB2312" w:eastAsia="仿宋_GB2312" w:cs="仿宋_GB2312"/>
          <w:b w:val="0"/>
          <w:bCs w:val="0"/>
          <w:sz w:val="32"/>
          <w:szCs w:val="32"/>
          <w:highlight w:val="none"/>
        </w:rPr>
        <w:t>投资计划可行性分析报告、董事会决议及会议记录等材料</w:t>
      </w:r>
      <w:r>
        <w:rPr>
          <w:rFonts w:hint="eastAsia" w:ascii="仿宋_GB2312" w:hAnsi="仿宋_GB2312" w:eastAsia="仿宋_GB2312" w:cs="仿宋_GB2312"/>
          <w:b w:val="0"/>
          <w:bCs w:val="0"/>
          <w:sz w:val="32"/>
          <w:szCs w:val="32"/>
          <w:highlight w:val="none"/>
          <w:lang w:eastAsia="zh-CN"/>
        </w:rPr>
        <w:t>一并报送</w:t>
      </w:r>
      <w:r>
        <w:rPr>
          <w:rFonts w:hint="eastAsia" w:ascii="仿宋_GB2312" w:hAnsi="仿宋_GB2312" w:eastAsia="仿宋_GB2312" w:cs="仿宋_GB2312"/>
          <w:b w:val="0"/>
          <w:bCs w:val="0"/>
          <w:sz w:val="32"/>
          <w:szCs w:val="32"/>
          <w:highlight w:val="none"/>
        </w:rPr>
        <w:t>。年度投资计划主要包括：</w:t>
      </w:r>
    </w:p>
    <w:p w14:paraId="70E9CD6B">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pacing w:val="0"/>
          <w:sz w:val="32"/>
          <w:szCs w:val="32"/>
          <w:highlight w:val="none"/>
        </w:rPr>
        <w:t>（一）年度投资的总体目标，包括年度投资实施对企业产业升级、结构优化、发展质量与效益提升等的预期贡献；</w:t>
      </w:r>
    </w:p>
    <w:p w14:paraId="6F7E7F9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（二）投资规模与资金来源，包括计划投资总额、资金来源及构成、实施投资对资产负债率的影响等；</w:t>
      </w:r>
    </w:p>
    <w:p w14:paraId="1D99D96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（三）投资方向与结构，包括各类投资规模与比重、投资地域、投资方式等；</w:t>
      </w:r>
    </w:p>
    <w:p w14:paraId="635CDAE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Fonts w:hint="eastAsia" w:ascii="仿宋_GB2312" w:hAnsi="仿宋_GB2312" w:eastAsia="仿宋_GB2312" w:cs="仿宋_GB2312"/>
          <w:b w:val="0"/>
          <w:bCs w:val="0"/>
          <w:sz w:val="32"/>
          <w:szCs w:val="32"/>
          <w:highlight w:val="none"/>
        </w:rPr>
        <w:t>（四）计划主要投资项目，包括投资主体企业、项目内容、计划投资额、资金来源、投资预期收益、进度安排</w:t>
      </w:r>
      <w:r>
        <w:rPr>
          <w:rFonts w:hint="eastAsia" w:ascii="仿宋_GB2312" w:hAnsi="仿宋_GB2312" w:eastAsia="仿宋_GB2312" w:cs="仿宋_GB2312"/>
          <w:b w:val="0"/>
          <w:bCs w:val="0"/>
          <w:sz w:val="32"/>
          <w:szCs w:val="32"/>
          <w:highlight w:val="none"/>
          <w:lang w:eastAsia="zh-CN"/>
        </w:rPr>
        <w:t>、实施年限</w:t>
      </w:r>
      <w:r>
        <w:rPr>
          <w:rFonts w:hint="eastAsia" w:ascii="仿宋_GB2312" w:hAnsi="仿宋_GB2312" w:eastAsia="仿宋_GB2312" w:cs="仿宋_GB2312"/>
          <w:b w:val="0"/>
          <w:bCs w:val="0"/>
          <w:sz w:val="32"/>
          <w:szCs w:val="32"/>
          <w:highlight w:val="none"/>
        </w:rPr>
        <w:t>等。</w:t>
      </w:r>
    </w:p>
    <w:p w14:paraId="3CD38B97">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第十四条</w:t>
      </w:r>
      <w:r>
        <w:rPr>
          <w:rFonts w:hint="default" w:ascii="Times New Roman" w:hAnsi="Times New Roman" w:eastAsia="仿宋_GB2312" w:cs="Times New Roman"/>
          <w:b w:val="0"/>
          <w:bCs w:val="0"/>
          <w:sz w:val="32"/>
          <w:szCs w:val="32"/>
          <w:highlight w:val="none"/>
        </w:rPr>
        <w:t>　</w:t>
      </w:r>
      <w:r>
        <w:rPr>
          <w:rFonts w:hint="default" w:ascii="Times New Roman" w:hAnsi="Times New Roman" w:eastAsia="仿宋_GB2312" w:cs="Times New Roman"/>
          <w:b w:val="0"/>
          <w:bCs w:val="0"/>
          <w:sz w:val="32"/>
          <w:szCs w:val="32"/>
          <w:highlight w:val="none"/>
          <w:lang w:val="en-US" w:eastAsia="zh-CN"/>
        </w:rPr>
        <w:t>区国资</w:t>
      </w:r>
      <w:r>
        <w:rPr>
          <w:rFonts w:hint="default" w:ascii="Times New Roman" w:hAnsi="Times New Roman" w:eastAsia="仿宋_GB2312" w:cs="Times New Roman"/>
          <w:b w:val="0"/>
          <w:bCs w:val="0"/>
          <w:sz w:val="32"/>
          <w:szCs w:val="32"/>
          <w:highlight w:val="none"/>
          <w:lang w:eastAsia="zh-CN"/>
        </w:rPr>
        <w:t>监管机构</w:t>
      </w:r>
      <w:r>
        <w:rPr>
          <w:rFonts w:hint="default" w:ascii="Times New Roman" w:hAnsi="Times New Roman" w:eastAsia="仿宋_GB2312" w:cs="Times New Roman"/>
          <w:b w:val="0"/>
          <w:bCs w:val="0"/>
          <w:sz w:val="32"/>
          <w:szCs w:val="32"/>
          <w:highlight w:val="none"/>
        </w:rPr>
        <w:t>依据企业发展规划、企业主业、投资项目负面清单，从企业决策程序、投资方向、投资规模、投资结构、资金来源等方面，对企业年度投资计划进行监督指导。对有异议的项目，在收到年度投资计划报</w:t>
      </w:r>
      <w:r>
        <w:rPr>
          <w:rFonts w:hint="default" w:ascii="Times New Roman" w:hAnsi="Times New Roman" w:eastAsia="仿宋_GB2312" w:cs="Times New Roman"/>
          <w:b w:val="0"/>
          <w:bCs w:val="0"/>
          <w:sz w:val="32"/>
          <w:szCs w:val="32"/>
          <w:highlight w:val="none"/>
          <w:lang w:val="en-US" w:eastAsia="zh-CN"/>
        </w:rPr>
        <w:t>5-10</w:t>
      </w:r>
      <w:r>
        <w:rPr>
          <w:rFonts w:hint="default" w:ascii="Times New Roman" w:hAnsi="Times New Roman" w:eastAsia="仿宋_GB2312" w:cs="Times New Roman"/>
          <w:b w:val="0"/>
          <w:bCs w:val="0"/>
          <w:sz w:val="32"/>
          <w:szCs w:val="32"/>
          <w:highlight w:val="none"/>
        </w:rPr>
        <w:t>个工作日内，向企业反馈提示意见。企业应根据反馈意见对年度投资计划作出修改。</w:t>
      </w:r>
    </w:p>
    <w:p w14:paraId="5F4BEECE">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第十五条</w:t>
      </w:r>
      <w:r>
        <w:rPr>
          <w:rStyle w:val="8"/>
          <w:rFonts w:hint="default" w:ascii="Times New Roman" w:hAnsi="Times New Roman" w:eastAsia="仿宋_GB2312" w:cs="Times New Roman"/>
          <w:b w:val="0"/>
          <w:bCs w:val="0"/>
          <w:sz w:val="32"/>
          <w:szCs w:val="32"/>
          <w:highlight w:val="none"/>
        </w:rPr>
        <w:t>　</w:t>
      </w:r>
      <w:r>
        <w:rPr>
          <w:rFonts w:hint="eastAsia" w:ascii="仿宋_GB2312" w:hAnsi="仿宋_GB2312" w:eastAsia="仿宋_GB2312" w:cs="仿宋_GB2312"/>
          <w:b w:val="0"/>
          <w:bCs w:val="0"/>
          <w:sz w:val="32"/>
          <w:szCs w:val="32"/>
          <w:highlight w:val="none"/>
        </w:rPr>
        <w:t>企业应当严格执行年度投资计划，因生产经营环境发生重大变化等，计划投资项目变更的（包括停止或暂缓实施、追加投资、新增项目等），应当分析变更影响，按规定履行决策程序后报</w:t>
      </w:r>
      <w:r>
        <w:rPr>
          <w:rFonts w:hint="eastAsia" w:ascii="仿宋_GB2312" w:hAnsi="仿宋_GB2312" w:eastAsia="仿宋_GB2312" w:cs="仿宋_GB2312"/>
          <w:b w:val="0"/>
          <w:bCs w:val="0"/>
          <w:sz w:val="32"/>
          <w:szCs w:val="32"/>
          <w:highlight w:val="none"/>
          <w:lang w:val="en-US" w:eastAsia="zh-CN"/>
        </w:rPr>
        <w:t>区国资监管机构</w:t>
      </w:r>
      <w:r>
        <w:rPr>
          <w:rFonts w:hint="eastAsia" w:ascii="仿宋_GB2312" w:hAnsi="仿宋_GB2312" w:eastAsia="仿宋_GB2312" w:cs="仿宋_GB2312"/>
          <w:b w:val="0"/>
          <w:bCs w:val="0"/>
          <w:sz w:val="32"/>
          <w:szCs w:val="32"/>
          <w:highlight w:val="none"/>
        </w:rPr>
        <w:t>。</w:t>
      </w:r>
    </w:p>
    <w:p w14:paraId="0280C26A">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第十六条</w:t>
      </w:r>
      <w:r>
        <w:rPr>
          <w:rFonts w:hint="default" w:ascii="Times New Roman" w:hAnsi="Times New Roman" w:eastAsia="仿宋_GB2312" w:cs="Times New Roman"/>
          <w:b w:val="0"/>
          <w:bCs w:val="0"/>
          <w:sz w:val="32"/>
          <w:szCs w:val="32"/>
          <w:highlight w:val="none"/>
        </w:rPr>
        <w:t>　企业投资项目决策前，应当从政策、市场、技术、效益、环境、安全、社会稳定等方面，做好可行性研究、尽职调查、法律咨询论证、风险评估、专家评审论证等前期工作。　</w:t>
      </w:r>
    </w:p>
    <w:p w14:paraId="2DC4490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（一）项目可行性研究报告应包括以下内容</w:t>
      </w:r>
      <w:r>
        <w:rPr>
          <w:rFonts w:hint="eastAsia" w:ascii="仿宋_GB2312" w:hAnsi="仿宋_GB2312" w:eastAsia="仿宋_GB2312" w:cs="仿宋_GB2312"/>
          <w:b w:val="0"/>
          <w:bCs w:val="0"/>
          <w:sz w:val="32"/>
          <w:szCs w:val="32"/>
          <w:highlight w:val="none"/>
          <w:lang w:eastAsia="zh-CN"/>
        </w:rPr>
        <w:t>：</w:t>
      </w:r>
    </w:p>
    <w:p w14:paraId="2EDF55B8">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1</w:t>
      </w:r>
      <w:r>
        <w:rPr>
          <w:rFonts w:hint="eastAsia" w:ascii="仿宋_GB2312" w:hAnsi="仿宋_GB2312" w:eastAsia="仿宋_GB2312" w:cs="仿宋_GB2312"/>
          <w:b w:val="0"/>
          <w:bCs w:val="0"/>
          <w:sz w:val="32"/>
          <w:szCs w:val="32"/>
          <w:highlight w:val="none"/>
        </w:rPr>
        <w:t>.项目投资目的、背景、必要性；</w:t>
      </w:r>
    </w:p>
    <w:p w14:paraId="3ECCD5B3">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2</w:t>
      </w:r>
      <w:r>
        <w:rPr>
          <w:rFonts w:hint="eastAsia" w:ascii="仿宋_GB2312" w:hAnsi="仿宋_GB2312" w:eastAsia="仿宋_GB2312" w:cs="仿宋_GB2312"/>
          <w:b w:val="0"/>
          <w:bCs w:val="0"/>
          <w:sz w:val="32"/>
          <w:szCs w:val="32"/>
          <w:highlight w:val="none"/>
        </w:rPr>
        <w:t>.项目基本情况、投资主体以及合作方基本情况（包括近</w:t>
      </w:r>
      <w:r>
        <w:rPr>
          <w:rFonts w:hint="eastAsia" w:ascii="Times New Roman" w:hAnsi="Times New Roman" w:eastAsia="仿宋_GB2312" w:cs="仿宋_GB2312"/>
          <w:b w:val="0"/>
          <w:bCs w:val="0"/>
          <w:sz w:val="32"/>
          <w:szCs w:val="32"/>
          <w:highlight w:val="none"/>
        </w:rPr>
        <w:t>3</w:t>
      </w:r>
      <w:r>
        <w:rPr>
          <w:rFonts w:hint="eastAsia" w:ascii="仿宋_GB2312" w:hAnsi="仿宋_GB2312" w:eastAsia="仿宋_GB2312" w:cs="仿宋_GB2312"/>
          <w:b w:val="0"/>
          <w:bCs w:val="0"/>
          <w:sz w:val="32"/>
          <w:szCs w:val="32"/>
          <w:highlight w:val="none"/>
        </w:rPr>
        <w:t>年经营情况、财务状况等）；</w:t>
      </w:r>
    </w:p>
    <w:p w14:paraId="036405C8">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3</w:t>
      </w:r>
      <w:r>
        <w:rPr>
          <w:rFonts w:hint="eastAsia" w:ascii="仿宋_GB2312" w:hAnsi="仿宋_GB2312" w:eastAsia="仿宋_GB2312" w:cs="仿宋_GB2312"/>
          <w:b w:val="0"/>
          <w:bCs w:val="0"/>
          <w:sz w:val="32"/>
          <w:szCs w:val="32"/>
          <w:highlight w:val="none"/>
        </w:rPr>
        <w:t>.</w:t>
      </w:r>
      <w:r>
        <w:rPr>
          <w:rFonts w:hint="eastAsia" w:ascii="仿宋_GB2312" w:hAnsi="仿宋_GB2312" w:eastAsia="仿宋_GB2312" w:cs="仿宋_GB2312"/>
          <w:b w:val="0"/>
          <w:bCs w:val="0"/>
          <w:color w:val="auto"/>
          <w:spacing w:val="0"/>
          <w:sz w:val="32"/>
          <w:highlight w:val="none"/>
          <w:lang w:val="en-US" w:eastAsia="zh-CN"/>
        </w:rPr>
        <w:t>项目投资概算，资金来源</w:t>
      </w:r>
      <w:r>
        <w:rPr>
          <w:rFonts w:hint="eastAsia" w:ascii="仿宋_GB2312" w:hAnsi="仿宋_GB2312" w:eastAsia="仿宋_GB2312" w:cs="仿宋_GB2312"/>
          <w:b w:val="0"/>
          <w:bCs w:val="0"/>
          <w:sz w:val="32"/>
          <w:szCs w:val="32"/>
          <w:highlight w:val="none"/>
        </w:rPr>
        <w:t>；</w:t>
      </w:r>
    </w:p>
    <w:p w14:paraId="5B69784A">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24"/>
          <w:highlight w:val="none"/>
          <w:lang w:val="en-US" w:eastAsia="zh-CN"/>
        </w:rPr>
      </w:pPr>
      <w:r>
        <w:rPr>
          <w:rFonts w:hint="eastAsia" w:ascii="Times New Roman" w:hAnsi="Times New Roman" w:eastAsia="仿宋_GB2312" w:cs="仿宋_GB2312"/>
          <w:b w:val="0"/>
          <w:bCs w:val="0"/>
          <w:sz w:val="32"/>
          <w:szCs w:val="32"/>
          <w:highlight w:val="none"/>
        </w:rPr>
        <w:t>4</w:t>
      </w:r>
      <w:r>
        <w:rPr>
          <w:rFonts w:hint="eastAsia" w:ascii="仿宋_GB2312" w:hAnsi="仿宋_GB2312" w:eastAsia="仿宋_GB2312" w:cs="仿宋_GB2312"/>
          <w:b w:val="0"/>
          <w:bCs w:val="0"/>
          <w:sz w:val="32"/>
          <w:szCs w:val="32"/>
          <w:highlight w:val="none"/>
        </w:rPr>
        <w:t>.</w:t>
      </w:r>
      <w:r>
        <w:rPr>
          <w:rFonts w:hint="eastAsia" w:ascii="仿宋_GB2312" w:hAnsi="仿宋_GB2312" w:eastAsia="仿宋_GB2312" w:cs="仿宋_GB2312"/>
          <w:b w:val="0"/>
          <w:bCs w:val="0"/>
          <w:sz w:val="32"/>
          <w:szCs w:val="24"/>
          <w:highlight w:val="none"/>
          <w:lang w:val="en-US" w:eastAsia="zh-CN"/>
        </w:rPr>
        <w:t>项目市场前景、政策导向、运营方式及竞争优劣势；</w:t>
      </w:r>
    </w:p>
    <w:p w14:paraId="76870815">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lang w:eastAsia="zh-CN"/>
        </w:rPr>
        <w:t>5</w:t>
      </w:r>
      <w:r>
        <w:rPr>
          <w:rFonts w:hint="eastAsia" w:ascii="仿宋_GB2312" w:hAnsi="仿宋_GB2312" w:eastAsia="仿宋_GB2312" w:cs="仿宋_GB2312"/>
          <w:b w:val="0"/>
          <w:bCs w:val="0"/>
          <w:sz w:val="32"/>
          <w:szCs w:val="32"/>
          <w:highlight w:val="none"/>
        </w:rPr>
        <w:t>.项目经济效益分析（投资成本、投资回收期、承受能力、偿债能力，经营目标、运营成本、盈利能力等测算和分析）；</w:t>
      </w:r>
    </w:p>
    <w:p w14:paraId="41B8D290">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lang w:eastAsia="zh-CN"/>
        </w:rPr>
        <w:t>6</w:t>
      </w:r>
      <w:r>
        <w:rPr>
          <w:rFonts w:hint="eastAsia" w:ascii="仿宋_GB2312" w:hAnsi="仿宋_GB2312" w:eastAsia="仿宋_GB2312" w:cs="仿宋_GB2312"/>
          <w:b w:val="0"/>
          <w:bCs w:val="0"/>
          <w:sz w:val="32"/>
          <w:szCs w:val="32"/>
          <w:highlight w:val="none"/>
        </w:rPr>
        <w:t>.项目组织架构、制度建设、经营团队情况，以及各投资方的权利与义务等；</w:t>
      </w:r>
    </w:p>
    <w:p w14:paraId="7157D73D">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lang w:eastAsia="zh-CN"/>
        </w:rPr>
      </w:pPr>
      <w:r>
        <w:rPr>
          <w:rFonts w:hint="eastAsia" w:ascii="Times New Roman" w:hAnsi="Times New Roman" w:eastAsia="仿宋_GB2312" w:cs="仿宋_GB2312"/>
          <w:b w:val="0"/>
          <w:bCs w:val="0"/>
          <w:sz w:val="32"/>
          <w:szCs w:val="32"/>
          <w:highlight w:val="none"/>
          <w:lang w:eastAsia="zh-CN"/>
        </w:rPr>
        <w:t>7</w:t>
      </w:r>
      <w:r>
        <w:rPr>
          <w:rFonts w:hint="eastAsia" w:ascii="仿宋_GB2312" w:hAnsi="仿宋_GB2312" w:eastAsia="仿宋_GB2312" w:cs="仿宋_GB2312"/>
          <w:b w:val="0"/>
          <w:bCs w:val="0"/>
          <w:sz w:val="32"/>
          <w:szCs w:val="32"/>
          <w:highlight w:val="none"/>
        </w:rPr>
        <w:t>.项目风险评估及防范措施等</w:t>
      </w:r>
      <w:r>
        <w:rPr>
          <w:rFonts w:hint="eastAsia" w:ascii="仿宋_GB2312" w:hAnsi="仿宋_GB2312" w:eastAsia="仿宋_GB2312" w:cs="仿宋_GB2312"/>
          <w:b w:val="0"/>
          <w:bCs w:val="0"/>
          <w:sz w:val="32"/>
          <w:szCs w:val="32"/>
          <w:highlight w:val="none"/>
          <w:lang w:eastAsia="zh-CN"/>
        </w:rPr>
        <w:t>；</w:t>
      </w:r>
    </w:p>
    <w:p w14:paraId="416DC9B1">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lang w:val="en-US" w:eastAsia="zh-CN"/>
        </w:rPr>
        <w:t>8</w:t>
      </w:r>
      <w:r>
        <w:rPr>
          <w:rFonts w:hint="eastAsia" w:ascii="仿宋_GB2312" w:hAnsi="仿宋_GB2312" w:eastAsia="仿宋_GB2312" w:cs="仿宋_GB2312"/>
          <w:b w:val="0"/>
          <w:bCs w:val="0"/>
          <w:sz w:val="32"/>
          <w:szCs w:val="32"/>
          <w:highlight w:val="none"/>
          <w:lang w:val="en-US" w:eastAsia="zh-CN"/>
        </w:rPr>
        <w:t>.</w:t>
      </w:r>
      <w:r>
        <w:rPr>
          <w:rFonts w:hint="eastAsia" w:ascii="仿宋_GB2312" w:hAnsi="仿宋_GB2312" w:eastAsia="仿宋_GB2312" w:cs="仿宋_GB2312"/>
          <w:b w:val="0"/>
          <w:bCs w:val="0"/>
          <w:color w:val="auto"/>
          <w:spacing w:val="0"/>
          <w:sz w:val="32"/>
          <w:highlight w:val="none"/>
          <w:lang w:val="en-US" w:eastAsia="zh-CN"/>
        </w:rPr>
        <w:t>项目环境影响评价</w:t>
      </w:r>
      <w:r>
        <w:rPr>
          <w:rFonts w:hint="eastAsia" w:ascii="仿宋_GB2312" w:hAnsi="仿宋_GB2312" w:eastAsia="仿宋_GB2312" w:cs="仿宋_GB2312"/>
          <w:b w:val="0"/>
          <w:bCs w:val="0"/>
          <w:sz w:val="32"/>
          <w:szCs w:val="32"/>
          <w:highlight w:val="none"/>
        </w:rPr>
        <w:t>。</w:t>
      </w:r>
    </w:p>
    <w:p w14:paraId="6F8F34CD">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lang w:eastAsia="zh-CN"/>
        </w:rPr>
      </w:pPr>
      <w:r>
        <w:rPr>
          <w:rFonts w:hint="eastAsia" w:ascii="仿宋_GB2312" w:hAnsi="仿宋_GB2312" w:eastAsia="仿宋_GB2312" w:cs="仿宋_GB2312"/>
          <w:b w:val="0"/>
          <w:bCs w:val="0"/>
          <w:sz w:val="32"/>
          <w:szCs w:val="32"/>
          <w:highlight w:val="none"/>
        </w:rPr>
        <w:t>（二）投资项目尽职调查报告应包括以下内容</w:t>
      </w:r>
      <w:r>
        <w:rPr>
          <w:rFonts w:hint="eastAsia" w:ascii="仿宋_GB2312" w:hAnsi="仿宋_GB2312" w:eastAsia="仿宋_GB2312" w:cs="仿宋_GB2312"/>
          <w:b w:val="0"/>
          <w:bCs w:val="0"/>
          <w:sz w:val="32"/>
          <w:szCs w:val="32"/>
          <w:highlight w:val="none"/>
          <w:lang w:eastAsia="zh-CN"/>
        </w:rPr>
        <w:t>：</w:t>
      </w:r>
    </w:p>
    <w:p w14:paraId="418C96B5">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1</w:t>
      </w:r>
      <w:r>
        <w:rPr>
          <w:rFonts w:hint="eastAsia" w:ascii="仿宋_GB2312" w:hAnsi="仿宋_GB2312" w:eastAsia="仿宋_GB2312" w:cs="仿宋_GB2312"/>
          <w:b w:val="0"/>
          <w:bCs w:val="0"/>
          <w:sz w:val="32"/>
          <w:szCs w:val="32"/>
          <w:highlight w:val="none"/>
        </w:rPr>
        <w:t>.背景调查，包括目标企业主体资格及历史沿革、股权结构、组织结构、治理结构、人力资源等；</w:t>
      </w:r>
    </w:p>
    <w:p w14:paraId="584EB2C0">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2</w:t>
      </w:r>
      <w:r>
        <w:rPr>
          <w:rFonts w:hint="eastAsia" w:ascii="仿宋_GB2312" w:hAnsi="仿宋_GB2312" w:eastAsia="仿宋_GB2312" w:cs="仿宋_GB2312"/>
          <w:b w:val="0"/>
          <w:bCs w:val="0"/>
          <w:sz w:val="32"/>
          <w:szCs w:val="32"/>
          <w:highlight w:val="none"/>
        </w:rPr>
        <w:t>.财务调查，包括财务状况、资产运营、债权债务、或有事项、偿债能力、财务管理能力、财务风险提示及建议；</w:t>
      </w:r>
    </w:p>
    <w:p w14:paraId="3F619218">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3</w:t>
      </w:r>
      <w:r>
        <w:rPr>
          <w:rFonts w:hint="eastAsia" w:ascii="仿宋_GB2312" w:hAnsi="仿宋_GB2312" w:eastAsia="仿宋_GB2312" w:cs="仿宋_GB2312"/>
          <w:b w:val="0"/>
          <w:bCs w:val="0"/>
          <w:sz w:val="32"/>
          <w:szCs w:val="32"/>
          <w:highlight w:val="none"/>
        </w:rPr>
        <w:t>.技术与业务调查，包括主要产品和业务、核心资源、技术、采购、生产、市场与销售、经营能力、经营风险提示及建议；</w:t>
      </w:r>
    </w:p>
    <w:p w14:paraId="25336AC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4</w:t>
      </w:r>
      <w:r>
        <w:rPr>
          <w:rFonts w:hint="eastAsia" w:ascii="仿宋_GB2312" w:hAnsi="仿宋_GB2312" w:eastAsia="仿宋_GB2312" w:cs="仿宋_GB2312"/>
          <w:b w:val="0"/>
          <w:bCs w:val="0"/>
          <w:sz w:val="32"/>
          <w:szCs w:val="32"/>
          <w:highlight w:val="none"/>
        </w:rPr>
        <w:t>.法律调查，包括经营资质、主要资产、项目建设、债权债务、经济合同、关联交易、税务及财务、劳动关系、环保及安全生产、未决诉讼和仲裁事项、法律风险提示及建议；</w:t>
      </w:r>
    </w:p>
    <w:p w14:paraId="2CAF9859">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5</w:t>
      </w:r>
      <w:r>
        <w:rPr>
          <w:rFonts w:hint="eastAsia" w:ascii="仿宋_GB2312" w:hAnsi="仿宋_GB2312" w:eastAsia="仿宋_GB2312" w:cs="仿宋_GB2312"/>
          <w:b w:val="0"/>
          <w:bCs w:val="0"/>
          <w:sz w:val="32"/>
          <w:szCs w:val="32"/>
          <w:highlight w:val="none"/>
        </w:rPr>
        <w:t>.关联企业调查，包括目标企业所有全资或控股子企业、分支机构、参股企业的合法设立、经营的有关说明和证明文件。</w:t>
      </w:r>
    </w:p>
    <w:p w14:paraId="1F05E68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（三）投资项目法律审核，应</w:t>
      </w:r>
      <w:r>
        <w:rPr>
          <w:rFonts w:hint="eastAsia" w:ascii="仿宋_GB2312" w:hAnsi="仿宋_GB2312" w:eastAsia="仿宋_GB2312" w:cs="仿宋_GB2312"/>
          <w:b w:val="0"/>
          <w:bCs w:val="0"/>
          <w:color w:val="auto"/>
          <w:sz w:val="32"/>
          <w:szCs w:val="32"/>
          <w:highlight w:val="none"/>
        </w:rPr>
        <w:t>由企业</w:t>
      </w:r>
      <w:r>
        <w:rPr>
          <w:rFonts w:hint="eastAsia" w:ascii="仿宋_GB2312" w:hAnsi="仿宋_GB2312" w:eastAsia="仿宋_GB2312" w:cs="仿宋_GB2312"/>
          <w:b w:val="0"/>
          <w:bCs w:val="0"/>
          <w:color w:val="auto"/>
          <w:sz w:val="32"/>
          <w:szCs w:val="32"/>
          <w:highlight w:val="none"/>
          <w:lang w:val="en-US" w:eastAsia="zh-CN"/>
        </w:rPr>
        <w:t>委托律师事务所</w:t>
      </w:r>
      <w:r>
        <w:rPr>
          <w:rFonts w:hint="eastAsia" w:ascii="仿宋_GB2312" w:hAnsi="仿宋_GB2312" w:eastAsia="仿宋_GB2312" w:cs="仿宋_GB2312"/>
          <w:b w:val="0"/>
          <w:bCs w:val="0"/>
          <w:color w:val="auto"/>
          <w:sz w:val="32"/>
          <w:szCs w:val="32"/>
          <w:highlight w:val="none"/>
        </w:rPr>
        <w:t>进行</w:t>
      </w:r>
      <w:r>
        <w:rPr>
          <w:rFonts w:hint="eastAsia" w:ascii="仿宋_GB2312" w:hAnsi="仿宋_GB2312" w:eastAsia="仿宋_GB2312" w:cs="仿宋_GB2312"/>
          <w:b w:val="0"/>
          <w:bCs w:val="0"/>
          <w:sz w:val="32"/>
          <w:szCs w:val="32"/>
          <w:highlight w:val="none"/>
        </w:rPr>
        <w:t>实质性审查，出具法律意见书。</w:t>
      </w:r>
    </w:p>
    <w:p w14:paraId="502BD3DE">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lang w:eastAsia="zh-CN"/>
        </w:rPr>
      </w:pPr>
      <w:r>
        <w:rPr>
          <w:rFonts w:hint="eastAsia" w:ascii="仿宋_GB2312" w:hAnsi="仿宋_GB2312" w:eastAsia="仿宋_GB2312" w:cs="仿宋_GB2312"/>
          <w:b w:val="0"/>
          <w:bCs w:val="0"/>
          <w:sz w:val="32"/>
          <w:szCs w:val="32"/>
          <w:highlight w:val="none"/>
        </w:rPr>
        <w:t>与非国有资本、非</w:t>
      </w:r>
      <w:r>
        <w:rPr>
          <w:rFonts w:hint="eastAsia" w:ascii="仿宋_GB2312" w:hAnsi="仿宋_GB2312" w:eastAsia="仿宋_GB2312" w:cs="仿宋_GB2312"/>
          <w:b w:val="0"/>
          <w:bCs w:val="0"/>
          <w:sz w:val="32"/>
          <w:szCs w:val="32"/>
          <w:highlight w:val="none"/>
          <w:lang w:eastAsia="zh-CN"/>
        </w:rPr>
        <w:t>区</w:t>
      </w:r>
      <w:r>
        <w:rPr>
          <w:rFonts w:hint="eastAsia" w:ascii="仿宋_GB2312" w:hAnsi="仿宋_GB2312" w:eastAsia="仿宋_GB2312" w:cs="仿宋_GB2312"/>
          <w:b w:val="0"/>
          <w:bCs w:val="0"/>
          <w:sz w:val="32"/>
          <w:szCs w:val="32"/>
          <w:highlight w:val="none"/>
        </w:rPr>
        <w:t>属国有资本开展合作以及投资项目位于</w:t>
      </w:r>
      <w:r>
        <w:rPr>
          <w:rFonts w:hint="eastAsia" w:ascii="仿宋_GB2312" w:hAnsi="仿宋_GB2312" w:eastAsia="仿宋_GB2312" w:cs="仿宋_GB2312"/>
          <w:b w:val="0"/>
          <w:bCs w:val="0"/>
          <w:sz w:val="32"/>
          <w:szCs w:val="32"/>
          <w:highlight w:val="none"/>
          <w:lang w:eastAsia="zh-CN"/>
        </w:rPr>
        <w:t>区</w:t>
      </w:r>
      <w:r>
        <w:rPr>
          <w:rFonts w:hint="eastAsia" w:ascii="仿宋_GB2312" w:hAnsi="仿宋_GB2312" w:eastAsia="仿宋_GB2312" w:cs="仿宋_GB2312"/>
          <w:b w:val="0"/>
          <w:bCs w:val="0"/>
          <w:sz w:val="32"/>
          <w:szCs w:val="32"/>
          <w:highlight w:val="none"/>
        </w:rPr>
        <w:t>外境内的，应委托</w:t>
      </w:r>
      <w:r>
        <w:rPr>
          <w:rFonts w:hint="eastAsia" w:ascii="仿宋_GB2312" w:hAnsi="仿宋_GB2312" w:eastAsia="仿宋_GB2312" w:cs="仿宋_GB2312"/>
          <w:b w:val="0"/>
          <w:bCs w:val="0"/>
          <w:color w:val="auto"/>
          <w:sz w:val="32"/>
          <w:szCs w:val="32"/>
          <w:highlight w:val="none"/>
          <w:lang w:eastAsia="zh-CN"/>
        </w:rPr>
        <w:t>律师事务所</w:t>
      </w:r>
      <w:r>
        <w:rPr>
          <w:rFonts w:hint="eastAsia" w:ascii="仿宋_GB2312" w:hAnsi="仿宋_GB2312" w:eastAsia="仿宋_GB2312" w:cs="仿宋_GB2312"/>
          <w:b w:val="0"/>
          <w:bCs w:val="0"/>
          <w:color w:val="auto"/>
          <w:sz w:val="32"/>
          <w:szCs w:val="32"/>
          <w:highlight w:val="none"/>
        </w:rPr>
        <w:t>出</w:t>
      </w:r>
      <w:r>
        <w:rPr>
          <w:rFonts w:hint="eastAsia" w:ascii="仿宋_GB2312" w:hAnsi="仿宋_GB2312" w:eastAsia="仿宋_GB2312" w:cs="仿宋_GB2312"/>
          <w:b w:val="0"/>
          <w:bCs w:val="0"/>
          <w:sz w:val="32"/>
          <w:szCs w:val="32"/>
          <w:highlight w:val="none"/>
        </w:rPr>
        <w:t>具法律意见书。法律意见书应包括但不限于对下列事项进行说明并提出结论性意见</w:t>
      </w:r>
      <w:r>
        <w:rPr>
          <w:rFonts w:hint="eastAsia" w:ascii="仿宋_GB2312" w:hAnsi="仿宋_GB2312" w:eastAsia="仿宋_GB2312" w:cs="仿宋_GB2312"/>
          <w:b w:val="0"/>
          <w:bCs w:val="0"/>
          <w:sz w:val="32"/>
          <w:szCs w:val="32"/>
          <w:highlight w:val="none"/>
          <w:lang w:eastAsia="zh-CN"/>
        </w:rPr>
        <w:t>。</w:t>
      </w:r>
    </w:p>
    <w:p w14:paraId="4D08269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1</w:t>
      </w:r>
      <w:r>
        <w:rPr>
          <w:rFonts w:hint="eastAsia" w:ascii="仿宋_GB2312" w:hAnsi="仿宋_GB2312" w:eastAsia="仿宋_GB2312" w:cs="仿宋_GB2312"/>
          <w:b w:val="0"/>
          <w:bCs w:val="0"/>
          <w:sz w:val="32"/>
          <w:szCs w:val="32"/>
          <w:highlight w:val="none"/>
        </w:rPr>
        <w:t>.投资主体、合作主体的资格以及决策程序；</w:t>
      </w:r>
    </w:p>
    <w:p w14:paraId="493A0EA4">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2</w:t>
      </w:r>
      <w:r>
        <w:rPr>
          <w:rFonts w:hint="eastAsia" w:ascii="仿宋_GB2312" w:hAnsi="仿宋_GB2312" w:eastAsia="仿宋_GB2312" w:cs="仿宋_GB2312"/>
          <w:b w:val="0"/>
          <w:bCs w:val="0"/>
          <w:sz w:val="32"/>
          <w:szCs w:val="32"/>
          <w:highlight w:val="none"/>
        </w:rPr>
        <w:t>.投资规模与内容、资金来源与构成、股权结构等；</w:t>
      </w:r>
    </w:p>
    <w:p w14:paraId="1719F8E8">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3</w:t>
      </w:r>
      <w:r>
        <w:rPr>
          <w:rFonts w:hint="eastAsia" w:ascii="仿宋_GB2312" w:hAnsi="仿宋_GB2312" w:eastAsia="仿宋_GB2312" w:cs="仿宋_GB2312"/>
          <w:b w:val="0"/>
          <w:bCs w:val="0"/>
          <w:sz w:val="32"/>
          <w:szCs w:val="32"/>
          <w:highlight w:val="none"/>
        </w:rPr>
        <w:t>.投资合作方历史沿革、股东构成情况、资产情况、资质背景、财务状况、知识产权、涉诉仲裁事项等；</w:t>
      </w:r>
    </w:p>
    <w:p w14:paraId="49EDC1A8">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4</w:t>
      </w:r>
      <w:r>
        <w:rPr>
          <w:rFonts w:hint="eastAsia" w:ascii="仿宋_GB2312" w:hAnsi="仿宋_GB2312" w:eastAsia="仿宋_GB2312" w:cs="仿宋_GB2312"/>
          <w:b w:val="0"/>
          <w:bCs w:val="0"/>
          <w:sz w:val="32"/>
          <w:szCs w:val="32"/>
          <w:highlight w:val="none"/>
        </w:rPr>
        <w:t>.投资涉及的协议、合同、企业章程等；</w:t>
      </w:r>
    </w:p>
    <w:p w14:paraId="6D6C64F9">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5</w:t>
      </w:r>
      <w:r>
        <w:rPr>
          <w:rFonts w:hint="eastAsia" w:ascii="仿宋_GB2312" w:hAnsi="仿宋_GB2312" w:eastAsia="仿宋_GB2312" w:cs="仿宋_GB2312"/>
          <w:b w:val="0"/>
          <w:bCs w:val="0"/>
          <w:sz w:val="32"/>
          <w:szCs w:val="32"/>
          <w:highlight w:val="none"/>
        </w:rPr>
        <w:t>.</w:t>
      </w:r>
      <w:r>
        <w:rPr>
          <w:rFonts w:hint="eastAsia" w:ascii="仿宋_GB2312" w:hAnsi="仿宋_GB2312" w:eastAsia="仿宋_GB2312" w:cs="仿宋_GB2312"/>
          <w:b w:val="0"/>
          <w:bCs w:val="0"/>
          <w:sz w:val="32"/>
          <w:szCs w:val="32"/>
          <w:highlight w:val="none"/>
          <w:lang w:eastAsia="zh-CN"/>
        </w:rPr>
        <w:t>区</w:t>
      </w:r>
      <w:r>
        <w:rPr>
          <w:rFonts w:hint="eastAsia" w:ascii="仿宋_GB2312" w:hAnsi="仿宋_GB2312" w:eastAsia="仿宋_GB2312" w:cs="仿宋_GB2312"/>
          <w:b w:val="0"/>
          <w:bCs w:val="0"/>
          <w:sz w:val="32"/>
          <w:szCs w:val="32"/>
          <w:highlight w:val="none"/>
        </w:rPr>
        <w:t>外境内项目所在地与投融资有关的法律问题；</w:t>
      </w:r>
    </w:p>
    <w:p w14:paraId="1207FF06">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Times New Roman" w:hAnsi="Times New Roman" w:eastAsia="仿宋_GB2312" w:cs="仿宋_GB2312"/>
          <w:b w:val="0"/>
          <w:bCs w:val="0"/>
          <w:sz w:val="32"/>
          <w:szCs w:val="32"/>
          <w:highlight w:val="none"/>
        </w:rPr>
        <w:t>6</w:t>
      </w:r>
      <w:r>
        <w:rPr>
          <w:rFonts w:hint="eastAsia" w:ascii="仿宋_GB2312" w:hAnsi="仿宋_GB2312" w:eastAsia="仿宋_GB2312" w:cs="仿宋_GB2312"/>
          <w:b w:val="0"/>
          <w:bCs w:val="0"/>
          <w:sz w:val="32"/>
          <w:szCs w:val="32"/>
          <w:highlight w:val="none"/>
        </w:rPr>
        <w:t>.投资方案实施的法律风险与防范措施；</w:t>
      </w:r>
    </w:p>
    <w:p w14:paraId="23B7B8D7">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微软雅黑" w:cs="Times New Roman"/>
          <w:b w:val="0"/>
          <w:bCs w:val="0"/>
          <w:sz w:val="32"/>
          <w:szCs w:val="32"/>
          <w:highlight w:val="none"/>
        </w:rPr>
      </w:pPr>
      <w:r>
        <w:rPr>
          <w:rFonts w:hint="eastAsia" w:ascii="Times New Roman" w:hAnsi="Times New Roman" w:eastAsia="仿宋_GB2312" w:cs="仿宋_GB2312"/>
          <w:b w:val="0"/>
          <w:bCs w:val="0"/>
          <w:sz w:val="32"/>
          <w:szCs w:val="32"/>
          <w:highlight w:val="none"/>
        </w:rPr>
        <w:t>7</w:t>
      </w:r>
      <w:r>
        <w:rPr>
          <w:rFonts w:hint="eastAsia" w:ascii="仿宋_GB2312" w:hAnsi="仿宋_GB2312" w:eastAsia="仿宋_GB2312" w:cs="仿宋_GB2312"/>
          <w:b w:val="0"/>
          <w:bCs w:val="0"/>
          <w:sz w:val="32"/>
          <w:szCs w:val="32"/>
          <w:highlight w:val="none"/>
        </w:rPr>
        <w:t>.需要说明的其他事项。</w:t>
      </w:r>
    </w:p>
    <w:p w14:paraId="256DC36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（四）投资项目应当组织专家评审，评审内容包括但不限于可行性研究报告及相关资产评估报告、法律意见书、</w:t>
      </w:r>
      <w:r>
        <w:rPr>
          <w:rFonts w:hint="eastAsia" w:ascii="仿宋_GB2312" w:hAnsi="仿宋_GB2312" w:eastAsia="仿宋_GB2312" w:cs="仿宋_GB2312"/>
          <w:b w:val="0"/>
          <w:bCs w:val="0"/>
          <w:sz w:val="32"/>
          <w:szCs w:val="32"/>
          <w:highlight w:val="none"/>
          <w:lang w:eastAsia="zh-CN"/>
        </w:rPr>
        <w:t>投资</w:t>
      </w:r>
      <w:r>
        <w:rPr>
          <w:rFonts w:hint="eastAsia" w:ascii="仿宋_GB2312" w:hAnsi="仿宋_GB2312" w:eastAsia="仿宋_GB2312" w:cs="仿宋_GB2312"/>
          <w:b w:val="0"/>
          <w:bCs w:val="0"/>
          <w:sz w:val="32"/>
          <w:szCs w:val="32"/>
          <w:highlight w:val="none"/>
        </w:rPr>
        <w:t>合同、章程、协议等。专家论证未通过或存在重大争议的项目不得进入决策程序。</w:t>
      </w:r>
    </w:p>
    <w:p w14:paraId="3B8B2230">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专家评审组人数原则上由</w:t>
      </w:r>
      <w:r>
        <w:rPr>
          <w:rFonts w:hint="eastAsia" w:ascii="Times New Roman" w:hAnsi="Times New Roman" w:eastAsia="仿宋_GB2312" w:cs="仿宋_GB2312"/>
          <w:b w:val="0"/>
          <w:bCs w:val="0"/>
          <w:sz w:val="32"/>
          <w:szCs w:val="32"/>
          <w:highlight w:val="none"/>
        </w:rPr>
        <w:t>5</w:t>
      </w:r>
      <w:r>
        <w:rPr>
          <w:rFonts w:hint="eastAsia" w:ascii="仿宋_GB2312" w:hAnsi="仿宋_GB2312" w:eastAsia="仿宋_GB2312" w:cs="仿宋_GB2312"/>
          <w:b w:val="0"/>
          <w:bCs w:val="0"/>
          <w:sz w:val="32"/>
          <w:szCs w:val="32"/>
          <w:highlight w:val="none"/>
        </w:rPr>
        <w:t>人以上奇数的专家组成，企业内部专家原则上不得超过三分之一，除本行业技术专家外，应视具体情况聘请财务、法律、资产评估等方面的专业人员参加。专家评审组以表决方式对项目进行审议，原则上三分之二以上成员同意为评审通过。对影响项目决策的技术、财务、法律、资产评估等关键性因素，相关专家提出保留意见的，视为评审未通过。原则上</w:t>
      </w:r>
      <w:r>
        <w:rPr>
          <w:rFonts w:hint="eastAsia" w:ascii="仿宋_GB2312" w:hAnsi="仿宋_GB2312" w:eastAsia="仿宋_GB2312" w:cs="仿宋_GB2312"/>
          <w:b w:val="0"/>
          <w:bCs w:val="0"/>
          <w:sz w:val="32"/>
          <w:szCs w:val="32"/>
          <w:highlight w:val="none"/>
          <w:lang w:eastAsia="zh-CN"/>
        </w:rPr>
        <w:t>监管机构</w:t>
      </w:r>
      <w:r>
        <w:rPr>
          <w:rFonts w:hint="eastAsia" w:ascii="仿宋_GB2312" w:hAnsi="仿宋_GB2312" w:eastAsia="仿宋_GB2312" w:cs="仿宋_GB2312"/>
          <w:b w:val="0"/>
          <w:bCs w:val="0"/>
          <w:sz w:val="32"/>
          <w:szCs w:val="32"/>
          <w:highlight w:val="none"/>
        </w:rPr>
        <w:t>不再组织同类的项目论证和专家评审。</w:t>
      </w:r>
    </w:p>
    <w:p w14:paraId="7ED2D757">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Style w:val="8"/>
          <w:rFonts w:hint="default" w:ascii="Times New Roman" w:hAnsi="Times New Roman" w:eastAsia="黑体" w:cs="Times New Roman"/>
          <w:b w:val="0"/>
          <w:bCs w:val="0"/>
          <w:sz w:val="32"/>
          <w:szCs w:val="32"/>
          <w:highlight w:val="none"/>
        </w:rPr>
        <w:t>第十七条</w:t>
      </w:r>
      <w:r>
        <w:rPr>
          <w:rFonts w:hint="default" w:ascii="Times New Roman" w:hAnsi="Times New Roman" w:eastAsia="黑体" w:cs="Times New Roman"/>
          <w:b w:val="0"/>
          <w:bCs w:val="0"/>
          <w:sz w:val="32"/>
          <w:szCs w:val="32"/>
          <w:highlight w:val="none"/>
        </w:rPr>
        <w:t>　</w:t>
      </w:r>
      <w:r>
        <w:rPr>
          <w:rFonts w:hint="eastAsia" w:ascii="仿宋_GB2312" w:hAnsi="仿宋_GB2312" w:eastAsia="仿宋_GB2312" w:cs="仿宋_GB2312"/>
          <w:b w:val="0"/>
          <w:bCs w:val="0"/>
          <w:sz w:val="32"/>
          <w:szCs w:val="32"/>
          <w:highlight w:val="none"/>
        </w:rPr>
        <w:t>企业投资决策应当坚持审慎</w:t>
      </w:r>
      <w:r>
        <w:rPr>
          <w:rFonts w:hint="eastAsia" w:ascii="仿宋_GB2312" w:hAnsi="仿宋_GB2312" w:eastAsia="仿宋_GB2312" w:cs="仿宋_GB2312"/>
          <w:b w:val="0"/>
          <w:bCs w:val="0"/>
          <w:sz w:val="32"/>
          <w:szCs w:val="32"/>
          <w:highlight w:val="none"/>
          <w:lang w:val="en-US" w:eastAsia="zh-CN"/>
        </w:rPr>
        <w:t>性</w:t>
      </w:r>
      <w:r>
        <w:rPr>
          <w:rFonts w:hint="eastAsia" w:ascii="仿宋_GB2312" w:hAnsi="仿宋_GB2312" w:eastAsia="仿宋_GB2312" w:cs="仿宋_GB2312"/>
          <w:b w:val="0"/>
          <w:bCs w:val="0"/>
          <w:sz w:val="32"/>
          <w:szCs w:val="32"/>
          <w:highlight w:val="none"/>
        </w:rPr>
        <w:t>原则，各级投资决策机构对决策结果承担责任，同时负责审核项目立项、尽职调查、可行性研究、风险评估、审查论证等关键环节相关材料，所有参与决策人员应充分发表意见，并在决议、会议记录等决策文件上签字，连同项目材料一并归档保存，确保有案可查。</w:t>
      </w:r>
    </w:p>
    <w:p w14:paraId="76083DB4">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default" w:ascii="Times New Roman" w:hAnsi="Times New Roman" w:eastAsia="黑体" w:cs="Times New Roman"/>
          <w:b w:val="0"/>
          <w:bCs w:val="0"/>
          <w:sz w:val="32"/>
          <w:szCs w:val="32"/>
          <w:highlight w:val="none"/>
        </w:rPr>
        <w:t>第十八条</w:t>
      </w:r>
      <w:r>
        <w:rPr>
          <w:rFonts w:hint="default" w:ascii="Times New Roman" w:hAnsi="Times New Roman" w:eastAsia="仿宋_GB2312" w:cs="Times New Roman"/>
          <w:b w:val="0"/>
          <w:bCs w:val="0"/>
          <w:sz w:val="32"/>
          <w:szCs w:val="32"/>
          <w:highlight w:val="none"/>
        </w:rPr>
        <w:t>　</w:t>
      </w:r>
      <w:r>
        <w:rPr>
          <w:rFonts w:hint="eastAsia" w:ascii="仿宋_GB2312" w:hAnsi="仿宋_GB2312" w:eastAsia="仿宋_GB2312" w:cs="仿宋_GB2312"/>
          <w:b w:val="0"/>
          <w:bCs w:val="0"/>
          <w:sz w:val="32"/>
          <w:szCs w:val="32"/>
          <w:highlight w:val="none"/>
        </w:rPr>
        <w:t>列入企业投资项目负面清单的监管类项目，企业应当在履行完内部决策程序、投资实施前，向</w:t>
      </w:r>
      <w:r>
        <w:rPr>
          <w:rFonts w:hint="eastAsia" w:ascii="仿宋_GB2312" w:hAnsi="仿宋_GB2312" w:eastAsia="仿宋_GB2312" w:cs="仿宋_GB2312"/>
          <w:b w:val="0"/>
          <w:bCs w:val="0"/>
          <w:sz w:val="32"/>
          <w:szCs w:val="32"/>
          <w:highlight w:val="none"/>
          <w:lang w:val="en-US" w:eastAsia="zh-CN"/>
        </w:rPr>
        <w:t>区国资</w:t>
      </w:r>
      <w:r>
        <w:rPr>
          <w:rFonts w:hint="eastAsia" w:ascii="仿宋_GB2312" w:hAnsi="仿宋_GB2312" w:eastAsia="仿宋_GB2312" w:cs="仿宋_GB2312"/>
          <w:b w:val="0"/>
          <w:bCs w:val="0"/>
          <w:sz w:val="32"/>
          <w:szCs w:val="32"/>
          <w:highlight w:val="none"/>
          <w:lang w:eastAsia="zh-CN"/>
        </w:rPr>
        <w:t>监管机构</w:t>
      </w:r>
      <w:r>
        <w:rPr>
          <w:rFonts w:hint="eastAsia" w:ascii="仿宋_GB2312" w:hAnsi="仿宋_GB2312" w:eastAsia="仿宋_GB2312" w:cs="仿宋_GB2312"/>
          <w:b w:val="0"/>
          <w:bCs w:val="0"/>
          <w:sz w:val="32"/>
          <w:szCs w:val="32"/>
          <w:highlight w:val="none"/>
        </w:rPr>
        <w:t>报送下列材料：</w:t>
      </w:r>
    </w:p>
    <w:p w14:paraId="7FF37CA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（一）书面申报</w:t>
      </w:r>
      <w:r>
        <w:rPr>
          <w:rFonts w:hint="eastAsia" w:ascii="仿宋_GB2312" w:hAnsi="仿宋_GB2312" w:eastAsia="仿宋_GB2312" w:cs="仿宋_GB2312"/>
          <w:b w:val="0"/>
          <w:bCs w:val="0"/>
          <w:sz w:val="32"/>
          <w:szCs w:val="32"/>
          <w:highlight w:val="none"/>
          <w:lang w:val="en-US" w:eastAsia="zh-CN"/>
        </w:rPr>
        <w:t>材料</w:t>
      </w:r>
      <w:r>
        <w:rPr>
          <w:rFonts w:hint="eastAsia" w:ascii="仿宋_GB2312" w:hAnsi="仿宋_GB2312" w:eastAsia="仿宋_GB2312" w:cs="仿宋_GB2312"/>
          <w:b w:val="0"/>
          <w:bCs w:val="0"/>
          <w:sz w:val="32"/>
          <w:szCs w:val="32"/>
          <w:highlight w:val="none"/>
        </w:rPr>
        <w:t>；</w:t>
      </w:r>
    </w:p>
    <w:p w14:paraId="69E02B51">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（二）董事会决议、议案及会议记录等决策</w:t>
      </w:r>
      <w:r>
        <w:rPr>
          <w:rFonts w:hint="eastAsia" w:ascii="仿宋_GB2312" w:hAnsi="仿宋_GB2312" w:eastAsia="仿宋_GB2312" w:cs="仿宋_GB2312"/>
          <w:b w:val="0"/>
          <w:bCs w:val="0"/>
          <w:sz w:val="32"/>
          <w:szCs w:val="32"/>
          <w:highlight w:val="none"/>
          <w:lang w:val="en-US" w:eastAsia="zh-CN"/>
        </w:rPr>
        <w:t>材料</w:t>
      </w:r>
      <w:r>
        <w:rPr>
          <w:rFonts w:hint="eastAsia" w:ascii="仿宋_GB2312" w:hAnsi="仿宋_GB2312" w:eastAsia="仿宋_GB2312" w:cs="仿宋_GB2312"/>
          <w:b w:val="0"/>
          <w:bCs w:val="0"/>
          <w:sz w:val="32"/>
          <w:szCs w:val="32"/>
          <w:highlight w:val="none"/>
        </w:rPr>
        <w:t>；</w:t>
      </w:r>
    </w:p>
    <w:p w14:paraId="1F8ACCBC">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（三）投资决策相关依据材料，固定资产投资项目材料一般包括可行性研究报告、专家论证意见、风险评估报告及防范化解预案</w:t>
      </w:r>
      <w:r>
        <w:rPr>
          <w:rFonts w:hint="eastAsia" w:ascii="仿宋_GB2312" w:hAnsi="仿宋_GB2312" w:eastAsia="仿宋_GB2312" w:cs="仿宋_GB2312"/>
          <w:b w:val="0"/>
          <w:bCs w:val="0"/>
          <w:sz w:val="32"/>
          <w:szCs w:val="32"/>
          <w:highlight w:val="none"/>
          <w:u w:val="none"/>
        </w:rPr>
        <w:t>、</w:t>
      </w:r>
      <w:r>
        <w:rPr>
          <w:rFonts w:hint="eastAsia" w:ascii="仿宋_GB2312" w:hAnsi="仿宋_GB2312" w:eastAsia="仿宋_GB2312" w:cs="仿宋_GB2312"/>
          <w:b w:val="0"/>
          <w:bCs w:val="0"/>
          <w:i w:val="0"/>
          <w:iCs w:val="0"/>
          <w:color w:val="auto"/>
          <w:sz w:val="32"/>
          <w:szCs w:val="32"/>
          <w:highlight w:val="none"/>
          <w:u w:val="none"/>
          <w:lang w:eastAsia="zh-CN"/>
        </w:rPr>
        <w:t>董事会决策意见</w:t>
      </w:r>
      <w:r>
        <w:rPr>
          <w:rFonts w:hint="eastAsia" w:ascii="仿宋_GB2312" w:hAnsi="仿宋_GB2312" w:eastAsia="仿宋_GB2312" w:cs="仿宋_GB2312"/>
          <w:b w:val="0"/>
          <w:bCs w:val="0"/>
          <w:sz w:val="32"/>
          <w:szCs w:val="32"/>
          <w:highlight w:val="none"/>
          <w:u w:val="none"/>
        </w:rPr>
        <w:t>、投资</w:t>
      </w:r>
      <w:r>
        <w:rPr>
          <w:rFonts w:hint="eastAsia" w:ascii="仿宋_GB2312" w:hAnsi="仿宋_GB2312" w:eastAsia="仿宋_GB2312" w:cs="仿宋_GB2312"/>
          <w:b w:val="0"/>
          <w:bCs w:val="0"/>
          <w:sz w:val="32"/>
          <w:szCs w:val="32"/>
          <w:highlight w:val="none"/>
        </w:rPr>
        <w:t>资金来源说明等，长期股权投资项目除上述材料外还应包括尽职调查报告、法律意见书、有关投资协议、合同、章程（草案）、投资合作方有关情况说明及证明材料等；</w:t>
      </w:r>
    </w:p>
    <w:p w14:paraId="3EB4E964">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（四）项目投资、融资、管理、退出（股权投资项目）各环节相关责任人；</w:t>
      </w:r>
    </w:p>
    <w:p w14:paraId="63A35048">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（五）</w:t>
      </w:r>
      <w:r>
        <w:rPr>
          <w:rFonts w:hint="eastAsia" w:ascii="仿宋_GB2312" w:hAnsi="仿宋_GB2312" w:eastAsia="仿宋_GB2312" w:cs="仿宋_GB2312"/>
          <w:b w:val="0"/>
          <w:bCs w:val="0"/>
          <w:sz w:val="32"/>
          <w:szCs w:val="32"/>
          <w:highlight w:val="none"/>
          <w:lang w:eastAsia="zh-CN"/>
        </w:rPr>
        <w:t>企业近三年</w:t>
      </w:r>
      <w:r>
        <w:rPr>
          <w:rFonts w:hint="eastAsia" w:ascii="仿宋_GB2312" w:hAnsi="仿宋_GB2312" w:eastAsia="仿宋_GB2312" w:cs="仿宋_GB2312"/>
          <w:b w:val="0"/>
          <w:bCs w:val="0"/>
          <w:sz w:val="32"/>
          <w:szCs w:val="32"/>
          <w:highlight w:val="none"/>
        </w:rPr>
        <w:t>经审计的财务报告；</w:t>
      </w:r>
    </w:p>
    <w:p w14:paraId="1623FCA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（六）其他</w:t>
      </w:r>
      <w:r>
        <w:rPr>
          <w:rFonts w:hint="eastAsia" w:ascii="仿宋_GB2312" w:hAnsi="仿宋_GB2312" w:eastAsia="仿宋_GB2312" w:cs="仿宋_GB2312"/>
          <w:b w:val="0"/>
          <w:bCs w:val="0"/>
          <w:sz w:val="32"/>
          <w:szCs w:val="32"/>
          <w:highlight w:val="none"/>
          <w:lang w:val="en-US" w:eastAsia="zh-CN"/>
        </w:rPr>
        <w:t>必要材料</w:t>
      </w:r>
      <w:r>
        <w:rPr>
          <w:rFonts w:hint="eastAsia" w:ascii="仿宋_GB2312" w:hAnsi="仿宋_GB2312" w:eastAsia="仿宋_GB2312" w:cs="仿宋_GB2312"/>
          <w:b w:val="0"/>
          <w:bCs w:val="0"/>
          <w:sz w:val="32"/>
          <w:szCs w:val="32"/>
          <w:highlight w:val="none"/>
        </w:rPr>
        <w:t>。</w:t>
      </w:r>
    </w:p>
    <w:p w14:paraId="3DBAABFC">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微软雅黑" w:cs="Times New Roman"/>
          <w:b w:val="0"/>
          <w:bCs w:val="0"/>
          <w:sz w:val="32"/>
          <w:szCs w:val="32"/>
          <w:highlight w:val="none"/>
        </w:rPr>
      </w:pPr>
      <w:r>
        <w:rPr>
          <w:rFonts w:hint="eastAsia" w:ascii="仿宋_GB2312" w:hAnsi="仿宋_GB2312" w:eastAsia="仿宋_GB2312" w:cs="仿宋_GB2312"/>
          <w:b w:val="0"/>
          <w:bCs w:val="0"/>
          <w:sz w:val="32"/>
          <w:szCs w:val="32"/>
          <w:highlight w:val="none"/>
        </w:rPr>
        <w:t>企业应当对所申报材料内容的真实性、完整性负责，投资可行性研究、尽职调查、风险评估报告及防范化解预案、法律意见书等应由相关责任人签字，并承担相应责任。严禁将投资项目分拆规避监管。</w:t>
      </w:r>
    </w:p>
    <w:p w14:paraId="231A8D30">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仿宋_GB2312"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第十九条</w:t>
      </w:r>
      <w:r>
        <w:rPr>
          <w:rFonts w:hint="default" w:ascii="Times New Roman" w:hAnsi="Times New Roman" w:eastAsia="仿宋_GB2312" w:cs="Times New Roman"/>
          <w:b w:val="0"/>
          <w:bCs w:val="0"/>
          <w:sz w:val="32"/>
          <w:szCs w:val="32"/>
          <w:highlight w:val="none"/>
        </w:rPr>
        <w:t>　</w:t>
      </w:r>
      <w:r>
        <w:rPr>
          <w:rFonts w:hint="default" w:ascii="Times New Roman" w:hAnsi="Times New Roman" w:eastAsia="仿宋_GB2312" w:cs="Times New Roman"/>
          <w:b w:val="0"/>
          <w:bCs w:val="0"/>
          <w:sz w:val="32"/>
          <w:szCs w:val="32"/>
          <w:highlight w:val="none"/>
          <w:lang w:val="en-US" w:eastAsia="zh-CN"/>
        </w:rPr>
        <w:t>区国资</w:t>
      </w:r>
      <w:r>
        <w:rPr>
          <w:rFonts w:hint="default" w:ascii="Times New Roman" w:hAnsi="Times New Roman" w:eastAsia="仿宋_GB2312" w:cs="Times New Roman"/>
          <w:b w:val="0"/>
          <w:bCs w:val="0"/>
          <w:sz w:val="32"/>
          <w:szCs w:val="32"/>
          <w:highlight w:val="none"/>
          <w:lang w:eastAsia="zh-CN"/>
        </w:rPr>
        <w:t>监管机构</w:t>
      </w:r>
      <w:r>
        <w:rPr>
          <w:rFonts w:hint="default" w:ascii="Times New Roman" w:hAnsi="Times New Roman" w:eastAsia="仿宋_GB2312" w:cs="Times New Roman"/>
          <w:b w:val="0"/>
          <w:bCs w:val="0"/>
          <w:sz w:val="32"/>
          <w:szCs w:val="32"/>
          <w:highlight w:val="none"/>
        </w:rPr>
        <w:t>依据相关法律、法规和国有资产监管规定，对监管类项目履行出资人审核程序。重点审核以下几个方面：</w:t>
      </w:r>
    </w:p>
    <w:p w14:paraId="000B25BC">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（一）是否符合有关法律法规和公司章程；</w:t>
      </w:r>
    </w:p>
    <w:p w14:paraId="54E48BC5">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（二）是否符合国家产业政策和地方产业发展</w:t>
      </w:r>
      <w:r>
        <w:rPr>
          <w:rFonts w:hint="default" w:ascii="Times New Roman" w:hAnsi="Times New Roman" w:eastAsia="仿宋_GB2312" w:cs="Times New Roman"/>
          <w:b w:val="0"/>
          <w:bCs w:val="0"/>
          <w:sz w:val="32"/>
          <w:szCs w:val="32"/>
          <w:highlight w:val="none"/>
          <w:lang w:val="en-US" w:eastAsia="zh-CN"/>
        </w:rPr>
        <w:t>规划</w:t>
      </w:r>
      <w:r>
        <w:rPr>
          <w:rFonts w:hint="default" w:ascii="Times New Roman" w:hAnsi="Times New Roman" w:eastAsia="仿宋_GB2312" w:cs="Times New Roman"/>
          <w:b w:val="0"/>
          <w:bCs w:val="0"/>
          <w:sz w:val="32"/>
          <w:szCs w:val="32"/>
          <w:highlight w:val="none"/>
        </w:rPr>
        <w:t>；</w:t>
      </w:r>
    </w:p>
    <w:p w14:paraId="54FD297C">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（三）是否符合企业年度投资计划和投资管理制度；</w:t>
      </w:r>
    </w:p>
    <w:p w14:paraId="22FD83CC">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（四）投资规模与企业实际能力是否相适应，资产负债率是否处于合理水平（70%以内）；</w:t>
      </w:r>
    </w:p>
    <w:p w14:paraId="5BB94C14">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（五）投资项目是否有利于突出主业和提高企业核心竞争力，重点控制在企业发展规划确定的主业及产业链延伸范围以内；</w:t>
      </w:r>
    </w:p>
    <w:p w14:paraId="13768A11">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（六）设立企业是否控制在规定的投资层级内；</w:t>
      </w:r>
    </w:p>
    <w:p w14:paraId="2309B724">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微软雅黑"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（七）投资所需资金是否纳入年度预算管理等。</w:t>
      </w:r>
    </w:p>
    <w:p w14:paraId="002B8FD6">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Style w:val="8"/>
          <w:rFonts w:hint="default" w:ascii="Times New Roman" w:hAnsi="Times New Roman" w:eastAsia="黑体" w:cs="Times New Roman"/>
          <w:b w:val="0"/>
          <w:bCs w:val="0"/>
          <w:sz w:val="32"/>
          <w:szCs w:val="32"/>
          <w:highlight w:val="none"/>
        </w:rPr>
      </w:pPr>
    </w:p>
    <w:p w14:paraId="1A84F7ED">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第四章　投资事中</w:t>
      </w:r>
      <w:r>
        <w:rPr>
          <w:rStyle w:val="8"/>
          <w:rFonts w:hint="default" w:ascii="Times New Roman" w:hAnsi="Times New Roman" w:eastAsia="黑体" w:cs="Times New Roman"/>
          <w:b w:val="0"/>
          <w:bCs w:val="0"/>
          <w:sz w:val="32"/>
          <w:szCs w:val="32"/>
          <w:highlight w:val="none"/>
          <w:lang w:eastAsia="zh-CN"/>
        </w:rPr>
        <w:t>与</w:t>
      </w:r>
      <w:r>
        <w:rPr>
          <w:rStyle w:val="8"/>
          <w:rFonts w:hint="default" w:ascii="Times New Roman" w:hAnsi="Times New Roman" w:eastAsia="黑体" w:cs="Times New Roman"/>
          <w:b w:val="0"/>
          <w:bCs w:val="0"/>
          <w:sz w:val="32"/>
          <w:szCs w:val="32"/>
          <w:highlight w:val="none"/>
        </w:rPr>
        <w:t>事后管理</w:t>
      </w:r>
    </w:p>
    <w:p w14:paraId="4B2170E0">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第二十条</w:t>
      </w:r>
      <w:r>
        <w:rPr>
          <w:rFonts w:hint="default" w:ascii="Times New Roman" w:hAnsi="Times New Roman" w:eastAsia="黑体" w:cs="Times New Roman"/>
          <w:b w:val="0"/>
          <w:bCs w:val="0"/>
          <w:sz w:val="32"/>
          <w:szCs w:val="32"/>
          <w:highlight w:val="none"/>
        </w:rPr>
        <w:t>　</w:t>
      </w:r>
      <w:r>
        <w:rPr>
          <w:rFonts w:hint="default" w:ascii="Times New Roman" w:hAnsi="Times New Roman" w:eastAsia="仿宋_GB2312" w:cs="Times New Roman"/>
          <w:b w:val="0"/>
          <w:bCs w:val="0"/>
          <w:sz w:val="32"/>
          <w:szCs w:val="32"/>
          <w:highlight w:val="none"/>
        </w:rPr>
        <w:t>企业应严格规范投资项目实施程序，涉及需财务审计、资产评估事项的，按有关规定履行相应程序。经核准或备案的资产评估结果，作为企业签订投资协议、出资或收购定价的参考依据，不得先定价后评估。</w:t>
      </w:r>
    </w:p>
    <w:p w14:paraId="7FC057D4">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第二十一条</w:t>
      </w:r>
      <w:r>
        <w:rPr>
          <w:rFonts w:hint="default" w:ascii="Times New Roman" w:hAnsi="Times New Roman" w:eastAsia="仿宋_GB2312" w:cs="Times New Roman"/>
          <w:b w:val="0"/>
          <w:bCs w:val="0"/>
          <w:sz w:val="32"/>
          <w:szCs w:val="32"/>
          <w:highlight w:val="none"/>
        </w:rPr>
        <w:t>　企业应当加强项目管理，全面掌握投资项目进展情况，做好跟踪管理和信息统计分析工作，对出现的问题及时妥善处置。</w:t>
      </w:r>
    </w:p>
    <w:p w14:paraId="4166A357">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第二十二条</w:t>
      </w:r>
      <w:r>
        <w:rPr>
          <w:rFonts w:hint="default" w:ascii="Times New Roman" w:hAnsi="Times New Roman" w:eastAsia="仿宋_GB2312" w:cs="Times New Roman"/>
          <w:b w:val="0"/>
          <w:bCs w:val="0"/>
          <w:sz w:val="32"/>
          <w:szCs w:val="32"/>
          <w:highlight w:val="none"/>
        </w:rPr>
        <w:t>　投资项目决策后，出现以下情形之一的，应当按照规定重新履行决策程序：</w:t>
      </w:r>
    </w:p>
    <w:p w14:paraId="6F243945">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（一）初步设计概算超过可研估算20%以上或投资额超过原概算20%以上；</w:t>
      </w:r>
    </w:p>
    <w:p w14:paraId="0BED504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（二）资金来源及构成需进行重大调整，致使企业负债过高，超出企业承受能力或影响企业正常发展；</w:t>
      </w:r>
    </w:p>
    <w:p w14:paraId="17A0058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（三）投资可行性研究、尽职调查、法律</w:t>
      </w:r>
      <w:r>
        <w:rPr>
          <w:rFonts w:hint="default" w:ascii="Times New Roman" w:hAnsi="Times New Roman" w:eastAsia="仿宋_GB2312" w:cs="Times New Roman"/>
          <w:b w:val="0"/>
          <w:bCs w:val="0"/>
          <w:sz w:val="32"/>
          <w:szCs w:val="32"/>
          <w:highlight w:val="none"/>
          <w:lang w:val="en-US" w:eastAsia="zh-CN"/>
        </w:rPr>
        <w:t>意见书</w:t>
      </w:r>
      <w:r>
        <w:rPr>
          <w:rFonts w:hint="default" w:ascii="Times New Roman" w:hAnsi="Times New Roman" w:eastAsia="仿宋_GB2312" w:cs="Times New Roman"/>
          <w:b w:val="0"/>
          <w:bCs w:val="0"/>
          <w:sz w:val="32"/>
          <w:szCs w:val="32"/>
          <w:highlight w:val="none"/>
        </w:rPr>
        <w:t>、工程设计等不充分或者遗漏重大事实，可能引发重大风险或者造成损失的；</w:t>
      </w:r>
    </w:p>
    <w:p w14:paraId="1A910237">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（四）投资对象股权结构发生重大变化，导致企业控制权转移；</w:t>
      </w:r>
    </w:p>
    <w:p w14:paraId="341C8ED5">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（五）投资项目合作方严重违约，损害企业利益；</w:t>
      </w:r>
    </w:p>
    <w:p w14:paraId="0917FF78">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（六）因不可控因素造成投资风险剧增或存在较大潜在损失等重大变化，造成投资目的无法实现。</w:t>
      </w:r>
    </w:p>
    <w:p w14:paraId="4EA9277D">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监管类项目再决策的，企业应在决策后10个工作日内将有关情况报告</w:t>
      </w:r>
      <w:r>
        <w:rPr>
          <w:rFonts w:hint="default" w:ascii="Times New Roman" w:hAnsi="Times New Roman" w:eastAsia="仿宋_GB2312" w:cs="Times New Roman"/>
          <w:b w:val="0"/>
          <w:bCs w:val="0"/>
          <w:sz w:val="32"/>
          <w:szCs w:val="32"/>
          <w:highlight w:val="none"/>
          <w:lang w:val="en-US" w:eastAsia="zh-CN"/>
        </w:rPr>
        <w:t>区国资</w:t>
      </w:r>
      <w:r>
        <w:rPr>
          <w:rFonts w:hint="default" w:ascii="Times New Roman" w:hAnsi="Times New Roman" w:eastAsia="仿宋_GB2312" w:cs="Times New Roman"/>
          <w:b w:val="0"/>
          <w:bCs w:val="0"/>
          <w:sz w:val="32"/>
          <w:szCs w:val="32"/>
          <w:highlight w:val="none"/>
          <w:lang w:eastAsia="zh-CN"/>
        </w:rPr>
        <w:t>监管机构</w:t>
      </w:r>
      <w:r>
        <w:rPr>
          <w:rFonts w:hint="default" w:ascii="Times New Roman" w:hAnsi="Times New Roman" w:eastAsia="仿宋_GB2312" w:cs="Times New Roman"/>
          <w:b w:val="0"/>
          <w:bCs w:val="0"/>
          <w:sz w:val="32"/>
          <w:szCs w:val="32"/>
          <w:highlight w:val="none"/>
        </w:rPr>
        <w:t>。</w:t>
      </w:r>
    </w:p>
    <w:p w14:paraId="3658927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第二十三条</w:t>
      </w:r>
      <w:r>
        <w:rPr>
          <w:rStyle w:val="8"/>
          <w:rFonts w:hint="default" w:ascii="Times New Roman" w:hAnsi="Times New Roman" w:eastAsia="微软雅黑" w:cs="Times New Roman"/>
          <w:b w:val="0"/>
          <w:bCs w:val="0"/>
          <w:sz w:val="32"/>
          <w:szCs w:val="32"/>
          <w:highlight w:val="none"/>
          <w:lang w:val="en-US" w:eastAsia="zh-CN"/>
        </w:rPr>
        <w:t xml:space="preserve">  </w:t>
      </w:r>
      <w:r>
        <w:rPr>
          <w:rFonts w:hint="default" w:ascii="Times New Roman" w:hAnsi="Times New Roman" w:eastAsia="仿宋_GB2312" w:cs="Times New Roman"/>
          <w:b w:val="0"/>
          <w:bCs w:val="0"/>
          <w:sz w:val="32"/>
          <w:szCs w:val="32"/>
          <w:highlight w:val="none"/>
        </w:rPr>
        <w:t>企业应对投资项目实施后评价管理，凡是列入监管类项目和年度投资计划的重大投资项目，原则上均要列入投资项目后评价工作范围。</w:t>
      </w:r>
    </w:p>
    <w:p w14:paraId="313CA119">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Style w:val="8"/>
          <w:rFonts w:hint="default" w:ascii="Times New Roman" w:hAnsi="Times New Roman" w:eastAsia="黑体" w:cs="Times New Roman"/>
          <w:b w:val="0"/>
          <w:bCs w:val="0"/>
          <w:sz w:val="32"/>
          <w:szCs w:val="32"/>
          <w:highlight w:val="none"/>
        </w:rPr>
        <w:t>第二十四条</w:t>
      </w:r>
      <w:r>
        <w:rPr>
          <w:rFonts w:hint="default" w:ascii="Times New Roman" w:hAnsi="Times New Roman" w:eastAsia="微软雅黑" w:cs="Times New Roman"/>
          <w:b w:val="0"/>
          <w:bCs w:val="0"/>
          <w:sz w:val="32"/>
          <w:szCs w:val="32"/>
          <w:highlight w:val="none"/>
        </w:rPr>
        <w:t xml:space="preserve"> </w:t>
      </w:r>
      <w:r>
        <w:rPr>
          <w:rFonts w:hint="default" w:ascii="Times New Roman" w:hAnsi="Times New Roman" w:eastAsia="微软雅黑" w:cs="Times New Roman"/>
          <w:b w:val="0"/>
          <w:bCs w:val="0"/>
          <w:sz w:val="32"/>
          <w:szCs w:val="32"/>
          <w:highlight w:val="none"/>
          <w:lang w:val="en-US" w:eastAsia="zh-CN"/>
        </w:rPr>
        <w:t xml:space="preserve"> </w:t>
      </w:r>
      <w:r>
        <w:rPr>
          <w:rFonts w:hint="default" w:ascii="Times New Roman" w:hAnsi="Times New Roman" w:eastAsia="仿宋_GB2312" w:cs="Times New Roman"/>
          <w:b w:val="0"/>
          <w:bCs w:val="0"/>
          <w:sz w:val="32"/>
          <w:szCs w:val="32"/>
          <w:highlight w:val="none"/>
        </w:rPr>
        <w:t>企</w:t>
      </w:r>
      <w:r>
        <w:rPr>
          <w:rFonts w:hint="eastAsia" w:ascii="仿宋_GB2312" w:hAnsi="仿宋_GB2312" w:eastAsia="仿宋_GB2312" w:cs="仿宋_GB2312"/>
          <w:b w:val="0"/>
          <w:bCs w:val="0"/>
          <w:sz w:val="32"/>
          <w:szCs w:val="32"/>
          <w:highlight w:val="none"/>
        </w:rPr>
        <w:t>业年度投资完成后</w:t>
      </w:r>
      <w:r>
        <w:rPr>
          <w:rFonts w:hint="eastAsia" w:ascii="Times New Roman" w:hAnsi="Times New Roman" w:eastAsia="仿宋_GB2312" w:cs="仿宋_GB2312"/>
          <w:b w:val="0"/>
          <w:bCs w:val="0"/>
          <w:sz w:val="32"/>
          <w:szCs w:val="32"/>
          <w:highlight w:val="none"/>
          <w:lang w:val="en-US" w:eastAsia="zh-CN"/>
        </w:rPr>
        <w:t>3</w:t>
      </w:r>
      <w:r>
        <w:rPr>
          <w:rFonts w:hint="eastAsia" w:ascii="仿宋_GB2312" w:hAnsi="仿宋_GB2312" w:eastAsia="仿宋_GB2312" w:cs="仿宋_GB2312"/>
          <w:b w:val="0"/>
          <w:bCs w:val="0"/>
          <w:sz w:val="32"/>
          <w:szCs w:val="32"/>
          <w:highlight w:val="none"/>
          <w:lang w:val="en-US" w:eastAsia="zh-CN"/>
        </w:rPr>
        <w:t>个月内</w:t>
      </w:r>
      <w:r>
        <w:rPr>
          <w:rFonts w:hint="eastAsia" w:ascii="仿宋_GB2312" w:hAnsi="仿宋_GB2312" w:eastAsia="仿宋_GB2312" w:cs="仿宋_GB2312"/>
          <w:b w:val="0"/>
          <w:bCs w:val="0"/>
          <w:sz w:val="32"/>
          <w:szCs w:val="32"/>
          <w:highlight w:val="none"/>
        </w:rPr>
        <w:t>，应当编制年度投资计划完成情况报告，董事会审议通过后报送</w:t>
      </w:r>
      <w:r>
        <w:rPr>
          <w:rFonts w:hint="eastAsia" w:ascii="仿宋_GB2312" w:hAnsi="仿宋_GB2312" w:eastAsia="仿宋_GB2312" w:cs="仿宋_GB2312"/>
          <w:b w:val="0"/>
          <w:bCs w:val="0"/>
          <w:sz w:val="32"/>
          <w:szCs w:val="32"/>
          <w:highlight w:val="none"/>
          <w:lang w:val="en-US" w:eastAsia="zh-CN"/>
        </w:rPr>
        <w:t>区国资</w:t>
      </w:r>
      <w:r>
        <w:rPr>
          <w:rFonts w:hint="eastAsia" w:ascii="仿宋_GB2312" w:hAnsi="仿宋_GB2312" w:eastAsia="仿宋_GB2312" w:cs="仿宋_GB2312"/>
          <w:b w:val="0"/>
          <w:bCs w:val="0"/>
          <w:sz w:val="32"/>
          <w:szCs w:val="32"/>
          <w:highlight w:val="none"/>
          <w:lang w:eastAsia="zh-CN"/>
        </w:rPr>
        <w:t>监管机构</w:t>
      </w:r>
      <w:r>
        <w:rPr>
          <w:rFonts w:hint="eastAsia" w:ascii="仿宋_GB2312" w:hAnsi="仿宋_GB2312" w:eastAsia="仿宋_GB2312" w:cs="仿宋_GB2312"/>
          <w:b w:val="0"/>
          <w:bCs w:val="0"/>
          <w:sz w:val="32"/>
          <w:szCs w:val="32"/>
          <w:highlight w:val="none"/>
        </w:rPr>
        <w:t>。</w:t>
      </w:r>
    </w:p>
    <w:p w14:paraId="06E3EC37">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Style w:val="8"/>
          <w:rFonts w:hint="default" w:ascii="Times New Roman" w:hAnsi="Times New Roman" w:eastAsia="黑体" w:cs="Times New Roman"/>
          <w:b w:val="0"/>
          <w:bCs w:val="0"/>
          <w:sz w:val="32"/>
          <w:szCs w:val="32"/>
          <w:highlight w:val="none"/>
        </w:rPr>
        <w:t>第二十五条</w:t>
      </w:r>
      <w:r>
        <w:rPr>
          <w:rStyle w:val="8"/>
          <w:rFonts w:hint="default" w:ascii="Times New Roman" w:hAnsi="Times New Roman" w:eastAsia="仿宋_GB2312" w:cs="Times New Roman"/>
          <w:b w:val="0"/>
          <w:bCs w:val="0"/>
          <w:sz w:val="32"/>
          <w:szCs w:val="32"/>
          <w:highlight w:val="none"/>
        </w:rPr>
        <w:t>　</w:t>
      </w:r>
      <w:r>
        <w:rPr>
          <w:rFonts w:hint="eastAsia" w:ascii="仿宋_GB2312" w:hAnsi="仿宋_GB2312" w:eastAsia="仿宋_GB2312" w:cs="仿宋_GB2312"/>
          <w:b w:val="0"/>
          <w:bCs w:val="0"/>
          <w:sz w:val="32"/>
          <w:szCs w:val="32"/>
          <w:highlight w:val="none"/>
        </w:rPr>
        <w:t>企业应当开展重大投资项目专项审计，对项目决策、投资方向、资金使用、投资收益、投资风险管理等方面进行重点审计，并针对发现的问题，制定落实相应整改措施。</w:t>
      </w:r>
    </w:p>
    <w:p w14:paraId="060C799B">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Style w:val="8"/>
          <w:rFonts w:hint="default" w:ascii="Times New Roman" w:hAnsi="Times New Roman" w:eastAsia="黑体" w:cs="Times New Roman"/>
          <w:b w:val="0"/>
          <w:bCs w:val="0"/>
          <w:sz w:val="32"/>
          <w:szCs w:val="32"/>
          <w:highlight w:val="none"/>
        </w:rPr>
        <w:t>第二十六条</w:t>
      </w:r>
      <w:r>
        <w:rPr>
          <w:rFonts w:hint="default" w:ascii="Times New Roman" w:hAnsi="Times New Roman" w:eastAsia="仿宋_GB2312" w:cs="Times New Roman"/>
          <w:b w:val="0"/>
          <w:bCs w:val="0"/>
          <w:sz w:val="32"/>
          <w:szCs w:val="32"/>
          <w:highlight w:val="none"/>
        </w:rPr>
        <w:t>　</w:t>
      </w:r>
      <w:r>
        <w:rPr>
          <w:rFonts w:hint="eastAsia" w:ascii="仿宋_GB2312" w:hAnsi="仿宋_GB2312" w:eastAsia="仿宋_GB2312" w:cs="仿宋_GB2312"/>
          <w:b w:val="0"/>
          <w:bCs w:val="0"/>
          <w:sz w:val="32"/>
          <w:szCs w:val="32"/>
          <w:highlight w:val="none"/>
          <w:lang w:val="en-US" w:eastAsia="zh-CN"/>
        </w:rPr>
        <w:t>区国资</w:t>
      </w:r>
      <w:r>
        <w:rPr>
          <w:rFonts w:hint="eastAsia" w:ascii="仿宋_GB2312" w:hAnsi="仿宋_GB2312" w:eastAsia="仿宋_GB2312" w:cs="仿宋_GB2312"/>
          <w:b w:val="0"/>
          <w:bCs w:val="0"/>
          <w:sz w:val="32"/>
          <w:szCs w:val="32"/>
          <w:highlight w:val="none"/>
          <w:lang w:eastAsia="zh-CN"/>
        </w:rPr>
        <w:t>监管机构</w:t>
      </w:r>
      <w:r>
        <w:rPr>
          <w:rFonts w:hint="eastAsia" w:ascii="仿宋_GB2312" w:hAnsi="仿宋_GB2312" w:eastAsia="仿宋_GB2312" w:cs="仿宋_GB2312"/>
          <w:b w:val="0"/>
          <w:bCs w:val="0"/>
          <w:sz w:val="32"/>
          <w:szCs w:val="32"/>
          <w:highlight w:val="none"/>
        </w:rPr>
        <w:t>建立健全企业投资监督检查机制，发挥财务监督、产权管理、考核分配等相关监管职能合力，强化对企业投资活动过程监管，并根据工作需要对企业投资情况进行随机检查</w:t>
      </w:r>
      <w:r>
        <w:rPr>
          <w:rFonts w:hint="eastAsia" w:ascii="仿宋_GB2312" w:hAnsi="仿宋_GB2312" w:eastAsia="仿宋_GB2312" w:cs="仿宋_GB2312"/>
          <w:b w:val="0"/>
          <w:bCs w:val="0"/>
          <w:sz w:val="32"/>
          <w:szCs w:val="32"/>
          <w:highlight w:val="none"/>
          <w:lang w:eastAsia="zh-CN"/>
        </w:rPr>
        <w:t>，</w:t>
      </w:r>
      <w:r>
        <w:rPr>
          <w:rFonts w:hint="eastAsia" w:ascii="仿宋_GB2312" w:hAnsi="仿宋_GB2312" w:eastAsia="仿宋_GB2312" w:cs="仿宋_GB2312"/>
          <w:b w:val="0"/>
          <w:bCs w:val="0"/>
          <w:sz w:val="32"/>
          <w:szCs w:val="32"/>
          <w:highlight w:val="none"/>
        </w:rPr>
        <w:t>监督检查的主要内容：</w:t>
      </w:r>
    </w:p>
    <w:p w14:paraId="122884EA">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（一）企业投资管理制度是否健全，制度修订更新情况；</w:t>
      </w:r>
    </w:p>
    <w:p w14:paraId="60C5A4F4">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（二）年度投资计划是否按规范要求编制、决策和执行；</w:t>
      </w:r>
    </w:p>
    <w:p w14:paraId="06DF764D">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（三）投资项目是否按规定履行决策、审批程序，是否落实项目责任制，项目进度、资金筹集与使用、建设运营质量与效益等是否符合预期；</w:t>
      </w:r>
    </w:p>
    <w:p w14:paraId="73930E94">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b w:val="0"/>
          <w:bCs w:val="0"/>
          <w:sz w:val="32"/>
          <w:szCs w:val="32"/>
          <w:highlight w:val="none"/>
        </w:rPr>
        <w:t>（四）投资相关合同、协议、章程的签订及执行情况，是否存在损害国有股东权益的情形；</w:t>
      </w:r>
    </w:p>
    <w:p w14:paraId="2006BC0F">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Fonts w:hint="eastAsia" w:ascii="仿宋_GB2312" w:hAnsi="仿宋_GB2312" w:eastAsia="仿宋_GB2312" w:cs="仿宋_GB2312"/>
          <w:b w:val="0"/>
          <w:bCs w:val="0"/>
          <w:sz w:val="32"/>
          <w:szCs w:val="32"/>
          <w:highlight w:val="none"/>
        </w:rPr>
        <w:t>（五）投资项目专项审计、后评价及结果运用情况等。</w:t>
      </w:r>
    </w:p>
    <w:p w14:paraId="2CE9386D">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Style w:val="8"/>
          <w:rFonts w:hint="default" w:ascii="Times New Roman" w:hAnsi="Times New Roman" w:eastAsia="黑体" w:cs="Times New Roman"/>
          <w:b w:val="0"/>
          <w:bCs w:val="0"/>
          <w:sz w:val="32"/>
          <w:szCs w:val="32"/>
          <w:highlight w:val="none"/>
        </w:rPr>
      </w:pPr>
    </w:p>
    <w:p w14:paraId="3E0A9C39">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第五章　投资风险管理</w:t>
      </w:r>
    </w:p>
    <w:p w14:paraId="3BEA011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第二十七条</w:t>
      </w:r>
      <w:r>
        <w:rPr>
          <w:rFonts w:hint="default" w:ascii="Times New Roman" w:hAnsi="Times New Roman" w:eastAsia="仿宋_GB2312" w:cs="Times New Roman"/>
          <w:b w:val="0"/>
          <w:bCs w:val="0"/>
          <w:sz w:val="32"/>
          <w:szCs w:val="32"/>
          <w:highlight w:val="none"/>
        </w:rPr>
        <w:t>　企业应当建立投资全过程风险管理体系，强化投资事前风险评估和风险防控方案制定，做好项目实施过程中的风险监控、预警和处置，合理安排股权投资项目的退出时点与方式。对预估风险较大的投资项目，应由具备相应评估能力和条件的专业机构出具风险评估报告。</w:t>
      </w:r>
    </w:p>
    <w:p w14:paraId="23282DDE">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eastAsia" w:ascii="黑体" w:hAnsi="黑体" w:eastAsia="黑体" w:cs="黑体"/>
          <w:b w:val="0"/>
          <w:bCs w:val="0"/>
          <w:sz w:val="32"/>
          <w:szCs w:val="32"/>
          <w:highlight w:val="none"/>
        </w:rPr>
        <w:t>第二十八条</w:t>
      </w:r>
      <w:r>
        <w:rPr>
          <w:rFonts w:hint="default" w:ascii="Times New Roman" w:hAnsi="Times New Roman" w:eastAsia="仿宋_GB2312" w:cs="Times New Roman"/>
          <w:b w:val="0"/>
          <w:bCs w:val="0"/>
          <w:sz w:val="32"/>
          <w:szCs w:val="32"/>
          <w:highlight w:val="none"/>
        </w:rPr>
        <w:t>　鼓励企业商业性投资项目积极引入各类投资机构参与，对具备条件的新上投资项目采取项目团队跟投、风险抵押金等方式，实现项目收益共享、风险共担。对合资合作及并购项目，企业应设置有效的权益保护措施，强化对投资相关合同、协议及标的公司章程等法律文本的审查，维护国有股东权益，不得违反合同约定提前支付并购价款，不得为其他合资合作方提供垫资，或通过高溢价并购等手段向关联方输送利益。</w:t>
      </w:r>
    </w:p>
    <w:p w14:paraId="4A4DB062">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第二十九条</w:t>
      </w:r>
      <w:r>
        <w:rPr>
          <w:rStyle w:val="8"/>
          <w:rFonts w:hint="default" w:ascii="Times New Roman" w:hAnsi="Times New Roman" w:eastAsia="仿宋_GB2312" w:cs="Times New Roman"/>
          <w:b w:val="0"/>
          <w:bCs w:val="0"/>
          <w:sz w:val="32"/>
          <w:szCs w:val="32"/>
          <w:highlight w:val="none"/>
        </w:rPr>
        <w:t>　</w:t>
      </w:r>
      <w:r>
        <w:rPr>
          <w:rStyle w:val="8"/>
          <w:rFonts w:hint="eastAsia" w:ascii="仿宋_GB2312" w:hAnsi="仿宋_GB2312" w:eastAsia="仿宋_GB2312" w:cs="仿宋_GB2312"/>
          <w:b w:val="0"/>
          <w:bCs w:val="0"/>
          <w:sz w:val="32"/>
          <w:szCs w:val="32"/>
          <w:highlight w:val="none"/>
          <w:lang w:val="en-US" w:eastAsia="zh-CN"/>
        </w:rPr>
        <w:t>区国资</w:t>
      </w:r>
      <w:r>
        <w:rPr>
          <w:rStyle w:val="8"/>
          <w:rFonts w:hint="eastAsia" w:ascii="仿宋_GB2312" w:hAnsi="仿宋_GB2312" w:eastAsia="仿宋_GB2312" w:cs="仿宋_GB2312"/>
          <w:b w:val="0"/>
          <w:bCs w:val="0"/>
          <w:sz w:val="32"/>
          <w:szCs w:val="32"/>
          <w:highlight w:val="none"/>
          <w:lang w:eastAsia="zh-CN"/>
        </w:rPr>
        <w:t>监管机构</w:t>
      </w:r>
      <w:r>
        <w:rPr>
          <w:rFonts w:hint="eastAsia" w:ascii="仿宋_GB2312" w:hAnsi="仿宋_GB2312" w:eastAsia="仿宋_GB2312" w:cs="仿宋_GB2312"/>
          <w:b w:val="0"/>
          <w:bCs w:val="0"/>
          <w:sz w:val="32"/>
          <w:szCs w:val="32"/>
          <w:highlight w:val="none"/>
        </w:rPr>
        <w:t>指导督促企业加强投资风险管理，必要时组织专业机构或相关专家对企业投资风险管理体系进行评价。企业应按照评价结果对存在的问题及时整改，完善投资风险管理体系，提高抗风险能力。</w:t>
      </w:r>
      <w:r>
        <w:rPr>
          <w:rFonts w:hint="default" w:ascii="Times New Roman" w:hAnsi="Times New Roman" w:eastAsia="微软雅黑" w:cs="Times New Roman"/>
          <w:b w:val="0"/>
          <w:bCs w:val="0"/>
          <w:sz w:val="32"/>
          <w:szCs w:val="32"/>
          <w:highlight w:val="none"/>
        </w:rPr>
        <w:t>　</w:t>
      </w:r>
    </w:p>
    <w:p w14:paraId="29644860">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center"/>
        <w:textAlignment w:val="auto"/>
        <w:rPr>
          <w:rStyle w:val="8"/>
          <w:rFonts w:hint="default" w:ascii="Times New Roman" w:hAnsi="Times New Roman" w:eastAsia="黑体" w:cs="Times New Roman"/>
          <w:b w:val="0"/>
          <w:bCs w:val="0"/>
          <w:sz w:val="32"/>
          <w:szCs w:val="32"/>
          <w:highlight w:val="none"/>
        </w:rPr>
      </w:pPr>
    </w:p>
    <w:p w14:paraId="679EA1D6">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第六章　责任追究</w:t>
      </w:r>
    </w:p>
    <w:p w14:paraId="0127CD57">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第三十条</w:t>
      </w:r>
      <w:r>
        <w:rPr>
          <w:rFonts w:hint="default" w:ascii="Times New Roman" w:hAnsi="Times New Roman" w:eastAsia="仿宋_GB2312" w:cs="Times New Roman"/>
          <w:b w:val="0"/>
          <w:bCs w:val="0"/>
          <w:sz w:val="32"/>
          <w:szCs w:val="32"/>
          <w:highlight w:val="none"/>
        </w:rPr>
        <w:t>　企业是维护国有资本安全、实现国有资产保值增值、防止投资损失的责任主体，应当建立健全内部投资管理责任追究制度，建立与流程匹配、可追溯的投资管理责任链，明确各环节责任主体及相应责任，完善投资管理工作考核评估和奖惩机制。对投资过程中的违规违纪行为，按照有关规定实施责任追究。</w:t>
      </w:r>
    </w:p>
    <w:p w14:paraId="2D510515">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仿宋_GB2312" w:cs="Times New Roman"/>
          <w:b w:val="0"/>
          <w:bCs w:val="0"/>
          <w:i w:val="0"/>
          <w:iCs w:val="0"/>
          <w:sz w:val="32"/>
          <w:szCs w:val="32"/>
          <w:highlight w:val="none"/>
          <w:u w:val="none"/>
          <w:lang w:val="en-US" w:eastAsia="zh-CN"/>
        </w:rPr>
      </w:pPr>
      <w:r>
        <w:rPr>
          <w:rStyle w:val="8"/>
          <w:rFonts w:hint="default" w:ascii="Times New Roman" w:hAnsi="Times New Roman" w:eastAsia="黑体" w:cs="Times New Roman"/>
          <w:b w:val="0"/>
          <w:bCs w:val="0"/>
          <w:sz w:val="32"/>
          <w:szCs w:val="32"/>
          <w:highlight w:val="none"/>
        </w:rPr>
        <w:t>第三十一条</w:t>
      </w:r>
      <w:r>
        <w:rPr>
          <w:rFonts w:hint="default" w:ascii="Times New Roman" w:hAnsi="Times New Roman" w:eastAsia="黑体" w:cs="Times New Roman"/>
          <w:b w:val="0"/>
          <w:bCs w:val="0"/>
          <w:sz w:val="32"/>
          <w:szCs w:val="32"/>
          <w:highlight w:val="none"/>
        </w:rPr>
        <w:t>　</w:t>
      </w:r>
      <w:r>
        <w:rPr>
          <w:rFonts w:hint="default" w:ascii="Times New Roman" w:hAnsi="Times New Roman" w:eastAsia="仿宋_GB2312" w:cs="Times New Roman"/>
          <w:b w:val="0"/>
          <w:bCs w:val="0"/>
          <w:sz w:val="32"/>
          <w:szCs w:val="32"/>
          <w:highlight w:val="none"/>
        </w:rPr>
        <w:t>企业违反本办法规定，未履行或未正确履行投资管理职责，造成国有资产损失或严重不良后果的，</w:t>
      </w:r>
      <w:r>
        <w:rPr>
          <w:rFonts w:hint="default" w:ascii="Times New Roman" w:hAnsi="Times New Roman" w:eastAsia="仿宋_GB2312" w:cs="Times New Roman"/>
          <w:b w:val="0"/>
          <w:bCs w:val="0"/>
          <w:i w:val="0"/>
          <w:iCs w:val="0"/>
          <w:sz w:val="32"/>
          <w:szCs w:val="32"/>
          <w:highlight w:val="none"/>
          <w:u w:val="none"/>
        </w:rPr>
        <w:t>按照国有企业违规经营投资责任追究的有关规定，按照干部管理权限由有关部门对企业相关人员进行责任追究；涉嫌犯罪的，移送司法机关依法处理。</w:t>
      </w:r>
    </w:p>
    <w:p w14:paraId="12DB3059">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center"/>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第七章　附则</w:t>
      </w:r>
    </w:p>
    <w:p w14:paraId="4C8AD8DE">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第三十二条</w:t>
      </w:r>
      <w:r>
        <w:rPr>
          <w:rFonts w:hint="default" w:ascii="Times New Roman" w:hAnsi="Times New Roman" w:eastAsia="仿宋_GB2312" w:cs="Times New Roman"/>
          <w:b w:val="0"/>
          <w:bCs w:val="0"/>
          <w:sz w:val="32"/>
          <w:szCs w:val="32"/>
          <w:highlight w:val="none"/>
        </w:rPr>
        <w:t>　国家有关法律法规另有规定的，从其规定。</w:t>
      </w:r>
    </w:p>
    <w:p w14:paraId="01E59F21">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微软雅黑" w:cs="Times New Roman"/>
          <w:b w:val="0"/>
          <w:bCs w:val="0"/>
          <w:sz w:val="32"/>
          <w:szCs w:val="32"/>
          <w:highlight w:val="none"/>
        </w:rPr>
      </w:pPr>
      <w:r>
        <w:rPr>
          <w:rStyle w:val="8"/>
          <w:rFonts w:hint="default" w:ascii="Times New Roman" w:hAnsi="Times New Roman" w:eastAsia="黑体" w:cs="Times New Roman"/>
          <w:b w:val="0"/>
          <w:bCs w:val="0"/>
          <w:sz w:val="32"/>
          <w:szCs w:val="32"/>
          <w:highlight w:val="none"/>
        </w:rPr>
        <w:t>第三十三条</w:t>
      </w:r>
      <w:r>
        <w:rPr>
          <w:rFonts w:hint="eastAsia" w:ascii="Times New Roman" w:hAnsi="Times New Roman" w:eastAsia="微软雅黑" w:cs="Times New Roman"/>
          <w:b w:val="0"/>
          <w:bCs w:val="0"/>
          <w:sz w:val="32"/>
          <w:szCs w:val="32"/>
          <w:highlight w:val="none"/>
          <w:lang w:eastAsia="zh-CN"/>
        </w:rPr>
        <w:t>　</w:t>
      </w:r>
      <w:r>
        <w:rPr>
          <w:rFonts w:hint="default" w:ascii="Times New Roman" w:hAnsi="Times New Roman" w:eastAsia="仿宋_GB2312" w:cs="Times New Roman"/>
          <w:b w:val="0"/>
          <w:bCs w:val="0"/>
          <w:sz w:val="32"/>
          <w:szCs w:val="32"/>
          <w:highlight w:val="none"/>
        </w:rPr>
        <w:t>本办法由</w:t>
      </w:r>
      <w:r>
        <w:rPr>
          <w:rFonts w:hint="default" w:ascii="Times New Roman" w:hAnsi="Times New Roman" w:eastAsia="仿宋_GB2312" w:cs="Times New Roman"/>
          <w:b w:val="0"/>
          <w:bCs w:val="0"/>
          <w:sz w:val="32"/>
          <w:szCs w:val="32"/>
          <w:highlight w:val="none"/>
          <w:lang w:val="en-US" w:eastAsia="zh-CN"/>
        </w:rPr>
        <w:t>区国资监管机构</w:t>
      </w:r>
      <w:r>
        <w:rPr>
          <w:rFonts w:hint="default" w:ascii="Times New Roman" w:hAnsi="Times New Roman" w:eastAsia="仿宋_GB2312" w:cs="Times New Roman"/>
          <w:b w:val="0"/>
          <w:bCs w:val="0"/>
          <w:sz w:val="32"/>
          <w:szCs w:val="32"/>
          <w:highlight w:val="none"/>
        </w:rPr>
        <w:t>负责解释，自</w:t>
      </w:r>
      <w:r>
        <w:rPr>
          <w:rFonts w:hint="default" w:ascii="Times New Roman" w:hAnsi="Times New Roman" w:eastAsia="仿宋_GB2312" w:cs="Times New Roman"/>
          <w:b w:val="0"/>
          <w:bCs w:val="0"/>
          <w:sz w:val="32"/>
          <w:szCs w:val="32"/>
          <w:highlight w:val="none"/>
          <w:lang w:val="en-US" w:eastAsia="zh-CN"/>
        </w:rPr>
        <w:t>2025年6月1日</w:t>
      </w:r>
      <w:r>
        <w:rPr>
          <w:rFonts w:hint="default" w:ascii="Times New Roman" w:hAnsi="Times New Roman" w:eastAsia="仿宋_GB2312" w:cs="Times New Roman"/>
          <w:b w:val="0"/>
          <w:bCs w:val="0"/>
          <w:sz w:val="32"/>
          <w:szCs w:val="32"/>
          <w:highlight w:val="none"/>
        </w:rPr>
        <w:t>起施行</w:t>
      </w:r>
      <w:r>
        <w:rPr>
          <w:rFonts w:hint="default" w:ascii="Times New Roman" w:hAnsi="Times New Roman" w:eastAsia="仿宋_GB2312" w:cs="Times New Roman"/>
          <w:b w:val="0"/>
          <w:bCs w:val="0"/>
          <w:sz w:val="32"/>
          <w:szCs w:val="32"/>
          <w:highlight w:val="none"/>
          <w:lang w:eastAsia="zh-CN"/>
        </w:rPr>
        <w:t>，</w:t>
      </w:r>
      <w:r>
        <w:rPr>
          <w:rFonts w:hint="default" w:ascii="Times New Roman" w:hAnsi="Times New Roman" w:eastAsia="仿宋_GB2312" w:cs="Times New Roman"/>
          <w:b w:val="0"/>
          <w:bCs w:val="0"/>
          <w:sz w:val="32"/>
          <w:szCs w:val="32"/>
          <w:highlight w:val="none"/>
          <w:lang w:val="en-US" w:eastAsia="zh-CN"/>
        </w:rPr>
        <w:t>试行期2</w:t>
      </w:r>
      <w:r>
        <w:rPr>
          <w:rFonts w:hint="default" w:ascii="Times New Roman" w:hAnsi="Times New Roman" w:eastAsia="仿宋_GB2312" w:cs="Times New Roman"/>
          <w:b w:val="0"/>
          <w:bCs w:val="0"/>
          <w:sz w:val="32"/>
          <w:szCs w:val="32"/>
          <w:highlight w:val="none"/>
          <w:lang w:eastAsia="zh-CN"/>
        </w:rPr>
        <w:t>年</w:t>
      </w:r>
      <w:r>
        <w:rPr>
          <w:rFonts w:hint="default" w:ascii="Times New Roman" w:hAnsi="Times New Roman" w:eastAsia="仿宋_GB2312" w:cs="Times New Roman"/>
          <w:b w:val="0"/>
          <w:bCs w:val="0"/>
          <w:sz w:val="32"/>
          <w:szCs w:val="32"/>
          <w:highlight w:val="none"/>
        </w:rPr>
        <w:t>。</w:t>
      </w:r>
    </w:p>
    <w:p w14:paraId="0197FF71">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微软雅黑" w:cs="Times New Roman"/>
          <w:b w:val="0"/>
          <w:bCs w:val="0"/>
          <w:sz w:val="32"/>
          <w:szCs w:val="32"/>
          <w:highlight w:val="none"/>
        </w:rPr>
      </w:pPr>
    </w:p>
    <w:p w14:paraId="1432A30C">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auto"/>
        <w:rPr>
          <w:rFonts w:hint="default" w:ascii="Times New Roman" w:hAnsi="Times New Roman" w:eastAsia="仿宋_GB2312" w:cs="Times New Roman"/>
          <w:b w:val="0"/>
          <w:bCs w:val="0"/>
          <w:sz w:val="32"/>
          <w:szCs w:val="32"/>
          <w:highlight w:val="none"/>
          <w:lang w:eastAsia="zh-CN"/>
        </w:rPr>
      </w:pPr>
      <w:r>
        <w:rPr>
          <w:rFonts w:hint="default" w:ascii="Times New Roman" w:hAnsi="Times New Roman" w:eastAsia="仿宋_GB2312" w:cs="Times New Roman"/>
          <w:b w:val="0"/>
          <w:bCs w:val="0"/>
          <w:sz w:val="32"/>
          <w:szCs w:val="32"/>
          <w:highlight w:val="none"/>
          <w:lang w:eastAsia="zh-CN"/>
        </w:rPr>
        <w:t>附件：广元市昭化区区属国有企业投资项目负面清单（2025</w:t>
      </w:r>
    </w:p>
    <w:p w14:paraId="5FCC08AA">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6" w:lineRule="exact"/>
        <w:ind w:left="0" w:leftChars="0" w:right="0" w:rightChars="0" w:firstLine="1520" w:firstLineChars="475"/>
        <w:jc w:val="left"/>
        <w:textAlignment w:val="auto"/>
        <w:rPr>
          <w:rFonts w:hint="default" w:ascii="Times New Roman" w:hAnsi="Times New Roman" w:eastAsia="仿宋_GB2312" w:cs="Times New Roman"/>
          <w:b w:val="0"/>
          <w:bCs w:val="0"/>
          <w:sz w:val="32"/>
          <w:szCs w:val="32"/>
          <w:highlight w:val="none"/>
          <w:lang w:eastAsia="zh-CN"/>
        </w:rPr>
      </w:pPr>
      <w:r>
        <w:rPr>
          <w:rFonts w:hint="default" w:ascii="Times New Roman" w:hAnsi="Times New Roman" w:eastAsia="仿宋_GB2312" w:cs="Times New Roman"/>
          <w:b w:val="0"/>
          <w:bCs w:val="0"/>
          <w:sz w:val="32"/>
          <w:szCs w:val="32"/>
          <w:highlight w:val="none"/>
          <w:lang w:eastAsia="zh-CN"/>
        </w:rPr>
        <w:t>年版）</w:t>
      </w:r>
    </w:p>
    <w:p w14:paraId="3EA21C8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1E9E8AF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0806C80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505A21E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41A68CD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1F4DF57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52BA462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4037F30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7D9A668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1611966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2DB103D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4D92245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75660A6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171381B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79C7BC0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77" w:lineRule="exact"/>
        <w:ind w:left="0" w:leftChars="0" w:right="0" w:rightChars="0" w:firstLine="880" w:firstLineChars="200"/>
        <w:jc w:val="center"/>
        <w:textAlignment w:val="auto"/>
        <w:rPr>
          <w:rFonts w:hint="eastAsia" w:ascii="方正小标宋简体" w:hAnsi="方正小标宋简体" w:eastAsia="方正小标宋简体" w:cs="方正小标宋简体"/>
          <w:b w:val="0"/>
          <w:bCs w:val="0"/>
          <w:sz w:val="44"/>
          <w:szCs w:val="44"/>
          <w:lang w:eastAsia="zh-CN"/>
        </w:rPr>
      </w:pPr>
    </w:p>
    <w:p w14:paraId="5B31B6A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0" w:firstLineChars="0"/>
        <w:jc w:val="left"/>
        <w:textAlignment w:val="auto"/>
        <w:outlineLvl w:val="0"/>
        <w:rPr>
          <w:rStyle w:val="7"/>
          <w:rFonts w:hint="eastAsia" w:ascii="黑体" w:hAnsi="黑体" w:eastAsia="黑体" w:cs="黑体"/>
          <w:b w:val="0"/>
          <w:bCs w:val="0"/>
          <w:color w:val="000000" w:themeColor="text1"/>
          <w:sz w:val="32"/>
          <w:szCs w:val="32"/>
          <w:highlight w:val="none"/>
          <w:lang w:val="en-US" w:eastAsia="zh-CN"/>
          <w14:textFill>
            <w14:solidFill>
              <w14:schemeClr w14:val="tx1"/>
            </w14:solidFill>
          </w14:textFill>
        </w:rPr>
      </w:pPr>
      <w:bookmarkStart w:id="6" w:name="_Toc31208"/>
      <w:bookmarkStart w:id="7" w:name="_Toc31447"/>
      <w:r>
        <w:rPr>
          <w:rStyle w:val="7"/>
          <w:rFonts w:hint="eastAsia" w:ascii="黑体" w:hAnsi="黑体" w:eastAsia="黑体" w:cs="黑体"/>
          <w:b w:val="0"/>
          <w:bCs w:val="0"/>
          <w:color w:val="000000" w:themeColor="text1"/>
          <w:sz w:val="32"/>
          <w:szCs w:val="32"/>
          <w:highlight w:val="none"/>
          <w:lang w:val="en-US" w:eastAsia="zh-CN"/>
          <w14:textFill>
            <w14:solidFill>
              <w14:schemeClr w14:val="tx1"/>
            </w14:solidFill>
          </w14:textFill>
        </w:rPr>
        <w:t>附件</w:t>
      </w:r>
    </w:p>
    <w:p w14:paraId="3996510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0" w:firstLineChars="0"/>
        <w:jc w:val="center"/>
        <w:textAlignment w:val="auto"/>
        <w:outlineLvl w:val="0"/>
        <w:rPr>
          <w:rStyle w:val="7"/>
          <w:rFonts w:hint="eastAsia" w:ascii="方正小标宋简体" w:hAnsi="方正小标宋简体" w:eastAsia="方正小标宋简体" w:cs="方正小标宋简体"/>
          <w:b w:val="0"/>
          <w:bCs w:val="0"/>
          <w:color w:val="000000" w:themeColor="text1"/>
          <w:sz w:val="44"/>
          <w:szCs w:val="44"/>
          <w:highlight w:val="none"/>
          <w:lang w:eastAsia="zh-CN"/>
          <w14:textFill>
            <w14:solidFill>
              <w14:schemeClr w14:val="tx1"/>
            </w14:solidFill>
          </w14:textFill>
        </w:rPr>
      </w:pPr>
    </w:p>
    <w:p w14:paraId="6D84976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0" w:firstLineChars="0"/>
        <w:jc w:val="center"/>
        <w:textAlignment w:val="auto"/>
        <w:outlineLvl w:val="0"/>
        <w:rPr>
          <w:rStyle w:val="7"/>
          <w:rFonts w:hint="eastAsia" w:ascii="方正小标宋简体" w:hAnsi="方正小标宋简体" w:eastAsia="方正小标宋简体" w:cs="方正小标宋简体"/>
          <w:b w:val="0"/>
          <w:bCs w:val="0"/>
          <w:color w:val="000000" w:themeColor="text1"/>
          <w:sz w:val="44"/>
          <w:szCs w:val="44"/>
          <w:highlight w:val="none"/>
          <w14:textFill>
            <w14:solidFill>
              <w14:schemeClr w14:val="tx1"/>
            </w14:solidFill>
          </w14:textFill>
        </w:rPr>
      </w:pPr>
      <w:r>
        <w:rPr>
          <w:rStyle w:val="7"/>
          <w:rFonts w:hint="eastAsia" w:ascii="方正小标宋简体" w:hAnsi="方正小标宋简体" w:eastAsia="方正小标宋简体" w:cs="方正小标宋简体"/>
          <w:b w:val="0"/>
          <w:bCs w:val="0"/>
          <w:color w:val="000000" w:themeColor="text1"/>
          <w:sz w:val="44"/>
          <w:szCs w:val="44"/>
          <w:highlight w:val="none"/>
          <w:lang w:eastAsia="zh-CN"/>
          <w14:textFill>
            <w14:solidFill>
              <w14:schemeClr w14:val="tx1"/>
            </w14:solidFill>
          </w14:textFill>
        </w:rPr>
        <w:t>广元市昭化区区</w:t>
      </w:r>
      <w:r>
        <w:rPr>
          <w:rStyle w:val="7"/>
          <w:rFonts w:hint="eastAsia" w:ascii="方正小标宋简体" w:hAnsi="方正小标宋简体" w:eastAsia="方正小标宋简体" w:cs="方正小标宋简体"/>
          <w:b w:val="0"/>
          <w:bCs w:val="0"/>
          <w:color w:val="000000" w:themeColor="text1"/>
          <w:sz w:val="44"/>
          <w:szCs w:val="44"/>
          <w:highlight w:val="none"/>
          <w14:textFill>
            <w14:solidFill>
              <w14:schemeClr w14:val="tx1"/>
            </w14:solidFill>
          </w14:textFill>
        </w:rPr>
        <w:t>属国有企业投资项目</w:t>
      </w:r>
      <w:bookmarkEnd w:id="6"/>
      <w:bookmarkEnd w:id="7"/>
    </w:p>
    <w:p w14:paraId="0331EB0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0" w:firstLineChars="0"/>
        <w:jc w:val="center"/>
        <w:textAlignment w:val="auto"/>
        <w:outlineLvl w:val="0"/>
        <w:rPr>
          <w:rFonts w:hint="eastAsia" w:ascii="方正小标宋简体" w:hAnsi="方正小标宋简体" w:eastAsia="方正小标宋简体" w:cs="方正小标宋简体"/>
          <w:b w:val="0"/>
          <w:bCs w:val="0"/>
          <w:color w:val="000000" w:themeColor="text1"/>
          <w:sz w:val="44"/>
          <w:szCs w:val="44"/>
          <w:highlight w:val="none"/>
          <w14:textFill>
            <w14:solidFill>
              <w14:schemeClr w14:val="tx1"/>
            </w14:solidFill>
          </w14:textFill>
        </w:rPr>
      </w:pPr>
      <w:bookmarkStart w:id="8" w:name="_Toc30747"/>
      <w:bookmarkStart w:id="9" w:name="_Toc23706"/>
      <w:r>
        <w:rPr>
          <w:rStyle w:val="7"/>
          <w:rFonts w:hint="eastAsia" w:ascii="方正小标宋简体" w:hAnsi="方正小标宋简体" w:eastAsia="方正小标宋简体" w:cs="方正小标宋简体"/>
          <w:b w:val="0"/>
          <w:bCs w:val="0"/>
          <w:color w:val="000000" w:themeColor="text1"/>
          <w:sz w:val="44"/>
          <w:szCs w:val="44"/>
          <w:highlight w:val="none"/>
          <w14:textFill>
            <w14:solidFill>
              <w14:schemeClr w14:val="tx1"/>
            </w14:solidFill>
          </w14:textFill>
        </w:rPr>
        <w:t>负面清单</w:t>
      </w:r>
      <w:bookmarkEnd w:id="8"/>
      <w:bookmarkEnd w:id="9"/>
    </w:p>
    <w:p w14:paraId="079CAD9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0" w:firstLineChars="0"/>
        <w:jc w:val="center"/>
        <w:textAlignment w:val="auto"/>
        <w:outlineLvl w:val="0"/>
        <w:rPr>
          <w:rFonts w:hint="eastAsia" w:ascii="楷体_GB2312" w:hAnsi="楷体_GB2312" w:eastAsia="楷体_GB2312" w:cs="楷体_GB2312"/>
          <w:b w:val="0"/>
          <w:bCs w:val="0"/>
          <w:color w:val="000000" w:themeColor="text1"/>
          <w:sz w:val="32"/>
          <w:szCs w:val="32"/>
          <w:highlight w:val="none"/>
          <w14:textFill>
            <w14:solidFill>
              <w14:schemeClr w14:val="tx1"/>
            </w14:solidFill>
          </w14:textFill>
        </w:rPr>
      </w:pPr>
      <w:bookmarkStart w:id="10" w:name="_Toc31190"/>
      <w:bookmarkStart w:id="11" w:name="_Toc23783"/>
      <w:r>
        <w:rPr>
          <w:rStyle w:val="7"/>
          <w:rFonts w:hint="eastAsia" w:ascii="楷体_GB2312" w:hAnsi="楷体_GB2312" w:eastAsia="楷体_GB2312" w:cs="楷体_GB2312"/>
          <w:b w:val="0"/>
          <w:bCs w:val="0"/>
          <w:color w:val="000000" w:themeColor="text1"/>
          <w:sz w:val="32"/>
          <w:szCs w:val="32"/>
          <w:highlight w:val="none"/>
          <w14:textFill>
            <w14:solidFill>
              <w14:schemeClr w14:val="tx1"/>
            </w14:solidFill>
          </w14:textFill>
        </w:rPr>
        <w:t>（</w:t>
      </w:r>
      <w:r>
        <w:rPr>
          <w:rStyle w:val="7"/>
          <w:rFonts w:hint="eastAsia" w:ascii="Times New Roman" w:hAnsi="Times New Roman" w:eastAsia="楷体_GB2312" w:cs="楷体_GB2312"/>
          <w:b w:val="0"/>
          <w:bCs w:val="0"/>
          <w:color w:val="000000" w:themeColor="text1"/>
          <w:sz w:val="32"/>
          <w:szCs w:val="32"/>
          <w:highlight w:val="none"/>
          <w14:textFill>
            <w14:solidFill>
              <w14:schemeClr w14:val="tx1"/>
            </w14:solidFill>
          </w14:textFill>
        </w:rPr>
        <w:t>202</w:t>
      </w:r>
      <w:r>
        <w:rPr>
          <w:rStyle w:val="7"/>
          <w:rFonts w:hint="eastAsia" w:ascii="Times New Roman" w:hAnsi="Times New Roman" w:eastAsia="楷体_GB2312" w:cs="楷体_GB2312"/>
          <w:b w:val="0"/>
          <w:bCs w:val="0"/>
          <w:color w:val="000000" w:themeColor="text1"/>
          <w:sz w:val="32"/>
          <w:szCs w:val="32"/>
          <w:highlight w:val="none"/>
          <w:lang w:val="en-US" w:eastAsia="zh-CN"/>
          <w14:textFill>
            <w14:solidFill>
              <w14:schemeClr w14:val="tx1"/>
            </w14:solidFill>
          </w14:textFill>
        </w:rPr>
        <w:t>5</w:t>
      </w:r>
      <w:r>
        <w:rPr>
          <w:rStyle w:val="7"/>
          <w:rFonts w:hint="eastAsia" w:ascii="楷体_GB2312" w:hAnsi="楷体_GB2312" w:eastAsia="楷体_GB2312" w:cs="楷体_GB2312"/>
          <w:b w:val="0"/>
          <w:bCs w:val="0"/>
          <w:color w:val="000000" w:themeColor="text1"/>
          <w:sz w:val="32"/>
          <w:szCs w:val="32"/>
          <w:highlight w:val="none"/>
          <w14:textFill>
            <w14:solidFill>
              <w14:schemeClr w14:val="tx1"/>
            </w14:solidFill>
          </w14:textFill>
        </w:rPr>
        <w:t>年版）</w:t>
      </w:r>
      <w:bookmarkEnd w:id="10"/>
      <w:bookmarkEnd w:id="11"/>
    </w:p>
    <w:p w14:paraId="289CBF3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left"/>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p>
    <w:p w14:paraId="764DDB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黑体" w:hAnsi="黑体" w:eastAsia="黑体" w:cs="黑体"/>
          <w:b w:val="0"/>
          <w:bCs w:val="0"/>
          <w:color w:val="000000" w:themeColor="text1"/>
          <w:sz w:val="32"/>
          <w:szCs w:val="32"/>
          <w:highlight w:val="none"/>
          <w14:textFill>
            <w14:solidFill>
              <w14:schemeClr w14:val="tx1"/>
            </w14:solidFill>
          </w14:textFill>
        </w:rPr>
      </w:pPr>
      <w:r>
        <w:rPr>
          <w:rStyle w:val="7"/>
          <w:rFonts w:hint="eastAsia" w:ascii="黑体" w:hAnsi="黑体" w:eastAsia="黑体" w:cs="黑体"/>
          <w:b w:val="0"/>
          <w:bCs w:val="0"/>
          <w:color w:val="000000" w:themeColor="text1"/>
          <w:sz w:val="32"/>
          <w:szCs w:val="32"/>
          <w:highlight w:val="none"/>
          <w14:textFill>
            <w14:solidFill>
              <w14:schemeClr w14:val="tx1"/>
            </w14:solidFill>
          </w14:textFill>
        </w:rPr>
        <w:t>一、禁止类</w:t>
      </w:r>
    </w:p>
    <w:p w14:paraId="6B2D725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（一）不符合国家、省</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市</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和区</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产业政策、发展规划和行业准入要求的投资项目；</w:t>
      </w:r>
    </w:p>
    <w:p w14:paraId="1F690B7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 xml:space="preserve">（二）不符合环保、土地、能源消耗、污染排放及安全生产等有关法律法规的项目； </w:t>
      </w:r>
    </w:p>
    <w:p w14:paraId="286813C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（三）不符合企业发展规划、投资管理制度及未按规定履行投资决策、审批程序的投资项目；</w:t>
      </w:r>
    </w:p>
    <w:p w14:paraId="42DCBEF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（四）投资预期收益率低于</w:t>
      </w:r>
      <w:r>
        <w:rPr>
          <w:rFonts w:hint="eastAsia" w:ascii="仿宋_GB2312" w:hAnsi="仿宋_GB2312" w:eastAsia="仿宋_GB2312" w:cs="仿宋_GB2312"/>
          <w:b w:val="0"/>
          <w:bCs w:val="0"/>
          <w:i w:val="0"/>
          <w:iCs w:val="0"/>
          <w:color w:val="000000" w:themeColor="text1"/>
          <w:sz w:val="32"/>
          <w:szCs w:val="32"/>
          <w:highlight w:val="none"/>
          <w:u w:val="none"/>
          <w:lang w:eastAsia="zh-CN"/>
          <w14:textFill>
            <w14:solidFill>
              <w14:schemeClr w14:val="tx1"/>
            </w14:solidFill>
          </w14:textFill>
        </w:rPr>
        <w:t>贷款</w:t>
      </w:r>
      <w:r>
        <w:rPr>
          <w:rFonts w:hint="eastAsia" w:ascii="仿宋_GB2312" w:hAnsi="仿宋_GB2312" w:eastAsia="仿宋_GB2312" w:cs="仿宋_GB2312"/>
          <w:b w:val="0"/>
          <w:bCs w:val="0"/>
          <w:i w:val="0"/>
          <w:iCs w:val="0"/>
          <w:color w:val="000000" w:themeColor="text1"/>
          <w:sz w:val="32"/>
          <w:szCs w:val="32"/>
          <w:highlight w:val="none"/>
          <w:u w:val="none"/>
          <w:lang w:val="en-US" w:eastAsia="zh-CN"/>
          <w14:textFill>
            <w14:solidFill>
              <w14:schemeClr w14:val="tx1"/>
            </w14:solidFill>
          </w14:textFill>
        </w:rPr>
        <w:t>市场报价利率LPR</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的</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商业性投资项目；</w:t>
      </w:r>
    </w:p>
    <w:p w14:paraId="077A127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（五）出资设立</w:t>
      </w:r>
      <w:r>
        <w:rPr>
          <w:rFonts w:hint="eastAsia" w:ascii="Times New Roman" w:hAnsi="Times New Roman" w:eastAsia="仿宋_GB2312" w:cs="仿宋_GB2312"/>
          <w:b w:val="0"/>
          <w:bCs w:val="0"/>
          <w:color w:val="000000" w:themeColor="text1"/>
          <w:sz w:val="32"/>
          <w:szCs w:val="32"/>
          <w:highlight w:val="none"/>
          <w14:textFill>
            <w14:solidFill>
              <w14:schemeClr w14:val="tx1"/>
            </w14:solidFill>
          </w14:textFill>
        </w:rPr>
        <w:t>3</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级以下层级子企业（确因企业</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融资</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、税务筹划等需要而设立，没有实际运作和管理职能的公司，以及只为开发建设特定项目而存续设立的项目公司，经</w:t>
      </w:r>
      <w:r>
        <w:rPr>
          <w:rFonts w:hint="eastAsia" w:ascii="仿宋_GB2312" w:hAnsi="仿宋_GB2312" w:eastAsia="仿宋_GB2312" w:cs="仿宋_GB2312"/>
          <w:b w:val="0"/>
          <w:bCs w:val="0"/>
          <w:color w:val="000000" w:themeColor="text1"/>
          <w:sz w:val="32"/>
          <w:szCs w:val="32"/>
          <w:highlight w:val="none"/>
          <w:lang w:val="en-US" w:eastAsia="zh-CN"/>
          <w14:textFill>
            <w14:solidFill>
              <w14:schemeClr w14:val="tx1"/>
            </w14:solidFill>
          </w14:textFill>
        </w:rPr>
        <w:t>区人民政府</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同意，可不作为管理层级）；</w:t>
      </w:r>
    </w:p>
    <w:p w14:paraId="09CDDB9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（六）对资不抵债、扭亏无望的子企业增资；</w:t>
      </w:r>
    </w:p>
    <w:p w14:paraId="4580E3D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 xml:space="preserve">（七）未明确融资、投资、管理方式和相关责任人的投资项目，以及未明确退出方式的股权投资项目； </w:t>
      </w:r>
    </w:p>
    <w:p w14:paraId="6481758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（八）</w:t>
      </w:r>
      <w:r>
        <w:rPr>
          <w:rFonts w:hint="eastAsia" w:ascii="仿宋_GB2312" w:hAnsi="仿宋_GB2312" w:eastAsia="仿宋_GB2312" w:cs="仿宋_GB2312"/>
          <w:b w:val="0"/>
          <w:bCs w:val="0"/>
          <w:color w:val="000000" w:themeColor="text1"/>
          <w:spacing w:val="-6"/>
          <w:sz w:val="32"/>
          <w:szCs w:val="32"/>
          <w:highlight w:val="none"/>
          <w14:textFill>
            <w14:solidFill>
              <w14:schemeClr w14:val="tx1"/>
            </w14:solidFill>
          </w14:textFill>
        </w:rPr>
        <w:t>项目资本金低于国家相关规定要求的固定资产投资项目；</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 xml:space="preserve"> </w:t>
      </w:r>
    </w:p>
    <w:p w14:paraId="28B4AB1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（九）与资信不佳、资产质量状况较差或明显缺乏投资能力的企业合作出资的投资项目；</w:t>
      </w:r>
    </w:p>
    <w:p w14:paraId="7ED324E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（十）投资规模明显超过企业实际能力的投资项目。</w:t>
      </w:r>
    </w:p>
    <w:p w14:paraId="6FEE3A7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（十一）非主业高风险金融（含衍生品交易）项目投资，包括以套利为目的在二级市场买卖股票、债券、基金等业务；期货、期权、外汇买卖及组合产品、高风险委托理财等。</w:t>
      </w:r>
    </w:p>
    <w:p w14:paraId="0CD0328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Style w:val="7"/>
          <w:rFonts w:hint="eastAsia" w:ascii="黑体" w:hAnsi="黑体" w:eastAsia="黑体" w:cs="黑体"/>
          <w:b w:val="0"/>
          <w:bCs w:val="0"/>
          <w:color w:val="000000" w:themeColor="text1"/>
          <w:sz w:val="32"/>
          <w:szCs w:val="32"/>
          <w:highlight w:val="none"/>
          <w14:textFill>
            <w14:solidFill>
              <w14:schemeClr w14:val="tx1"/>
            </w14:solidFill>
          </w14:textFill>
        </w:rPr>
      </w:pPr>
      <w:r>
        <w:rPr>
          <w:rStyle w:val="7"/>
          <w:rFonts w:hint="eastAsia" w:ascii="黑体" w:hAnsi="黑体" w:eastAsia="黑体" w:cs="黑体"/>
          <w:b w:val="0"/>
          <w:bCs w:val="0"/>
          <w:color w:val="000000" w:themeColor="text1"/>
          <w:sz w:val="32"/>
          <w:szCs w:val="32"/>
          <w:highlight w:val="none"/>
          <w14:textFill>
            <w14:solidFill>
              <w14:schemeClr w14:val="tx1"/>
            </w14:solidFill>
          </w14:textFill>
        </w:rPr>
        <w:t>二、监管类</w:t>
      </w:r>
    </w:p>
    <w:p w14:paraId="7FF01FE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（一）需报</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市</w:t>
      </w:r>
      <w:r>
        <w:rPr>
          <w:rFonts w:hint="eastAsia" w:ascii="仿宋_GB2312" w:hAnsi="仿宋_GB2312" w:eastAsia="仿宋_GB2312" w:cs="仿宋_GB2312"/>
          <w:b w:val="0"/>
          <w:bCs w:val="0"/>
          <w:color w:val="000000" w:themeColor="text1"/>
          <w:sz w:val="32"/>
          <w:szCs w:val="32"/>
          <w:highlight w:val="none"/>
          <w:lang w:val="en-US"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政府核准或备案的投资项目；</w:t>
      </w:r>
    </w:p>
    <w:p w14:paraId="6EBB7C4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（二）</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区外境内和</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境外投资项目；</w:t>
      </w:r>
    </w:p>
    <w:p w14:paraId="22A3D56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（三）超过负债率管控线（</w:t>
      </w:r>
      <w:r>
        <w:rPr>
          <w:rFonts w:hint="eastAsia" w:ascii="Times New Roman" w:hAnsi="Times New Roman" w:eastAsia="仿宋_GB2312" w:cs="仿宋_GB2312"/>
          <w:b w:val="0"/>
          <w:bCs w:val="0"/>
          <w:color w:val="000000" w:themeColor="text1"/>
          <w:sz w:val="32"/>
          <w:szCs w:val="32"/>
          <w:highlight w:val="none"/>
          <w14:textFill>
            <w14:solidFill>
              <w14:schemeClr w14:val="tx1"/>
            </w14:solidFill>
          </w14:textFill>
        </w:rPr>
        <w:t>70</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%）的高负债企业非主业投资项目；</w:t>
      </w:r>
    </w:p>
    <w:p w14:paraId="008DFB1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pP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（四）企业及其子企</w:t>
      </w:r>
      <w:r>
        <w:rPr>
          <w:rFonts w:hint="eastAsia" w:ascii="仿宋_GB2312" w:hAnsi="仿宋_GB2312" w:eastAsia="仿宋_GB2312" w:cs="仿宋_GB2312"/>
          <w:b w:val="0"/>
          <w:bCs w:val="0"/>
          <w:i w:val="0"/>
          <w:iCs w:val="0"/>
          <w:color w:val="000000" w:themeColor="text1"/>
          <w:sz w:val="32"/>
          <w:szCs w:val="32"/>
          <w:highlight w:val="none"/>
          <w:u w:val="none"/>
          <w:lang w:eastAsia="zh-CN"/>
          <w14:textFill>
            <w14:solidFill>
              <w14:schemeClr w14:val="tx1"/>
            </w14:solidFill>
          </w14:textFill>
        </w:rPr>
        <w:t>业</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投资注册新企业、单项股权投资额达到</w:t>
      </w:r>
      <w:r>
        <w:rPr>
          <w:rFonts w:hint="eastAsia" w:ascii="Times New Roman" w:hAnsi="Times New Roman" w:eastAsia="仿宋_GB2312" w:cs="仿宋_GB2312"/>
          <w:b w:val="0"/>
          <w:bCs w:val="0"/>
          <w:i w:val="0"/>
          <w:iCs w:val="0"/>
          <w:color w:val="000000" w:themeColor="text1"/>
          <w:sz w:val="32"/>
          <w:szCs w:val="32"/>
          <w:highlight w:val="none"/>
          <w:u w:val="none"/>
          <w:lang w:val="en-US" w:eastAsia="zh-CN"/>
          <w14:textFill>
            <w14:solidFill>
              <w14:schemeClr w14:val="tx1"/>
            </w14:solidFill>
          </w14:textFill>
        </w:rPr>
        <w:t>1</w:t>
      </w:r>
      <w:r>
        <w:rPr>
          <w:rFonts w:hint="eastAsia" w:ascii="Times New Roman" w:hAnsi="Times New Roman" w:eastAsia="仿宋_GB2312" w:cs="仿宋_GB2312"/>
          <w:b w:val="0"/>
          <w:bCs w:val="0"/>
          <w:i w:val="0"/>
          <w:iCs w:val="0"/>
          <w:color w:val="000000" w:themeColor="text1"/>
          <w:sz w:val="32"/>
          <w:szCs w:val="32"/>
          <w:highlight w:val="none"/>
          <w:u w:val="none"/>
          <w14:textFill>
            <w14:solidFill>
              <w14:schemeClr w14:val="tx1"/>
            </w14:solidFill>
          </w14:textFill>
        </w:rPr>
        <w:t>000</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万元以上（新设主业范围内的三级全资子企业除外）或单项股权投资额未达到</w:t>
      </w:r>
      <w:r>
        <w:rPr>
          <w:rFonts w:hint="eastAsia" w:ascii="Times New Roman" w:hAnsi="Times New Roman" w:eastAsia="仿宋_GB2312" w:cs="仿宋_GB2312"/>
          <w:b w:val="0"/>
          <w:bCs w:val="0"/>
          <w:i w:val="0"/>
          <w:iCs w:val="0"/>
          <w:color w:val="000000" w:themeColor="text1"/>
          <w:sz w:val="32"/>
          <w:szCs w:val="32"/>
          <w:highlight w:val="none"/>
          <w:u w:val="none"/>
          <w:lang w:val="en-US" w:eastAsia="zh-CN"/>
          <w14:textFill>
            <w14:solidFill>
              <w14:schemeClr w14:val="tx1"/>
            </w14:solidFill>
          </w14:textFill>
        </w:rPr>
        <w:t>1</w:t>
      </w:r>
      <w:r>
        <w:rPr>
          <w:rFonts w:hint="eastAsia" w:ascii="Times New Roman" w:hAnsi="Times New Roman" w:eastAsia="仿宋_GB2312" w:cs="仿宋_GB2312"/>
          <w:b w:val="0"/>
          <w:bCs w:val="0"/>
          <w:i w:val="0"/>
          <w:iCs w:val="0"/>
          <w:color w:val="000000" w:themeColor="text1"/>
          <w:sz w:val="32"/>
          <w:szCs w:val="32"/>
          <w:highlight w:val="none"/>
          <w:u w:val="none"/>
          <w14:textFill>
            <w14:solidFill>
              <w14:schemeClr w14:val="tx1"/>
            </w14:solidFill>
          </w14:textFill>
        </w:rPr>
        <w:t>000</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万元，但导致企业控制权发生变动的；</w:t>
      </w:r>
    </w:p>
    <w:p w14:paraId="12CB8C6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（五）</w:t>
      </w:r>
      <w:r>
        <w:rPr>
          <w:rFonts w:hint="eastAsia" w:ascii="仿宋_GB2312" w:hAnsi="仿宋_GB2312" w:eastAsia="仿宋_GB2312" w:cs="仿宋_GB2312"/>
          <w:b w:val="0"/>
          <w:bCs w:val="0"/>
          <w:i w:val="0"/>
          <w:iCs w:val="0"/>
          <w:color w:val="000000" w:themeColor="text1"/>
          <w:sz w:val="32"/>
          <w:szCs w:val="32"/>
          <w:highlight w:val="none"/>
          <w:u w:val="none"/>
          <w:lang w:eastAsia="zh-CN"/>
          <w14:textFill>
            <w14:solidFill>
              <w14:schemeClr w14:val="tx1"/>
            </w14:solidFill>
          </w14:textFill>
        </w:rPr>
        <w:t>企业</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资产总额</w:t>
      </w:r>
      <w:r>
        <w:rPr>
          <w:rFonts w:hint="eastAsia" w:ascii="Times New Roman" w:hAnsi="Times New Roman" w:eastAsia="仿宋_GB2312" w:cs="仿宋_GB2312"/>
          <w:b w:val="0"/>
          <w:bCs w:val="0"/>
          <w:i w:val="0"/>
          <w:iCs w:val="0"/>
          <w:color w:val="000000" w:themeColor="text1"/>
          <w:sz w:val="32"/>
          <w:szCs w:val="32"/>
          <w:highlight w:val="none"/>
          <w:u w:val="none"/>
          <w:lang w:val="en-US" w:eastAsia="zh-CN"/>
          <w14:textFill>
            <w14:solidFill>
              <w14:schemeClr w14:val="tx1"/>
            </w14:solidFill>
          </w14:textFill>
        </w:rPr>
        <w:t>1</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亿元以上且法人治理结构完善的企业主业外固定资产投资达到</w:t>
      </w:r>
      <w:r>
        <w:rPr>
          <w:rFonts w:hint="eastAsia" w:ascii="Times New Roman" w:hAnsi="Times New Roman" w:eastAsia="仿宋_GB2312" w:cs="仿宋_GB2312"/>
          <w:b w:val="0"/>
          <w:bCs w:val="0"/>
          <w:i w:val="0"/>
          <w:iCs w:val="0"/>
          <w:color w:val="000000" w:themeColor="text1"/>
          <w:sz w:val="32"/>
          <w:szCs w:val="32"/>
          <w:highlight w:val="none"/>
          <w:u w:val="none"/>
          <w:lang w:val="en-US" w:eastAsia="zh-CN"/>
          <w14:textFill>
            <w14:solidFill>
              <w14:schemeClr w14:val="tx1"/>
            </w14:solidFill>
          </w14:textFill>
        </w:rPr>
        <w:t>5000</w:t>
      </w:r>
      <w:r>
        <w:rPr>
          <w:rFonts w:hint="eastAsia" w:ascii="仿宋_GB2312" w:hAnsi="仿宋_GB2312" w:eastAsia="仿宋_GB2312" w:cs="仿宋_GB2312"/>
          <w:b w:val="0"/>
          <w:bCs w:val="0"/>
          <w:i w:val="0"/>
          <w:iCs w:val="0"/>
          <w:color w:val="000000" w:themeColor="text1"/>
          <w:sz w:val="32"/>
          <w:szCs w:val="32"/>
          <w:highlight w:val="none"/>
          <w:u w:val="none"/>
          <w:lang w:val="en-US" w:eastAsia="zh-CN"/>
          <w14:textFill>
            <w14:solidFill>
              <w14:schemeClr w14:val="tx1"/>
            </w14:solidFill>
          </w14:textFill>
        </w:rPr>
        <w:t>万</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元以上或达到合并净资产的</w:t>
      </w:r>
      <w:r>
        <w:rPr>
          <w:rFonts w:hint="eastAsia" w:ascii="Times New Roman" w:hAnsi="Times New Roman" w:eastAsia="仿宋_GB2312" w:cs="仿宋_GB2312"/>
          <w:b w:val="0"/>
          <w:bCs w:val="0"/>
          <w:i w:val="0"/>
          <w:iCs w:val="0"/>
          <w:color w:val="000000" w:themeColor="text1"/>
          <w:sz w:val="32"/>
          <w:szCs w:val="32"/>
          <w:highlight w:val="none"/>
          <w:u w:val="none"/>
          <w:lang w:val="en-US" w:eastAsia="zh-CN"/>
          <w14:textFill>
            <w14:solidFill>
              <w14:schemeClr w14:val="tx1"/>
            </w14:solidFill>
          </w14:textFill>
        </w:rPr>
        <w:t>10</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%以上；</w:t>
      </w:r>
      <w:r>
        <w:rPr>
          <w:rFonts w:hint="eastAsia" w:ascii="仿宋_GB2312" w:hAnsi="仿宋_GB2312" w:eastAsia="仿宋_GB2312" w:cs="仿宋_GB2312"/>
          <w:b w:val="0"/>
          <w:bCs w:val="0"/>
          <w:i w:val="0"/>
          <w:iCs w:val="0"/>
          <w:color w:val="000000" w:themeColor="text1"/>
          <w:sz w:val="32"/>
          <w:szCs w:val="32"/>
          <w:highlight w:val="none"/>
          <w:u w:val="none"/>
          <w:lang w:eastAsia="zh-CN"/>
          <w14:textFill>
            <w14:solidFill>
              <w14:schemeClr w14:val="tx1"/>
            </w14:solidFill>
          </w14:textFill>
        </w:rPr>
        <w:t>企业</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资产总额</w:t>
      </w:r>
      <w:r>
        <w:rPr>
          <w:rFonts w:hint="eastAsia" w:ascii="Times New Roman" w:hAnsi="Times New Roman" w:eastAsia="仿宋_GB2312" w:cs="仿宋_GB2312"/>
          <w:b w:val="0"/>
          <w:bCs w:val="0"/>
          <w:i w:val="0"/>
          <w:iCs w:val="0"/>
          <w:color w:val="000000" w:themeColor="text1"/>
          <w:sz w:val="32"/>
          <w:szCs w:val="32"/>
          <w:highlight w:val="none"/>
          <w:u w:val="none"/>
          <w:lang w:val="en-US" w:eastAsia="zh-CN"/>
          <w14:textFill>
            <w14:solidFill>
              <w14:schemeClr w14:val="tx1"/>
            </w14:solidFill>
          </w14:textFill>
        </w:rPr>
        <w:t>1</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亿元以下且法人治理结构完善的企业主业外固定资产投资达到</w:t>
      </w:r>
      <w:r>
        <w:rPr>
          <w:rFonts w:hint="eastAsia" w:ascii="Times New Roman" w:hAnsi="Times New Roman" w:eastAsia="仿宋_GB2312" w:cs="仿宋_GB2312"/>
          <w:b w:val="0"/>
          <w:bCs w:val="0"/>
          <w:i w:val="0"/>
          <w:iCs w:val="0"/>
          <w:color w:val="000000" w:themeColor="text1"/>
          <w:sz w:val="32"/>
          <w:szCs w:val="32"/>
          <w:highlight w:val="none"/>
          <w:u w:val="none"/>
          <w:lang w:val="en-US" w:eastAsia="zh-CN"/>
          <w14:textFill>
            <w14:solidFill>
              <w14:schemeClr w14:val="tx1"/>
            </w14:solidFill>
          </w14:textFill>
        </w:rPr>
        <w:t>1</w:t>
      </w:r>
      <w:r>
        <w:rPr>
          <w:rFonts w:hint="eastAsia" w:ascii="Times New Roman" w:hAnsi="Times New Roman" w:eastAsia="仿宋_GB2312" w:cs="仿宋_GB2312"/>
          <w:b w:val="0"/>
          <w:bCs w:val="0"/>
          <w:i w:val="0"/>
          <w:iCs w:val="0"/>
          <w:color w:val="000000" w:themeColor="text1"/>
          <w:sz w:val="32"/>
          <w:szCs w:val="32"/>
          <w:highlight w:val="none"/>
          <w:u w:val="none"/>
          <w14:textFill>
            <w14:solidFill>
              <w14:schemeClr w14:val="tx1"/>
            </w14:solidFill>
          </w14:textFill>
        </w:rPr>
        <w:t>000</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万元以上或达到合并净资产的</w:t>
      </w:r>
      <w:r>
        <w:rPr>
          <w:rFonts w:hint="eastAsia" w:ascii="Times New Roman" w:hAnsi="Times New Roman" w:eastAsia="仿宋_GB2312" w:cs="仿宋_GB2312"/>
          <w:b w:val="0"/>
          <w:bCs w:val="0"/>
          <w:i w:val="0"/>
          <w:iCs w:val="0"/>
          <w:color w:val="000000" w:themeColor="text1"/>
          <w:sz w:val="32"/>
          <w:szCs w:val="32"/>
          <w:highlight w:val="none"/>
          <w:u w:val="none"/>
          <w14:textFill>
            <w14:solidFill>
              <w14:schemeClr w14:val="tx1"/>
            </w14:solidFill>
          </w14:textFill>
        </w:rPr>
        <w:t>10</w:t>
      </w:r>
      <w:r>
        <w:rPr>
          <w:rFonts w:hint="eastAsia" w:ascii="仿宋_GB2312" w:hAnsi="仿宋_GB2312" w:eastAsia="仿宋_GB2312" w:cs="仿宋_GB2312"/>
          <w:b w:val="0"/>
          <w:bCs w:val="0"/>
          <w:i w:val="0"/>
          <w:iCs w:val="0"/>
          <w:color w:val="000000" w:themeColor="text1"/>
          <w:sz w:val="32"/>
          <w:szCs w:val="32"/>
          <w:highlight w:val="none"/>
          <w:u w:val="none"/>
          <w14:textFill>
            <w14:solidFill>
              <w14:schemeClr w14:val="tx1"/>
            </w14:solidFill>
          </w14:textFill>
        </w:rPr>
        <w:t>%以上；</w:t>
      </w:r>
    </w:p>
    <w:p w14:paraId="390CEA5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50" w:lineRule="exact"/>
        <w:ind w:left="0" w:leftChars="0" w:right="0" w:rightChars="0" w:firstLine="640" w:firstLineChars="200"/>
        <w:jc w:val="both"/>
        <w:textAlignment w:val="auto"/>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（六）其他对我</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经济社会发展有重大影响的投资事项。</w:t>
      </w:r>
    </w:p>
    <w:p w14:paraId="5F4B749D">
      <w:pPr>
        <w:pageBreakBefore w:val="0"/>
        <w:kinsoku/>
        <w:bidi w:val="0"/>
        <w:spacing w:line="550" w:lineRule="exact"/>
        <w:ind w:left="0" w:leftChars="0" w:right="0" w:rightChars="0" w:firstLine="640" w:firstLineChars="200"/>
      </w:pP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本文所称</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以上</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含本数，</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以下</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不含本数。上述项目不含</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委</w:t>
      </w:r>
      <w:r>
        <w:rPr>
          <w:rFonts w:hint="eastAsia" w:ascii="仿宋_GB2312" w:hAnsi="仿宋_GB2312" w:eastAsia="仿宋_GB2312" w:cs="仿宋_GB2312"/>
          <w:b w:val="0"/>
          <w:bCs w:val="0"/>
          <w:color w:val="000000" w:themeColor="text1"/>
          <w:sz w:val="32"/>
          <w:szCs w:val="32"/>
          <w:highlight w:val="none"/>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highlight w:val="none"/>
          <w14:textFill>
            <w14:solidFill>
              <w14:schemeClr w14:val="tx1"/>
            </w14:solidFill>
          </w14:textFill>
        </w:rPr>
        <w:t>政府交办任务项目。</w:t>
      </w:r>
    </w:p>
    <w:sectPr>
      <w:pgSz w:w="11906" w:h="16838"/>
      <w:pgMar w:top="2098" w:right="1474" w:bottom="1984" w:left="1587" w:header="454" w:footer="1531"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3C42095"/>
    <w:rsid w:val="13FB4BE9"/>
    <w:rsid w:val="16E021B0"/>
    <w:rsid w:val="27FC6C84"/>
    <w:rsid w:val="33C42095"/>
    <w:rsid w:val="39FF1BFF"/>
    <w:rsid w:val="520A5B99"/>
    <w:rsid w:val="59983599"/>
    <w:rsid w:val="669F3508"/>
    <w:rsid w:val="67E069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paragraph" w:styleId="3">
    <w:name w:val="heading 1"/>
    <w:basedOn w:val="1"/>
    <w:next w:val="1"/>
    <w:link w:val="11"/>
    <w:qFormat/>
    <w:uiPriority w:val="0"/>
    <w:pPr>
      <w:keepNext/>
      <w:keepLines/>
      <w:pageBreakBefore/>
      <w:spacing w:before="150" w:beforeLines="150" w:beforeAutospacing="0" w:after="100" w:afterLines="100" w:afterAutospacing="0" w:line="660" w:lineRule="exact"/>
      <w:jc w:val="center"/>
      <w:outlineLvl w:val="0"/>
    </w:pPr>
    <w:rPr>
      <w:rFonts w:eastAsia="方正小标宋_GBK" w:asciiTheme="minorAscii" w:hAnsiTheme="minorAscii"/>
      <w:kern w:val="44"/>
      <w:sz w:val="44"/>
      <w:szCs w:val="21"/>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before="0" w:after="140" w:line="276" w:lineRule="auto"/>
    </w:p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5">
    <w:name w:val="Title"/>
    <w:basedOn w:val="1"/>
    <w:qFormat/>
    <w:uiPriority w:val="0"/>
    <w:pPr>
      <w:spacing w:before="240" w:beforeLines="0" w:beforeAutospacing="0" w:after="60" w:afterLines="0" w:afterAutospacing="0"/>
      <w:jc w:val="center"/>
      <w:outlineLvl w:val="0"/>
    </w:pPr>
    <w:rPr>
      <w:rFonts w:ascii="Arial" w:hAnsi="Arial"/>
      <w:b/>
      <w:sz w:val="32"/>
    </w:rPr>
  </w:style>
  <w:style w:type="character" w:styleId="8">
    <w:name w:val="Strong"/>
    <w:basedOn w:val="7"/>
    <w:qFormat/>
    <w:uiPriority w:val="0"/>
    <w:rPr>
      <w:b/>
    </w:rPr>
  </w:style>
  <w:style w:type="paragraph" w:customStyle="1" w:styleId="9">
    <w:name w:val="公文标题"/>
    <w:basedOn w:val="5"/>
    <w:next w:val="5"/>
    <w:qFormat/>
    <w:uiPriority w:val="0"/>
    <w:pPr>
      <w:jc w:val="center"/>
    </w:pPr>
    <w:rPr>
      <w:rFonts w:ascii="Times New Roman" w:hAnsi="Times New Roman" w:eastAsia="方正小标宋简体"/>
      <w:sz w:val="44"/>
    </w:rPr>
  </w:style>
  <w:style w:type="paragraph" w:customStyle="1" w:styleId="10">
    <w:name w:val="公文正文"/>
    <w:basedOn w:val="1"/>
    <w:qFormat/>
    <w:uiPriority w:val="0"/>
    <w:pPr>
      <w:spacing w:beforeLines="0" w:afterLines="0" w:line="576" w:lineRule="exact"/>
      <w:ind w:leftChars="0"/>
      <w:jc w:val="both"/>
      <w:outlineLvl w:val="0"/>
    </w:pPr>
    <w:rPr>
      <w:rFonts w:ascii="Times New Roman" w:hAnsi="Times New Roman" w:eastAsia="仿宋_GB2312"/>
      <w:sz w:val="32"/>
    </w:rPr>
  </w:style>
  <w:style w:type="character" w:customStyle="1" w:styleId="11">
    <w:name w:val="标题 1 Char"/>
    <w:link w:val="3"/>
    <w:qFormat/>
    <w:uiPriority w:val="0"/>
    <w:rPr>
      <w:rFonts w:eastAsia="方正小标宋_GBK" w:asciiTheme="minorAscii" w:hAnsiTheme="minorAscii"/>
      <w:kern w:val="44"/>
      <w:sz w:val="44"/>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2025-03-25T07:17:00Z</dcterms:created>
  <dc:creator>　　　　　　　　</dc:creator>
  <cp:lastModifiedBy>　　　　　　　　</cp:lastModifiedBy>
  <dcterms:modified xsi:type="dcterms:W3CDTF">2025-03-25T07:18:14Z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CA4F13153B234655A6E8E0A8EDF10A9D_11</vt:lpwstr>
  </property>
  <property fmtid="{D5CDD505-2E9C-101B-9397-08002B2CF9AE}" pid="4" name="KSOTemplateDocerSaveRecord">
    <vt:lpwstr>eyJoZGlkIjoiMWJlNDNiOGQ5OWUyZTZmYWUwN2FmYjhiZWJhNTNjNmIiLCJ1c2VySWQiOiI2NjY1NzM3OTUifQ==</vt:lpwstr>
  </property>
</Properties>
</file>