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昭化区2022年公开引进高层次人才和招聘急需紧缺专业人才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  <w:t>应届生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入闱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  <w:t>资格验证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人员名单</w:t>
      </w:r>
    </w:p>
    <w:tbl>
      <w:tblPr>
        <w:tblStyle w:val="5"/>
        <w:tblpPr w:leftFromText="180" w:rightFromText="180" w:vertAnchor="text" w:horzAnchor="page" w:tblpXSpec="center" w:tblpY="614"/>
        <w:tblOverlap w:val="never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31"/>
        <w:gridCol w:w="1943"/>
        <w:gridCol w:w="1031"/>
        <w:gridCol w:w="788"/>
        <w:gridCol w:w="619"/>
        <w:gridCol w:w="918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入闱资格验证情况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区发展和改革局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区项目策划推进中心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202212003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冯莉琴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区园林绿化所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202212004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李金莲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区互联网信息中心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202212021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宗杉杉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区司法局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昭明公证处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202212026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徐会敏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区委办公室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区委党史研究室（区地方志编纂中心）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202212008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文心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区委统战部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区统战事务中心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202212022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杨情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区委党校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区干部理论教育培训和理论研究中心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202212024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范怡婷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区教育局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区教育考试中心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202212034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岳建权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区卫生健康局</w:t>
            </w:r>
          </w:p>
        </w:tc>
        <w:tc>
          <w:tcPr>
            <w:tcW w:w="19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202212043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常皓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202212041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202212044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何佳雯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区应急管理局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区气象站（区人工影响天气中心）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202212029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林诗喻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红岩镇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乡村建设和文化旅游服务中心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202212046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赖李龙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卫子镇</w:t>
            </w:r>
          </w:p>
        </w:tc>
        <w:tc>
          <w:tcPr>
            <w:tcW w:w="19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202212047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陆熠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区教育局</w:t>
            </w:r>
          </w:p>
        </w:tc>
        <w:tc>
          <w:tcPr>
            <w:tcW w:w="19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元坝中学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202212036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赵家琪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202212036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何彦燕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202212038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202212036</w:t>
            </w:r>
          </w:p>
        </w:tc>
        <w:tc>
          <w:tcPr>
            <w:tcW w:w="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</w:t>
            </w:r>
          </w:p>
        </w:tc>
        <w:tc>
          <w:tcPr>
            <w:tcW w:w="6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考察合格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入闱验证</w:t>
            </w:r>
          </w:p>
        </w:tc>
      </w:tr>
    </w:tbl>
    <w:p>
      <w:pPr>
        <w:pStyle w:val="4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4">
    <w:name w:val="Plain Text"/>
    <w:basedOn w:val="1"/>
    <w:semiHidden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2023-07-28T09:06:32Z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