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autoSpaceDE/>
        <w:autoSpaceDN/>
        <w:bidi w:val="0"/>
        <w:textAlignment w:val="auto"/>
        <w:rPr>
          <w:rFonts w:ascii="Times New Roman" w:hAnsi="Times New Roman" w:eastAsia="仿宋_GB2312" w:cs="Times New Roman"/>
          <w:color w:val="000000" w:themeColor="text1"/>
          <w:spacing w:val="0"/>
          <w:kern w:val="21"/>
          <w:position w:val="0"/>
          <w:sz w:val="36"/>
          <w:szCs w:val="36"/>
          <w14:textFill>
            <w14:solidFill>
              <w14:schemeClr w14:val="tx1"/>
            </w14:solidFill>
          </w14:textFill>
        </w:rPr>
      </w:pPr>
    </w:p>
    <w:p>
      <w:pPr>
        <w:pageBreakBefore w:val="0"/>
        <w:kinsoku/>
        <w:overflowPunct/>
        <w:autoSpaceDE/>
        <w:autoSpaceDN/>
        <w:bidi w:val="0"/>
        <w:textAlignment w:val="auto"/>
        <w:rPr>
          <w:rFonts w:ascii="Times New Roman" w:hAnsi="Times New Roman" w:eastAsia="仿宋_GB2312" w:cs="Times New Roman"/>
          <w:color w:val="000000" w:themeColor="text1"/>
          <w:spacing w:val="0"/>
          <w:kern w:val="21"/>
          <w:position w:val="0"/>
          <w:sz w:val="36"/>
          <w:szCs w:val="36"/>
          <w14:textFill>
            <w14:solidFill>
              <w14:schemeClr w14:val="tx1"/>
            </w14:solidFill>
          </w14:textFill>
        </w:rPr>
      </w:pPr>
    </w:p>
    <w:p>
      <w:pPr>
        <w:pageBreakBefore w:val="0"/>
        <w:kinsoku/>
        <w:overflowPunct/>
        <w:autoSpaceDE/>
        <w:autoSpaceDN/>
        <w:bidi w:val="0"/>
        <w:textAlignment w:val="auto"/>
        <w:rPr>
          <w:rFonts w:ascii="Times New Roman" w:hAnsi="Times New Roman" w:eastAsia="仿宋_GB2312" w:cs="Times New Roman"/>
          <w:color w:val="000000" w:themeColor="text1"/>
          <w:spacing w:val="0"/>
          <w:kern w:val="21"/>
          <w:position w:val="0"/>
          <w:sz w:val="36"/>
          <w:szCs w:val="36"/>
          <w14:textFill>
            <w14:solidFill>
              <w14:schemeClr w14:val="tx1"/>
            </w14:solidFill>
          </w14:textFill>
        </w:rPr>
      </w:pPr>
    </w:p>
    <w:p>
      <w:pPr>
        <w:pageBreakBefore w:val="0"/>
        <w:kinsoku/>
        <w:overflowPunct/>
        <w:autoSpaceDE/>
        <w:autoSpaceDN/>
        <w:bidi w:val="0"/>
        <w:textAlignment w:val="auto"/>
        <w:rPr>
          <w:rFonts w:ascii="Times New Roman" w:hAnsi="Times New Roman" w:eastAsia="仿宋_GB2312" w:cs="Times New Roman"/>
          <w:color w:val="000000" w:themeColor="text1"/>
          <w:spacing w:val="0"/>
          <w:kern w:val="21"/>
          <w:position w:val="0"/>
          <w:sz w:val="36"/>
          <w:szCs w:val="36"/>
          <w14:textFill>
            <w14:solidFill>
              <w14:schemeClr w14:val="tx1"/>
            </w14:solidFill>
          </w14:textFill>
        </w:rPr>
      </w:pPr>
    </w:p>
    <w:p>
      <w:pPr>
        <w:pageBreakBefore w:val="0"/>
        <w:kinsoku/>
        <w:overflowPunct/>
        <w:autoSpaceDE/>
        <w:autoSpaceDN/>
        <w:bidi w:val="0"/>
        <w:textAlignment w:val="auto"/>
        <w:rPr>
          <w:rFonts w:ascii="Times New Roman" w:hAnsi="Times New Roman" w:eastAsia="仿宋_GB2312" w:cs="Times New Roman"/>
          <w:color w:val="000000" w:themeColor="text1"/>
          <w:spacing w:val="0"/>
          <w:kern w:val="21"/>
          <w:position w:val="0"/>
          <w:sz w:val="36"/>
          <w:szCs w:val="36"/>
          <w14:textFill>
            <w14:solidFill>
              <w14:schemeClr w14:val="tx1"/>
            </w14:solidFill>
          </w14:textFill>
        </w:rPr>
      </w:pPr>
    </w:p>
    <w:p>
      <w:pPr>
        <w:pageBreakBefore w:val="0"/>
        <w:kinsoku/>
        <w:overflowPunct/>
        <w:autoSpaceDE/>
        <w:autoSpaceDN/>
        <w:bidi w:val="0"/>
        <w:adjustRightInd w:val="0"/>
        <w:snapToGrid w:val="0"/>
        <w:jc w:val="center"/>
        <w:textAlignment w:val="auto"/>
        <w:outlineLvl w:val="0"/>
        <w:rPr>
          <w:rFonts w:ascii="Times New Roman" w:hAnsi="Times New Roman" w:eastAsia="方正小标宋_GBK" w:cs="Times New Roman"/>
          <w:bCs/>
          <w:color w:val="000000" w:themeColor="text1"/>
          <w:spacing w:val="0"/>
          <w:kern w:val="21"/>
          <w:position w:val="0"/>
          <w:sz w:val="72"/>
          <w:szCs w:val="72"/>
          <w14:textFill>
            <w14:solidFill>
              <w14:schemeClr w14:val="tx1"/>
            </w14:solidFill>
          </w14:textFill>
        </w:rPr>
      </w:pPr>
      <w:r>
        <w:rPr>
          <w:rFonts w:ascii="Times New Roman" w:hAnsi="Times New Roman" w:eastAsia="方正小标宋_GBK" w:cs="Times New Roman"/>
          <w:bCs/>
          <w:color w:val="000000" w:themeColor="text1"/>
          <w:spacing w:val="0"/>
          <w:kern w:val="21"/>
          <w:position w:val="0"/>
          <w:sz w:val="72"/>
          <w:szCs w:val="72"/>
          <w14:textFill>
            <w14:solidFill>
              <w14:schemeClr w14:val="tx1"/>
            </w14:solidFill>
          </w14:textFill>
        </w:rPr>
        <w:t>建设项目环境影响报告表</w:t>
      </w:r>
    </w:p>
    <w:p>
      <w:pPr>
        <w:pageBreakBefore w:val="0"/>
        <w:kinsoku/>
        <w:overflowPunct/>
        <w:autoSpaceDE/>
        <w:autoSpaceDN/>
        <w:bidi w:val="0"/>
        <w:adjustRightInd w:val="0"/>
        <w:snapToGrid w:val="0"/>
        <w:jc w:val="center"/>
        <w:textAlignment w:val="auto"/>
        <w:rPr>
          <w:rFonts w:ascii="Times New Roman" w:hAnsi="Times New Roman" w:eastAsia="楷体_GB2312" w:cs="Times New Roman"/>
          <w:bCs/>
          <w:color w:val="000000" w:themeColor="text1"/>
          <w:spacing w:val="0"/>
          <w:kern w:val="21"/>
          <w:position w:val="0"/>
          <w:sz w:val="48"/>
          <w:szCs w:val="48"/>
          <w14:textFill>
            <w14:solidFill>
              <w14:schemeClr w14:val="tx1"/>
            </w14:solidFill>
          </w14:textFill>
        </w:rPr>
      </w:pPr>
      <w:r>
        <w:rPr>
          <w:rFonts w:ascii="Times New Roman" w:hAnsi="Times New Roman" w:eastAsia="楷体_GB2312" w:cs="Times New Roman"/>
          <w:bCs/>
          <w:color w:val="000000" w:themeColor="text1"/>
          <w:spacing w:val="0"/>
          <w:kern w:val="21"/>
          <w:position w:val="0"/>
          <w:sz w:val="48"/>
          <w:szCs w:val="48"/>
          <w14:textFill>
            <w14:solidFill>
              <w14:schemeClr w14:val="tx1"/>
            </w14:solidFill>
          </w14:textFill>
        </w:rPr>
        <w:t>（污染影响类）</w:t>
      </w:r>
    </w:p>
    <w:p>
      <w:pPr>
        <w:pageBreakBefore w:val="0"/>
        <w:kinsoku/>
        <w:overflowPunct/>
        <w:autoSpaceDE/>
        <w:autoSpaceDN/>
        <w:bidi w:val="0"/>
        <w:adjustRightInd w:val="0"/>
        <w:snapToGrid w:val="0"/>
        <w:spacing w:line="288" w:lineRule="auto"/>
        <w:jc w:val="center"/>
        <w:textAlignment w:val="auto"/>
        <w:rPr>
          <w:rFonts w:ascii="Times New Roman" w:hAnsi="Times New Roman" w:eastAsia="华文仿宋" w:cs="Times New Roman"/>
          <w:color w:val="000000" w:themeColor="text1"/>
          <w:spacing w:val="0"/>
          <w:kern w:val="21"/>
          <w:position w:val="0"/>
          <w:szCs w:val="21"/>
          <w14:textFill>
            <w14:solidFill>
              <w14:schemeClr w14:val="tx1"/>
            </w14:solidFill>
          </w14:textFill>
        </w:rPr>
      </w:pPr>
    </w:p>
    <w:p>
      <w:pPr>
        <w:pageBreakBefore w:val="0"/>
        <w:kinsoku/>
        <w:overflowPunct/>
        <w:autoSpaceDE/>
        <w:autoSpaceDN/>
        <w:bidi w:val="0"/>
        <w:adjustRightInd w:val="0"/>
        <w:snapToGrid w:val="0"/>
        <w:spacing w:line="288" w:lineRule="auto"/>
        <w:jc w:val="center"/>
        <w:textAlignment w:val="auto"/>
        <w:rPr>
          <w:rFonts w:ascii="Times New Roman" w:hAnsi="Times New Roman" w:eastAsia="华文仿宋" w:cs="Times New Roman"/>
          <w:color w:val="000000" w:themeColor="text1"/>
          <w:spacing w:val="0"/>
          <w:kern w:val="21"/>
          <w:position w:val="0"/>
          <w:sz w:val="28"/>
          <w:szCs w:val="28"/>
          <w14:textFill>
            <w14:solidFill>
              <w14:schemeClr w14:val="tx1"/>
            </w14:solidFill>
          </w14:textFill>
        </w:rPr>
      </w:pPr>
      <w:r>
        <w:rPr>
          <w:rFonts w:ascii="Times New Roman" w:hAnsi="Times New Roman" w:eastAsia="华文仿宋" w:cs="Times New Roman"/>
          <w:color w:val="000000" w:themeColor="text1"/>
          <w:spacing w:val="0"/>
          <w:kern w:val="21"/>
          <w:position w:val="0"/>
          <w:sz w:val="40"/>
          <w:szCs w:val="40"/>
          <w14:textFill>
            <w14:solidFill>
              <w14:schemeClr w14:val="tx1"/>
            </w14:solidFill>
          </w14:textFill>
        </w:rPr>
        <w:t>（</w:t>
      </w:r>
      <w:r>
        <w:rPr>
          <w:rFonts w:hint="eastAsia" w:ascii="Times New Roman" w:hAnsi="Times New Roman" w:eastAsia="华文仿宋" w:cs="Times New Roman"/>
          <w:color w:val="000000" w:themeColor="text1"/>
          <w:spacing w:val="0"/>
          <w:kern w:val="21"/>
          <w:position w:val="0"/>
          <w:sz w:val="40"/>
          <w:szCs w:val="40"/>
          <w:lang w:val="en-US" w:eastAsia="zh-CN"/>
          <w14:textFill>
            <w14:solidFill>
              <w14:schemeClr w14:val="tx1"/>
            </w14:solidFill>
          </w14:textFill>
        </w:rPr>
        <w:t>公示</w:t>
      </w:r>
      <w:r>
        <w:rPr>
          <w:rFonts w:ascii="Times New Roman" w:hAnsi="Times New Roman" w:eastAsia="华文仿宋" w:cs="Times New Roman"/>
          <w:color w:val="000000" w:themeColor="text1"/>
          <w:spacing w:val="0"/>
          <w:kern w:val="21"/>
          <w:position w:val="0"/>
          <w:sz w:val="40"/>
          <w:szCs w:val="40"/>
          <w14:textFill>
            <w14:solidFill>
              <w14:schemeClr w14:val="tx1"/>
            </w14:solidFill>
          </w14:textFill>
        </w:rPr>
        <w:t>本）</w:t>
      </w:r>
    </w:p>
    <w:p>
      <w:pPr>
        <w:pageBreakBefore w:val="0"/>
        <w:kinsoku/>
        <w:overflowPunct/>
        <w:autoSpaceDE/>
        <w:autoSpaceDN/>
        <w:bidi w:val="0"/>
        <w:jc w:val="center"/>
        <w:textAlignment w:val="auto"/>
        <w:rPr>
          <w:rFonts w:ascii="Times New Roman" w:hAnsi="Times New Roman" w:eastAsia="仿宋" w:cs="Times New Roman"/>
          <w:color w:val="000000" w:themeColor="text1"/>
          <w:spacing w:val="0"/>
          <w:kern w:val="21"/>
          <w:position w:val="0"/>
          <w:sz w:val="52"/>
          <w:szCs w:val="52"/>
          <w14:textFill>
            <w14:solidFill>
              <w14:schemeClr w14:val="tx1"/>
            </w14:solidFill>
          </w14:textFill>
        </w:rPr>
      </w:pPr>
    </w:p>
    <w:p>
      <w:pPr>
        <w:pageBreakBefore w:val="0"/>
        <w:kinsoku/>
        <w:overflowPunct/>
        <w:autoSpaceDE/>
        <w:autoSpaceDN/>
        <w:bidi w:val="0"/>
        <w:ind w:firstLine="1040"/>
        <w:textAlignment w:val="auto"/>
        <w:rPr>
          <w:rFonts w:ascii="Times New Roman" w:hAnsi="Times New Roman" w:eastAsia="仿宋" w:cs="Times New Roman"/>
          <w:color w:val="000000" w:themeColor="text1"/>
          <w:spacing w:val="0"/>
          <w:kern w:val="21"/>
          <w:position w:val="0"/>
          <w:sz w:val="44"/>
          <w:szCs w:val="44"/>
          <w14:textFill>
            <w14:solidFill>
              <w14:schemeClr w14:val="tx1"/>
            </w14:solidFill>
          </w14:textFill>
        </w:rPr>
      </w:pPr>
    </w:p>
    <w:p>
      <w:pPr>
        <w:pStyle w:val="6"/>
        <w:pageBreakBefore w:val="0"/>
        <w:kinsoku/>
        <w:overflowPunct/>
        <w:autoSpaceDE/>
        <w:autoSpaceDN/>
        <w:bidi w:val="0"/>
        <w:textAlignment w:val="auto"/>
        <w:rPr>
          <w:rFonts w:ascii="Times New Roman" w:hAnsi="Times New Roman" w:eastAsia="仿宋"/>
          <w:color w:val="000000" w:themeColor="text1"/>
          <w:spacing w:val="0"/>
          <w:kern w:val="21"/>
          <w:position w:val="0"/>
          <w:sz w:val="44"/>
          <w:szCs w:val="44"/>
          <w14:textFill>
            <w14:solidFill>
              <w14:schemeClr w14:val="tx1"/>
            </w14:solidFill>
          </w14:textFill>
        </w:rPr>
      </w:pPr>
    </w:p>
    <w:p>
      <w:pPr>
        <w:pStyle w:val="6"/>
        <w:pageBreakBefore w:val="0"/>
        <w:kinsoku/>
        <w:overflowPunct/>
        <w:autoSpaceDE/>
        <w:autoSpaceDN/>
        <w:bidi w:val="0"/>
        <w:textAlignment w:val="auto"/>
        <w:rPr>
          <w:rFonts w:ascii="Times New Roman" w:hAnsi="Times New Roman"/>
          <w:color w:val="000000" w:themeColor="text1"/>
          <w:spacing w:val="0"/>
          <w:kern w:val="21"/>
          <w:position w:val="0"/>
          <w14:textFill>
            <w14:solidFill>
              <w14:schemeClr w14:val="tx1"/>
            </w14:solidFill>
          </w14:textFill>
        </w:rPr>
      </w:pPr>
    </w:p>
    <w:p>
      <w:pPr>
        <w:pageBreakBefore w:val="0"/>
        <w:kinsoku/>
        <w:overflowPunct/>
        <w:autoSpaceDE/>
        <w:autoSpaceDN/>
        <w:bidi w:val="0"/>
        <w:ind w:firstLine="1040"/>
        <w:textAlignment w:val="auto"/>
        <w:rPr>
          <w:rFonts w:ascii="Times New Roman" w:hAnsi="Times New Roman" w:eastAsia="仿宋" w:cs="Times New Roman"/>
          <w:color w:val="000000" w:themeColor="text1"/>
          <w:spacing w:val="0"/>
          <w:kern w:val="21"/>
          <w:position w:val="0"/>
          <w:sz w:val="44"/>
          <w:szCs w:val="44"/>
          <w14:textFill>
            <w14:solidFill>
              <w14:schemeClr w14:val="tx1"/>
            </w14:solidFill>
          </w14:textFill>
        </w:rPr>
      </w:pP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p>
    <w:p>
      <w:pPr>
        <w:pageBreakBefore w:val="0"/>
        <w:kinsoku/>
        <w:overflowPunct/>
        <w:autoSpaceDE/>
        <w:autoSpaceDN/>
        <w:bidi w:val="0"/>
        <w:spacing w:line="360" w:lineRule="auto"/>
        <w:ind w:firstLine="1040"/>
        <w:textAlignment w:val="auto"/>
        <w:rPr>
          <w:rFonts w:ascii="Times New Roman" w:hAnsi="Times New Roman" w:eastAsia="仿宋" w:cs="Times New Roman"/>
          <w:color w:val="000000" w:themeColor="text1"/>
          <w:spacing w:val="0"/>
          <w:kern w:val="21"/>
          <w:position w:val="0"/>
          <w:sz w:val="44"/>
          <w:szCs w:val="44"/>
          <w14:textFill>
            <w14:solidFill>
              <w14:schemeClr w14:val="tx1"/>
            </w14:solidFill>
          </w14:textFill>
        </w:rPr>
      </w:pPr>
    </w:p>
    <w:p>
      <w:pPr>
        <w:pageBreakBefore w:val="0"/>
        <w:kinsoku/>
        <w:overflowPunct/>
        <w:autoSpaceDE/>
        <w:autoSpaceDN/>
        <w:bidi w:val="0"/>
        <w:adjustRightInd w:val="0"/>
        <w:snapToGrid w:val="0"/>
        <w:spacing w:line="360" w:lineRule="auto"/>
        <w:textAlignment w:val="auto"/>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pPr>
      <w:r>
        <w:rPr>
          <w:rFonts w:ascii="Times New Roman" w:hAnsi="Times New Roman" w:eastAsia="仿宋" w:cs="Times New Roman"/>
          <w:color w:val="000000" w:themeColor="text1"/>
          <w:spacing w:val="0"/>
          <w:kern w:val="21"/>
          <w:position w:val="0"/>
          <w:sz w:val="32"/>
          <w:szCs w:val="32"/>
          <w14:textFill>
            <w14:solidFill>
              <w14:schemeClr w14:val="tx1"/>
            </w14:solidFill>
          </w14:textFill>
        </w:rPr>
        <w:t>项目名称：</w:t>
      </w:r>
      <w:r>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t xml:space="preserve">   </w:t>
      </w:r>
      <w:bookmarkStart w:id="32" w:name="_GoBack"/>
      <w:r>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t>年产100万套智能家居加工制造项目（一期）</w:t>
      </w:r>
      <w:bookmarkEnd w:id="32"/>
      <w:r>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t xml:space="preserve">      </w:t>
      </w:r>
    </w:p>
    <w:p>
      <w:pPr>
        <w:pageBreakBefore w:val="0"/>
        <w:kinsoku/>
        <w:overflowPunct/>
        <w:autoSpaceDE/>
        <w:autoSpaceDN/>
        <w:bidi w:val="0"/>
        <w:adjustRightInd w:val="0"/>
        <w:snapToGrid w:val="0"/>
        <w:spacing w:line="360" w:lineRule="auto"/>
        <w:textAlignment w:val="auto"/>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pPr>
      <w:r>
        <w:rPr>
          <w:rFonts w:ascii="Times New Roman" w:hAnsi="Times New Roman" w:eastAsia="仿宋" w:cs="Times New Roman"/>
          <w:color w:val="000000" w:themeColor="text1"/>
          <w:spacing w:val="0"/>
          <w:kern w:val="21"/>
          <w:position w:val="0"/>
          <w:sz w:val="32"/>
          <w:szCs w:val="32"/>
          <w14:textFill>
            <w14:solidFill>
              <w14:schemeClr w14:val="tx1"/>
            </w14:solidFill>
          </w14:textFill>
        </w:rPr>
        <w:t>建设单位（盖章）：</w:t>
      </w:r>
      <w:r>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t xml:space="preserve">     美好世家（四川）家居有限公司     </w:t>
      </w:r>
    </w:p>
    <w:p>
      <w:pPr>
        <w:pageBreakBefore w:val="0"/>
        <w:kinsoku/>
        <w:overflowPunct/>
        <w:autoSpaceDE/>
        <w:autoSpaceDN/>
        <w:bidi w:val="0"/>
        <w:adjustRightInd w:val="0"/>
        <w:snapToGrid w:val="0"/>
        <w:spacing w:line="360" w:lineRule="auto"/>
        <w:textAlignment w:val="auto"/>
        <w:rPr>
          <w:rFonts w:ascii="Times New Roman" w:hAnsi="Times New Roman" w:eastAsia="仿宋_GB2312" w:cs="Times New Roman"/>
          <w:color w:val="000000" w:themeColor="text1"/>
          <w:spacing w:val="0"/>
          <w:kern w:val="21"/>
          <w:position w:val="0"/>
          <w:sz w:val="36"/>
          <w:szCs w:val="36"/>
          <w14:textFill>
            <w14:solidFill>
              <w14:schemeClr w14:val="tx1"/>
            </w14:solidFill>
          </w14:textFill>
        </w:rPr>
      </w:pPr>
      <w:r>
        <w:rPr>
          <w:rFonts w:ascii="Times New Roman" w:hAnsi="Times New Roman" w:eastAsia="仿宋" w:cs="Times New Roman"/>
          <w:color w:val="000000" w:themeColor="text1"/>
          <w:spacing w:val="0"/>
          <w:kern w:val="21"/>
          <w:position w:val="0"/>
          <w:sz w:val="32"/>
          <w:szCs w:val="32"/>
          <w14:textFill>
            <w14:solidFill>
              <w14:schemeClr w14:val="tx1"/>
            </w14:solidFill>
          </w14:textFill>
        </w:rPr>
        <w:t xml:space="preserve">编制日期： </w:t>
      </w:r>
      <w:r>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t xml:space="preserve">                2024年</w:t>
      </w:r>
      <w:r>
        <w:rPr>
          <w:rFonts w:hint="eastAsia" w:ascii="Times New Roman" w:hAnsi="Times New Roman" w:eastAsia="仿宋" w:cs="Times New Roman"/>
          <w:color w:val="000000" w:themeColor="text1"/>
          <w:spacing w:val="0"/>
          <w:kern w:val="21"/>
          <w:position w:val="0"/>
          <w:sz w:val="32"/>
          <w:szCs w:val="32"/>
          <w:u w:val="single"/>
          <w14:textFill>
            <w14:solidFill>
              <w14:schemeClr w14:val="tx1"/>
            </w14:solidFill>
          </w14:textFill>
        </w:rPr>
        <w:t>1</w:t>
      </w:r>
      <w:r>
        <w:rPr>
          <w:rFonts w:hint="eastAsia" w:ascii="Times New Roman" w:hAnsi="Times New Roman" w:eastAsia="仿宋" w:cs="Times New Roman"/>
          <w:color w:val="000000" w:themeColor="text1"/>
          <w:spacing w:val="0"/>
          <w:kern w:val="21"/>
          <w:position w:val="0"/>
          <w:sz w:val="32"/>
          <w:szCs w:val="32"/>
          <w:u w:val="single"/>
          <w:lang w:val="en-US" w:eastAsia="zh-CN"/>
          <w14:textFill>
            <w14:solidFill>
              <w14:schemeClr w14:val="tx1"/>
            </w14:solidFill>
          </w14:textFill>
        </w:rPr>
        <w:t>2</w:t>
      </w:r>
      <w:r>
        <w:rPr>
          <w:rFonts w:ascii="Times New Roman" w:hAnsi="Times New Roman" w:eastAsia="仿宋" w:cs="Times New Roman"/>
          <w:color w:val="000000" w:themeColor="text1"/>
          <w:spacing w:val="0"/>
          <w:kern w:val="21"/>
          <w:position w:val="0"/>
          <w:sz w:val="32"/>
          <w:szCs w:val="32"/>
          <w:u w:val="single"/>
          <w14:textFill>
            <w14:solidFill>
              <w14:schemeClr w14:val="tx1"/>
            </w14:solidFill>
          </w14:textFill>
        </w:rPr>
        <w:t xml:space="preserve">月                  </w:t>
      </w:r>
      <w:bookmarkStart w:id="0" w:name="_Hlk57884087"/>
    </w:p>
    <w:p>
      <w:pPr>
        <w:pageBreakBefore w:val="0"/>
        <w:kinsoku/>
        <w:overflowPunct/>
        <w:autoSpaceDE/>
        <w:autoSpaceDN/>
        <w:bidi w:val="0"/>
        <w:adjustRightInd w:val="0"/>
        <w:snapToGrid w:val="0"/>
        <w:spacing w:line="360" w:lineRule="auto"/>
        <w:ind w:firstLine="1040"/>
        <w:textAlignment w:val="auto"/>
        <w:rPr>
          <w:rFonts w:ascii="Times New Roman" w:hAnsi="Times New Roman" w:eastAsia="仿宋_GB2312" w:cs="Times New Roman"/>
          <w:color w:val="000000" w:themeColor="text1"/>
          <w:spacing w:val="0"/>
          <w:kern w:val="21"/>
          <w:position w:val="0"/>
          <w:sz w:val="36"/>
          <w:szCs w:val="36"/>
          <w14:textFill>
            <w14:solidFill>
              <w14:schemeClr w14:val="tx1"/>
            </w14:solidFill>
          </w14:textFill>
        </w:rPr>
      </w:pPr>
    </w:p>
    <w:p>
      <w:pPr>
        <w:pStyle w:val="6"/>
        <w:pageBreakBefore w:val="0"/>
        <w:kinsoku/>
        <w:overflowPunct/>
        <w:autoSpaceDE/>
        <w:autoSpaceDN/>
        <w:bidi w:val="0"/>
        <w:textAlignment w:val="auto"/>
        <w:rPr>
          <w:rFonts w:ascii="Times New Roman" w:hAnsi="Times New Roman"/>
          <w:color w:val="000000" w:themeColor="text1"/>
          <w:spacing w:val="0"/>
          <w:kern w:val="21"/>
          <w:position w:val="0"/>
          <w14:textFill>
            <w14:solidFill>
              <w14:schemeClr w14:val="tx1"/>
            </w14:solidFill>
          </w14:textFill>
        </w:rPr>
      </w:pPr>
    </w:p>
    <w:bookmarkEnd w:id="0"/>
    <w:p>
      <w:pPr>
        <w:pageBreakBefore w:val="0"/>
        <w:kinsoku/>
        <w:overflowPunct/>
        <w:autoSpaceDE/>
        <w:autoSpaceDN/>
        <w:bidi w:val="0"/>
        <w:adjustRightInd w:val="0"/>
        <w:snapToGrid w:val="0"/>
        <w:spacing w:line="288" w:lineRule="auto"/>
        <w:jc w:val="center"/>
        <w:textAlignment w:val="auto"/>
        <w:rPr>
          <w:rFonts w:ascii="Times New Roman" w:hAnsi="Times New Roman" w:eastAsia="楷体_GB2312" w:cs="Times New Roman"/>
          <w:color w:val="000000" w:themeColor="text1"/>
          <w:spacing w:val="0"/>
          <w:kern w:val="21"/>
          <w:position w:val="0"/>
          <w:sz w:val="36"/>
          <w:szCs w:val="36"/>
          <w14:textFill>
            <w14:solidFill>
              <w14:schemeClr w14:val="tx1"/>
            </w14:solidFill>
          </w14:textFill>
        </w:rPr>
        <w:sectPr>
          <w:footerReference r:id="rId3" w:type="default"/>
          <w:pgSz w:w="11906" w:h="16838"/>
          <w:pgMar w:top="1134" w:right="1531" w:bottom="1134" w:left="1531" w:header="851" w:footer="992" w:gutter="0"/>
          <w:cols w:space="425" w:num="1"/>
          <w:docGrid w:type="lines" w:linePitch="312" w:charSpace="0"/>
        </w:sectPr>
      </w:pPr>
      <w:r>
        <w:rPr>
          <w:rFonts w:ascii="Times New Roman" w:hAnsi="Times New Roman" w:eastAsia="楷体_GB2312" w:cs="Times New Roman"/>
          <w:color w:val="000000" w:themeColor="text1"/>
          <w:spacing w:val="0"/>
          <w:kern w:val="21"/>
          <w:position w:val="0"/>
          <w:sz w:val="36"/>
          <w:szCs w:val="36"/>
          <w14:textFill>
            <w14:solidFill>
              <w14:schemeClr w14:val="tx1"/>
            </w14:solidFill>
          </w14:textFill>
        </w:rPr>
        <w:t>中华人民共和国生态环境部制</w:t>
      </w: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pPr>
    </w:p>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footerReference r:id="rId4" w:type="default"/>
          <w:pgSz w:w="11906" w:h="16838"/>
          <w:pgMar w:top="1134" w:right="1531" w:bottom="1134" w:left="1531" w:header="851" w:footer="992" w:gutter="0"/>
          <w:pgNumType w:start="1"/>
          <w:cols w:space="425" w:num="1"/>
          <w:docGrid w:type="lines" w:linePitch="312" w:charSpace="0"/>
        </w:sectPr>
      </w:pPr>
    </w:p>
    <w:p>
      <w:pPr>
        <w:pageBreakBefore w:val="0"/>
        <w:widowControl/>
        <w:kinsoku/>
        <w:overflowPunct/>
        <w:autoSpaceDE/>
        <w:autoSpaceDN/>
        <w:bidi w:val="0"/>
        <w:snapToGrid w:val="0"/>
        <w:spacing w:before="62" w:beforeLines="20" w:after="62" w:afterLines="20"/>
        <w:jc w:val="center"/>
        <w:textAlignment w:val="auto"/>
        <w:outlineLvl w:val="0"/>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pPr>
      <w:r>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t>一、建设项目基本情况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368"/>
        <w:gridCol w:w="1943"/>
        <w:gridCol w:w="1525"/>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建设项目名称</w:t>
            </w:r>
          </w:p>
        </w:tc>
        <w:tc>
          <w:tcPr>
            <w:tcW w:w="3935" w:type="pct"/>
            <w:gridSpan w:val="3"/>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年产100万套智能家居加工制造项目（一期）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项目代码</w:t>
            </w:r>
          </w:p>
        </w:tc>
        <w:tc>
          <w:tcPr>
            <w:tcW w:w="3935" w:type="pct"/>
            <w:gridSpan w:val="3"/>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lang w:val="en-US" w:eastAsia="zh-CN" w:bidi="ar"/>
                <w14:textFill>
                  <w14:solidFill>
                    <w14:schemeClr w14:val="tx1"/>
                  </w14:solidFill>
                </w14:textFill>
              </w:rPr>
              <w:t>2205-510811-04-01-279757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建设单位联系人</w:t>
            </w:r>
          </w:p>
        </w:tc>
        <w:tc>
          <w:tcPr>
            <w:tcW w:w="115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刘瑞平</w:t>
            </w:r>
          </w:p>
        </w:tc>
        <w:tc>
          <w:tcPr>
            <w:tcW w:w="90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联系方式</w:t>
            </w:r>
          </w:p>
        </w:tc>
        <w:tc>
          <w:tcPr>
            <w:tcW w:w="186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19955531051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建设地点</w:t>
            </w:r>
          </w:p>
        </w:tc>
        <w:tc>
          <w:tcPr>
            <w:tcW w:w="3935" w:type="pct"/>
            <w:gridSpan w:val="3"/>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四川 </w:t>
            </w:r>
            <w:r>
              <w:rPr>
                <w:rFonts w:ascii="Times New Roman" w:hAnsi="Times New Roman" w:eastAsia="宋体" w:cs="Times New Roman"/>
                <w:color w:val="000000" w:themeColor="text1"/>
                <w:spacing w:val="0"/>
                <w:kern w:val="21"/>
                <w:position w:val="0"/>
                <w:sz w:val="24"/>
                <w14:textFill>
                  <w14:solidFill>
                    <w14:schemeClr w14:val="tx1"/>
                  </w14:solidFill>
                </w14:textFill>
              </w:rPr>
              <w:t>省</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广元 </w:t>
            </w:r>
            <w:r>
              <w:rPr>
                <w:rFonts w:ascii="Times New Roman" w:hAnsi="Times New Roman" w:eastAsia="宋体" w:cs="Times New Roman"/>
                <w:color w:val="000000" w:themeColor="text1"/>
                <w:spacing w:val="0"/>
                <w:kern w:val="21"/>
                <w:position w:val="0"/>
                <w:sz w:val="24"/>
                <w14:textFill>
                  <w14:solidFill>
                    <w14:schemeClr w14:val="tx1"/>
                  </w14:solidFill>
                </w14:textFill>
              </w:rPr>
              <w:t>市</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昭化 </w:t>
            </w:r>
            <w:r>
              <w:rPr>
                <w:rFonts w:ascii="Times New Roman" w:hAnsi="Times New Roman" w:eastAsia="宋体" w:cs="Times New Roman"/>
                <w:color w:val="000000" w:themeColor="text1"/>
                <w:spacing w:val="0"/>
                <w:kern w:val="21"/>
                <w:position w:val="0"/>
                <w:sz w:val="24"/>
                <w14:textFill>
                  <w14:solidFill>
                    <w14:schemeClr w14:val="tx1"/>
                  </w14:solidFill>
                </w14:textFill>
              </w:rPr>
              <w:t>区</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元坝 </w:t>
            </w:r>
            <w:r>
              <w:rPr>
                <w:rFonts w:ascii="Times New Roman" w:hAnsi="Times New Roman" w:eastAsia="宋体" w:cs="Times New Roman"/>
                <w:color w:val="000000" w:themeColor="text1"/>
                <w:spacing w:val="0"/>
                <w:kern w:val="21"/>
                <w:position w:val="0"/>
                <w:sz w:val="24"/>
                <w14:textFill>
                  <w14:solidFill>
                    <w14:schemeClr w14:val="tx1"/>
                  </w14:solidFill>
                </w14:textFill>
              </w:rPr>
              <w:t>镇</w:t>
            </w:r>
            <w:r>
              <w:rPr>
                <w:rFonts w:ascii="Times New Roman" w:hAnsi="Times New Roman"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中国西部（广元）绿色家居产业城启动区</w:t>
            </w:r>
            <w:r>
              <w:rPr>
                <w:rFonts w:ascii="Times New Roman" w:hAnsi="Times New Roman" w:cs="Times New Roman"/>
                <w:color w:val="000000" w:themeColor="text1"/>
                <w:spacing w:val="0"/>
                <w:kern w:val="21"/>
                <w:positio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地理坐标</w:t>
            </w:r>
          </w:p>
        </w:tc>
        <w:tc>
          <w:tcPr>
            <w:tcW w:w="3935" w:type="pct"/>
            <w:gridSpan w:val="3"/>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105 </w:t>
            </w:r>
            <w:r>
              <w:rPr>
                <w:rFonts w:ascii="Times New Roman" w:hAnsi="Times New Roman" w:eastAsia="宋体" w:cs="Times New Roman"/>
                <w:color w:val="000000" w:themeColor="text1"/>
                <w:spacing w:val="0"/>
                <w:kern w:val="21"/>
                <w:position w:val="0"/>
                <w:sz w:val="24"/>
                <w14:textFill>
                  <w14:solidFill>
                    <w14:schemeClr w14:val="tx1"/>
                  </w14:solidFill>
                </w14:textFill>
              </w:rPr>
              <w:t>度</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58 </w:t>
            </w:r>
            <w:r>
              <w:rPr>
                <w:rFonts w:ascii="Times New Roman" w:hAnsi="Times New Roman" w:eastAsia="宋体" w:cs="Times New Roman"/>
                <w:color w:val="000000" w:themeColor="text1"/>
                <w:spacing w:val="0"/>
                <w:kern w:val="21"/>
                <w:position w:val="0"/>
                <w:sz w:val="24"/>
                <w14:textFill>
                  <w14:solidFill>
                    <w14:schemeClr w14:val="tx1"/>
                  </w14:solidFill>
                </w14:textFill>
              </w:rPr>
              <w:t>分</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25.312 </w:t>
            </w:r>
            <w:r>
              <w:rPr>
                <w:rFonts w:ascii="Times New Roman" w:hAnsi="Times New Roman" w:eastAsia="宋体" w:cs="Times New Roman"/>
                <w:color w:val="000000" w:themeColor="text1"/>
                <w:spacing w:val="0"/>
                <w:kern w:val="21"/>
                <w:position w:val="0"/>
                <w:sz w:val="24"/>
                <w14:textFill>
                  <w14:solidFill>
                    <w14:schemeClr w14:val="tx1"/>
                  </w14:solidFill>
                </w14:textFill>
              </w:rPr>
              <w:t>秒，</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32 </w:t>
            </w:r>
            <w:r>
              <w:rPr>
                <w:rFonts w:ascii="Times New Roman" w:hAnsi="Times New Roman" w:eastAsia="宋体" w:cs="Times New Roman"/>
                <w:color w:val="000000" w:themeColor="text1"/>
                <w:spacing w:val="0"/>
                <w:kern w:val="21"/>
                <w:position w:val="0"/>
                <w:sz w:val="24"/>
                <w14:textFill>
                  <w14:solidFill>
                    <w14:schemeClr w14:val="tx1"/>
                  </w14:solidFill>
                </w14:textFill>
              </w:rPr>
              <w:t>度</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15 </w:t>
            </w:r>
            <w:r>
              <w:rPr>
                <w:rFonts w:ascii="Times New Roman" w:hAnsi="Times New Roman" w:eastAsia="宋体" w:cs="Times New Roman"/>
                <w:color w:val="000000" w:themeColor="text1"/>
                <w:spacing w:val="0"/>
                <w:kern w:val="21"/>
                <w:position w:val="0"/>
                <w:sz w:val="24"/>
                <w14:textFill>
                  <w14:solidFill>
                    <w14:schemeClr w14:val="tx1"/>
                  </w14:solidFill>
                </w14:textFill>
              </w:rPr>
              <w:t>分</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55.573 </w:t>
            </w:r>
            <w:r>
              <w:rPr>
                <w:rFonts w:ascii="Times New Roman" w:hAnsi="Times New Roman" w:eastAsia="宋体" w:cs="Times New Roman"/>
                <w:color w:val="000000" w:themeColor="text1"/>
                <w:spacing w:val="0"/>
                <w:kern w:val="21"/>
                <w:position w:val="0"/>
                <w:sz w:val="24"/>
                <w14:textFill>
                  <w14:solidFill>
                    <w14:schemeClr w14:val="tx1"/>
                  </w14:solidFill>
                </w14:textFill>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国民经济</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行业类别</w:t>
            </w:r>
          </w:p>
        </w:tc>
        <w:tc>
          <w:tcPr>
            <w:tcW w:w="115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C2110 木质家具制造</w:t>
            </w:r>
          </w:p>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C2190 其他家具制造</w:t>
            </w:r>
          </w:p>
        </w:tc>
        <w:tc>
          <w:tcPr>
            <w:tcW w:w="90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建设项目</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行业类别</w:t>
            </w:r>
          </w:p>
        </w:tc>
        <w:tc>
          <w:tcPr>
            <w:tcW w:w="186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十八、家具制造业21</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36、木质家具制造211*；竹、藤家具制造212*；金属家具制造213*；塑料家具制造214*；其他家具制造219*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建设性质</w:t>
            </w:r>
          </w:p>
        </w:tc>
        <w:tc>
          <w:tcPr>
            <w:tcW w:w="1158"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52"/>
            </w:r>
            <w:r>
              <w:rPr>
                <w:rFonts w:ascii="Times New Roman" w:hAnsi="Times New Roman" w:eastAsia="宋体" w:cs="Times New Roman"/>
                <w:color w:val="000000" w:themeColor="text1"/>
                <w:spacing w:val="0"/>
                <w:kern w:val="21"/>
                <w:position w:val="0"/>
                <w:sz w:val="24"/>
                <w14:textFill>
                  <w14:solidFill>
                    <w14:schemeClr w14:val="tx1"/>
                  </w14:solidFill>
                </w14:textFill>
              </w:rPr>
              <w:t>新建（迁建）</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A3"/>
            </w:r>
            <w:r>
              <w:rPr>
                <w:rFonts w:ascii="Times New Roman" w:hAnsi="Times New Roman" w:eastAsia="宋体" w:cs="Times New Roman"/>
                <w:color w:val="000000" w:themeColor="text1"/>
                <w:spacing w:val="0"/>
                <w:kern w:val="21"/>
                <w:position w:val="0"/>
                <w:sz w:val="24"/>
                <w14:textFill>
                  <w14:solidFill>
                    <w14:schemeClr w14:val="tx1"/>
                  </w14:solidFill>
                </w14:textFill>
              </w:rPr>
              <w:t>改建</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A3"/>
            </w:r>
            <w:r>
              <w:rPr>
                <w:rFonts w:ascii="Times New Roman" w:hAnsi="Times New Roman" w:eastAsia="宋体" w:cs="Times New Roman"/>
                <w:color w:val="000000" w:themeColor="text1"/>
                <w:spacing w:val="0"/>
                <w:kern w:val="21"/>
                <w:position w:val="0"/>
                <w:sz w:val="24"/>
                <w14:textFill>
                  <w14:solidFill>
                    <w14:schemeClr w14:val="tx1"/>
                  </w14:solidFill>
                </w14:textFill>
              </w:rPr>
              <w:t>扩建</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A3"/>
            </w:r>
            <w:r>
              <w:rPr>
                <w:rFonts w:ascii="Times New Roman" w:hAnsi="Times New Roman" w:eastAsia="宋体" w:cs="Times New Roman"/>
                <w:color w:val="000000" w:themeColor="text1"/>
                <w:spacing w:val="0"/>
                <w:kern w:val="21"/>
                <w:position w:val="0"/>
                <w:sz w:val="24"/>
                <w14:textFill>
                  <w14:solidFill>
                    <w14:schemeClr w14:val="tx1"/>
                  </w14:solidFill>
                </w14:textFill>
              </w:rPr>
              <w:t>技术改造</w:t>
            </w:r>
          </w:p>
        </w:tc>
        <w:tc>
          <w:tcPr>
            <w:tcW w:w="90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建设项目</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申报情形</w:t>
            </w:r>
          </w:p>
        </w:tc>
        <w:tc>
          <w:tcPr>
            <w:tcW w:w="1869"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52"/>
            </w:r>
            <w:r>
              <w:rPr>
                <w:rFonts w:ascii="Times New Roman" w:hAnsi="Times New Roman" w:eastAsia="宋体" w:cs="Times New Roman"/>
                <w:color w:val="000000" w:themeColor="text1"/>
                <w:spacing w:val="0"/>
                <w:kern w:val="21"/>
                <w:position w:val="0"/>
                <w:sz w:val="24"/>
                <w14:textFill>
                  <w14:solidFill>
                    <w14:schemeClr w14:val="tx1"/>
                  </w14:solidFill>
                </w14:textFill>
              </w:rPr>
              <w:t>首次申报项目</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A3"/>
            </w:r>
            <w:r>
              <w:rPr>
                <w:rFonts w:ascii="Times New Roman" w:hAnsi="Times New Roman" w:eastAsia="宋体" w:cs="Times New Roman"/>
                <w:color w:val="000000" w:themeColor="text1"/>
                <w:spacing w:val="0"/>
                <w:kern w:val="21"/>
                <w:position w:val="0"/>
                <w:sz w:val="24"/>
                <w14:textFill>
                  <w14:solidFill>
                    <w14:schemeClr w14:val="tx1"/>
                  </w14:solidFill>
                </w14:textFill>
              </w:rPr>
              <w:t>不予批准后再次申报项目</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A3"/>
            </w:r>
            <w:r>
              <w:rPr>
                <w:rFonts w:ascii="Times New Roman" w:hAnsi="Times New Roman" w:eastAsia="宋体" w:cs="Times New Roman"/>
                <w:color w:val="000000" w:themeColor="text1"/>
                <w:spacing w:val="0"/>
                <w:kern w:val="21"/>
                <w:position w:val="0"/>
                <w:sz w:val="24"/>
                <w14:textFill>
                  <w14:solidFill>
                    <w14:schemeClr w14:val="tx1"/>
                  </w14:solidFill>
                </w14:textFill>
              </w:rPr>
              <w:t>超五年重新审核项目</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A3"/>
            </w:r>
            <w:r>
              <w:rPr>
                <w:rFonts w:ascii="Times New Roman" w:hAnsi="Times New Roman" w:eastAsia="宋体" w:cs="Times New Roman"/>
                <w:color w:val="000000" w:themeColor="text1"/>
                <w:spacing w:val="0"/>
                <w:kern w:val="21"/>
                <w:position w:val="0"/>
                <w:sz w:val="24"/>
                <w14:textFill>
                  <w14:solidFill>
                    <w14:schemeClr w14:val="tx1"/>
                  </w14:solidFill>
                </w14:textFill>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项目审批（核准/备案）部门（选填）</w:t>
            </w:r>
          </w:p>
        </w:tc>
        <w:tc>
          <w:tcPr>
            <w:tcW w:w="115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昭化区发展和改革局</w:t>
            </w:r>
          </w:p>
        </w:tc>
        <w:tc>
          <w:tcPr>
            <w:tcW w:w="90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项目审批（核准/备案）文号（选填）</w:t>
            </w:r>
          </w:p>
        </w:tc>
        <w:tc>
          <w:tcPr>
            <w:tcW w:w="186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川投资备【</w:t>
            </w:r>
            <w:r>
              <w:rPr>
                <w:rFonts w:hint="eastAsia" w:ascii="Times New Roman" w:hAnsi="Times New Roman" w:eastAsia="宋体" w:cs="Times New Roman"/>
                <w:color w:val="000000" w:themeColor="text1"/>
                <w:spacing w:val="0"/>
                <w:kern w:val="21"/>
                <w:position w:val="0"/>
                <w:sz w:val="24"/>
                <w:lang w:eastAsia="zh-CN" w:bidi="ar"/>
                <w14:textFill>
                  <w14:solidFill>
                    <w14:schemeClr w14:val="tx1"/>
                  </w14:solidFill>
                </w14:textFill>
              </w:rPr>
              <w:t>2205-510811-04-01-279757</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eastAsia="zh-CN" w:bidi="ar"/>
                <w14:textFill>
                  <w14:solidFill>
                    <w14:schemeClr w14:val="tx1"/>
                  </w14:solidFill>
                </w14:textFill>
              </w:rPr>
              <w:t>FGQB-0093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总投资（万元）</w:t>
            </w:r>
          </w:p>
        </w:tc>
        <w:tc>
          <w:tcPr>
            <w:tcW w:w="115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15000</w:t>
            </w:r>
          </w:p>
        </w:tc>
        <w:tc>
          <w:tcPr>
            <w:tcW w:w="90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环保投资</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（万元）</w:t>
            </w:r>
          </w:p>
        </w:tc>
        <w:tc>
          <w:tcPr>
            <w:tcW w:w="186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环保投资占比（%）</w:t>
            </w:r>
          </w:p>
        </w:tc>
        <w:tc>
          <w:tcPr>
            <w:tcW w:w="115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1.23</w:t>
            </w:r>
          </w:p>
        </w:tc>
        <w:tc>
          <w:tcPr>
            <w:tcW w:w="90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施工工期</w:t>
            </w:r>
          </w:p>
        </w:tc>
        <w:tc>
          <w:tcPr>
            <w:tcW w:w="186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4"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是否开工建设</w:t>
            </w:r>
          </w:p>
        </w:tc>
        <w:tc>
          <w:tcPr>
            <w:tcW w:w="1158"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52"/>
            </w:r>
            <w:r>
              <w:rPr>
                <w:rFonts w:ascii="Times New Roman" w:hAnsi="Times New Roman" w:eastAsia="宋体" w:cs="Times New Roman"/>
                <w:color w:val="000000" w:themeColor="text1"/>
                <w:spacing w:val="0"/>
                <w:kern w:val="21"/>
                <w:position w:val="0"/>
                <w:sz w:val="24"/>
                <w14:textFill>
                  <w14:solidFill>
                    <w14:schemeClr w14:val="tx1"/>
                  </w14:solidFill>
                </w14:textFill>
              </w:rPr>
              <w:t>否</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sym w:font="Wingdings 2" w:char="00A3"/>
            </w:r>
            <w:r>
              <w:rPr>
                <w:rFonts w:ascii="Times New Roman" w:hAnsi="Times New Roman" w:eastAsia="宋体" w:cs="Times New Roman"/>
                <w:color w:val="000000" w:themeColor="text1"/>
                <w:spacing w:val="0"/>
                <w:kern w:val="21"/>
                <w:position w:val="0"/>
                <w:sz w:val="24"/>
                <w14:textFill>
                  <w14:solidFill>
                    <w14:schemeClr w14:val="tx1"/>
                  </w14:solidFill>
                </w14:textFill>
              </w:rPr>
              <w:t>是：</w:t>
            </w:r>
            <w:r>
              <w:rPr>
                <w:rFonts w:ascii="Times New Roman" w:hAnsi="Times New Roman" w:eastAsia="宋体" w:cs="Times New Roman"/>
                <w:color w:val="000000" w:themeColor="text1"/>
                <w:spacing w:val="0"/>
                <w:kern w:val="21"/>
                <w:position w:val="0"/>
                <w:sz w:val="24"/>
                <w:u w:val="single"/>
                <w14:textFill>
                  <w14:solidFill>
                    <w14:schemeClr w14:val="tx1"/>
                  </w14:solidFill>
                </w14:textFill>
              </w:rPr>
              <w:t xml:space="preserve">        </w:t>
            </w:r>
          </w:p>
        </w:tc>
        <w:tc>
          <w:tcPr>
            <w:tcW w:w="90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用地（用海）面积（m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tc>
        <w:tc>
          <w:tcPr>
            <w:tcW w:w="186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66405.92m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4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专项评价设置情况</w:t>
            </w:r>
          </w:p>
        </w:tc>
        <w:tc>
          <w:tcPr>
            <w:tcW w:w="4750" w:type="pct"/>
            <w:gridSpan w:val="4"/>
            <w:vAlign w:val="center"/>
          </w:tcPr>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253"/>
              <w:gridCol w:w="3164"/>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专项评价的类别</w:t>
                  </w:r>
                </w:p>
              </w:tc>
              <w:tc>
                <w:tcPr>
                  <w:tcW w:w="1937"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设置原则</w:t>
                  </w:r>
                </w:p>
              </w:tc>
              <w:tc>
                <w:tcPr>
                  <w:tcW w:w="1884"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本项目情况</w:t>
                  </w:r>
                </w:p>
              </w:tc>
              <w:tc>
                <w:tcPr>
                  <w:tcW w:w="542"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w:t>
                  </w:r>
                </w:p>
              </w:tc>
              <w:tc>
                <w:tcPr>
                  <w:tcW w:w="1937" w:type="pct"/>
                  <w:vAlign w:val="center"/>
                </w:tcPr>
                <w:p>
                  <w:pPr>
                    <w:keepLines/>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排放废气含有毒有害污染物</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、二噁英、苯并[a]芘、氰化物、氯气且厂界外500米范围内有环境空气保护目标</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的建设项目</w:t>
                  </w:r>
                </w:p>
              </w:tc>
              <w:tc>
                <w:tcPr>
                  <w:tcW w:w="1884"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本项目废气特征因子中不含有纳入《有毒有害大气污染物名录（2018）》的气体，不含有二噁英、苯并[a]芘、氰化物、氯气。</w:t>
                  </w:r>
                </w:p>
              </w:tc>
              <w:tc>
                <w:tcPr>
                  <w:tcW w:w="542"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地表水</w:t>
                  </w:r>
                </w:p>
              </w:tc>
              <w:tc>
                <w:tcPr>
                  <w:tcW w:w="1937" w:type="pct"/>
                  <w:vAlign w:val="center"/>
                </w:tcPr>
                <w:p>
                  <w:pPr>
                    <w:keepLines/>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新增工业废水直排建设项目（槽罐车外送污水处理厂的除外）；新增废水直排的污水集中处理厂</w:t>
                  </w:r>
                </w:p>
              </w:tc>
              <w:tc>
                <w:tcPr>
                  <w:tcW w:w="1884"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本项目不属于新增工业废水直排的建设项目；不属于新增废水直排的污水集中处理厂。</w:t>
                  </w:r>
                </w:p>
              </w:tc>
              <w:tc>
                <w:tcPr>
                  <w:tcW w:w="542"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w:t>
                  </w:r>
                </w:p>
              </w:tc>
              <w:tc>
                <w:tcPr>
                  <w:tcW w:w="1937" w:type="pct"/>
                  <w:vAlign w:val="center"/>
                </w:tcPr>
                <w:p>
                  <w:pPr>
                    <w:keepLines/>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有毒有害和易燃易爆危险物质存储量超过临界量</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的建设项目</w:t>
                  </w:r>
                </w:p>
              </w:tc>
              <w:tc>
                <w:tcPr>
                  <w:tcW w:w="1884"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本项目Q＜1，有毒有害和易燃易爆危险物质存储量未超过临界量。</w:t>
                  </w:r>
                </w:p>
              </w:tc>
              <w:tc>
                <w:tcPr>
                  <w:tcW w:w="542"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生态</w:t>
                  </w:r>
                </w:p>
              </w:tc>
              <w:tc>
                <w:tcPr>
                  <w:tcW w:w="1937" w:type="pct"/>
                  <w:vAlign w:val="center"/>
                </w:tcPr>
                <w:p>
                  <w:pPr>
                    <w:keepLines/>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取水口下游500米范围内有重要水生生物的自然产卵场、索饵场、越冬场和洄游通道的新增河道取水的污染类建设项目</w:t>
                  </w:r>
                </w:p>
              </w:tc>
              <w:tc>
                <w:tcPr>
                  <w:tcW w:w="1884"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本项目不属于新增河道取水的污染类建设项目。</w:t>
                  </w:r>
                </w:p>
              </w:tc>
              <w:tc>
                <w:tcPr>
                  <w:tcW w:w="542"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海洋</w:t>
                  </w:r>
                </w:p>
              </w:tc>
              <w:tc>
                <w:tcPr>
                  <w:tcW w:w="1937" w:type="pct"/>
                  <w:vAlign w:val="center"/>
                </w:tcPr>
                <w:p>
                  <w:pPr>
                    <w:keepLines/>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直接向海排放污染物的海洋工程建设项目</w:t>
                  </w:r>
                </w:p>
              </w:tc>
              <w:tc>
                <w:tcPr>
                  <w:tcW w:w="1884"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本项目不属于直接向海排放污染物的海洋工程建设项目。</w:t>
                  </w:r>
                </w:p>
              </w:tc>
              <w:tc>
                <w:tcPr>
                  <w:tcW w:w="542" w:type="pct"/>
                  <w:vAlign w:val="center"/>
                </w:tcPr>
                <w:p>
                  <w:pPr>
                    <w:keepLines/>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否</w:t>
                  </w:r>
                </w:p>
              </w:tc>
            </w:tr>
          </w:tbl>
          <w:p>
            <w:pPr>
              <w:keepLines/>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注：1.废气中有毒有害污染物指纳入《有毒有害大气污染物名录》的污染物（不包括无排放标准的污染物）。</w:t>
            </w:r>
          </w:p>
          <w:p>
            <w:pPr>
              <w:keepLines/>
              <w:pageBreakBefore w:val="0"/>
              <w:widowControl/>
              <w:kinsoku/>
              <w:overflowPunct/>
              <w:autoSpaceDE/>
              <w:autoSpaceDN/>
              <w:bidi w:val="0"/>
              <w:snapToGrid w:val="0"/>
              <w:spacing w:before="62" w:beforeLines="20" w:after="62" w:afterLines="20"/>
              <w:ind w:firstLine="420"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2.环境空气保护目标指自然保护区、风景名胜区、居住区、文化区和农村地区中人群较集中的区域。</w:t>
            </w:r>
          </w:p>
          <w:p>
            <w:pPr>
              <w:pageBreakBefore w:val="0"/>
              <w:widowControl/>
              <w:kinsoku/>
              <w:overflowPunct/>
              <w:autoSpaceDE/>
              <w:autoSpaceDN/>
              <w:bidi w:val="0"/>
              <w:snapToGrid w:val="0"/>
              <w:spacing w:before="62" w:beforeLines="20" w:after="62" w:afterLines="20"/>
              <w:ind w:firstLine="42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3.临界量及其计算方法可参考《建设项目环境风险评价技术导则》（HJ 169）附录B、附录C。</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综合以上分析，本项目无需设置专项评价。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规划情况</w:t>
            </w:r>
          </w:p>
        </w:tc>
        <w:tc>
          <w:tcPr>
            <w:tcW w:w="4750" w:type="pct"/>
            <w:gridSpan w:val="4"/>
            <w:vAlign w:val="center"/>
          </w:tcPr>
          <w:p>
            <w:pPr>
              <w:pageBreakBefore w:val="0"/>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32"/>
                <w14:textFill>
                  <w14:solidFill>
                    <w14:schemeClr w14:val="tx1"/>
                  </w14:solidFill>
                </w14:textFill>
              </w:rPr>
              <w:t>规划名称：</w:t>
            </w:r>
            <w:r>
              <w:rPr>
                <w:rFonts w:ascii="Times New Roman" w:hAnsi="Times New Roman" w:eastAsia="宋体" w:cs="Times New Roman"/>
                <w:color w:val="000000" w:themeColor="text1"/>
                <w:spacing w:val="0"/>
                <w:kern w:val="21"/>
                <w:position w:val="0"/>
                <w:sz w:val="24"/>
                <w14:textFill>
                  <w14:solidFill>
                    <w14:schemeClr w14:val="tx1"/>
                  </w14:solidFill>
                </w14:textFill>
              </w:rPr>
              <w:t>《中国西部（广元）绿色家居产业城产业发展布局规划》</w:t>
            </w:r>
          </w:p>
          <w:p>
            <w:pPr>
              <w:pageBreakBefore w:val="0"/>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32"/>
                <w14:textFill>
                  <w14:solidFill>
                    <w14:schemeClr w14:val="tx1"/>
                  </w14:solidFill>
                </w14:textFill>
              </w:rPr>
              <w:t>审批机关：</w:t>
            </w:r>
            <w:r>
              <w:rPr>
                <w:rFonts w:ascii="Times New Roman" w:hAnsi="Times New Roman" w:eastAsia="宋体" w:cs="Times New Roman"/>
                <w:color w:val="000000" w:themeColor="text1"/>
                <w:spacing w:val="0"/>
                <w:kern w:val="21"/>
                <w:position w:val="0"/>
                <w:sz w:val="24"/>
                <w14:textFill>
                  <w14:solidFill>
                    <w14:schemeClr w14:val="tx1"/>
                  </w14:solidFill>
                </w14:textFill>
              </w:rPr>
              <w:t>广元市新型工业发展推进工作组办公室</w:t>
            </w:r>
          </w:p>
          <w:p>
            <w:pPr>
              <w:pageBreakBefore w:val="0"/>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审批文件及文号：</w:t>
            </w:r>
            <w:r>
              <w:rPr>
                <w:rFonts w:ascii="Times New Roman" w:hAnsi="Times New Roman" w:eastAsia="宋体" w:cs="Times New Roman"/>
                <w:color w:val="000000" w:themeColor="text1"/>
                <w:spacing w:val="0"/>
                <w:kern w:val="21"/>
                <w:position w:val="0"/>
                <w:sz w:val="24"/>
                <w14:textFill>
                  <w14:solidFill>
                    <w14:schemeClr w14:val="tx1"/>
                  </w14:solidFill>
                </w14:textFill>
              </w:rPr>
              <w:t>广元市新型工业发展推进工作组办公室关于印发《中国西部（广元）绿色家居产业城产业发展布局规划》的通知（广工推进办〔2021〕18号）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规划环境影响评价情况</w:t>
            </w:r>
          </w:p>
        </w:tc>
        <w:tc>
          <w:tcPr>
            <w:tcW w:w="4750" w:type="pct"/>
            <w:gridSpan w:val="4"/>
            <w:vAlign w:val="center"/>
          </w:tcPr>
          <w:p>
            <w:pPr>
              <w:pageBreakBefore w:val="0"/>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规划环境影响评价文件名称：</w:t>
            </w:r>
            <w:r>
              <w:rPr>
                <w:rFonts w:ascii="Times New Roman" w:hAnsi="Times New Roman" w:eastAsia="宋体" w:cs="Times New Roman"/>
                <w:color w:val="000000" w:themeColor="text1"/>
                <w:spacing w:val="0"/>
                <w:kern w:val="21"/>
                <w:position w:val="0"/>
                <w:sz w:val="24"/>
                <w14:textFill>
                  <w14:solidFill>
                    <w14:schemeClr w14:val="tx1"/>
                  </w14:solidFill>
                </w14:textFill>
              </w:rPr>
              <w:t>《中国西部（广元）绿色家居产业城启动区规划环境影响报告书》</w:t>
            </w:r>
          </w:p>
          <w:p>
            <w:pPr>
              <w:pageBreakBefore w:val="0"/>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审查机关：</w:t>
            </w:r>
            <w:r>
              <w:rPr>
                <w:rFonts w:ascii="Times New Roman" w:hAnsi="Times New Roman" w:eastAsia="宋体" w:cs="Times New Roman"/>
                <w:color w:val="000000" w:themeColor="text1"/>
                <w:spacing w:val="0"/>
                <w:kern w:val="21"/>
                <w:position w:val="0"/>
                <w:sz w:val="24"/>
                <w14:textFill>
                  <w14:solidFill>
                    <w14:schemeClr w14:val="tx1"/>
                  </w14:solidFill>
                </w14:textFill>
              </w:rPr>
              <w:t>广元市生态环境局</w:t>
            </w:r>
          </w:p>
          <w:p>
            <w:pPr>
              <w:pageBreakBefore w:val="0"/>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审查文件名称及文号：</w:t>
            </w:r>
            <w:r>
              <w:rPr>
                <w:rFonts w:ascii="Times New Roman" w:hAnsi="Times New Roman" w:eastAsia="宋体" w:cs="Times New Roman"/>
                <w:color w:val="000000" w:themeColor="text1"/>
                <w:spacing w:val="0"/>
                <w:kern w:val="21"/>
                <w:position w:val="0"/>
                <w:sz w:val="24"/>
                <w14:textFill>
                  <w14:solidFill>
                    <w14:schemeClr w14:val="tx1"/>
                  </w14:solidFill>
                </w14:textFill>
              </w:rPr>
              <w:t>《广元市生态环境局关于印发〈中国西部（广元）绿色家居产业城启动区规划环境影响报告书〉审查意见的函》（广环函〔2023〕144号）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规划及规划环境影响评价符合性分析</w:t>
            </w:r>
          </w:p>
        </w:tc>
        <w:tc>
          <w:tcPr>
            <w:tcW w:w="4750" w:type="pct"/>
            <w:gridSpan w:val="4"/>
          </w:tcPr>
          <w:p>
            <w:pPr>
              <w:pageBreakBefore w:val="0"/>
              <w:numPr>
                <w:ilvl w:val="0"/>
                <w:numId w:val="4"/>
              </w:numPr>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本项目与《中国西部（广元）绿色家居产业城产业发展布局规划》符合性分析</w:t>
            </w:r>
          </w:p>
          <w:p>
            <w:pPr>
              <w:pageBreakBefore w:val="0"/>
              <w:kinsoku/>
              <w:overflowPunct/>
              <w:autoSpaceDE/>
              <w:autoSpaceDN/>
              <w:bidi w:val="0"/>
              <w:spacing w:line="360" w:lineRule="auto"/>
              <w:ind w:firstLine="480"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项目拟建设用地位于广元市昭化区元坝镇绿色家居产业城内，</w:t>
            </w:r>
            <w:r>
              <w:rPr>
                <w:rFonts w:ascii="Times New Roman" w:hAnsi="Times New Roman" w:cs="Times New Roman"/>
                <w:color w:val="000000" w:themeColor="text1"/>
                <w:spacing w:val="0"/>
                <w:kern w:val="21"/>
                <w:position w:val="0"/>
                <w:sz w:val="24"/>
                <w14:textFill>
                  <w14:solidFill>
                    <w14:schemeClr w14:val="tx1"/>
                  </w14:solidFill>
                </w14:textFill>
              </w:rPr>
              <w:t>根据《中国西部（广元）绿色家居产业城产业发展布局规划》内容，整个绿色家居产业城分散布局在昭化区元坝镇、旺苍县白水镇和嘉川镇，三个区域内部用地集中，形成相对独立的单元，构成产业城内的三个产业园区，形成“一城三园”的发展格局。本项目位于元坝镇，属于家居产业城昭化分区，根据《规划》中对昭化绿色定制家居产业园的功能布局安排，本项目所在区块位于昭化分区中的绿色家居智能制造区。</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绿色家居智能制造区为产业城的家居生产制造核心，负责</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板式家居、软体家具、实木家具、金属玻璃、布艺门窗等家居产品及配件装饰的生产</w:t>
            </w:r>
            <w:r>
              <w:rPr>
                <w:rFonts w:ascii="Times New Roman" w:hAnsi="Times New Roman" w:eastAsia="宋体" w:cs="Times New Roman"/>
                <w:color w:val="000000" w:themeColor="text1"/>
                <w:spacing w:val="0"/>
                <w:kern w:val="21"/>
                <w:position w:val="0"/>
                <w:sz w:val="24"/>
                <w14:textFill>
                  <w14:solidFill>
                    <w14:schemeClr w14:val="tx1"/>
                  </w14:solidFill>
                </w14:textFill>
              </w:rPr>
              <w:t>，通过打造多条覆盖全产业链的工业4.0生产线（引进德国成熟生产线或国内生产线）建设绿色家居智能制造中心，打造西部首屈一指的家居智能制造基地。</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该区域主要分为两大部分：其一为位于昭化片区的定制家居智能制造区（A区），该区为产业城最大的家居制造区，通过建设5.0共享工厂，负责为产业城绿色家居大型企业或中小企业提供绿色高效的家居生产服务，通过建设高端OEM代工厂服务国内大型定制家居企业，该区域根据材料不同进一步细分为全铝定制家居、金属玻璃家居（铝镁门窗、金属配件等）、板式家居、实木家居、软体布艺、绿色板材等智能制造板块；其二，在旺苍县嘉川镇尚武片区建立实木家居智能制造中心（B区），主要负责实木家居的加工、工艺处理和后期喷涂等。</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本项目位于元坝镇新胜村，位于绿色家居智能制造区A区，本项目为家具制造企业，属于园区重点发展产业，与所在园区地块的产业布局规划相符。</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综上，本项目建设符合《中国西部（广元）绿色家居产业城产业发展布局规划》要求。</w:t>
            </w:r>
          </w:p>
          <w:p>
            <w:pPr>
              <w:pageBreakBefore w:val="0"/>
              <w:numPr>
                <w:ilvl w:val="0"/>
                <w:numId w:val="4"/>
              </w:numPr>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本项目与《中国西部（广元）绿色家居产业城启动区规划环境影响报告书》符合性分析</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（1）规划背景</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2017年，广元市人民政府以广府办函〔2017〕151号文成立中国西部（广元）绿色家居产业城，并编制了《中国西部（广元）绿色家居产业城总体规划》，分布于剑阁县、旺苍县、昭化区。《中国西部（广元）绿色家居产业城总体规划》于2018年3月29日在市城乡规划委员会2018年第3次会议上原则性通过。</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2020年1月14日，由昭化区经济信息化和科学局请示，1月22日广元市经济信息化和科学技术局批复，启动区位于昭化区元坝镇，规划控制面积约18平方公里，以家具制造为重点，配套发展原辅材料物流、建材家居等产业。启动区于2020年6月取得广元市生态环境局《关于印发〈中国西部（广元）绿色家居产业城启动区总体规划环境影响评价报告书〉审查意见的函》（广环办函〔2020〕75号）。</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2022年6月，为进一步推动产业升级转型、促进产城相融，同时充分衔接《广元市国土空间总体规划（2021-2035年）》，广元昭化经济开发区对原规划区进行了调整，并于2023年10月30日取得《广元市生态环境局关于印发〈中国西部（广元）绿色家居产业城启动区规划环境影响报告书〉审查意见的函》（广环函〔2023〕144号）。</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（2）规划概述</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规划范围和面积：包括新胜组团、大坝组团。规划总用地面积476.74公顷。</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新胜组团：北至新胜路-恩广高速公路一线、南至广巴达万铁路、西至青树路、东至恩广高速公路-国道G542一线。</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大坝组团：北至杏树沟以南一线、南至平乐路、西至兴业路、东至中环西路。</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功能定位：启动区产业定位以建材、家居为主导产业，重点发展定制家居、铝制家居、板式家居、饰品家居，防水/保温/隔热、砖石、预制混凝土等建筑材料，配套发展玻璃制品、机械设备制造、五金配件加工，包材及物流运输等。</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新胜组团主导发展家居产业</w:t>
            </w:r>
            <w:r>
              <w:rPr>
                <w:rFonts w:ascii="Times New Roman" w:hAnsi="Times New Roman" w:eastAsia="宋体" w:cs="Times New Roman"/>
                <w:color w:val="000000" w:themeColor="text1"/>
                <w:spacing w:val="0"/>
                <w:kern w:val="21"/>
                <w:position w:val="0"/>
                <w:sz w:val="24"/>
                <w14:textFill>
                  <w14:solidFill>
                    <w14:schemeClr w14:val="tx1"/>
                  </w14:solidFill>
                </w14:textFill>
              </w:rPr>
              <w:t>，大坝组团主导发展建材产业。</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本项目位于绿色家居产业城启动区新胜组团内，属于绿色家居产业城启动区规划范围内。</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（3）规划符合性分析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根据启动区规划环评的要求，本项目与《中国西部（广元）绿色家居产业城启动区规划环境影响报告书》（下称“规划环评”）的符合性分析见下表。</w:t>
            </w:r>
          </w:p>
          <w:p>
            <w:pPr>
              <w:pageBreakBefore w:val="0"/>
              <w:numPr>
                <w:ilvl w:val="0"/>
                <w:numId w:val="5"/>
              </w:numPr>
              <w:kinsoku/>
              <w:overflowPunct/>
              <w:autoSpaceDE/>
              <w:autoSpaceDN/>
              <w:bidi w:val="0"/>
              <w:snapToGrid w:val="0"/>
              <w:spacing w:before="62" w:beforeLines="20" w:after="62" w:afterLines="20"/>
              <w:ind w:left="0" w:firstLine="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w:t>
            </w:r>
            <w:r>
              <w:rPr>
                <w:rFonts w:ascii="Times New Roman" w:hAnsi="Times New Roman" w:eastAsia="宋体" w:cs="Times New Roman"/>
                <w:b/>
                <w:color w:val="000000" w:themeColor="text1"/>
                <w:spacing w:val="0"/>
                <w:kern w:val="21"/>
                <w:position w:val="0"/>
                <w:szCs w:val="21"/>
                <w14:textFill>
                  <w14:solidFill>
                    <w14:schemeClr w14:val="tx1"/>
                  </w14:solidFill>
                </w14:textFill>
              </w:rPr>
              <w:t>与园区规划环评要点符合性分析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3174"/>
              <w:gridCol w:w="3174"/>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w:t>
                  </w:r>
                </w:p>
              </w:tc>
              <w:tc>
                <w:tcPr>
                  <w:tcW w:w="1889"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规划环评要点</w:t>
                  </w:r>
                </w:p>
              </w:tc>
              <w:tc>
                <w:tcPr>
                  <w:tcW w:w="1889"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w:t>
                  </w:r>
                </w:p>
              </w:tc>
              <w:tc>
                <w:tcPr>
                  <w:tcW w:w="5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0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规划面积及四至范围</w:t>
                  </w:r>
                </w:p>
              </w:tc>
              <w:tc>
                <w:tcPr>
                  <w:tcW w:w="1889"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规划范围包括新胜组团、大坝组团：</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新胜组团：</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北至新胜路-恩广高速公路一线、南至广巴达万铁路、西至青树路、东至恩广高速公路-国道G542一线。</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lang w:bidi="ar"/>
                      <w14:textFill>
                        <w14:solidFill>
                          <w14:schemeClr w14:val="tx1"/>
                        </w14:solidFill>
                      </w14:textFill>
                    </w:rPr>
                    <w:t>大坝组团：</w:t>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北至杏树沟以南一线、南至平乐路、西至兴业路、东至中环西路。</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规划面积476.74公顷。</w:t>
                  </w:r>
                </w:p>
              </w:tc>
              <w:tc>
                <w:tcPr>
                  <w:tcW w:w="188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本项目拟建地位于绿色家居产业城新胜</w:t>
                  </w:r>
                  <w:r>
                    <w:rPr>
                      <w:rFonts w:ascii="Times New Roman" w:hAnsi="Times New Roman" w:cs="Times New Roman"/>
                      <w:color w:val="000000" w:themeColor="text1"/>
                      <w:spacing w:val="0"/>
                      <w:kern w:val="21"/>
                      <w:position w:val="0"/>
                      <w:szCs w:val="21"/>
                      <w14:textFill>
                        <w14:solidFill>
                          <w14:schemeClr w14:val="tx1"/>
                        </w14:solidFill>
                      </w14:textFill>
                    </w:rPr>
                    <w:t>组团</w:t>
                  </w:r>
                  <w:r>
                    <w:rPr>
                      <w:rFonts w:ascii="Times New Roman" w:hAnsi="Times New Roman" w:eastAsia="宋体" w:cs="Times New Roman"/>
                      <w:color w:val="000000" w:themeColor="text1"/>
                      <w:spacing w:val="0"/>
                      <w:kern w:val="21"/>
                      <w:position w:val="0"/>
                      <w:szCs w:val="21"/>
                      <w14:textFill>
                        <w14:solidFill>
                          <w14:schemeClr w14:val="tx1"/>
                        </w14:solidFill>
                      </w14:textFill>
                    </w:rPr>
                    <w:t>，属于园区规划范围内。</w:t>
                  </w:r>
                </w:p>
              </w:tc>
              <w:tc>
                <w:tcPr>
                  <w:tcW w:w="5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产业定位</w:t>
                  </w:r>
                </w:p>
              </w:tc>
              <w:tc>
                <w:tcPr>
                  <w:tcW w:w="1889" w:type="pct"/>
                  <w:vAlign w:val="center"/>
                </w:tcPr>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启动区产业定位以建材、家居为主导产业，重点发展定制家居、铝制家居、板式家居、饰品家居，防水/保温/隔热、砖石、预制混凝土等建筑材料，配套发展玻璃制品、机械设备制造、五金配件加工，包材及物流运输等</w:t>
                  </w:r>
                  <w:r>
                    <w:rPr>
                      <w:rFonts w:ascii="Times New Roman" w:hAnsi="Times New Roman" w:cs="Times New Roman"/>
                      <w:color w:val="000000" w:themeColor="text1"/>
                      <w:spacing w:val="0"/>
                      <w:kern w:val="21"/>
                      <w:position w:val="0"/>
                      <w:sz w:val="21"/>
                      <w:szCs w:val="21"/>
                      <w14:textFill>
                        <w14:solidFill>
                          <w14:schemeClr w14:val="tx1"/>
                        </w14:solidFill>
                      </w14:textFill>
                    </w:rPr>
                    <w:t>。</w:t>
                  </w:r>
                </w:p>
              </w:tc>
              <w:tc>
                <w:tcPr>
                  <w:tcW w:w="1889"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本项目拟建地位于绿色家居产业城，为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家具制造项目</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项目建设符合园区产业定位</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5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禁止入园行业名录</w:t>
                  </w:r>
                </w:p>
              </w:tc>
              <w:tc>
                <w:tcPr>
                  <w:tcW w:w="1889" w:type="pct"/>
                  <w:vAlign w:val="center"/>
                </w:tcPr>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（1）禁止引入不符合国家法律法规、产业政策和相关环境管理要求的项目，列入国家严重产能过剩的项目，清洁生产水平达不到行业清洁生产标准二级或低于全国同类企业平均清洁生产水平的项目。</w:t>
                  </w:r>
                </w:p>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（2）禁止引入不符合国家及省、市重金属污染防治规划要求的项目。</w:t>
                  </w:r>
                </w:p>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（3）禁止引入与园区产业定位不相容的项目。</w:t>
                  </w:r>
                </w:p>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（4）禁止新建火电、钢铁、水泥、焦化、冶炼等重污染项目；禁止引入化工、酿造、含前工序集成电路、印刷电路板、造纸、专业电镀、涉五类重金属废水排放的项目。</w:t>
                  </w:r>
                </w:p>
              </w:tc>
              <w:tc>
                <w:tcPr>
                  <w:tcW w:w="188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（1）本项目不属于不符合</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国家法律法规、产业政策和相关环境管理要求的项目，列入国家严重产能过剩的项目，本项目采用国内先进水平的生产工艺、设备及污染治理技术，不属于清洁生产水平达不到行业清洁生产标准二级或低于全国同类项目平均清洁生产水平的项目。</w:t>
                  </w:r>
                </w:p>
                <w:p>
                  <w:pPr>
                    <w:pStyle w:val="35"/>
                    <w:pageBreakBefore w:val="0"/>
                    <w:widowControl/>
                    <w:kinsoku/>
                    <w:overflowPunct/>
                    <w:autoSpaceDE/>
                    <w:autoSpaceDN/>
                    <w:bidi w:val="0"/>
                    <w:snapToGrid w:val="0"/>
                    <w:spacing w:before="62" w:beforeLines="20" w:after="62" w:afterLines="20"/>
                    <w:jc w:val="both"/>
                    <w:textAlignment w:val="auto"/>
                    <w:rPr>
                      <w:rFonts w:ascii="Times New Roman" w:cs="Times New Roman"/>
                      <w:color w:val="000000" w:themeColor="text1"/>
                      <w:spacing w:val="0"/>
                      <w:kern w:val="21"/>
                      <w:position w:val="0"/>
                      <w:sz w:val="21"/>
                      <w:szCs w:val="21"/>
                      <w14:textFill>
                        <w14:solidFill>
                          <w14:schemeClr w14:val="tx1"/>
                        </w14:solidFill>
                      </w14:textFill>
                    </w:rPr>
                  </w:pPr>
                  <w:r>
                    <w:rPr>
                      <w:rFonts w:ascii="Times New Roman" w:cs="Times New Roman"/>
                      <w:color w:val="000000" w:themeColor="text1"/>
                      <w:spacing w:val="0"/>
                      <w:kern w:val="21"/>
                      <w:position w:val="0"/>
                      <w:sz w:val="21"/>
                      <w:szCs w:val="21"/>
                      <w14:textFill>
                        <w14:solidFill>
                          <w14:schemeClr w14:val="tx1"/>
                        </w14:solidFill>
                      </w14:textFill>
                    </w:rPr>
                    <w:t>（2）本项目不属于不符合国家及省、市重金属污染防治要求的项目。</w:t>
                  </w:r>
                </w:p>
                <w:p>
                  <w:pPr>
                    <w:pStyle w:val="35"/>
                    <w:pageBreakBefore w:val="0"/>
                    <w:widowControl/>
                    <w:kinsoku/>
                    <w:overflowPunct/>
                    <w:autoSpaceDE/>
                    <w:autoSpaceDN/>
                    <w:bidi w:val="0"/>
                    <w:snapToGrid w:val="0"/>
                    <w:spacing w:before="62" w:beforeLines="20" w:after="62" w:afterLines="20"/>
                    <w:jc w:val="both"/>
                    <w:textAlignment w:val="auto"/>
                    <w:rPr>
                      <w:rFonts w:ascii="Times New Roman" w:cs="Times New Roman"/>
                      <w:color w:val="000000" w:themeColor="text1"/>
                      <w:spacing w:val="0"/>
                      <w:kern w:val="21"/>
                      <w:position w:val="0"/>
                      <w:sz w:val="21"/>
                      <w:szCs w:val="21"/>
                      <w14:textFill>
                        <w14:solidFill>
                          <w14:schemeClr w14:val="tx1"/>
                        </w14:solidFill>
                      </w14:textFill>
                    </w:rPr>
                  </w:pPr>
                  <w:r>
                    <w:rPr>
                      <w:rFonts w:ascii="Times New Roman" w:cs="Times New Roman"/>
                      <w:color w:val="000000" w:themeColor="text1"/>
                      <w:spacing w:val="0"/>
                      <w:kern w:val="21"/>
                      <w:position w:val="0"/>
                      <w:sz w:val="21"/>
                      <w:szCs w:val="21"/>
                      <w14:textFill>
                        <w14:solidFill>
                          <w14:schemeClr w14:val="tx1"/>
                        </w14:solidFill>
                      </w14:textFill>
                    </w:rPr>
                    <w:t>（3）本项目属于家具制造项目，属于园区主导产业，与园区产业定位相容。</w:t>
                  </w:r>
                </w:p>
                <w:p>
                  <w:pPr>
                    <w:pStyle w:val="35"/>
                    <w:pageBreakBefore w:val="0"/>
                    <w:widowControl/>
                    <w:kinsoku/>
                    <w:overflowPunct/>
                    <w:autoSpaceDE/>
                    <w:autoSpaceDN/>
                    <w:bidi w:val="0"/>
                    <w:snapToGrid w:val="0"/>
                    <w:spacing w:before="62" w:beforeLines="20" w:after="62" w:afterLines="20"/>
                    <w:jc w:val="both"/>
                    <w:textAlignment w:val="auto"/>
                    <w:rPr>
                      <w:rFonts w:ascii="Times New Roman" w:cs="Times New Roman"/>
                      <w:color w:val="000000" w:themeColor="text1"/>
                      <w:spacing w:val="0"/>
                      <w:kern w:val="21"/>
                      <w:position w:val="0"/>
                      <w:sz w:val="21"/>
                      <w:szCs w:val="21"/>
                      <w14:textFill>
                        <w14:solidFill>
                          <w14:schemeClr w14:val="tx1"/>
                        </w14:solidFill>
                      </w14:textFill>
                    </w:rPr>
                  </w:pPr>
                  <w:r>
                    <w:rPr>
                      <w:rFonts w:ascii="Times New Roman" w:cs="Times New Roman"/>
                      <w:color w:val="000000" w:themeColor="text1"/>
                      <w:spacing w:val="0"/>
                      <w:kern w:val="21"/>
                      <w:position w:val="0"/>
                      <w:sz w:val="21"/>
                      <w:szCs w:val="21"/>
                      <w14:textFill>
                        <w14:solidFill>
                          <w14:schemeClr w14:val="tx1"/>
                        </w14:solidFill>
                      </w14:textFill>
                    </w:rPr>
                    <w:t>（4）本项目不属于新建火电、钢铁、水泥、焦化、冶炼等重污染项目，不属于化工、酿造、含前工序集成电路、印刷电路板、造纸、专业电镀、涉五类重金属废水排放的项目。</w:t>
                  </w:r>
                </w:p>
              </w:tc>
              <w:tc>
                <w:tcPr>
                  <w:tcW w:w="5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由上表可知，本项目建设符合规划环评的相关要求。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本项目与规划环评审查意见的符合性分析见下表。</w:t>
            </w:r>
          </w:p>
          <w:p>
            <w:pPr>
              <w:pageBreakBefore w:val="0"/>
              <w:numPr>
                <w:ilvl w:val="0"/>
                <w:numId w:val="5"/>
              </w:numPr>
              <w:kinsoku/>
              <w:overflowPunct/>
              <w:autoSpaceDE/>
              <w:autoSpaceDN/>
              <w:bidi w:val="0"/>
              <w:snapToGrid w:val="0"/>
              <w:spacing w:before="62" w:beforeLines="20" w:after="62" w:afterLines="20"/>
              <w:ind w:left="0" w:firstLine="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本项目与规划环评审查意见的符合性分析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3392"/>
              <w:gridCol w:w="3392"/>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b/>
                      <w:bCs/>
                      <w:color w:val="000000" w:themeColor="text1"/>
                      <w:spacing w:val="0"/>
                      <w:kern w:val="21"/>
                      <w:position w:val="0"/>
                      <w:sz w:val="21"/>
                      <w:szCs w:val="21"/>
                      <w14:textFill>
                        <w14:solidFill>
                          <w14:schemeClr w14:val="tx1"/>
                        </w14:solidFill>
                      </w14:textFill>
                    </w:rPr>
                  </w:pPr>
                  <w:r>
                    <w:rPr>
                      <w:b/>
                      <w:bCs/>
                      <w:color w:val="000000" w:themeColor="text1"/>
                      <w:spacing w:val="0"/>
                      <w:kern w:val="21"/>
                      <w:position w:val="0"/>
                      <w:sz w:val="21"/>
                      <w:szCs w:val="21"/>
                      <w14:textFill>
                        <w14:solidFill>
                          <w14:schemeClr w14:val="tx1"/>
                        </w14:solidFill>
                      </w14:textFill>
                    </w:rPr>
                    <w:t>项目</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b/>
                      <w:bCs/>
                      <w:color w:val="000000" w:themeColor="text1"/>
                      <w:spacing w:val="0"/>
                      <w:kern w:val="21"/>
                      <w:position w:val="0"/>
                      <w:sz w:val="21"/>
                      <w:szCs w:val="21"/>
                      <w14:textFill>
                        <w14:solidFill>
                          <w14:schemeClr w14:val="tx1"/>
                        </w14:solidFill>
                      </w14:textFill>
                    </w:rPr>
                  </w:pPr>
                  <w:r>
                    <w:rPr>
                      <w:rFonts w:eastAsia="宋体"/>
                      <w:b/>
                      <w:bCs/>
                      <w:color w:val="000000" w:themeColor="text1"/>
                      <w:spacing w:val="0"/>
                      <w:kern w:val="21"/>
                      <w:position w:val="0"/>
                      <w:sz w:val="21"/>
                      <w:szCs w:val="21"/>
                      <w14:textFill>
                        <w14:solidFill>
                          <w14:schemeClr w14:val="tx1"/>
                        </w14:solidFill>
                      </w14:textFill>
                    </w:rPr>
                    <w:t>规划环评审查意见要求</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b/>
                      <w:bCs/>
                      <w:color w:val="000000" w:themeColor="text1"/>
                      <w:spacing w:val="0"/>
                      <w:kern w:val="21"/>
                      <w:position w:val="0"/>
                      <w:sz w:val="21"/>
                      <w:szCs w:val="21"/>
                      <w14:textFill>
                        <w14:solidFill>
                          <w14:schemeClr w14:val="tx1"/>
                        </w14:solidFill>
                      </w14:textFill>
                    </w:rPr>
                  </w:pPr>
                  <w:r>
                    <w:rPr>
                      <w:rFonts w:eastAsia="宋体"/>
                      <w:b/>
                      <w:bCs/>
                      <w:color w:val="000000" w:themeColor="text1"/>
                      <w:spacing w:val="0"/>
                      <w:kern w:val="21"/>
                      <w:position w:val="0"/>
                      <w:sz w:val="21"/>
                      <w:szCs w:val="21"/>
                      <w14:textFill>
                        <w14:solidFill>
                          <w14:schemeClr w14:val="tx1"/>
                        </w14:solidFill>
                      </w14:textFill>
                    </w:rPr>
                    <w:t>本项目情况</w:t>
                  </w:r>
                </w:p>
              </w:tc>
              <w:tc>
                <w:tcPr>
                  <w:tcW w:w="5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b/>
                      <w:bCs/>
                      <w:color w:val="000000" w:themeColor="text1"/>
                      <w:spacing w:val="0"/>
                      <w:kern w:val="21"/>
                      <w:position w:val="0"/>
                      <w:sz w:val="21"/>
                      <w:szCs w:val="21"/>
                      <w14:textFill>
                        <w14:solidFill>
                          <w14:schemeClr w14:val="tx1"/>
                        </w14:solidFill>
                      </w14:textFill>
                    </w:rPr>
                  </w:pPr>
                  <w:r>
                    <w:rPr>
                      <w:rFonts w:eastAsia="宋体"/>
                      <w:b/>
                      <w:bCs/>
                      <w:color w:val="000000" w:themeColor="text1"/>
                      <w:spacing w:val="0"/>
                      <w:kern w:val="21"/>
                      <w:positio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restar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r>
                    <w:rPr>
                      <w:color w:val="000000" w:themeColor="text1"/>
                      <w:spacing w:val="0"/>
                      <w:kern w:val="21"/>
                      <w:position w:val="0"/>
                      <w:sz w:val="21"/>
                      <w:szCs w:val="21"/>
                      <w14:textFill>
                        <w14:solidFill>
                          <w14:schemeClr w14:val="tx1"/>
                        </w14:solidFill>
                      </w14:textFill>
                    </w:rPr>
                    <w:t>环境准入负面清单</w:t>
                  </w:r>
                </w:p>
              </w:tc>
              <w:tc>
                <w:tcPr>
                  <w:tcW w:w="2019" w:type="pct"/>
                  <w:tcBorders>
                    <w:tl2br w:val="nil"/>
                    <w:tr2bl w:val="nil"/>
                  </w:tcBorders>
                  <w:shd w:val="clear" w:color="auto" w:fill="auto"/>
                  <w:vAlign w:val="center"/>
                </w:tcPr>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cs="Times New Roman"/>
                      <w:color w:val="000000" w:themeColor="text1"/>
                      <w:spacing w:val="0"/>
                      <w:kern w:val="21"/>
                      <w:position w:val="0"/>
                      <w:sz w:val="21"/>
                      <w:szCs w:val="21"/>
                      <w14:textFill>
                        <w14:solidFill>
                          <w14:schemeClr w14:val="tx1"/>
                        </w14:solidFill>
                      </w14:textFill>
                    </w:rPr>
                    <w:t>（一）禁止引入不符合国家产业政策、行业准入条件以及与园区规划不相符的项目；禁止引入清洁生产水平达不到行业清洁生产标准二级标准要求或低于全国同类企业平均清洁生产水平的项目。</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w:t>
                  </w:r>
                  <w:r>
                    <w:rPr>
                      <w:color w:val="000000" w:themeColor="text1"/>
                      <w:spacing w:val="0"/>
                      <w:kern w:val="21"/>
                      <w:position w:val="0"/>
                      <w:sz w:val="21"/>
                      <w:szCs w:val="21"/>
                      <w14:textFill>
                        <w14:solidFill>
                          <w14:schemeClr w14:val="tx1"/>
                        </w14:solidFill>
                      </w14:textFill>
                    </w:rPr>
                    <w:t>不属于不符合国家产业政策、行业准入条件以及与园区规划不相符的项目，不属于清洁生产水平达不到行业清洁生产标准二级标准要求或低于全国同类企业平均清洁生产水平的项目</w:t>
                  </w:r>
                  <w:r>
                    <w:rPr>
                      <w:rFonts w:eastAsia="宋体"/>
                      <w:color w:val="000000" w:themeColor="text1"/>
                      <w:spacing w:val="0"/>
                      <w:kern w:val="21"/>
                      <w:position w:val="0"/>
                      <w:sz w:val="21"/>
                      <w:szCs w:val="21"/>
                      <w14:textFill>
                        <w14:solidFill>
                          <w14:schemeClr w14:val="tx1"/>
                        </w14:solidFill>
                      </w14:textFill>
                    </w:rPr>
                    <w:t>。</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cs="Times New Roman"/>
                      <w:color w:val="000000" w:themeColor="text1"/>
                      <w:spacing w:val="0"/>
                      <w:kern w:val="21"/>
                      <w:position w:val="0"/>
                      <w:sz w:val="21"/>
                      <w:szCs w:val="21"/>
                      <w14:textFill>
                        <w14:solidFill>
                          <w14:schemeClr w14:val="tx1"/>
                        </w14:solidFill>
                      </w14:textFill>
                    </w:rPr>
                    <w:t>（二）禁止引入与启动区规划的主导产业相冲突，对规划主导产业造成不良影响的项目。</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本项目为家具制造项目，属于园区主导产业</w:t>
                  </w:r>
                  <w:r>
                    <w:rPr>
                      <w:color w:val="000000" w:themeColor="text1"/>
                      <w:spacing w:val="0"/>
                      <w:kern w:val="21"/>
                      <w:position w:val="0"/>
                      <w:sz w:val="21"/>
                      <w:szCs w:val="21"/>
                      <w14:textFill>
                        <w14:solidFill>
                          <w14:schemeClr w14:val="tx1"/>
                        </w14:solidFill>
                      </w14:textFill>
                    </w:rPr>
                    <w:t>。</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cs="Times New Roman"/>
                      <w:color w:val="000000" w:themeColor="text1"/>
                      <w:spacing w:val="0"/>
                      <w:kern w:val="21"/>
                      <w:position w:val="0"/>
                      <w:sz w:val="21"/>
                      <w:szCs w:val="21"/>
                      <w14:textFill>
                        <w14:solidFill>
                          <w14:schemeClr w14:val="tx1"/>
                        </w14:solidFill>
                      </w14:textFill>
                    </w:rPr>
                    <w:t>（三）禁止引入用水量和排水量大，以水污染物为主要特征且产生废水难以治理的项目</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③本</w:t>
                  </w:r>
                  <w:r>
                    <w:rPr>
                      <w:color w:val="000000" w:themeColor="text1"/>
                      <w:spacing w:val="0"/>
                      <w:kern w:val="21"/>
                      <w:position w:val="0"/>
                      <w:sz w:val="21"/>
                      <w:szCs w:val="21"/>
                      <w14:textFill>
                        <w14:solidFill>
                          <w14:schemeClr w14:val="tx1"/>
                        </w14:solidFill>
                      </w14:textFill>
                    </w:rPr>
                    <w:t>项目不属于用水量和排水量大，以水污染物为主要特征且产生废水难以治理的项目</w:t>
                  </w:r>
                  <w:r>
                    <w:rPr>
                      <w:rFonts w:eastAsia="宋体"/>
                      <w:color w:val="000000" w:themeColor="text1"/>
                      <w:spacing w:val="0"/>
                      <w:kern w:val="21"/>
                      <w:position w:val="0"/>
                      <w:sz w:val="21"/>
                      <w:szCs w:val="21"/>
                      <w14:textFill>
                        <w14:solidFill>
                          <w14:schemeClr w14:val="tx1"/>
                        </w14:solidFill>
                      </w14:textFill>
                    </w:rPr>
                    <w:t>。</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6"/>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cs="Times New Roman"/>
                      <w:color w:val="000000" w:themeColor="text1"/>
                      <w:spacing w:val="0"/>
                      <w:kern w:val="21"/>
                      <w:position w:val="0"/>
                      <w:sz w:val="21"/>
                      <w:szCs w:val="21"/>
                      <w14:textFill>
                        <w14:solidFill>
                          <w14:schemeClr w14:val="tx1"/>
                        </w14:solidFill>
                      </w14:textFill>
                    </w:rPr>
                    <w:t>（四）禁止引入涉电镀和剧毒类化学用品生产、化学合成类制药、发酵类制药、生物工程类制药、建材水泥、印染、皮革鞣制、屠宰、制浆造纸、酿造、平板玻璃、印制电路板、有色和黑色冶炼、石墨及炭素制品、焦化等高污染、高风险项目。</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color w:val="000000" w:themeColor="text1"/>
                      <w:spacing w:val="0"/>
                      <w:kern w:val="21"/>
                      <w:position w:val="0"/>
                      <w:sz w:val="21"/>
                      <w:szCs w:val="21"/>
                      <w14:textFill>
                        <w14:solidFill>
                          <w14:schemeClr w14:val="tx1"/>
                        </w14:solidFill>
                      </w14:textFill>
                    </w:rPr>
                    <w:t>本项目不属于涉电镀和剧毒类化学用品生产、化学合成类制药、发酵类制药、生物工程类制药、建材水泥、印染、皮革鞣制、屠宰、制浆造纸、酿造、平板玻璃、印制电路板、有色和黑色冶炼、石墨及炭素制品、焦化等高污染、高风险项目。</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restar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r>
                    <w:rPr>
                      <w:color w:val="000000" w:themeColor="text1"/>
                      <w:spacing w:val="0"/>
                      <w:kern w:val="21"/>
                      <w:position w:val="0"/>
                      <w:sz w:val="21"/>
                      <w:szCs w:val="21"/>
                      <w14:textFill>
                        <w14:solidFill>
                          <w14:schemeClr w14:val="tx1"/>
                        </w14:solidFill>
                      </w14:textFill>
                    </w:rPr>
                    <w:t>政府及相关部门需进一步重视的问题</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（一）严格落实长江经济带“</w:t>
                  </w:r>
                  <w:r>
                    <w:rPr>
                      <w:rFonts w:hint="eastAsia" w:eastAsia="宋体"/>
                      <w:color w:val="000000" w:themeColor="text1"/>
                      <w:spacing w:val="0"/>
                      <w:kern w:val="21"/>
                      <w:position w:val="0"/>
                      <w:sz w:val="21"/>
                      <w:szCs w:val="21"/>
                      <w14:textFill>
                        <w14:solidFill>
                          <w14:schemeClr w14:val="tx1"/>
                        </w14:solidFill>
                      </w14:textFill>
                    </w:rPr>
                    <w:t>共抓大保护、不搞大开发</w:t>
                  </w:r>
                  <w:r>
                    <w:rPr>
                      <w:rFonts w:eastAsia="宋体"/>
                      <w:color w:val="000000" w:themeColor="text1"/>
                      <w:spacing w:val="0"/>
                      <w:kern w:val="21"/>
                      <w:position w:val="0"/>
                      <w:sz w:val="21"/>
                      <w:szCs w:val="21"/>
                      <w14:textFill>
                        <w14:solidFill>
                          <w14:schemeClr w14:val="tx1"/>
                        </w14:solidFill>
                      </w14:textFill>
                    </w:rPr>
                    <w:t>”的总体要求，坚持生态优先、绿色发展，严格执行《中华人民共和国长江保护法》、《四川省嘉陵江流域生态环境保护条例》等相关要求，坚持统筹协调、科学规划，严格落实“三线一单”生态环境分区管控要求，以生态环境高水平保护助推区域经济高质量发展。</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本项目与长江流域、嘉陵江流域相关生态环境保护规划及政策文件要求相符。</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（二）强化本规划与国土空间规划等相关规划的衔接，进一步优化园区功能布局、发展规模，统筹协调城市发展规划与园区发展规划。园区开发范围应符合国土空间相关规划，严格控制在城镇开发边界内。</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本项目用地属于园区工业用地，与用地规划相符。</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（三）强化“三线一单”约束，严格环境准入，按照《报告书》提出的规划优化调整建议、负面清单和准入要求，做好规划区的项目引入和规划建设工作。</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本项目与广元市及昭化区“三线一单”要求相符。</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（四）加强环境基础设施建设。按照环保与市政基础设施先行建设的原则，加快园区污水处理厂和给排水管网的建设。</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根据启动区供排水现状说明文件，新胜组团现状污水管网已基本建成，目前规划区内企业污水经管网进入泉坝污水处理厂处理达标后排入南河，本项目</w:t>
                  </w:r>
                  <w:r>
                    <w:rPr>
                      <w:rFonts w:hint="eastAsia" w:eastAsia="宋体"/>
                      <w:color w:val="000000" w:themeColor="text1"/>
                      <w:spacing w:val="0"/>
                      <w:kern w:val="21"/>
                      <w:position w:val="0"/>
                      <w:sz w:val="21"/>
                      <w:szCs w:val="21"/>
                      <w14:textFill>
                        <w14:solidFill>
                          <w14:schemeClr w14:val="tx1"/>
                        </w14:solidFill>
                      </w14:textFill>
                    </w:rPr>
                    <w:t>生活污水、生产废水</w:t>
                  </w:r>
                  <w:r>
                    <w:rPr>
                      <w:rFonts w:eastAsia="宋体"/>
                      <w:color w:val="000000" w:themeColor="text1"/>
                      <w:spacing w:val="0"/>
                      <w:kern w:val="21"/>
                      <w:position w:val="0"/>
                      <w:sz w:val="21"/>
                      <w:szCs w:val="21"/>
                      <w14:textFill>
                        <w14:solidFill>
                          <w14:schemeClr w14:val="tx1"/>
                        </w14:solidFill>
                      </w14:textFill>
                    </w:rPr>
                    <w:t>近期排水去向按照上述规划进行。</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五）强化园区环境风险管控。健全园区环境风险多级防控体系，建立环境应急管理制度，落实园区内企业事故废水收集处置措施，设置截断设施、事故应急池等环境风险防范措施，杜绝事故废水入河，确保环境安全。制定园区环境风险应急预案，定期开展环境风险应急演练，提升环境应急能力。</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根据修编后规划环评内容，园区尚未制定环境风险应急预案，本次评价已针对本项目运营特点和产排污特征提出了相应应急防控措施，可将环境风险降至可接受水平。</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六）地方政府应加强对园区日常监管。健全园区环境管理制度，强化生态环境保护，加大监督力度。认真落实《报告书》提出的环境监测管理计划，做好长期跟踪监测与管理，特别关注地表水水质、大气环境质量变化趋势。</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本项目不涉及。</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（七）拟入园建设项目开展环评工作时，应以园区规划环评为依据，重点分析项目环评与规划环评及审查意见的符合性；园区招商引资、入园建设项目环评审批等应将规划环评结论及审查意见作为重要依据。</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本项目环境影响评价工作</w:t>
                  </w:r>
                  <w:r>
                    <w:rPr>
                      <w:color w:val="000000" w:themeColor="text1"/>
                      <w:spacing w:val="0"/>
                      <w:kern w:val="21"/>
                      <w:position w:val="0"/>
                      <w:sz w:val="21"/>
                      <w:szCs w:val="21"/>
                      <w14:textFill>
                        <w14:solidFill>
                          <w14:schemeClr w14:val="tx1"/>
                        </w14:solidFill>
                      </w14:textFill>
                    </w:rPr>
                    <w:t>正在进行</w:t>
                  </w:r>
                  <w:r>
                    <w:rPr>
                      <w:rFonts w:eastAsia="宋体"/>
                      <w:color w:val="000000" w:themeColor="text1"/>
                      <w:spacing w:val="0"/>
                      <w:kern w:val="21"/>
                      <w:position w:val="0"/>
                      <w:sz w:val="21"/>
                      <w:szCs w:val="21"/>
                      <w14:textFill>
                        <w14:solidFill>
                          <w14:schemeClr w14:val="tx1"/>
                        </w14:solidFill>
                      </w14:textFill>
                    </w:rPr>
                    <w:t>，已结合本项目产污特点及拟采取的污染防治措施分析了项目与修编前后规划环评和相应审查意见的符合性。</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pct"/>
                  <w:vMerge w:val="continue"/>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center"/>
                    <w:textAlignment w:val="auto"/>
                    <w:rPr>
                      <w:rFonts w:eastAsia="宋体"/>
                      <w:color w:val="000000" w:themeColor="text1"/>
                      <w:spacing w:val="0"/>
                      <w:kern w:val="21"/>
                      <w:position w:val="0"/>
                      <w:sz w:val="21"/>
                      <w:szCs w:val="21"/>
                      <w14:textFill>
                        <w14:solidFill>
                          <w14:schemeClr w14:val="tx1"/>
                        </w14:solidFill>
                      </w14:textFill>
                    </w:rPr>
                  </w:pP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（八）在规划实施过程中，依法依规适时开展环境影响跟踪评价工作，根据跟踪评价结论优化规划方案。规划发生重大调整或修订时应重新编制环境影响报告书。</w:t>
                  </w:r>
                </w:p>
              </w:tc>
              <w:tc>
                <w:tcPr>
                  <w:tcW w:w="2019" w:type="pct"/>
                  <w:tcBorders>
                    <w:tl2br w:val="nil"/>
                    <w:tr2bl w:val="nil"/>
                  </w:tcBorders>
                  <w:shd w:val="clear" w:color="auto" w:fill="auto"/>
                  <w:vAlign w:val="center"/>
                </w:tcPr>
                <w:p>
                  <w:pPr>
                    <w:pStyle w:val="18"/>
                    <w:pageBreakBefore w:val="0"/>
                    <w:widowControl w:val="0"/>
                    <w:kinsoku/>
                    <w:overflowPunct/>
                    <w:autoSpaceDE/>
                    <w:autoSpaceDN/>
                    <w:bidi w:val="0"/>
                    <w:spacing w:before="62" w:beforeLines="20" w:after="62" w:afterLines="20" w:line="240" w:lineRule="auto"/>
                    <w:ind w:right="0" w:firstLine="0"/>
                    <w:jc w:val="both"/>
                    <w:textAlignment w:val="auto"/>
                    <w:rPr>
                      <w:rFonts w:eastAsia="宋体"/>
                      <w:color w:val="000000" w:themeColor="text1"/>
                      <w:spacing w:val="0"/>
                      <w:kern w:val="21"/>
                      <w:position w:val="0"/>
                      <w:sz w:val="21"/>
                      <w:szCs w:val="21"/>
                      <w14:textFill>
                        <w14:solidFill>
                          <w14:schemeClr w14:val="tx1"/>
                        </w14:solidFill>
                      </w14:textFill>
                    </w:rPr>
                  </w:pPr>
                  <w:r>
                    <w:rPr>
                      <w:rFonts w:eastAsia="宋体"/>
                      <w:color w:val="000000" w:themeColor="text1"/>
                      <w:spacing w:val="0"/>
                      <w:kern w:val="21"/>
                      <w:position w:val="0"/>
                      <w:sz w:val="21"/>
                      <w:szCs w:val="21"/>
                      <w14:textFill>
                        <w14:solidFill>
                          <w14:schemeClr w14:val="tx1"/>
                        </w14:solidFill>
                      </w14:textFill>
                    </w:rPr>
                    <w:t>本项目不涉及。</w:t>
                  </w:r>
                </w:p>
              </w:tc>
              <w:tc>
                <w:tcPr>
                  <w:tcW w:w="519" w:type="pct"/>
                  <w:tcBorders>
                    <w:tl2br w:val="nil"/>
                    <w:tr2bl w:val="nil"/>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32"/>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综上所述，本项目建设符合规划环评及审查意见要求。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其他符合性分析</w:t>
            </w:r>
          </w:p>
        </w:tc>
        <w:tc>
          <w:tcPr>
            <w:tcW w:w="4750" w:type="pct"/>
            <w:gridSpan w:val="4"/>
            <w:vAlign w:val="center"/>
          </w:tcPr>
          <w:p>
            <w:pPr>
              <w:pageBreakBefore w:val="0"/>
              <w:numPr>
                <w:ilvl w:val="0"/>
                <w:numId w:val="6"/>
              </w:numPr>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本项目与“生态环境分区管控”管控文件的符合性</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四川省人民政府关于落实生态保护红线、环境质量底线、资源利用上线制定生态环境准入清单实施生态环境分区管控的通知》（川府发〔2020〕9号）关于“生态环境分区管控及其要求”的规定，将全省行政区域从生态环境保护角度划分为优先保护区、重点管控和一般管控三类环境管控单元。生态保护红线、环境质量底线、资源利用上线、生态环境准入清单，简称“三线一单”。</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1、与《四川省人民政府关于落实生态保护红线、环境质量底线、资源利用上线制定生态环境准入清单实施生态环境分区管控的通知》（川府发〔2020〕9号）符合性分析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2020年6月28日，四川省人民政府办公厅印发《四川省人民政府关于落实生态保护红线、环境质量底线、资源利用上线制定生态环境准入清单实施生态环境分区管控的通知》（川府发〔2020〕9号），就落实生态保护红线、环境质量底线、资源利用上线，制定生态环境准入清单（简称“三线一单”），建立生态环境分区管控体系并监督实施提出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根据本项目“生态环境分区管控”符合性分析结果，本项目涉及5个环境管控单元，如下图所示。</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drawing>
                <wp:inline distT="0" distB="0" distL="114300" distR="114300">
                  <wp:extent cx="5314315" cy="42830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314315" cy="4283075"/>
                          </a:xfrm>
                          <a:prstGeom prst="rect">
                            <a:avLst/>
                          </a:prstGeom>
                          <a:noFill/>
                          <a:ln>
                            <a:noFill/>
                          </a:ln>
                        </pic:spPr>
                      </pic:pic>
                    </a:graphicData>
                  </a:graphic>
                </wp:inline>
              </w:drawing>
            </w:r>
          </w:p>
          <w:p>
            <w:pPr>
              <w:pageBreakBefore w:val="0"/>
              <w:numPr>
                <w:ilvl w:val="0"/>
                <w:numId w:val="7"/>
              </w:numPr>
              <w:kinsoku/>
              <w:overflowPunct/>
              <w:autoSpaceDE/>
              <w:autoSpaceDN/>
              <w:bidi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本项目管控单元涉及情况图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zh-TW"/>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本项目所在地在四川省“生态环境分区管控”数据分析系统中的位置如下图所示。</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zh-TW"/>
                <w14:textFill>
                  <w14:solidFill>
                    <w14:schemeClr w14:val="tx1"/>
                  </w14:solidFill>
                </w14:textFill>
              </w:rPr>
            </w:pPr>
            <w:r>
              <w:rPr>
                <w:color w:val="000000" w:themeColor="text1"/>
                <w:spacing w:val="0"/>
                <w:kern w:val="21"/>
                <w:position w:val="0"/>
                <w:sz w:val="2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3140710</wp:posOffset>
                      </wp:positionH>
                      <wp:positionV relativeFrom="paragraph">
                        <wp:posOffset>2755265</wp:posOffset>
                      </wp:positionV>
                      <wp:extent cx="1266190" cy="439420"/>
                      <wp:effectExtent l="0" t="0" r="0" b="0"/>
                      <wp:wrapNone/>
                      <wp:docPr id="30" name="组合 30"/>
                      <wp:cNvGraphicFramePr/>
                      <a:graphic xmlns:a="http://schemas.openxmlformats.org/drawingml/2006/main">
                        <a:graphicData uri="http://schemas.microsoft.com/office/word/2010/wordprocessingGroup">
                          <wpg:wgp>
                            <wpg:cNvGrpSpPr/>
                            <wpg:grpSpPr>
                              <a:xfrm>
                                <a:off x="0" y="0"/>
                                <a:ext cx="1266190" cy="439420"/>
                                <a:chOff x="7212" y="160791"/>
                                <a:chExt cx="1994" cy="692"/>
                              </a:xfrm>
                            </wpg:grpSpPr>
                            <wps:wsp>
                              <wps:cNvPr id="10" name="文本框 10"/>
                              <wps:cNvSpPr txBox="1"/>
                              <wps:spPr>
                                <a:xfrm>
                                  <a:off x="7212" y="160791"/>
                                  <a:ext cx="1995" cy="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cs="仿宋"/>
                                        <w:b/>
                                        <w:bCs/>
                                        <w:color w:val="FF0000"/>
                                        <w:sz w:val="24"/>
                                      </w:rPr>
                                    </w:pPr>
                                    <w:r>
                                      <w:rPr>
                                        <w:rFonts w:hint="eastAsia" w:ascii="仿宋" w:hAnsi="仿宋" w:eastAsia="仿宋" w:cs="仿宋"/>
                                        <w:b/>
                                        <w:bCs/>
                                        <w:color w:val="FF0000"/>
                                        <w:sz w:val="24"/>
                                      </w:rPr>
                                      <w:t>本项目所在地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 name="组合 5"/>
                              <wpg:cNvGrpSpPr/>
                              <wpg:grpSpPr>
                                <a:xfrm>
                                  <a:off x="7392" y="160934"/>
                                  <a:ext cx="1518" cy="316"/>
                                  <a:chOff x="6969" y="72697"/>
                                  <a:chExt cx="1518" cy="316"/>
                                </a:xfrm>
                              </wpg:grpSpPr>
                              <wps:wsp>
                                <wps:cNvPr id="8" name="直接连接符 8"/>
                                <wps:cNvCnPr/>
                                <wps:spPr>
                                  <a:xfrm>
                                    <a:off x="6969" y="72697"/>
                                    <a:ext cx="186" cy="314"/>
                                  </a:xfrm>
                                  <a:prstGeom prst="line">
                                    <a:avLst/>
                                  </a:prstGeom>
                                  <a:noFill/>
                                  <a:ln w="12700" cap="flat" cmpd="sng" algn="ctr">
                                    <a:solidFill>
                                      <a:srgbClr val="FF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7149" y="73009"/>
                                    <a:ext cx="1338" cy="4"/>
                                  </a:xfrm>
                                  <a:prstGeom prst="line">
                                    <a:avLst/>
                                  </a:prstGeom>
                                  <a:noFill/>
                                  <a:ln w="12700" cap="flat" cmpd="sng" algn="ctr">
                                    <a:solidFill>
                                      <a:srgbClr val="FF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47.3pt;margin-top:216.95pt;height:34.6pt;width:99.7pt;z-index:251661312;mso-width-relative:page;mso-height-relative:page;" coordorigin="7212,160791" coordsize="1994,692" o:gfxdata="UEsFBgAAAAAAAAAAAAAAAAAAAAAAAFBLAwQKAAAAAACHTuJAAAAAAAAAAAAAAAAABAAAAGRycy9Q&#10;SwMEFAAAAAgAh07iQPwGZB/bAAAACwEAAA8AAABkcnMvZG93bnJldi54bWxNj8FOwzAMhu9IvENk&#10;JG4sCe0qWppOaAJOExIbEuKWNV5brUmqJmu3t8ec2M2WP/3+/nJ1tj2bcAyddwrkQgBDV3vTuUbB&#10;1+7t4QlYiNoZ3XuHCi4YYFXd3pS6MH52nzhtY8MoxIVCK2hjHArOQ92i1WHhB3R0O/jR6kjr2HAz&#10;6pnCbc8fhci41Z2jD60ecN1ifdyerIL3Wc8viXydNsfD+vKzW358byQqdX8nxTOwiOf4D8OfPqlD&#10;RU57f3ImsF5BmqcZoTQkSQ6MiCxPqd1ewVIkEnhV8usO1S9QSwMEFAAAAAgAh07iQPH/8ia2AwAA&#10;rgoAAA4AAABkcnMvZTJvRG9jLnhtbO1WTW8kNRC9I/EfLN9Jf830pFvprELCREgRGymsOHvc7g+p&#10;2za2JzPhjIAT4rSXRUgc4LTHvXHYX7NZfgZlu7szyY5EFgRcmEOP21Uu+72qV+6jJ9u+Q9dM6Vbw&#10;AkcHIUaMU1G2vC7ws8+XHx1ipA3hJekEZwW+YRo/Of7wg6ONzFksGtGVTCEIwnW+kQVujJF5EGja&#10;sJ7oAyEZB2MlVE8MvKo6KBXZQPS+C+IwTIONUKVUgjKtYfbMG/EQUT0moKiqlrIzQdc948ZHVawj&#10;BiDpppUaH7vTVhWj5mlVaWZQV2BAatwTNoHxyj6D4yOS14rIpqXDEchjjvAAU09aDptOoc6IIWit&#10;2ndC9S1VQovKHFDRBx6IYwRQROEDbs6VWEuHpc43tZxIh0Q9YP0vh6WfXV8q1JYFToASTnrI+Nvf&#10;vn7zw3cIJoCdjaxzcDpX8kpeqmGi9m8W8LZSvf0HKGjreL2ZeGVbgyhMRnGaRhnEp2CbJdksHoin&#10;DWTHLlvEUYwRWKM0XGSRTwttPhkDZNnMr06z2BqDcePAnm86zkZCTeo7ovTfI+qqIZI5/rXlYCAq&#10;moi6ff7t7Y8vb3/+BsGco8b5WaKQ2X4sLPRxXsPkHr72Ap94y7L5CDu5B5vkUmlzzkSP7KDACird&#10;FSC5vtDGMzS62G25WLZdB/Mk7zjaFDhN5qFbMFmA045bB+Z0M4SxlPqz25HZrrYD0JUobwCnEl5T&#10;WtJlC0e5INpcEgUiApqgzZin8Kg6AVuKYYRRI9RX++atP6QMrBhtQJQF1l+uiWIYdZ9ySGYWzWYQ&#10;1riX2XwBdYTUrmW1a+Hr/lSA7iNoaJK6ofU33TislOi/gG50YncFE+EU9i6wGYenxrcK6GaUnZw4&#10;J9CtJOaCX0lqQ3tyT9ZGVK3j3dLkuYEyHQrSy8iV6T8rYiiXexqe+/J7LwkvEtDYoMUsmdkIUBOj&#10;EucR3A9Wx0mUetMk4jRLM7dwEafZYjROGn648r/UMGAYeHrx6vb7X35//RM83778FR16wpyOT/nQ&#10;8EYFjE1n6nb7EE9MHaYjUY7DCe472u1abrsMyR+r3ShehFCu1AqkgmsPhr0sQSy8hsrtarjXqVEu&#10;pBZdW1rp2/ha1avTTqFrAqpYLkP4Wbhwsntutm+cEd14P2fyyexbA1d/1/YFPrSLx9V/2ja8HuxW&#10;O4L4F1o1lOP+NGfvleZFNBsKOwlDt3RHEEkyCOL/LLsb4V6W765nl3v3GeMKbvjkst9Ju+/O6+4z&#10;8/g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UAAAACACHTuJAihRmPNEAAACUAQAACwAAAAAA&#10;AAABACAAAABGBQAAX3JlbHMvLnJlbHNQSwECFAAKAAAAAACHTuJAAAAAAAAAAAAAAAAABgAAAAAA&#10;AAAAABAAAAAiBQAAX3JlbHMvUEsBAhQACgAAAAAAh07iQAAAAAAAAAAAAAAAAAQAAAAAAAAAAAAQ&#10;AAAAFgAAAGRycy9QSwECFAAUAAAACACHTuJA8f/yJrYDAACuCgAADgAAAAAAAAABACAAAABAAQAA&#10;ZHJzL2Uyb0RvYy54bWxQSwECFAAUAAAACACHTuJA/AZkH9sAAAALAQAADwAAAAAAAAABACAAAAA4&#10;AAAAZHJzL2Rvd25yZXYueG1sUEsFBgAAAAAGAAYAWQEAAGgHAAAAAA==&#10;">
                      <o:lock v:ext="edit" aspectratio="f"/>
                      <v:shape id="_x0000_s1026" o:spid="_x0000_s1026" o:spt="202" type="#_x0000_t202" style="position:absolute;left:7212;top:160791;height:693;width:1995;" filled="f" stroked="f" coordsize="21600,21600" o:gfxdata="UEsFBgAAAAAAAAAAAAAAAAAAAAAAAFBLAwQKAAAAAACHTuJAAAAAAAAAAAAAAAAABAAAAGRycy9Q&#10;SwMEFAAAAAgAh07iQMskSYC/AAAA2wAAAA8AAABkcnMvZG93bnJldi54bWxFj0uLwkAQhO+C/2Fo&#10;YW86UViR6CgSkF1k9+Dj4q3NtEkw0xMz42P319sHwVs3VV319WzxcLW6URsqzwaGgwQUce5txYWB&#10;/W7Vn4AKEdli7ZkM/FGAxbzbmWFq/Z03dNvGQkkIhxQNlDE2qdYhL8lhGPiGWLSTbx1GWdtC2xbv&#10;Eu5qPUqSsXZYsTSU2FBWUn7eXp2Bdbb6xc1x5Cb/dfb1c1o2l/3h05iP3jCZgor0iG/z6/rbCr7Q&#10;yy8ygJ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BQAAAAIAIdO4kDVXCYozAAAAI8BAAALAAAAAAAAAAEAIAAAALEB&#10;AABfcmVscy8ucmVsc1BLAQIUAAoAAAAAAIdO4kAAAAAAAAAAAAAAAAAGAAAAAAAAAAAAEAAAAI0B&#10;AABfcmVscy9QSwECFAAUAAAACACHTuJAMy8FnjsAAAA5AAAAEAAAAAAAAAABACAAAAAkAQAAZHJz&#10;L3NoYXBleG1sLnhtbFBLAQIUAAoAAAAAAIdO4kAAAAAAAAAAAAAAAAAEAAAAAAAAAAAAEAAAABYA&#10;AABkcnMvUEsBAhQAFAAAAAgAh07iQMskSYC/AAAA2wAAAA8AAAAAAAAAAQAgAAAAOAAAAGRycy9k&#10;b3ducmV2LnhtbFBLBQYAAAAABgAGAFsBAADOAwAAAAA=&#10;">
                        <v:fill on="f" focussize="0,0"/>
                        <v:stroke on="f" weight="0.5pt"/>
                        <v:imagedata o:title=""/>
                        <o:lock v:ext="edit" aspectratio="f"/>
                        <v:textbox>
                          <w:txbxContent>
                            <w:p>
                              <w:pPr>
                                <w:jc w:val="center"/>
                                <w:rPr>
                                  <w:rFonts w:ascii="仿宋" w:hAnsi="仿宋" w:eastAsia="仿宋" w:cs="仿宋"/>
                                  <w:b/>
                                  <w:bCs/>
                                  <w:color w:val="FF0000"/>
                                  <w:sz w:val="24"/>
                                </w:rPr>
                              </w:pPr>
                              <w:r>
                                <w:rPr>
                                  <w:rFonts w:hint="eastAsia" w:ascii="仿宋" w:hAnsi="仿宋" w:eastAsia="仿宋" w:cs="仿宋"/>
                                  <w:b/>
                                  <w:bCs/>
                                  <w:color w:val="FF0000"/>
                                  <w:sz w:val="24"/>
                                </w:rPr>
                                <w:t>本项目所在地</w:t>
                              </w:r>
                            </w:p>
                          </w:txbxContent>
                        </v:textbox>
                      </v:shape>
                      <v:group id="_x0000_s1026" o:spid="_x0000_s1026" o:spt="203" style="position:absolute;left:7392;top:160934;height:316;width:1518;" coordorigin="6969,72697" coordsize="1518,316" o:gfxdata="UEsFBgAAAAAAAAAAAAAAAAAAAAAAAFBLAwQKAAAAAACHTuJAAAAAAAAAAAAAAAAABAAAAGRycy9Q&#10;SwMEFAAAAAgAh07iQHTySXu7AAAA2gAAAA8AAABkcnMvZG93bnJldi54bWxFj0GLwjAUhO8L/ofw&#10;BG9rWsVFqlFEVDyIsCqIt0fzbIvNS2liq//eCILHYWa+YabzhylFQ7UrLCuI+xEI4tTqgjMFp+P6&#10;dwzCeWSNpWVS8CQH81nnZ4qJti3/U3PwmQgQdgkqyL2vEildmpNB17cVcfCutjbog6wzqWtsA9yU&#10;chBFf9JgwWEhx4qWOaW3w90o2LTYLobxqtndrsvn5Tjan3cxKdXrxtEEhKeH/4Y/7a1WMIL3lXAD&#10;5OwF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CS23BNMAAACZAQAACwAAAAAAAAAB&#10;ACAAAACyAQAAX3JlbHMvLnJlbHNQSwECFAAUAAAACACHTuJAVH3oJ/4AAADsAQAAEwAAAAAAAAAB&#10;ACAAAACuAgAAW0NvbnRlbnRfVHlwZXNdLnhtbFBLAQIUABQAAAAIAIdO4kAzLwWeOwAAADkAAAAV&#10;AAAAAAAAAAEAIAAAACABAABkcnMvZ3JvdXBzaGFwZXhtbC54bWxQSwECFAAKAAAAAACHTuJAAAAA&#10;AAAAAAAAAAAABgAAAAAAAAAAABAAAACOAQAAX3JlbHMvUEsBAhQACgAAAAAAh07iQAAAAAAAAAAA&#10;AAAAAAQAAAAAAAAAAAAQAAAAFgAAAGRycy9QSwECFAAUAAAACACHTuJAdPJJe7sAAADaAAAADwAA&#10;AAAAAAABACAAAAA4AAAAZHJzL2Rvd25yZXYueG1sUEsFBgAAAAAGAAYAYAEAAN0DAAAAAA==&#10;">
                        <o:lock v:ext="edit" aspectratio="f"/>
                        <v:line id="_x0000_s1026" o:spid="_x0000_s1026" o:spt="20" style="position:absolute;left:6969;top:72697;height:314;width:186;" filled="f" stroked="t" coordsize="21600,21600" o:gfxdata="UEsFBgAAAAAAAAAAAAAAAAAAAAAAAFBLAwQKAAAAAACHTuJAAAAAAAAAAAAAAAAABAAAAGRycy9Q&#10;SwMEFAAAAAgAh07iQJkVJ3+6AAAA2gAAAA8AAABkcnMvZG93bnJldi54bWxFT89rwjAUvgv7H8Ib&#10;eNPEgeI6o4yBogcPagc7viXPtlvzUppY639vDoLHj+/3YtW7WnTUhsqzhslYgSA23lZcaMhP69Ec&#10;RIjIFmvPpOFGAVbLl8ECM+uvfKDuGAuRQjhkqKGMscmkDKYkh2HsG+LEnX3rMCbYFtK2eE3hrpZv&#10;Ss2kw4pTQ4kNfZVk/o8Xp+F77X7y7X4mp39mpz437+f+13RaD18n6gNEpD4+xQ/31mpIW9OVdAPk&#10;8g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KAAAAAACHTuJAAAAAAAAAAAAAAAAABgAAAAAAAAAAABAAAACIAQAAX3Jl&#10;bHMvUEsBAhQAFAAAAAgAh07iQDMvBZ47AAAAOQAAABAAAAAAAAAAAQAgAAAAHwEAAGRycy9zaGFw&#10;ZXhtbC54bWxQSwECFAAKAAAAAACHTuJAAAAAAAAAAAAAAAAABAAAAAAAAAAAABAAAAAWAAAAZHJz&#10;L1BLAQIUABQAAAAIAIdO4kCZFSd/ugAAANoAAAAPAAAAAAAAAAEAIAAAADgAAABkcnMvZG93bnJl&#10;di54bWxQSwUGAAAAAAYABgBbAQAAyQMAAAAA&#10;">
                          <v:fill on="f" focussize="0,0"/>
                          <v:stroke weight="1pt" color="#FF0000 [3204]" miterlimit="8" joinstyle="miter"/>
                          <v:imagedata o:title=""/>
                          <o:lock v:ext="edit" aspectratio="f"/>
                        </v:line>
                        <v:line id="_x0000_s1026" o:spid="_x0000_s1026" o:spt="20" style="position:absolute;left:7149;top:73009;height:4;width:1338;" filled="f" stroked="t" coordsize="21600,21600" o:gfxdata="UEsFBgAAAAAAAAAAAAAAAAAAAAAAAFBLAwQKAAAAAACHTuJAAAAAAAAAAAAAAAAABAAAAGRycy9Q&#10;SwMEFAAAAAgAh07iQPZZguS9AAAA2gAAAA8AAABkcnMvZG93bnJldi54bWxFj0FrAjEUhO8F/0N4&#10;Qm81UajoapQiKPbgQWuhx9fkubt287Js4rr990YQPA4z8w0zX3auEi01ofSsYThQIIiNtyXnGo5f&#10;67cJiBCRLVaeScM/BVguei9zzKy/8p7aQ8xFgnDIUEMRY51JGUxBDsPA18TJO/nGYUyyyaVt8Jrg&#10;rpIjpcbSYclpocCaVgWZv8PFafheu5/jdjeW72fzqT4201P3a1qtX/tDNQMRqYvP8KO9tRqmcL+S&#10;boBc3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UAAAACACHTuJA1VwmKMwAAACPAQAACwAAAAAAAAABACAAAACvAQAA&#10;X3JlbHMvLnJlbHNQSwECFAAKAAAAAACHTuJAAAAAAAAAAAAAAAAABgAAAAAAAAAAABAAAACLAQAA&#10;X3JlbHMvUEsBAhQAFAAAAAgAh07iQDMvBZ47AAAAOQAAABAAAAAAAAAAAQAgAAAAIgEAAGRycy9z&#10;aGFwZXhtbC54bWxQSwECFAAKAAAAAACHTuJAAAAAAAAAAAAAAAAABAAAAAAAAAAAABAAAAAWAAAA&#10;ZHJzL1BLAQIUABQAAAAIAIdO4kD2WYLkvQAAANoAAAAPAAAAAAAAAAEAIAAAADgAAABkcnMvZG93&#10;bnJldi54bWxQSwUGAAAAAAYABgBbAQAAzAMAAAAA&#10;">
                          <v:fill on="f" focussize="0,0"/>
                          <v:stroke weight="1pt" color="#FF0000 [3204]" miterlimit="8" joinstyle="miter"/>
                          <v:imagedata o:title=""/>
                          <o:lock v:ext="edit" aspectratio="f"/>
                        </v:line>
                      </v:group>
                    </v:group>
                  </w:pict>
                </mc:Fallback>
              </mc:AlternateContent>
            </w:r>
            <w:r>
              <w:rPr>
                <w:rFonts w:ascii="Times New Roman" w:hAnsi="Times New Roman" w:eastAsia="Helvetica" w:cs="Times New Roman"/>
                <w:color w:val="000000" w:themeColor="text1"/>
                <w:spacing w:val="0"/>
                <w:kern w:val="21"/>
                <w:position w:val="0"/>
                <w:szCs w:val="21"/>
                <w14:textFill>
                  <w14:solidFill>
                    <w14:schemeClr w14:val="tx1"/>
                  </w14:solidFill>
                </w14:textFill>
              </w:rPr>
              <w:drawing>
                <wp:inline distT="0" distB="0" distL="114300" distR="114300">
                  <wp:extent cx="5313680" cy="3756660"/>
                  <wp:effectExtent l="0" t="0" r="127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313680" cy="3756660"/>
                          </a:xfrm>
                          <a:prstGeom prst="rect">
                            <a:avLst/>
                          </a:prstGeom>
                          <a:noFill/>
                          <a:ln>
                            <a:noFill/>
                          </a:ln>
                        </pic:spPr>
                      </pic:pic>
                    </a:graphicData>
                  </a:graphic>
                </wp:inline>
              </w:drawing>
            </w:r>
          </w:p>
          <w:p>
            <w:pPr>
              <w:pageBreakBefore w:val="0"/>
              <w:numPr>
                <w:ilvl w:val="0"/>
                <w:numId w:val="7"/>
              </w:numPr>
              <w:kinsoku/>
              <w:overflowPunct/>
              <w:autoSpaceDE/>
              <w:autoSpaceDN/>
              <w:bidi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本项目在四川省“生态环境分区管控”数据分析系统中的位置（http://103.203.219.138:8083/gis2/n_index.html）</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zh-TW"/>
                <w14:textFill>
                  <w14:solidFill>
                    <w14:schemeClr w14:val="tx1"/>
                  </w14:solidFill>
                </w14:textFill>
              </w:rPr>
              <w:t>根据《四川省生态环境厅办公室关于印发〈产业园区规划环评“三线一单”符合性分析技术要点（试行）〉和〈项目环评“三线一单”〉符合性分析技术要点（试行）的通知》（川环办函〔2021〕469号）要求，现根据《项目环评“三线一单”符合性分析技术要点（试行）》</w:t>
            </w:r>
            <w:r>
              <w:rPr>
                <w:rFonts w:ascii="Times New Roman" w:hAnsi="Times New Roman" w:eastAsia="宋体" w:cs="Times New Roman"/>
                <w:bCs/>
                <w:color w:val="000000" w:themeColor="text1"/>
                <w:spacing w:val="0"/>
                <w:kern w:val="21"/>
                <w:position w:val="0"/>
                <w:sz w:val="24"/>
                <w:szCs w:val="21"/>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zh-TW"/>
                <w14:textFill>
                  <w14:solidFill>
                    <w14:schemeClr w14:val="tx1"/>
                  </w14:solidFill>
                </w14:textFill>
              </w:rPr>
              <w:t>将本项目与生态环境准入清单管控</w:t>
            </w:r>
            <w:r>
              <w:rPr>
                <w:rFonts w:ascii="Times New Roman" w:hAnsi="Times New Roman" w:eastAsia="宋体" w:cs="Times New Roman"/>
                <w:color w:val="000000" w:themeColor="text1"/>
                <w:spacing w:val="0"/>
                <w:kern w:val="21"/>
                <w:position w:val="0"/>
                <w:sz w:val="24"/>
                <w14:textFill>
                  <w14:solidFill>
                    <w14:schemeClr w14:val="tx1"/>
                  </w14:solidFill>
                </w14:textFill>
              </w:rPr>
              <w:t>单元</w:t>
            </w:r>
            <w:r>
              <w:rPr>
                <w:rFonts w:ascii="Times New Roman" w:hAnsi="Times New Roman" w:eastAsia="宋体" w:cs="Times New Roman"/>
                <w:color w:val="000000" w:themeColor="text1"/>
                <w:spacing w:val="0"/>
                <w:kern w:val="21"/>
                <w:position w:val="0"/>
                <w:sz w:val="24"/>
                <w:lang w:bidi="zh-TW"/>
                <w14:textFill>
                  <w14:solidFill>
                    <w14:schemeClr w14:val="tx1"/>
                  </w14:solidFill>
                </w14:textFill>
              </w:rPr>
              <w:t>“生态环境分区管控”相关要求的符合性分析如下。</w:t>
            </w:r>
          </w:p>
          <w:p>
            <w:pPr>
              <w:pageBreakBefore w:val="0"/>
              <w:kinsoku/>
              <w:overflowPunct/>
              <w:autoSpaceDE/>
              <w:autoSpaceDN/>
              <w:bidi w:val="0"/>
              <w:spacing w:line="360" w:lineRule="auto"/>
              <w:ind w:firstLine="420"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footerReference r:id="rId5" w:type="default"/>
          <w:pgSz w:w="11906" w:h="16838"/>
          <w:pgMar w:top="1134" w:right="1531" w:bottom="1134" w:left="1531" w:header="851" w:footer="907" w:gutter="0"/>
          <w:pgNumType w:start="1"/>
          <w:cols w:space="425" w:num="1"/>
          <w:docGrid w:type="lines" w:linePitch="312" w:charSpace="0"/>
        </w:sectPr>
      </w:pPr>
    </w:p>
    <w:p>
      <w:pPr>
        <w:pageBreakBefore w:val="0"/>
        <w:numPr>
          <w:ilvl w:val="0"/>
          <w:numId w:val="5"/>
        </w:numPr>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本项目与“生态环境分区管控”相关要求的</w:t>
      </w:r>
      <w:r>
        <w:rPr>
          <w:rFonts w:ascii="Times New Roman" w:hAnsi="Times New Roman" w:eastAsia="宋体" w:cs="Times New Roman"/>
          <w:b/>
          <w:bCs/>
          <w:color w:val="000000" w:themeColor="text1"/>
          <w:spacing w:val="0"/>
          <w:kern w:val="21"/>
          <w:position w:val="0"/>
          <w:szCs w:val="21"/>
          <w:lang w:bidi="zh-TW"/>
          <w14:textFill>
            <w14:solidFill>
              <w14:schemeClr w14:val="tx1"/>
            </w14:solidFill>
          </w14:textFill>
        </w:rPr>
        <w:t>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400"/>
        <w:gridCol w:w="1104"/>
        <w:gridCol w:w="5117"/>
        <w:gridCol w:w="5116"/>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2975" w:type="pct"/>
            <w:gridSpan w:val="4"/>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“生态环境分区管控”的具体要求</w:t>
            </w:r>
          </w:p>
        </w:tc>
        <w:tc>
          <w:tcPr>
            <w:tcW w:w="1730"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项目对应情况介绍</w:t>
            </w:r>
          </w:p>
        </w:tc>
        <w:tc>
          <w:tcPr>
            <w:tcW w:w="294"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45" w:type="pct"/>
            <w:gridSpan w:val="3"/>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类别</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对应管控要求</w:t>
            </w:r>
          </w:p>
        </w:tc>
        <w:tc>
          <w:tcPr>
            <w:tcW w:w="1730"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广元市</w:t>
            </w:r>
          </w:p>
        </w:tc>
        <w:tc>
          <w:tcPr>
            <w:tcW w:w="135"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普适性清单管控要求</w:t>
            </w:r>
          </w:p>
        </w:tc>
        <w:tc>
          <w:tcPr>
            <w:tcW w:w="371"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空间布局约束</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禁止开发建设活动的要求：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禁止在长江干支流、重要湖泊岸线一公里范围内新建、扩建化工园区和化工项目。</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禁止新建、扩建不符合国家石化、现代煤化工等产业布局规划（包括但不限于《石化产业规划布局方案（修订版）》《现代煤化工产业创新发展布局方案》）的项目。</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禁止新建、扩建不符合国家产能置换要求的严重过剩产能行业的项目。（《中华人民共和国长江保护法》、《四川省长江经济带发展负面清单实施细则（试行）》）。</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未通过认定的化工园区，不得新建、改扩建化工项目（安全、环保、节能和智能化改造项目除外），按属地原则依法依规妥善做好未通过认定化工园区及园内企业的转型、关闭、处置及监管工作。</w:t>
            </w:r>
          </w:p>
        </w:tc>
        <w:tc>
          <w:tcPr>
            <w:tcW w:w="1730" w:type="pct"/>
            <w:vAlign w:val="center"/>
          </w:tcPr>
          <w:p>
            <w:pPr>
              <w:pageBreakBefore w:val="0"/>
              <w:numPr>
                <w:ilvl w:val="0"/>
                <w:numId w:val="8"/>
              </w:numPr>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本项目不属于新建、扩建的化工园区和化工项目；</w:t>
            </w:r>
          </w:p>
          <w:p>
            <w:pPr>
              <w:pageBreakBefore w:val="0"/>
              <w:numPr>
                <w:ilvl w:val="0"/>
                <w:numId w:val="8"/>
              </w:numPr>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本项目不属于新建、扩建的不符合国家石化、现代煤化工等产业布局规划的项目；</w:t>
            </w:r>
          </w:p>
          <w:p>
            <w:pPr>
              <w:pageBreakBefore w:val="0"/>
              <w:numPr>
                <w:ilvl w:val="0"/>
                <w:numId w:val="8"/>
              </w:numPr>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本项目不属于新建、扩建的不符合国家产能置换要求的严重过剩产能行业的项目。</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限制开发建设活动的要求：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严控在嘉陵江沿岸地区新建石油化工和煤化工项目。（《广元市打好嘉陵江保护修复攻坚战实施方案》）</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严格执行钢铁、水泥、平板玻璃等行业产能置换实施办法，严禁未经产能置换违规新增钢铁、焦化、电解铝、水泥和平板玻璃等产能。（《广元市打赢蓝天保卫战实施方案》）</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在嘉陵江岸线1公里范围内，严控新建石油化工、煤化工、涉磷、造纸、印染、制革等项目。（《长江经济带生态环境保护规划》《中共四川省委关于全面推动高质量发展的决定》《四川省人民政府办公厅关于优化区域产业布局的指导意见》）</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现有属于园区禁止引入产业门类的企业，原则上限制发展，污染物排放只降不增，允许以提升安全、生态环境保护水平为目的的改建，引导企业结合产业升级等适时搬迁。</w:t>
            </w:r>
          </w:p>
        </w:tc>
        <w:tc>
          <w:tcPr>
            <w:tcW w:w="1730"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1、本项目不属于石油化工和煤化工项目。</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2、本项目不属于钢铁、水泥、平板玻璃等行业，不涉及新增钢铁、焦化、电解铝、水泥和平板玻璃。</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3、本项目不属于新建石油化工、煤化工、涉磷、造纸、印染、制革等项目。</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4、本项目不属于园区禁止引入产业门类的项目。</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不符合空间布局要求活动的退出要求：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嘉陵江岸线1km范围现有存在违法违规行为的化工企业，整改后仍不能达到要求的依法关闭，鼓励企业搬入合规园区。（依据：《中共四川省委四川省人民政府关于全面加强生态环境保护坚决打好污染防治攻坚战的实施意见》）</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现有属于园区禁止引入产业门类的企业，适时退出。</w:t>
            </w:r>
          </w:p>
        </w:tc>
        <w:tc>
          <w:tcPr>
            <w:tcW w:w="1730" w:type="pct"/>
            <w:vAlign w:val="center"/>
          </w:tcPr>
          <w:p>
            <w:pPr>
              <w:pageBreakBefore w:val="0"/>
              <w:numPr>
                <w:ilvl w:val="0"/>
                <w:numId w:val="9"/>
              </w:numPr>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本项目不属于化工企业；</w:t>
            </w:r>
          </w:p>
          <w:p>
            <w:pPr>
              <w:pageBreakBefore w:val="0"/>
              <w:numPr>
                <w:ilvl w:val="0"/>
                <w:numId w:val="9"/>
              </w:numPr>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本项目不属于现有的园区禁止引入产业门类的企业。</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71"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污染物排放管控</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现有源提标升级改造：</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推行砖瓦行业脱硝治理，保持燃煤电厂和水泥企业脱硫脱硝设施正常运行、稳定达标并逐步推行超低排放改造，综合脱硫脱硝效率不低于70%。深化炼焦行业二氧化硫治理。对不能稳定达标的硫磺回收尾气，提高硫磺回收率，确保硫磺尾气稳定达标；焦炉煤气硫化氢脱除效果达到99%以上，直接燃烧的应安装脱硫设施，确保稳定达标排放。（《广元市蓝天保卫行动方案》）</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tc>
        <w:tc>
          <w:tcPr>
            <w:tcW w:w="1730" w:type="pct"/>
            <w:vAlign w:val="center"/>
          </w:tcPr>
          <w:p>
            <w:pPr>
              <w:pageBreakBefore w:val="0"/>
              <w:numPr>
                <w:ilvl w:val="0"/>
                <w:numId w:val="10"/>
              </w:numPr>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本项目不属于砖瓦行业，不属于燃煤电厂、水泥企业及炼焦行业；</w:t>
            </w:r>
          </w:p>
          <w:p>
            <w:pPr>
              <w:pageBreakBefore w:val="0"/>
              <w:numPr>
                <w:ilvl w:val="0"/>
                <w:numId w:val="10"/>
              </w:numPr>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本项目厂区实行雨污分流。本项目不属于医药、化工等行业企业，本项目生活污水</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经预处理池处理、脱脂-硅烷化废水经厂区自建污水站处理后</w:t>
            </w:r>
            <w:r>
              <w:rPr>
                <w:rFonts w:ascii="Times New Roman" w:hAnsi="Times New Roman" w:eastAsia="宋体" w:cs="Times New Roman"/>
                <w:color w:val="000000" w:themeColor="text1"/>
                <w:spacing w:val="0"/>
                <w:kern w:val="21"/>
                <w:position w:val="0"/>
                <w:szCs w:val="21"/>
                <w14:textFill>
                  <w14:solidFill>
                    <w14:schemeClr w14:val="tx1"/>
                  </w14:solidFill>
                </w14:textFill>
              </w:rPr>
              <w:t>依托园区已建污水管网收集后排入泉坝污水厂进一步处理。</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其他污染物排放管控要求：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b/>
                <w:bCs/>
                <w:color w:val="000000" w:themeColor="text1"/>
                <w:spacing w:val="0"/>
                <w:kern w:val="21"/>
                <w:position w:val="0"/>
                <w:sz w:val="21"/>
                <w14:textFill>
                  <w14:solidFill>
                    <w14:schemeClr w14:val="tx1"/>
                  </w14:solidFill>
                </w14:textFill>
              </w:rPr>
            </w:pPr>
            <w:r>
              <w:rPr>
                <w:rFonts w:eastAsia="宋体"/>
                <w:b/>
                <w:bCs/>
                <w:color w:val="000000" w:themeColor="text1"/>
                <w:spacing w:val="0"/>
                <w:kern w:val="21"/>
                <w:position w:val="0"/>
                <w:sz w:val="21"/>
                <w14:textFill>
                  <w14:solidFill>
                    <w14:schemeClr w14:val="tx1"/>
                  </w14:solidFill>
                </w14:textFill>
              </w:rPr>
              <w:t>1.新增源等量或倍量替代：</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若上一年度空气质量年平均浓度不达标、水环境质量未达到要求，则建设项目新增相关污染物按照总量管控要求进行倍量削减替代。若上一年度空气环境质量、水环境质量达标，则建设项目新增相关污染物按照总量管控要求进行等量替代。（《建设项目主要污染物排放总量指标审核及管理暂行办法》）</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-新增VOCs排放的建设项目实行等量替代。（《四川省打赢蓝天保卫战实施方案》、《广元市打赢蓝天保卫战实施方案》）</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-水质超标的水功能区，应当实施更严格的污染物排放总量削减要求。《中华人民共和国长江保护法》）</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新建冶金、电镀、有色金属、化工、印染、制革、原料药制造等企业，原则上布局在符合产业定位的园区，其排放的污水由园区污水处理厂集中处理。（《关于进一步规范城镇（园区）污水处理环境管理的通知》）</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b/>
                <w:bCs/>
                <w:color w:val="000000" w:themeColor="text1"/>
                <w:spacing w:val="0"/>
                <w:kern w:val="21"/>
                <w:position w:val="0"/>
                <w:sz w:val="21"/>
                <w14:textFill>
                  <w14:solidFill>
                    <w14:schemeClr w14:val="tx1"/>
                  </w14:solidFill>
                </w14:textFill>
              </w:rPr>
            </w:pPr>
            <w:r>
              <w:rPr>
                <w:rFonts w:eastAsia="宋体"/>
                <w:b/>
                <w:bCs/>
                <w:color w:val="000000" w:themeColor="text1"/>
                <w:spacing w:val="0"/>
                <w:kern w:val="21"/>
                <w:position w:val="0"/>
                <w:sz w:val="21"/>
                <w14:textFill>
                  <w14:solidFill>
                    <w14:schemeClr w14:val="tx1"/>
                  </w14:solidFill>
                </w14:textFill>
              </w:rPr>
              <w:t>2.新增源排放标准限制：</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推行砖瓦行业脱硝治理，保持燃煤电厂和水泥企业脱硫脱硝设施正常运行、稳定达标并逐步推行超低排放改造，综合脱硫脱硝效率不低于70%。深化炼焦行业二氧化硫治理。对不能稳定达标的硫磺回收尾气，提高硫磺回收率，确保硫磺尾气稳定达标；焦炉煤气硫化氢脱除效果达到99%以上，直接燃烧的应安装脱硫设施，确保稳定达标排放。（《广元市蓝天保卫行动方案（2018-2020年）》）</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hint="eastAsia" w:eastAsia="宋体"/>
                <w:b/>
                <w:bCs/>
                <w:color w:val="000000" w:themeColor="text1"/>
                <w:spacing w:val="0"/>
                <w:kern w:val="21"/>
                <w:position w:val="0"/>
                <w:sz w:val="21"/>
                <w:lang w:val="en-US" w:eastAsia="zh-CN"/>
                <w14:textFill>
                  <w14:solidFill>
                    <w14:schemeClr w14:val="tx1"/>
                  </w14:solidFill>
                </w14:textFill>
              </w:rPr>
            </w:pPr>
            <w:r>
              <w:rPr>
                <w:rFonts w:eastAsia="宋体"/>
                <w:b/>
                <w:bCs/>
                <w:color w:val="000000" w:themeColor="text1"/>
                <w:spacing w:val="0"/>
                <w:kern w:val="21"/>
                <w:position w:val="0"/>
                <w:sz w:val="21"/>
                <w14:textFill>
                  <w14:solidFill>
                    <w14:schemeClr w14:val="tx1"/>
                  </w14:solidFill>
                </w14:textFill>
              </w:rPr>
              <w:t>3.污染物排放绩效水平准入要求：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-园区企业生产、生活废水应严格全部纳入园区污水处理厂集中处理，达标排放；污水收集率100%。</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-磷肥和含磷农药制造等企业，应当按照排污许可要求，采取有效措施控制总磷排放浓度和排放总量。（《中华人民共和国长江保护法》）</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-推进石化、医药等化工类，汽车制造、机械设备制造、家具制造等工业涂装类，包装印刷等行业VOCs综合治理。（《广元市打赢蓝天保卫战实施方案》）</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4.化工园区应按照分类收集，分质处理的要求，配备专业化工生产废水集中处理设施（独立建设或依托骨干企业）及专管或明管输送的配套管网，化工生产废水纳管率达到100%。入河排污口设置应符合相关规定。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1、本项目所在地为昭化区，属于上一年度空气质量、水环境质量达标区；</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2、本项目VOCs总量由生态环境主管部门进行协调；</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3、本项目不属于新建的冶金、电镀、有色金属、化工、印染、制革、原料药制造等行业；</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4、本项目不属于砖瓦行业，不属于燃煤电厂、水泥企业及炼焦行业；</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5、本项目生活污水</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经预处理池处理、脱脂-硅烷化废水经厂区自建污水站处理后</w:t>
            </w:r>
            <w:r>
              <w:rPr>
                <w:rFonts w:ascii="Times New Roman" w:hAnsi="Times New Roman" w:eastAsia="宋体" w:cs="Times New Roman"/>
                <w:color w:val="000000" w:themeColor="text1"/>
                <w:spacing w:val="0"/>
                <w:kern w:val="21"/>
                <w:position w:val="0"/>
                <w:szCs w:val="21"/>
                <w14:textFill>
                  <w14:solidFill>
                    <w14:schemeClr w14:val="tx1"/>
                  </w14:solidFill>
                </w14:textFill>
              </w:rPr>
              <w:t>依托园区已建污水管网收集后排入泉坝污水厂进一步处理；</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6、本项目不属于磷肥和含磷农药制造企业；</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7、本项目不属于石化、医药等化工类，汽车制造、机械设备制造、家具制造等工业涂装类，包装印刷行业项目；</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8、本项目所在园区不属于化工园区；</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9、本项目不属于重点行业，不涉及重点重金属污染物排放；</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10、本项目生产过程中使用的原辅材料均为低VOCs原辅材料，</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71"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环境风险防控</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联防联控要求：</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加强与嘉陵江上游甘肃陇南市、陕西汉中市环境风险联防联控</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本项目建设不涉及嘉陵江干流，本次评价要求建设单位落实规划区环境风险联防联控要求。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其他环境风险防控要求：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企业环境风险防控要求：涉及有毒有害、易燃易爆物质新、改、扩建项目，严控准入要求。涉及铅、汞、镉、铬、砷五类重金属污染物排放的项目，严控准入，严格执行重金属污染物总量控制要求。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园区环境风险防控要求：构建三级环境风险防控体系，强化危化品泄漏应急处置措施，确保风险可控。针对化工园区建立有毒有害气体环境风险预警体系，建立区域、流域联动应急响应体系，实行联防联控。化工园区应具有安全风险监控体系、建立生态环境监测监控体系、建立必要的突发环境事件应急体系。</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用地环境风险防控要求：有色金属冶炼、石油加工、化工、焦化、电镀、制革等行业企业拆除生产设施设备、构筑物和污染治理设施，要事先制定残留污染物清理和安全处置方案，要严格按照有关规定实施安全处理处置，防范拆除活动污染土壤。（《土壤污染防治行动计划》）</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对拟收回土地使用权的有色金属矿采选、有色金属冶炼、石油加工、化工、焦化、电镀、制革、天然（页岩）气开采、铅蓄电池、汽车制造、农药、危废处置、电子拆解等行业企业用地，由土地使用权人按照国家发布的建设用地土壤环境调查评估技术规定，开展土壤环境状况调查评估。（《土壤污染防治行动计划广元市工作方案》）</w:t>
            </w:r>
          </w:p>
        </w:tc>
        <w:tc>
          <w:tcPr>
            <w:tcW w:w="1730" w:type="pct"/>
            <w:vAlign w:val="center"/>
          </w:tcPr>
          <w:p>
            <w:pPr>
              <w:pageBreakBefore w:val="0"/>
              <w:numPr>
                <w:ilvl w:val="0"/>
                <w:numId w:val="11"/>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本项目为新建项目，项目建设不涉及有毒有害污染物和易燃易爆物质，不涉及铅、汞、镉、铬、砷五类重金属污染物排放；</w:t>
            </w:r>
          </w:p>
          <w:p>
            <w:pPr>
              <w:pageBreakBefore w:val="0"/>
              <w:numPr>
                <w:ilvl w:val="0"/>
                <w:numId w:val="11"/>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本次评价要求建设单位响应园区要求，构建三级环境风险防控体系，建立危化品泄漏应急处置措施，确保风险可控；</w:t>
            </w:r>
          </w:p>
          <w:p>
            <w:pPr>
              <w:pageBreakBefore w:val="0"/>
              <w:numPr>
                <w:ilvl w:val="0"/>
                <w:numId w:val="11"/>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本项目不涉及有色金属冶炼、石油加工、化工、焦化、电镀、制革等行业企业拆除生产设施设备、构筑物和污染治理设施；</w:t>
            </w:r>
          </w:p>
          <w:p>
            <w:pPr>
              <w:pageBreakBefore w:val="0"/>
              <w:numPr>
                <w:ilvl w:val="0"/>
                <w:numId w:val="11"/>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本项目不涉及有色金属矿采选、有色金属冶炼、石油加工、化工、焦化、电镀、制革、天然（页岩）气开采、铅蓄电池、汽车制造、农药、危废处置、电子拆解等行业企业用地。</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71"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资源开发利用效率</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水资源利用总量要求：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新建、改建、扩建工业园区应当按照有关要求统筹建设工业废水集中处理和回用设施，推进企业间串联用水、分质用水、一水多用，实现水循环梯级优化利用和废水集中处理回用，创建节水型工业园区。鼓励火力发电、钢铁、纺织、造纸、石化和化工、食品和发酵等高耗水企业对废水进行深度处理回用，降低单位产品耗水量。（《四川省节约用水办法》）</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b/>
                <w:bCs/>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火电、石化、钢铁、有色、造纸、印染等高耗水行业项目具备使用再生水条件但未有效利用的，要严格控制新增取水许可。（《关于推进污水资源化利用的指导意见》）</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本项目给水来自园区管网。</w:t>
            </w:r>
          </w:p>
          <w:p>
            <w:pPr>
              <w:pStyle w:val="6"/>
              <w:pageBreakBefore w:val="0"/>
              <w:kinsoku/>
              <w:overflowPunct/>
              <w:autoSpaceDE/>
              <w:autoSpaceDN/>
              <w:bidi w:val="0"/>
              <w:snapToGrid w:val="0"/>
              <w:spacing w:before="62" w:beforeLines="20" w:after="62" w:afterLines="20"/>
              <w:textAlignment w:val="auto"/>
              <w:rPr>
                <w:rFonts w:ascii="Times New Roman" w:hAnsi="Times New Roman" w:eastAsia="宋体"/>
                <w:color w:val="000000" w:themeColor="text1"/>
                <w:spacing w:val="0"/>
                <w:kern w:val="21"/>
                <w:position w:val="0"/>
                <w:szCs w:val="21"/>
                <w14:textFill>
                  <w14:solidFill>
                    <w14:schemeClr w14:val="tx1"/>
                  </w14:solidFill>
                </w14:textFill>
              </w:rPr>
            </w:pPr>
            <w:r>
              <w:rPr>
                <w:rFonts w:ascii="Times New Roman" w:hAnsi="Times New Roman" w:eastAsia="宋体"/>
                <w:color w:val="000000" w:themeColor="text1"/>
                <w:spacing w:val="0"/>
                <w:kern w:val="21"/>
                <w:position w:val="0"/>
                <w:szCs w:val="21"/>
                <w14:textFill>
                  <w14:solidFill>
                    <w14:schemeClr w14:val="tx1"/>
                  </w14:solidFill>
                </w14:textFill>
              </w:rPr>
              <w:t>本项目不属于火力发电、钢铁、纺织、造纸、石化和化工、食品和发酵、有色、印染等高耗水行业。</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地下水开采要求：</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参照现行法律法规执行</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本项目建设不涉及地下水及开采。</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禁燃区要求：</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全面淘汰10蒸吨/小时及以下燃煤锅炉，原则上不再新建35蒸吨/小时及以下的燃煤锅炉，推进县级及以上城市建成区淘汰35蒸吨/小时及以下燃煤锅炉，以工业余热、电厂热力、清洁能源等替代煤炭。</w:t>
            </w:r>
          </w:p>
          <w:p>
            <w:pPr>
              <w:pStyle w:val="36"/>
              <w:pageBreakBefore w:val="0"/>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位于大气不达标区域的工业单元，除执行超低排放标准的集中供热设施外，禁止新建燃煤及其他高污染燃料设施。积极实施煤改电、有序推进煤改气。鼓励工业窑炉煤改电、煤改气或集中供热。</w:t>
            </w:r>
          </w:p>
        </w:tc>
        <w:tc>
          <w:tcPr>
            <w:tcW w:w="1730" w:type="pct"/>
            <w:vAlign w:val="center"/>
          </w:tcPr>
          <w:p>
            <w:pPr>
              <w:pageBreakBefore w:val="0"/>
              <w:numPr>
                <w:ilvl w:val="0"/>
                <w:numId w:val="12"/>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本项目不涉及燃煤锅炉；</w:t>
            </w:r>
          </w:p>
          <w:p>
            <w:pPr>
              <w:pStyle w:val="6"/>
              <w:pageBreakBefore w:val="0"/>
              <w:numPr>
                <w:ilvl w:val="0"/>
                <w:numId w:val="12"/>
              </w:numPr>
              <w:kinsoku/>
              <w:overflowPunct/>
              <w:autoSpaceDE/>
              <w:autoSpaceDN/>
              <w:bidi w:val="0"/>
              <w:snapToGrid w:val="0"/>
              <w:spacing w:before="62" w:beforeLines="20" w:after="62" w:afterLines="20"/>
              <w:textAlignment w:val="auto"/>
              <w:rPr>
                <w:rFonts w:ascii="Times New Roman" w:hAnsi="Times New Roman" w:eastAsia="宋体"/>
                <w:color w:val="000000" w:themeColor="text1"/>
                <w:spacing w:val="0"/>
                <w:kern w:val="21"/>
                <w:position w:val="0"/>
                <w:szCs w:val="21"/>
                <w14:textFill>
                  <w14:solidFill>
                    <w14:schemeClr w14:val="tx1"/>
                  </w14:solidFill>
                </w14:textFill>
              </w:rPr>
            </w:pPr>
            <w:r>
              <w:rPr>
                <w:rFonts w:ascii="Times New Roman" w:hAnsi="Times New Roman" w:eastAsia="宋体"/>
                <w:color w:val="000000" w:themeColor="text1"/>
                <w:spacing w:val="0"/>
                <w:kern w:val="21"/>
                <w:position w:val="0"/>
                <w:szCs w:val="21"/>
                <w14:textFill>
                  <w14:solidFill>
                    <w14:schemeClr w14:val="tx1"/>
                  </w14:solidFill>
                </w14:textFill>
              </w:rPr>
              <w:t>本项目不涉及火电、钢铁、铸造（含烧结、球团、高炉工序）水泥、焦化行业燃煤锅炉和工业炉窑；不属于陶瓷、玻璃、铁合金、有色、砖瓦等行业；不涉及生物质锅炉；</w:t>
            </w:r>
          </w:p>
          <w:p>
            <w:pPr>
              <w:pStyle w:val="6"/>
              <w:pageBreakBefore w:val="0"/>
              <w:numPr>
                <w:ilvl w:val="0"/>
                <w:numId w:val="12"/>
              </w:numPr>
              <w:kinsoku/>
              <w:overflowPunct/>
              <w:autoSpaceDE/>
              <w:autoSpaceDN/>
              <w:bidi w:val="0"/>
              <w:snapToGrid w:val="0"/>
              <w:spacing w:before="62" w:beforeLines="20" w:after="62" w:afterLines="20"/>
              <w:textAlignment w:val="auto"/>
              <w:rPr>
                <w:rFonts w:ascii="Times New Roman" w:hAnsi="Times New Roman" w:eastAsia="宋体"/>
                <w:color w:val="000000" w:themeColor="text1"/>
                <w:spacing w:val="0"/>
                <w:kern w:val="21"/>
                <w:position w:val="0"/>
                <w:szCs w:val="21"/>
                <w14:textFill>
                  <w14:solidFill>
                    <w14:schemeClr w14:val="tx1"/>
                  </w14:solidFill>
                </w14:textFill>
              </w:rPr>
            </w:pPr>
            <w:r>
              <w:rPr>
                <w:rFonts w:ascii="Times New Roman" w:hAnsi="Times New Roman" w:eastAsia="宋体"/>
                <w:color w:val="000000" w:themeColor="text1"/>
                <w:spacing w:val="0"/>
                <w:kern w:val="21"/>
                <w:position w:val="0"/>
                <w:szCs w:val="21"/>
                <w14:textFill>
                  <w14:solidFill>
                    <w14:schemeClr w14:val="tx1"/>
                  </w14:solidFill>
                </w14:textFill>
              </w:rPr>
              <w:t>本项目所在区域为大气达标区。</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中国西部（广元）绿色家居产业城</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环境综合管控单元工业重点管控单元</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ZH51081120003</w:t>
            </w:r>
          </w:p>
        </w:tc>
        <w:tc>
          <w:tcPr>
            <w:tcW w:w="135"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单元级清单管控要求</w:t>
            </w:r>
          </w:p>
        </w:tc>
        <w:tc>
          <w:tcPr>
            <w:tcW w:w="371"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空间布局约束</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禁止开发建设活动的要求：</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禁止引入酿造、造纸、印刷电路板、专业电镀、含五类重金属废水排放的项目，禁止引入化工、焦化项目</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禁止引入用水量和排水量大，以水污染物为主要特征，且产生的废水难以治理的项目</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其他同工业重点单元总体准入要求</w:t>
            </w:r>
          </w:p>
        </w:tc>
        <w:tc>
          <w:tcPr>
            <w:tcW w:w="1730" w:type="pct"/>
            <w:vAlign w:val="center"/>
          </w:tcPr>
          <w:p>
            <w:pPr>
              <w:pageBreakBefore w:val="0"/>
              <w:widowControl/>
              <w:numPr>
                <w:ilvl w:val="0"/>
                <w:numId w:val="13"/>
              </w:numPr>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本项目不属于酿造、造纸、印刷电路板、专业电镀、含五类重金属废水排放的项目，不属于化工、焦化项目；</w:t>
            </w:r>
          </w:p>
          <w:p>
            <w:pPr>
              <w:pageBreakBefore w:val="0"/>
              <w:widowControl/>
              <w:numPr>
                <w:ilvl w:val="0"/>
                <w:numId w:val="13"/>
              </w:numPr>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本项目不属于用水量和排水量大，以水污染物为主要特征，且产生的废水难以治理的项目；</w:t>
            </w:r>
          </w:p>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限制开发建设活动的要求：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限制靠近城镇空间的区域禁止引入其它可能影响城区环境质量达标、危害人体健康的项目</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其他同工业重点单元总体准入要求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1、本项目所在区域不属于靠近城镇空间的区域。</w:t>
            </w:r>
          </w:p>
          <w:p>
            <w:pPr>
              <w:pStyle w:val="6"/>
              <w:pageBreakBefore w:val="0"/>
              <w:kinsoku/>
              <w:overflowPunct/>
              <w:autoSpaceDE/>
              <w:autoSpaceDN/>
              <w:bidi w:val="0"/>
              <w:snapToGrid w:val="0"/>
              <w:spacing w:before="62" w:beforeLines="20" w:after="62" w:afterLines="20"/>
              <w:textAlignment w:val="auto"/>
              <w:rPr>
                <w:rFonts w:ascii="Times New Roman" w:hAnsi="Times New Roman" w:eastAsia="宋体"/>
                <w:color w:val="000000" w:themeColor="text1"/>
                <w:spacing w:val="0"/>
                <w:kern w:val="21"/>
                <w:position w:val="0"/>
                <w:szCs w:val="21"/>
                <w14:textFill>
                  <w14:solidFill>
                    <w14:schemeClr w14:val="tx1"/>
                  </w14:solidFill>
                </w14:textFill>
              </w:rPr>
            </w:pPr>
            <w:r>
              <w:rPr>
                <w:rFonts w:ascii="Times New Roman" w:hAnsi="Times New Roman" w:eastAsia="宋体"/>
                <w:color w:val="000000" w:themeColor="text1"/>
                <w:spacing w:val="0"/>
                <w:kern w:val="21"/>
                <w:position w:val="0"/>
                <w:szCs w:val="21"/>
                <w14:textFill>
                  <w14:solidFill>
                    <w14:schemeClr w14:val="tx1"/>
                  </w14:solidFill>
                </w14:textFill>
              </w:rPr>
              <w:t>2、本次评价要求建设单位严格执行工业重点单元总体准入要求。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b/>
                <w:bCs/>
                <w:color w:val="000000" w:themeColor="text1"/>
                <w:spacing w:val="0"/>
                <w:kern w:val="21"/>
                <w:position w:val="0"/>
                <w:sz w:val="21"/>
                <w14:textFill>
                  <w14:solidFill>
                    <w14:schemeClr w14:val="tx1"/>
                  </w14:solidFill>
                </w14:textFill>
              </w:rPr>
            </w:pPr>
            <w:r>
              <w:rPr>
                <w:rFonts w:eastAsia="宋体"/>
                <w:b/>
                <w:bCs/>
                <w:color w:val="000000" w:themeColor="text1"/>
                <w:spacing w:val="0"/>
                <w:kern w:val="21"/>
                <w:position w:val="0"/>
                <w:sz w:val="21"/>
                <w14:textFill>
                  <w14:solidFill>
                    <w14:schemeClr w14:val="tx1"/>
                  </w14:solidFill>
                </w14:textFill>
              </w:rPr>
              <w:t>允许开发建设活动的要求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同工业重点单元总体准入要求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不符合空间布局要求活动的退出要求：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同工业重点管控单元普适性管控要求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污染物排放管控</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现有源提标升级改造：</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同工业重点管控单元普适性管控要求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新增源等量或倍量替代：</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同工业重点管控单元普适性管控要求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新增源排放标准限值：</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同工业重点管控单元普适性管控要求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污染物排放绩效水平准入要求：</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大力推广使用水性、紫外光固化等低挥发性涂料，替代比例达到60%以上；全面使用水性胶黏剂，替代比例达到100%。在平面板式木质家具制造领域，推广使用自动喷涂或辊涂等先进工艺技术。加强废气分类收集与处理，有机废气收集效率不低于80%，建设吸附、燃烧等有效治理设施，实现达标排放。木质家具制造企业综合去除率达80%以上。</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涉及VOCs物料的生产企业按照《挥发性有机物无组织排放控制标准》控制VOCs无组织排放。</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其他同工业重点单元总体准入要求。</w:t>
            </w:r>
          </w:p>
        </w:tc>
        <w:tc>
          <w:tcPr>
            <w:tcW w:w="1730" w:type="pct"/>
            <w:vAlign w:val="center"/>
          </w:tcPr>
          <w:p>
            <w:pPr>
              <w:pageBreakBefore w:val="0"/>
              <w:numPr>
                <w:ilvl w:val="0"/>
                <w:numId w:val="14"/>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本项目底漆、面漆均为水性涂料；本项目胶黏剂均为水性胶黏剂；本项目喷漆采用自动喷涂工序；</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本项目封边、贴棉废气经收集后由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2#二级活性炭吸附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p>
            <w:pPr>
              <w:pStyle w:val="6"/>
              <w:pageBreakBefore w:val="0"/>
              <w:numPr>
                <w:ilvl w:val="0"/>
                <w:numId w:val="14"/>
              </w:numPr>
              <w:kinsoku/>
              <w:overflowPunct/>
              <w:autoSpaceDE/>
              <w:autoSpaceDN/>
              <w:bidi w:val="0"/>
              <w:snapToGrid w:val="0"/>
              <w:spacing w:before="62" w:beforeLines="20" w:after="62" w:afterLines="20"/>
              <w:textAlignment w:val="auto"/>
              <w:rPr>
                <w:rFonts w:ascii="Times New Roman" w:hAnsi="Times New Roman" w:eastAsia="宋体"/>
                <w:color w:val="000000" w:themeColor="text1"/>
                <w:spacing w:val="0"/>
                <w:kern w:val="21"/>
                <w:position w:val="0"/>
                <w:szCs w:val="21"/>
                <w14:textFill>
                  <w14:solidFill>
                    <w14:schemeClr w14:val="tx1"/>
                  </w14:solidFill>
                </w14:textFill>
              </w:rPr>
            </w:pPr>
            <w:r>
              <w:rPr>
                <w:rFonts w:ascii="Times New Roman" w:hAnsi="Times New Roman" w:eastAsia="宋体"/>
                <w:color w:val="000000" w:themeColor="text1"/>
                <w:spacing w:val="0"/>
                <w:kern w:val="21"/>
                <w:position w:val="0"/>
                <w:szCs w:val="21"/>
                <w14:textFill>
                  <w14:solidFill>
                    <w14:schemeClr w14:val="tx1"/>
                  </w14:solidFill>
                </w14:textFill>
              </w:rPr>
              <w:t>本项目VOCs无组织排放严格执行《挥发性有机物无组织排放控制标准》；</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b/>
                <w:bCs/>
                <w:color w:val="000000" w:themeColor="text1"/>
                <w:spacing w:val="0"/>
                <w:kern w:val="21"/>
                <w:position w:val="0"/>
                <w:sz w:val="21"/>
                <w14:textFill>
                  <w14:solidFill>
                    <w14:schemeClr w14:val="tx1"/>
                  </w14:solidFill>
                </w14:textFill>
              </w:rPr>
            </w:pPr>
            <w:r>
              <w:rPr>
                <w:rFonts w:eastAsia="宋体"/>
                <w:b/>
                <w:bCs/>
                <w:color w:val="000000" w:themeColor="text1"/>
                <w:spacing w:val="0"/>
                <w:kern w:val="21"/>
                <w:position w:val="0"/>
                <w:sz w:val="21"/>
                <w14:textFill>
                  <w14:solidFill>
                    <w14:schemeClr w14:val="tx1"/>
                  </w14:solidFill>
                </w14:textFill>
              </w:rPr>
              <w:t>其他污染物排放管控要求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同工业重点单元总体准入要求</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环境风险防控</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严格管控类农用地管控要求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同广元市工业重点单元总体准入要求。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园区环境风险防控要求：</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园区建立政府-园区-企业三级环境风险防控体系；</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其他同工业重点单元总体准入要求。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1、本次评价要求建设单位严格落实政府-园区-企业三级环境风险防控体系；</w:t>
            </w:r>
          </w:p>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2、本次评价要求建设单位严格执行工业重点单元总体准入要求。</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企业环境风险防控要求：</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针对涉及易导致环境风险的有毒有害和易燃易爆物质的生产、使用、排放、贮运等项目：应明确提出禁止准入要求或限制性准入条件以及环境风险防控措施。</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其他同工业重点单元总体准入要求。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本项目不涉及易导致环境风险的有毒有害和易燃易爆物质的生产、使用、排放、贮运。</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b/>
                <w:bCs/>
                <w:color w:val="000000" w:themeColor="text1"/>
                <w:spacing w:val="0"/>
                <w:kern w:val="21"/>
                <w:position w:val="0"/>
                <w:sz w:val="21"/>
                <w14:textFill>
                  <w14:solidFill>
                    <w14:schemeClr w14:val="tx1"/>
                  </w14:solidFill>
                </w14:textFill>
              </w:rPr>
            </w:pPr>
            <w:r>
              <w:rPr>
                <w:rFonts w:eastAsia="宋体"/>
                <w:b/>
                <w:bCs/>
                <w:color w:val="000000" w:themeColor="text1"/>
                <w:spacing w:val="0"/>
                <w:kern w:val="21"/>
                <w:position w:val="0"/>
                <w:sz w:val="21"/>
                <w14:textFill>
                  <w14:solidFill>
                    <w14:schemeClr w14:val="tx1"/>
                  </w14:solidFill>
                </w14:textFill>
              </w:rPr>
              <w:t>其他环境风险防控要求</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进入园区的工业企业应有完善的风险防范措施，其最大可信事故半致死浓度范围内不得有居民点存在。</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其他同工业重点单元总体准入要求。</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本次评价要求建设单位严格落实本报告提出的环境风险防范措施，</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确保不会对周围敏感点造成影响。</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资源开发利用效率</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水资源利用效率要求：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鼓励企业提高用水效率，提高工业用水重复利用率，降低单位产品耗水量。</w:t>
            </w:r>
          </w:p>
        </w:tc>
        <w:tc>
          <w:tcPr>
            <w:tcW w:w="1730"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用水循环使用不外排</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，每年定期更换，更换后作为危废处置</w:t>
            </w: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经预处理池处理、脱脂-硅烷化废水经厂区自建污水站处理后</w:t>
            </w:r>
            <w:r>
              <w:rPr>
                <w:rFonts w:ascii="Times New Roman" w:hAnsi="Times New Roman" w:eastAsia="宋体" w:cs="Times New Roman"/>
                <w:color w:val="000000" w:themeColor="text1"/>
                <w:spacing w:val="0"/>
                <w:kern w:val="21"/>
                <w:position w:val="0"/>
                <w:szCs w:val="21"/>
                <w14:textFill>
                  <w14:solidFill>
                    <w14:schemeClr w14:val="tx1"/>
                  </w14:solidFill>
                </w14:textFill>
              </w:rPr>
              <w:t>依托园区已建污水管网收集后排入泉坝污水厂进一步处理。</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地下水开采要求：</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同广元市、利州区总体准入要求</w:t>
            </w:r>
          </w:p>
        </w:tc>
        <w:tc>
          <w:tcPr>
            <w:tcW w:w="1730"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本项目不涉及地下水开采。</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嘉陵江-昭化区-金银渡（张家岩）-控制单元</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水环境工业污染重点管控区YS5108112210001</w:t>
            </w:r>
          </w:p>
        </w:tc>
        <w:tc>
          <w:tcPr>
            <w:tcW w:w="135"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单元级清单管控要求</w:t>
            </w: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空间布局约束</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限制开发建设活动的要求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严控磷铵、黄磷等产业违规新增产能加快退出不符合产业政策和环保要求、不满足安全生产条件的涉磷企业</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磷铵、黄磷等涉磷企业。</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污染物排放管控</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工业废水污染控制措施要求</w:t>
            </w:r>
          </w:p>
          <w:p>
            <w:pPr>
              <w:pageBreakBefore w:val="0"/>
              <w:widowControl/>
              <w:numPr>
                <w:ilvl w:val="0"/>
                <w:numId w:val="15"/>
              </w:numPr>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深入实施工业企业污水处理设施升级改造，全面实现工业废水达标排放。</w:t>
            </w:r>
          </w:p>
          <w:p>
            <w:pPr>
              <w:pageBreakBefore w:val="0"/>
              <w:widowControl/>
              <w:numPr>
                <w:ilvl w:val="0"/>
                <w:numId w:val="15"/>
              </w:numPr>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w:t>
            </w:r>
          </w:p>
          <w:p>
            <w:pPr>
              <w:pageBreakBefore w:val="0"/>
              <w:widowControl/>
              <w:numPr>
                <w:ilvl w:val="0"/>
                <w:numId w:val="15"/>
              </w:numPr>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加强工业园区集中污水处理设施运行监管，加强企业废水预处理和排水管理，鼓励纳管企业与园区污水处理厂运营单位通过签订委托处理合同等方式协同处理废水。</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1、本项目实施雨污分流，生活污水</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经预处理池处理、脱脂-硅烷化废水经厂区自建污水站处理后</w:t>
            </w:r>
            <w:r>
              <w:rPr>
                <w:rFonts w:ascii="Times New Roman" w:hAnsi="Times New Roman" w:eastAsia="宋体" w:cs="Times New Roman"/>
                <w:color w:val="000000" w:themeColor="text1"/>
                <w:spacing w:val="0"/>
                <w:kern w:val="21"/>
                <w:position w:val="0"/>
                <w:szCs w:val="21"/>
                <w14:textFill>
                  <w14:solidFill>
                    <w14:schemeClr w14:val="tx1"/>
                  </w14:solidFill>
                </w14:textFill>
              </w:rPr>
              <w:t>依托园区已建污水管网收集后排入泉坝污水厂进一步处理；</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2、本次评价要求建设单位严格落实本报告提出的环境风险防控措施，落实国家《优先控制化学品名录（第一批）》《优先控制化学品名录（第二批）》《重点管控新污染物清单（2023年版）》环境风险管控措施。</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环境风险防控</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本项目不属于新建、扩建的化工园区和化工项目，本次评价要求建设单位严格落实本报告提出的风险防控措施，</w:t>
            </w:r>
            <w:r>
              <w:rPr>
                <w:rFonts w:ascii="Times New Roman" w:hAnsi="Times New Roman" w:eastAsia="宋体" w:cs="Times New Roman"/>
                <w:color w:val="000000" w:themeColor="text1"/>
                <w:spacing w:val="0"/>
                <w:kern w:val="21"/>
                <w:position w:val="0"/>
                <w:szCs w:val="21"/>
                <w14:textFill>
                  <w14:solidFill>
                    <w14:schemeClr w14:val="tx1"/>
                  </w14:solidFill>
                </w14:textFill>
              </w:rPr>
              <w:t>确保将风险防范纳入企业管理制度体系。</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资源开发利用效率</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加强高耗水行业用水定额管理，以水定产，严格控制高耗水新建、改建、扩建项目。</w:t>
            </w:r>
          </w:p>
        </w:tc>
        <w:tc>
          <w:tcPr>
            <w:tcW w:w="1730"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本项目不属于高耗水行业。</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中国西部（广元）绿色家居产业城</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大气环境高排放重点管控区YS5108112310003</w:t>
            </w: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空间布局约束</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污染物排放管控</w:t>
            </w: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大气环境质量执行标准：</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《环境空气质量标准》（GB3095-2012）：二级</w:t>
            </w:r>
          </w:p>
        </w:tc>
        <w:tc>
          <w:tcPr>
            <w:tcW w:w="1730"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本项目所在区域执行《环境空气质量标准》（GB</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Cs w:val="21"/>
                <w14:textFill>
                  <w14:solidFill>
                    <w14:schemeClr w14:val="tx1"/>
                  </w14:solidFill>
                </w14:textFill>
              </w:rPr>
              <w:t>3095-2012）二级标准。</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工业废气污染控制要求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1、全面淘汰10蒸吨/小时及以下燃煤锅炉，原则上不再新建35蒸吨/小时及以下的燃煤锅炉，推进县级及以上城市建成区淘汰35蒸吨/小时及以下燃煤锅炉，以工业余热、电厂热力、清洁能源等替代煤炭。</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1、本项目不涉及燃煤锅炉使用；</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2、本项目不属于火电、钢铁、铸造（含烧结、球团、高炉工序）水泥、焦化行业，不涉及燃煤锅炉、工业炉窑及生物质锅炉。</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730" w:type="pct"/>
            <w:vAlign w:val="center"/>
          </w:tcPr>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重点行业企业专项治理要求</w:t>
            </w:r>
          </w:p>
          <w:p>
            <w:pPr>
              <w:pageBreakBefore w:val="0"/>
              <w:widowControl/>
              <w:shd w:val="clear" w:color="auto" w:fill="FFFFFF"/>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tc>
        <w:tc>
          <w:tcPr>
            <w:tcW w:w="1730" w:type="pct"/>
            <w:vAlign w:val="center"/>
          </w:tcPr>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本项目采用低VOCs含量原辅材料，</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环境风险防控</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资源开发利用效率</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昭化区城镇开发边界</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土地资源重点管控区</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YS5108112530001</w:t>
            </w:r>
          </w:p>
        </w:tc>
        <w:tc>
          <w:tcPr>
            <w:tcW w:w="135"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空间布局约束</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1.以城镇开发建设现状为基础，综合考虑资源承载能力、人口分布、经济布局、城乡统筹、城镇无序蔓延科学预留一定比例的留白区，为未来发展留有开发空间城镇建设和发展不得违法违规侵占河道、湖面、滩地</w:t>
            </w:r>
          </w:p>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2.城镇开发边界调整报国土空间规划原审批机关审批</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本项目拟建地为广元市昭化区绿色家居产业城</w:t>
            </w:r>
            <w:r>
              <w:rPr>
                <w:rFonts w:ascii="Times New Roman" w:hAnsi="Times New Roman" w:eastAsia="宋体" w:cs="Times New Roman"/>
                <w:color w:val="000000" w:themeColor="text1"/>
                <w:spacing w:val="0"/>
                <w:kern w:val="21"/>
                <w:position w:val="0"/>
                <w:szCs w:val="21"/>
                <w14:textFill>
                  <w14:solidFill>
                    <w14:schemeClr w14:val="tx1"/>
                  </w14:solidFill>
                </w14:textFill>
              </w:rPr>
              <w:t>，位于城镇开发边界内。</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污染物排放管控</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环境风险防控</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资源开发利用效率</w:t>
            </w:r>
          </w:p>
        </w:tc>
        <w:tc>
          <w:tcPr>
            <w:tcW w:w="1730" w:type="pct"/>
            <w:vAlign w:val="center"/>
          </w:tcPr>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b/>
                <w:bCs/>
                <w:color w:val="000000" w:themeColor="text1"/>
                <w:spacing w:val="0"/>
                <w:kern w:val="21"/>
                <w:position w:val="0"/>
                <w:sz w:val="21"/>
                <w14:textFill>
                  <w14:solidFill>
                    <w14:schemeClr w14:val="tx1"/>
                  </w14:solidFill>
                </w14:textFill>
              </w:rPr>
            </w:pPr>
            <w:r>
              <w:rPr>
                <w:rFonts w:eastAsia="宋体"/>
                <w:b/>
                <w:bCs/>
                <w:color w:val="000000" w:themeColor="text1"/>
                <w:spacing w:val="0"/>
                <w:kern w:val="21"/>
                <w:position w:val="0"/>
                <w:sz w:val="21"/>
                <w14:textFill>
                  <w14:solidFill>
                    <w14:schemeClr w14:val="tx1"/>
                  </w14:solidFill>
                </w14:textFill>
              </w:rPr>
              <w:t>土地资源开发效率要求</w:t>
            </w:r>
          </w:p>
          <w:p>
            <w:pPr>
              <w:pStyle w:val="36"/>
              <w:pageBreakBefore w:val="0"/>
              <w:widowControl/>
              <w:shd w:val="clear" w:color="auto" w:fill="FFFFFF"/>
              <w:kinsoku/>
              <w:overflowPunct/>
              <w:autoSpaceDE/>
              <w:autoSpaceDN/>
              <w:bidi w:val="0"/>
              <w:snapToGrid w:val="0"/>
              <w:spacing w:before="62" w:beforeLines="20" w:after="62" w:afterLines="20" w:line="240" w:lineRule="auto"/>
              <w:ind w:firstLine="0" w:firstLineChars="0"/>
              <w:textAlignment w:val="auto"/>
              <w:rPr>
                <w:rFonts w:eastAsia="宋体"/>
                <w:color w:val="000000" w:themeColor="text1"/>
                <w:spacing w:val="0"/>
                <w:kern w:val="21"/>
                <w:position w:val="0"/>
                <w:sz w:val="21"/>
                <w14:textFill>
                  <w14:solidFill>
                    <w14:schemeClr w14:val="tx1"/>
                  </w14:solidFill>
                </w14:textFill>
              </w:rPr>
            </w:pPr>
            <w:r>
              <w:rPr>
                <w:rFonts w:eastAsia="宋体"/>
                <w:color w:val="000000" w:themeColor="text1"/>
                <w:spacing w:val="0"/>
                <w:kern w:val="21"/>
                <w:position w:val="0"/>
                <w:sz w:val="21"/>
                <w14:textFill>
                  <w14:solidFill>
                    <w14:schemeClr w14:val="tx1"/>
                  </w14:solidFill>
                </w14:textFill>
              </w:rPr>
              <w:t>土地资源开发利用量不得超过土地资源利用上线控制性指标。</w:t>
            </w:r>
          </w:p>
        </w:tc>
        <w:tc>
          <w:tcPr>
            <w:tcW w:w="1730" w:type="pct"/>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w:t>
            </w:r>
            <w:r>
              <w:rPr>
                <w:rFonts w:ascii="Times New Roman" w:hAnsi="Times New Roman" w:eastAsia="宋体" w:cs="Times New Roman"/>
                <w:color w:val="000000" w:themeColor="text1"/>
                <w:spacing w:val="0"/>
                <w:kern w:val="21"/>
                <w:position w:val="0"/>
                <w:szCs w:val="21"/>
                <w14:textFill>
                  <w14:solidFill>
                    <w14:schemeClr w14:val="tx1"/>
                  </w14:solidFill>
                </w14:textFill>
              </w:rPr>
              <w:t>位于城镇开发边界内，项目用地为工业用地，不涉及土地资源开发利用。</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昭化区自然资源重点管控区</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自然资源重点管控区</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YS5108112550001</w:t>
            </w: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空间布局约束</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污染物排放管控</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环境风险防控</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7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资源开发利用效率</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7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2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bl>
    <w:p>
      <w:pPr>
        <w:pStyle w:val="6"/>
        <w:pageBreakBefore w:val="0"/>
        <w:kinsoku/>
        <w:overflowPunct/>
        <w:autoSpaceDE/>
        <w:autoSpaceDN/>
        <w:bidi w:val="0"/>
        <w:textAlignment w:val="auto"/>
        <w:rPr>
          <w:rFonts w:ascii="Times New Roman" w:hAnsi="Times New Roman"/>
          <w:color w:val="000000" w:themeColor="text1"/>
          <w:spacing w:val="0"/>
          <w:kern w:val="21"/>
          <w:position w:val="0"/>
          <w14:textFill>
            <w14:solidFill>
              <w14:schemeClr w14:val="tx1"/>
            </w14:solidFill>
          </w14:textFill>
        </w:rPr>
        <w:sectPr>
          <w:pgSz w:w="16838" w:h="11906" w:orient="landscape"/>
          <w:pgMar w:top="1531" w:right="1134" w:bottom="1531" w:left="1134" w:header="851" w:footer="992" w:gutter="0"/>
          <w:cols w:space="425" w:num="1"/>
          <w:docGrid w:type="lines"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vAlign w:val="center"/>
          </w:tcPr>
          <w:p>
            <w:pPr>
              <w:pageBreakBefore w:val="0"/>
              <w:widowControl/>
              <w:kinsoku/>
              <w:overflowPunct/>
              <w:autoSpaceDE/>
              <w:autoSpaceDN/>
              <w:bidi w:val="0"/>
              <w:jc w:val="center"/>
              <w:textAlignment w:val="auto"/>
              <w:outlineLvl w:val="0"/>
              <w:rPr>
                <w:rFonts w:ascii="Times New Roman" w:hAnsi="Times New Roman" w:eastAsia="宋体" w:cs="Times New Roman"/>
                <w:snapToGrid w:val="0"/>
                <w:color w:val="000000" w:themeColor="text1"/>
                <w:spacing w:val="0"/>
                <w:kern w:val="21"/>
                <w:position w:val="0"/>
                <w:sz w:val="24"/>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14:textFill>
                  <w14:solidFill>
                    <w14:schemeClr w14:val="tx1"/>
                  </w14:solidFill>
                </w14:textFill>
              </w:rPr>
              <w:t>其他符合性分析</w:t>
            </w:r>
          </w:p>
        </w:tc>
        <w:tc>
          <w:tcPr>
            <w:tcW w:w="4794" w:type="pct"/>
          </w:tcPr>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24"/>
                <w14:textFill>
                  <w14:solidFill>
                    <w14:schemeClr w14:val="tx1"/>
                  </w14:solidFill>
                </w14:textFill>
              </w:rPr>
              <w:t>2、与《广元市人民政府办公室关于加强生态环境分区管控的通知》（广府办函〔2024〕26号）符合性分析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14:textFill>
                  <w14:solidFill>
                    <w14:schemeClr w14:val="tx1"/>
                  </w14:solidFill>
                </w14:textFill>
              </w:rPr>
              <w:t>广府办函〔2024〕26号文件结合广元市实际，就落实生态保护红线、环境质量底线、资源利用上线和制定生态环境准入清单（以下简称“三线一单”）实施生态环境分区管控提出如下要求。</w:t>
            </w:r>
          </w:p>
          <w:p>
            <w:pPr>
              <w:pageBreakBefore w:val="0"/>
              <w:widowControl/>
              <w:numPr>
                <w:ilvl w:val="0"/>
                <w:numId w:val="16"/>
              </w:numPr>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广元市生态环境管控单元划分及管控要求</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广元市人民政府办公室关于加强生态环境分区管控的通知》（广府办函〔2024〕26号）要求，生态环境管控单元分为优先保护单元、重点管控单元和一般管控单元三类，更新后，全市生态环境管控单元总数62个，其中优先保护单元24个、重点管控单元31个、一般管控单元7个。</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本项目所在地与广元市环境管控单元分区位置关系详见下图。</w:t>
            </w:r>
          </w:p>
          <w:p>
            <w:pPr>
              <w:pStyle w:val="2"/>
              <w:keepNext w:val="0"/>
              <w:keepLines w:val="0"/>
              <w:pageBreakBefore w:val="0"/>
              <w:widowControl/>
              <w:kinsoku/>
              <w:wordWrap/>
              <w:overflowPunct/>
              <w:topLinePunct w:val="0"/>
              <w:autoSpaceDE/>
              <w:autoSpaceDN/>
              <w:bidi w:val="0"/>
              <w:adjustRightInd/>
              <w:snapToGrid w:val="0"/>
              <w:spacing w:before="63" w:beforeLines="20" w:after="63" w:afterLines="20" w:line="240" w:lineRule="auto"/>
              <w:ind w:left="0" w:right="0" w:firstLine="0"/>
              <w:jc w:val="center"/>
              <w:textAlignment w:val="auto"/>
              <w:rPr>
                <w:color w:val="000000" w:themeColor="text1"/>
                <w:spacing w:val="0"/>
                <w:kern w:val="21"/>
                <w:position w:val="0"/>
                <w:sz w:val="21"/>
                <w:szCs w:val="21"/>
                <w14:textFill>
                  <w14:solidFill>
                    <w14:schemeClr w14:val="tx1"/>
                  </w14:solidFill>
                </w14:textFill>
              </w:rPr>
            </w:pPr>
            <w:r>
              <w:rPr>
                <w:color w:val="000000" w:themeColor="text1"/>
                <w:spacing w:val="0"/>
                <w:kern w:val="21"/>
                <w:position w:val="0"/>
                <w:sz w:val="21"/>
                <w:szCs w:val="21"/>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2572385</wp:posOffset>
                      </wp:positionH>
                      <wp:positionV relativeFrom="paragraph">
                        <wp:posOffset>1974850</wp:posOffset>
                      </wp:positionV>
                      <wp:extent cx="1266190" cy="439420"/>
                      <wp:effectExtent l="0" t="0" r="0" b="0"/>
                      <wp:wrapNone/>
                      <wp:docPr id="32" name="组合 32"/>
                      <wp:cNvGraphicFramePr/>
                      <a:graphic xmlns:a="http://schemas.openxmlformats.org/drawingml/2006/main">
                        <a:graphicData uri="http://schemas.microsoft.com/office/word/2010/wordprocessingGroup">
                          <wpg:wgp>
                            <wpg:cNvGrpSpPr/>
                            <wpg:grpSpPr>
                              <a:xfrm>
                                <a:off x="4399915" y="4076065"/>
                                <a:ext cx="1266190" cy="439420"/>
                                <a:chOff x="7212" y="160791"/>
                                <a:chExt cx="1994" cy="692"/>
                              </a:xfrm>
                            </wpg:grpSpPr>
                            <wps:wsp>
                              <wps:cNvPr id="33" name="文本框 10"/>
                              <wps:cNvSpPr txBox="1"/>
                              <wps:spPr>
                                <a:xfrm>
                                  <a:off x="7212" y="160791"/>
                                  <a:ext cx="1995" cy="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仿宋" w:hAnsi="仿宋" w:eastAsia="仿宋" w:cs="仿宋"/>
                                        <w:b/>
                                        <w:bCs/>
                                        <w:color w:val="FF0000"/>
                                        <w:sz w:val="24"/>
                                      </w:rPr>
                                    </w:pPr>
                                    <w:r>
                                      <w:rPr>
                                        <w:rFonts w:hint="eastAsia" w:ascii="仿宋" w:hAnsi="仿宋" w:eastAsia="仿宋" w:cs="仿宋"/>
                                        <w:b/>
                                        <w:bCs/>
                                        <w:color w:val="FF0000"/>
                                        <w:sz w:val="24"/>
                                      </w:rPr>
                                      <w:t>本项目所在地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4" name="组合 5"/>
                              <wpg:cNvGrpSpPr/>
                              <wpg:grpSpPr>
                                <a:xfrm>
                                  <a:off x="7392" y="160934"/>
                                  <a:ext cx="1518" cy="316"/>
                                  <a:chOff x="6969" y="72697"/>
                                  <a:chExt cx="1518" cy="316"/>
                                </a:xfrm>
                              </wpg:grpSpPr>
                              <wps:wsp>
                                <wps:cNvPr id="36" name="直接连接符 8"/>
                                <wps:cNvCnPr/>
                                <wps:spPr>
                                  <a:xfrm>
                                    <a:off x="6969" y="72697"/>
                                    <a:ext cx="186" cy="314"/>
                                  </a:xfrm>
                                  <a:prstGeom prst="line">
                                    <a:avLst/>
                                  </a:prstGeom>
                                  <a:noFill/>
                                  <a:ln w="12700" cap="flat" cmpd="sng" algn="ctr">
                                    <a:solidFill>
                                      <a:srgbClr val="FF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7" name="直接连接符 9"/>
                                <wps:cNvCnPr/>
                                <wps:spPr>
                                  <a:xfrm>
                                    <a:off x="7149" y="73009"/>
                                    <a:ext cx="1338" cy="4"/>
                                  </a:xfrm>
                                  <a:prstGeom prst="line">
                                    <a:avLst/>
                                  </a:prstGeom>
                                  <a:noFill/>
                                  <a:ln w="12700" cap="flat" cmpd="sng" algn="ctr">
                                    <a:solidFill>
                                      <a:srgbClr val="FF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02.55pt;margin-top:155.5pt;height:34.6pt;width:99.7pt;z-index:251662336;mso-width-relative:page;mso-height-relative:page;" coordorigin="7212,160791" coordsize="1994,692" o:gfxdata="UEsFBgAAAAAAAAAAAAAAAAAAAAAAAFBLAwQKAAAAAACHTuJAAAAAAAAAAAAAAAAABAAAAGRycy9Q&#10;SwMEFAAAAAgAh07iQEiKznraAAAACwEAAA8AAABkcnMvZG93bnJldi54bWxNj8FqwkAQhu+FvsMy&#10;hd7q7qoRidlIkbYnKVQLxduajEkwOxuya6Jv3+mpHmfm45/vz9ZX14oB+9B4MqAnCgRS4cuGKgPf&#10;+/eXJYgQLZW29YQGbhhgnT8+ZDYt/UhfOOxiJTiEQmoN1DF2qZShqNHZMPEdEt9Ovnc28thXsuzt&#10;yOGulVOlFtLZhvhDbTvc1Ficdxdn4GO04+tMvw3b82lzO+yTz5+tRmOen7RagYh4jf8w/OmzOuTs&#10;dPQXKoNoDcxVohk1MNOaSzGxUPMExJE3SzUFmWfyvkP+C1BLAwQUAAAACACHTuJAygndBcoDAAC9&#10;CgAADgAAAGRycy9lMm9Eb2MueG1s7VZPb+w0EL8j8R0s32mSzW7SRE2fSstWSBWvUkGcvY7zR0ps&#10;Y3ubLWf04IQ4cQEhcYDTO3LjwKehj4/B2E7Sdl8RfSDgwh6ytmc8nvnN/MY+erbrO3TNlG4FL3B0&#10;EGLEOBVly+sCf/Th+p1DjLQhvCSd4KzAN0zjZ8dvv3U0yJwtRCO6kikERrjOB1ngxhiZB4GmDeuJ&#10;PhCScRBWQvXEwFTVQanIANb7LliEYRIMQpVSCcq0htUzL8SjRfUUg6KqWsrOBN32jBtvVbGOGAhJ&#10;N63U+Nh5W1WMmudVpZlBXYEhUuO+cAiMN/YbHB+RvFZENi0dXSBPcWEvpp60HA6dTZ0RQ9BWta+Z&#10;6luqhBaVOaCiD3wgDhGIIgr3sDlXYitdLHU+1HIGHRK1h/pfNks/uL5UqC0LHC8w4qSHjL/6+bNf&#10;v/oCwQKgM8g6B6VzJa/kpRoXaj+zAe8q1dt/CAXtCryMsyyLVhjdwDhMkzBZeYzZziAKCtEiSaIM&#10;4KdWI86WizEJtIFMWRPpIgJXQBolYZpFfjtt3psMZNnS704y52EwORFYX2fXBgn1qe9A038PtKuG&#10;SOZyoS0eE2jxBNrt15/ffvvy9vsXKHIB2eNBz4KGzO5dYUP3eOpcw+Ij2D0a+IxblgGqFrQki62h&#10;OWySS6XNORM9soMCK6h6V4zk+kIbrzqp2GO5WLddB+sk7zgawGK8Ct2GWQLGO24VmOPQaMbG5H23&#10;I7Pb7Fw96HwjyhuIUwnPLy3pugVXLog2l0QBoSDf0HLMc/hUnYAjxTjCqBHq08fWrT6kDKQYDUDQ&#10;AutPtkQxjLr3OSQzi5ZLy2g3Wa5SqCOk7ks29yV8258K6AERNDdJ3dDqm24aVkr0H0NnOrGngohw&#10;CmcX2EzDU+PbBnQ2yk5OnBJwWBJzwa8ktaY9uCdbI6rW4W5h8thAvuwECtJTypXpP0xooMkDQjsm&#10;viGf0xhINpIxi5d7XF5FcFnYmoyjZOLpyOIkSzK3MV0kWToJZxLv75yr+b8gcTID9c1Pt1/+8Nsv&#10;38H31csf0aH12+YNmHzKx/Y3cWBqO3Pveyzkmb6HcIhHyoE4x/sae7uW2z5D8qeyN1qkIRQstRSp&#10;4BKEYS9LoAuvoXa7Gm55apQzqUXXlpb81r5W9ea0U+iaAC/W6xB+Nlzw7IGa7RxnRDdez4l8NvvW&#10;wEOga/sCH9rN0+4/bRyeEfaoe5T4N5p1+kd5zt4oz2m0HEs7DkO3FfrkdDvF8UiJ/9PsLoUHab4j&#10;t0u+e9W4ihtfYPbZdH/utO5enc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FAAAAAgAh07i&#10;QIoUZjzRAAAAlAEAAAsAAAAAAAAAAQAgAAAAWQUAAF9yZWxzLy5yZWxzUEsBAhQACgAAAAAAh07i&#10;QAAAAAAAAAAAAAAAAAYAAAAAAAAAAAAQAAAANQUAAF9yZWxzL1BLAQIUAAoAAAAAAIdO4kAAAAAA&#10;AAAAAAAAAAAEAAAAAAAAAAAAEAAAABYAAABkcnMvUEsBAhQAFAAAAAgAh07iQMoJ3QXKAwAAvQoA&#10;AA4AAAAAAAAAAQAgAAAAPwEAAGRycy9lMm9Eb2MueG1sUEsBAhQAFAAAAAgAh07iQEiKznraAAAA&#10;CwEAAA8AAAAAAAAAAQAgAAAAOAAAAGRycy9kb3ducmV2LnhtbFBLBQYAAAAABgAGAFkBAAB7BwAA&#10;AAA=&#10;">
                      <o:lock v:ext="edit" aspectratio="f"/>
                      <v:shape id="文本框 10" o:spid="_x0000_s1026" o:spt="202" type="#_x0000_t202" style="position:absolute;left:7212;top:160791;height:693;width:1995;" filled="f" stroked="f" coordsize="21600,21600" o:gfxdata="UEsFBgAAAAAAAAAAAAAAAAAAAAAAAFBLAwQKAAAAAACHTuJAAAAAAAAAAAAAAAAABAAAAGRycy9Q&#10;SwMEFAAAAAgAh07iQHBDi5e9AAAA2wAAAA8AAABkcnMvZG93bnJldi54bWxFj0urwjAUhPeC/yEc&#10;wZ2mKlekGkUKckWuCx8bd8fm2Babk9rk+vr1RhBcDjPzDTOZ3U0prlS7wrKCXjcCQZxaXXCmYL9b&#10;dEYgnEfWWFomBQ9yMJs2GxOMtb3xhq5bn4kAYRejgtz7KpbSpTkZdF1bEQfvZGuDPsg6k7rGW4Cb&#10;UvajaCgNFhwWcqwoySk9b/+NglWyWOPm2DejZ5n8/p3m1WV/+FGq3epFYxCe7v4b/rSXWsFgAO8v&#10;4QfI6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UAAAACACHTuJA1VwmKMwAAACPAQAACwAAAAAAAAABACAAAACvAQAA&#10;X3JlbHMvLnJlbHNQSwECFAAKAAAAAACHTuJAAAAAAAAAAAAAAAAABgAAAAAAAAAAABAAAACLAQAA&#10;X3JlbHMvUEsBAhQAFAAAAAgAh07iQDMvBZ47AAAAOQAAABAAAAAAAAAAAQAgAAAAIgEAAGRycy9z&#10;aGFwZXhtbC54bWxQSwECFAAKAAAAAACHTuJAAAAAAAAAAAAAAAAABAAAAAAAAAAAABAAAAAWAAAA&#10;ZHJzL1BLAQIUABQAAAAIAIdO4kBwQ4uXvQAAANsAAAAPAAAAAAAAAAEAIAAAADgAAABkcnMvZG93&#10;bnJldi54bWxQSwUGAAAAAAYABgBbAQAAzAMAAAAA&#10;">
                        <v:fill on="f" focussize="0,0"/>
                        <v:stroke on="f" weight="0.5pt"/>
                        <v:imagedata o:title=""/>
                        <o:lock v:ext="edit" aspectratio="f"/>
                        <v:textbox>
                          <w:txbxContent>
                            <w:p>
                              <w:pPr>
                                <w:jc w:val="center"/>
                                <w:rPr>
                                  <w:rFonts w:ascii="仿宋" w:hAnsi="仿宋" w:eastAsia="仿宋" w:cs="仿宋"/>
                                  <w:b/>
                                  <w:bCs/>
                                  <w:color w:val="FF0000"/>
                                  <w:sz w:val="24"/>
                                </w:rPr>
                              </w:pPr>
                              <w:r>
                                <w:rPr>
                                  <w:rFonts w:hint="eastAsia" w:ascii="仿宋" w:hAnsi="仿宋" w:eastAsia="仿宋" w:cs="仿宋"/>
                                  <w:b/>
                                  <w:bCs/>
                                  <w:color w:val="FF0000"/>
                                  <w:sz w:val="24"/>
                                </w:rPr>
                                <w:t>本项目所在地</w:t>
                              </w:r>
                            </w:p>
                          </w:txbxContent>
                        </v:textbox>
                      </v:shape>
                      <v:group id="组合 5" o:spid="_x0000_s1026" o:spt="203" style="position:absolute;left:7392;top:160934;height:316;width:1518;" coordorigin="6969,72697" coordsize="1518,316" o:gfxdata="UEsFBgAAAAAAAAAAAAAAAAAAAAAAAFBLAwQKAAAAAACHTuJAAAAAAAAAAAAAAAAABAAAAGRycy9Q&#10;SwMEFAAAAAgAh07iQMaAy3a9AAAA2wAAAA8AAABkcnMvZG93bnJldi54bWxFj0GLwjAUhO+C/yE8&#10;wduaVncXqUYRUdmDLGwVxNujebbF5qU0sdV/b4QFj8PMfMPMl3dTiZYaV1pWEI8iEMSZ1SXnCo6H&#10;7ccUhPPIGivLpOBBDpaLfm+OibYd/1Gb+lwECLsEFRTe14mULivIoBvZmjh4F9sY9EE2udQNdgFu&#10;KjmOom9psOSwUGBN64Kya3ozCnYddqtJvGn318v6cT58/Z72MSk1HMTRDISnu3+H/9s/WsHkE15f&#10;wg+Qi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AJLbcE0wAAAJkBAAALAAAAAAAA&#10;AAEAIAAAALQBAABfcmVscy8ucmVsc1BLAQIUABQAAAAIAIdO4kBUfegn/gAAAOwBAAATAAAAAAAA&#10;AAEAIAAAALACAABbQ29udGVudF9UeXBlc10ueG1sUEsBAhQAFAAAAAgAh07iQDMvBZ47AAAAOQAA&#10;ABUAAAAAAAAAAQAgAAAAIgEAAGRycy9ncm91cHNoYXBleG1sLnhtbFBLAQIUAAoAAAAAAIdO4kAA&#10;AAAAAAAAAAAAAAAGAAAAAAAAAAAAEAAAAJABAABfcmVscy9QSwECFAAKAAAAAACHTuJAAAAAAAAA&#10;AAAAAAAABAAAAAAAAAAAABAAAAAWAAAAZHJzL1BLAQIUABQAAAAIAIdO4kDGgMt2vQAAANsAAAAP&#10;AAAAAAAAAAEAIAAAADgAAABkcnMvZG93bnJldi54bWxQSwUGAAAAAAYABgBgAQAA3wMAAAAA&#10;">
                        <o:lock v:ext="edit" aspectratio="f"/>
                        <v:line id="直接连接符 8" o:spid="_x0000_s1026" o:spt="20" style="position:absolute;left:6969;top:72697;height:314;width:186;" filled="f" stroked="t" coordsize="21600,21600" o:gfxdata="UEsFBgAAAAAAAAAAAAAAAAAAAAAAAFBLAwQKAAAAAACHTuJAAAAAAAAAAAAAAAAABAAAAGRycy9Q&#10;SwMEFAAAAAgAh07iQAWOYwO+AAAA2wAAAA8AAABkcnMvZG93bnJldi54bWxFj0FrAjEUhO8F/0N4&#10;greaWOliV6NIQbGHHqoWenxNnrurm5dlE9ftv28KBY/DzHzDLFa9q0VHbag8a5iMFQhi423FhYbj&#10;YfM4AxEissXaM2n4oQCr5eBhgbn1N/6gbh8LkSAcctRQxtjkUgZTksMw9g1x8k6+dRiTbAtpW7wl&#10;uKvlk1KZdFhxWiixodeSzGV/dRo+N+7ruHvP5PPZvKn19uXUf5tO69FwouYgIvXxHv5v76yGaQZ/&#10;X9IP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FAAAAAgAh07iQNVcJijMAAAAjwEAAAsAAAAAAAAAAQAgAAAAsAEA&#10;AF9yZWxzLy5yZWxzUEsBAhQACgAAAAAAh07iQAAAAAAAAAAAAAAAAAYAAAAAAAAAAAAQAAAAjAEA&#10;AF9yZWxzL1BLAQIUABQAAAAIAIdO4kAzLwWeOwAAADkAAAAQAAAAAAAAAAEAIAAAACMBAABkcnMv&#10;c2hhcGV4bWwueG1sUEsBAhQACgAAAAAAh07iQAAAAAAAAAAAAAAAAAQAAAAAAAAAAAAQAAAAFgAA&#10;AGRycy9QSwECFAAUAAAACACHTuJABY5jA74AAADbAAAADwAAAAAAAAABACAAAAA4AAAAZHJzL2Rv&#10;d25yZXYueG1sUEsFBgAAAAAGAAYAWwEAAM0DAAAAAA==&#10;">
                          <v:fill on="f" focussize="0,0"/>
                          <v:stroke weight="1pt" color="#FF0000 [3204]" miterlimit="8" joinstyle="miter"/>
                          <v:imagedata o:title=""/>
                          <o:lock v:ext="edit" aspectratio="f"/>
                        </v:line>
                        <v:line id="直接连接符 9" o:spid="_x0000_s1026" o:spt="20" style="position:absolute;left:7149;top:73009;height:4;width:1338;" filled="f" stroked="t" coordsize="21600,21600" o:gfxdata="UEsFBgAAAAAAAAAAAAAAAAAAAAAAAFBLAwQKAAAAAACHTuJAAAAAAAAAAAAAAAAABAAAAGRycy9Q&#10;SwMEFAAAAAgAh07iQGrCxpi+AAAA2wAAAA8AAABkcnMvZG93bnJldi54bWxFj0FrAjEUhO+C/yG8&#10;Qm+aWKmtW6MUwaKHHrQWPL4mz92tm5dlk67rvzdCweMwM98ws0XnKtFSE0rPGkZDBYLYeFtyrmH/&#10;tRq8gggR2WLlmTRcKMBi3u/NMLP+zFtqdzEXCcIhQw1FjHUmZTAFOQxDXxMn7+gbhzHJJpe2wXOC&#10;u0o+KTWRDktOCwXWtCzInHZ/TsP3yh3268+JfP41G/X+MT12P6bV+vFhpN5AROriPfzfXlsN4xe4&#10;fUk/QM6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FAAAAAgAh07iQNVcJijMAAAAjwEAAAsAAAAAAAAAAQAgAAAAsAEA&#10;AF9yZWxzLy5yZWxzUEsBAhQACgAAAAAAh07iQAAAAAAAAAAAAAAAAAYAAAAAAAAAAAAQAAAAjAEA&#10;AF9yZWxzL1BLAQIUABQAAAAIAIdO4kAzLwWeOwAAADkAAAAQAAAAAAAAAAEAIAAAACMBAABkcnMv&#10;c2hhcGV4bWwueG1sUEsBAhQACgAAAAAAh07iQAAAAAAAAAAAAAAAAAQAAAAAAAAAAAAQAAAAFgAA&#10;AGRycy9QSwECFAAUAAAACACHTuJAasLGmL4AAADbAAAADwAAAAAAAAABACAAAAA4AAAAZHJzL2Rv&#10;d25yZXYueG1sUEsFBgAAAAAGAAYAWwEAAM0DAAAAAA==&#10;">
                          <v:fill on="f" focussize="0,0"/>
                          <v:stroke weight="1pt" color="#FF0000 [3204]" miterlimit="8" joinstyle="miter"/>
                          <v:imagedata o:title=""/>
                          <o:lock v:ext="edit" aspectratio="f"/>
                        </v:line>
                      </v:group>
                    </v:group>
                  </w:pict>
                </mc:Fallback>
              </mc:AlternateContent>
            </w:r>
            <w:r>
              <w:rPr>
                <w:color w:val="000000" w:themeColor="text1"/>
                <w:spacing w:val="0"/>
                <w:kern w:val="21"/>
                <w:position w:val="0"/>
                <w:sz w:val="21"/>
                <w:szCs w:val="21"/>
                <w14:textFill>
                  <w14:solidFill>
                    <w14:schemeClr w14:val="tx1"/>
                  </w14:solidFill>
                </w14:textFill>
              </w:rPr>
              <w:drawing>
                <wp:inline distT="0" distB="0" distL="114300" distR="114300">
                  <wp:extent cx="5400040" cy="4119245"/>
                  <wp:effectExtent l="0" t="0" r="10160" b="14605"/>
                  <wp:docPr id="23" name="图片 5" descr="广元市环境管控单元图（2024年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广元市环境管控单元图（2024年版）"/>
                          <pic:cNvPicPr>
                            <a:picLocks noChangeAspect="1"/>
                          </pic:cNvPicPr>
                        </pic:nvPicPr>
                        <pic:blipFill>
                          <a:blip r:embed="rId9"/>
                          <a:stretch>
                            <a:fillRect/>
                          </a:stretch>
                        </pic:blipFill>
                        <pic:spPr>
                          <a:xfrm>
                            <a:off x="969645" y="2294890"/>
                            <a:ext cx="5400040" cy="4119245"/>
                          </a:xfrm>
                          <a:prstGeom prst="rect">
                            <a:avLst/>
                          </a:prstGeom>
                          <a:noFill/>
                          <a:ln w="9525" cap="flat" cmpd="sng">
                            <a:noFill/>
                            <a:prstDash val="solid"/>
                            <a:miter/>
                          </a:ln>
                        </pic:spPr>
                      </pic:pic>
                    </a:graphicData>
                  </a:graphic>
                </wp:inline>
              </w:drawing>
            </w:r>
          </w:p>
          <w:p>
            <w:pPr>
              <w:keepNext w:val="0"/>
              <w:keepLines w:val="0"/>
              <w:pageBreakBefore w:val="0"/>
              <w:widowControl/>
              <w:numPr>
                <w:ilvl w:val="0"/>
                <w:numId w:val="7"/>
              </w:numPr>
              <w:kinsoku/>
              <w:wordWrap/>
              <w:overflowPunct/>
              <w:topLinePunct w:val="0"/>
              <w:autoSpaceDE/>
              <w:autoSpaceDN/>
              <w:bidi w:val="0"/>
              <w:adjustRightInd/>
              <w:snapToGrid w:val="0"/>
              <w:spacing w:before="63" w:beforeLines="20" w:after="63" w:afterLines="20" w:line="240" w:lineRule="auto"/>
              <w:ind w:left="0" w:right="0" w:firstLine="0"/>
              <w:jc w:val="center"/>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本项目与广元市环境管控单元分区位置关系图</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由上图可见，本项目所在区域属于“工业重点管控单元”。</w:t>
            </w:r>
          </w:p>
          <w:p>
            <w:pPr>
              <w:pageBreakBefore w:val="0"/>
              <w:widowControl/>
              <w:numPr>
                <w:ilvl w:val="0"/>
                <w:numId w:val="16"/>
              </w:numPr>
              <w:kinsoku/>
              <w:overflowPunct/>
              <w:autoSpaceDE/>
              <w:autoSpaceDN/>
              <w:bidi w:val="0"/>
              <w:spacing w:line="360" w:lineRule="auto"/>
              <w:ind w:firstLine="482"/>
              <w:jc w:val="left"/>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广元市及各县（市、区）总体生态环境管控要求</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广元市及各县（市、区）的区域特征、发展定位和突出生态环境问题，明确广元市及各县（市、区）差异化的总体生态环境管控要求。本项目所在地属于广元市昭化区，本项目建设与广元市全市及昭化区总体生态环境管控要求符合性分析见下表。</w:t>
            </w:r>
          </w:p>
          <w:p>
            <w:pPr>
              <w:pageBreakBefore w:val="0"/>
              <w:widowControl/>
              <w:numPr>
                <w:ilvl w:val="0"/>
                <w:numId w:val="17"/>
              </w:numPr>
              <w:kinsoku/>
              <w:overflowPunct/>
              <w:autoSpaceDE/>
              <w:autoSpaceDN/>
              <w:bidi w:val="0"/>
              <w:snapToGrid w:val="0"/>
              <w:spacing w:before="62" w:beforeLines="20" w:after="62" w:afterLines="20"/>
              <w:ind w:left="0" w:firstLine="0"/>
              <w:jc w:val="center"/>
              <w:textAlignment w:val="auto"/>
              <w:outlineLvl w:val="0"/>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本项目与广元市</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昭化区</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生态环境管控单元划分情况及管控要求分析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3582"/>
              <w:gridCol w:w="3287"/>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t>行政区划</w:t>
                  </w:r>
                </w:p>
              </w:tc>
              <w:tc>
                <w:tcPr>
                  <w:tcW w:w="2136"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t>总体生态环境管控要求</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t>本项目</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81" w:type="pct"/>
                  <w:vMerge w:val="restart"/>
                  <w:vAlign w:val="center"/>
                </w:tcPr>
                <w:p>
                  <w:pPr>
                    <w:keepNext w:val="0"/>
                    <w:keepLines w:val="0"/>
                    <w:pageBreakBefore w:val="0"/>
                    <w:widowControl/>
                    <w:shd w:val="clear" w:color="auto" w:fill="FFFFFF"/>
                    <w:kinsoku/>
                    <w:wordWrap/>
                    <w:overflowPunct/>
                    <w:topLinePunct w:val="0"/>
                    <w:autoSpaceDE/>
                    <w:autoSpaceDN/>
                    <w:bidi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广元市</w:t>
                  </w:r>
                </w:p>
              </w:tc>
              <w:tc>
                <w:tcPr>
                  <w:tcW w:w="2136"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1）长江干支流岸线一公里范围不得新建、扩建化工园区和化工项目。长江干流岸线三公里范围内和重要支流岸线一公里范围内不得新建、改建、扩建尾矿库；但是以提升安全、生态环境保护水平为目的的改建除外。</w:t>
                  </w:r>
                </w:p>
              </w:tc>
              <w:tc>
                <w:tcPr>
                  <w:tcW w:w="1960"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本项目所在地不属于长江干支流岸线一公里范围，本项目不属于化工项目，不属于尾矿库。</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（2）落实《长江流域重点水域禁捕和建立补偿制度实施方案》，长江流域重点水域实施常年禁捕。</w:t>
                  </w:r>
                </w:p>
              </w:tc>
              <w:tc>
                <w:tcPr>
                  <w:tcW w:w="1960"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本项目不涉及鱼类捕捞。</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（3）结合地区资源环境禀赋，合理布局承接产业，加强环保基础设施建设，确保环境质量不降低。承接钢铁、电解铝等产业转移地区应严格落实生态环境分区管控要求，将环境质量底线作为硬约束。</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本项目不属于钢铁、电解铝等产业。</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）大熊猫国家公园严格按照《大熊猫国家公园总体规划（2023</w:t>
                  </w: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2030年）》要求进行保护、管理。</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本项目所在地不涉及大熊猫国家公园。</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）加强与嘉陵江上游甘肃陇南市、陕西汉中市环境风险联防联控。</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本次评价要求建设单位落实本报告提出的风险防范措施，建立环境风险联防联控机制。</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深化成都平原、川南、川东北地区大气污染联防联控工作机制，加强川渝地区联防联控。强化重污染天气区域应急联动机制，深化区域重污染天气联合应对。</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本次评价要求建设单位严格落实本报告提出的废气治理措施。</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结合区域生态环境质量现状，合理布局电解铝、再生铝产业。</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本项目不属于电解铝、再生铝产业。</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加强对古树名木保护，自然保护地范围内的古树名木严格落实《四川省自然保护区管理条例》《四川省古树名木保护条例》《广元市剑门蜀道保护条例》《剑阁县翠云廊古柏自然保护区管理办法》等相关保护要求，自然保护地以外的古树名木保护同样严格落实《四川省古树名木保护条例》《进一步全面加强古柏安全防范十九条措施》等相关要求。</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本项目位于已规划的工业园区，项目占地范围内无古树名木。</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81" w:type="pct"/>
                  <w:vMerge w:val="restart"/>
                  <w:vAlign w:val="center"/>
                </w:tcPr>
                <w:p>
                  <w:pPr>
                    <w:keepNext w:val="0"/>
                    <w:keepLines w:val="0"/>
                    <w:pageBreakBefore w:val="0"/>
                    <w:widowControl/>
                    <w:shd w:val="clear" w:color="auto" w:fill="FFFFFF"/>
                    <w:kinsoku/>
                    <w:wordWrap/>
                    <w:overflowPunct/>
                    <w:topLinePunct w:val="0"/>
                    <w:autoSpaceDE/>
                    <w:autoSpaceDN/>
                    <w:bidi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昭化区</w:t>
                  </w:r>
                </w:p>
              </w:tc>
              <w:tc>
                <w:tcPr>
                  <w:tcW w:w="2136"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t>（1）强化挥发性有机物控制，推广使用低（无）VOCs含量的原辅材料和生产工艺、设备。有条件的工业园区和产业集群等，推广集中喷涂、溶剂集中回收、活性炭集中再生等，加强资源共享，提高VOCs治理效率。</w:t>
                  </w:r>
                </w:p>
              </w:tc>
              <w:tc>
                <w:tcPr>
                  <w:tcW w:w="1960"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本项目封边、贴棉废气经收集后由二级活性炭吸附处理；喷漆废气经水旋柜+密闭负压收集+干式过滤+活性炭吸附脱附+催化燃烧处理</w:t>
                  </w:r>
                  <w:r>
                    <w:rPr>
                      <w:rFonts w:hint="default" w:ascii="Times New Roman" w:hAnsi="Times New Roman" w:eastAsia="宋体" w:cs="Times New Roman"/>
                      <w:color w:val="000000" w:themeColor="text1"/>
                      <w:spacing w:val="0"/>
                      <w:kern w:val="21"/>
                      <w:position w:val="0"/>
                      <w:sz w:val="21"/>
                      <w:szCs w:val="21"/>
                      <w:lang w:bidi="ar"/>
                      <w14:textFill>
                        <w14:solidFill>
                          <w14:schemeClr w14:val="tx1"/>
                        </w14:solidFill>
                      </w14:textFill>
                    </w:rPr>
                    <w:t>；固化废气经集气罩收集</w:t>
                  </w:r>
                  <w:r>
                    <w:rPr>
                      <w:rFonts w:hint="default" w:ascii="Times New Roman" w:hAnsi="Times New Roman" w:eastAsia="宋体" w:cs="Times New Roman"/>
                      <w:color w:val="000000" w:themeColor="text1"/>
                      <w:spacing w:val="0"/>
                      <w:kern w:val="21"/>
                      <w:positio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二级活性炭吸附处理</w:t>
                  </w:r>
                  <w:r>
                    <w:rPr>
                      <w:rFonts w:hint="default" w:ascii="Times New Roman" w:hAnsi="Times New Roman" w:eastAsia="宋体" w:cs="Times New Roman"/>
                      <w:color w:val="000000" w:themeColor="text1"/>
                      <w:spacing w:val="0"/>
                      <w:kern w:val="21"/>
                      <w:position w:val="0"/>
                      <w:sz w:val="21"/>
                      <w:szCs w:val="21"/>
                      <w:lang w:bidi="ar"/>
                      <w14:textFill>
                        <w14:solidFill>
                          <w14:schemeClr w14:val="tx1"/>
                        </w14:solidFill>
                      </w14:textFill>
                    </w:rPr>
                    <w:t>。</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t>（2）禁止在水产种质资源保护区内新建排污口。在水产种质资源保护区附近新建、改建、扩建排污口，应当保证保护区水体不受污染。</w:t>
                  </w:r>
                </w:p>
              </w:tc>
              <w:tc>
                <w:tcPr>
                  <w:tcW w:w="1960"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本项目所在地不涉及水产种质资源保护区，本项目不涉及排污口建设。</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t>（3）鼓励食品、发酵等高耗水企业加强废水循环利用，降低单位产品耗水量。强化用水定额管理，提高水资源循环利用效率。</w:t>
                  </w:r>
                </w:p>
              </w:tc>
              <w:tc>
                <w:tcPr>
                  <w:tcW w:w="1960" w:type="pct"/>
                  <w:vMerge w:val="restar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本项目不属于食品、发酵等高耗水企业。本项目水旋柜水循环使用后，定期更换，作为危废交由有资质单位进行处理，不外排。</w:t>
                  </w: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p>
              </w:tc>
              <w:tc>
                <w:tcPr>
                  <w:tcW w:w="2136"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t>（4）开展污水资源化利用，推进节水型城市建设。</w:t>
                  </w:r>
                </w:p>
              </w:tc>
              <w:tc>
                <w:tcPr>
                  <w:tcW w:w="1960" w:type="pct"/>
                  <w:vMerge w:val="continue"/>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both"/>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p>
              </w:tc>
              <w:tc>
                <w:tcPr>
                  <w:tcW w:w="521" w:type="pct"/>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综上所述，本项目建设</w:t>
            </w:r>
            <w:r>
              <w:rPr>
                <w:rFonts w:ascii="Times New Roman" w:hAnsi="Times New Roman" w:eastAsia="宋体" w:cs="Times New Roman"/>
                <w:b w:val="0"/>
                <w:bCs w:val="0"/>
                <w:snapToGrid w:val="0"/>
                <w:color w:val="000000" w:themeColor="text1"/>
                <w:spacing w:val="0"/>
                <w:kern w:val="21"/>
                <w:position w:val="0"/>
                <w:sz w:val="24"/>
                <w14:textFill>
                  <w14:solidFill>
                    <w14:schemeClr w14:val="tx1"/>
                  </w14:solidFill>
                </w14:textFill>
              </w:rPr>
              <w:t>《广元市人民政府办公室关于加强生态环境分区管控的通知》（广府办函〔2024〕26号）</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二、其他符合性分析</w:t>
            </w:r>
          </w:p>
          <w:p>
            <w:pPr>
              <w:pageBreakBefore w:val="0"/>
              <w:widowControl/>
              <w:kinsoku/>
              <w:overflowPunct/>
              <w:autoSpaceDE/>
              <w:autoSpaceDN/>
              <w:bidi w:val="0"/>
              <w:spacing w:line="360" w:lineRule="auto"/>
              <w:ind w:firstLine="482"/>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1、</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与《四川省、重庆市长江经济带发展负面清单实施细则》（试行，2022年版）符合性分析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项目与《四川省、重庆市长江经济带发展负面清单实施细则》（试行，2022年版）符合性分析见下表。</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与《四川省、重庆市长江经济带发展负面清单实施细则》（试行，2022年版）分析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6"/>
              <w:gridCol w:w="2916"/>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管控内容</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本项目情况</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是否属于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 xml:space="preserve">第五条 </w:t>
                  </w:r>
                  <w:r>
                    <w:rPr>
                      <w:rFonts w:ascii="Times New Roman" w:hAnsi="Times New Roman" w:eastAsia="宋体" w:cs="Times New Roman"/>
                      <w:color w:val="000000" w:themeColor="text1"/>
                      <w:spacing w:val="0"/>
                      <w:kern w:val="21"/>
                      <w:position w:val="0"/>
                      <w:szCs w:val="21"/>
                      <w14:textFill>
                        <w14:solidFill>
                          <w14:schemeClr w14:val="tx1"/>
                        </w14:solidFill>
                      </w14:textFill>
                    </w:rPr>
                    <w:t>禁止新建、改建和扩建不符合全国港口布局规划，以及《四川省内河水运发展规划》《泸州-宜宾-乐山港口群布局规划》《重庆港总体规划（2035年）》等省级港口布局规划及市级港口总体规划的码头项目。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本项目不属于码头项目。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第六条 禁止新建、改建和扩建不符合《长江干线过江通道布局规划（2020-2035年）》的过长江通道项目（含桥梁、隧道），国家发展改革委同意过长江通道线位调整的除外。</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本项目不属于过长江通道项目（含桥梁、隧道）。</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第七条 禁止在自然保护区核心区、缓冲区的岸线和河段范围内投资建设旅游和生产经营项目。自然保护区的内部未分区的，依照核心区和缓冲区的规定管控。</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w:t>
                  </w:r>
                  <w:r>
                    <w:rPr>
                      <w:rFonts w:ascii="Times New Roman" w:hAnsi="Times New Roman" w:eastAsia="宋体" w:cs="Times New Roman"/>
                      <w:bCs/>
                      <w:color w:val="000000" w:themeColor="text1"/>
                      <w:spacing w:val="0"/>
                      <w:kern w:val="21"/>
                      <w:position w:val="0"/>
                      <w:szCs w:val="21"/>
                      <w14:textFill>
                        <w14:solidFill>
                          <w14:schemeClr w14:val="tx1"/>
                        </w14:solidFill>
                      </w14:textFill>
                    </w:rPr>
                    <w:t>所在地</w:t>
                  </w:r>
                  <w:r>
                    <w:rPr>
                      <w:rFonts w:ascii="Times New Roman" w:hAnsi="Times New Roman" w:eastAsia="宋体" w:cs="Times New Roman"/>
                      <w:color w:val="000000" w:themeColor="text1"/>
                      <w:spacing w:val="0"/>
                      <w:kern w:val="21"/>
                      <w:position w:val="0"/>
                      <w:szCs w:val="21"/>
                      <w14:textFill>
                        <w14:solidFill>
                          <w14:schemeClr w14:val="tx1"/>
                        </w14:solidFill>
                      </w14:textFill>
                    </w:rPr>
                    <w:t>不属于自然保护区核心区、缓冲区的岸线和河岸范围内。</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第八条 禁止违反风景名胜区规划，在风景名胜区内设立各类开发区。禁止在风景名胜区核心景区的岸线和河段范围内建设宾馆、招待所、培训中心、疗养院以及与风景名胜资源保护无关的项目。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不属于风景名胜区，不属于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风景名胜区核心景区的岸线和河段范围内</w:t>
                  </w: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第九条 禁止在饮用水水源准保护区的岸线和河段范围内新建、扩建对水体污染严重的建设项目，禁止改建增加排污量的建设项目。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饮用水水源准保护区的岸线和河段范围内。</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第十条 饮用水水源二级保护区的岸线和河段范围内，除遵守准保护区规定外，禁止新建、改建、扩建排放污染物的投资建设项目；禁止从事对水体有污染的水产养殖等活动。</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本项目不位于饮用水水源二级保护区的岸线和河段范围内，不属于水产养殖项目。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饮用水水源二级保护区的岸线和河段范围内；项目建设不属于水产养殖等活动。</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第十二条 禁止在水产种质资源保护区岸线和河段范围内新建围湖造田、围湖造地或挖沙采石等投资建设项目。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w:t>
                  </w:r>
                  <w:r>
                    <w:rPr>
                      <w:rFonts w:ascii="Times New Roman" w:hAnsi="Times New Roman" w:eastAsia="宋体" w:cs="Times New Roman"/>
                      <w:bCs/>
                      <w:color w:val="000000" w:themeColor="text1"/>
                      <w:spacing w:val="0"/>
                      <w:kern w:val="21"/>
                      <w:position w:val="0"/>
                      <w:szCs w:val="21"/>
                      <w14:textFill>
                        <w14:solidFill>
                          <w14:schemeClr w14:val="tx1"/>
                        </w14:solidFill>
                      </w14:textFill>
                    </w:rPr>
                    <w:t>所在地不属于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水产种质资源保护区岸线和河段范围内。</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国家湿地公园的岸线和河段范围内。</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本项目建设未占用长江流域河湖岸线，不属于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《长江岸线保护和开发利用总体规划》划定的岸线保护区和岸线保留区内</w:t>
                  </w: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第十五条 禁止在《全国重要江河湖泊水功能区划》划定的河段及湖泊保护区、保留区内投资建设不利于水资源及自然生态保护的项目。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本项目所在地不属于《全国重要江河湖泊水功能区划》划定的河段及湖泊保护区、保留区。</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第十六条 禁止在长江流域江河、湖泊新设、改设或者扩大排污口，经有管辖权的生态环境主管部门或者长江流域生态环境监督管理机构同意的除外。</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本项目不涉及排污口建设。</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第十七条 禁止在长江干流、大渡河、岷江、赤水河、沱江、嘉陵江、乌江、汉江和51个（四川省45个、重庆市6个）水生生物保护区开展生产性捕捞。</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本项目所在地不属于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长江干流、大渡河、岷江、赤水河、沱江、嘉陵江、乌江、汉江和51个（四川省45个、重庆市6个）水生生物保护区，项目建设不涉及生产性捕捞。</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第十八条 禁止在长江干支流、重要湖泊岸线一公里范围内新建、扩建化工园区和化工项目。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本项目建设不属于化工园区和化工项目。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第十九条 禁止在长江干流岸线三公里范围内和重要支流岸线一公里范围内新建、改建、扩建尾矿库、冶炼渣库、磷石膏库，以提升安全、生态环境保护水平为目的的改建除外。</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本项目建设不属于尾矿库、冶炼渣库、磷石膏库。</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第二十条 禁止在生态保护红线区域、永久基本农田集中区域和其他需要特别保护的区域内选址建设尾矿库、冶炼渣库、磷石膏库。</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本项目所在地不属于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生态保护红线区域、永久基本农田集中区域和其他需要特别保护的区域内，项目建设</w:t>
                  </w: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不属于尾矿库、冶炼渣库、磷石膏库。</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第二十一条 禁止在合规园区外新建、扩建钢铁、石化、化工、焦化、建材、有色、制浆造纸等高污染项目。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本项目建设不属于新建、扩建、钢铁、石化、化工、焦化、建材、有色、制浆造纸等高污染项目。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第二十二条 禁止新建、扩建不符合国家石化、现代煤化工等产业布局规划的项目。</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（一）严格控制新增炼油产能，未列入《石化产业规划布局方案（修订版）》的新增炼油产能一律不得建设。</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（二）新建煤制烯烃、煤制芳烃项目必须列入《现代煤化工产业创新发展布局方案》，必须符合《现代煤化工建设项目环境准入条件（试行）》要求。</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本项目建设不属于石化、现代煤化工项目，项目建设不新增炼油产能，不属于新建煤制烯烃、煤制芳烃项目。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法律法规和相关政策明令禁止的落后产能项目，不属于《产业结构调整指导目录》中的淘汰类、限制类项目。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第二十四条 禁止新建、扩建不符合国家产能置换要求的严重过剩产能行业的项目。对于不符合国家产能置换要求的严重过剩产能行业，不得以其他任何名义、任何方式备案新增产能项目。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本项目建设不属于</w:t>
                  </w:r>
                  <w:r>
                    <w:rPr>
                      <w:rFonts w:ascii="Times New Roman" w:hAnsi="Times New Roman" w:eastAsia="宋体" w:cs="Times New Roman"/>
                      <w:color w:val="000000" w:themeColor="text1"/>
                      <w:spacing w:val="0"/>
                      <w:kern w:val="21"/>
                      <w:position w:val="0"/>
                      <w:szCs w:val="21"/>
                      <w14:textFill>
                        <w14:solidFill>
                          <w14:schemeClr w14:val="tx1"/>
                        </w14:solidFill>
                      </w14:textFill>
                    </w:rPr>
                    <w:t>不符合国家产能置换要求的严重过剩产能行业的项目。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第二十五条 禁止建设以下燃油汽车投资项目（不在中国境内销售产品的投资项目除外）∶</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（一）新建独立燃油汽车企业；</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（二）现有汽车企业跨乘用车、商用车类别建设燃油汽车生产能力；</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（三）外省现有燃油汽车企业整体搬迁至本省（列入国家级区域发展规划或不改变企业股权结构的项目除外）；</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（四）对行业管理部门特别公示的燃油汽车企业进行投资（企业原有股东投资或将该企业转为非独立法人的投资项目除外）。</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本项目建设不属于燃油汽车投资项目。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第二十六条 禁止新建、扩建不符合要求的高耗能、高排放、低水平项目。</w:t>
                  </w:r>
                </w:p>
              </w:tc>
              <w:tc>
                <w:tcPr>
                  <w:tcW w:w="173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本项目建设不属于高耗能、高排放、低水平项目。</w:t>
                  </w:r>
                </w:p>
              </w:tc>
              <w:tc>
                <w:tcPr>
                  <w:tcW w:w="69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不属于</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由上表可知，本项目不在《四川省、重庆市长江经济带发展负面清单实施细则（试行，2022年版）》确定的管控内容之列，项目的建设是可行的。</w:t>
            </w:r>
          </w:p>
          <w:p>
            <w:pPr>
              <w:pageBreakBefore w:val="0"/>
              <w:widowControl/>
              <w:kinsoku/>
              <w:overflowPunct/>
              <w:autoSpaceDE/>
              <w:autoSpaceDN/>
              <w:bidi w:val="0"/>
              <w:spacing w:line="360" w:lineRule="auto"/>
              <w:ind w:left="482"/>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2、</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与《四川省“十四五”生态环境保护规划》相符性分析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四川省人民政府于2022年1月17日印发《四川省“十四五”生态环境保护规划》（川府发〔2022〕2号），本项目与其符合性分析如下。</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项目与《四川省“十四五”生态环境保护规划》符合性分析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3300"/>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规划内容</w:t>
                  </w:r>
                </w:p>
              </w:tc>
              <w:tc>
                <w:tcPr>
                  <w:tcW w:w="330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本项目情况</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-控制挥发性有机物（VOCs）排放。严格控制VOCs排放总量，新建VOCs项目应实施等量或倍量替代。强化VOCs源头削减，以工业涂装、家具制造、包装印刷等行业为重点，大力推进低（无）VOCs含量原辅材料替代。</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-严格控制生产和使用高VOCs含量溶剂型涂料、油墨、胶粘剂、清洗剂等建设项目。</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强化VOCs综合治理，以石化、化工、工业涂装、包装印刷、电子、纺织印染、制鞋、家具制造、油品储运销等行业为重点，提升废气收集率、治污设施同步运行率和去除率，科学合理选择治理工艺，推进设施设备提标升级改造。</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-强化无组织排放管控，加大含VOCs物料储存、转移和输送、设备与管线组件泄漏、敞开液面逸散等管控力度，开展泄漏检测与修复工作。强化企业VOCs排放达标监管，实施季节性调控。</w:t>
                  </w:r>
                </w:p>
              </w:tc>
              <w:tc>
                <w:tcPr>
                  <w:tcW w:w="3300"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本项目生产过程中使用</w:t>
                  </w:r>
                  <w:r>
                    <w:rPr>
                      <w:rFonts w:ascii="Times New Roman" w:hAnsi="Times New Roman" w:eastAsia="宋体" w:cs="Times New Roman"/>
                      <w:color w:val="000000" w:themeColor="text1"/>
                      <w:spacing w:val="0"/>
                      <w:kern w:val="21"/>
                      <w:position w:val="0"/>
                      <w:szCs w:val="21"/>
                      <w14:textFill>
                        <w14:solidFill>
                          <w14:schemeClr w14:val="tx1"/>
                        </w14:solidFill>
                      </w14:textFill>
                    </w:rPr>
                    <w:t>低VOCs含量的</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水性涂料、水性胶黏剂，不涉及溶剂型涂料使用，</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本次评价要求建设单位严格落实本报告提出的含VOCs物料储存、转移和输送、设备与管线组件泄漏、敞开液面逸散等管控要求，定期开展泄漏检测与修复工作，确保VOCs实现达标排放。</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-强化工业污水综合整治。深入实施工业企业污水处理设施升级改造，重点开展电子信息、造纸、印染、化工、酿造等行业废水专项治理，全面实现工业废水达标排放。</w:t>
                  </w:r>
                </w:p>
              </w:tc>
              <w:tc>
                <w:tcPr>
                  <w:tcW w:w="3300"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本项目不属于电子信息、造纸、印染、化工、酿造等废水专项治理重点行业。本项目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水旋柜</w:t>
                  </w:r>
                  <w:r>
                    <w:rPr>
                      <w:rFonts w:ascii="Times New Roman" w:hAnsi="Times New Roman" w:cs="Times New Roman"/>
                      <w:color w:val="000000" w:themeColor="text1"/>
                      <w:spacing w:val="0"/>
                      <w:kern w:val="21"/>
                      <w:position w:val="0"/>
                      <w:szCs w:val="21"/>
                      <w14:textFill>
                        <w14:solidFill>
                          <w14:schemeClr w14:val="tx1"/>
                        </w14:solidFill>
                      </w14:textFill>
                    </w:rPr>
                    <w:t>水循环使用，定期更换，作为危废交由有资质单位进行处理，不外排</w:t>
                  </w: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经预处理池处理、脱脂-硅烷化废水经厂区自建污水站处理后</w:t>
                  </w:r>
                  <w:r>
                    <w:rPr>
                      <w:rFonts w:ascii="Times New Roman" w:hAnsi="Times New Roman" w:eastAsia="宋体" w:cs="Times New Roman"/>
                      <w:color w:val="000000" w:themeColor="text1"/>
                      <w:spacing w:val="0"/>
                      <w:kern w:val="21"/>
                      <w:position w:val="0"/>
                      <w:szCs w:val="21"/>
                      <w14:textFill>
                        <w14:solidFill>
                          <w14:schemeClr w14:val="tx1"/>
                        </w14:solidFill>
                      </w14:textFill>
                    </w:rPr>
                    <w:t>依托园区已建污水管网收集后排入泉坝污水厂进一步处理。</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建立固废信息清单。深入推进固体废物申报登记制度，落实工业企业污染防治的主体责任，建立并动态更新固体废物重点监管点位清单。开展主要固体废物（危险废物）贮存场所排查，建立“一库一档”。探索开展固体废物（危险废物）“二维码”数字信息登记管理制度。开展危险废物申报登记试点，摸清危险废物产生、转移、贮存、利用和处置情况，推动建立危险废物“三个清单”，持续推进危险废物规范化环境管理评估工作。</w:t>
                  </w:r>
                </w:p>
              </w:tc>
              <w:tc>
                <w:tcPr>
                  <w:tcW w:w="3300"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本项目一般工业固体废物分类存放，定期外售处置；危险废物暂存于危废暂存间，定期交由有危废处理资质的单位进行处置。本次评价要求建设单位建立固废信息清单，建立危废台账，记录</w:t>
                  </w:r>
                  <w:r>
                    <w:rPr>
                      <w:rFonts w:ascii="Times New Roman" w:hAnsi="Times New Roman" w:eastAsia="宋体" w:cs="Times New Roman"/>
                      <w:color w:val="000000" w:themeColor="text1"/>
                      <w:spacing w:val="0"/>
                      <w:kern w:val="21"/>
                      <w:position w:val="0"/>
                      <w:szCs w:val="21"/>
                      <w14:textFill>
                        <w14:solidFill>
                          <w14:schemeClr w14:val="tx1"/>
                        </w14:solidFill>
                      </w14:textFill>
                    </w:rPr>
                    <w:t>危险废物产生、转移、贮存、利用和处置情况。</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45"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行业、园区、企业风险防范管控。健全环境安全隐患治理制度，落实化工园区、饮用水水源地、尾矿库及涉危、涉重、涉有毒有害物质的重点区域、行业、领域环境风险防控措施，建立环境安全隐患动态清单，落实环境风险防范主体责任，防范化解重特大突发生态环境事件风险。</w:t>
                  </w:r>
                </w:p>
              </w:tc>
              <w:tc>
                <w:tcPr>
                  <w:tcW w:w="3300"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本次评价要求建设单位严格落实本报告提出的各项风险防范措施，定期组织风险防范演练，建立环境风险应急预案，并向当地环境主管部门进行备案。</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-提升环境应急管理能力。加强企业突发生态环境事件应急预案管理，强化技术指导，落实企业环境安全隐患排查治理制度，督促企业按行业完善企业备案，强化企业应急实战演练。</w:t>
                  </w:r>
                </w:p>
              </w:tc>
              <w:tc>
                <w:tcPr>
                  <w:tcW w:w="3300"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本次评价要求建设单位建立环境风险应急预案，提高企业管理人员的环境风险防范意识，严格落实环境风险隐患排查治理制度。</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-加强危险化学品环境监管。优化高风险化学品企业布局，加快“退城入园”进度，逐步退出环境敏感区。持续开展全省危险化学品领域环境风险排查。</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-开展现有化学物质环境信息统计，强化新化学物质环境管理登记，对废弃危险化学品等危险废物实施全生命周期信息追溯管控。</w:t>
                  </w:r>
                </w:p>
              </w:tc>
              <w:tc>
                <w:tcPr>
                  <w:tcW w:w="3300"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本项目不属于高风险化学品项目。本项目化学物质存放于化学品库中，定期对化学物质的使用、消耗用量建立台账，记录在册。废弃危险化学品等危险废物储存于危废间内，委托有资质的单位处理。</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综上，本项目的建设符合《四川省“十四五”生态环境保护规划》中的相关要求。</w:t>
            </w:r>
          </w:p>
          <w:p>
            <w:pPr>
              <w:pageBreakBefore w:val="0"/>
              <w:widowControl/>
              <w:kinsoku/>
              <w:overflowPunct/>
              <w:autoSpaceDE/>
              <w:autoSpaceDN/>
              <w:bidi w:val="0"/>
              <w:spacing w:line="360" w:lineRule="auto"/>
              <w:ind w:left="482"/>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3、</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与《广元市“十四五”生态环境保护规划》相符性分析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本项目与《广元市“十四五”生态环境保护规划》符合性分析见下表。</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与《广元市“十四五”生态环境保护规划》相符性分析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2"/>
              <w:gridCol w:w="313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2"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《规划》要求</w:t>
                  </w:r>
                </w:p>
              </w:tc>
              <w:tc>
                <w:tcPr>
                  <w:tcW w:w="31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本项目情况</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2"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深入推进工业源治理。加强燃煤锅炉淘汰力度，推动县级及以上城市建成区淘汰35蒸吨/小时以下的燃煤锅炉，完成65蒸吨及以上燃煤锅炉（含电力）超低排放改造，推动燃气锅炉低氮燃烧改造。加强砖瓦行业轮窑生产线淘汰和烟气深度治理，推动商品混凝土加工行业企业深度治理改造，加强砂石厂密闭生产和运输改造。以家具、油品储存与运输、建筑涂料、汽修等为重点领域，实施VOCs排放总量控制和倍量替代制度。</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-推进面源污染控制。全面加强施工扬尘污染控制，积极开展绿色、文明施工标准化建设，推进城市建成区工地安装扬尘在线监控设备，严格各项防尘措施。</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协同控制其他污染物。开展铅、汞、锡、苯并（a）芘、二噁英等有毒有害大气污染物调查监测，再生有色金属生产、炼钢生产、废弃物焚烧和遗体火化等重点行业实施二噁英减排示范工程，对垃圾焚烧发电厂每年定期开展二噁英监督性监测。禁止露天焚烧可能产生有毒有害烟尘和恶臭的物质或将其用作燃料。积极推进大气汞排放控制。协同控制温室气体排放。</w:t>
                  </w:r>
                </w:p>
              </w:tc>
              <w:tc>
                <w:tcPr>
                  <w:tcW w:w="3133" w:type="dxa"/>
                  <w:vAlign w:val="center"/>
                </w:tcPr>
                <w:p>
                  <w:pPr>
                    <w:pageBreakBefore w:val="0"/>
                    <w:widowControl/>
                    <w:numPr>
                      <w:ilvl w:val="0"/>
                      <w:numId w:val="18"/>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本项目不涉及燃煤锅炉使用，不属于砖瓦行业、商品混凝土加工行业企业，不属于家具、油品储存与运输、建筑涂料、汽修行业企业。本项目VOCs总量由生态环境主管部门协调。</w:t>
                  </w:r>
                </w:p>
                <w:p>
                  <w:pPr>
                    <w:pageBreakBefore w:val="0"/>
                    <w:widowControl/>
                    <w:numPr>
                      <w:ilvl w:val="0"/>
                      <w:numId w:val="18"/>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本项目施工期严格执行各项防尘措施，在施工现场采取洒水降尘等措施降低施工期粉尘对内部工人及外环境的影响。</w:t>
                  </w:r>
                </w:p>
                <w:p>
                  <w:pPr>
                    <w:pageBreakBefore w:val="0"/>
                    <w:widowControl/>
                    <w:numPr>
                      <w:ilvl w:val="0"/>
                      <w:numId w:val="18"/>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本项目不涉及铅、汞、锡、苯并（a）芘、二噁英等有毒有害大气污染物的排放，不属于再生有色金属生产、炼钢生产、废弃物焚烧和遗体火化等重点行业，不涉及露天焚烧。</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4312"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对开发建设活动的生态监管，嘉陵江干流1公里范围内不新增化工企业；严格落实畜禽养殖禁养区制度。加大对水土保持功能重要区、水土流失敏感区、矿山开采区生态修复和保育力度，禁止在水土流失严重、生态脆弱的区域开展可能造成水土流失的生产建设活动，持续提升流域生态空间品质。</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严格涉水企业环境准入，落实排污许可制度，严控工业废水未经处理或未有效处理直接排入城镇污水处理系统，严厉查处超标、超总量排放或偷排工业废水，加强企业废水预处理和排水管理，严格执行污水处理厂接管标准。实施电镀、食品饮料、生物医药等涉水行业清洁生产技术改造，全面实现工业废水达标排放或循环利用。强化工业园区废水排放控制，推进广元经济技术开发区等8个工业园区（集聚区）污水治理能力和污水管网排查整治，加快完善园区及企业雨污分流系统，禁止雨污混排，推动园区初期雨水收集处理，确保工业废水“全达标”排放。</w:t>
                  </w:r>
                </w:p>
              </w:tc>
              <w:tc>
                <w:tcPr>
                  <w:tcW w:w="3133" w:type="dxa"/>
                  <w:vAlign w:val="center"/>
                </w:tcPr>
                <w:p>
                  <w:pPr>
                    <w:pageBreakBefore w:val="0"/>
                    <w:widowControl/>
                    <w:numPr>
                      <w:ilvl w:val="0"/>
                      <w:numId w:val="19"/>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本项目所在地不属于嘉陵江干流1公里范围内，不属于水土流失严重、生态脆弱的区域。本项目不属于化工企业，不涉及畜禽养殖。</w:t>
                  </w:r>
                </w:p>
                <w:p>
                  <w:pPr>
                    <w:pageBreakBefore w:val="0"/>
                    <w:widowControl/>
                    <w:numPr>
                      <w:ilvl w:val="0"/>
                      <w:numId w:val="19"/>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本项目不属于电镀、食品饮料、生物医药等涉水行业，本项目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水旋柜</w:t>
                  </w:r>
                  <w:r>
                    <w:rPr>
                      <w:rFonts w:ascii="Times New Roman" w:hAnsi="Times New Roman" w:cs="Times New Roman"/>
                      <w:color w:val="000000" w:themeColor="text1"/>
                      <w:spacing w:val="0"/>
                      <w:kern w:val="21"/>
                      <w:position w:val="0"/>
                      <w:szCs w:val="21"/>
                      <w14:textFill>
                        <w14:solidFill>
                          <w14:schemeClr w14:val="tx1"/>
                        </w14:solidFill>
                      </w14:textFill>
                    </w:rPr>
                    <w:t>水循环使用，定期更换，作为危废交由有资质单位进行处理，不外排</w:t>
                  </w: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经预处理池处理、脱脂-硅烷化废水经厂区自建污水站处理后</w:t>
                  </w:r>
                  <w:r>
                    <w:rPr>
                      <w:rFonts w:ascii="Times New Roman" w:hAnsi="Times New Roman" w:eastAsia="宋体" w:cs="Times New Roman"/>
                      <w:color w:val="000000" w:themeColor="text1"/>
                      <w:spacing w:val="0"/>
                      <w:kern w:val="21"/>
                      <w:position w:val="0"/>
                      <w:szCs w:val="21"/>
                      <w14:textFill>
                        <w14:solidFill>
                          <w14:schemeClr w14:val="tx1"/>
                        </w14:solidFill>
                      </w14:textFill>
                    </w:rPr>
                    <w:t>依托园区已建污水管网收集后排入泉坝污水厂进一步处理。</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2"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-提升工业固体废物综合利用水平，提高资源利用效率，重点推进冶炼废渣、煤炭开采洗选、金属矿采选等行业工业固体废弃物综合利用。</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-确保危险废物安全处理处置。完善危险废物分类回收利用体系，建设涉铝危废综合利用项目。</w:t>
                  </w:r>
                </w:p>
              </w:tc>
              <w:tc>
                <w:tcPr>
                  <w:tcW w:w="3133"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本项目一般工业固体废物分类存放，定期外售处置；危险废物暂存于危废暂存间，定期交由有危废处理资质的单位进行处置。</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2"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严格控制新增重金属排放。严格控制涉重金属产业新增产能的快速增长，加大涉重金属行业落后产能淘汰力度。新（改、扩）建重金属排放项目，严格落实重金属污染物排放“减量置换”或“等量替代”原则，严格控制涉重金属项目环评审批。引导涉重金属企业进入工业园区，实现园区集聚发展，原则上不得在工业园区外新（改、扩）建增加重金属污染物排放的项目。禁止新建污染物产生和排放强度超过行业平均水平项目。严格涉重金属行业污染物排放，支持企业绿色化提标改造。</w:t>
                  </w:r>
                </w:p>
              </w:tc>
              <w:tc>
                <w:tcPr>
                  <w:tcW w:w="3133"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本项目不涉及重金属污染物排放。</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2"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行业、园区、企业风险防范管控。健全环境安全隐患治理制度，落实涉危、涉重、有毒有害物质等重点行业和园区、饮用水水源地、尾矿库等重点领域的环境风险防控措施，建立环境安全隐患动态清单。提高企业污染隐患和环境风险防范意识，落实企业环境风险防范主体责任，督促企业健全环境应急体系和环境风险防范措施，定期开展环境应急演练确保设施设备正常运行，提高环境污染事故应急反应能力。</w:t>
                  </w:r>
                </w:p>
              </w:tc>
              <w:tc>
                <w:tcPr>
                  <w:tcW w:w="3133"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本次评价要求建设单位配合园区进行风险管控，增强环境风险防范的意识，严格落实本次评价提出的风险防范措施，制定环境风险应急预案，定期开展环境应急演练，杜绝环境风险事故的发生。</w:t>
                  </w:r>
                </w:p>
              </w:tc>
              <w:tc>
                <w:tcPr>
                  <w:tcW w:w="933"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综上所述，本项目建设符合《广元市“十四五”生态环境保护规划》要求。</w:t>
            </w:r>
          </w:p>
          <w:p>
            <w:pPr>
              <w:pageBreakBefore w:val="0"/>
              <w:widowControl/>
              <w:kinsoku/>
              <w:overflowPunct/>
              <w:autoSpaceDE/>
              <w:autoSpaceDN/>
              <w:bidi w:val="0"/>
              <w:spacing w:line="360" w:lineRule="auto"/>
              <w:ind w:left="420" w:left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4、</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与《广元市昭化区“十四五”生态环境保护规划》相符性分析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本项目与《广元市昭化区“十四五”生态环境保护规划》符合性分析见下表。</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与《广元市昭化区“十四五”生态环境保护规划》相符性分析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3750"/>
              <w:gridCol w:w="2886"/>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序号</w:t>
                  </w:r>
                </w:p>
              </w:tc>
              <w:tc>
                <w:tcPr>
                  <w:tcW w:w="3750"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控制要求</w:t>
                  </w:r>
                </w:p>
              </w:tc>
              <w:tc>
                <w:tcPr>
                  <w:tcW w:w="2886"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本项目情况</w:t>
                  </w:r>
                </w:p>
              </w:tc>
              <w:tc>
                <w:tcPr>
                  <w:tcW w:w="101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750"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严格按照《关于利用综合标准依法依规推动落后产能退出的指导意见》《产业结构调整目录（2019年本）》要求，严格产业环境准入，推进砖瓦等建材行业落后产能淘汰、企业转型升级工作。全面推进城市建成区燃煤锅炉达标排放，推动燃气锅炉低氮燃烧改造。</w:t>
                  </w:r>
                </w:p>
              </w:tc>
              <w:tc>
                <w:tcPr>
                  <w:tcW w:w="2886"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本项目不属于限制类、淘汰类项目，为允许类项目。本项目不涉及燃煤锅炉。</w:t>
                  </w:r>
                </w:p>
              </w:tc>
              <w:tc>
                <w:tcPr>
                  <w:tcW w:w="101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3750"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加快推进重点园区、重点企业挥发性有机物综合治理，严格实施VOCs排放总量控制，制定VOCs专项整治方案，提高企业VOCs收集率、治理设施同步运行率和去除率。科学开展VOCs和NO</w:t>
                  </w:r>
                  <w:r>
                    <w:rPr>
                      <w:rFonts w:ascii="Times New Roman" w:hAnsi="Times New Roman" w:eastAsia="宋体" w:cs="Times New Roman"/>
                      <w:color w:val="000000" w:themeColor="text1"/>
                      <w:spacing w:val="0"/>
                      <w:kern w:val="21"/>
                      <w:position w:val="0"/>
                      <w:sz w:val="14"/>
                      <w:szCs w:val="14"/>
                      <w14:textFill>
                        <w14:solidFill>
                          <w14:schemeClr w14:val="tx1"/>
                        </w14:solidFill>
                      </w14:textFill>
                    </w:rPr>
                    <w:t>X</w:t>
                  </w:r>
                  <w:r>
                    <w:rPr>
                      <w:rFonts w:ascii="Times New Roman" w:hAnsi="Times New Roman" w:eastAsia="宋体" w:cs="Times New Roman"/>
                      <w:color w:val="000000" w:themeColor="text1"/>
                      <w:spacing w:val="0"/>
                      <w:kern w:val="21"/>
                      <w:position w:val="0"/>
                      <w:szCs w:val="21"/>
                      <w14:textFill>
                        <w14:solidFill>
                          <w14:schemeClr w14:val="tx1"/>
                        </w14:solidFill>
                      </w14:textFill>
                    </w:rPr>
                    <w:t>协同减排，进一步加快大气环境治理体系和治理能力现代化建设，建立完善的监测体系及监控平台。保证城区空气质量优良率保持在95%以上。</w:t>
                  </w:r>
                </w:p>
              </w:tc>
              <w:tc>
                <w:tcPr>
                  <w:tcW w:w="2886"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101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3750"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推进工业废水综合治理。严格执行工业企业废水排放标准，严禁废水未经处理或未有效处理直接排入城镇污水处理系统，以排污许可为核心，加强废水排放企业监督管理。完善园区及企业雨污分流系统，推动初期雨水收集设施建设，严格执行污水处理厂接管标准，推动园区实施入园企业“一企一管、明管输送、实时监测”。强化重点工业行业清洁化改造，完善工业园区污水处理设施建设，引进园区环保管家、智慧环保服务。</w:t>
                  </w:r>
                </w:p>
              </w:tc>
              <w:tc>
                <w:tcPr>
                  <w:tcW w:w="2886"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厂区雨污分流，本项目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水旋柜</w:t>
                  </w:r>
                  <w:r>
                    <w:rPr>
                      <w:rFonts w:ascii="Times New Roman" w:hAnsi="Times New Roman" w:cs="Times New Roman"/>
                      <w:color w:val="000000" w:themeColor="text1"/>
                      <w:spacing w:val="0"/>
                      <w:kern w:val="21"/>
                      <w:position w:val="0"/>
                      <w:szCs w:val="21"/>
                      <w14:textFill>
                        <w14:solidFill>
                          <w14:schemeClr w14:val="tx1"/>
                        </w14:solidFill>
                      </w14:textFill>
                    </w:rPr>
                    <w:t>水循环使用，定期更换，作为危废交由有资质单位进行处理，不外排</w:t>
                  </w: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经预处理池处理、脱脂-硅烷化废水经厂区自建污水站处理后</w:t>
                  </w:r>
                  <w:r>
                    <w:rPr>
                      <w:rFonts w:ascii="Times New Roman" w:hAnsi="Times New Roman" w:eastAsia="宋体" w:cs="Times New Roman"/>
                      <w:color w:val="000000" w:themeColor="text1"/>
                      <w:spacing w:val="0"/>
                      <w:kern w:val="21"/>
                      <w:position w:val="0"/>
                      <w:szCs w:val="21"/>
                      <w14:textFill>
                        <w14:solidFill>
                          <w14:schemeClr w14:val="tx1"/>
                        </w14:solidFill>
                      </w14:textFill>
                    </w:rPr>
                    <w:t>依托园区已建污水管网收集后排入泉坝污水厂进一步处理。</w:t>
                  </w:r>
                </w:p>
              </w:tc>
              <w:tc>
                <w:tcPr>
                  <w:tcW w:w="1011"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综上，项目与《广元市昭化区“十四五”生态环境保护规划》相符。</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snapToGrid w:val="0"/>
                <w:color w:val="000000" w:themeColor="text1"/>
                <w:spacing w:val="0"/>
                <w:kern w:val="21"/>
                <w:position w:val="0"/>
                <w:sz w:val="24"/>
                <w:szCs w:val="22"/>
                <w:lang w:val="en-US" w:eastAsia="zh-CN"/>
                <w14:textFill>
                  <w14:solidFill>
                    <w14:schemeClr w14:val="tx1"/>
                  </w14:solidFill>
                </w14:textFill>
              </w:rPr>
              <w:t>5、</w:t>
            </w:r>
            <w:r>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t>与《四川省打赢蓝天保卫战实施方案》（川府发〔2019〕4号）符合性分析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根据四川省人民政府办公室《关于印发四川省打赢蓝天保卫战等九个实施方案的通知》（川府发〔2019〕4号），现将本项目与《四川省打赢蓝天保卫战实施方案》的符合性分析如下。</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本项目与《四川省打赢蓝天保卫战实施方案》符合性分析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2985"/>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主要内容</w:t>
                  </w:r>
                </w:p>
              </w:tc>
              <w:tc>
                <w:tcPr>
                  <w:tcW w:w="2985"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w:t>
                  </w:r>
                </w:p>
              </w:tc>
              <w:tc>
                <w:tcPr>
                  <w:tcW w:w="917"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严格涉及VOCs排放的建设项目环境准入，加强源头控制。提高涉及VOCs排放行业环保准入门槛，新建涉及VOCs排放的工业企业入园区，实行区域内VOCs排放等量或者倍量削减替代。</w:t>
                  </w:r>
                </w:p>
              </w:tc>
              <w:tc>
                <w:tcPr>
                  <w:tcW w:w="2985"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本项目选址位于广元市昭化区绿色家居产业城，其VOCs总量由当地生态环境主管部门进行调控。</w:t>
                  </w:r>
                </w:p>
              </w:tc>
              <w:tc>
                <w:tcPr>
                  <w:tcW w:w="917"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新、改、扩建涉及VOCs排放项目，从原辅材料和工艺过程大力推广使用低（无）VOCs含量的涂料、有机溶剂、胶黏剂、油墨等原辅材料，配套改进生产工艺。</w:t>
                  </w:r>
                </w:p>
              </w:tc>
              <w:tc>
                <w:tcPr>
                  <w:tcW w:w="2985"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本项目为新建项目，项目生产过程中使用低VOCs含量的水性涂料、水性胶黏剂等原辅材料。</w:t>
                  </w:r>
                </w:p>
              </w:tc>
              <w:tc>
                <w:tcPr>
                  <w:tcW w:w="917"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综上所述，本项目建设符合《四川省打赢蓝天保卫战实施方案》要求。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snapToGrid w:val="0"/>
                <w:color w:val="000000" w:themeColor="text1"/>
                <w:spacing w:val="0"/>
                <w:kern w:val="21"/>
                <w:position w:val="0"/>
                <w:sz w:val="24"/>
                <w:szCs w:val="22"/>
                <w:lang w:val="en-US" w:eastAsia="zh-CN"/>
                <w14:textFill>
                  <w14:solidFill>
                    <w14:schemeClr w14:val="tx1"/>
                  </w14:solidFill>
                </w14:textFill>
              </w:rPr>
              <w:t>6、</w:t>
            </w:r>
            <w:r>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t>与《广元市打赢蓝天保卫战实施方案》符合性分析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根据广元市人民政府《关于印发广元市打好污染防治攻坚战“八大战役”实施方案的通知》（广府发〔2019〕9号），现将本项目与《广元市打赢蓝天保卫战实施方案》的符合性分析如下：</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本项目与《</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广元市打赢蓝天保卫战实施方案</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2985"/>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主要内容</w:t>
                  </w:r>
                </w:p>
              </w:tc>
              <w:tc>
                <w:tcPr>
                  <w:tcW w:w="2985"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w:t>
                  </w:r>
                </w:p>
              </w:tc>
              <w:tc>
                <w:tcPr>
                  <w:tcW w:w="917"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制定工业炉窑综合整治实施方案。建立各类工业炉窑管理清单。落实国家工业炉窑行业规范和环保、能耗等标准。加大不达标工业炉窑淘汰力度，加快淘汰中小型煤气发生炉。鼓励工业炉窑使用电、天然气等清洁能源。</w:t>
                  </w:r>
                </w:p>
              </w:tc>
              <w:tc>
                <w:tcPr>
                  <w:tcW w:w="2985"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固化炉</w:t>
                  </w:r>
                  <w:r>
                    <w:rPr>
                      <w:rFonts w:ascii="Times New Roman" w:hAnsi="Times New Roman" w:eastAsia="宋体" w:cs="Times New Roman"/>
                      <w:color w:val="000000" w:themeColor="text1"/>
                      <w:spacing w:val="0"/>
                      <w:kern w:val="21"/>
                      <w:position w:val="0"/>
                      <w:szCs w:val="21"/>
                      <w14:textFill>
                        <w14:solidFill>
                          <w14:schemeClr w14:val="tx1"/>
                        </w14:solidFill>
                      </w14:textFill>
                    </w:rPr>
                    <w:t>使用电能，不涉及煤气使用。</w:t>
                  </w:r>
                </w:p>
              </w:tc>
              <w:tc>
                <w:tcPr>
                  <w:tcW w:w="917"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强化VOCs综合治理。严格涉及VOCs排放的建设项目环境准入，加强源头控制。新建涉及VOCs排放的工业企业入园区，实行区域内VOCs排放等量削减替代。</w:t>
                  </w:r>
                </w:p>
              </w:tc>
              <w:tc>
                <w:tcPr>
                  <w:tcW w:w="2985"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项目选址位于广元市昭化区绿色家居产业城，VOCs总量由生态环境主管部门调控。</w:t>
                  </w:r>
                </w:p>
              </w:tc>
              <w:tc>
                <w:tcPr>
                  <w:tcW w:w="917"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6" w:type="dxa"/>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新、改、扩建涉及VOCs排放项目，从原辅材料和工艺过程大力推广使用低（无）VOCs含量的涂料、有机溶剂、胶黏剂、油墨等原辅材料，配套改进生产工艺。</w:t>
                  </w:r>
                </w:p>
              </w:tc>
              <w:tc>
                <w:tcPr>
                  <w:tcW w:w="2985"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本项目为新建项目，项目生产过程中仅使用低VOCs含量的水性涂料、水性胶黏剂等原辅材料。</w:t>
                  </w:r>
                </w:p>
              </w:tc>
              <w:tc>
                <w:tcPr>
                  <w:tcW w:w="917"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14:textFill>
                  <w14:solidFill>
                    <w14:schemeClr w14:val="tx1"/>
                  </w14:solidFill>
                </w14:textFill>
              </w:rPr>
              <w:t>综上，本项目建设</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符合</w:t>
            </w:r>
            <w:r>
              <w:rPr>
                <w:rFonts w:ascii="Times New Roman" w:hAnsi="Times New Roman" w:eastAsia="宋体" w:cs="Times New Roman"/>
                <w:snapToGrid w:val="0"/>
                <w:color w:val="000000" w:themeColor="text1"/>
                <w:spacing w:val="0"/>
                <w:kern w:val="21"/>
                <w:position w:val="0"/>
                <w:sz w:val="24"/>
                <w:szCs w:val="22"/>
                <w14:textFill>
                  <w14:solidFill>
                    <w14:schemeClr w14:val="tx1"/>
                  </w14:solidFill>
                </w14:textFill>
              </w:rPr>
              <w:t>《广元市打赢蓝天保卫战实施方案》要求。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snapToGrid w:val="0"/>
                <w:color w:val="000000" w:themeColor="text1"/>
                <w:spacing w:val="0"/>
                <w:kern w:val="21"/>
                <w:position w:val="0"/>
                <w:sz w:val="24"/>
                <w:szCs w:val="22"/>
                <w:lang w:val="en-US" w:eastAsia="zh-CN"/>
                <w14:textFill>
                  <w14:solidFill>
                    <w14:schemeClr w14:val="tx1"/>
                  </w14:solidFill>
                </w14:textFill>
              </w:rPr>
              <w:t>7、</w:t>
            </w:r>
            <w:r>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t>与《2020年挥发性有机物治理攻坚方案》符合性分析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本项目与《2020年挥发性有机物治理攻坚方案》符合性分析见下表。</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本项目与《</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2020年挥发性有机物治理攻坚方案</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3758"/>
              <w:gridCol w:w="2809"/>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9" w:type="dxa"/>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《方案》要求</w:t>
                  </w:r>
                </w:p>
              </w:tc>
              <w:tc>
                <w:tcPr>
                  <w:tcW w:w="2809"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本项目基本情况</w:t>
                  </w:r>
                </w:p>
              </w:tc>
              <w:tc>
                <w:tcPr>
                  <w:tcW w:w="86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大力推进源头替代，有效减少VOCs产生</w:t>
                  </w:r>
                </w:p>
              </w:tc>
              <w:tc>
                <w:tcPr>
                  <w:tcW w:w="3758"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w:t>
                  </w:r>
                </w:p>
              </w:tc>
              <w:tc>
                <w:tcPr>
                  <w:tcW w:w="2809"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本次评价要求建设单位采用低VOCs原辅材料，企业按照要求严格建立原辅材料台账，记录涉VOCs原辅材料用量、名称、成分、VOCs含量、使用量、库存量等，并保留相关证明文件或材料。</w:t>
                  </w:r>
                </w:p>
              </w:tc>
              <w:tc>
                <w:tcPr>
                  <w:tcW w:w="86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全面落实标准要求，强化无组织排放控制</w:t>
                  </w:r>
                </w:p>
              </w:tc>
              <w:tc>
                <w:tcPr>
                  <w:tcW w:w="3758"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tc>
              <w:tc>
                <w:tcPr>
                  <w:tcW w:w="2809" w:type="dxa"/>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本项目使用的水性涂料、水性胶黏剂等原料含有VOCs，本次评价要求建设单位应保障VOCs物料的密闭运输及保存。本项目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14:textFill>
                        <w14:solidFill>
                          <w14:schemeClr w14:val="tx1"/>
                        </w14:solidFill>
                      </w14:textFill>
                    </w:rPr>
                    <w:t>处置环节废活性炭、油漆桶等危险废物应通过加盖、封装等方式密闭，暂存于危废暂存间。</w:t>
                  </w:r>
                </w:p>
              </w:tc>
              <w:tc>
                <w:tcPr>
                  <w:tcW w:w="86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综上，本项目建设符合《2020年挥发性有机物治理攻坚方案》要求。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snapToGrid w:val="0"/>
                <w:color w:val="000000" w:themeColor="text1"/>
                <w:spacing w:val="0"/>
                <w:kern w:val="21"/>
                <w:position w:val="0"/>
                <w:sz w:val="24"/>
                <w:szCs w:val="22"/>
                <w:lang w:val="en-US" w:eastAsia="zh-CN"/>
                <w14:textFill>
                  <w14:solidFill>
                    <w14:schemeClr w14:val="tx1"/>
                  </w14:solidFill>
                </w14:textFill>
              </w:rPr>
              <w:t>8、</w:t>
            </w:r>
            <w:r>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t>本项目与《挥发性有机物无组织排放控制标准》（GB37822-2019）符合性分析</w:t>
            </w:r>
          </w:p>
          <w:p>
            <w:pPr>
              <w:pageBreakBefore w:val="0"/>
              <w:widowControl/>
              <w:kinsoku/>
              <w:overflowPunct/>
              <w:autoSpaceDE/>
              <w:autoSpaceDN/>
              <w:bidi w:val="0"/>
              <w:spacing w:line="360" w:lineRule="auto"/>
              <w:ind w:firstLine="480" w:firstLineChars="200"/>
              <w:jc w:val="left"/>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本项目与《挥发性有机物无组织排放控制标准》（GB37822-2019）的符合性分析见下表。</w:t>
            </w:r>
          </w:p>
          <w:p>
            <w:pPr>
              <w:pageBreakBefore w:val="0"/>
              <w:widowControl/>
              <w:numPr>
                <w:ilvl w:val="0"/>
                <w:numId w:val="17"/>
              </w:numPr>
              <w:kinsoku/>
              <w:overflowPunct/>
              <w:autoSpaceDE/>
              <w:autoSpaceDN/>
              <w:bidi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本项目与《</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挥发性有机物无组织排放控制标准</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》符合性分析</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3344"/>
              <w:gridCol w:w="2982"/>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控制标准</w:t>
                  </w:r>
                </w:p>
              </w:tc>
              <w:tc>
                <w:tcPr>
                  <w:tcW w:w="199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主要内容</w:t>
                  </w:r>
                </w:p>
              </w:tc>
              <w:tc>
                <w:tcPr>
                  <w:tcW w:w="1779"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 VOCs物料储存无组织排放控制要求</w:t>
                  </w:r>
                </w:p>
              </w:tc>
              <w:tc>
                <w:tcPr>
                  <w:tcW w:w="1995"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5.1.1VOCs物料应储存于密闭的容器、包装袋、储罐、储库、料仓中。</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5.1.2盛装VOCs物料的容器或包装袋应放于室内，或存放于设置有雨棚、遮阳和防渗设施的专用场地，盛装VOCs物料的容器或包装袋在非取用状态时应加盖、封口，保持密闭。</w:t>
                  </w:r>
                </w:p>
              </w:tc>
              <w:tc>
                <w:tcPr>
                  <w:tcW w:w="177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本项目水性漆、水性胶黏剂均装于密闭桶内，储存在化学品库。</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 VOCs物料转移和输送无组织排放控制要求</w:t>
                  </w:r>
                </w:p>
              </w:tc>
              <w:tc>
                <w:tcPr>
                  <w:tcW w:w="1995"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6.1.1液体VOCs物料应采用密闭管道输送。采用非管道输送方式转移液态VOCs物料时，应采用密闭容器、罐车。</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6.2.2a）排放的废气应收集处理并满足相关行业排放标准的要求（无行业排放标准的应满足GB16297的要求），或者处理效率不低于80%。</w:t>
                  </w:r>
                </w:p>
              </w:tc>
              <w:tc>
                <w:tcPr>
                  <w:tcW w:w="177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本次评价要求建设单位采用密闭容器转移水性漆、水性胶黏剂，</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效率不低于</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Cs w:val="21"/>
                      <w14:textFill>
                        <w14:solidFill>
                          <w14:schemeClr w14:val="tx1"/>
                        </w14:solidFill>
                      </w14:textFill>
                    </w:rPr>
                    <w:t>0%。</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68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7.1.1 物料投加和卸放</w:t>
                  </w:r>
                </w:p>
              </w:tc>
              <w:tc>
                <w:tcPr>
                  <w:tcW w:w="1995"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7.1.1c）VOCs物料卸（出、放）料过程应密闭，卸料废气应排至VOCs废气收集处理系统；无法密闭的应采取局部气体收集措施，废气应排至VOCs废气收集处理系统。</w:t>
                  </w:r>
                </w:p>
              </w:tc>
              <w:tc>
                <w:tcPr>
                  <w:tcW w:w="177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本项目VOCs物料卸料过程均在密闭车间内进行，</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1" w:hRule="atLeast"/>
                <w:jc w:val="center"/>
              </w:trPr>
              <w:tc>
                <w:tcPr>
                  <w:tcW w:w="68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7.2 含VOCs产品的使用过程</w:t>
                  </w:r>
                </w:p>
              </w:tc>
              <w:tc>
                <w:tcPr>
                  <w:tcW w:w="1995"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7.2.2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177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喷漆工序</w:t>
                  </w:r>
                  <w:r>
                    <w:rPr>
                      <w:rFonts w:ascii="Times New Roman" w:hAnsi="Times New Roman" w:eastAsia="宋体" w:cs="Times New Roman"/>
                      <w:color w:val="000000" w:themeColor="text1"/>
                      <w:spacing w:val="0"/>
                      <w:kern w:val="21"/>
                      <w:position w:val="0"/>
                      <w:szCs w:val="21"/>
                      <w14:textFill>
                        <w14:solidFill>
                          <w14:schemeClr w14:val="tx1"/>
                        </w14:solidFill>
                      </w14:textFill>
                    </w:rPr>
                    <w:t>在密闭车间内进行，在生产过程中产生的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7.3 其他要求</w:t>
                  </w:r>
                </w:p>
              </w:tc>
              <w:tc>
                <w:tcPr>
                  <w:tcW w:w="1995"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7.3.1 企业应建立台账，记录含VOCs原辅材料和含VOCs产品的名称、使用量、回收量、废弃量、去向以及VOCs含量等信息。台账保存期限不少于3年。</w:t>
                  </w:r>
                </w:p>
              </w:tc>
              <w:tc>
                <w:tcPr>
                  <w:tcW w:w="177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本次评价要求建设单位建立台账，记录含VOCs原辅材料和含VOCs产品的名称、使用量、回收量、废弃量、去向以及VOCs含量等信息，台账保存期限不低于5年。</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 VOCs无组织排放废气收集处理系统要求</w:t>
                  </w:r>
                </w:p>
              </w:tc>
              <w:tc>
                <w:tcPr>
                  <w:tcW w:w="1995"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10.1.2VOCs废气收集处理系统应与生产工艺设备同步运行。</w:t>
                  </w:r>
                </w:p>
              </w:tc>
              <w:tc>
                <w:tcPr>
                  <w:tcW w:w="177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本次评价建设单位严格落实“废气收集处理系统应与生产工艺设备同步运行”的要求，建设单位在严格落实本次评价提出的废气处理措施后，符合要求。</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995"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10.2.2废气收集系统排风量（集气罩）的设置应符合GB/T16758的规定。采用外部排风罩的，应按GB/T16758、AQ/T4274-2016规定的方法测量控制风速，测量点应选取在距排风罩开口面最远处的VOCs无组织排放位置，控制风速不应低于0.3m/s</w:t>
                  </w:r>
                </w:p>
              </w:tc>
              <w:tc>
                <w:tcPr>
                  <w:tcW w:w="1779"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本项目集气罩符合GB/T16758的规定，同时控制风速不低于0.3m/s，符合要求。</w:t>
                  </w:r>
                </w:p>
              </w:tc>
              <w:tc>
                <w:tcPr>
                  <w:tcW w:w="54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综上所述，</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本项目建设符合《挥发性有机物无组织排放控制标准》（GB37822-2019）关于挥发性有机物的控制要求。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9、</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本项目与《重点行业挥发性有机物综合治理方案》（环大气〔2019〕53号）符合性分析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w:t>
            </w:r>
            <w:r>
              <w:rPr>
                <w:rFonts w:ascii="Times New Roman" w:hAnsi="Times New Roman" w:eastAsia="宋体" w:cs="Times New Roman"/>
                <w:color w:val="000000" w:themeColor="text1"/>
                <w:spacing w:val="0"/>
                <w:kern w:val="21"/>
                <w:position w:val="0"/>
                <w:sz w:val="24"/>
                <w14:textFill>
                  <w14:solidFill>
                    <w14:schemeClr w14:val="tx1"/>
                  </w14:solidFill>
                </w14:textFill>
              </w:rPr>
              <w:t>目与《重点行业挥发性有机物综合治理方案》（环大气〔2019〕53号）</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的符合性分析见下表。</w:t>
            </w:r>
          </w:p>
          <w:p>
            <w:pPr>
              <w:pageBreakBefore w:val="0"/>
              <w:widowControl/>
              <w:numPr>
                <w:ilvl w:val="0"/>
                <w:numId w:val="17"/>
              </w:numPr>
              <w:kinsoku/>
              <w:overflowPunct/>
              <w:autoSpaceDE/>
              <w:autoSpaceDN/>
              <w:bidi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与</w:t>
            </w:r>
            <w:r>
              <w:rPr>
                <w:rFonts w:ascii="Times New Roman" w:hAnsi="Times New Roman" w:cs="Times New Roman"/>
                <w:b/>
                <w:color w:val="000000" w:themeColor="text1"/>
                <w:spacing w:val="0"/>
                <w:kern w:val="21"/>
                <w:position w:val="0"/>
                <w:szCs w:val="21"/>
                <w14:textFill>
                  <w14:solidFill>
                    <w14:schemeClr w14:val="tx1"/>
                  </w14:solidFill>
                </w14:textFill>
              </w:rPr>
              <w:t>《重点行业挥发性有机物综合治理方案》（环大气〔2019〕53号）</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的符合性分析</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0"/>
              <w:gridCol w:w="3396"/>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主要内容</w:t>
                  </w:r>
                </w:p>
              </w:tc>
              <w:tc>
                <w:tcPr>
                  <w:tcW w:w="202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本项目情况</w:t>
                  </w:r>
                </w:p>
              </w:tc>
              <w:tc>
                <w:tcPr>
                  <w:tcW w:w="5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4" w:type="pct"/>
                  <w:shd w:val="clear" w:color="auto" w:fill="auto"/>
                  <w:vAlign w:val="center"/>
                </w:tcPr>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（一）大力推进源头替代</w:t>
                  </w:r>
                </w:p>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通过使用水基、热熔、无溶剂、辐射固化、改性、生物降解等低VOCs含量的胶粘剂…替代溶剂型胶粘剂等，从源头减少VOCs产生。企业应大力推广使用低VOCs含量木器涂料…等，在技术成熟的行业，推广使用低VOCs含量胶粘剂</w:t>
                  </w:r>
                </w:p>
              </w:tc>
              <w:tc>
                <w:tcPr>
                  <w:tcW w:w="2026" w:type="pct"/>
                  <w:shd w:val="clear" w:color="auto" w:fill="auto"/>
                  <w:vAlign w:val="center"/>
                </w:tcPr>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本项目生产采用的涂料、胶黏剂均为低VOCs含量的水性涂料、水性胶黏剂。</w:t>
                  </w:r>
                </w:p>
              </w:tc>
              <w:tc>
                <w:tcPr>
                  <w:tcW w:w="5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4" w:type="pct"/>
                  <w:shd w:val="clear" w:color="auto" w:fill="auto"/>
                  <w:vAlign w:val="center"/>
                </w:tcPr>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（二）全面加强无组织排放控制</w:t>
                  </w:r>
                </w:p>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1、加强设备与场所密闭管理。含VOCs物料应储存于密闭容器、包装袋，高效密封储罐，封闭式储库、料仓等。…含VOCs物料生产和使用过程，应采取有效收集措施或在密闭空间中操作；</w:t>
                  </w:r>
                </w:p>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2、推进使用先进生产工艺。通过采用全密闭、连续化、自动化等生产技术，以及高效工艺与设备等，减少工艺过程无组织排放；</w:t>
                  </w:r>
                </w:p>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3、提高废气收集率。遵循“应收尽收、分质收集”的原则，…将无组织排放转变为有组织排放进行控制。采用全密闭集气罩或密闭空间的，除行业有特殊要求外，应保持微负压状态，并根据相关规范合理设置通风量</w:t>
                  </w:r>
                </w:p>
              </w:tc>
              <w:tc>
                <w:tcPr>
                  <w:tcW w:w="2026" w:type="pct"/>
                  <w:shd w:val="clear" w:color="auto" w:fill="auto"/>
                  <w:vAlign w:val="center"/>
                </w:tcPr>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本项目使用油漆等均采取密闭的桶装方式储存，进场后暂存于化学品仓。</w:t>
                  </w:r>
                </w:p>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本项目生产均采用低VOCs含量的水性涂料，满足《低挥发性有机化合物含量涂料产品技术规范》（GB38597-2020）要求</w:t>
                  </w:r>
                  <w:r>
                    <w:rPr>
                      <w:rFonts w:hint="eastAsia" w:ascii="Times New Roman" w:hAnsi="Times New Roman" w:eastAsia="宋体" w:cs="Times New Roman"/>
                      <w:b w:val="0"/>
                      <w:color w:val="000000" w:themeColor="text1"/>
                      <w:spacing w:val="0"/>
                      <w:kern w:val="21"/>
                      <w:position w:val="0"/>
                      <w:szCs w:val="21"/>
                      <w14:textFill>
                        <w14:solidFill>
                          <w14:schemeClr w14:val="tx1"/>
                        </w14:solidFill>
                      </w14:textFill>
                    </w:rPr>
                    <w:t>。</w:t>
                  </w:r>
                </w:p>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b w:val="0"/>
                      <w:color w:val="000000" w:themeColor="text1"/>
                      <w:spacing w:val="0"/>
                      <w:kern w:val="21"/>
                      <w:position w:val="0"/>
                      <w:szCs w:val="21"/>
                      <w14:textFill>
                        <w14:solidFill>
                          <w14:schemeClr w14:val="tx1"/>
                        </w14:solidFill>
                      </w14:textFill>
                    </w:rPr>
                    <w:t>封边、贴棉废气经收集后由</w:t>
                  </w:r>
                  <w:r>
                    <w:rPr>
                      <w:rFonts w:ascii="Times New Roman" w:hAnsi="Times New Roman" w:eastAsia="宋体" w:cs="Times New Roman"/>
                      <w:b w:val="0"/>
                      <w:color w:val="000000" w:themeColor="text1"/>
                      <w:spacing w:val="0"/>
                      <w:kern w:val="21"/>
                      <w:position w:val="0"/>
                      <w:szCs w:val="21"/>
                      <w14:textFill>
                        <w14:solidFill>
                          <w14:schemeClr w14:val="tx1"/>
                        </w14:solidFill>
                      </w14:textFill>
                    </w:rPr>
                    <w:t>二级活性炭</w:t>
                  </w:r>
                  <w:r>
                    <w:rPr>
                      <w:rFonts w:hint="eastAsia" w:ascii="Times New Roman" w:hAnsi="Times New Roman" w:eastAsia="宋体" w:cs="Times New Roman"/>
                      <w:b w:val="0"/>
                      <w:color w:val="000000" w:themeColor="text1"/>
                      <w:spacing w:val="0"/>
                      <w:kern w:val="21"/>
                      <w:position w:val="0"/>
                      <w:szCs w:val="21"/>
                      <w14:textFill>
                        <w14:solidFill>
                          <w14:schemeClr w14:val="tx1"/>
                        </w14:solidFill>
                      </w14:textFill>
                    </w:rPr>
                    <w:t>吸附处理；喷漆废气经水旋柜</w:t>
                  </w:r>
                  <w:r>
                    <w:rPr>
                      <w:rFonts w:ascii="Times New Roman" w:hAnsi="Times New Roman" w:eastAsia="宋体" w:cs="Times New Roman"/>
                      <w:b w:val="0"/>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b w:val="0"/>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b w:val="0"/>
                      <w:color w:val="000000" w:themeColor="text1"/>
                      <w:spacing w:val="0"/>
                      <w:kern w:val="21"/>
                      <w:position w:val="0"/>
                      <w:szCs w:val="21"/>
                      <w14:textFill>
                        <w14:solidFill>
                          <w14:schemeClr w14:val="tx1"/>
                        </w14:solidFill>
                      </w14:textFill>
                    </w:rPr>
                    <w:t>+催化燃烧</w:t>
                  </w:r>
                  <w:r>
                    <w:rPr>
                      <w:rFonts w:hint="eastAsia" w:ascii="Times New Roman" w:hAnsi="Times New Roman" w:eastAsia="宋体" w:cs="Times New Roman"/>
                      <w:b w:val="0"/>
                      <w:color w:val="000000" w:themeColor="text1"/>
                      <w:spacing w:val="0"/>
                      <w:kern w:val="21"/>
                      <w:position w:val="0"/>
                      <w:szCs w:val="21"/>
                      <w14:textFill>
                        <w14:solidFill>
                          <w14:schemeClr w14:val="tx1"/>
                        </w14:solidFill>
                      </w14:textFill>
                    </w:rPr>
                    <w:t>处理</w:t>
                  </w:r>
                  <w:r>
                    <w:rPr>
                      <w:rFonts w:hint="eastAsia" w:ascii="Times New Roman" w:hAnsi="Times New Roman" w:eastAsia="宋体" w:cs="Times New Roman"/>
                      <w:b w:val="0"/>
                      <w:color w:val="000000" w:themeColor="text1"/>
                      <w:spacing w:val="0"/>
                      <w:kern w:val="21"/>
                      <w:position w:val="0"/>
                      <w:szCs w:val="21"/>
                      <w:lang w:bidi="ar"/>
                      <w14:textFill>
                        <w14:solidFill>
                          <w14:schemeClr w14:val="tx1"/>
                        </w14:solidFill>
                      </w14:textFill>
                    </w:rPr>
                    <w:t>；固化废气经集气罩收集</w:t>
                  </w:r>
                  <w:r>
                    <w:rPr>
                      <w:rFonts w:hint="eastAsia" w:ascii="Times New Roman" w:hAnsi="Times New Roman" w:eastAsia="宋体" w:cs="Times New Roman"/>
                      <w:b w:val="0"/>
                      <w:color w:val="000000" w:themeColor="text1"/>
                      <w:spacing w:val="0"/>
                      <w:kern w:val="21"/>
                      <w:position w:val="0"/>
                      <w:szCs w:val="21"/>
                      <w:lang w:eastAsia="zh-CN" w:bidi="ar"/>
                      <w14:textFill>
                        <w14:solidFill>
                          <w14:schemeClr w14:val="tx1"/>
                        </w14:solidFill>
                      </w14:textFill>
                    </w:rPr>
                    <w:t>，</w:t>
                  </w:r>
                  <w:r>
                    <w:rPr>
                      <w:rFonts w:ascii="Times New Roman" w:hAnsi="Times New Roman" w:eastAsia="宋体" w:cs="Times New Roman"/>
                      <w:b w:val="0"/>
                      <w:color w:val="000000" w:themeColor="text1"/>
                      <w:spacing w:val="0"/>
                      <w:kern w:val="21"/>
                      <w:position w:val="0"/>
                      <w:szCs w:val="21"/>
                      <w14:textFill>
                        <w14:solidFill>
                          <w14:schemeClr w14:val="tx1"/>
                        </w14:solidFill>
                      </w14:textFill>
                    </w:rPr>
                    <w:t>二级活性炭吸附</w:t>
                  </w:r>
                  <w:r>
                    <w:rPr>
                      <w:rFonts w:hint="eastAsia" w:ascii="Times New Roman" w:hAnsi="Times New Roman" w:eastAsia="宋体" w:cs="Times New Roman"/>
                      <w:b w:val="0"/>
                      <w:color w:val="000000" w:themeColor="text1"/>
                      <w:spacing w:val="0"/>
                      <w:kern w:val="21"/>
                      <w:position w:val="0"/>
                      <w:szCs w:val="21"/>
                      <w14:textFill>
                        <w14:solidFill>
                          <w14:schemeClr w14:val="tx1"/>
                        </w14:solidFill>
                      </w14:textFill>
                    </w:rPr>
                    <w:t>处理，</w:t>
                  </w:r>
                  <w:r>
                    <w:rPr>
                      <w:rFonts w:ascii="Times New Roman" w:hAnsi="Times New Roman" w:eastAsia="宋体" w:cs="Times New Roman"/>
                      <w:b w:val="0"/>
                      <w:color w:val="000000" w:themeColor="text1"/>
                      <w:spacing w:val="0"/>
                      <w:kern w:val="21"/>
                      <w:position w:val="0"/>
                      <w:szCs w:val="21"/>
                      <w14:textFill>
                        <w14:solidFill>
                          <w14:schemeClr w14:val="tx1"/>
                        </w14:solidFill>
                      </w14:textFill>
                    </w:rPr>
                    <w:t>在落</w:t>
                  </w:r>
                  <w:r>
                    <w:rPr>
                      <w:rFonts w:ascii="Times New Roman" w:hAnsi="Times New Roman" w:eastAsia="宋体" w:cs="Times New Roman"/>
                      <w:b w:val="0"/>
                      <w:bCs/>
                      <w:color w:val="000000" w:themeColor="text1"/>
                      <w:spacing w:val="0"/>
                      <w:kern w:val="21"/>
                      <w:position w:val="0"/>
                      <w:szCs w:val="21"/>
                      <w14:textFill>
                        <w14:solidFill>
                          <w14:schemeClr w14:val="tx1"/>
                        </w14:solidFill>
                      </w14:textFill>
                    </w:rPr>
                    <w:t>实本报告提出的废气污染防治措施后，可以保证VOCs达标排放。</w:t>
                  </w:r>
                </w:p>
              </w:tc>
              <w:tc>
                <w:tcPr>
                  <w:tcW w:w="5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4" w:type="pct"/>
                  <w:shd w:val="clear" w:color="auto" w:fill="auto"/>
                  <w:vAlign w:val="center"/>
                </w:tcPr>
                <w:p>
                  <w:pPr>
                    <w:pageBreakBefore w:val="0"/>
                    <w:numPr>
                      <w:ilvl w:val="0"/>
                      <w:numId w:val="20"/>
                    </w:numPr>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工业涂装VOCs综合治理。</w:t>
                  </w:r>
                </w:p>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加大汽车、家具、集装箱、电子产品、工程机械等行业VOCs治理力度……木质家具制造大力推广使用水性、辐射固化、粉末等涂料和水性胶粘剂……软体家具制造大力推广使用水性胶粘剂</w:t>
                  </w:r>
                </w:p>
              </w:tc>
              <w:tc>
                <w:tcPr>
                  <w:tcW w:w="2026" w:type="pct"/>
                  <w:shd w:val="clear" w:color="auto" w:fill="auto"/>
                  <w:vAlign w:val="center"/>
                </w:tcPr>
                <w:p>
                  <w:pPr>
                    <w:pStyle w:val="38"/>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本项目生产采用的涂料、胶黏剂均为低VOCs含量的水性涂料、水性胶黏剂。</w:t>
                  </w:r>
                </w:p>
              </w:tc>
              <w:tc>
                <w:tcPr>
                  <w:tcW w:w="5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符合</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综上所述，</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本项目建设符合</w:t>
            </w:r>
            <w:r>
              <w:rPr>
                <w:rFonts w:ascii="Times New Roman" w:hAnsi="Times New Roman" w:eastAsia="宋体" w:cs="Times New Roman"/>
                <w:color w:val="000000" w:themeColor="text1"/>
                <w:spacing w:val="0"/>
                <w:kern w:val="21"/>
                <w:position w:val="0"/>
                <w:sz w:val="24"/>
                <w14:textFill>
                  <w14:solidFill>
                    <w14:schemeClr w14:val="tx1"/>
                  </w14:solidFill>
                </w14:textFill>
              </w:rPr>
              <w:t>《重点行业挥发性有机物综合治理方案》（环大气〔2019〕53号）</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的相关要求。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24"/>
                <w:szCs w:val="22"/>
                <w14:textFill>
                  <w14:solidFill>
                    <w14:schemeClr w14:val="tx1"/>
                  </w14:solidFill>
                </w14:textFill>
              </w:rPr>
              <w:t>三、产业政策符合性分析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本项目主要从事智能家居加工制造，根据《国民经济行业分类》（GB/T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4754-2017），本项目为C2110 木质家具制造、C2190 其他家具制造。根据国家发展和改革委员会2023年第7号令《产业结构调整指导目录（2024年本）》，本项目生产的产品、生产工艺、设备等均不属于目录中规定的鼓励类、限制类和淘汰类，根据国务院关于发布实施《促进产业结构调整暂行规定》的决定（国发〔2005〕40号）第十三条规定：“不属于鼓励类、限制类和淘汰类，且符合国家有关法律、法规和政策规定的为允许类。”</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2022年</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5</w:t>
            </w:r>
            <w:r>
              <w:rPr>
                <w:rFonts w:ascii="Times New Roman" w:hAnsi="Times New Roman" w:eastAsia="宋体" w:cs="Times New Roman"/>
                <w:color w:val="000000" w:themeColor="text1"/>
                <w:spacing w:val="0"/>
                <w:kern w:val="21"/>
                <w:position w:val="0"/>
                <w:sz w:val="24"/>
                <w14:textFill>
                  <w14:solidFill>
                    <w14:schemeClr w14:val="tx1"/>
                  </w14:solidFill>
                </w14:textFill>
              </w:rPr>
              <w:t>月7日，昭化区发展和改革局对该项目进行备案（川投资备</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【220</w:t>
            </w:r>
            <w:r>
              <w:rPr>
                <w:rFonts w:hint="eastAsia" w:ascii="Times New Roman" w:hAnsi="Times New Roman" w:eastAsia="宋体" w:cs="Times New Roman"/>
                <w:color w:val="000000" w:themeColor="text1"/>
                <w:spacing w:val="0"/>
                <w:kern w:val="21"/>
                <w:position w:val="0"/>
                <w:sz w:val="24"/>
                <w:lang w:val="en-US" w:eastAsia="zh-CN" w:bidi="ar"/>
                <w14:textFill>
                  <w14:solidFill>
                    <w14:schemeClr w14:val="tx1"/>
                  </w14:solidFill>
                </w14:textFill>
              </w:rPr>
              <w:t>5</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-510811-04-01-</w:t>
            </w:r>
            <w:r>
              <w:rPr>
                <w:rFonts w:hint="eastAsia" w:ascii="Times New Roman" w:hAnsi="Times New Roman" w:eastAsia="宋体" w:cs="Times New Roman"/>
                <w:color w:val="000000" w:themeColor="text1"/>
                <w:spacing w:val="0"/>
                <w:kern w:val="21"/>
                <w:position w:val="0"/>
                <w:sz w:val="24"/>
                <w:lang w:val="en-US" w:eastAsia="zh-CN" w:bidi="ar"/>
                <w14:textFill>
                  <w14:solidFill>
                    <w14:schemeClr w14:val="tx1"/>
                  </w14:solidFill>
                </w14:textFill>
              </w:rPr>
              <w:t>976595</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eastAsia="zh-CN" w:bidi="ar"/>
                <w14:textFill>
                  <w14:solidFill>
                    <w14:schemeClr w14:val="tx1"/>
                  </w14:solidFill>
                </w14:textFill>
              </w:rPr>
              <w:t>FGQB-0093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号</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综上所述，本项目建设符合国家现行产业政策。</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四、选址合理性分析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本项目选址位于广元市昭化区绿色家居产业城，本次评价从项目选址用地性质合理性、环境相容性及基础设施条件等方面分析选址合理性。</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1、用地性质合理性</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本项目选址位于广元市昭化区元坝镇新胜村绿色家居产业城，用地性质为工业用地</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，符合用地规划，项目建设符合用地要求。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2、环境相容性</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本项目位于广元市昭化区绿色家居产业城，经现场踏勘，本项目外环境关系分析如下：</w:t>
            </w:r>
          </w:p>
          <w:p>
            <w:pPr>
              <w:pageBreakBefore w:val="0"/>
              <w:widowControl/>
              <w:numPr>
                <w:ilvl w:val="0"/>
                <w:numId w:val="21"/>
              </w:numPr>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企业</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本项目厂界北侧255m处为</w:t>
            </w:r>
            <w:r>
              <w:rPr>
                <w:color w:val="000000" w:themeColor="text1"/>
                <w:spacing w:val="0"/>
                <w:kern w:val="21"/>
                <w:position w:val="0"/>
                <w14:textFill>
                  <w14:solidFill>
                    <w14:schemeClr w14:val="tx1"/>
                  </w14:solidFill>
                </w14:textFill>
              </w:rPr>
              <w:fldChar w:fldCharType="begin"/>
            </w:r>
            <w:r>
              <w:rPr>
                <w:color w:val="000000" w:themeColor="text1"/>
                <w:spacing w:val="0"/>
                <w:kern w:val="21"/>
                <w:position w:val="0"/>
                <w14:textFill>
                  <w14:solidFill>
                    <w14:schemeClr w14:val="tx1"/>
                  </w14:solidFill>
                </w14:textFill>
              </w:rPr>
              <w:instrText xml:space="preserve">HYPERLINK "http://www.baidu.com/link?url=uyZHKb5LwSZEjuBw0nXfHf_F4oyXuzHAMUcIztp9YgQ-eupx1TNcXST30vgq3_x7ZWo9QTaIorMjM2PMa42UD_" \t "https://www.baidu.com/_blank"</w:instrText>
            </w:r>
            <w:r>
              <w:rPr>
                <w:color w:val="000000" w:themeColor="text1"/>
                <w:spacing w:val="0"/>
                <w:kern w:val="21"/>
                <w:position w:val="0"/>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 w:val="24"/>
                <w14:textFill>
                  <w14:solidFill>
                    <w14:schemeClr w14:val="tx1"/>
                  </w14:solidFill>
                </w14:textFill>
              </w:rPr>
              <w:t>四川广之铝金属制品有限公司</w:t>
            </w:r>
            <w:r>
              <w:rPr>
                <w:rFonts w:ascii="Times New Roman" w:hAnsi="Times New Roman" w:eastAsia="宋体" w:cs="Times New Roman"/>
                <w:color w:val="000000" w:themeColor="text1"/>
                <w:spacing w:val="0"/>
                <w:kern w:val="21"/>
                <w:position w:val="0"/>
                <w:sz w:val="24"/>
                <w14:textFill>
                  <w14:solidFill>
                    <w14:schemeClr w14:val="tx1"/>
                  </w14:solidFill>
                </w14:textFill>
              </w:rPr>
              <w:fldChar w:fldCharType="end"/>
            </w:r>
            <w:r>
              <w:rPr>
                <w:rFonts w:ascii="Times New Roman" w:hAnsi="Times New Roman" w:eastAsia="宋体" w:cs="Times New Roman"/>
                <w:color w:val="000000" w:themeColor="text1"/>
                <w:spacing w:val="0"/>
                <w:kern w:val="21"/>
                <w:position w:val="0"/>
                <w:sz w:val="24"/>
                <w14:textFill>
                  <w14:solidFill>
                    <w14:schemeClr w14:val="tx1"/>
                  </w14:solidFill>
                </w14:textFill>
              </w:rPr>
              <w:t>，主要从事铝制品家居生产销售；厂界北侧260m处为</w:t>
            </w:r>
            <w:r>
              <w:rPr>
                <w:color w:val="000000" w:themeColor="text1"/>
                <w:spacing w:val="0"/>
                <w:kern w:val="21"/>
                <w:position w:val="0"/>
                <w14:textFill>
                  <w14:solidFill>
                    <w14:schemeClr w14:val="tx1"/>
                  </w14:solidFill>
                </w14:textFill>
              </w:rPr>
              <w:fldChar w:fldCharType="begin"/>
            </w:r>
            <w:r>
              <w:rPr>
                <w:color w:val="000000" w:themeColor="text1"/>
                <w:spacing w:val="0"/>
                <w:kern w:val="21"/>
                <w:position w:val="0"/>
                <w14:textFill>
                  <w14:solidFill>
                    <w14:schemeClr w14:val="tx1"/>
                  </w14:solidFill>
                </w14:textFill>
              </w:rPr>
              <w:instrText xml:space="preserve">HYPERLINK "http://www.baidu.com/link?url=DA5weltB0m3jpES9Ovt2NPMV_F-F89j-j03zRd9rltd3fAHOjWgmJR5uja67B8zDaHn6r2j2RZ-OVF5zgw206q" \t "https://www.baidu.com/_blank"</w:instrText>
            </w:r>
            <w:r>
              <w:rPr>
                <w:color w:val="000000" w:themeColor="text1"/>
                <w:spacing w:val="0"/>
                <w:kern w:val="21"/>
                <w:position w:val="0"/>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 w:val="24"/>
                <w14:textFill>
                  <w14:solidFill>
                    <w14:schemeClr w14:val="tx1"/>
                  </w14:solidFill>
                </w14:textFill>
              </w:rPr>
              <w:t>四川中发新材料有限公司</w:t>
            </w:r>
            <w:r>
              <w:rPr>
                <w:rFonts w:ascii="Times New Roman" w:hAnsi="Times New Roman" w:eastAsia="宋体" w:cs="Times New Roman"/>
                <w:color w:val="000000" w:themeColor="text1"/>
                <w:spacing w:val="0"/>
                <w:kern w:val="21"/>
                <w:position w:val="0"/>
                <w:sz w:val="24"/>
                <w14:textFill>
                  <w14:solidFill>
                    <w14:schemeClr w14:val="tx1"/>
                  </w14:solidFill>
                </w14:textFill>
              </w:rPr>
              <w:fldChar w:fldCharType="end"/>
            </w:r>
            <w:r>
              <w:rPr>
                <w:rFonts w:ascii="Times New Roman" w:hAnsi="Times New Roman" w:eastAsia="宋体" w:cs="Times New Roman"/>
                <w:color w:val="000000" w:themeColor="text1"/>
                <w:spacing w:val="0"/>
                <w:kern w:val="21"/>
                <w:position w:val="0"/>
                <w:sz w:val="24"/>
                <w14:textFill>
                  <w14:solidFill>
                    <w14:schemeClr w14:val="tx1"/>
                  </w14:solidFill>
                </w14:textFill>
              </w:rPr>
              <w:t>，主要从事铝制品家居生产销售；</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本项目厂界东北侧57m处为</w:t>
            </w:r>
            <w:r>
              <w:rPr>
                <w:color w:val="000000" w:themeColor="text1"/>
                <w:spacing w:val="0"/>
                <w:kern w:val="21"/>
                <w:position w:val="0"/>
                <w14:textFill>
                  <w14:solidFill>
                    <w14:schemeClr w14:val="tx1"/>
                  </w14:solidFill>
                </w14:textFill>
              </w:rPr>
              <w:fldChar w:fldCharType="begin"/>
            </w:r>
            <w:r>
              <w:rPr>
                <w:color w:val="000000" w:themeColor="text1"/>
                <w:spacing w:val="0"/>
                <w:kern w:val="21"/>
                <w:position w:val="0"/>
                <w14:textFill>
                  <w14:solidFill>
                    <w14:schemeClr w14:val="tx1"/>
                  </w14:solidFill>
                </w14:textFill>
              </w:rPr>
              <w:instrText xml:space="preserve">HYPERLINK "http://www.baidu.com/link?url=bqGGyMJkT4-ct_XlPkJI0CNnbEx5Nzxf7CXPSyCKlgAFgPaH9Iqdap67I7QubawF1Cmj_DkRc56_2StU_9F3vK" \t "https://www.baidu.com/_blank"</w:instrText>
            </w:r>
            <w:r>
              <w:rPr>
                <w:color w:val="000000" w:themeColor="text1"/>
                <w:spacing w:val="0"/>
                <w:kern w:val="21"/>
                <w:position w:val="0"/>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 w:val="24"/>
                <w14:textFill>
                  <w14:solidFill>
                    <w14:schemeClr w14:val="tx1"/>
                  </w14:solidFill>
                </w14:textFill>
              </w:rPr>
              <w:t>泽瑞堂新材料科技（广元）有限公司</w:t>
            </w:r>
            <w:r>
              <w:rPr>
                <w:rFonts w:ascii="Times New Roman" w:hAnsi="Times New Roman" w:eastAsia="宋体" w:cs="Times New Roman"/>
                <w:color w:val="000000" w:themeColor="text1"/>
                <w:spacing w:val="0"/>
                <w:kern w:val="21"/>
                <w:position w:val="0"/>
                <w:sz w:val="24"/>
                <w14:textFill>
                  <w14:solidFill>
                    <w14:schemeClr w14:val="tx1"/>
                  </w14:solidFill>
                </w14:textFill>
              </w:rPr>
              <w:fldChar w:fldCharType="end"/>
            </w:r>
            <w:r>
              <w:rPr>
                <w:rFonts w:ascii="Times New Roman" w:hAnsi="Times New Roman" w:eastAsia="宋体" w:cs="Times New Roman"/>
                <w:color w:val="000000" w:themeColor="text1"/>
                <w:spacing w:val="0"/>
                <w:kern w:val="21"/>
                <w:position w:val="0"/>
                <w:sz w:val="24"/>
                <w14:textFill>
                  <w14:solidFill>
                    <w14:schemeClr w14:val="tx1"/>
                  </w14:solidFill>
                </w14:textFill>
              </w:rPr>
              <w:t>，主要从事 PVC家居地板生产；东北侧312m处为黑马饰品科技（四川）有限公司，主要从事水晶饰品生产；东北侧437m处为四川千彩水晶科技有限公司，主要从事水晶饰品生产；</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本项目厂界东侧70m处为原辅材料交易中心；</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本项目厂界西南侧274m处为园区燃气站；</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本项目厂界西北侧370m处为四川省秋香供应链管理有限公司，主要从事家具生产销售；西北侧473m处为四川柏逸居家具有限责任公司，主要从事实木家具生产制造。</w:t>
            </w:r>
          </w:p>
          <w:p>
            <w:pPr>
              <w:pageBreakBefore w:val="0"/>
              <w:widowControl/>
              <w:numPr>
                <w:ilvl w:val="0"/>
                <w:numId w:val="21"/>
              </w:numPr>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道路</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本项目厂界南侧、西侧紧邻园区规划道路；厂界东侧约750m处为广巴高速。</w:t>
            </w:r>
          </w:p>
          <w:p>
            <w:pPr>
              <w:pageBreakBefore w:val="0"/>
              <w:widowControl/>
              <w:numPr>
                <w:ilvl w:val="0"/>
                <w:numId w:val="21"/>
              </w:numPr>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敏感点</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本项目厂界南侧约82m处为散户居民，约2户6人；</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本项目厂界</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东</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南侧259m处为散户居民，约1户3人；厂界</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东</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南侧392m处为王家湾居民，约20户64人。</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（4）河流</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项目东北侧约1.03km为后头河，汇流关系为后头河-长滩河-南河-嘉陵江。</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本项目周边外环境关系现场照片如下。</w:t>
            </w:r>
          </w:p>
          <w:tbl>
            <w:tblPr>
              <w:tblStyle w:val="21"/>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2496185" cy="1871980"/>
                        <wp:effectExtent l="0" t="0" r="18415" b="13970"/>
                        <wp:docPr id="18" name="图片 18" descr="IMG_20230330_14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0330_145114"/>
                                <pic:cNvPicPr>
                                  <a:picLocks noChangeAspect="1"/>
                                </pic:cNvPicPr>
                              </pic:nvPicPr>
                              <pic:blipFill>
                                <a:blip r:embed="rId10"/>
                                <a:stretch>
                                  <a:fillRect/>
                                </a:stretch>
                              </pic:blipFill>
                              <pic:spPr>
                                <a:xfrm>
                                  <a:off x="0" y="0"/>
                                  <a:ext cx="2496185" cy="1871980"/>
                                </a:xfrm>
                                <a:prstGeom prst="rect">
                                  <a:avLst/>
                                </a:prstGeom>
                              </pic:spPr>
                            </pic:pic>
                          </a:graphicData>
                        </a:graphic>
                      </wp:inline>
                    </w:drawing>
                  </w:r>
                </w:p>
              </w:tc>
              <w:tc>
                <w:tcPr>
                  <w:tcW w:w="250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0" distR="0">
                        <wp:extent cx="2496185" cy="1871980"/>
                        <wp:effectExtent l="0" t="0" r="18415"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391" cy="1872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原辅材料交易中心</w:t>
                  </w:r>
                </w:p>
              </w:tc>
              <w:tc>
                <w:tcPr>
                  <w:tcW w:w="250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泽瑞堂新材料科技（广元）有限公司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2496185" cy="1871980"/>
                        <wp:effectExtent l="0" t="0" r="18415" b="13970"/>
                        <wp:docPr id="14" name="图片 14" descr="IMG_20230330_14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0330_144746"/>
                                <pic:cNvPicPr>
                                  <a:picLocks noChangeAspect="1"/>
                                </pic:cNvPicPr>
                              </pic:nvPicPr>
                              <pic:blipFill>
                                <a:blip r:embed="rId12"/>
                                <a:stretch>
                                  <a:fillRect/>
                                </a:stretch>
                              </pic:blipFill>
                              <pic:spPr>
                                <a:xfrm>
                                  <a:off x="0" y="0"/>
                                  <a:ext cx="2496185" cy="1871980"/>
                                </a:xfrm>
                                <a:prstGeom prst="rect">
                                  <a:avLst/>
                                </a:prstGeom>
                              </pic:spPr>
                            </pic:pic>
                          </a:graphicData>
                        </a:graphic>
                      </wp:inline>
                    </w:drawing>
                  </w:r>
                </w:p>
              </w:tc>
              <w:tc>
                <w:tcPr>
                  <w:tcW w:w="250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2496185" cy="1871980"/>
                        <wp:effectExtent l="0" t="0" r="18415" b="13970"/>
                        <wp:docPr id="15" name="图片 15" descr="IMG_20230330_14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0330_144748"/>
                                <pic:cNvPicPr>
                                  <a:picLocks noChangeAspect="1"/>
                                </pic:cNvPicPr>
                              </pic:nvPicPr>
                              <pic:blipFill>
                                <a:blip r:embed="rId13"/>
                                <a:stretch>
                                  <a:fillRect/>
                                </a:stretch>
                              </pic:blipFill>
                              <pic:spPr>
                                <a:xfrm>
                                  <a:off x="0" y="0"/>
                                  <a:ext cx="2496185"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企业周边空地</w:t>
                  </w:r>
                </w:p>
              </w:tc>
              <w:tc>
                <w:tcPr>
                  <w:tcW w:w="250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24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2496185" cy="1871980"/>
                        <wp:effectExtent l="0" t="0" r="18415" b="13970"/>
                        <wp:docPr id="17" name="图片 17" descr="IMG_20230330_14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330_144852"/>
                                <pic:cNvPicPr>
                                  <a:picLocks noChangeAspect="1"/>
                                </pic:cNvPicPr>
                              </pic:nvPicPr>
                              <pic:blipFill>
                                <a:blip r:embed="rId14"/>
                                <a:stretch>
                                  <a:fillRect/>
                                </a:stretch>
                              </pic:blipFill>
                              <pic:spPr>
                                <a:xfrm>
                                  <a:off x="0" y="0"/>
                                  <a:ext cx="2496185" cy="1871980"/>
                                </a:xfrm>
                                <a:prstGeom prst="rect">
                                  <a:avLst/>
                                </a:prstGeom>
                              </pic:spPr>
                            </pic:pic>
                          </a:graphicData>
                        </a:graphic>
                      </wp:inline>
                    </w:drawing>
                  </w:r>
                </w:p>
              </w:tc>
              <w:tc>
                <w:tcPr>
                  <w:tcW w:w="250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2495550" cy="1871980"/>
                        <wp:effectExtent l="0" t="0" r="0" b="13970"/>
                        <wp:docPr id="19" name="图片 19" descr="30a8ea430c8a18ebf59e60529efb4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0a8ea430c8a18ebf59e60529efb437a"/>
                                <pic:cNvPicPr>
                                  <a:picLocks noChangeAspect="1"/>
                                </pic:cNvPicPr>
                              </pic:nvPicPr>
                              <pic:blipFill>
                                <a:blip r:embed="rId15"/>
                                <a:stretch>
                                  <a:fillRect/>
                                </a:stretch>
                              </pic:blipFill>
                              <pic:spPr>
                                <a:xfrm>
                                  <a:off x="0" y="0"/>
                                  <a:ext cx="2495550"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项目东侧道路</w:t>
                  </w:r>
                </w:p>
              </w:tc>
              <w:tc>
                <w:tcPr>
                  <w:tcW w:w="250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本项目外环境关系小结见下表。</w:t>
            </w:r>
          </w:p>
          <w:p>
            <w:pPr>
              <w:pageBreakBefore w:val="0"/>
              <w:widowControl/>
              <w:numPr>
                <w:ilvl w:val="0"/>
                <w:numId w:val="17"/>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项目外环境关系一览表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733"/>
              <w:gridCol w:w="639"/>
              <w:gridCol w:w="1061"/>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序号</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名称</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方位</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厂界距离</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散户居民</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82m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2户6人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散户居民</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E</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259m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1户3人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王家湾居民</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E</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392m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20户64人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color w:val="000000" w:themeColor="text1"/>
                      <w:spacing w:val="0"/>
                      <w:kern w:val="21"/>
                      <w:position w:val="0"/>
                      <w14:textFill>
                        <w14:solidFill>
                          <w14:schemeClr w14:val="tx1"/>
                        </w14:solidFill>
                      </w14:textFill>
                    </w:rPr>
                    <w:fldChar w:fldCharType="begin"/>
                  </w:r>
                  <w:r>
                    <w:rPr>
                      <w:color w:val="000000" w:themeColor="text1"/>
                      <w:spacing w:val="0"/>
                      <w:kern w:val="21"/>
                      <w:position w:val="0"/>
                      <w14:textFill>
                        <w14:solidFill>
                          <w14:schemeClr w14:val="tx1"/>
                        </w14:solidFill>
                      </w14:textFill>
                    </w:rPr>
                    <w:instrText xml:space="preserve"> HYPERLINK "http://www.baidu.com/link?url=uyZHKb5LwSZEjuBw0nXfHf_F4oyXuzHAMUcIztp9YgQ-eupx1TNcXST30vgq3_x7ZWo9QTaIorMjM2PMa42UD_" \t "https://www.baidu.com/_blank" </w:instrText>
                  </w:r>
                  <w:r>
                    <w:rPr>
                      <w:color w:val="000000" w:themeColor="text1"/>
                      <w:spacing w:val="0"/>
                      <w:kern w:val="21"/>
                      <w:position w:val="0"/>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14:textFill>
                        <w14:solidFill>
                          <w14:schemeClr w14:val="tx1"/>
                        </w14:solidFill>
                      </w14:textFill>
                    </w:rPr>
                    <w:t>四川广之铝金属制品有限公司</w:t>
                  </w:r>
                  <w:r>
                    <w:rPr>
                      <w:rFonts w:ascii="Times New Roman" w:hAnsi="Times New Roman" w:eastAsia="宋体" w:cs="Times New Roman"/>
                      <w:color w:val="000000" w:themeColor="text1"/>
                      <w:spacing w:val="0"/>
                      <w:kern w:val="21"/>
                      <w:position w:val="0"/>
                      <w:szCs w:val="21"/>
                      <w14:textFill>
                        <w14:solidFill>
                          <w14:schemeClr w14:val="tx1"/>
                        </w14:solidFill>
                      </w14:textFill>
                    </w:rPr>
                    <w:fldChar w:fldCharType="end"/>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255m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铝制品家居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color w:val="000000" w:themeColor="text1"/>
                      <w:spacing w:val="0"/>
                      <w:kern w:val="21"/>
                      <w:position w:val="0"/>
                      <w14:textFill>
                        <w14:solidFill>
                          <w14:schemeClr w14:val="tx1"/>
                        </w14:solidFill>
                      </w14:textFill>
                    </w:rPr>
                    <w:fldChar w:fldCharType="begin"/>
                  </w:r>
                  <w:r>
                    <w:rPr>
                      <w:color w:val="000000" w:themeColor="text1"/>
                      <w:spacing w:val="0"/>
                      <w:kern w:val="21"/>
                      <w:position w:val="0"/>
                      <w14:textFill>
                        <w14:solidFill>
                          <w14:schemeClr w14:val="tx1"/>
                        </w14:solidFill>
                      </w14:textFill>
                    </w:rPr>
                    <w:instrText xml:space="preserve"> HYPERLINK "http://www.baidu.com/link?url=DA5weltB0m3jpES9Ovt2NPMV_F-F89j-j03zRd9rltd3fAHOjWgmJR5uja67B8zDaHn6r2j2RZ-OVF5zgw206q" \t "https://www.baidu.com/_blank" </w:instrText>
                  </w:r>
                  <w:r>
                    <w:rPr>
                      <w:color w:val="000000" w:themeColor="text1"/>
                      <w:spacing w:val="0"/>
                      <w:kern w:val="21"/>
                      <w:position w:val="0"/>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14:textFill>
                        <w14:solidFill>
                          <w14:schemeClr w14:val="tx1"/>
                        </w14:solidFill>
                      </w14:textFill>
                    </w:rPr>
                    <w:t>四川中发新材料有限公司</w:t>
                  </w:r>
                  <w:r>
                    <w:rPr>
                      <w:rFonts w:ascii="Times New Roman" w:hAnsi="Times New Roman" w:eastAsia="宋体" w:cs="Times New Roman"/>
                      <w:color w:val="000000" w:themeColor="text1"/>
                      <w:spacing w:val="0"/>
                      <w:kern w:val="21"/>
                      <w:position w:val="0"/>
                      <w:szCs w:val="21"/>
                      <w14:textFill>
                        <w14:solidFill>
                          <w14:schemeClr w14:val="tx1"/>
                        </w14:solidFill>
                      </w14:textFill>
                    </w:rPr>
                    <w:fldChar w:fldCharType="end"/>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260m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铝制品家居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color w:val="000000" w:themeColor="text1"/>
                      <w:spacing w:val="0"/>
                      <w:kern w:val="21"/>
                      <w:position w:val="0"/>
                      <w14:textFill>
                        <w14:solidFill>
                          <w14:schemeClr w14:val="tx1"/>
                        </w14:solidFill>
                      </w14:textFill>
                    </w:rPr>
                    <w:fldChar w:fldCharType="begin"/>
                  </w:r>
                  <w:r>
                    <w:rPr>
                      <w:color w:val="000000" w:themeColor="text1"/>
                      <w:spacing w:val="0"/>
                      <w:kern w:val="21"/>
                      <w:position w:val="0"/>
                      <w14:textFill>
                        <w14:solidFill>
                          <w14:schemeClr w14:val="tx1"/>
                        </w14:solidFill>
                      </w14:textFill>
                    </w:rPr>
                    <w:instrText xml:space="preserve"> HYPERLINK "http://www.baidu.com/link?url=bqGGyMJkT4-ct_XlPkJI0CNnbEx5Nzxf7CXPSyCKlgAFgPaH9Iqdap67I7QubawF1Cmj_DkRc56_2StU_9F3vK" \t "https://www.baidu.com/_blank" </w:instrText>
                  </w:r>
                  <w:r>
                    <w:rPr>
                      <w:color w:val="000000" w:themeColor="text1"/>
                      <w:spacing w:val="0"/>
                      <w:kern w:val="21"/>
                      <w:position w:val="0"/>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14:textFill>
                        <w14:solidFill>
                          <w14:schemeClr w14:val="tx1"/>
                        </w14:solidFill>
                      </w14:textFill>
                    </w:rPr>
                    <w:t>泽瑞堂新材料科技（广元）有限公司</w:t>
                  </w:r>
                  <w:r>
                    <w:rPr>
                      <w:rFonts w:ascii="Times New Roman" w:hAnsi="Times New Roman" w:eastAsia="宋体" w:cs="Times New Roman"/>
                      <w:color w:val="000000" w:themeColor="text1"/>
                      <w:spacing w:val="0"/>
                      <w:kern w:val="21"/>
                      <w:position w:val="0"/>
                      <w:szCs w:val="21"/>
                      <w14:textFill>
                        <w14:solidFill>
                          <w14:schemeClr w14:val="tx1"/>
                        </w14:solidFill>
                      </w14:textFill>
                    </w:rPr>
                    <w:fldChar w:fldCharType="end"/>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NE</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57m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 PVC家居地板生产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黑马饰品科技（四川）有限公司</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NE</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312m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水晶饰品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四川千彩水晶科技有限公司</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NE</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437m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水晶饰品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原辅材料交易中心</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E</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原辅材料交易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四川省秋香供应链管理有限公司</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NW</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370m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家具生产销售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四川柏逸居家具有限责任公司</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NW</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473m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实木家具生产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c>
                <w:tcPr>
                  <w:tcW w:w="22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园区燃气站</w:t>
                  </w:r>
                </w:p>
              </w:tc>
              <w:tc>
                <w:tcPr>
                  <w:tcW w:w="38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w:t>
                  </w:r>
                </w:p>
              </w:tc>
              <w:tc>
                <w:tcPr>
                  <w:tcW w:w="6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274m</w:t>
                  </w:r>
                </w:p>
              </w:tc>
              <w:tc>
                <w:tcPr>
                  <w:tcW w:w="13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燃气供应</w:t>
                  </w:r>
                </w:p>
              </w:tc>
            </w:tr>
          </w:tbl>
          <w:p>
            <w:pPr>
              <w:pageBreakBefore w:val="0"/>
              <w:widowControl/>
              <w:kinsoku/>
              <w:overflowPunct/>
              <w:autoSpaceDE/>
              <w:autoSpaceDN/>
              <w:bidi w:val="0"/>
              <w:spacing w:line="360" w:lineRule="auto"/>
              <w:ind w:firstLine="480" w:firstLineChars="200"/>
              <w:textAlignment w:val="auto"/>
              <w:rPr>
                <w:rFonts w:hint="default" w:ascii="Times New Roman" w:hAnsi="Times New Roman" w:cs="Times New Roman" w:eastAsiaTheme="minorEastAsia"/>
                <w:color w:val="000000" w:themeColor="text1"/>
                <w:spacing w:val="0"/>
                <w:kern w:val="21"/>
                <w:position w:val="0"/>
                <w:sz w:val="24"/>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本项目周边敏感点与厂界、喷涂车间的相对位置关系见下表。</w:t>
            </w:r>
          </w:p>
          <w:p>
            <w:pPr>
              <w:pageBreakBefore w:val="0"/>
              <w:widowControl/>
              <w:numPr>
                <w:ilvl w:val="0"/>
                <w:numId w:val="17"/>
              </w:numPr>
              <w:kinsoku/>
              <w:overflowPunct/>
              <w:autoSpaceDE/>
              <w:autoSpaceDN/>
              <w:bidi w:val="0"/>
              <w:snapToGrid w:val="0"/>
              <w:spacing w:before="62" w:beforeLines="20" w:after="62" w:afterLines="20"/>
              <w:ind w:left="420" w:hanging="4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w:t>
            </w: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敏感点与厂界、喷涂车间位置</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关系一览表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267"/>
              <w:gridCol w:w="1019"/>
              <w:gridCol w:w="1417"/>
              <w:gridCol w:w="1016"/>
              <w:gridCol w:w="1469"/>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序号</w:t>
                  </w:r>
                </w:p>
              </w:tc>
              <w:tc>
                <w:tcPr>
                  <w:tcW w:w="756"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名称</w:t>
                  </w:r>
                </w:p>
              </w:tc>
              <w:tc>
                <w:tcPr>
                  <w:tcW w:w="1453"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与厂界位置关系</w:t>
                  </w:r>
                </w:p>
              </w:tc>
              <w:tc>
                <w:tcPr>
                  <w:tcW w:w="1482"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与喷涂车间位置关系</w:t>
                  </w:r>
                </w:p>
              </w:tc>
              <w:tc>
                <w:tcPr>
                  <w:tcW w:w="875"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756"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608"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方位</w:t>
                  </w:r>
                </w:p>
              </w:tc>
              <w:tc>
                <w:tcPr>
                  <w:tcW w:w="845"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b/>
                      <w:bCs/>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距离</w:t>
                  </w:r>
                </w:p>
              </w:tc>
              <w:tc>
                <w:tcPr>
                  <w:tcW w:w="60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方位</w:t>
                  </w:r>
                </w:p>
              </w:tc>
              <w:tc>
                <w:tcPr>
                  <w:tcW w:w="87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距离</w:t>
                  </w:r>
                </w:p>
              </w:tc>
              <w:tc>
                <w:tcPr>
                  <w:tcW w:w="875"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7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散户居民</w:t>
                  </w:r>
                </w:p>
              </w:tc>
              <w:tc>
                <w:tcPr>
                  <w:tcW w:w="60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p>
              </w:tc>
              <w:tc>
                <w:tcPr>
                  <w:tcW w:w="845"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82m</w:t>
                  </w:r>
                </w:p>
              </w:tc>
              <w:tc>
                <w:tcPr>
                  <w:tcW w:w="606"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SE</w:t>
                  </w:r>
                </w:p>
              </w:tc>
              <w:tc>
                <w:tcPr>
                  <w:tcW w:w="876"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145m</w:t>
                  </w:r>
                </w:p>
              </w:tc>
              <w:tc>
                <w:tcPr>
                  <w:tcW w:w="87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户</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7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散户居民</w:t>
                  </w:r>
                </w:p>
              </w:tc>
              <w:tc>
                <w:tcPr>
                  <w:tcW w:w="608"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E</w:t>
                  </w:r>
                </w:p>
              </w:tc>
              <w:tc>
                <w:tcPr>
                  <w:tcW w:w="845"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259m</w:t>
                  </w:r>
                </w:p>
              </w:tc>
              <w:tc>
                <w:tcPr>
                  <w:tcW w:w="60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E</w:t>
                  </w:r>
                </w:p>
              </w:tc>
              <w:tc>
                <w:tcPr>
                  <w:tcW w:w="876"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373m</w:t>
                  </w:r>
                </w:p>
              </w:tc>
              <w:tc>
                <w:tcPr>
                  <w:tcW w:w="87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1户3人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7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王家湾居民</w:t>
                  </w:r>
                </w:p>
              </w:tc>
              <w:tc>
                <w:tcPr>
                  <w:tcW w:w="608"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E</w:t>
                  </w:r>
                </w:p>
              </w:tc>
              <w:tc>
                <w:tcPr>
                  <w:tcW w:w="845"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392m</w:t>
                  </w:r>
                </w:p>
              </w:tc>
              <w:tc>
                <w:tcPr>
                  <w:tcW w:w="60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E</w:t>
                  </w:r>
                </w:p>
              </w:tc>
              <w:tc>
                <w:tcPr>
                  <w:tcW w:w="87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541m</w:t>
                  </w:r>
                </w:p>
              </w:tc>
              <w:tc>
                <w:tcPr>
                  <w:tcW w:w="87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20户64人</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u w:val="single"/>
                <w14:textFill>
                  <w14:solidFill>
                    <w14:schemeClr w14:val="tx1"/>
                  </w14:solidFill>
                </w14:textFill>
              </w:rPr>
            </w:pPr>
            <w:r>
              <w:rPr>
                <w:rFonts w:ascii="Times New Roman" w:hAnsi="Times New Roman" w:cs="Times New Roman"/>
                <w:color w:val="000000" w:themeColor="text1"/>
                <w:spacing w:val="0"/>
                <w:kern w:val="21"/>
                <w:position w:val="0"/>
                <w:sz w:val="24"/>
                <w14:textFill>
                  <w14:solidFill>
                    <w14:schemeClr w14:val="tx1"/>
                  </w14:solidFill>
                </w14:textFill>
              </w:rPr>
              <w:t>根据本项目外环境关系可知，项目周边主要为工业企业，项目周围</w:t>
            </w:r>
            <w:r>
              <w:rPr>
                <w:rFonts w:ascii="Times New Roman" w:hAnsi="Times New Roman" w:eastAsia="宋体" w:cs="Times New Roman"/>
                <w:color w:val="000000" w:themeColor="text1"/>
                <w:spacing w:val="0"/>
                <w:kern w:val="21"/>
                <w:position w:val="0"/>
                <w:sz w:val="24"/>
                <w14:textFill>
                  <w14:solidFill>
                    <w14:schemeClr w14:val="tx1"/>
                  </w14:solidFill>
                </w14:textFill>
              </w:rPr>
              <w:t>无学校、医院、</w:t>
            </w:r>
            <w:r>
              <w:rPr>
                <w:rFonts w:ascii="Times New Roman" w:hAnsi="Times New Roman" w:cs="Times New Roman"/>
                <w:color w:val="000000" w:themeColor="text1"/>
                <w:spacing w:val="0"/>
                <w:kern w:val="21"/>
                <w:position w:val="0"/>
                <w:sz w:val="24"/>
                <w14:textFill>
                  <w14:solidFill>
                    <w14:schemeClr w14:val="tx1"/>
                  </w14:solidFill>
                </w14:textFill>
              </w:rPr>
              <w:t>文物保护、风景名胜区等环境敏感目标</w:t>
            </w:r>
            <w:r>
              <w:rPr>
                <w:rFonts w:ascii="Times New Roman" w:hAnsi="Times New Roman" w:eastAsia="宋体" w:cs="Times New Roman"/>
                <w:color w:val="000000" w:themeColor="text1"/>
                <w:spacing w:val="0"/>
                <w:kern w:val="21"/>
                <w:position w:val="0"/>
                <w:sz w:val="24"/>
                <w14:textFill>
                  <w14:solidFill>
                    <w14:schemeClr w14:val="tx1"/>
                  </w14:solidFill>
                </w14:textFill>
              </w:rPr>
              <w:t>，不涉及自然保护区、水源保护区等环境敏感点</w:t>
            </w:r>
            <w:r>
              <w:rPr>
                <w:rFonts w:ascii="Times New Roman" w:hAnsi="Times New Roman" w:cs="Times New Roman"/>
                <w:color w:val="000000" w:themeColor="text1"/>
                <w:spacing w:val="0"/>
                <w:kern w:val="21"/>
                <w:position w:val="0"/>
                <w:sz w:val="24"/>
                <w14:textFill>
                  <w14:solidFill>
                    <w14:schemeClr w14:val="tx1"/>
                  </w14:solidFill>
                </w14:textFill>
              </w:rPr>
              <w:t>，无重大环境制约因素。</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本项目为家具生产制造项目，产生的污染物主要为废气（颗粒物、挥发性有机物）、废水、噪声及固废。</w:t>
            </w:r>
            <w:r>
              <w:rPr>
                <w:rFonts w:ascii="Times New Roman" w:hAnsi="Times New Roman" w:cs="Times New Roman"/>
                <w:color w:val="000000" w:themeColor="text1"/>
                <w:spacing w:val="0"/>
                <w:kern w:val="21"/>
                <w:position w:val="0"/>
                <w:sz w:val="24"/>
                <w14:textFill>
                  <w14:solidFill>
                    <w14:schemeClr w14:val="tx1"/>
                  </w14:solidFill>
                </w14:textFill>
              </w:rPr>
              <w:t>根据现场调查，项目厂界外50m范围内无声环境保护目标，厂界外500m范围内无地下水集中式饮用水水源和热水、矿泉水、温泉等特殊地下水资源</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本项目</w:t>
            </w:r>
            <w:r>
              <w:rPr>
                <w:rFonts w:ascii="Times New Roman" w:hAnsi="Times New Roman" w:cs="Times New Roman"/>
                <w:color w:val="000000" w:themeColor="text1"/>
                <w:spacing w:val="0"/>
                <w:kern w:val="21"/>
                <w:position w:val="0"/>
                <w:sz w:val="24"/>
                <w14:textFill>
                  <w14:solidFill>
                    <w14:schemeClr w14:val="tx1"/>
                  </w14:solidFill>
                </w14:textFill>
              </w:rPr>
              <w:t>厂界外500m范围内有</w:t>
            </w:r>
            <w:r>
              <w:rPr>
                <w:rFonts w:ascii="Times New Roman" w:hAnsi="Times New Roman" w:eastAsia="宋体" w:cs="Times New Roman"/>
                <w:color w:val="000000" w:themeColor="text1"/>
                <w:spacing w:val="0"/>
                <w:kern w:val="21"/>
                <w:position w:val="0"/>
                <w:sz w:val="24"/>
                <w14:textFill>
                  <w14:solidFill>
                    <w14:schemeClr w14:val="tx1"/>
                  </w14:solidFill>
                </w14:textFill>
              </w:rPr>
              <w:t>3处</w:t>
            </w:r>
            <w:r>
              <w:rPr>
                <w:rFonts w:ascii="Times New Roman" w:hAnsi="Times New Roman" w:cs="Times New Roman"/>
                <w:color w:val="000000" w:themeColor="text1"/>
                <w:spacing w:val="0"/>
                <w:kern w:val="21"/>
                <w:position w:val="0"/>
                <w:sz w:val="24"/>
                <w14:textFill>
                  <w14:solidFill>
                    <w14:schemeClr w14:val="tx1"/>
                  </w14:solidFill>
                </w14:textFill>
              </w:rPr>
              <w:t>环境空气保护目标</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均</w:t>
            </w:r>
            <w:r>
              <w:rPr>
                <w:rFonts w:hint="eastAsia" w:ascii="Times New Roman" w:hAnsi="Times New Roman" w:cs="Times New Roman"/>
                <w:color w:val="000000" w:themeColor="text1"/>
                <w:spacing w:val="0"/>
                <w:kern w:val="21"/>
                <w:position w:val="0"/>
                <w:sz w:val="24"/>
                <w14:textFill>
                  <w14:solidFill>
                    <w14:schemeClr w14:val="tx1"/>
                  </w14:solidFill>
                </w14:textFill>
              </w:rPr>
              <w:t>位于</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本</w:t>
            </w:r>
            <w:r>
              <w:rPr>
                <w:rFonts w:hint="eastAsia" w:ascii="Times New Roman" w:hAnsi="Times New Roman" w:cs="Times New Roman"/>
                <w:color w:val="000000" w:themeColor="text1"/>
                <w:spacing w:val="0"/>
                <w:kern w:val="21"/>
                <w:position w:val="0"/>
                <w:sz w:val="24"/>
                <w14:textFill>
                  <w14:solidFill>
                    <w14:schemeClr w14:val="tx1"/>
                  </w14:solidFill>
                </w14:textFill>
              </w:rPr>
              <w:t>项目</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喷涂车间</w:t>
            </w:r>
            <w:r>
              <w:rPr>
                <w:rFonts w:hint="eastAsia" w:ascii="Times New Roman" w:hAnsi="Times New Roman" w:cs="Times New Roman"/>
                <w:color w:val="000000" w:themeColor="text1"/>
                <w:spacing w:val="0"/>
                <w:kern w:val="21"/>
                <w:position w:val="0"/>
                <w:sz w:val="24"/>
                <w14:textFill>
                  <w14:solidFill>
                    <w14:schemeClr w14:val="tx1"/>
                  </w14:solidFill>
                </w14:textFill>
              </w:rPr>
              <w:t>主导风向</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的</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侧</w:t>
            </w:r>
            <w:r>
              <w:rPr>
                <w:rFonts w:hint="eastAsia" w:ascii="Times New Roman" w:hAnsi="Times New Roman" w:cs="Times New Roman"/>
                <w:color w:val="000000" w:themeColor="text1"/>
                <w:spacing w:val="0"/>
                <w:kern w:val="21"/>
                <w:position w:val="0"/>
                <w:sz w:val="24"/>
                <w14:textFill>
                  <w14:solidFill>
                    <w14:schemeClr w14:val="tx1"/>
                  </w14:solidFill>
                </w14:textFill>
              </w:rPr>
              <w:t>风向，且本项目主要</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大气</w:t>
            </w:r>
            <w:r>
              <w:rPr>
                <w:rFonts w:hint="eastAsia" w:ascii="Times New Roman" w:hAnsi="Times New Roman" w:cs="Times New Roman"/>
                <w:color w:val="000000" w:themeColor="text1"/>
                <w:spacing w:val="0"/>
                <w:kern w:val="21"/>
                <w:position w:val="0"/>
                <w:sz w:val="24"/>
                <w14:textFill>
                  <w14:solidFill>
                    <w14:schemeClr w14:val="tx1"/>
                  </w14:solidFill>
                </w14:textFill>
              </w:rPr>
              <w:t>污染物</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为</w:t>
            </w:r>
            <w:r>
              <w:rPr>
                <w:rFonts w:hint="eastAsia" w:ascii="Times New Roman" w:hAnsi="Times New Roman" w:cs="Times New Roman"/>
                <w:color w:val="000000" w:themeColor="text1"/>
                <w:spacing w:val="0"/>
                <w:kern w:val="21"/>
                <w:position w:val="0"/>
                <w:sz w:val="24"/>
                <w14:textFill>
                  <w14:solidFill>
                    <w14:schemeClr w14:val="tx1"/>
                  </w14:solidFill>
                </w14:textFill>
              </w:rPr>
              <w:t>VOCs</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颗粒物，</w:t>
            </w:r>
            <w:r>
              <w:rPr>
                <w:rFonts w:hint="eastAsia" w:ascii="Times New Roman" w:hAnsi="Times New Roman" w:cs="Times New Roman"/>
                <w:color w:val="000000" w:themeColor="text1"/>
                <w:spacing w:val="0"/>
                <w:kern w:val="21"/>
                <w:position w:val="0"/>
                <w:sz w:val="24"/>
                <w14:textFill>
                  <w14:solidFill>
                    <w14:schemeClr w14:val="tx1"/>
                  </w14:solidFill>
                </w14:textFill>
              </w:rPr>
              <w:t>经收集</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处理后能够实现</w:t>
            </w:r>
            <w:r>
              <w:rPr>
                <w:rFonts w:hint="eastAsia" w:ascii="Times New Roman" w:hAnsi="Times New Roman" w:cs="Times New Roman"/>
                <w:color w:val="000000" w:themeColor="text1"/>
                <w:spacing w:val="0"/>
                <w:kern w:val="21"/>
                <w:position w:val="0"/>
                <w:sz w:val="24"/>
                <w14:textFill>
                  <w14:solidFill>
                    <w14:schemeClr w14:val="tx1"/>
                  </w14:solidFill>
                </w14:textFill>
              </w:rPr>
              <w:t>达标排放</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不会对区域生态环境产生不利影响</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结合区域规划环评要求，建设单位应严格落实本次评价提出的各项污染物防治措施，确保项目建设不会对周边敏感目标产生不利影响。</w:t>
            </w:r>
          </w:p>
          <w:p>
            <w:pPr>
              <w:pageBreakBefore w:val="0"/>
              <w:widowControl/>
              <w:kinsoku/>
              <w:overflowPunct/>
              <w:autoSpaceDE/>
              <w:autoSpaceDN/>
              <w:bidi w:val="0"/>
              <w:spacing w:line="360" w:lineRule="auto"/>
              <w:ind w:firstLine="480"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综上所述，</w:t>
            </w:r>
            <w:r>
              <w:rPr>
                <w:rFonts w:ascii="Times New Roman" w:hAnsi="Times New Roman" w:cs="Times New Roman"/>
                <w:color w:val="000000" w:themeColor="text1"/>
                <w:spacing w:val="0"/>
                <w:kern w:val="21"/>
                <w:position w:val="0"/>
                <w:sz w:val="24"/>
                <w14:textFill>
                  <w14:solidFill>
                    <w14:schemeClr w14:val="tx1"/>
                  </w14:solidFill>
                </w14:textFill>
              </w:rPr>
              <w:t>本项目在采取可行性污染防治措施后，废气、废水、噪声能够实现达标排放，固体废物能够妥善处置，对周边环境无明显影响。因此，本项目建设与环境相容。</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3、基础设施建设条件</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本项目所在区域内供水、供电、供气、通讯、道路、交通等基础设施完善，基础条件良好。本项目生活污水经厂内自建预处理池（</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、脱脂-硅烷化废水经厂区自建污水站（</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隔油+pH调节+混凝气浮+混凝沉淀</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）处理后</w:t>
            </w:r>
            <w:r>
              <w:rPr>
                <w:rFonts w:ascii="Times New Roman" w:hAnsi="Times New Roman" w:eastAsia="宋体" w:cs="Times New Roman"/>
                <w:color w:val="000000" w:themeColor="text1"/>
                <w:spacing w:val="0"/>
                <w:kern w:val="21"/>
                <w:position w:val="0"/>
                <w:sz w:val="24"/>
                <w14:textFill>
                  <w14:solidFill>
                    <w14:schemeClr w14:val="tx1"/>
                  </w14:solidFill>
                </w14:textFill>
              </w:rPr>
              <w:t>依托园区已建污水管网收集后排入泉坝污水厂进一步处理后经园区污水管</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网排入泉坝污水处理厂进一步处理达到</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《城镇污水处理厂污染物排放标准》（GB</w:t>
            </w:r>
            <w:r>
              <w:rPr>
                <w:rFonts w:hint="eastAsia" w:ascii="Times New Roman" w:hAnsi="Times New Roman" w:eastAsia="宋体" w:cs="Times New Roman"/>
                <w:color w:val="000000" w:themeColor="text1"/>
                <w:spacing w:val="0"/>
                <w:kern w:val="21"/>
                <w:position w:val="0"/>
                <w:sz w:val="24"/>
                <w:lang w:val="en-US" w:eastAsia="zh-CN"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18918-2002）一级A标准后，尾水排入南</w:t>
            </w:r>
            <w:r>
              <w:rPr>
                <w:rFonts w:ascii="Times New Roman" w:hAnsi="Times New Roman" w:eastAsia="宋体" w:cs="Times New Roman"/>
                <w:color w:val="000000" w:themeColor="text1"/>
                <w:spacing w:val="0"/>
                <w:kern w:val="21"/>
                <w:position w:val="0"/>
                <w:sz w:val="24"/>
                <w14:textFill>
                  <w14:solidFill>
                    <w14:schemeClr w14:val="tx1"/>
                  </w14:solidFill>
                </w14:textFill>
              </w:rPr>
              <w:t>河。待启动区污水处理厂建成后，生活污水</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、脱脂-硅烷化废水</w:t>
            </w:r>
            <w:r>
              <w:rPr>
                <w:rFonts w:ascii="Times New Roman" w:hAnsi="Times New Roman" w:eastAsia="宋体" w:cs="Times New Roman"/>
                <w:color w:val="000000" w:themeColor="text1"/>
                <w:spacing w:val="0"/>
                <w:kern w:val="21"/>
                <w:position w:val="0"/>
                <w:sz w:val="24"/>
                <w14:textFill>
                  <w14:solidFill>
                    <w14:schemeClr w14:val="tx1"/>
                  </w14:solidFill>
                </w14:textFill>
              </w:rPr>
              <w:t>经园区污水管网排入启动区污水处理厂经处理达《四川省岷江、沱江流域水污染物排放标准》（DB 51/2311-2016）中“城镇污水处理厂”污染物浓度排放限值后尾水排入沙河。因此，本项目所在区域基础条件良好。</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iCs/>
                <w:color w:val="000000" w:themeColor="text1"/>
                <w:spacing w:val="0"/>
                <w:kern w:val="21"/>
                <w:position w:val="0"/>
                <w:sz w:val="24"/>
                <w:szCs w:val="22"/>
                <w14:textFill>
                  <w14:solidFill>
                    <w14:schemeClr w14:val="tx1"/>
                  </w14:solidFill>
                </w14:textFill>
              </w:rPr>
              <w:t>综上，本项目建设选址符合当地相关规划，无明显环境制约因素，与环境相容，周边基础设施建设条件良好，选址合理。</w:t>
            </w: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1906" w:h="16838"/>
          <w:pgMar w:top="1134" w:right="1531" w:bottom="1134" w:left="1531" w:header="851" w:footer="907" w:gutter="0"/>
          <w:cols w:space="425" w:num="1"/>
          <w:docGrid w:type="lines" w:linePitch="312" w:charSpace="0"/>
        </w:sectPr>
      </w:pPr>
    </w:p>
    <w:p>
      <w:pPr>
        <w:pageBreakBefore w:val="0"/>
        <w:widowControl/>
        <w:kinsoku/>
        <w:overflowPunct/>
        <w:autoSpaceDE/>
        <w:autoSpaceDN/>
        <w:bidi w:val="0"/>
        <w:snapToGrid w:val="0"/>
        <w:spacing w:before="62" w:beforeLines="20" w:after="62" w:afterLines="20"/>
        <w:jc w:val="center"/>
        <w:textAlignment w:val="auto"/>
        <w:outlineLvl w:val="0"/>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pPr>
      <w:r>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t>二、建设项目工程分析</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6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50" w:hRule="atLeast"/>
          <w:jc w:val="center"/>
        </w:trPr>
        <w:tc>
          <w:tcPr>
            <w:tcW w:w="245" w:type="pct"/>
            <w:vAlign w:val="center"/>
          </w:tcPr>
          <w:p>
            <w:pPr>
              <w:pageBreakBefore w:val="0"/>
              <w:widowControl/>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建设内容</w:t>
            </w:r>
          </w:p>
        </w:tc>
        <w:tc>
          <w:tcPr>
            <w:tcW w:w="4754" w:type="pct"/>
          </w:tcPr>
          <w:p>
            <w:pPr>
              <w:pageBreakBefore w:val="0"/>
              <w:numPr>
                <w:ilvl w:val="0"/>
                <w:numId w:val="22"/>
              </w:numPr>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项目概况</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1、项目基本情况</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项目名称：</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年产100万套智能家居加工制造项目（一期）</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建设地点：</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中国西部（广元）绿色家居产业城启动区</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项目性质：</w:t>
            </w:r>
            <w:r>
              <w:rPr>
                <w:rFonts w:ascii="Times New Roman" w:hAnsi="Times New Roman" w:eastAsia="宋体" w:cs="Times New Roman"/>
                <w:bCs/>
                <w:color w:val="000000" w:themeColor="text1"/>
                <w:spacing w:val="0"/>
                <w:kern w:val="21"/>
                <w:position w:val="0"/>
                <w:sz w:val="24"/>
                <w:szCs w:val="24"/>
                <w14:textFill>
                  <w14:solidFill>
                    <w14:schemeClr w14:val="tx1"/>
                  </w14:solidFill>
                </w14:textFill>
              </w:rPr>
              <w:t>新建</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建设单位：</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美好世家（四川）家居有限公司</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项目投资：</w:t>
            </w:r>
            <w:r>
              <w:rPr>
                <w:rFonts w:ascii="Times New Roman" w:hAnsi="Times New Roman" w:eastAsia="宋体" w:cs="Times New Roman"/>
                <w:bCs/>
                <w:color w:val="000000" w:themeColor="text1"/>
                <w:spacing w:val="0"/>
                <w:kern w:val="21"/>
                <w:position w:val="0"/>
                <w:sz w:val="24"/>
                <w:szCs w:val="24"/>
                <w14:textFill>
                  <w14:solidFill>
                    <w14:schemeClr w14:val="tx1"/>
                  </w14:solidFill>
                </w14:textFill>
              </w:rPr>
              <w:t>15000万元</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2、建设内容及规模</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本项目位于广元市昭化区中国西部（广元）绿色家居产业城启动区，项目购买园区工业用地进行建设，总占地面积142260.26m</w:t>
            </w:r>
            <w:r>
              <w:rPr>
                <w:rFonts w:ascii="Times New Roman" w:hAnsi="Times New Roman" w:eastAsia="宋体" w:cs="Times New Roman"/>
                <w:color w:val="000000" w:themeColor="text1"/>
                <w:spacing w:val="0"/>
                <w:kern w:val="21"/>
                <w:position w:val="0"/>
                <w:sz w:val="24"/>
                <w:szCs w:val="24"/>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，共建设生产厂房7栋、库房2栋、综合楼1栋，建设板式家具生产线4条、实木家居生产线4条、软体家具生产线2条、五金家具生产线2条，年产智能家居100万套</w:t>
            </w:r>
            <w:r>
              <w:rPr>
                <w:rFonts w:hint="eastAsia" w:ascii="Times New Roman" w:hAnsi="Times New Roman" w:eastAsia="宋体" w:cs="Times New Roman"/>
                <w:color w:val="000000" w:themeColor="text1"/>
                <w:spacing w:val="0"/>
                <w:kern w:val="21"/>
                <w:position w:val="0"/>
                <w:sz w:val="24"/>
                <w:szCs w:val="24"/>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项目分三期建设。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本项目一期占地面积66405.92m</w:t>
            </w:r>
            <w:r>
              <w:rPr>
                <w:rFonts w:ascii="Times New Roman" w:hAnsi="Times New Roman" w:eastAsia="宋体" w:cs="Times New Roman"/>
                <w:color w:val="000000" w:themeColor="text1"/>
                <w:spacing w:val="0"/>
                <w:kern w:val="21"/>
                <w:position w:val="0"/>
                <w:sz w:val="24"/>
                <w:szCs w:val="24"/>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，主要建设生产厂房3栋、库房1栋，建设板式家具生产线2条、实木家居生产线2条、软体家具生产线1条、五金家具配件生产线1条，建成后年产智能家居35万套。</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本次评价仅针对项目一期建设内容进行评价，后续二期、三期建设另行评价。</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vertAlign w:val="subscript"/>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3、产品方案及质量标准</w:t>
            </w:r>
          </w:p>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本项目主</w:t>
            </w:r>
            <w:r>
              <w:rPr>
                <w:rFonts w:ascii="Times New Roman" w:hAnsi="Times New Roman" w:eastAsia="宋体" w:cs="Times New Roman"/>
                <w:color w:val="000000" w:themeColor="text1"/>
                <w:spacing w:val="0"/>
                <w:kern w:val="21"/>
                <w:position w:val="0"/>
                <w:sz w:val="24"/>
                <w14:textFill>
                  <w14:solidFill>
                    <w14:schemeClr w14:val="tx1"/>
                  </w14:solidFill>
                </w14:textFill>
              </w:rPr>
              <w:t>要产品包括板式家具、实木家</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具</w:t>
            </w:r>
            <w:r>
              <w:rPr>
                <w:rFonts w:ascii="Times New Roman" w:hAnsi="Times New Roman" w:eastAsia="宋体" w:cs="Times New Roman"/>
                <w:color w:val="000000" w:themeColor="text1"/>
                <w:spacing w:val="0"/>
                <w:kern w:val="21"/>
                <w:position w:val="0"/>
                <w:sz w:val="24"/>
                <w14:textFill>
                  <w14:solidFill>
                    <w14:schemeClr w14:val="tx1"/>
                  </w14:solidFill>
                </w14:textFill>
              </w:rPr>
              <w:t>、软体家具及</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配套</w:t>
            </w:r>
            <w:r>
              <w:rPr>
                <w:rFonts w:ascii="Times New Roman" w:hAnsi="Times New Roman" w:eastAsia="宋体" w:cs="Times New Roman"/>
                <w:color w:val="000000" w:themeColor="text1"/>
                <w:spacing w:val="0"/>
                <w:kern w:val="21"/>
                <w:position w:val="0"/>
                <w:sz w:val="24"/>
                <w14:textFill>
                  <w14:solidFill>
                    <w14:schemeClr w14:val="tx1"/>
                  </w14:solidFill>
                </w14:textFill>
              </w:rPr>
              <w:t>五金件</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其中板式家具为桌子、柜子；实木家具为椅子；软体家具为沙发；五金配件主要为金属椅腿、桌腿</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本项目产品方案见下表。</w:t>
            </w:r>
          </w:p>
          <w:p>
            <w:pPr>
              <w:pageBreakBefore w:val="0"/>
              <w:numPr>
                <w:ilvl w:val="0"/>
                <w:numId w:val="23"/>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产品方案一览表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455"/>
              <w:gridCol w:w="1050"/>
              <w:gridCol w:w="1086"/>
              <w:gridCol w:w="851"/>
              <w:gridCol w:w="2482"/>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bCs/>
                      <w:color w:val="000000" w:themeColor="text1"/>
                      <w:spacing w:val="0"/>
                      <w:kern w:val="21"/>
                      <w:position w:val="0"/>
                      <w:sz w:val="18"/>
                      <w:szCs w:val="18"/>
                      <w:lang w:bidi="ar"/>
                      <w14:textFill>
                        <w14:solidFill>
                          <w14:schemeClr w14:val="tx1"/>
                        </w14:solidFill>
                      </w14:textFill>
                    </w:rPr>
                    <w:t>产品名称</w:t>
                  </w:r>
                </w:p>
              </w:tc>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bCs/>
                      <w:color w:val="000000" w:themeColor="text1"/>
                      <w:spacing w:val="0"/>
                      <w:kern w:val="21"/>
                      <w:position w:val="0"/>
                      <w:sz w:val="18"/>
                      <w:szCs w:val="18"/>
                      <w:lang w:bidi="ar"/>
                      <w14:textFill>
                        <w14:solidFill>
                          <w14:schemeClr w14:val="tx1"/>
                        </w14:solidFill>
                      </w14:textFill>
                    </w:rPr>
                    <w:t>设计生产能力（万套/年）</w:t>
                  </w:r>
                </w:p>
              </w:tc>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bCs/>
                      <w:color w:val="000000" w:themeColor="text1"/>
                      <w:spacing w:val="0"/>
                      <w:kern w:val="21"/>
                      <w:position w:val="0"/>
                      <w:sz w:val="18"/>
                      <w:szCs w:val="18"/>
                      <w:lang w:bidi="ar"/>
                      <w14:textFill>
                        <w14:solidFill>
                          <w14:schemeClr w14:val="tx1"/>
                        </w14:solidFill>
                      </w14:textFill>
                    </w:rPr>
                    <w:t>单位产品喷涂面积（m</w:t>
                  </w:r>
                  <w:r>
                    <w:rPr>
                      <w:rFonts w:ascii="Times New Roman" w:hAnsi="Times New Roman" w:eastAsia="宋体" w:cs="Times New Roman"/>
                      <w:b/>
                      <w:bCs/>
                      <w:color w:val="000000" w:themeColor="text1"/>
                      <w:spacing w:val="0"/>
                      <w:kern w:val="21"/>
                      <w:position w:val="0"/>
                      <w:sz w:val="18"/>
                      <w:szCs w:val="18"/>
                      <w:vertAlign w:val="superscript"/>
                      <w:lang w:bidi="ar"/>
                      <w14:textFill>
                        <w14:solidFill>
                          <w14:schemeClr w14:val="tx1"/>
                        </w14:solidFill>
                      </w14:textFill>
                    </w:rPr>
                    <w:t>2</w:t>
                  </w:r>
                  <w:r>
                    <w:rPr>
                      <w:rFonts w:ascii="Times New Roman" w:hAnsi="Times New Roman" w:eastAsia="宋体" w:cs="Times New Roman"/>
                      <w:b/>
                      <w:bCs/>
                      <w:color w:val="000000" w:themeColor="text1"/>
                      <w:spacing w:val="0"/>
                      <w:kern w:val="21"/>
                      <w:position w:val="0"/>
                      <w:sz w:val="18"/>
                      <w:szCs w:val="18"/>
                      <w:lang w:bidi="ar"/>
                      <w14:textFill>
                        <w14:solidFill>
                          <w14:schemeClr w14:val="tx1"/>
                        </w14:solidFill>
                      </w14:textFill>
                    </w:rPr>
                    <w:t>）</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val="0"/>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18"/>
                      <w:szCs w:val="18"/>
                      <w:lang w:bidi="ar"/>
                      <w14:textFill>
                        <w14:solidFill>
                          <w14:schemeClr w14:val="tx1"/>
                        </w14:solidFill>
                      </w14:textFill>
                    </w:rPr>
                    <w:t>总喷涂面积（m</w:t>
                  </w:r>
                  <w:r>
                    <w:rPr>
                      <w:rFonts w:ascii="Times New Roman" w:hAnsi="Times New Roman" w:eastAsia="宋体" w:cs="Times New Roman"/>
                      <w:b/>
                      <w:bCs/>
                      <w:color w:val="000000" w:themeColor="text1"/>
                      <w:spacing w:val="0"/>
                      <w:kern w:val="21"/>
                      <w:position w:val="0"/>
                      <w:sz w:val="18"/>
                      <w:szCs w:val="18"/>
                      <w:vertAlign w:val="superscript"/>
                      <w:lang w:bidi="ar"/>
                      <w14:textFill>
                        <w14:solidFill>
                          <w14:schemeClr w14:val="tx1"/>
                        </w14:solidFill>
                      </w14:textFill>
                    </w:rPr>
                    <w:t>2</w:t>
                  </w:r>
                  <w:r>
                    <w:rPr>
                      <w:rFonts w:ascii="Times New Roman" w:hAnsi="Times New Roman" w:eastAsia="宋体" w:cs="Times New Roman"/>
                      <w:b/>
                      <w:bCs/>
                      <w:color w:val="000000" w:themeColor="text1"/>
                      <w:spacing w:val="0"/>
                      <w:kern w:val="21"/>
                      <w:position w:val="0"/>
                      <w:sz w:val="18"/>
                      <w:szCs w:val="18"/>
                      <w:lang w:bidi="ar"/>
                      <w14:textFill>
                        <w14:solidFill>
                          <w14:schemeClr w14:val="tx1"/>
                        </w14:solidFill>
                      </w14:textFill>
                    </w:rPr>
                    <w:t>）</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t>规格型号</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val="0"/>
                      <w:bCs/>
                      <w:color w:val="000000" w:themeColor="text1"/>
                      <w:spacing w:val="0"/>
                      <w:kern w:val="21"/>
                      <w:position w:val="0"/>
                      <w:sz w:val="18"/>
                      <w:szCs w:val="18"/>
                      <w:lang w:bidi="ar"/>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bookmarkStart w:id="1" w:name="OLE_LINK3" w:colFirst="1" w:colLast="1"/>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板式家具</w:t>
                  </w:r>
                </w:p>
              </w:tc>
              <w:tc>
                <w:tcPr>
                  <w:tcW w:w="271"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桌子</w:t>
                  </w:r>
                </w:p>
              </w:tc>
              <w:tc>
                <w:tcPr>
                  <w:tcW w:w="626"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5</w:t>
                  </w:r>
                </w:p>
              </w:tc>
              <w:tc>
                <w:tcPr>
                  <w:tcW w:w="647" w:type="pc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507" w:type="pc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1479" w:type="pc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主要规格L×B×H=1500×750×800mm</w:t>
                  </w:r>
                </w:p>
              </w:tc>
              <w:tc>
                <w:tcPr>
                  <w:tcW w:w="1068" w:type="pc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板材</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部分桌腿为金属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p>
              </w:tc>
              <w:tc>
                <w:tcPr>
                  <w:tcW w:w="271"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柜子</w:t>
                  </w:r>
                </w:p>
              </w:tc>
              <w:tc>
                <w:tcPr>
                  <w:tcW w:w="626"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bCs/>
                      <w:color w:val="000000" w:themeColor="text1"/>
                      <w:spacing w:val="0"/>
                      <w:kern w:val="21"/>
                      <w:position w:val="0"/>
                      <w:sz w:val="18"/>
                      <w:szCs w:val="18"/>
                      <w:lang w:val="en-US" w:eastAsia="zh-CN" w:bidi="ar"/>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18"/>
                      <w:szCs w:val="18"/>
                      <w:lang w:val="en-US" w:eastAsia="zh-CN" w:bidi="ar"/>
                      <w14:textFill>
                        <w14:solidFill>
                          <w14:schemeClr w14:val="tx1"/>
                        </w14:solidFill>
                      </w14:textFill>
                    </w:rPr>
                    <w:t>5</w:t>
                  </w:r>
                </w:p>
              </w:tc>
              <w:tc>
                <w:tcPr>
                  <w:tcW w:w="647"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w:t>
                  </w:r>
                </w:p>
              </w:tc>
              <w:tc>
                <w:tcPr>
                  <w:tcW w:w="507"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w:t>
                  </w:r>
                </w:p>
              </w:tc>
              <w:tc>
                <w:tcPr>
                  <w:tcW w:w="1479"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主要规格L×B×H=1100×500×1110mm</w:t>
                  </w:r>
                </w:p>
              </w:tc>
              <w:tc>
                <w:tcPr>
                  <w:tcW w:w="1068"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板材框架、柜锁等为五金</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实木家具</w:t>
                  </w:r>
                </w:p>
              </w:tc>
              <w:tc>
                <w:tcPr>
                  <w:tcW w:w="271"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椅子</w:t>
                  </w:r>
                </w:p>
              </w:tc>
              <w:tc>
                <w:tcPr>
                  <w:tcW w:w="626"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20</w:t>
                  </w:r>
                </w:p>
              </w:tc>
              <w:tc>
                <w:tcPr>
                  <w:tcW w:w="647"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0.</w:t>
                  </w:r>
                  <w:r>
                    <w:rPr>
                      <w:rFonts w:hint="eastAsia"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35</w:t>
                  </w:r>
                </w:p>
              </w:tc>
              <w:tc>
                <w:tcPr>
                  <w:tcW w:w="507"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7</w:t>
                  </w: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0000</w:t>
                  </w:r>
                </w:p>
              </w:tc>
              <w:tc>
                <w:tcPr>
                  <w:tcW w:w="1479"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主要规格L×B×H=450×520×780mm</w:t>
                  </w:r>
                </w:p>
              </w:tc>
              <w:tc>
                <w:tcPr>
                  <w:tcW w:w="1068"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实木背板、实木坐板</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部分椅腿为金属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软体家具</w:t>
                  </w: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沙发</w:t>
                  </w:r>
                </w:p>
              </w:tc>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5</w:t>
                  </w:r>
                </w:p>
              </w:tc>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1479" w:type="pct"/>
                  <w:tcBorders>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主要规格L×B×H=1950×520×800mm</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实木架、实木板、皮革、无纺布、海绵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合计</w:t>
                  </w:r>
                </w:p>
              </w:tc>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35</w:t>
                  </w:r>
                </w:p>
              </w:tc>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7</w:t>
                  </w: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0000</w:t>
                  </w:r>
                </w:p>
              </w:tc>
              <w:tc>
                <w:tcPr>
                  <w:tcW w:w="1479" w:type="pct"/>
                  <w:tcBorders>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五金件</w:t>
                  </w:r>
                </w:p>
              </w:tc>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w:t>
                  </w:r>
                </w:p>
              </w:tc>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1479" w:type="pct"/>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shd w:val="clear" w:color="auto" w:fill="FFFFFF"/>
                      <w:lang w:val="en-US"/>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shd w:val="clear" w:color="auto" w:fill="FFFFFF"/>
                      <w:lang w:val="en-US" w:eastAsia="zh-CN"/>
                      <w14:textFill>
                        <w14:solidFill>
                          <w14:schemeClr w14:val="tx1"/>
                        </w14:solidFill>
                      </w14:textFill>
                    </w:rPr>
                    <w:t>金属椅腿、桌腿</w:t>
                  </w:r>
                </w:p>
              </w:tc>
            </w:tr>
          </w:tbl>
          <w:p>
            <w:pPr>
              <w:pageBreakBefore w:val="0"/>
              <w:kinsoku/>
              <w:overflowPunct/>
              <w:autoSpaceDE/>
              <w:autoSpaceDN/>
              <w:bidi w:val="0"/>
              <w:snapToGrid w:val="0"/>
              <w:spacing w:before="62" w:beforeLines="20" w:after="62" w:afterLines="20"/>
              <w:ind w:firstLine="421"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注：</w:t>
            </w:r>
            <w:r>
              <w:rPr>
                <w:rFonts w:ascii="Times New Roman" w:hAnsi="Times New Roman" w:eastAsia="宋体" w:cs="Times New Roman"/>
                <w:color w:val="000000" w:themeColor="text1"/>
                <w:spacing w:val="0"/>
                <w:kern w:val="21"/>
                <w:position w:val="0"/>
                <w:szCs w:val="21"/>
                <w14:textFill>
                  <w14:solidFill>
                    <w14:schemeClr w14:val="tx1"/>
                  </w14:solidFill>
                </w14:textFill>
              </w:rPr>
              <w:t>1、本项目产品仅对实木椅进行喷漆，其他产品均不喷漆；</w:t>
            </w:r>
          </w:p>
          <w:p>
            <w:pPr>
              <w:pageBreakBefore w:val="0"/>
              <w:kinsoku/>
              <w:overflowPunct/>
              <w:autoSpaceDE/>
              <w:autoSpaceDN/>
              <w:bidi w:val="0"/>
              <w:snapToGrid w:val="0"/>
              <w:spacing w:before="62" w:beforeLines="20" w:after="62" w:afterLines="20"/>
              <w:ind w:firstLine="420"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2、本项目五金件</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为金属椅腿、桌腿，仅用于本项目桌椅装配</w:t>
            </w:r>
            <w:r>
              <w:rPr>
                <w:rFonts w:ascii="Times New Roman" w:hAnsi="Times New Roman" w:eastAsia="宋体" w:cs="Times New Roman"/>
                <w:color w:val="000000" w:themeColor="text1"/>
                <w:spacing w:val="0"/>
                <w:kern w:val="21"/>
                <w:position w:val="0"/>
                <w:szCs w:val="21"/>
                <w14:textFill>
                  <w14:solidFill>
                    <w14:schemeClr w14:val="tx1"/>
                  </w14:solidFill>
                </w14:textFill>
              </w:rPr>
              <w:t>，不外售</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其余五金件均为外购，不在厂内生产</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Cs w:val="36"/>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本项目部分产品示意图如下。</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3"/>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249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color w:val="000000" w:themeColor="text1"/>
                      <w:spacing w:val="0"/>
                      <w:kern w:val="21"/>
                      <w:position w:val="0"/>
                      <w14:textFill>
                        <w14:solidFill>
                          <w14:schemeClr w14:val="tx1"/>
                        </w14:solidFill>
                      </w14:textFill>
                    </w:rPr>
                    <w:drawing>
                      <wp:inline distT="0" distB="0" distL="114300" distR="114300">
                        <wp:extent cx="2178050" cy="1800225"/>
                        <wp:effectExtent l="0" t="0" r="12700" b="952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16"/>
                                <a:stretch>
                                  <a:fillRect/>
                                </a:stretch>
                              </pic:blipFill>
                              <pic:spPr>
                                <a:xfrm>
                                  <a:off x="0" y="0"/>
                                  <a:ext cx="2178050" cy="1800225"/>
                                </a:xfrm>
                                <a:prstGeom prst="rect">
                                  <a:avLst/>
                                </a:prstGeom>
                                <a:noFill/>
                                <a:ln>
                                  <a:noFill/>
                                </a:ln>
                              </pic:spPr>
                            </pic:pic>
                          </a:graphicData>
                        </a:graphic>
                      </wp:inline>
                    </w:drawing>
                  </w:r>
                </w:p>
              </w:tc>
              <w:tc>
                <w:tcPr>
                  <w:tcW w:w="2500"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color w:val="000000" w:themeColor="text1"/>
                      <w:spacing w:val="0"/>
                      <w:kern w:val="21"/>
                      <w:position w:val="0"/>
                      <w14:textFill>
                        <w14:solidFill>
                          <w14:schemeClr w14:val="tx1"/>
                        </w14:solidFill>
                      </w14:textFill>
                    </w:rPr>
                    <w:drawing>
                      <wp:inline distT="0" distB="0" distL="114300" distR="114300">
                        <wp:extent cx="2364740" cy="1800225"/>
                        <wp:effectExtent l="0" t="0" r="16510" b="952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17"/>
                                <a:srcRect t="13158" b="7470"/>
                                <a:stretch>
                                  <a:fillRect/>
                                </a:stretch>
                              </pic:blipFill>
                              <pic:spPr>
                                <a:xfrm>
                                  <a:off x="0" y="0"/>
                                  <a:ext cx="2364740" cy="1800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color w:val="000000" w:themeColor="text1"/>
                      <w:spacing w:val="0"/>
                      <w:kern w:val="21"/>
                      <w:position w:val="0"/>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bidi="ar"/>
                      <w14:textFill>
                        <w14:solidFill>
                          <w14:schemeClr w14:val="tx1"/>
                        </w14:solidFill>
                      </w14:textFill>
                    </w:rPr>
                    <w:t>金属桌腿</w:t>
                  </w: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桌子</w:t>
                  </w:r>
                </w:p>
              </w:tc>
              <w:tc>
                <w:tcPr>
                  <w:tcW w:w="2500"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lang w:val="en-US" w:eastAsia="zh-CN"/>
                      <w14:textFill>
                        <w14:solidFill>
                          <w14:schemeClr w14:val="tx1"/>
                        </w14:solidFill>
                      </w14:textFill>
                    </w:rPr>
                    <w:t>全板材桌子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249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color w:val="000000" w:themeColor="text1"/>
                      <w:spacing w:val="0"/>
                      <w:kern w:val="21"/>
                      <w:position w:val="0"/>
                      <w14:textFill>
                        <w14:solidFill>
                          <w14:schemeClr w14:val="tx1"/>
                        </w14:solidFill>
                      </w14:textFill>
                    </w:rPr>
                  </w:pPr>
                  <w:r>
                    <w:rPr>
                      <w:color w:val="000000" w:themeColor="text1"/>
                      <w:spacing w:val="0"/>
                      <w:kern w:val="21"/>
                      <w:position w:val="0"/>
                      <w14:textFill>
                        <w14:solidFill>
                          <w14:schemeClr w14:val="tx1"/>
                        </w14:solidFill>
                      </w14:textFill>
                    </w:rPr>
                    <w:drawing>
                      <wp:inline distT="0" distB="0" distL="114300" distR="114300">
                        <wp:extent cx="1941195" cy="1800225"/>
                        <wp:effectExtent l="0" t="0" r="1905" b="952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8"/>
                                <a:srcRect t="3963"/>
                                <a:stretch>
                                  <a:fillRect/>
                                </a:stretch>
                              </pic:blipFill>
                              <pic:spPr>
                                <a:xfrm>
                                  <a:off x="0" y="0"/>
                                  <a:ext cx="1941195" cy="1800225"/>
                                </a:xfrm>
                                <a:prstGeom prst="rect">
                                  <a:avLst/>
                                </a:prstGeom>
                                <a:noFill/>
                                <a:ln>
                                  <a:noFill/>
                                </a:ln>
                              </pic:spPr>
                            </pic:pic>
                          </a:graphicData>
                        </a:graphic>
                      </wp:inline>
                    </w:drawing>
                  </w:r>
                </w:p>
              </w:tc>
              <w:tc>
                <w:tcPr>
                  <w:tcW w:w="2500"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14:textFill>
                        <w14:solidFill>
                          <w14:schemeClr w14:val="tx1"/>
                        </w14:solidFill>
                      </w14:textFill>
                    </w:rPr>
                    <w:drawing>
                      <wp:inline distT="0" distB="0" distL="114300" distR="114300">
                        <wp:extent cx="2045335" cy="1800225"/>
                        <wp:effectExtent l="0" t="0" r="12065" b="952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9"/>
                                <a:srcRect t="6124" b="1295"/>
                                <a:stretch>
                                  <a:fillRect/>
                                </a:stretch>
                              </pic:blipFill>
                              <pic:spPr>
                                <a:xfrm>
                                  <a:off x="0" y="0"/>
                                  <a:ext cx="2045335" cy="1800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bidi="ar"/>
                      <w14:textFill>
                        <w14:solidFill>
                          <w14:schemeClr w14:val="tx1"/>
                        </w14:solidFill>
                      </w14:textFill>
                    </w:rPr>
                    <w:t>金属椅腿椅</w:t>
                  </w: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子</w:t>
                  </w:r>
                </w:p>
              </w:tc>
              <w:tc>
                <w:tcPr>
                  <w:tcW w:w="2500"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bidi="ar"/>
                      <w14:textFill>
                        <w14:solidFill>
                          <w14:schemeClr w14:val="tx1"/>
                        </w14:solidFill>
                      </w14:textFill>
                    </w:rPr>
                    <w:t>全实木</w:t>
                  </w: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椅子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249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14:textFill>
                        <w14:solidFill>
                          <w14:schemeClr w14:val="tx1"/>
                        </w14:solidFill>
                      </w14:textFill>
                    </w:rPr>
                    <w:drawing>
                      <wp:inline distT="0" distB="0" distL="114300" distR="114300">
                        <wp:extent cx="2045335" cy="1800225"/>
                        <wp:effectExtent l="0" t="0" r="1206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0"/>
                                <a:stretch>
                                  <a:fillRect/>
                                </a:stretch>
                              </pic:blipFill>
                              <pic:spPr>
                                <a:xfrm>
                                  <a:off x="0" y="0"/>
                                  <a:ext cx="2045335" cy="1800225"/>
                                </a:xfrm>
                                <a:prstGeom prst="rect">
                                  <a:avLst/>
                                </a:prstGeom>
                                <a:noFill/>
                                <a:ln>
                                  <a:noFill/>
                                </a:ln>
                              </pic:spPr>
                            </pic:pic>
                          </a:graphicData>
                        </a:graphic>
                      </wp:inline>
                    </w:drawing>
                  </w:r>
                </w:p>
              </w:tc>
              <w:tc>
                <w:tcPr>
                  <w:tcW w:w="2500"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14:textFill>
                        <w14:solidFill>
                          <w14:schemeClr w14:val="tx1"/>
                        </w14:solidFill>
                      </w14:textFill>
                    </w:rPr>
                    <w:drawing>
                      <wp:inline distT="0" distB="0" distL="114300" distR="114300">
                        <wp:extent cx="2045335" cy="1800225"/>
                        <wp:effectExtent l="0" t="0" r="12065" b="952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1"/>
                                <a:stretch>
                                  <a:fillRect/>
                                </a:stretch>
                              </pic:blipFill>
                              <pic:spPr>
                                <a:xfrm>
                                  <a:off x="0" y="0"/>
                                  <a:ext cx="2045335" cy="1800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柜子</w:t>
                  </w:r>
                </w:p>
              </w:tc>
              <w:tc>
                <w:tcPr>
                  <w:tcW w:w="2500"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沙发</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各类</w:t>
            </w:r>
            <w:r>
              <w:rPr>
                <w:rFonts w:ascii="Times New Roman" w:hAnsi="Times New Roman" w:eastAsia="宋体" w:cs="Times New Roman"/>
                <w:color w:val="000000" w:themeColor="text1"/>
                <w:spacing w:val="0"/>
                <w:kern w:val="21"/>
                <w:position w:val="0"/>
                <w:sz w:val="24"/>
                <w14:textFill>
                  <w14:solidFill>
                    <w14:schemeClr w14:val="tx1"/>
                  </w14:solidFill>
                </w14:textFill>
              </w:rPr>
              <w:t>产品质量标准</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详</w:t>
            </w:r>
            <w:r>
              <w:rPr>
                <w:rFonts w:ascii="Times New Roman" w:hAnsi="Times New Roman" w:eastAsia="宋体" w:cs="Times New Roman"/>
                <w:color w:val="000000" w:themeColor="text1"/>
                <w:spacing w:val="0"/>
                <w:kern w:val="21"/>
                <w:position w:val="0"/>
                <w:sz w:val="24"/>
                <w14:textFill>
                  <w14:solidFill>
                    <w14:schemeClr w14:val="tx1"/>
                  </w14:solidFill>
                </w14:textFill>
              </w:rPr>
              <w:t>见下表。</w:t>
            </w:r>
          </w:p>
          <w:p>
            <w:pPr>
              <w:keepNext w:val="0"/>
              <w:keepLines w:val="0"/>
              <w:pageBreakBefore w:val="0"/>
              <w:numPr>
                <w:ilvl w:val="0"/>
                <w:numId w:val="23"/>
              </w:numPr>
              <w:kinsoku/>
              <w:wordWrap/>
              <w:overflowPunct/>
              <w:topLinePunct w:val="0"/>
              <w:autoSpaceDE/>
              <w:autoSpaceDN/>
              <w:bidi w:val="0"/>
              <w:snapToGrid w:val="0"/>
              <w:spacing w:before="62" w:beforeLines="20" w:after="62" w:afterLines="20"/>
              <w:ind w:left="0" w:firstLine="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产品质量标准一览表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415"/>
              <w:gridCol w:w="1662"/>
              <w:gridCol w:w="4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Align w:val="center"/>
                </w:tcPr>
                <w:p>
                  <w:pPr>
                    <w:keepNext w:val="0"/>
                    <w:keepLines w:val="0"/>
                    <w:pageBreakBefore w:val="0"/>
                    <w:widowControl/>
                    <w:kinsoku/>
                    <w:wordWrap/>
                    <w:overflowPunct/>
                    <w:topLinePunct w:val="0"/>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t>序号</w:t>
                  </w:r>
                </w:p>
              </w:tc>
              <w:tc>
                <w:tcPr>
                  <w:tcW w:w="1833" w:type="pct"/>
                  <w:gridSpan w:val="2"/>
                  <w:vAlign w:val="center"/>
                </w:tcPr>
                <w:p>
                  <w:pPr>
                    <w:keepNext w:val="0"/>
                    <w:keepLines w:val="0"/>
                    <w:pageBreakBefore w:val="0"/>
                    <w:widowControl/>
                    <w:kinsoku/>
                    <w:wordWrap/>
                    <w:overflowPunct/>
                    <w:topLinePunct w:val="0"/>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产品名称</w:t>
                  </w:r>
                </w:p>
              </w:tc>
              <w:tc>
                <w:tcPr>
                  <w:tcW w:w="2761" w:type="pct"/>
                  <w:vAlign w:val="center"/>
                </w:tcPr>
                <w:p>
                  <w:pPr>
                    <w:keepNext w:val="0"/>
                    <w:keepLines w:val="0"/>
                    <w:pageBreakBefore w:val="0"/>
                    <w:widowControl/>
                    <w:kinsoku/>
                    <w:wordWrap/>
                    <w:overflowPunct/>
                    <w:topLinePunct w:val="0"/>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t>1</w:t>
                  </w:r>
                </w:p>
              </w:tc>
              <w:tc>
                <w:tcPr>
                  <w:tcW w:w="843" w:type="pct"/>
                  <w:vMerge w:val="restar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板式家具</w:t>
                  </w:r>
                </w:p>
              </w:tc>
              <w:tc>
                <w:tcPr>
                  <w:tcW w:w="990"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1"/>
                      <w:szCs w:val="21"/>
                      <w:lang w:val="en-US" w:eastAsia="zh-CN"/>
                      <w14:textFill>
                        <w14:solidFill>
                          <w14:schemeClr w14:val="tx1"/>
                        </w14:solidFill>
                      </w14:textFill>
                    </w:rPr>
                    <w:t>全板材桌子</w:t>
                  </w:r>
                </w:p>
              </w:tc>
              <w:tc>
                <w:tcPr>
                  <w:tcW w:w="2761" w:type="pct"/>
                  <w:vMerge w:val="restar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1"/>
                      <w:szCs w:val="21"/>
                      <w:shd w:val="clear" w:color="auto" w:fill="FFFFFF"/>
                      <w14:textFill>
                        <w14:solidFill>
                          <w14:schemeClr w14:val="tx1"/>
                        </w14:solidFill>
                      </w14:textFill>
                    </w:rPr>
                    <w:t>《</w:t>
                  </w:r>
                  <w:r>
                    <w:rPr>
                      <w:rStyle w:val="24"/>
                      <w:rFonts w:hint="default" w:ascii="Times New Roman" w:hAnsi="Times New Roman" w:eastAsia="宋体" w:cs="Times New Roman"/>
                      <w:b w:val="0"/>
                      <w:bCs/>
                      <w:i w:val="0"/>
                      <w:color w:val="000000" w:themeColor="text1"/>
                      <w:spacing w:val="0"/>
                      <w:kern w:val="21"/>
                      <w:position w:val="0"/>
                      <w:sz w:val="21"/>
                      <w:szCs w:val="21"/>
                      <w:shd w:val="clear" w:color="auto" w:fill="FFFFFF"/>
                      <w14:textFill>
                        <w14:solidFill>
                          <w14:schemeClr w14:val="tx1"/>
                        </w14:solidFill>
                      </w14:textFill>
                    </w:rPr>
                    <w:t>木家具通用技术条件</w:t>
                  </w:r>
                  <w:r>
                    <w:rPr>
                      <w:rFonts w:hint="default" w:ascii="Times New Roman" w:hAnsi="Times New Roman" w:eastAsia="宋体" w:cs="Times New Roman"/>
                      <w:b w:val="0"/>
                      <w:bCs/>
                      <w:color w:val="000000" w:themeColor="text1"/>
                      <w:spacing w:val="0"/>
                      <w:kern w:val="21"/>
                      <w:position w:val="0"/>
                      <w:sz w:val="21"/>
                      <w:szCs w:val="21"/>
                      <w:shd w:val="clear" w:color="auto" w:fill="FFFFFF"/>
                      <w14:textFill>
                        <w14:solidFill>
                          <w14:schemeClr w14:val="tx1"/>
                        </w14:solidFill>
                      </w14:textFill>
                    </w:rPr>
                    <w:t>》（GB/T 3324-2017）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t>2</w:t>
                  </w:r>
                </w:p>
              </w:tc>
              <w:tc>
                <w:tcPr>
                  <w:tcW w:w="843" w:type="pct"/>
                  <w:vMerge w:val="continue"/>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p>
              </w:tc>
              <w:tc>
                <w:tcPr>
                  <w:tcW w:w="990"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柜子</w:t>
                  </w:r>
                </w:p>
              </w:tc>
              <w:tc>
                <w:tcPr>
                  <w:tcW w:w="2761" w:type="pct"/>
                  <w:vMerge w:val="continue"/>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t>3</w:t>
                  </w:r>
                </w:p>
              </w:tc>
              <w:tc>
                <w:tcPr>
                  <w:tcW w:w="843"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实木家具</w:t>
                  </w:r>
                </w:p>
              </w:tc>
              <w:tc>
                <w:tcPr>
                  <w:tcW w:w="990"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全实木椅子</w:t>
                  </w:r>
                </w:p>
              </w:tc>
              <w:tc>
                <w:tcPr>
                  <w:tcW w:w="2761" w:type="pct"/>
                  <w:vMerge w:val="continue"/>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t>4</w:t>
                  </w:r>
                </w:p>
              </w:tc>
              <w:tc>
                <w:tcPr>
                  <w:tcW w:w="843"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板式家具</w:t>
                  </w:r>
                </w:p>
              </w:tc>
              <w:tc>
                <w:tcPr>
                  <w:tcW w:w="990"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金属桌腿桌子</w:t>
                  </w:r>
                </w:p>
              </w:tc>
              <w:tc>
                <w:tcPr>
                  <w:tcW w:w="2761" w:type="pct"/>
                  <w:vMerge w:val="restar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bCs/>
                      <w:color w:val="000000" w:themeColor="text1"/>
                      <w:spacing w:val="0"/>
                      <w:kern w:val="21"/>
                      <w:position w:val="0"/>
                      <w:sz w:val="21"/>
                      <w:szCs w:val="21"/>
                      <w:shd w:val="clear" w:color="auto" w:fill="FFFFFF"/>
                      <w14:textFill>
                        <w14:solidFill>
                          <w14:schemeClr w14:val="tx1"/>
                        </w14:solidFill>
                      </w14:textFill>
                    </w:rPr>
                    <w:t>《</w:t>
                  </w:r>
                  <w:r>
                    <w:rPr>
                      <w:rFonts w:hint="default" w:ascii="Times New Roman" w:hAnsi="Times New Roman" w:eastAsia="宋体" w:cs="Times New Roman"/>
                      <w:b w:val="0"/>
                      <w:bCs/>
                      <w:color w:val="000000" w:themeColor="text1"/>
                      <w:spacing w:val="0"/>
                      <w:kern w:val="21"/>
                      <w:position w:val="0"/>
                      <w:sz w:val="21"/>
                      <w:szCs w:val="21"/>
                      <w:shd w:val="clear" w:color="auto" w:fill="FFFFFF"/>
                      <w:lang w:val="en-US" w:eastAsia="zh-CN"/>
                      <w14:textFill>
                        <w14:solidFill>
                          <w14:schemeClr w14:val="tx1"/>
                        </w14:solidFill>
                      </w14:textFill>
                    </w:rPr>
                    <w:t>金属</w:t>
                  </w:r>
                  <w:r>
                    <w:rPr>
                      <w:rStyle w:val="24"/>
                      <w:rFonts w:hint="default" w:ascii="Times New Roman" w:hAnsi="Times New Roman" w:eastAsia="宋体" w:cs="Times New Roman"/>
                      <w:b w:val="0"/>
                      <w:bCs/>
                      <w:i w:val="0"/>
                      <w:color w:val="000000" w:themeColor="text1"/>
                      <w:spacing w:val="0"/>
                      <w:kern w:val="21"/>
                      <w:position w:val="0"/>
                      <w:sz w:val="21"/>
                      <w:szCs w:val="21"/>
                      <w:shd w:val="clear" w:color="auto" w:fill="FFFFFF"/>
                      <w14:textFill>
                        <w14:solidFill>
                          <w14:schemeClr w14:val="tx1"/>
                        </w14:solidFill>
                      </w14:textFill>
                    </w:rPr>
                    <w:t>家具通用技术条件</w:t>
                  </w:r>
                  <w:r>
                    <w:rPr>
                      <w:rFonts w:hint="default" w:ascii="Times New Roman" w:hAnsi="Times New Roman" w:eastAsia="宋体" w:cs="Times New Roman"/>
                      <w:b w:val="0"/>
                      <w:bCs/>
                      <w:color w:val="000000" w:themeColor="text1"/>
                      <w:spacing w:val="0"/>
                      <w:kern w:val="21"/>
                      <w:position w:val="0"/>
                      <w:sz w:val="21"/>
                      <w:szCs w:val="21"/>
                      <w:shd w:val="clear" w:color="auto" w:fill="FFFFFF"/>
                      <w14:textFill>
                        <w14:solidFill>
                          <w14:schemeClr w14:val="tx1"/>
                        </w14:solidFill>
                      </w14:textFill>
                    </w:rPr>
                    <w:t>》（GB/T 332</w:t>
                  </w:r>
                  <w:r>
                    <w:rPr>
                      <w:rFonts w:hint="default" w:ascii="Times New Roman" w:hAnsi="Times New Roman" w:eastAsia="宋体" w:cs="Times New Roman"/>
                      <w:b w:val="0"/>
                      <w:bCs/>
                      <w:color w:val="000000" w:themeColor="text1"/>
                      <w:spacing w:val="0"/>
                      <w:kern w:val="21"/>
                      <w:position w:val="0"/>
                      <w:sz w:val="21"/>
                      <w:szCs w:val="21"/>
                      <w:shd w:val="clear" w:color="auto" w:fill="FFFFFF"/>
                      <w:lang w:val="en-US" w:eastAsia="zh-CN"/>
                      <w14:textFill>
                        <w14:solidFill>
                          <w14:schemeClr w14:val="tx1"/>
                        </w14:solidFill>
                      </w14:textFill>
                    </w:rPr>
                    <w:t>5</w:t>
                  </w:r>
                  <w:r>
                    <w:rPr>
                      <w:rFonts w:hint="default" w:ascii="Times New Roman" w:hAnsi="Times New Roman" w:eastAsia="宋体" w:cs="Times New Roman"/>
                      <w:b w:val="0"/>
                      <w:bCs/>
                      <w:color w:val="000000" w:themeColor="text1"/>
                      <w:spacing w:val="0"/>
                      <w:kern w:val="21"/>
                      <w:position w:val="0"/>
                      <w:sz w:val="21"/>
                      <w:szCs w:val="21"/>
                      <w:shd w:val="clear" w:color="auto" w:fill="FFFFFF"/>
                      <w14:textFill>
                        <w14:solidFill>
                          <w14:schemeClr w14:val="tx1"/>
                        </w14:solidFill>
                      </w14:textFill>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t>5</w:t>
                  </w:r>
                </w:p>
              </w:tc>
              <w:tc>
                <w:tcPr>
                  <w:tcW w:w="843"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bCs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kern w:val="21"/>
                      <w:position w:val="0"/>
                      <w:sz w:val="21"/>
                      <w:szCs w:val="21"/>
                      <w:lang w:val="en-US" w:eastAsia="zh-CN"/>
                      <w14:textFill>
                        <w14:solidFill>
                          <w14:schemeClr w14:val="tx1"/>
                        </w14:solidFill>
                      </w14:textFill>
                    </w:rPr>
                    <w:t>实木家具</w:t>
                  </w:r>
                </w:p>
              </w:tc>
              <w:tc>
                <w:tcPr>
                  <w:tcW w:w="990"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金属椅腿椅子</w:t>
                  </w:r>
                </w:p>
              </w:tc>
              <w:tc>
                <w:tcPr>
                  <w:tcW w:w="2761" w:type="pct"/>
                  <w:vMerge w:val="continue"/>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14:textFill>
                        <w14:solidFill>
                          <w14:schemeClr w14:val="tx1"/>
                        </w14:solidFill>
                      </w14:textFill>
                    </w:rPr>
                    <w:t>6</w:t>
                  </w:r>
                </w:p>
              </w:tc>
              <w:tc>
                <w:tcPr>
                  <w:tcW w:w="843"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bCs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1"/>
                      <w:position w:val="0"/>
                      <w:sz w:val="21"/>
                      <w:szCs w:val="21"/>
                      <w14:textFill>
                        <w14:solidFill>
                          <w14:schemeClr w14:val="tx1"/>
                        </w14:solidFill>
                      </w14:textFill>
                    </w:rPr>
                    <w:t>软体家具</w:t>
                  </w:r>
                </w:p>
              </w:tc>
              <w:tc>
                <w:tcPr>
                  <w:tcW w:w="990"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沙发</w:t>
                  </w:r>
                </w:p>
              </w:tc>
              <w:tc>
                <w:tcPr>
                  <w:tcW w:w="2761" w:type="pct"/>
                  <w:shd w:val="clear" w:color="auto" w:fill="auto"/>
                  <w:vAlign w:val="center"/>
                </w:tcPr>
                <w:p>
                  <w:pPr>
                    <w:pStyle w:val="38"/>
                    <w:keepNext w:val="0"/>
                    <w:keepLines w:val="0"/>
                    <w:pageBreakBefore w:val="0"/>
                    <w:kinsoku/>
                    <w:wordWrap/>
                    <w:overflowPunct/>
                    <w:topLinePunct w:val="0"/>
                    <w:autoSpaceDE/>
                    <w:autoSpaceDN/>
                    <w:bidi w:val="0"/>
                    <w:adjustRightInd w:val="0"/>
                    <w:snapToGrid w:val="0"/>
                    <w:spacing w:before="62" w:beforeLines="20" w:after="62" w:afterLines="20"/>
                    <w:textAlignment w:val="auto"/>
                    <w:rPr>
                      <w:rFonts w:hint="default" w:ascii="Times New Roman" w:hAnsi="Times New Roman" w:eastAsia="宋体" w:cs="Times New Roman"/>
                      <w:b w:val="0"/>
                      <w:color w:val="000000" w:themeColor="text1"/>
                      <w:spacing w:val="0"/>
                      <w:kern w:val="21"/>
                      <w:position w:val="0"/>
                      <w:sz w:val="21"/>
                      <w:szCs w:val="21"/>
                      <w:lang w:eastAsia="zh-CN"/>
                      <w14:textFill>
                        <w14:solidFill>
                          <w14:schemeClr w14:val="tx1"/>
                        </w14:solidFill>
                      </w14:textFill>
                    </w:rPr>
                  </w:pPr>
                  <w:r>
                    <w:rPr>
                      <w:rFonts w:hint="default" w:ascii="Times New Roman" w:hAnsi="Times New Roman" w:eastAsia="宋体" w:cs="Times New Roman"/>
                      <w:b w:val="0"/>
                      <w:color w:val="000000" w:themeColor="text1"/>
                      <w:spacing w:val="0"/>
                      <w:kern w:val="21"/>
                      <w:position w:val="0"/>
                      <w:sz w:val="21"/>
                      <w:szCs w:val="21"/>
                      <w:lang w:eastAsia="zh-CN"/>
                      <w14:textFill>
                        <w14:solidFill>
                          <w14:schemeClr w14:val="tx1"/>
                        </w14:solidFill>
                      </w14:textFill>
                    </w:rPr>
                    <w:t>《软体家具</w:t>
                  </w:r>
                  <w:r>
                    <w:rPr>
                      <w:rFonts w:hint="default"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 xml:space="preserve"> </w:t>
                  </w:r>
                  <w:r>
                    <w:rPr>
                      <w:rFonts w:hint="default" w:ascii="Times New Roman" w:hAnsi="Times New Roman" w:eastAsia="宋体" w:cs="Times New Roman"/>
                      <w:b w:val="0"/>
                      <w:color w:val="000000" w:themeColor="text1"/>
                      <w:spacing w:val="0"/>
                      <w:kern w:val="21"/>
                      <w:position w:val="0"/>
                      <w:sz w:val="21"/>
                      <w:szCs w:val="21"/>
                      <w:lang w:eastAsia="zh-CN"/>
                      <w14:textFill>
                        <w14:solidFill>
                          <w14:schemeClr w14:val="tx1"/>
                        </w14:solidFill>
                      </w14:textFill>
                    </w:rPr>
                    <w:t>沙发》（QB/T</w:t>
                  </w:r>
                  <w:r>
                    <w:rPr>
                      <w:rFonts w:hint="eastAsia" w:ascii="Times New Roman" w:hAnsi="Times New Roman" w:eastAsia="宋体" w:cs="Times New Roman"/>
                      <w:b w:val="0"/>
                      <w:color w:val="000000" w:themeColor="text1"/>
                      <w:spacing w:val="0"/>
                      <w:kern w:val="21"/>
                      <w:position w:val="0"/>
                      <w:sz w:val="21"/>
                      <w:szCs w:val="21"/>
                      <w:lang w:val="en-US" w:eastAsia="zh-CN"/>
                      <w14:textFill>
                        <w14:solidFill>
                          <w14:schemeClr w14:val="tx1"/>
                        </w14:solidFill>
                      </w14:textFill>
                    </w:rPr>
                    <w:t xml:space="preserve"> </w:t>
                  </w:r>
                  <w:r>
                    <w:rPr>
                      <w:rFonts w:hint="default" w:ascii="Times New Roman" w:hAnsi="Times New Roman" w:eastAsia="宋体" w:cs="Times New Roman"/>
                      <w:b w:val="0"/>
                      <w:color w:val="000000" w:themeColor="text1"/>
                      <w:spacing w:val="0"/>
                      <w:kern w:val="21"/>
                      <w:position w:val="0"/>
                      <w:sz w:val="21"/>
                      <w:szCs w:val="21"/>
                      <w:lang w:eastAsia="zh-CN"/>
                      <w14:textFill>
                        <w14:solidFill>
                          <w14:schemeClr w14:val="tx1"/>
                        </w14:solidFill>
                      </w14:textFill>
                    </w:rPr>
                    <w:t>1952.1-2023）</w:t>
                  </w:r>
                </w:p>
              </w:tc>
            </w:tr>
          </w:tbl>
          <w:p>
            <w:pPr>
              <w:pageBreakBefore w:val="0"/>
              <w:numPr>
                <w:ilvl w:val="0"/>
                <w:numId w:val="22"/>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项目组成及主要环境问题</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本项目主体工程为1#木业车间、2#实木板式车间及3#金属软包车间，项目建成后年产智能家居35万套。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1#木业车间主要设置木材加工区</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主要进行各类进厂原料的初步加工；2#实木板式车间主要设置实木车间、板式车间、喷漆房及打样定制区，主要用于板式家具、实木家具加工生产及喷漆；3#金属软包车间1F为金属车间，主要设置下料区、焊接区、喷塑区、打磨区，主要用于五金件加工；2F为软包车间，设置裁剪区、缝纫区、裁棉区、贴面区、安包区，主要用于软包家具</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软包件</w:t>
            </w:r>
            <w:r>
              <w:rPr>
                <w:rFonts w:ascii="Times New Roman" w:hAnsi="Times New Roman" w:eastAsia="宋体" w:cs="Times New Roman"/>
                <w:color w:val="000000" w:themeColor="text1"/>
                <w:spacing w:val="0"/>
                <w:kern w:val="21"/>
                <w:position w:val="0"/>
                <w:sz w:val="24"/>
                <w14:textFill>
                  <w14:solidFill>
                    <w14:schemeClr w14:val="tx1"/>
                  </w14:solidFill>
                </w14:textFill>
              </w:rPr>
              <w:t>加工生产。</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辅助工程包括</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机修检测房</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样品间；公用工程由给水、排水、供电等工程组成；环保工程包括废气治理、废水治理、噪声治理、固废处置、地下水及土壤防护工程；储运工程包括4#库房、半成品待放区、成品暂存区、原料区、化学品库；办公生活设施包括综合办公区、会议室、办公室、接待室。</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项目组成及主要环境问题见下表。</w:t>
            </w:r>
          </w:p>
          <w:p>
            <w:pPr>
              <w:keepNext/>
              <w:pageBreakBefore w:val="0"/>
              <w:numPr>
                <w:ilvl w:val="0"/>
                <w:numId w:val="23"/>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项目组成及主要环境问题表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70"/>
              <w:gridCol w:w="935"/>
              <w:gridCol w:w="3906"/>
              <w:gridCol w:w="995"/>
              <w:gridCol w:w="1002"/>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1" w:type="pct"/>
                  <w:gridSpan w:val="3"/>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项目名称</w:t>
                  </w:r>
                </w:p>
              </w:tc>
              <w:tc>
                <w:tcPr>
                  <w:tcW w:w="2328"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建设内容及规模</w:t>
                  </w:r>
                </w:p>
              </w:tc>
              <w:tc>
                <w:tcPr>
                  <w:tcW w:w="1190"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主要环境问题</w:t>
                  </w:r>
                </w:p>
              </w:tc>
              <w:tc>
                <w:tcPr>
                  <w:tcW w:w="389"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1" w:type="pct"/>
                  <w:gridSpan w:val="3"/>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328"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59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施工期</w:t>
                  </w: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运营期</w:t>
                  </w:r>
                </w:p>
              </w:tc>
              <w:tc>
                <w:tcPr>
                  <w:tcW w:w="389"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5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主体工程</w:t>
                  </w: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1#木业车间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1F，位于厂区东北侧，建筑面积15146.56m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，钢架结构，建筑高度9.90m，设置木材加工区。</w:t>
                  </w:r>
                </w:p>
              </w:tc>
              <w:tc>
                <w:tcPr>
                  <w:tcW w:w="59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8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其中</w:t>
                  </w:r>
                </w:p>
              </w:tc>
              <w:tc>
                <w:tcPr>
                  <w:tcW w:w="5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木材加工区</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1F，位于厂房</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中部</w:t>
                  </w:r>
                  <w:r>
                    <w:rPr>
                      <w:rFonts w:ascii="Times New Roman" w:hAnsi="Times New Roman" w:eastAsia="宋体" w:cs="Times New Roman"/>
                      <w:color w:val="000000" w:themeColor="text1"/>
                      <w:spacing w:val="0"/>
                      <w:kern w:val="21"/>
                      <w:position w:val="0"/>
                      <w:szCs w:val="21"/>
                      <w14:textFill>
                        <w14:solidFill>
                          <w14:schemeClr w14:val="tx1"/>
                        </w14:solidFill>
                      </w14:textFill>
                    </w:rPr>
                    <w:t>，面积约</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5400</w:t>
                  </w:r>
                  <w:r>
                    <w:rPr>
                      <w:rFonts w:ascii="Times New Roman" w:hAnsi="Times New Roman" w:eastAsia="宋体" w:cs="Times New Roman"/>
                      <w:color w:val="000000" w:themeColor="text1"/>
                      <w:spacing w:val="0"/>
                      <w:kern w:val="21"/>
                      <w:position w:val="0"/>
                      <w:szCs w:val="21"/>
                      <w14:textFill>
                        <w14:solidFill>
                          <w14:schemeClr w14:val="tx1"/>
                        </w14:solidFill>
                      </w14:textFill>
                    </w:rPr>
                    <w:t>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，层高9.9m</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，主要布置断料机、多片锯、清边机、</w:t>
                  </w:r>
                  <w:r>
                    <w:rPr>
                      <w:rFonts w:ascii="Times New Roman" w:hAnsi="Times New Roman" w:cs="Times New Roman"/>
                      <w:color w:val="000000" w:themeColor="text1"/>
                      <w:spacing w:val="0"/>
                      <w:kern w:val="21"/>
                      <w:position w:val="0"/>
                      <w:szCs w:val="21"/>
                      <w14:textFill>
                        <w14:solidFill>
                          <w14:schemeClr w14:val="tx1"/>
                        </w14:solidFill>
                      </w14:textFill>
                    </w:rPr>
                    <w:t>边皮机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、开料机等木材加工设备，同时设置木料暂存区，用于暂存当日加工的木料</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593"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生活污水、施工废气、施工废水、施工固废、施工噪声、生活垃圾</w:t>
                  </w: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噪声、固废、废气</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2#实木板式车间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1F，位于厂区东南侧，建筑面积15146.56m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，钢架结构，建筑高度9.90m，设置实木车间、板式车间、喷漆房、打样定制区。</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80"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其中</w:t>
                  </w:r>
                </w:p>
              </w:tc>
              <w:tc>
                <w:tcPr>
                  <w:tcW w:w="5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1F，位于厂房中部，面积约3740.5m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，设置备料区、拼板区、机加区、打磨区、组装区，设置冷压机、拼板机、榫槽机、钻床等设备。</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噪声、固废、废气</w:t>
                  </w:r>
                </w:p>
              </w:tc>
              <w:tc>
                <w:tcPr>
                  <w:tcW w:w="389"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80"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板式车间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1F，位于厂房中部，面积约1920.3m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，设置下料区、封边区、加工区、组装区，设置下料机、封边机、铰链机、六面钻等设备。</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噪声、固废、废气</w:t>
                  </w:r>
                </w:p>
              </w:tc>
              <w:tc>
                <w:tcPr>
                  <w:tcW w:w="389"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80"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油漆车间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1F，位于厂房西侧，面积约1638.3m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，设置调漆房、</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底漆打磨</w:t>
                  </w:r>
                  <w:r>
                    <w:rPr>
                      <w:rFonts w:ascii="Times New Roman" w:hAnsi="Times New Roman" w:eastAsia="宋体" w:cs="Times New Roman"/>
                      <w:color w:val="000000" w:themeColor="text1"/>
                      <w:spacing w:val="0"/>
                      <w:kern w:val="21"/>
                      <w:position w:val="0"/>
                      <w:szCs w:val="21"/>
                      <w14:textFill>
                        <w14:solidFill>
                          <w14:schemeClr w14:val="tx1"/>
                        </w14:solidFill>
                      </w14:textFill>
                    </w:rPr>
                    <w:t>房、喷漆室、晾干房，内设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2个底漆喷漆房，1个面漆喷漆房</w:t>
                  </w:r>
                  <w:r>
                    <w:rPr>
                      <w:rFonts w:ascii="Times New Roman" w:hAnsi="Times New Roman" w:eastAsia="宋体" w:cs="Times New Roman"/>
                      <w:color w:val="000000" w:themeColor="text1"/>
                      <w:spacing w:val="0"/>
                      <w:kern w:val="21"/>
                      <w:position w:val="0"/>
                      <w:szCs w:val="21"/>
                      <w14:textFill>
                        <w14:solidFill>
                          <w14:schemeClr w14:val="tx1"/>
                        </w14:solidFill>
                      </w14:textFill>
                    </w:rPr>
                    <w:t>，层高4.5m。</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噪声、固废、废气</w:t>
                  </w:r>
                </w:p>
              </w:tc>
              <w:tc>
                <w:tcPr>
                  <w:tcW w:w="389"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80"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打样定制区</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1F，位于厂房东侧，面积约112.4m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，主要设置打样操作区、加工区、样品存放区，用于样品制作。</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噪声、固废、废气</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3#金属软包车间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2F，位于厂区西北部，建筑面积14851.20m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，钢架结构，建筑高度14.5m，设置金属车间及软包车间。</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80"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其中</w:t>
                  </w:r>
                </w:p>
              </w:tc>
              <w:tc>
                <w:tcPr>
                  <w:tcW w:w="5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1F，面积7425.6m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，层高8.5m，设置</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金属加工</w:t>
                  </w:r>
                  <w:r>
                    <w:rPr>
                      <w:rFonts w:ascii="Times New Roman" w:hAnsi="Times New Roman" w:eastAsia="宋体" w:cs="Times New Roman"/>
                      <w:color w:val="000000" w:themeColor="text1"/>
                      <w:spacing w:val="0"/>
                      <w:kern w:val="21"/>
                      <w:position w:val="0"/>
                      <w:szCs w:val="21"/>
                      <w14:textFill>
                        <w14:solidFill>
                          <w14:schemeClr w14:val="tx1"/>
                        </w14:solidFill>
                      </w14:textFill>
                    </w:rPr>
                    <w:t>区、焊接区、打磨区、喷塑区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、下料区</w:t>
                  </w:r>
                  <w:r>
                    <w:rPr>
                      <w:rFonts w:ascii="Times New Roman" w:hAnsi="Times New Roman" w:eastAsia="宋体" w:cs="Times New Roman"/>
                      <w:color w:val="000000" w:themeColor="text1"/>
                      <w:spacing w:val="0"/>
                      <w:kern w:val="21"/>
                      <w:position w:val="0"/>
                      <w:szCs w:val="21"/>
                      <w14:textFill>
                        <w14:solidFill>
                          <w14:schemeClr w14:val="tx1"/>
                        </w14:solidFill>
                      </w14:textFill>
                    </w:rPr>
                    <w:t>，内设铣床、车床、刨槽机、锥度机、滚圆机、焊接台等设备。</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其中喷塑区设置脱脂-硅烷化金属表面处理线及喷塑固化线。</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噪声、固废、废气</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、废水</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80"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5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软包车间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F，面积7425.6m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，层高6m，设置裁剪区、缝纫区、裁棉区、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贴棉</w:t>
                  </w:r>
                  <w:r>
                    <w:rPr>
                      <w:rFonts w:ascii="Times New Roman" w:hAnsi="Times New Roman" w:eastAsia="宋体" w:cs="Times New Roman"/>
                      <w:color w:val="000000" w:themeColor="text1"/>
                      <w:spacing w:val="0"/>
                      <w:kern w:val="21"/>
                      <w:position w:val="0"/>
                      <w:szCs w:val="21"/>
                      <w14:textFill>
                        <w14:solidFill>
                          <w14:schemeClr w14:val="tx1"/>
                        </w14:solidFill>
                      </w14:textFill>
                    </w:rPr>
                    <w:t>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扪工区、</w:t>
                  </w:r>
                  <w:r>
                    <w:rPr>
                      <w:rFonts w:ascii="Times New Roman" w:hAnsi="Times New Roman" w:eastAsia="宋体" w:cs="Times New Roman"/>
                      <w:color w:val="000000" w:themeColor="text1"/>
                      <w:spacing w:val="0"/>
                      <w:kern w:val="21"/>
                      <w:position w:val="0"/>
                      <w:szCs w:val="21"/>
                      <w14:textFill>
                        <w14:solidFill>
                          <w14:schemeClr w14:val="tx1"/>
                        </w14:solidFill>
                      </w14:textFill>
                    </w:rPr>
                    <w:t>安包区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、组装区</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噪声、固废、废气</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辅助工程</w:t>
                  </w: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样品间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位于1#木业车间东侧，面积约51m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，主要用于样品展示。</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噪声、废气、固废</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机修检测房</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位于2#实木板式车间东侧，面积约175m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，用于产品检验及机修。</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公用工程</w:t>
                  </w: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给水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由园区给水管网供水。</w:t>
                  </w:r>
                </w:p>
              </w:tc>
              <w:tc>
                <w:tcPr>
                  <w:tcW w:w="593"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供电</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由园区电网供电。</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排水</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w:t>
                  </w:r>
                  <w:r>
                    <w:rPr>
                      <w:rFonts w:ascii="Times New Roman" w:hAnsi="Times New Roman" w:cs="Times New Roman"/>
                      <w:color w:val="000000" w:themeColor="text1"/>
                      <w:spacing w:val="0"/>
                      <w:kern w:val="21"/>
                      <w:position w:val="0"/>
                      <w:szCs w:val="21"/>
                      <w14:textFill>
                        <w14:solidFill>
                          <w14:schemeClr w14:val="tx1"/>
                        </w14:solidFill>
                      </w14:textFill>
                    </w:rPr>
                    <w:t>厂区</w:t>
                  </w:r>
                  <w:r>
                    <w:rPr>
                      <w:rFonts w:ascii="Times New Roman" w:hAnsi="Times New Roman" w:eastAsia="宋体" w:cs="Times New Roman"/>
                      <w:color w:val="000000" w:themeColor="text1"/>
                      <w:spacing w:val="0"/>
                      <w:kern w:val="21"/>
                      <w:position w:val="0"/>
                      <w:szCs w:val="21"/>
                      <w14:textFill>
                        <w14:solidFill>
                          <w14:schemeClr w14:val="tx1"/>
                        </w14:solidFill>
                      </w14:textFill>
                    </w:rPr>
                    <w:t>实行雨污分流：</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雨水排放系统：</w:t>
                  </w:r>
                  <w:r>
                    <w:rPr>
                      <w:rFonts w:ascii="Times New Roman" w:hAnsi="Times New Roman" w:eastAsia="宋体" w:cs="Times New Roman"/>
                      <w:color w:val="000000" w:themeColor="text1"/>
                      <w:spacing w:val="0"/>
                      <w:kern w:val="21"/>
                      <w:position w:val="0"/>
                      <w:szCs w:val="21"/>
                      <w14:textFill>
                        <w14:solidFill>
                          <w14:schemeClr w14:val="tx1"/>
                        </w14:solidFill>
                      </w14:textFill>
                    </w:rPr>
                    <w:t>雨水排入雨水管网；</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生活污水：</w:t>
                  </w: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生活污水经厂区预处理池（</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）处理后通过园区污水管网</w:t>
                  </w:r>
                  <w:r>
                    <w:rPr>
                      <w:rFonts w:ascii="Times New Roman" w:hAnsi="Times New Roman" w:cs="Times New Roman"/>
                      <w:color w:val="000000" w:themeColor="text1"/>
                      <w:spacing w:val="0"/>
                      <w:kern w:val="21"/>
                      <w:position w:val="0"/>
                      <w:szCs w:val="21"/>
                      <w14:textFill>
                        <w14:solidFill>
                          <w14:schemeClr w14:val="tx1"/>
                        </w14:solidFill>
                      </w14:textFill>
                    </w:rPr>
                    <w:t>近期</w:t>
                  </w:r>
                  <w:r>
                    <w:rPr>
                      <w:rFonts w:ascii="Times New Roman" w:hAnsi="Times New Roman" w:eastAsia="宋体" w:cs="Times New Roman"/>
                      <w:color w:val="000000" w:themeColor="text1"/>
                      <w:spacing w:val="0"/>
                      <w:kern w:val="21"/>
                      <w:position w:val="0"/>
                      <w:szCs w:val="21"/>
                      <w14:textFill>
                        <w14:solidFill>
                          <w14:schemeClr w14:val="tx1"/>
                        </w14:solidFill>
                      </w14:textFill>
                    </w:rPr>
                    <w:t>排入泉坝污水处理厂</w:t>
                  </w:r>
                  <w:r>
                    <w:rPr>
                      <w:rFonts w:ascii="Times New Roman" w:hAnsi="Times New Roman" w:cs="Times New Roman"/>
                      <w:color w:val="000000" w:themeColor="text1"/>
                      <w:spacing w:val="0"/>
                      <w:kern w:val="21"/>
                      <w:position w:val="0"/>
                      <w:szCs w:val="21"/>
                      <w14:textFill>
                        <w14:solidFill>
                          <w14:schemeClr w14:val="tx1"/>
                        </w14:solidFill>
                      </w14:textFill>
                    </w:rPr>
                    <w:t>，待园区污水处理厂建成后排入园区污水处理厂</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脱脂-硅烷化废水</w:t>
                  </w:r>
                  <w:r>
                    <w:rPr>
                      <w:rFonts w:hint="eastAsia" w:ascii="Times New Roman" w:hAnsi="Times New Roman" w:eastAsia="宋体" w:cs="Times New Roman"/>
                      <w:b/>
                      <w:bCs/>
                      <w:color w:val="000000" w:themeColor="text1"/>
                      <w:spacing w:val="0"/>
                      <w:kern w:val="21"/>
                      <w:position w:val="0"/>
                      <w:szCs w:val="21"/>
                      <w14:textFill>
                        <w14:solidFill>
                          <w14:schemeClr w14:val="tx1"/>
                        </w14:solidFill>
                      </w14:textFill>
                    </w:rPr>
                    <w:t>：</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 w:val="21"/>
                      <w:szCs w:val="21"/>
                      <w14:textFill>
                        <w14:solidFill>
                          <w14:schemeClr w14:val="tx1"/>
                        </w14:solidFill>
                      </w14:textFill>
                    </w:rPr>
                    <w:t>厂区自建污水站</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隔油+pH调节+混凝气浮+混凝沉淀</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”处理后外排园区污水管网。</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固废</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储运工程</w:t>
                  </w: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4#仓库</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2F，位于厂区西北侧，建筑面积18882.24m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，钢架结构，建筑高度14.5m，1F为成品仓库，主要存放产品；2F为原辅料仓库，主要存放木材、板材、钢材等。</w:t>
                  </w:r>
                </w:p>
              </w:tc>
              <w:tc>
                <w:tcPr>
                  <w:tcW w:w="593"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生活污水、施工废气、施工废水、施工固废、施工噪声、生活垃圾</w:t>
                  </w: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生产原料区</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2" w:name="OLE_LINK14"/>
                  <w:r>
                    <w:rPr>
                      <w:rFonts w:ascii="Times New Roman" w:hAnsi="Times New Roman" w:eastAsia="宋体" w:cs="Times New Roman"/>
                      <w:color w:val="000000" w:themeColor="text1"/>
                      <w:spacing w:val="0"/>
                      <w:kern w:val="21"/>
                      <w:position w:val="0"/>
                      <w:szCs w:val="21"/>
                      <w14:textFill>
                        <w14:solidFill>
                          <w14:schemeClr w14:val="tx1"/>
                        </w14:solidFill>
                      </w14:textFill>
                    </w:rPr>
                    <w:t>位于1#木业车间</w:t>
                  </w:r>
                  <w:r>
                    <w:rPr>
                      <w:rStyle w:val="26"/>
                      <w:rFonts w:hint="eastAsia"/>
                      <w:color w:val="000000" w:themeColor="text1"/>
                      <w:spacing w:val="0"/>
                      <w:kern w:val="21"/>
                      <w:position w:val="0"/>
                      <w:lang w:val="en-US" w:eastAsia="zh-CN"/>
                      <w14:textFill>
                        <w14:solidFill>
                          <w14:schemeClr w14:val="tx1"/>
                        </w14:solidFill>
                      </w14:textFill>
                    </w:rPr>
                    <w:t>内部</w:t>
                  </w:r>
                  <w:r>
                    <w:rPr>
                      <w:rFonts w:ascii="Times New Roman" w:hAnsi="Times New Roman" w:eastAsia="宋体" w:cs="Times New Roman"/>
                      <w:color w:val="000000" w:themeColor="text1"/>
                      <w:spacing w:val="0"/>
                      <w:kern w:val="21"/>
                      <w:position w:val="0"/>
                      <w:szCs w:val="21"/>
                      <w14:textFill>
                        <w14:solidFill>
                          <w14:schemeClr w14:val="tx1"/>
                        </w14:solidFill>
                      </w14:textFill>
                    </w:rPr>
                    <w:t>南侧，面积约</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1400</w:t>
                  </w:r>
                  <w:r>
                    <w:rPr>
                      <w:rFonts w:ascii="Times New Roman" w:hAnsi="Times New Roman" w:eastAsia="宋体" w:cs="Times New Roman"/>
                      <w:color w:val="000000" w:themeColor="text1"/>
                      <w:spacing w:val="0"/>
                      <w:kern w:val="21"/>
                      <w:position w:val="0"/>
                      <w:szCs w:val="21"/>
                      <w14:textFill>
                        <w14:solidFill>
                          <w14:schemeClr w14:val="tx1"/>
                        </w14:solidFill>
                      </w14:textFill>
                    </w:rPr>
                    <w:t>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，用于暂存</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实木、板材等</w:t>
                  </w:r>
                  <w:r>
                    <w:rPr>
                      <w:rFonts w:ascii="Times New Roman" w:hAnsi="Times New Roman" w:eastAsia="宋体" w:cs="Times New Roman"/>
                      <w:color w:val="000000" w:themeColor="text1"/>
                      <w:spacing w:val="0"/>
                      <w:kern w:val="21"/>
                      <w:position w:val="0"/>
                      <w:szCs w:val="21"/>
                      <w14:textFill>
                        <w14:solidFill>
                          <w14:schemeClr w14:val="tx1"/>
                        </w14:solidFill>
                      </w14:textFill>
                    </w:rPr>
                    <w:t>原料。</w:t>
                  </w:r>
                  <w:bookmarkEnd w:id="2"/>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成品区</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位于1#木业车间</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内部</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西</w:t>
                  </w:r>
                  <w:r>
                    <w:rPr>
                      <w:rFonts w:ascii="Times New Roman" w:hAnsi="Times New Roman" w:eastAsia="宋体" w:cs="Times New Roman"/>
                      <w:color w:val="000000" w:themeColor="text1"/>
                      <w:spacing w:val="0"/>
                      <w:kern w:val="21"/>
                      <w:position w:val="0"/>
                      <w:szCs w:val="21"/>
                      <w14:textFill>
                        <w14:solidFill>
                          <w14:schemeClr w14:val="tx1"/>
                        </w14:solidFill>
                      </w14:textFill>
                    </w:rPr>
                    <w:t>侧，面积约</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4000</w:t>
                  </w:r>
                  <w:r>
                    <w:rPr>
                      <w:rFonts w:ascii="Times New Roman" w:hAnsi="Times New Roman" w:eastAsia="宋体" w:cs="Times New Roman"/>
                      <w:color w:val="000000" w:themeColor="text1"/>
                      <w:spacing w:val="0"/>
                      <w:kern w:val="21"/>
                      <w:position w:val="0"/>
                      <w:szCs w:val="21"/>
                      <w14:textFill>
                        <w14:solidFill>
                          <w14:schemeClr w14:val="tx1"/>
                        </w14:solidFill>
                      </w14:textFill>
                    </w:rPr>
                    <w:t>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，用于存放当日生产的成品。</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仓</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1F，位于厂区东南侧</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2#车间外部南侧</w:t>
                  </w:r>
                  <w:r>
                    <w:rPr>
                      <w:rFonts w:ascii="Times New Roman" w:hAnsi="Times New Roman" w:eastAsia="宋体" w:cs="Times New Roman"/>
                      <w:color w:val="000000" w:themeColor="text1"/>
                      <w:spacing w:val="0"/>
                      <w:kern w:val="21"/>
                      <w:position w:val="0"/>
                      <w:szCs w:val="21"/>
                      <w14:textFill>
                        <w14:solidFill>
                          <w14:schemeClr w14:val="tx1"/>
                        </w14:solidFill>
                      </w14:textFill>
                    </w:rPr>
                    <w:t>，面积约48m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，用于存放水性漆、胶黏剂等原料，各类液体原料均密闭桶装暂存。</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环保工程</w:t>
                  </w: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废水处理</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本项目废水主要为生活污水</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及生产废水</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p>
                  <w:pPr>
                    <w:pageBreakBefore w:val="0"/>
                    <w:widowControl/>
                    <w:kinsoku/>
                    <w:overflowPunct/>
                    <w:autoSpaceDE/>
                    <w:autoSpaceDN/>
                    <w:bidi w:val="0"/>
                    <w:snapToGrid w:val="0"/>
                    <w:spacing w:before="62" w:beforeLines="20" w:after="62" w:afterLines="20"/>
                    <w:textAlignment w:val="auto"/>
                    <w:rPr>
                      <w:rFonts w:hint="eastAsia" w:ascii="Times New Roman" w:hAnsi="Times New Roman"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生活污水：</w:t>
                  </w:r>
                  <w:r>
                    <w:rPr>
                      <w:rFonts w:ascii="Times New Roman" w:hAnsi="Times New Roman" w:eastAsia="宋体" w:cs="Times New Roman"/>
                      <w:color w:val="000000" w:themeColor="text1"/>
                      <w:spacing w:val="0"/>
                      <w:kern w:val="21"/>
                      <w:position w:val="0"/>
                      <w:szCs w:val="21"/>
                      <w14:textFill>
                        <w14:solidFill>
                          <w14:schemeClr w14:val="tx1"/>
                        </w14:solidFill>
                      </w14:textFill>
                    </w:rPr>
                    <w:t>经厂区预处理池（</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）处理后通过园区污水管网</w:t>
                  </w:r>
                  <w:r>
                    <w:rPr>
                      <w:rFonts w:ascii="Times New Roman" w:hAnsi="Times New Roman" w:cs="Times New Roman"/>
                      <w:color w:val="000000" w:themeColor="text1"/>
                      <w:spacing w:val="0"/>
                      <w:kern w:val="21"/>
                      <w:position w:val="0"/>
                      <w:szCs w:val="21"/>
                      <w14:textFill>
                        <w14:solidFill>
                          <w14:schemeClr w14:val="tx1"/>
                        </w14:solidFill>
                      </w14:textFill>
                    </w:rPr>
                    <w:t>近期</w:t>
                  </w:r>
                  <w:r>
                    <w:rPr>
                      <w:rFonts w:ascii="Times New Roman" w:hAnsi="Times New Roman" w:eastAsia="宋体" w:cs="Times New Roman"/>
                      <w:color w:val="000000" w:themeColor="text1"/>
                      <w:spacing w:val="0"/>
                      <w:kern w:val="21"/>
                      <w:position w:val="0"/>
                      <w:szCs w:val="21"/>
                      <w14:textFill>
                        <w14:solidFill>
                          <w14:schemeClr w14:val="tx1"/>
                        </w14:solidFill>
                      </w14:textFill>
                    </w:rPr>
                    <w:t>排入泉坝污水处理厂</w:t>
                  </w:r>
                  <w:r>
                    <w:rPr>
                      <w:rFonts w:ascii="Times New Roman" w:hAnsi="Times New Roman" w:cs="Times New Roman"/>
                      <w:color w:val="000000" w:themeColor="text1"/>
                      <w:spacing w:val="0"/>
                      <w:kern w:val="21"/>
                      <w:position w:val="0"/>
                      <w:szCs w:val="21"/>
                      <w14:textFill>
                        <w14:solidFill>
                          <w14:schemeClr w14:val="tx1"/>
                        </w14:solidFill>
                      </w14:textFill>
                    </w:rPr>
                    <w:t>，待园区污水处理厂建成后排入园区污水处理厂</w:t>
                  </w:r>
                  <w:r>
                    <w:rPr>
                      <w:rFonts w:hint="eastAsia" w:ascii="Times New Roman" w:hAnsi="Times New Roman" w:cs="Times New Roman"/>
                      <w:color w:val="000000" w:themeColor="text1"/>
                      <w:spacing w:val="0"/>
                      <w:kern w:val="21"/>
                      <w:position w:val="0"/>
                      <w:szCs w:val="21"/>
                      <w:lang w:eastAsia="zh-CN"/>
                      <w14:textFill>
                        <w14:solidFill>
                          <w14:schemeClr w14:val="tx1"/>
                        </w14:solidFill>
                      </w14:textFill>
                    </w:rPr>
                    <w:t>；</w:t>
                  </w:r>
                </w:p>
                <w:p>
                  <w:pPr>
                    <w:pageBreakBefore w:val="0"/>
                    <w:widowControl/>
                    <w:kinsoku/>
                    <w:overflowPunct/>
                    <w:autoSpaceDE/>
                    <w:autoSpaceDN/>
                    <w:bidi w:val="0"/>
                    <w:snapToGrid w:val="0"/>
                    <w:spacing w:before="62" w:beforeLines="20" w:after="62" w:afterLines="20"/>
                    <w:textAlignment w:val="auto"/>
                    <w:rPr>
                      <w:rFonts w:hint="default" w:ascii="Times New Roman" w:hAnsi="Times New Roman"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
                      <w:bCs/>
                      <w:color w:val="000000" w:themeColor="text1"/>
                      <w:spacing w:val="0"/>
                      <w:kern w:val="21"/>
                      <w:position w:val="0"/>
                      <w:szCs w:val="21"/>
                      <w:lang w:val="en-US" w:eastAsia="zh-CN"/>
                      <w14:textFill>
                        <w14:solidFill>
                          <w14:schemeClr w14:val="tx1"/>
                        </w14:solidFill>
                      </w14:textFill>
                    </w:rPr>
                    <w:t>喷枪清洗废水：</w:t>
                  </w: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回用于调漆，不外排。</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脱脂-硅烷化废水</w:t>
                  </w:r>
                  <w:r>
                    <w:rPr>
                      <w:rFonts w:hint="eastAsia" w:ascii="Times New Roman" w:hAnsi="Times New Roman" w:eastAsia="宋体" w:cs="Times New Roman"/>
                      <w:b/>
                      <w:bCs/>
                      <w:color w:val="000000" w:themeColor="text1"/>
                      <w:spacing w:val="0"/>
                      <w:kern w:val="21"/>
                      <w:position w:val="0"/>
                      <w:szCs w:val="21"/>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厂区自建污水站</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处理规模10m</w:t>
                  </w:r>
                  <w:r>
                    <w:rPr>
                      <w:rFonts w:hint="eastAsia" w:ascii="Times New Roman" w:hAnsi="Times New Roman" w:eastAsia="宋体" w:cs="Times New Roman"/>
                      <w:color w:val="000000" w:themeColor="text1"/>
                      <w:spacing w:val="0"/>
                      <w:kern w:val="21"/>
                      <w:position w:val="0"/>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/d</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隔油+pH调节+混凝气浮+混凝沉淀</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处理后外排园区污水管网。</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固废</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4"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废气处理</w:t>
                  </w:r>
                </w:p>
              </w:tc>
              <w:tc>
                <w:tcPr>
                  <w:tcW w:w="2328" w:type="pct"/>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bidi="ar"/>
                      <w14:textFill>
                        <w14:solidFill>
                          <w14:schemeClr w14:val="tx1"/>
                        </w14:solidFill>
                      </w14:textFill>
                    </w:rPr>
                    <w:t>1#车间</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木料粉尘</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：集气管道收集，中央除尘器（TA001）处理后经20m高排气筒（DA001）达标外排，同时加强车间机械通风措施；</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bidi="ar"/>
                      <w14:textFill>
                        <w14:solidFill>
                          <w14:schemeClr w14:val="tx1"/>
                        </w14:solidFill>
                      </w14:textFill>
                    </w:rPr>
                    <w:t>2#车间</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木料粉尘</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：集气管道收集，中央除尘器（TA002）处理后经20m高排气筒（DA00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2</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）达标外排；</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封边废气：</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经集气罩收集，1#二级活性炭吸附装置处理后经20m高排气筒（DA00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3</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）达标外排；</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喷漆废气：</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水旋柜处理后由</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密闭车间负压</w:t>
                  </w:r>
                  <w:r>
                    <w:rPr>
                      <w:rFonts w:ascii="Times New Roman" w:hAnsi="Times New Roman" w:eastAsia="宋体" w:cs="Times New Roman"/>
                      <w:color w:val="000000" w:themeColor="text1"/>
                      <w:spacing w:val="0"/>
                      <w:kern w:val="21"/>
                      <w:position w:val="0"/>
                      <w:szCs w:val="21"/>
                      <w14:textFill>
                        <w14:solidFill>
                          <w14:schemeClr w14:val="tx1"/>
                        </w14:solidFill>
                      </w14:textFill>
                    </w:rPr>
                    <w:t>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+催化燃烧装置处理后经20m排气筒（DA00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漆料打磨粉尘：</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经密闭车间负压收集，脉冲布袋除尘处理后经20m高排气筒（DA00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5</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）达标外排；</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焊接烟尘：</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经集气罩收集，焊烟净化器处理后经20m排气筒（DA00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6</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）达标外排；</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喷塑粉尘</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经密闭车间负压收集，高效旋风分离器+全聚酯滤芯二级回收处理后经20m高排气筒（</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8</w:t>
                  </w:r>
                  <w:r>
                    <w:rPr>
                      <w:rFonts w:ascii="Times New Roman" w:hAnsi="Times New Roman" w:eastAsia="宋体" w:cs="Times New Roman"/>
                      <w:color w:val="000000" w:themeColor="text1"/>
                      <w:spacing w:val="0"/>
                      <w:kern w:val="21"/>
                      <w:position w:val="0"/>
                      <w:szCs w:val="21"/>
                      <w14:textFill>
                        <w14:solidFill>
                          <w14:schemeClr w14:val="tx1"/>
                        </w14:solidFill>
                      </w14:textFill>
                    </w:rPr>
                    <w:t>）达标外排；</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固化废气</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经集气罩收集，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#二级活性炭处理后经20m排气筒（DA00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贴棉废气</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14:textFill>
                        <w14:solidFill>
                          <w14:schemeClr w14:val="tx1"/>
                        </w14:solidFill>
                      </w14:textFill>
                    </w:rPr>
                    <w:t>经集气罩收集，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#二级活性炭处理后经20m排气筒（DA00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14:textFill>
                        <w14:solidFill>
                          <w14:schemeClr w14:val="tx1"/>
                        </w14:solidFill>
                      </w14:textFill>
                    </w:rPr>
                    <w:t>金属加工粉尘：</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经集气</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罩</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收集，布袋除尘器处理后经20m排气筒（DA006）达标排放。</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噪声、固废</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噪声</w:t>
                  </w:r>
                  <w:r>
                    <w:rPr>
                      <w:rFonts w:ascii="Times New Roman" w:hAnsi="Times New Roman" w:eastAsia="宋体" w:cs="Times New Roman"/>
                      <w:color w:val="000000" w:themeColor="text1"/>
                      <w:spacing w:val="0"/>
                      <w:kern w:val="21"/>
                      <w:position w:val="0"/>
                      <w:szCs w:val="21"/>
                      <w14:textFill>
                        <w14:solidFill>
                          <w14:schemeClr w14:val="tx1"/>
                        </w14:solidFill>
                      </w14:textFill>
                    </w:rPr>
                    <w:t>处理</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选用低噪声设备，基础减震，合理布局，厂房隔声，加强管理等。</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固废处置</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生活垃圾：</w:t>
                  </w:r>
                  <w:r>
                    <w:rPr>
                      <w:rFonts w:ascii="Times New Roman" w:hAnsi="Times New Roman" w:eastAsia="宋体" w:cs="Times New Roman"/>
                      <w:color w:val="000000" w:themeColor="text1"/>
                      <w:spacing w:val="0"/>
                      <w:kern w:val="21"/>
                      <w:position w:val="0"/>
                      <w:szCs w:val="21"/>
                      <w14:textFill>
                        <w14:solidFill>
                          <w14:schemeClr w14:val="tx1"/>
                        </w14:solidFill>
                      </w14:textFill>
                    </w:rPr>
                    <w:t>经厂区内垃圾桶统一收集后委托环卫部门清运处置；</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一般固废：</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布袋收尘、废边角料、废包装材料、废催化剂、金属加工粉尘</w:t>
                  </w:r>
                  <w:r>
                    <w:rPr>
                      <w:rFonts w:ascii="Times New Roman" w:hAnsi="Times New Roman" w:eastAsia="宋体" w:cs="Times New Roman"/>
                      <w:color w:val="000000" w:themeColor="text1"/>
                      <w:spacing w:val="0"/>
                      <w:kern w:val="21"/>
                      <w:position w:val="0"/>
                      <w:szCs w:val="21"/>
                      <w14:textFill>
                        <w14:solidFill>
                          <w14:schemeClr w14:val="tx1"/>
                        </w14:solidFill>
                      </w14:textFill>
                    </w:rPr>
                    <w:t>经收集后定期外售废旧资源回收单位。</w:t>
                  </w:r>
                </w:p>
                <w:p>
                  <w:pPr>
                    <w:pageBreakBefore w:val="0"/>
                    <w:widowControl/>
                    <w:kinsoku/>
                    <w:overflowPunct/>
                    <w:autoSpaceDE/>
                    <w:autoSpaceDN/>
                    <w:bidi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危险废物：</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废漆料桶、废胶桶、</w:t>
                  </w:r>
                  <w:r>
                    <w:rPr>
                      <w:rFonts w:ascii="Times New Roman" w:hAnsi="Times New Roman" w:eastAsia="宋体" w:cs="Times New Roman"/>
                      <w:color w:val="000000" w:themeColor="text1"/>
                      <w:spacing w:val="0"/>
                      <w:kern w:val="21"/>
                      <w:position w:val="0"/>
                      <w:szCs w:val="21"/>
                      <w14:textFill>
                        <w14:solidFill>
                          <w14:schemeClr w14:val="tx1"/>
                        </w14:solidFill>
                      </w14:textFill>
                    </w:rPr>
                    <w:t>废有机</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溶剂桶、废机油、废油桶、含油手套及抹布、废切削液、废活性炭、废过滤棉</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、废水站污泥、废滤渣</w:t>
                  </w:r>
                  <w:r>
                    <w:rPr>
                      <w:rFonts w:ascii="Times New Roman" w:hAnsi="Times New Roman" w:cs="Times New Roman"/>
                      <w:color w:val="000000" w:themeColor="text1"/>
                      <w:spacing w:val="0"/>
                      <w:kern w:val="21"/>
                      <w:position w:val="0"/>
                      <w:szCs w:val="21"/>
                      <w14:textFill>
                        <w14:solidFill>
                          <w14:schemeClr w14:val="tx1"/>
                        </w14:solidFill>
                      </w14:textFill>
                    </w:rPr>
                    <w:t>等</w:t>
                  </w:r>
                  <w:r>
                    <w:rPr>
                      <w:rFonts w:ascii="Times New Roman" w:hAnsi="Times New Roman" w:cs="Times New Roman"/>
                      <w:bCs/>
                      <w:color w:val="000000" w:themeColor="text1"/>
                      <w:spacing w:val="0"/>
                      <w:kern w:val="21"/>
                      <w:position w:val="0"/>
                      <w:szCs w:val="21"/>
                      <w14:textFill>
                        <w14:solidFill>
                          <w14:schemeClr w14:val="tx1"/>
                        </w14:solidFill>
                      </w14:textFill>
                    </w:rPr>
                    <w:t>分类暂存于危废间（72m</w:t>
                  </w:r>
                  <w:r>
                    <w:rPr>
                      <w:rFonts w:ascii="Times New Roman" w:hAnsi="Times New Roman" w:cs="Times New Roman"/>
                      <w:bCs/>
                      <w:color w:val="000000" w:themeColor="text1"/>
                      <w:spacing w:val="0"/>
                      <w:kern w:val="21"/>
                      <w:position w:val="0"/>
                      <w:szCs w:val="21"/>
                      <w:vertAlign w:val="superscript"/>
                      <w14:textFill>
                        <w14:solidFill>
                          <w14:schemeClr w14:val="tx1"/>
                        </w14:solidFill>
                      </w14:textFill>
                    </w:rPr>
                    <w:t>2</w:t>
                  </w:r>
                  <w:r>
                    <w:rPr>
                      <w:rFonts w:ascii="Times New Roman" w:hAnsi="Times New Roman" w:cs="Times New Roman"/>
                      <w:bCs/>
                      <w:color w:val="000000" w:themeColor="text1"/>
                      <w:spacing w:val="0"/>
                      <w:kern w:val="21"/>
                      <w:position w:val="0"/>
                      <w:szCs w:val="21"/>
                      <w14:textFill>
                        <w14:solidFill>
                          <w14:schemeClr w14:val="tx1"/>
                        </w14:solidFill>
                      </w14:textFill>
                    </w:rPr>
                    <w:t>），定期交由有处理资质单位的处置。</w:t>
                  </w:r>
                </w:p>
                <w:p>
                  <w:pPr>
                    <w:pageBreakBefore w:val="0"/>
                    <w:widowControl/>
                    <w:kinsoku/>
                    <w:overflowPunct/>
                    <w:autoSpaceDE/>
                    <w:autoSpaceDN/>
                    <w:bidi w:val="0"/>
                    <w:snapToGrid w:val="0"/>
                    <w:spacing w:before="62" w:beforeLines="20" w:after="62" w:afterLines="20"/>
                    <w:textAlignment w:val="auto"/>
                    <w:rPr>
                      <w:rFonts w:hint="default" w:ascii="Times New Roman" w:hAnsi="Times New Roman" w:cs="Times New Roman" w:eastAsiaTheme="minorEastAsia"/>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
                      <w:bCs w:val="0"/>
                      <w:color w:val="000000" w:themeColor="text1"/>
                      <w:spacing w:val="0"/>
                      <w:kern w:val="21"/>
                      <w:position w:val="0"/>
                      <w:szCs w:val="21"/>
                      <w:lang w:val="en-US" w:eastAsia="zh-CN"/>
                      <w14:textFill>
                        <w14:solidFill>
                          <w14:schemeClr w14:val="tx1"/>
                        </w14:solidFill>
                      </w14:textFill>
                    </w:rPr>
                    <w:t>待鉴别废物：</w:t>
                  </w:r>
                  <w:r>
                    <w:rPr>
                      <w:rFonts w:cs="Times New Roman"/>
                      <w:color w:val="000000" w:themeColor="text1"/>
                      <w:spacing w:val="0"/>
                      <w:kern w:val="21"/>
                      <w:position w:val="0"/>
                      <w:sz w:val="21"/>
                      <w:szCs w:val="21"/>
                      <w14:textFill>
                        <w14:solidFill>
                          <w14:schemeClr w14:val="tx1"/>
                        </w14:solidFill>
                      </w14:textFill>
                    </w:rPr>
                    <w:t>项目运行产生的</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漆渣、</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水旋柜废液</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、漆料打磨收尘</w:t>
                  </w:r>
                  <w:r>
                    <w:rPr>
                      <w:rFonts w:cs="Times New Roman"/>
                      <w:color w:val="000000" w:themeColor="text1"/>
                      <w:spacing w:val="0"/>
                      <w:kern w:val="21"/>
                      <w:position w:val="0"/>
                      <w:sz w:val="21"/>
                      <w:szCs w:val="21"/>
                      <w14:textFill>
                        <w14:solidFill>
                          <w14:schemeClr w14:val="tx1"/>
                        </w14:solidFill>
                      </w14:textFill>
                    </w:rPr>
                    <w:t>应</w:t>
                  </w:r>
                  <w:r>
                    <w:rPr>
                      <w:rFonts w:hint="eastAsia" w:cs="Times New Roman"/>
                      <w:color w:val="000000" w:themeColor="text1"/>
                      <w:spacing w:val="0"/>
                      <w:kern w:val="21"/>
                      <w:position w:val="0"/>
                      <w:sz w:val="21"/>
                      <w:szCs w:val="21"/>
                      <w14:textFill>
                        <w14:solidFill>
                          <w14:schemeClr w14:val="tx1"/>
                        </w14:solidFill>
                      </w14:textFill>
                    </w:rPr>
                    <w:t>开展鉴别</w:t>
                  </w:r>
                  <w:r>
                    <w:rPr>
                      <w:rFonts w:cs="Times New Roman"/>
                      <w:color w:val="000000" w:themeColor="text1"/>
                      <w:spacing w:val="0"/>
                      <w:kern w:val="21"/>
                      <w:position w:val="0"/>
                      <w:sz w:val="21"/>
                      <w:szCs w:val="21"/>
                      <w14:textFill>
                        <w14:solidFill>
                          <w14:schemeClr w14:val="tx1"/>
                        </w14:solidFill>
                      </w14:textFill>
                    </w:rPr>
                    <w:t>，确定其是否属于危险废物，若属于危险废物应交由有资质单位进行处理，若不属于危险废物则</w:t>
                  </w:r>
                  <w:r>
                    <w:rPr>
                      <w:rFonts w:hint="eastAsia" w:cs="Times New Roman"/>
                      <w:color w:val="000000" w:themeColor="text1"/>
                      <w:spacing w:val="0"/>
                      <w:kern w:val="21"/>
                      <w:position w:val="0"/>
                      <w:sz w:val="21"/>
                      <w:szCs w:val="21"/>
                      <w:lang w:val="en-US" w:eastAsia="zh-CN"/>
                      <w14:textFill>
                        <w14:solidFill>
                          <w14:schemeClr w14:val="tx1"/>
                        </w14:solidFill>
                      </w14:textFill>
                    </w:rPr>
                    <w:t>按照一般固废处理，</w:t>
                  </w:r>
                  <w:r>
                    <w:rPr>
                      <w:rFonts w:hint="eastAsia" w:cs="Times New Roman"/>
                      <w:color w:val="000000" w:themeColor="text1"/>
                      <w:spacing w:val="0"/>
                      <w:kern w:val="21"/>
                      <w:position w:val="0"/>
                      <w:sz w:val="21"/>
                      <w:szCs w:val="21"/>
                      <w14:textFill>
                        <w14:solidFill>
                          <w14:schemeClr w14:val="tx1"/>
                        </w14:solidFill>
                      </w14:textFill>
                    </w:rPr>
                    <w:t>鉴别</w:t>
                  </w:r>
                  <w:r>
                    <w:rPr>
                      <w:rFonts w:cs="Times New Roman"/>
                      <w:color w:val="000000" w:themeColor="text1"/>
                      <w:spacing w:val="0"/>
                      <w:kern w:val="21"/>
                      <w:position w:val="0"/>
                      <w:sz w:val="21"/>
                      <w:szCs w:val="21"/>
                      <w14:textFill>
                        <w14:solidFill>
                          <w14:schemeClr w14:val="tx1"/>
                        </w14:solidFill>
                      </w14:textFill>
                    </w:rPr>
                    <w:t>结果出具前应按照危险废物进行管理。</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地下水</w:t>
                  </w:r>
                  <w:r>
                    <w:rPr>
                      <w:rFonts w:ascii="Times New Roman" w:hAnsi="Times New Roman" w:eastAsia="宋体" w:cs="Times New Roman"/>
                      <w:color w:val="000000" w:themeColor="text1"/>
                      <w:spacing w:val="0"/>
                      <w:kern w:val="21"/>
                      <w:position w:val="0"/>
                      <w:szCs w:val="21"/>
                      <w14:textFill>
                        <w14:solidFill>
                          <w14:schemeClr w14:val="tx1"/>
                        </w14:solidFill>
                      </w14:textFill>
                    </w:rPr>
                    <w:t>、土壤</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重点防渗区：</w:t>
                  </w: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危废暂存间、喷漆房、喷塑区、化学品仓</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、废水收集池、污水处理站</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事故水池</w:t>
                  </w:r>
                  <w:r>
                    <w:rPr>
                      <w:rFonts w:ascii="Times New Roman" w:hAnsi="Times New Roman" w:eastAsia="宋体" w:cs="Times New Roman"/>
                      <w:color w:val="000000" w:themeColor="text1"/>
                      <w:spacing w:val="0"/>
                      <w:kern w:val="21"/>
                      <w:position w:val="0"/>
                      <w:szCs w:val="21"/>
                      <w14:textFill>
                        <w14:solidFill>
                          <w14:schemeClr w14:val="tx1"/>
                        </w14:solidFill>
                      </w14:textFill>
                    </w:rPr>
                    <w:t>设置</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防渗层为20cmP8等级抗渗混凝土+2mm高分子湿铺型防水卷材+1.3mm聚合物水泥防水粘结材料，</w:t>
                  </w: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危废暂存间、化学品仓增加</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不锈钢金属托盘。各重点防渗区应满足</w:t>
                  </w:r>
                  <w:r>
                    <w:rPr>
                      <w:rFonts w:ascii="Times New Roman" w:hAnsi="Times New Roman" w:eastAsia="宋体" w:cs="Times New Roman"/>
                      <w:color w:val="000000" w:themeColor="text1"/>
                      <w:spacing w:val="0"/>
                      <w:kern w:val="21"/>
                      <w:position w:val="0"/>
                      <w:szCs w:val="21"/>
                      <w14:textFill>
                        <w14:solidFill>
                          <w14:schemeClr w14:val="tx1"/>
                        </w14:solidFill>
                      </w14:textFill>
                    </w:rPr>
                    <w:t>Mb≥6.0m、K≤</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10</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cm/s的要求，其中危废暂存间、化学品仓</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等效防渗系数K≤1×10</w:t>
                  </w:r>
                  <w:r>
                    <w:rPr>
                      <w:rFonts w:ascii="Times New Roman" w:hAnsi="Times New Roman" w:eastAsia="宋体" w:cs="Times New Roman"/>
                      <w:color w:val="000000" w:themeColor="text1"/>
                      <w:spacing w:val="0"/>
                      <w:kern w:val="21"/>
                      <w:position w:val="0"/>
                      <w:szCs w:val="21"/>
                      <w:vertAlign w:val="superscript"/>
                      <w:lang w:val="zh-CN"/>
                      <w14:textFill>
                        <w14:solidFill>
                          <w14:schemeClr w14:val="tx1"/>
                        </w14:solidFill>
                      </w14:textFill>
                    </w:rPr>
                    <w:t>-10</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cm/s。</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一般防渗区：</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木材加工区、</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实木车间、板式车间、金属</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车间</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、软包车间、打样定制区</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、机修检测房、化粪池</w:t>
                  </w:r>
                  <w:r>
                    <w:rPr>
                      <w:rFonts w:ascii="Times New Roman" w:hAnsi="Times New Roman" w:eastAsia="宋体" w:cs="Times New Roman"/>
                      <w:color w:val="000000" w:themeColor="text1"/>
                      <w:spacing w:val="0"/>
                      <w:kern w:val="21"/>
                      <w:position w:val="0"/>
                      <w:szCs w:val="21"/>
                      <w14:textFill>
                        <w14:solidFill>
                          <w14:schemeClr w14:val="tx1"/>
                        </w14:solidFill>
                      </w14:textFill>
                    </w:rPr>
                    <w:t>等</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地面防渗层为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18</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抗渗</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混凝土，保证</w:t>
                  </w:r>
                  <w:r>
                    <w:rPr>
                      <w:rFonts w:ascii="Times New Roman" w:hAnsi="Times New Roman" w:eastAsia="宋体" w:cs="Times New Roman"/>
                      <w:color w:val="000000" w:themeColor="text1"/>
                      <w:spacing w:val="0"/>
                      <w:kern w:val="21"/>
                      <w:position w:val="0"/>
                      <w:szCs w:val="21"/>
                      <w14:textFill>
                        <w14:solidFill>
                          <w14:schemeClr w14:val="tx1"/>
                        </w14:solidFill>
                      </w14:textFill>
                    </w:rPr>
                    <w:t>等效</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渗透系数K≤1×10</w:t>
                  </w:r>
                  <w:r>
                    <w:rPr>
                      <w:rFonts w:ascii="Times New Roman" w:hAnsi="Times New Roman" w:eastAsia="宋体" w:cs="Times New Roman"/>
                      <w:color w:val="000000" w:themeColor="text1"/>
                      <w:spacing w:val="0"/>
                      <w:kern w:val="21"/>
                      <w:position w:val="0"/>
                      <w:szCs w:val="21"/>
                      <w:vertAlign w:val="superscript"/>
                      <w:lang w:val="zh-CN"/>
                      <w14:textFill>
                        <w14:solidFill>
                          <w14:schemeClr w14:val="tx1"/>
                        </w14:solidFill>
                      </w14:textFill>
                    </w:rPr>
                    <w:t>-7</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cm/s。</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简单防渗区：</w:t>
                  </w:r>
                  <w:r>
                    <w:rPr>
                      <w:rFonts w:ascii="Times New Roman" w:hAnsi="Times New Roman" w:eastAsia="宋体" w:cs="Times New Roman"/>
                      <w:color w:val="000000" w:themeColor="text1"/>
                      <w:spacing w:val="0"/>
                      <w:kern w:val="21"/>
                      <w:position w:val="0"/>
                      <w:szCs w:val="21"/>
                      <w14:textFill>
                        <w14:solidFill>
                          <w14:schemeClr w14:val="tx1"/>
                        </w14:solidFill>
                      </w14:textFill>
                    </w:rPr>
                    <w:t>办公区域及</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厂内其他区域水泥地面防渗。</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p>
              </w:tc>
              <w:tc>
                <w:tcPr>
                  <w:tcW w:w="5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w:t>
                  </w:r>
                </w:p>
              </w:tc>
              <w:tc>
                <w:tcPr>
                  <w:tcW w:w="38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办公生活设施</w:t>
                  </w: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综合办公区</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位于2#实木板式车间东侧2F夹层，面积为512.96m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，主要用于员工综合办公等。</w:t>
                  </w:r>
                </w:p>
              </w:tc>
              <w:tc>
                <w:tcPr>
                  <w:tcW w:w="593"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597"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生活污水、生活垃圾</w:t>
                  </w:r>
                </w:p>
              </w:tc>
              <w:tc>
                <w:tcPr>
                  <w:tcW w:w="389"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会议室</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位于2#实木板式车间东侧1F，面积约60m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89"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837"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接待室</w:t>
                  </w:r>
                </w:p>
              </w:tc>
              <w:tc>
                <w:tcPr>
                  <w:tcW w:w="2328" w:type="pct"/>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位于2#实木板式车间东侧1F，面积约30m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59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9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89"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numPr>
                <w:ilvl w:val="0"/>
                <w:numId w:val="22"/>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主要生产设备及辅助设备</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本项目主要设备见下表。</w:t>
            </w:r>
          </w:p>
          <w:p>
            <w:pPr>
              <w:pageBreakBefore w:val="0"/>
              <w:numPr>
                <w:ilvl w:val="0"/>
                <w:numId w:val="23"/>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项目主要设备清单</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2279"/>
              <w:gridCol w:w="650"/>
              <w:gridCol w:w="667"/>
              <w:gridCol w:w="1632"/>
              <w:gridCol w:w="111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309"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序号</w:t>
                  </w:r>
                </w:p>
              </w:tc>
              <w:tc>
                <w:tcPr>
                  <w:tcW w:w="1358"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名称</w:t>
                  </w:r>
                </w:p>
              </w:tc>
              <w:tc>
                <w:tcPr>
                  <w:tcW w:w="387"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数量</w:t>
                  </w:r>
                </w:p>
              </w:tc>
              <w:tc>
                <w:tcPr>
                  <w:tcW w:w="3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单位</w:t>
                  </w:r>
                </w:p>
              </w:tc>
              <w:tc>
                <w:tcPr>
                  <w:tcW w:w="97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型号/规格</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设施参数</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一、1#木业车间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断料机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方木多片锯</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断料机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清边机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边皮机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多片锯开料机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干燥机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压缩机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合金磨齿机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半自动自动磨锯机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液压带锯机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自动上料机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数控跑车</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出料滚筒机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7</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抓木机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半自动合金磨齿机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磨刀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vAlign w:val="center"/>
                </w:tcPr>
                <w:p>
                  <w:pPr>
                    <w:pageBreakBefore w:val="0"/>
                    <w:tabs>
                      <w:tab w:val="left" w:pos="0"/>
                    </w:tabs>
                    <w:kinsoku/>
                    <w:overflowPunct/>
                    <w:topLine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二、2#实木板式车间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万能磨刀机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裁皮机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4.2kW</w:t>
                  </w:r>
                </w:p>
              </w:tc>
              <w:tc>
                <w:tcPr>
                  <w:tcW w:w="9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缝皮机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S-1800</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6.3kW</w:t>
                  </w:r>
                </w:p>
              </w:tc>
              <w:tc>
                <w:tcPr>
                  <w:tcW w:w="9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涂胶机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TR-1350</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1.5kW</w:t>
                  </w:r>
                </w:p>
              </w:tc>
              <w:tc>
                <w:tcPr>
                  <w:tcW w:w="9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热压机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BY214X9/16(3)HIRC</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77.5kW</w:t>
                  </w:r>
                </w:p>
              </w:tc>
              <w:tc>
                <w:tcPr>
                  <w:tcW w:w="9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精密推台锯</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KS-132</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6.6kW</w:t>
                  </w:r>
                </w:p>
              </w:tc>
              <w:tc>
                <w:tcPr>
                  <w:tcW w:w="9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下料机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南兴</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29kW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CNC数控实木开料机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HW-CNC-2500A</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19kW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前上料电子锯</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自动封边机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NB7CJ南兴</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27.3kW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冷压机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冷压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冷压机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冷压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拼板机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拼板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双头锯</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拼板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五叠锯</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9.2kW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拼板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卧式双端榫槽机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MS3112</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单头直榫开榫机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MD2108RQ</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立式单轴木工钻床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MZ511</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排钻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立式单轴榫槽机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MS362</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立卧式可调木工钻床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MZ9216</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排钻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卧式多头钻</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排钻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立式单轴木工镂铣机（地镂）</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MXS5115A</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木工镂铣机（吊镂）</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MX5068</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立式双轴木工铣床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MX5317</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7.75kW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立式单轴木工铣床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MX5117B</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镂机床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液压带锯机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断料锯</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下轴纵锯机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MJ153D</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12.75kW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自动双面木工压刨床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MB206L</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21.5kW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单面木工压刨床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MB105A</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木工平刨床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MB504A</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指接机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实木拼接机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拼板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高频拼板机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CGPB-58PSZ-CM</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40kW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拼板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宽带砂光机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SR-RP1300</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立带窜动式磨光机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MM2617</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磨光机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MM-J1</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立卧带式砂磨机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MM2420A</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立式双头海绵磨光机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MM2115</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单轴车床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双轴车床</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双端制榫机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ST6</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五轴加工中心</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HW-TC2+TC2-A</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34.5kW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单相</w:t>
                  </w:r>
                  <w:r>
                    <w:rPr>
                      <w:rFonts w:ascii="Times New Roman" w:hAnsi="Times New Roman" w:eastAsia="宋体" w:cs="Times New Roman"/>
                      <w:color w:val="000000" w:themeColor="text1"/>
                      <w:spacing w:val="0"/>
                      <w:kern w:val="21"/>
                      <w:position w:val="0"/>
                      <w:szCs w:val="21"/>
                      <w14:textFill>
                        <w14:solidFill>
                          <w14:schemeClr w14:val="tx1"/>
                        </w14:solidFill>
                      </w14:textFill>
                    </w:rPr>
                    <w:t>高频压机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IS-050-150T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tabs>
                      <w:tab w:val="center" w:pos="856"/>
                      <w:tab w:val="right" w:pos="1593"/>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三相高频压机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IS-050-150T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单层高温流平线</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停盘14个</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三层立体干燥线</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停盘13×4个</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水洗柜</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三、3#金属软包车间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烘干机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锥度机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滚圆机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缩管机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金属车床</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双弯管</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单弯管</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铣床</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钻床</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刨槽机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剪板机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折弯机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折弯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包边机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冲床</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脱脂槽</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2</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个</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1m×1m×2.1m</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2m</w:t>
                  </w:r>
                  <w:r>
                    <w:rPr>
                      <w:rFonts w:hint="eastAsia" w:ascii="Times New Roman" w:hAnsi="Times New Roman" w:eastAsia="宋体" w:cs="Times New Roman"/>
                      <w:color w:val="000000" w:themeColor="text1"/>
                      <w:spacing w:val="0"/>
                      <w:kern w:val="21"/>
                      <w:position w:val="0"/>
                      <w:szCs w:val="21"/>
                      <w:vertAlign w:val="superscript"/>
                      <w:lang w:val="en-US" w:eastAsia="zh-CN"/>
                      <w14:textFill>
                        <w14:solidFill>
                          <w14:schemeClr w14:val="tx1"/>
                        </w14:solidFill>
                      </w14:textFill>
                    </w:rPr>
                    <w:t>3</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金属表面处理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硅烷化槽</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个</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1m×1m×2.1m</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2m</w:t>
                  </w:r>
                  <w:r>
                    <w:rPr>
                      <w:rFonts w:hint="eastAsia" w:ascii="Times New Roman" w:hAnsi="Times New Roman" w:eastAsia="宋体" w:cs="Times New Roman"/>
                      <w:color w:val="000000" w:themeColor="text1"/>
                      <w:spacing w:val="0"/>
                      <w:kern w:val="21"/>
                      <w:position w:val="0"/>
                      <w:szCs w:val="21"/>
                      <w:vertAlign w:val="superscript"/>
                      <w:lang w:val="en-US" w:eastAsia="zh-CN"/>
                      <w14:textFill>
                        <w14:solidFill>
                          <w14:schemeClr w14:val="tx1"/>
                        </w14:solidFill>
                      </w14:textFill>
                    </w:rPr>
                    <w:t>3</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金属表面处理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清洗槽</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4</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个</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1m×1m×2.1m</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2m</w:t>
                  </w:r>
                  <w:r>
                    <w:rPr>
                      <w:rFonts w:hint="eastAsia" w:ascii="Times New Roman" w:hAnsi="Times New Roman" w:eastAsia="宋体" w:cs="Times New Roman"/>
                      <w:color w:val="000000" w:themeColor="text1"/>
                      <w:spacing w:val="0"/>
                      <w:kern w:val="21"/>
                      <w:position w:val="0"/>
                      <w:szCs w:val="21"/>
                      <w:vertAlign w:val="superscript"/>
                      <w:lang w:val="en-US" w:eastAsia="zh-CN"/>
                      <w14:textFill>
                        <w14:solidFill>
                          <w14:schemeClr w14:val="tx1"/>
                        </w14:solidFill>
                      </w14:textFill>
                    </w:rPr>
                    <w:t>3</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金属表面处理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喷塑房</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个</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0"/>
                      <w14:textFill>
                        <w14:solidFill>
                          <w14:schemeClr w14:val="tx1"/>
                        </w14:solidFill>
                      </w14:textFill>
                    </w:rPr>
                    <w:t>10m×4m×3m</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金属表面处理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固化烘箱</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个</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0"/>
                      <w:lang w:val="en-US" w:eastAsia="zh-CN"/>
                      <w14:textFill>
                        <w14:solidFill>
                          <w14:schemeClr w14:val="tx1"/>
                        </w14:solidFill>
                      </w14:textFill>
                    </w:rPr>
                    <w:t>3</w:t>
                  </w:r>
                  <w:r>
                    <w:rPr>
                      <w:rFonts w:ascii="Times New Roman" w:hAnsi="Times New Roman" w:eastAsia="宋体" w:cs="Times New Roman"/>
                      <w:color w:val="000000" w:themeColor="text1"/>
                      <w:spacing w:val="0"/>
                      <w:kern w:val="21"/>
                      <w:position w:val="0"/>
                      <w:sz w:val="21"/>
                      <w:szCs w:val="20"/>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1"/>
                      <w:szCs w:val="20"/>
                      <w:lang w:val="en-US" w:eastAsia="zh-CN"/>
                      <w14:textFill>
                        <w14:solidFill>
                          <w14:schemeClr w14:val="tx1"/>
                        </w14:solidFill>
                      </w14:textFill>
                    </w:rPr>
                    <w:t>2</w:t>
                  </w:r>
                  <w:r>
                    <w:rPr>
                      <w:rFonts w:ascii="Times New Roman" w:hAnsi="Times New Roman" w:eastAsia="宋体" w:cs="Times New Roman"/>
                      <w:color w:val="000000" w:themeColor="text1"/>
                      <w:spacing w:val="0"/>
                      <w:kern w:val="21"/>
                      <w:position w:val="0"/>
                      <w:sz w:val="21"/>
                      <w:szCs w:val="20"/>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1"/>
                      <w:szCs w:val="20"/>
                      <w:lang w:val="en-US" w:eastAsia="zh-CN"/>
                      <w14:textFill>
                        <w14:solidFill>
                          <w14:schemeClr w14:val="tx1"/>
                        </w14:solidFill>
                      </w14:textFill>
                    </w:rPr>
                    <w:t>2</w:t>
                  </w:r>
                  <w:r>
                    <w:rPr>
                      <w:rFonts w:ascii="Times New Roman" w:hAnsi="Times New Roman" w:eastAsia="宋体" w:cs="Times New Roman"/>
                      <w:color w:val="000000" w:themeColor="text1"/>
                      <w:spacing w:val="0"/>
                      <w:kern w:val="21"/>
                      <w:position w:val="0"/>
                      <w:sz w:val="21"/>
                      <w:szCs w:val="20"/>
                      <w14:textFill>
                        <w14:solidFill>
                          <w14:schemeClr w14:val="tx1"/>
                        </w14:solidFill>
                      </w14:textFill>
                    </w:rPr>
                    <w:t>m</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金属表面处理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氩弧焊机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12</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二保焊机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14</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激光切割机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2</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切管机</w:t>
                  </w:r>
                </w:p>
              </w:tc>
              <w:tc>
                <w:tcPr>
                  <w:tcW w:w="387"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3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CNC单头带压辊加工中心</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HW-G-1325ATC1</w:t>
                  </w:r>
                </w:p>
              </w:tc>
              <w:tc>
                <w:tcPr>
                  <w:tcW w:w="66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19kW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精密推台锯</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KS-132</w:t>
                  </w:r>
                </w:p>
              </w:tc>
              <w:tc>
                <w:tcPr>
                  <w:tcW w:w="665"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粗加工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锁边机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绗棉机</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0.5kW</w:t>
                  </w:r>
                </w:p>
              </w:tc>
              <w:tc>
                <w:tcPr>
                  <w:tcW w:w="90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绗棉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Align w:val="center"/>
                </w:tcPr>
                <w:p>
                  <w:pPr>
                    <w:pageBreakBefore w:val="0"/>
                    <w:numPr>
                      <w:ilvl w:val="0"/>
                      <w:numId w:val="24"/>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58"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平车</w:t>
                  </w:r>
                </w:p>
              </w:tc>
              <w:tc>
                <w:tcPr>
                  <w:tcW w:w="387" w:type="pct"/>
                  <w:shd w:val="clear" w:color="auto" w:fill="auto"/>
                  <w:noWrap/>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8</w:t>
                  </w:r>
                </w:p>
              </w:tc>
              <w:tc>
                <w:tcPr>
                  <w:tcW w:w="3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台</w:t>
                  </w:r>
                </w:p>
              </w:tc>
              <w:tc>
                <w:tcPr>
                  <w:tcW w:w="972" w:type="pct"/>
                  <w:shd w:val="clear" w:color="auto" w:fill="auto"/>
                  <w:noWrap/>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w:t>
                  </w:r>
                </w:p>
              </w:tc>
              <w:tc>
                <w:tcPr>
                  <w:tcW w:w="665"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0.5kW</w:t>
                  </w:r>
                </w:p>
              </w:tc>
              <w:tc>
                <w:tcPr>
                  <w:tcW w:w="90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绗棉</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本项目所用设备均不属于2023年中华人民共和国国家发展和改革委员会令第7号公布的《产业结构调整指导目录（2024年本）》中的淘汰类或限制类设备。</w:t>
            </w:r>
          </w:p>
          <w:p>
            <w:pPr>
              <w:pageBreakBefore w:val="0"/>
              <w:numPr>
                <w:ilvl w:val="0"/>
                <w:numId w:val="22"/>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主要原辅料及能耗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项目运营期主要原辅材料和能耗见下表。</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1906" w:h="16838"/>
          <w:pgMar w:top="1134" w:right="1531" w:bottom="1134" w:left="1531" w:header="851" w:footer="850" w:gutter="0"/>
          <w:cols w:space="425" w:num="1"/>
          <w:docGrid w:type="lines"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 w:type="pct"/>
            <w:vAlign w:val="center"/>
          </w:tcPr>
          <w:p>
            <w:pPr>
              <w:pageBreakBefore w:val="0"/>
              <w:kinsoku/>
              <w:overflowPunct/>
              <w:autoSpaceDE/>
              <w:autoSpaceDN/>
              <w:bidi w:val="0"/>
              <w:spacing w:before="1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建设内容</w:t>
            </w:r>
          </w:p>
        </w:tc>
        <w:tc>
          <w:tcPr>
            <w:tcW w:w="4845" w:type="pct"/>
            <w:vAlign w:val="center"/>
          </w:tcPr>
          <w:p>
            <w:pPr>
              <w:pageBreakBefore w:val="0"/>
              <w:numPr>
                <w:ilvl w:val="0"/>
                <w:numId w:val="23"/>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项目原辅材料一览表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769"/>
              <w:gridCol w:w="2118"/>
              <w:gridCol w:w="798"/>
              <w:gridCol w:w="1215"/>
              <w:gridCol w:w="1317"/>
              <w:gridCol w:w="699"/>
              <w:gridCol w:w="2253"/>
              <w:gridCol w:w="1147"/>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30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类别</w:t>
                  </w: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名称</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成分</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状态</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年耗量（t）</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储存量（t）</w:t>
                  </w:r>
                </w:p>
              </w:tc>
              <w:tc>
                <w:tcPr>
                  <w:tcW w:w="24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来源</w:t>
                  </w:r>
                </w:p>
              </w:tc>
              <w:tc>
                <w:tcPr>
                  <w:tcW w:w="79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规格</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贮存场所</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3" w:name="OLE_LINK24" w:colFirst="1" w:colLast="1"/>
                  <w:r>
                    <w:rPr>
                      <w:rFonts w:ascii="Times New Roman" w:hAnsi="Times New Roman" w:eastAsia="宋体" w:cs="Times New Roman"/>
                      <w:color w:val="000000" w:themeColor="text1"/>
                      <w:spacing w:val="0"/>
                      <w:kern w:val="21"/>
                      <w:position w:val="0"/>
                      <w:szCs w:val="21"/>
                      <w14:textFill>
                        <w14:solidFill>
                          <w14:schemeClr w14:val="tx1"/>
                        </w14:solidFill>
                      </w14:textFill>
                    </w:rPr>
                    <w:t>原辅料</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钢材</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bCs/>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钢材</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120</w:t>
                  </w:r>
                  <w:r>
                    <w:rPr>
                      <w:rFonts w:ascii="Times New Roman" w:hAnsi="Times New Roman" w:eastAsia="宋体" w:cs="Times New Roman"/>
                      <w:bCs/>
                      <w:color w:val="000000" w:themeColor="text1"/>
                      <w:spacing w:val="0"/>
                      <w:kern w:val="21"/>
                      <w:position w:val="0"/>
                      <w:szCs w:val="21"/>
                      <w14:textFill>
                        <w14:solidFill>
                          <w14:schemeClr w14:val="tx1"/>
                        </w14:solidFill>
                      </w14:textFill>
                    </w:rPr>
                    <w:t>0</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100</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五金加工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板材</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木材</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10500m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1220×2440×18mm等，密度0.88g/cm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桌子、柜子生产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木皮</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木材</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100000m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白蜡木山纹、枫木山纹，用于</w:t>
                  </w:r>
                  <w:bookmarkStart w:id="4" w:name="OLE_LINK25"/>
                  <w:r>
                    <w:rPr>
                      <w:rFonts w:ascii="Times New Roman" w:hAnsi="Times New Roman" w:eastAsia="宋体" w:cs="Times New Roman"/>
                      <w:color w:val="000000" w:themeColor="text1"/>
                      <w:spacing w:val="0"/>
                      <w:kern w:val="21"/>
                      <w:position w:val="0"/>
                      <w:szCs w:val="21"/>
                      <w14:textFill>
                        <w14:solidFill>
                          <w14:schemeClr w14:val="tx1"/>
                        </w14:solidFill>
                      </w14:textFill>
                    </w:rPr>
                    <w:t>家具板材贴皮</w:t>
                  </w:r>
                  <w:bookmarkEnd w:id="4"/>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，0.8k</w:t>
                  </w:r>
                  <w:r>
                    <w:rPr>
                      <w:rFonts w:ascii="Times New Roman" w:hAnsi="Times New Roman" w:eastAsia="宋体" w:cs="Times New Roman"/>
                      <w:color w:val="000000" w:themeColor="text1"/>
                      <w:spacing w:val="0"/>
                      <w:kern w:val="21"/>
                      <w:position w:val="0"/>
                      <w:szCs w:val="21"/>
                      <w14:textFill>
                        <w14:solidFill>
                          <w14:schemeClr w14:val="tx1"/>
                        </w14:solidFill>
                      </w14:textFill>
                    </w:rPr>
                    <w:t>g/m</w:t>
                  </w:r>
                  <w:r>
                    <w:rPr>
                      <w:rFonts w:hint="eastAsia"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桌子、柜子生产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封边条</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PVC</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50000m</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2000m</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5" w:name="OLE_LINK26"/>
                  <w:r>
                    <w:rPr>
                      <w:rFonts w:ascii="Times New Roman" w:hAnsi="Times New Roman" w:eastAsia="宋体" w:cs="Times New Roman"/>
                      <w:color w:val="000000" w:themeColor="text1"/>
                      <w:spacing w:val="0"/>
                      <w:kern w:val="21"/>
                      <w:position w:val="0"/>
                      <w:szCs w:val="21"/>
                      <w14:textFill>
                        <w14:solidFill>
                          <w14:schemeClr w14:val="tx1"/>
                        </w14:solidFill>
                      </w14:textFill>
                    </w:rPr>
                    <w:t>200m/卷</w:t>
                  </w:r>
                  <w:bookmarkEnd w:id="5"/>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，3g/m</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桌子、柜子生产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水基木材拼板胶</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聚氨酯胶</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5.28</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桌子、柜子生产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热熔胶</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EVA（乙烯-醋酸乙烯共聚物）树脂</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固体</w:t>
                  </w:r>
                </w:p>
              </w:tc>
              <w:tc>
                <w:tcPr>
                  <w:tcW w:w="4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25kg/袋，密度1.3g/cm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桌子、柜子生产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白蜡木</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木材</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22000m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eastAsia="zh-Han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密度0.69g/cm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椅子、沙发生产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水性白面漆</w:t>
                  </w:r>
                </w:p>
              </w:tc>
              <w:tc>
                <w:tcPr>
                  <w:tcW w:w="75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丙烯酸树脂、助剂</w:t>
                  </w:r>
                </w:p>
              </w:tc>
              <w:tc>
                <w:tcPr>
                  <w:tcW w:w="283"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5.37</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水性白底漆</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丙烯酸树脂、助剂</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6.52</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水性清面漆</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丙烯酸树脂、助剂</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1.57</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水性清底漆</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丙烯酸树脂、助剂</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6.52</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海绵</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海绵</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12500m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6" w:name="OLE_LINK27"/>
                  <w:r>
                    <w:rPr>
                      <w:rFonts w:ascii="Times New Roman" w:hAnsi="Times New Roman" w:eastAsia="宋体" w:cs="Times New Roman"/>
                      <w:color w:val="000000" w:themeColor="text1"/>
                      <w:spacing w:val="0"/>
                      <w:kern w:val="21"/>
                      <w:position w:val="0"/>
                      <w:szCs w:val="21"/>
                      <w14:textFill>
                        <w14:solidFill>
                          <w14:schemeClr w14:val="tx1"/>
                        </w14:solidFill>
                      </w14:textFill>
                    </w:rPr>
                    <w:t>密度0.03g/cm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bookmarkEnd w:id="6"/>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软包件生产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皮革</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皮革</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45000m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500g</w:t>
                  </w:r>
                  <w:r>
                    <w:rPr>
                      <w:rFonts w:ascii="Times New Roman" w:hAnsi="Times New Roman" w:eastAsia="宋体" w:cs="Times New Roman"/>
                      <w:color w:val="000000" w:themeColor="text1"/>
                      <w:spacing w:val="0"/>
                      <w:kern w:val="21"/>
                      <w:position w:val="0"/>
                      <w:szCs w:val="21"/>
                      <w14:textFill>
                        <w14:solidFill>
                          <w14:schemeClr w14:val="tx1"/>
                        </w14:solidFill>
                      </w14:textFill>
                    </w:rPr>
                    <w:t>/m</w:t>
                  </w:r>
                  <w:r>
                    <w:rPr>
                      <w:rFonts w:hint="eastAsia"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软包件生产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无纺布</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无纺布</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20500m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5000m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100g</w:t>
                  </w:r>
                  <w:r>
                    <w:rPr>
                      <w:rFonts w:ascii="Times New Roman" w:hAnsi="Times New Roman" w:eastAsia="宋体" w:cs="Times New Roman"/>
                      <w:color w:val="000000" w:themeColor="text1"/>
                      <w:spacing w:val="0"/>
                      <w:kern w:val="21"/>
                      <w:position w:val="0"/>
                      <w:szCs w:val="21"/>
                      <w14:textFill>
                        <w14:solidFill>
                          <w14:schemeClr w14:val="tx1"/>
                        </w14:solidFill>
                      </w14:textFill>
                    </w:rPr>
                    <w:t>/m</w:t>
                  </w:r>
                  <w:r>
                    <w:rPr>
                      <w:rFonts w:hint="eastAsia"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bookmarkStart w:id="7" w:name="OLE_LINK19"/>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bookmarkEnd w:id="7"/>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软包件生产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五金零配件</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宋体" w:hAnsi="宋体" w:eastAsia="宋体" w:cs="宋体"/>
                      <w:color w:val="000000" w:themeColor="text1"/>
                      <w:spacing w:val="0"/>
                      <w:kern w:val="21"/>
                      <w:position w:val="0"/>
                      <w:sz w:val="21"/>
                      <w:szCs w:val="21"/>
                      <w14:textFill>
                        <w14:solidFill>
                          <w14:schemeClr w14:val="tx1"/>
                        </w14:solidFill>
                      </w14:textFill>
                    </w:rPr>
                    <w:t>螺丝、螺帽、弹垫、沙发卡口、平垫、弹簧扣、枪钉、拉链等</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100</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20</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软包件、柜子生产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8" w:name="OLE_LINK7"/>
                  <w:r>
                    <w:rPr>
                      <w:rFonts w:ascii="Times New Roman" w:hAnsi="Times New Roman" w:eastAsia="宋体" w:cs="Times New Roman"/>
                      <w:color w:val="000000" w:themeColor="text1"/>
                      <w:spacing w:val="0"/>
                      <w:kern w:val="21"/>
                      <w:position w:val="0"/>
                      <w:szCs w:val="21"/>
                      <w14:textFill>
                        <w14:solidFill>
                          <w14:schemeClr w14:val="tx1"/>
                        </w14:solidFill>
                      </w14:textFill>
                    </w:rPr>
                    <w:t>水基环保粘合剂</w:t>
                  </w:r>
                  <w:bookmarkEnd w:id="8"/>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聚乙酸乙烯酯</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2.5</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贴棉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无铅</w:t>
                  </w:r>
                  <w:r>
                    <w:rPr>
                      <w:rFonts w:ascii="Times New Roman" w:hAnsi="Times New Roman" w:eastAsia="宋体" w:cs="Times New Roman"/>
                      <w:color w:val="000000" w:themeColor="text1"/>
                      <w:spacing w:val="0"/>
                      <w:kern w:val="21"/>
                      <w:position w:val="0"/>
                      <w:szCs w:val="21"/>
                      <w14:textFill>
                        <w14:solidFill>
                          <w14:schemeClr w14:val="tx1"/>
                        </w14:solidFill>
                      </w14:textFill>
                    </w:rPr>
                    <w:t>焊条</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五金件</w:t>
                  </w: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塑粉</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环氧树脂聚酯树脂、硫酸钡、安息香等</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固体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4.06</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4#仓库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五金件表面处理</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脱脂剂</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氢氧化钾、硅酸钠、表面活性剂（无磷脱脂剂）</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液体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0.36</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9" w:name="OLE_LINK4"/>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bookmarkEnd w:id="9"/>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1kg/袋</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五金件表面处理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有机硅烷水溶液</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硅烷</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液体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500kg/桶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化学品仓</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五金件表面处理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切削液</w:t>
                  </w:r>
                </w:p>
              </w:tc>
              <w:tc>
                <w:tcPr>
                  <w:tcW w:w="75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切削液</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机修间</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切割机、CNC使用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液压油</w:t>
                  </w:r>
                </w:p>
              </w:tc>
              <w:tc>
                <w:tcPr>
                  <w:tcW w:w="75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矿物油</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0.15</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0.08</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机修间</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液压机使用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机油</w:t>
                  </w:r>
                </w:p>
              </w:tc>
              <w:tc>
                <w:tcPr>
                  <w:tcW w:w="75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矿物油</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液体</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w:t>
                  </w:r>
                </w:p>
              </w:tc>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外购</w:t>
                  </w:r>
                </w:p>
              </w:tc>
              <w:tc>
                <w:tcPr>
                  <w:tcW w:w="79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25kg/桶</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机修间</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能源</w:t>
                  </w: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6423.78</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24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10" w:name="OLE_LINK10"/>
                  <w:r>
                    <w:rPr>
                      <w:rFonts w:ascii="Times New Roman" w:hAnsi="Times New Roman" w:eastAsia="宋体" w:cs="Times New Roman"/>
                      <w:color w:val="000000" w:themeColor="text1"/>
                      <w:spacing w:val="0"/>
                      <w:kern w:val="21"/>
                      <w:position w:val="0"/>
                      <w:szCs w:val="21"/>
                      <w14:textFill>
                        <w14:solidFill>
                          <w14:schemeClr w14:val="tx1"/>
                        </w14:solidFill>
                      </w14:textFill>
                    </w:rPr>
                    <w:t>园区管网</w:t>
                  </w:r>
                  <w:bookmarkEnd w:id="10"/>
                </w:p>
              </w:tc>
              <w:tc>
                <w:tcPr>
                  <w:tcW w:w="7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电（kW·h）</w:t>
                  </w:r>
                </w:p>
              </w:tc>
              <w:tc>
                <w:tcPr>
                  <w:tcW w:w="75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28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43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000万</w:t>
                  </w:r>
                </w:p>
              </w:tc>
              <w:tc>
                <w:tcPr>
                  <w:tcW w:w="4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24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园区电网</w:t>
                  </w:r>
                </w:p>
              </w:tc>
              <w:tc>
                <w:tcPr>
                  <w:tcW w:w="79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40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c>
                <w:tcPr>
                  <w:tcW w:w="67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r>
          </w:tbl>
          <w:p>
            <w:pPr>
              <w:pageBreakBefore w:val="0"/>
              <w:kinsoku/>
              <w:overflowPunct/>
              <w:autoSpaceDE/>
              <w:autoSpaceDN/>
              <w:bidi w:val="0"/>
              <w:spacing w:before="1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6838" w:h="11906" w:orient="landscape"/>
          <w:pgMar w:top="1531" w:right="1134" w:bottom="1531" w:left="1134" w:header="851" w:footer="992" w:gutter="0"/>
          <w:cols w:space="425" w:num="1"/>
          <w:docGrid w:type="lines" w:linePitch="312" w:charSpace="0"/>
        </w:sect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vAlign w:val="center"/>
          </w:tcPr>
          <w:p>
            <w:pPr>
              <w:pageBreakBefore w:val="0"/>
              <w:widowControl/>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建设内容</w:t>
            </w:r>
          </w:p>
        </w:tc>
        <w:tc>
          <w:tcPr>
            <w:tcW w:w="4748" w:type="pct"/>
          </w:tcPr>
          <w:p>
            <w:pPr>
              <w:pageBreakBefore w:val="0"/>
              <w:kinsoku/>
              <w:overflowPunct/>
              <w:autoSpaceDE/>
              <w:autoSpaceDN/>
              <w:bidi w:val="0"/>
              <w:adjustRightInd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项目主要原辅材料理化性质如下：</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4"/>
                <w14:textFill>
                  <w14:solidFill>
                    <w14:schemeClr w14:val="tx1"/>
                  </w14:solidFill>
                </w14:textFill>
              </w:rPr>
              <w:t>水基木材拼板胶：</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本项目木材拼板胶为</w:t>
            </w:r>
            <w:bookmarkStart w:id="11" w:name="OLE_LINK2"/>
            <w:r>
              <w:rPr>
                <w:rFonts w:ascii="Times New Roman" w:hAnsi="Times New Roman" w:eastAsia="宋体" w:cs="Times New Roman"/>
                <w:color w:val="000000" w:themeColor="text1"/>
                <w:spacing w:val="0"/>
                <w:kern w:val="21"/>
                <w:position w:val="0"/>
                <w:sz w:val="24"/>
                <w:szCs w:val="24"/>
                <w14:textFill>
                  <w14:solidFill>
                    <w14:schemeClr w14:val="tx1"/>
                  </w14:solidFill>
                </w14:textFill>
              </w:rPr>
              <w:t>聚氨酯胶</w:t>
            </w:r>
            <w:bookmarkEnd w:id="11"/>
            <w:r>
              <w:rPr>
                <w:rFonts w:ascii="Times New Roman" w:hAnsi="Times New Roman" w:eastAsia="宋体" w:cs="Times New Roman"/>
                <w:color w:val="000000" w:themeColor="text1"/>
                <w:spacing w:val="0"/>
                <w:kern w:val="21"/>
                <w:position w:val="0"/>
                <w:sz w:val="24"/>
                <w:szCs w:val="24"/>
                <w14:textFill>
                  <w14:solidFill>
                    <w14:schemeClr w14:val="tx1"/>
                  </w14:solidFill>
                </w14:textFill>
              </w:rPr>
              <w:t>，聚氨酯胶是指在分子链中含有氨基甲酸酯基团（</w:t>
            </w:r>
            <w:r>
              <w:rPr>
                <w:rFonts w:hint="eastAsia" w:ascii="Times New Roman" w:hAnsi="Times New Roman" w:eastAsia="宋体" w:cs="Times New Roman"/>
                <w:color w:val="000000" w:themeColor="text1"/>
                <w:spacing w:val="0"/>
                <w:kern w:val="21"/>
                <w:position w:val="0"/>
                <w:sz w:val="24"/>
                <w:szCs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NHCOO</w:t>
            </w:r>
            <w:r>
              <w:rPr>
                <w:rFonts w:hint="eastAsia" w:ascii="Times New Roman" w:hAnsi="Times New Roman" w:eastAsia="宋体" w:cs="Times New Roman"/>
                <w:color w:val="000000" w:themeColor="text1"/>
                <w:spacing w:val="0"/>
                <w:kern w:val="21"/>
                <w:position w:val="0"/>
                <w:sz w:val="24"/>
                <w:szCs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）或异氰酸酯基（</w:t>
            </w:r>
            <w:r>
              <w:rPr>
                <w:rFonts w:hint="eastAsia" w:ascii="Times New Roman" w:hAnsi="Times New Roman" w:eastAsia="宋体" w:cs="Times New Roman"/>
                <w:color w:val="000000" w:themeColor="text1"/>
                <w:spacing w:val="0"/>
                <w:kern w:val="21"/>
                <w:position w:val="0"/>
                <w:sz w:val="24"/>
                <w:szCs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NCO）的胶粘剂。聚氨酯胶粘剂分为多异氰酸酯和聚氨酯两大类。多异氰酸酯分子链中含有异氰基（-NCO）和氨基甲酸酯基（-NH-COO-），故聚氨酯胶粘剂表现出高度的活性与极性。与含有活泼氢的基材，如泡沫、塑料、木材、皮革、织物、纸张、陶瓷等多孔材料，以及金属、玻璃、橡胶、塑料等表面光洁的材料都有优良的化学粘接力。根据水基</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木材拼板</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胶检测报告，本项目使用的水基</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木材拼板</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胶中主剂：交联剂=100</w:t>
            </w:r>
            <w:r>
              <w:rPr>
                <w:rFonts w:hint="eastAsia" w:ascii="Times New Roman" w:hAnsi="Times New Roman" w:eastAsia="宋体" w:cs="Times New Roman"/>
                <w:color w:val="000000" w:themeColor="text1"/>
                <w:spacing w:val="0"/>
                <w:kern w:val="21"/>
                <w:position w:val="0"/>
                <w:sz w:val="24"/>
                <w:szCs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15，挥发性有机物为</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未检出（检出限</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2g/L</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，符合《胶粘剂挥发性有机化合物限量》（GB</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33372-2020）表2中水基型胶粘剂VOC含量限值（聚氨酯类木工与家具限量值≤50g/L）。</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热熔胶：</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本项目使用的热熔胶是以乙烯-醋酸乙烯聚合物（EVA）为主要材料，加入增粘树脂与蜡及其它</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成分</w:t>
            </w:r>
            <w:r>
              <w:rPr>
                <w:rFonts w:ascii="Times New Roman" w:hAnsi="Times New Roman" w:eastAsia="宋体" w:cs="Times New Roman"/>
                <w:color w:val="000000" w:themeColor="text1"/>
                <w:spacing w:val="0"/>
                <w:kern w:val="21"/>
                <w:position w:val="0"/>
                <w:sz w:val="24"/>
                <w14:textFill>
                  <w14:solidFill>
                    <w14:schemeClr w14:val="tx1"/>
                  </w14:solidFill>
                </w14:textFill>
              </w:rPr>
              <w:t>配成的固体型粘合剂，完全不含水或溶剂，具有快速粘合、强度高、耐老化、无毒害、热稳定性好，胶膜韧性等特点。热熔胶是一种可塑性的无毒无味的绿色环保胶粘剂，在一定温度范围内热熔胶的物理状态随温度变化而变化，而化学特性保持不变。根据检测报告，本项目使用的热熔胶总挥发性有机物的含量为2g/L，符合《胶粘剂挥发性有机化合物限量》（GB</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33372-2020）表3中本体型胶粘剂VOC含量限值（其他类限量值≤50g/L）。</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切削液：</w:t>
            </w:r>
            <w:r>
              <w:rPr>
                <w:rFonts w:ascii="Times New Roman" w:hAnsi="Times New Roman" w:eastAsia="宋体" w:cs="Times New Roman"/>
                <w:color w:val="000000" w:themeColor="text1"/>
                <w:spacing w:val="0"/>
                <w:kern w:val="21"/>
                <w:position w:val="0"/>
                <w:sz w:val="24"/>
                <w14:textFill>
                  <w14:solidFill>
                    <w14:schemeClr w14:val="tx1"/>
                  </w14:solidFill>
                </w14:textFill>
              </w:rPr>
              <w:t>切削液是一种用在金属切、削、磨加工过程中，用来冷却和润滑刀具和加工件的工业用液体，切削液由多种超强功能助剂经科学复合配伍而成，主要成分为：矿物油50~80%，脂肪酸0~30%，乳化剂15~25%，防锈剂0~5%，防腐剂＜2%，消泡剂＜1%。切削液同时具备良好的冷却性能、润滑性能、防锈性能、除油清洗功能、防腐功能、易稀释特点，适用于金属的切削及磨加工，属当前最领先的磨削产品。切削液各项指标均优于皂化油，它具有良好的冷却、清洗、防锈等特点，并且具备无毒、无味、对人体无侵蚀、对设备不腐蚀、对环境无污染等特点。</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液压油：</w:t>
            </w:r>
            <w:r>
              <w:rPr>
                <w:rFonts w:ascii="Times New Roman" w:hAnsi="Times New Roman" w:eastAsia="宋体" w:cs="Times New Roman"/>
                <w:color w:val="000000" w:themeColor="text1"/>
                <w:spacing w:val="0"/>
                <w:kern w:val="21"/>
                <w:position w:val="0"/>
                <w:sz w:val="24"/>
                <w14:textFill>
                  <w14:solidFill>
                    <w14:schemeClr w14:val="tx1"/>
                  </w14:solidFill>
                </w14:textFill>
              </w:rPr>
              <w:t>是利用液体压力能的液压系统使用的液压介质，在液压系统中起着能量传递、抗磨、系统润滑、防腐、防锈、冷却等作用。液压油广泛应用于工程机械（如挖掘机、铲车、吊车等）、工业设备（如轧机、磨机、冲压机等）及交通运输工具（如轮船、飞机等）的液压控制或液压传动系统中，液压控制和液压传动系统中油液的流速不大，但压力较高，采用静压传动。本项目采用的液压油为矿油型液压油。矿油型液压油润滑性和防锈性好，粘度等级范围较宽，因而在液压系统中应用很广。</w:t>
            </w:r>
          </w:p>
          <w:p>
            <w:pPr>
              <w:pageBreakBefore w:val="0"/>
              <w:widowControl/>
              <w:kinsoku/>
              <w:overflowPunct/>
              <w:autoSpaceDE/>
              <w:autoSpaceDN/>
              <w:bidi w:val="0"/>
              <w:spacing w:line="360" w:lineRule="auto"/>
              <w:ind w:firstLine="481" w:firstLineChars="200"/>
              <w:textAlignment w:val="auto"/>
              <w:rPr>
                <w:rFonts w:hint="default" w:ascii="Times New Roman" w:hAnsi="Times New Roman" w:eastAsia="宋体" w:cs="Times New Roman"/>
                <w:color w:val="000000" w:themeColor="text1"/>
                <w:spacing w:val="0"/>
                <w:kern w:val="21"/>
                <w:positio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4"/>
                <w14:textFill>
                  <w14:solidFill>
                    <w14:schemeClr w14:val="tx1"/>
                  </w14:solidFill>
                </w14:textFill>
              </w:rPr>
              <w:t>塑粉：</w:t>
            </w:r>
            <w:r>
              <w:rPr>
                <w:rFonts w:hint="default" w:ascii="Times New Roman" w:hAnsi="Times New Roman" w:eastAsia="宋体" w:cs="Times New Roman"/>
                <w:color w:val="000000" w:themeColor="text1"/>
                <w:spacing w:val="0"/>
                <w:kern w:val="21"/>
                <w:position w:val="0"/>
                <w:sz w:val="24"/>
                <w14:textFill>
                  <w14:solidFill>
                    <w14:schemeClr w14:val="tx1"/>
                  </w14:solidFill>
                </w14:textFill>
              </w:rPr>
              <w:t>塑粉是喷塑工艺的材料，简单来说就是塑料粉末经过高温加热之后通过压缩空气给的风喷到材质表面。本项目使用</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的</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塑粉为</w:t>
            </w:r>
            <w:r>
              <w:rPr>
                <w:rFonts w:hint="default" w:ascii="Times New Roman" w:hAnsi="Times New Roman" w:eastAsia="宋体" w:cs="Times New Roman"/>
                <w:color w:val="000000" w:themeColor="text1"/>
                <w:spacing w:val="0"/>
                <w:kern w:val="21"/>
                <w:position w:val="0"/>
                <w:sz w:val="24"/>
                <w14:textFill>
                  <w14:solidFill>
                    <w14:schemeClr w14:val="tx1"/>
                  </w14:solidFill>
                </w14:textFill>
              </w:rPr>
              <w:t>聚酯</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树脂</w:t>
            </w:r>
            <w:r>
              <w:rPr>
                <w:rFonts w:hint="default" w:ascii="Times New Roman" w:hAnsi="Times New Roman" w:eastAsia="宋体" w:cs="Times New Roman"/>
                <w:color w:val="000000" w:themeColor="text1"/>
                <w:spacing w:val="0"/>
                <w:kern w:val="21"/>
                <w:position w:val="0"/>
                <w:sz w:val="24"/>
                <w14:textFill>
                  <w14:solidFill>
                    <w14:schemeClr w14:val="tx1"/>
                  </w14:solidFill>
                </w14:textFill>
              </w:rPr>
              <w:t>粉末涂料，高流平，机械性能优。外观均匀，疏松，不结团</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4"/>
                <w14:textFill>
                  <w14:solidFill>
                    <w14:schemeClr w14:val="tx1"/>
                  </w14:solidFill>
                </w14:textFill>
              </w:rPr>
              <w:t>比重：1.1~1.8（因类型和颜色不同而异）；粒度分布：100%小于125μm，其中85%以上在60~90μm之间；固化条件：标准型180℃（工件温度），固化时间15分钟。在粉末利用率100%的、膜厚80μm左右的条件下，涂覆率9~12m</w:t>
            </w:r>
            <w:r>
              <w:rPr>
                <w:rFonts w:hint="default" w:ascii="Times New Roman" w:hAnsi="Times New Roman" w:eastAsia="宋体" w:cs="Times New Roman"/>
                <w:color w:val="000000" w:themeColor="text1"/>
                <w:spacing w:val="0"/>
                <w:kern w:val="21"/>
                <w:position w:val="0"/>
                <w:sz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kern w:val="21"/>
                <w:position w:val="0"/>
                <w:sz w:val="24"/>
                <w14:textFill>
                  <w14:solidFill>
                    <w14:schemeClr w14:val="tx1"/>
                  </w14:solidFill>
                </w14:textFill>
              </w:rPr>
              <w:t>/kg。水平流动性：18~35mm。</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无急性毒性。</w:t>
            </w:r>
          </w:p>
          <w:p>
            <w:pPr>
              <w:pageBreakBefore w:val="0"/>
              <w:numPr>
                <w:ilvl w:val="0"/>
                <w:numId w:val="23"/>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塑粉成分一览表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347"/>
              <w:gridCol w:w="3239"/>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14:textFill>
                        <w14:solidFill>
                          <w14:schemeClr w14:val="tx1"/>
                        </w14:solidFill>
                      </w14:textFill>
                    </w:rPr>
                  </w:pPr>
                  <w:r>
                    <w:rPr>
                      <w:rStyle w:val="44"/>
                      <w:rFonts w:ascii="Times New Roman" w:hAnsi="Times New Roman" w:cs="Times New Roman"/>
                      <w:b/>
                      <w:bCs/>
                      <w:color w:val="000000" w:themeColor="text1"/>
                      <w:spacing w:val="0"/>
                      <w:kern w:val="21"/>
                      <w:position w:val="0"/>
                      <w14:textFill>
                        <w14:solidFill>
                          <w14:schemeClr w14:val="tx1"/>
                        </w14:solidFill>
                      </w14:textFill>
                    </w:rPr>
                    <w:t>序号</w:t>
                  </w:r>
                </w:p>
              </w:tc>
              <w:tc>
                <w:tcPr>
                  <w:tcW w:w="1400"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14:textFill>
                        <w14:solidFill>
                          <w14:schemeClr w14:val="tx1"/>
                        </w14:solidFill>
                      </w14:textFill>
                    </w:rPr>
                  </w:pPr>
                  <w:r>
                    <w:rPr>
                      <w:rStyle w:val="44"/>
                      <w:rFonts w:ascii="Times New Roman" w:hAnsi="Times New Roman" w:cs="Times New Roman"/>
                      <w:b/>
                      <w:bCs/>
                      <w:color w:val="000000" w:themeColor="text1"/>
                      <w:spacing w:val="0"/>
                      <w:kern w:val="21"/>
                      <w:position w:val="0"/>
                      <w14:textFill>
                        <w14:solidFill>
                          <w14:schemeClr w14:val="tx1"/>
                        </w14:solidFill>
                      </w14:textFill>
                    </w:rPr>
                    <w:t>产品成分</w:t>
                  </w:r>
                </w:p>
              </w:tc>
              <w:tc>
                <w:tcPr>
                  <w:tcW w:w="1932"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14:textFill>
                        <w14:solidFill>
                          <w14:schemeClr w14:val="tx1"/>
                        </w14:solidFill>
                      </w14:textFill>
                    </w:rPr>
                  </w:pPr>
                  <w:r>
                    <w:rPr>
                      <w:rStyle w:val="44"/>
                      <w:rFonts w:ascii="Times New Roman" w:hAnsi="Times New Roman" w:eastAsia="宋体" w:cs="Times New Roman"/>
                      <w:b/>
                      <w:bCs/>
                      <w:color w:val="000000" w:themeColor="text1"/>
                      <w:spacing w:val="0"/>
                      <w:kern w:val="21"/>
                      <w:position w:val="0"/>
                      <w14:textFill>
                        <w14:solidFill>
                          <w14:schemeClr w14:val="tx1"/>
                        </w14:solidFill>
                      </w14:textFill>
                    </w:rPr>
                    <w:t>CAS号</w:t>
                  </w:r>
                </w:p>
              </w:tc>
              <w:tc>
                <w:tcPr>
                  <w:tcW w:w="1052"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14:textFill>
                        <w14:solidFill>
                          <w14:schemeClr w14:val="tx1"/>
                        </w14:solidFill>
                      </w14:textFill>
                    </w:rPr>
                  </w:pPr>
                  <w:r>
                    <w:rPr>
                      <w:rStyle w:val="44"/>
                      <w:rFonts w:ascii="Times New Roman" w:hAnsi="Times New Roman" w:cs="Times New Roman"/>
                      <w:b/>
                      <w:bCs/>
                      <w:color w:val="000000" w:themeColor="text1"/>
                      <w:spacing w:val="0"/>
                      <w:kern w:val="21"/>
                      <w:position w:val="0"/>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1</w:t>
                  </w:r>
                </w:p>
              </w:tc>
              <w:tc>
                <w:tcPr>
                  <w:tcW w:w="140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环氧树脂聚酯树脂</w:t>
                  </w:r>
                </w:p>
              </w:tc>
              <w:tc>
                <w:tcPr>
                  <w:tcW w:w="193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61788.97-4</w:t>
                  </w:r>
                </w:p>
              </w:tc>
              <w:tc>
                <w:tcPr>
                  <w:tcW w:w="105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2</w:t>
                  </w:r>
                </w:p>
              </w:tc>
              <w:tc>
                <w:tcPr>
                  <w:tcW w:w="140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聚酯树脂</w:t>
                  </w:r>
                </w:p>
              </w:tc>
              <w:tc>
                <w:tcPr>
                  <w:tcW w:w="193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26123-45-5</w:t>
                  </w:r>
                </w:p>
              </w:tc>
              <w:tc>
                <w:tcPr>
                  <w:tcW w:w="105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3</w:t>
                  </w:r>
                </w:p>
              </w:tc>
              <w:tc>
                <w:tcPr>
                  <w:tcW w:w="140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硫酸钡</w:t>
                  </w:r>
                </w:p>
              </w:tc>
              <w:tc>
                <w:tcPr>
                  <w:tcW w:w="193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7727-43-7</w:t>
                  </w:r>
                </w:p>
              </w:tc>
              <w:tc>
                <w:tcPr>
                  <w:tcW w:w="105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4</w:t>
                  </w:r>
                </w:p>
              </w:tc>
              <w:tc>
                <w:tcPr>
                  <w:tcW w:w="140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安息香</w:t>
                  </w:r>
                </w:p>
              </w:tc>
              <w:tc>
                <w:tcPr>
                  <w:tcW w:w="193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110-53-9</w:t>
                  </w:r>
                </w:p>
              </w:tc>
              <w:tc>
                <w:tcPr>
                  <w:tcW w:w="105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5</w:t>
                  </w:r>
                </w:p>
              </w:tc>
              <w:tc>
                <w:tcPr>
                  <w:tcW w:w="140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PE蜡</w:t>
                  </w:r>
                </w:p>
              </w:tc>
              <w:tc>
                <w:tcPr>
                  <w:tcW w:w="193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9002-88-4</w:t>
                  </w:r>
                </w:p>
              </w:tc>
              <w:tc>
                <w:tcPr>
                  <w:tcW w:w="105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eastAsia="宋体" w:cs="Times New Roman"/>
                      <w:color w:val="000000" w:themeColor="text1"/>
                      <w:spacing w:val="0"/>
                      <w:kern w:val="21"/>
                      <w:position w:val="0"/>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6</w:t>
                  </w:r>
                </w:p>
              </w:tc>
              <w:tc>
                <w:tcPr>
                  <w:tcW w:w="140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炭黑</w:t>
                  </w:r>
                </w:p>
              </w:tc>
              <w:tc>
                <w:tcPr>
                  <w:tcW w:w="193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cs="Times New Roman"/>
                      <w:color w:val="000000" w:themeColor="text1"/>
                      <w:spacing w:val="0"/>
                      <w:kern w:val="21"/>
                      <w:position w:val="0"/>
                      <w14:textFill>
                        <w14:solidFill>
                          <w14:schemeClr w14:val="tx1"/>
                        </w14:solidFill>
                      </w14:textFill>
                    </w:rPr>
                    <w:t>1333-86-4</w:t>
                  </w:r>
                </w:p>
              </w:tc>
              <w:tc>
                <w:tcPr>
                  <w:tcW w:w="1052"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14:textFill>
                        <w14:solidFill>
                          <w14:schemeClr w14:val="tx1"/>
                        </w14:solidFill>
                      </w14:textFill>
                    </w:rPr>
                  </w:pPr>
                  <w:r>
                    <w:rPr>
                      <w:rStyle w:val="44"/>
                      <w:rFonts w:ascii="Times New Roman" w:hAnsi="Times New Roman" w:eastAsia="宋体" w:cs="Times New Roman"/>
                      <w:color w:val="000000" w:themeColor="text1"/>
                      <w:spacing w:val="0"/>
                      <w:kern w:val="21"/>
                      <w:position w:val="0"/>
                      <w14:textFill>
                        <w14:solidFill>
                          <w14:schemeClr w14:val="tx1"/>
                        </w14:solidFill>
                      </w14:textFill>
                    </w:rPr>
                    <w:t>0.7%</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塑粉用量核算：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根据建设单位提供的资料，本项目五金件喷涂厚度约</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100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μm，本项目喷粉密度为1.0~2.0g/m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，本次取1.5g/m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color w:val="000000" w:themeColor="text1"/>
                <w:spacing w:val="0"/>
                <w:kern w:val="21"/>
                <w:position w:val="0"/>
                <w:sz w:val="24"/>
                <w:szCs w:val="32"/>
                <w:lang w:bidi="ar"/>
                <w14:textFill>
                  <w14:solidFill>
                    <w14:schemeClr w14:val="tx1"/>
                  </w14:solidFill>
                </w14:textFill>
              </w:rPr>
              <w:t>参考《喷塑行业污染物</w:t>
            </w:r>
            <w:r>
              <w:rPr>
                <w:rFonts w:hint="eastAsia"/>
                <w:color w:val="000000" w:themeColor="text1"/>
                <w:spacing w:val="0"/>
                <w:kern w:val="21"/>
                <w:position w:val="0"/>
                <w:sz w:val="24"/>
                <w:szCs w:val="32"/>
                <w:lang w:bidi="ar"/>
                <w14:textFill>
                  <w14:solidFill>
                    <w14:schemeClr w14:val="tx1"/>
                  </w14:solidFill>
                </w14:textFill>
              </w:rPr>
              <w:t>源强</w:t>
            </w:r>
            <w:r>
              <w:rPr>
                <w:color w:val="000000" w:themeColor="text1"/>
                <w:spacing w:val="0"/>
                <w:kern w:val="21"/>
                <w:position w:val="0"/>
                <w:sz w:val="24"/>
                <w:szCs w:val="32"/>
                <w:lang w:bidi="ar"/>
                <w14:textFill>
                  <w14:solidFill>
                    <w14:schemeClr w14:val="tx1"/>
                  </w14:solidFill>
                </w14:textFill>
              </w:rPr>
              <w:t>估算及治理方法</w:t>
            </w:r>
            <w:r>
              <w:rPr>
                <w:rFonts w:hint="eastAsia"/>
                <w:color w:val="000000" w:themeColor="text1"/>
                <w:spacing w:val="0"/>
                <w:kern w:val="21"/>
                <w:position w:val="0"/>
                <w:sz w:val="24"/>
                <w:szCs w:val="32"/>
                <w:lang w:bidi="ar"/>
                <w14:textFill>
                  <w14:solidFill>
                    <w14:schemeClr w14:val="tx1"/>
                  </w14:solidFill>
                </w14:textFill>
              </w:rPr>
              <w:t>探讨</w:t>
            </w:r>
            <w:r>
              <w:rPr>
                <w:color w:val="000000" w:themeColor="text1"/>
                <w:spacing w:val="0"/>
                <w:kern w:val="21"/>
                <w:position w:val="0"/>
                <w:sz w:val="24"/>
                <w:szCs w:val="32"/>
                <w:lang w:bidi="ar"/>
                <w14:textFill>
                  <w14:solidFill>
                    <w14:schemeClr w14:val="tx1"/>
                  </w14:solidFill>
                </w14:textFill>
              </w:rPr>
              <w:t>》</w:t>
            </w:r>
            <w:r>
              <w:rPr>
                <w:rFonts w:hint="eastAsia"/>
                <w:color w:val="000000" w:themeColor="text1"/>
                <w:spacing w:val="0"/>
                <w:kern w:val="21"/>
                <w:position w:val="0"/>
                <w:sz w:val="24"/>
                <w:szCs w:val="32"/>
                <w:lang w:bidi="ar"/>
                <w14:textFill>
                  <w14:solidFill>
                    <w14:schemeClr w14:val="tx1"/>
                  </w14:solidFill>
                </w14:textFill>
              </w:rPr>
              <w:t>，</w:t>
            </w:r>
            <w:r>
              <w:rPr>
                <w:rFonts w:hint="eastAsia"/>
                <w:color w:val="000000" w:themeColor="text1"/>
                <w:spacing w:val="0"/>
                <w:kern w:val="21"/>
                <w:position w:val="0"/>
                <w:sz w:val="24"/>
                <w:lang w:bidi="ar"/>
                <w14:textFill>
                  <w14:solidFill>
                    <w14:schemeClr w14:val="tx1"/>
                  </w14:solidFill>
                </w14:textFill>
              </w:rPr>
              <w:t>本项目</w:t>
            </w:r>
            <w:r>
              <w:rPr>
                <w:color w:val="000000" w:themeColor="text1"/>
                <w:spacing w:val="0"/>
                <w:kern w:val="21"/>
                <w:position w:val="0"/>
                <w:sz w:val="24"/>
                <w:szCs w:val="32"/>
                <w:lang w:bidi="ar"/>
                <w14:textFill>
                  <w14:solidFill>
                    <w14:schemeClr w14:val="tx1"/>
                  </w14:solidFill>
                </w14:textFill>
              </w:rPr>
              <w:t>塑</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粉附着</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率取85%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。喷涂行业对塑粉使用量的计算方法如下：</w:t>
            </w:r>
          </w:p>
          <w:p>
            <w:pPr>
              <w:pageBreakBefore w:val="0"/>
              <w:kinsoku/>
              <w:overflowPunct/>
              <w:autoSpaceDE/>
              <w:autoSpaceDN/>
              <w:bidi w:val="0"/>
              <w:spacing w:line="360" w:lineRule="auto"/>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object>
                <v:shape id="_x0000_i1025" o:spt="75" type="#_x0000_t75" style="height:33pt;width:76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m—塑粉用量，t/a；</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ρ—塑粉密度，g/cm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δ—涂层厚度，μm，根据建设单位提供资料，喷粉厚度约为80μm；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S—涂装面积（m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NV—塑粉中</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固体分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，取100%</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Ɛ—附着率，取85%。</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根据建设单位提供的资料，本项目五金</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配件</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为</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桌腿及椅腿</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本项目共计2万个板材桌采用金属桌腿，</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主要规格φ</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130</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750</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mm，预计</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金属桌腿</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喷粉面积约为</w:t>
            </w:r>
            <w:bookmarkStart w:id="12" w:name="OLE_LINK16"/>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6123</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4"/>
                <w:vertAlign w:val="superscript"/>
                <w14:textFill>
                  <w14:solidFill>
                    <w14:schemeClr w14:val="tx1"/>
                  </w14:solidFill>
                </w14:textFill>
              </w:rPr>
              <w:t>2</w:t>
            </w:r>
            <w:bookmarkEnd w:id="12"/>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；本项目共计</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万个实木椅采用金属椅腿，每个椅子4条金属椅腿，每个金属椅腿主要规格为φ50×450mm，</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喷粉</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面积约为</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22608</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4"/>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w:t>
            </w:r>
          </w:p>
          <w:p>
            <w:pPr>
              <w:pageBreakBefore w:val="0"/>
              <w:numPr>
                <w:ilvl w:val="0"/>
                <w:numId w:val="23"/>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cs="Times New Roman"/>
                <w:b/>
                <w:bCs/>
                <w:color w:val="000000" w:themeColor="text1"/>
                <w:spacing w:val="0"/>
                <w:kern w:val="21"/>
                <w:position w:val="0"/>
                <w:sz w:val="21"/>
                <w:szCs w:val="21"/>
                <w14:textFill>
                  <w14:solidFill>
                    <w14:schemeClr w14:val="tx1"/>
                  </w14:solidFill>
                </w14:textFill>
              </w:rPr>
              <w:t>本项目塑粉用量核算</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101"/>
              <w:gridCol w:w="1233"/>
              <w:gridCol w:w="1215"/>
              <w:gridCol w:w="1186"/>
              <w:gridCol w:w="1168"/>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 w:val="21"/>
                      <w:szCs w:val="21"/>
                      <w14:textFill>
                        <w14:solidFill>
                          <w14:schemeClr w14:val="tx1"/>
                        </w14:solidFill>
                      </w14:textFill>
                    </w:rPr>
                  </w:pPr>
                  <w:r>
                    <w:rPr>
                      <w:rFonts w:ascii="Times New Roman" w:hAnsi="Times New Roman" w:cs="Times New Roman"/>
                      <w:bCs/>
                      <w:color w:val="000000" w:themeColor="text1"/>
                      <w:spacing w:val="0"/>
                      <w:kern w:val="21"/>
                      <w:position w:val="0"/>
                      <w:sz w:val="21"/>
                      <w:szCs w:val="21"/>
                      <w14:textFill>
                        <w14:solidFill>
                          <w14:schemeClr w14:val="tx1"/>
                        </w14:solidFill>
                      </w14:textFill>
                    </w:rPr>
                    <w:t>类别</w:t>
                  </w:r>
                </w:p>
              </w:tc>
              <w:tc>
                <w:tcPr>
                  <w:tcW w:w="65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 w:val="21"/>
                      <w:szCs w:val="21"/>
                      <w14:textFill>
                        <w14:solidFill>
                          <w14:schemeClr w14:val="tx1"/>
                        </w14:solidFill>
                      </w14:textFill>
                    </w:rPr>
                  </w:pPr>
                  <w:r>
                    <w:rPr>
                      <w:rFonts w:ascii="Times New Roman" w:hAnsi="Times New Roman" w:cs="Times New Roman"/>
                      <w:bCs/>
                      <w:color w:val="000000" w:themeColor="text1"/>
                      <w:spacing w:val="0"/>
                      <w:kern w:val="21"/>
                      <w:position w:val="0"/>
                      <w:sz w:val="21"/>
                      <w:szCs w:val="21"/>
                      <w14:textFill>
                        <w14:solidFill>
                          <w14:schemeClr w14:val="tx1"/>
                        </w14:solidFill>
                      </w14:textFill>
                    </w:rPr>
                    <w:t>喷粉面积（m</w:t>
                  </w:r>
                  <w:r>
                    <w:rPr>
                      <w:rFonts w:ascii="Times New Roman" w:hAnsi="Times New Roman" w:cs="Times New Roman"/>
                      <w:bCs/>
                      <w:color w:val="000000" w:themeColor="text1"/>
                      <w:spacing w:val="0"/>
                      <w:kern w:val="21"/>
                      <w:position w:val="0"/>
                      <w:sz w:val="21"/>
                      <w:szCs w:val="21"/>
                      <w:vertAlign w:val="superscript"/>
                      <w14:textFill>
                        <w14:solidFill>
                          <w14:schemeClr w14:val="tx1"/>
                        </w14:solidFill>
                      </w14:textFill>
                    </w:rPr>
                    <w:t>2</w:t>
                  </w:r>
                  <w:r>
                    <w:rPr>
                      <w:rFonts w:ascii="Times New Roman" w:hAnsi="Times New Roman" w:cs="Times New Roman"/>
                      <w:bCs/>
                      <w:color w:val="000000" w:themeColor="text1"/>
                      <w:spacing w:val="0"/>
                      <w:kern w:val="21"/>
                      <w:position w:val="0"/>
                      <w:sz w:val="21"/>
                      <w:szCs w:val="21"/>
                      <w14:textFill>
                        <w14:solidFill>
                          <w14:schemeClr w14:val="tx1"/>
                        </w14:solidFill>
                      </w14:textFill>
                    </w:rPr>
                    <w:t>）</w:t>
                  </w:r>
                </w:p>
              </w:tc>
              <w:tc>
                <w:tcPr>
                  <w:tcW w:w="736"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 w:val="21"/>
                      <w:szCs w:val="21"/>
                      <w14:textFill>
                        <w14:solidFill>
                          <w14:schemeClr w14:val="tx1"/>
                        </w14:solidFill>
                      </w14:textFill>
                    </w:rPr>
                  </w:pPr>
                  <w:r>
                    <w:rPr>
                      <w:rFonts w:ascii="Times New Roman" w:hAnsi="Times New Roman" w:cs="Times New Roman"/>
                      <w:bCs/>
                      <w:color w:val="000000" w:themeColor="text1"/>
                      <w:spacing w:val="0"/>
                      <w:kern w:val="21"/>
                      <w:position w:val="0"/>
                      <w:sz w:val="21"/>
                      <w:szCs w:val="21"/>
                      <w14:textFill>
                        <w14:solidFill>
                          <w14:schemeClr w14:val="tx1"/>
                        </w14:solidFill>
                      </w14:textFill>
                    </w:rPr>
                    <w:t>塑粉密度（g/cm</w:t>
                  </w:r>
                  <w:r>
                    <w:rPr>
                      <w:rFonts w:ascii="Times New Roman" w:hAnsi="Times New Roman" w:cs="Times New Roman"/>
                      <w:bCs/>
                      <w:color w:val="000000" w:themeColor="text1"/>
                      <w:spacing w:val="0"/>
                      <w:kern w:val="21"/>
                      <w:position w:val="0"/>
                      <w:sz w:val="21"/>
                      <w:szCs w:val="21"/>
                      <w:vertAlign w:val="superscript"/>
                      <w14:textFill>
                        <w14:solidFill>
                          <w14:schemeClr w14:val="tx1"/>
                        </w14:solidFill>
                      </w14:textFill>
                    </w:rPr>
                    <w:t>3</w:t>
                  </w:r>
                  <w:r>
                    <w:rPr>
                      <w:rFonts w:ascii="Times New Roman" w:hAnsi="Times New Roman" w:cs="Times New Roman"/>
                      <w:bCs/>
                      <w:color w:val="000000" w:themeColor="text1"/>
                      <w:spacing w:val="0"/>
                      <w:kern w:val="21"/>
                      <w:position w:val="0"/>
                      <w:sz w:val="21"/>
                      <w:szCs w:val="21"/>
                      <w14:textFill>
                        <w14:solidFill>
                          <w14:schemeClr w14:val="tx1"/>
                        </w14:solidFill>
                      </w14:textFill>
                    </w:rPr>
                    <w:t>）</w:t>
                  </w:r>
                </w:p>
              </w:tc>
              <w:tc>
                <w:tcPr>
                  <w:tcW w:w="725"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 w:val="21"/>
                      <w:szCs w:val="21"/>
                      <w14:textFill>
                        <w14:solidFill>
                          <w14:schemeClr w14:val="tx1"/>
                        </w14:solidFill>
                      </w14:textFill>
                    </w:rPr>
                  </w:pPr>
                  <w:r>
                    <w:rPr>
                      <w:rFonts w:ascii="Times New Roman" w:hAnsi="Times New Roman" w:cs="Times New Roman"/>
                      <w:bCs/>
                      <w:color w:val="000000" w:themeColor="text1"/>
                      <w:spacing w:val="0"/>
                      <w:kern w:val="21"/>
                      <w:position w:val="0"/>
                      <w:sz w:val="21"/>
                      <w:szCs w:val="21"/>
                      <w14:textFill>
                        <w14:solidFill>
                          <w14:schemeClr w14:val="tx1"/>
                        </w14:solidFill>
                      </w14:textFill>
                    </w:rPr>
                    <w:t>喷涂厚度（μm）</w:t>
                  </w:r>
                </w:p>
              </w:tc>
              <w:tc>
                <w:tcPr>
                  <w:tcW w:w="708"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 w:val="21"/>
                      <w:szCs w:val="21"/>
                      <w14:textFill>
                        <w14:solidFill>
                          <w14:schemeClr w14:val="tx1"/>
                        </w14:solidFill>
                      </w14:textFill>
                    </w:rPr>
                  </w:pPr>
                  <w:r>
                    <w:rPr>
                      <w:rFonts w:ascii="Times New Roman" w:hAnsi="Times New Roman" w:cs="Times New Roman"/>
                      <w:bCs/>
                      <w:color w:val="000000" w:themeColor="text1"/>
                      <w:spacing w:val="0"/>
                      <w:kern w:val="21"/>
                      <w:position w:val="0"/>
                      <w:sz w:val="21"/>
                      <w:szCs w:val="21"/>
                      <w14:textFill>
                        <w14:solidFill>
                          <w14:schemeClr w14:val="tx1"/>
                        </w14:solidFill>
                      </w14:textFill>
                    </w:rPr>
                    <w:t>附着率（%）</w:t>
                  </w:r>
                </w:p>
              </w:tc>
              <w:tc>
                <w:tcPr>
                  <w:tcW w:w="69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 w:val="21"/>
                      <w:szCs w:val="21"/>
                      <w14:textFill>
                        <w14:solidFill>
                          <w14:schemeClr w14:val="tx1"/>
                        </w14:solidFill>
                      </w14:textFill>
                    </w:rPr>
                  </w:pPr>
                  <w:r>
                    <w:rPr>
                      <w:rFonts w:ascii="Times New Roman" w:hAnsi="Times New Roman" w:cs="Times New Roman"/>
                      <w:bCs/>
                      <w:color w:val="000000" w:themeColor="text1"/>
                      <w:spacing w:val="0"/>
                      <w:kern w:val="21"/>
                      <w:position w:val="0"/>
                      <w:sz w:val="21"/>
                      <w:szCs w:val="21"/>
                      <w14:textFill>
                        <w14:solidFill>
                          <w14:schemeClr w14:val="tx1"/>
                        </w14:solidFill>
                      </w14:textFill>
                    </w:rPr>
                    <w:t>固含量（%）</w:t>
                  </w:r>
                </w:p>
              </w:tc>
              <w:tc>
                <w:tcPr>
                  <w:tcW w:w="666"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 w:val="21"/>
                      <w:szCs w:val="21"/>
                      <w14:textFill>
                        <w14:solidFill>
                          <w14:schemeClr w14:val="tx1"/>
                        </w14:solidFill>
                      </w14:textFill>
                    </w:rPr>
                  </w:pPr>
                  <w:r>
                    <w:rPr>
                      <w:rFonts w:ascii="Times New Roman" w:hAnsi="Times New Roman" w:cs="Times New Roman"/>
                      <w:bCs/>
                      <w:color w:val="000000" w:themeColor="text1"/>
                      <w:spacing w:val="0"/>
                      <w:kern w:val="21"/>
                      <w:position w:val="0"/>
                      <w:sz w:val="21"/>
                      <w:szCs w:val="21"/>
                      <w14:textFill>
                        <w14:solidFill>
                          <w14:schemeClr w14:val="tx1"/>
                        </w14:solidFill>
                      </w14:textFill>
                    </w:rPr>
                    <w:t>用量（t/a）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0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 w:val="21"/>
                      <w:szCs w:val="21"/>
                      <w14:textFill>
                        <w14:solidFill>
                          <w14:schemeClr w14:val="tx1"/>
                        </w14:solidFill>
                      </w14:textFill>
                    </w:rPr>
                  </w:pPr>
                  <w:r>
                    <w:rPr>
                      <w:rFonts w:ascii="Times New Roman" w:hAnsi="Times New Roman" w:cs="Times New Roman"/>
                      <w:color w:val="000000" w:themeColor="text1"/>
                      <w:spacing w:val="0"/>
                      <w:kern w:val="21"/>
                      <w:position w:val="0"/>
                      <w:sz w:val="21"/>
                      <w:szCs w:val="21"/>
                      <w14:textFill>
                        <w14:solidFill>
                          <w14:schemeClr w14:val="tx1"/>
                        </w14:solidFill>
                      </w14:textFill>
                    </w:rPr>
                    <w:t>塑粉</w:t>
                  </w:r>
                </w:p>
              </w:tc>
              <w:tc>
                <w:tcPr>
                  <w:tcW w:w="65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28731</w:t>
                  </w:r>
                </w:p>
              </w:tc>
              <w:tc>
                <w:tcPr>
                  <w:tcW w:w="736"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 w:val="0"/>
                      <w:color w:val="000000" w:themeColor="text1"/>
                      <w:spacing w:val="0"/>
                      <w:kern w:val="21"/>
                      <w:position w:val="0"/>
                      <w:sz w:val="21"/>
                      <w:szCs w:val="21"/>
                      <w14:textFill>
                        <w14:solidFill>
                          <w14:schemeClr w14:val="tx1"/>
                        </w14:solidFill>
                      </w14:textFill>
                    </w:rPr>
                  </w:pPr>
                  <w:r>
                    <w:rPr>
                      <w:rFonts w:ascii="Times New Roman" w:hAnsi="Times New Roman" w:cs="Times New Roman"/>
                      <w:b w:val="0"/>
                      <w:color w:val="000000" w:themeColor="text1"/>
                      <w:spacing w:val="0"/>
                      <w:kern w:val="21"/>
                      <w:position w:val="0"/>
                      <w:sz w:val="21"/>
                      <w:szCs w:val="21"/>
                      <w14:textFill>
                        <w14:solidFill>
                          <w14:schemeClr w14:val="tx1"/>
                        </w14:solidFill>
                      </w14:textFill>
                    </w:rPr>
                    <w:t>1.5</w:t>
                  </w:r>
                </w:p>
              </w:tc>
              <w:tc>
                <w:tcPr>
                  <w:tcW w:w="1219"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80</w:t>
                  </w:r>
                </w:p>
              </w:tc>
              <w:tc>
                <w:tcPr>
                  <w:tcW w:w="7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 w:val="21"/>
                      <w:szCs w:val="21"/>
                      <w14:textFill>
                        <w14:solidFill>
                          <w14:schemeClr w14:val="tx1"/>
                        </w14:solidFill>
                      </w14:textFill>
                    </w:rPr>
                  </w:pPr>
                  <w:r>
                    <w:rPr>
                      <w:rFonts w:ascii="Times New Roman" w:hAnsi="Times New Roman" w:cs="Times New Roman"/>
                      <w:color w:val="000000" w:themeColor="text1"/>
                      <w:spacing w:val="0"/>
                      <w:kern w:val="21"/>
                      <w:position w:val="0"/>
                      <w:sz w:val="21"/>
                      <w:szCs w:val="21"/>
                      <w14:textFill>
                        <w14:solidFill>
                          <w14:schemeClr w14:val="tx1"/>
                        </w14:solidFill>
                      </w14:textFill>
                    </w:rPr>
                    <w:t>85</w:t>
                  </w:r>
                </w:p>
              </w:tc>
              <w:tc>
                <w:tcPr>
                  <w:tcW w:w="69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 w:val="0"/>
                      <w:color w:val="000000" w:themeColor="text1"/>
                      <w:spacing w:val="0"/>
                      <w:kern w:val="21"/>
                      <w:position w:val="0"/>
                      <w:sz w:val="21"/>
                      <w:szCs w:val="21"/>
                      <w14:textFill>
                        <w14:solidFill>
                          <w14:schemeClr w14:val="tx1"/>
                        </w14:solidFill>
                      </w14:textFill>
                    </w:rPr>
                  </w:pPr>
                  <w:r>
                    <w:rPr>
                      <w:rFonts w:ascii="Times New Roman" w:hAnsi="Times New Roman" w:cs="Times New Roman"/>
                      <w:b w:val="0"/>
                      <w:color w:val="000000" w:themeColor="text1"/>
                      <w:spacing w:val="0"/>
                      <w:kern w:val="21"/>
                      <w:position w:val="0"/>
                      <w:sz w:val="21"/>
                      <w:szCs w:val="21"/>
                      <w14:textFill>
                        <w14:solidFill>
                          <w14:schemeClr w14:val="tx1"/>
                        </w14:solidFill>
                      </w14:textFill>
                    </w:rPr>
                    <w:t>100</w:t>
                  </w:r>
                </w:p>
              </w:tc>
              <w:tc>
                <w:tcPr>
                  <w:tcW w:w="1120"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4.06</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脱脂剂：</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本项目使用的脱脂剂为无磷脱脂剂，主要用于金属表面清洗</w:t>
            </w:r>
            <w:bookmarkStart w:id="13" w:name="OLE_LINK9"/>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为无色或淡黄色液体，无味，比重≥1.15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bookmarkEnd w:id="13"/>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根据脱脂剂《化学品安全技术说明书》，脱脂剂的主要成分见下表。</w:t>
            </w:r>
          </w:p>
          <w:p>
            <w:pPr>
              <w:pageBreakBefore w:val="0"/>
              <w:numPr>
                <w:ilvl w:val="0"/>
                <w:numId w:val="23"/>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脱脂剂成分一览表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2796"/>
              <w:gridCol w:w="3481"/>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Align w:val="center"/>
                </w:tcPr>
                <w:p>
                  <w:pPr>
                    <w:pStyle w:val="42"/>
                    <w:pageBreakBefore w:val="0"/>
                    <w:kinsoku/>
                    <w:overflowPunct/>
                    <w:autoSpaceDE/>
                    <w:autoSpaceDN/>
                    <w:bidi w:val="0"/>
                    <w:spacing w:before="62" w:beforeLines="20" w:after="62" w:afterLines="20"/>
                    <w:textAlignment w:val="auto"/>
                    <w:rPr>
                      <w:rStyle w:val="44"/>
                      <w:b/>
                      <w:bCs/>
                      <w:color w:val="000000" w:themeColor="text1"/>
                      <w:spacing w:val="0"/>
                      <w:kern w:val="21"/>
                      <w:position w:val="0"/>
                      <w14:textFill>
                        <w14:solidFill>
                          <w14:schemeClr w14:val="tx1"/>
                        </w14:solidFill>
                      </w14:textFill>
                    </w:rPr>
                  </w:pPr>
                  <w:r>
                    <w:rPr>
                      <w:rStyle w:val="44"/>
                      <w:b/>
                      <w:bCs/>
                      <w:color w:val="000000" w:themeColor="text1"/>
                      <w:spacing w:val="0"/>
                      <w:kern w:val="21"/>
                      <w:position w:val="0"/>
                      <w14:textFill>
                        <w14:solidFill>
                          <w14:schemeClr w14:val="tx1"/>
                        </w14:solidFill>
                      </w14:textFill>
                    </w:rPr>
                    <w:t>序号</w:t>
                  </w:r>
                </w:p>
              </w:tc>
              <w:tc>
                <w:tcPr>
                  <w:tcW w:w="1668" w:type="pct"/>
                  <w:vAlign w:val="center"/>
                </w:tcPr>
                <w:p>
                  <w:pPr>
                    <w:pStyle w:val="42"/>
                    <w:pageBreakBefore w:val="0"/>
                    <w:kinsoku/>
                    <w:overflowPunct/>
                    <w:autoSpaceDE/>
                    <w:autoSpaceDN/>
                    <w:bidi w:val="0"/>
                    <w:spacing w:before="62" w:beforeLines="20" w:after="62" w:afterLines="20"/>
                    <w:textAlignment w:val="auto"/>
                    <w:rPr>
                      <w:rStyle w:val="44"/>
                      <w:b/>
                      <w:bCs/>
                      <w:color w:val="000000" w:themeColor="text1"/>
                      <w:spacing w:val="0"/>
                      <w:kern w:val="21"/>
                      <w:position w:val="0"/>
                      <w14:textFill>
                        <w14:solidFill>
                          <w14:schemeClr w14:val="tx1"/>
                        </w14:solidFill>
                      </w14:textFill>
                    </w:rPr>
                  </w:pPr>
                  <w:r>
                    <w:rPr>
                      <w:rStyle w:val="44"/>
                      <w:b/>
                      <w:bCs/>
                      <w:color w:val="000000" w:themeColor="text1"/>
                      <w:spacing w:val="0"/>
                      <w:kern w:val="21"/>
                      <w:position w:val="0"/>
                      <w14:textFill>
                        <w14:solidFill>
                          <w14:schemeClr w14:val="tx1"/>
                        </w14:solidFill>
                      </w14:textFill>
                    </w:rPr>
                    <w:t>产品成分</w:t>
                  </w:r>
                </w:p>
              </w:tc>
              <w:tc>
                <w:tcPr>
                  <w:tcW w:w="2077" w:type="pct"/>
                  <w:vAlign w:val="center"/>
                </w:tcPr>
                <w:p>
                  <w:pPr>
                    <w:pStyle w:val="42"/>
                    <w:pageBreakBefore w:val="0"/>
                    <w:kinsoku/>
                    <w:overflowPunct/>
                    <w:autoSpaceDE/>
                    <w:autoSpaceDN/>
                    <w:bidi w:val="0"/>
                    <w:spacing w:before="62" w:beforeLines="20" w:after="62" w:afterLines="20"/>
                    <w:textAlignment w:val="auto"/>
                    <w:rPr>
                      <w:rStyle w:val="44"/>
                      <w:b/>
                      <w:bCs/>
                      <w:color w:val="000000" w:themeColor="text1"/>
                      <w:spacing w:val="0"/>
                      <w:kern w:val="21"/>
                      <w:position w:val="0"/>
                      <w14:textFill>
                        <w14:solidFill>
                          <w14:schemeClr w14:val="tx1"/>
                        </w14:solidFill>
                      </w14:textFill>
                    </w:rPr>
                  </w:pPr>
                  <w:r>
                    <w:rPr>
                      <w:rStyle w:val="44"/>
                      <w:b/>
                      <w:bCs/>
                      <w:color w:val="000000" w:themeColor="text1"/>
                      <w:spacing w:val="0"/>
                      <w:kern w:val="21"/>
                      <w:position w:val="0"/>
                      <w14:textFill>
                        <w14:solidFill>
                          <w14:schemeClr w14:val="tx1"/>
                        </w14:solidFill>
                      </w14:textFill>
                    </w:rPr>
                    <w:t>CAS号</w:t>
                  </w:r>
                </w:p>
              </w:tc>
              <w:tc>
                <w:tcPr>
                  <w:tcW w:w="641" w:type="pct"/>
                  <w:vAlign w:val="center"/>
                </w:tcPr>
                <w:p>
                  <w:pPr>
                    <w:pStyle w:val="42"/>
                    <w:pageBreakBefore w:val="0"/>
                    <w:kinsoku/>
                    <w:overflowPunct/>
                    <w:autoSpaceDE/>
                    <w:autoSpaceDN/>
                    <w:bidi w:val="0"/>
                    <w:spacing w:before="62" w:beforeLines="20" w:after="62" w:afterLines="20"/>
                    <w:textAlignment w:val="auto"/>
                    <w:rPr>
                      <w:rStyle w:val="44"/>
                      <w:b/>
                      <w:bCs/>
                      <w:color w:val="000000" w:themeColor="text1"/>
                      <w:spacing w:val="0"/>
                      <w:kern w:val="21"/>
                      <w:position w:val="0"/>
                      <w14:textFill>
                        <w14:solidFill>
                          <w14:schemeClr w14:val="tx1"/>
                        </w14:solidFill>
                      </w14:textFill>
                    </w:rPr>
                  </w:pPr>
                  <w:r>
                    <w:rPr>
                      <w:rStyle w:val="44"/>
                      <w:b/>
                      <w:bCs/>
                      <w:color w:val="000000" w:themeColor="text1"/>
                      <w:spacing w:val="0"/>
                      <w:kern w:val="21"/>
                      <w:position w:val="0"/>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13"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1</w:t>
                  </w:r>
                </w:p>
              </w:tc>
              <w:tc>
                <w:tcPr>
                  <w:tcW w:w="1668"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氢氧化钾</w:t>
                  </w:r>
                </w:p>
              </w:tc>
              <w:tc>
                <w:tcPr>
                  <w:tcW w:w="2077"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1310-58-3</w:t>
                  </w:r>
                </w:p>
              </w:tc>
              <w:tc>
                <w:tcPr>
                  <w:tcW w:w="641"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13"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2</w:t>
                  </w:r>
                </w:p>
              </w:tc>
              <w:tc>
                <w:tcPr>
                  <w:tcW w:w="1668"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硅酸钠</w:t>
                  </w:r>
                </w:p>
              </w:tc>
              <w:tc>
                <w:tcPr>
                  <w:tcW w:w="2077"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1344-09-8</w:t>
                  </w:r>
                </w:p>
              </w:tc>
              <w:tc>
                <w:tcPr>
                  <w:tcW w:w="641"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3"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3</w:t>
                  </w:r>
                </w:p>
              </w:tc>
              <w:tc>
                <w:tcPr>
                  <w:tcW w:w="1668"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表面活性剂</w:t>
                  </w:r>
                </w:p>
              </w:tc>
              <w:tc>
                <w:tcPr>
                  <w:tcW w:w="2077"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9002-93-1</w:t>
                  </w:r>
                </w:p>
              </w:tc>
              <w:tc>
                <w:tcPr>
                  <w:tcW w:w="641" w:type="pct"/>
                  <w:vAlign w:val="center"/>
                </w:tcPr>
                <w:p>
                  <w:pPr>
                    <w:pStyle w:val="42"/>
                    <w:pageBreakBefore w:val="0"/>
                    <w:kinsoku/>
                    <w:overflowPunct/>
                    <w:autoSpaceDE/>
                    <w:autoSpaceDN/>
                    <w:bidi w:val="0"/>
                    <w:spacing w:before="62" w:beforeLines="20" w:after="62" w:afterLines="20"/>
                    <w:textAlignment w:val="auto"/>
                    <w:rPr>
                      <w:rStyle w:val="44"/>
                      <w:color w:val="000000" w:themeColor="text1"/>
                      <w:spacing w:val="0"/>
                      <w:kern w:val="21"/>
                      <w:position w:val="0"/>
                      <w14:textFill>
                        <w14:solidFill>
                          <w14:schemeClr w14:val="tx1"/>
                        </w14:solidFill>
                      </w14:textFill>
                    </w:rPr>
                  </w:pPr>
                  <w:r>
                    <w:rPr>
                      <w:rStyle w:val="44"/>
                      <w:color w:val="000000" w:themeColor="text1"/>
                      <w:spacing w:val="0"/>
                      <w:kern w:val="21"/>
                      <w:position w:val="0"/>
                      <w14:textFill>
                        <w14:solidFill>
                          <w14:schemeClr w14:val="tx1"/>
                        </w14:solidFill>
                      </w14:textFill>
                    </w:rPr>
                    <w:t>5-20%</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有机硅烷水溶液：</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项目所用的有机硅烷水溶液</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为无磷硅烷剂，为无色至淡黄色液体，</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主要由水、10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40%γ</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2,3-环氧丙氧</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丙基三甲氧基硅烷、10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30%γ</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甲基丙烯酰氧基丙基三甲氧基硅烷组成，不含磷、锌、钙、镍、锰、铬等元素，不含硝酸盐和亚硝酸盐等致癌物质。</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该硅烷剂在正常状态下稳定，无相关毒理学资料。</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根据《化学品安全技术说明书》，有机硅烷水溶液的主要成分见下表。</w:t>
            </w:r>
          </w:p>
          <w:p>
            <w:pPr>
              <w:pageBreakBefore w:val="0"/>
              <w:numPr>
                <w:ilvl w:val="0"/>
                <w:numId w:val="23"/>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ascii="Times New Roman" w:hAnsi="Times New Roman" w:cs="Times New Roman"/>
                <w:b/>
                <w:color w:val="000000" w:themeColor="text1"/>
                <w:spacing w:val="0"/>
                <w:kern w:val="21"/>
                <w:position w:val="0"/>
                <w:sz w:val="21"/>
                <w:szCs w:val="21"/>
                <w14:textFill>
                  <w14:solidFill>
                    <w14:schemeClr w14:val="tx1"/>
                  </w14:solidFill>
                </w14:textFill>
              </w:rPr>
              <w:t>有机硅烷剂成分一览表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4300"/>
              <w:gridCol w:w="1977"/>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t>序号</w:t>
                  </w:r>
                </w:p>
              </w:tc>
              <w:tc>
                <w:tcPr>
                  <w:tcW w:w="2566"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t>产品成分</w:t>
                  </w:r>
                </w:p>
              </w:tc>
              <w:tc>
                <w:tcPr>
                  <w:tcW w:w="1180"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t>CAS号</w:t>
                  </w:r>
                </w:p>
              </w:tc>
              <w:tc>
                <w:tcPr>
                  <w:tcW w:w="641" w:type="pct"/>
                  <w:vAlign w:val="center"/>
                </w:tcPr>
                <w:p>
                  <w:pPr>
                    <w:pStyle w:val="45"/>
                    <w:pageBreakBefore w:val="0"/>
                    <w:kinsoku/>
                    <w:overflowPunct/>
                    <w:autoSpaceDE/>
                    <w:autoSpaceDN/>
                    <w:bidi w:val="0"/>
                    <w:adjustRightInd w:val="0"/>
                    <w:snapToGrid w:val="0"/>
                    <w:spacing w:before="62" w:beforeLines="20" w:after="62" w:afterLines="20" w:line="240" w:lineRule="auto"/>
                    <w:textAlignment w:val="auto"/>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b/>
                      <w:bCs/>
                      <w:color w:val="000000" w:themeColor="text1"/>
                      <w:spacing w:val="0"/>
                      <w:kern w:val="21"/>
                      <w:position w:val="0"/>
                      <w:sz w:val="21"/>
                      <w:szCs w:val="21"/>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1</w:t>
                  </w:r>
                </w:p>
              </w:tc>
              <w:tc>
                <w:tcPr>
                  <w:tcW w:w="2566"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γ―</w:t>
                  </w:r>
                  <w:r>
                    <w:rPr>
                      <w:rStyle w:val="44"/>
                      <w:rFonts w:hint="eastAsia" w:ascii="Times New Roman" w:hAnsi="Times New Roman" w:cs="Times New Roman"/>
                      <w:color w:val="000000" w:themeColor="text1"/>
                      <w:spacing w:val="0"/>
                      <w:kern w:val="21"/>
                      <w:position w:val="0"/>
                      <w:sz w:val="21"/>
                      <w:szCs w:val="21"/>
                      <w14:textFill>
                        <w14:solidFill>
                          <w14:schemeClr w14:val="tx1"/>
                        </w14:solidFill>
                      </w14:textFill>
                    </w:rPr>
                    <w:t>（</w:t>
                  </w:r>
                  <w:r>
                    <w:rPr>
                      <w:rStyle w:val="44"/>
                      <w:rFonts w:ascii="Times New Roman" w:hAnsi="Times New Roman" w:cs="Times New Roman"/>
                      <w:color w:val="000000" w:themeColor="text1"/>
                      <w:spacing w:val="0"/>
                      <w:kern w:val="21"/>
                      <w:position w:val="0"/>
                      <w:sz w:val="21"/>
                      <w:szCs w:val="21"/>
                      <w14:textFill>
                        <w14:solidFill>
                          <w14:schemeClr w14:val="tx1"/>
                        </w14:solidFill>
                      </w14:textFill>
                    </w:rPr>
                    <w:t>2,3-环氧丙氧</w:t>
                  </w:r>
                  <w:r>
                    <w:rPr>
                      <w:rStyle w:val="44"/>
                      <w:rFonts w:hint="eastAsia" w:ascii="Times New Roman" w:hAnsi="Times New Roman" w:cs="Times New Roman"/>
                      <w:color w:val="000000" w:themeColor="text1"/>
                      <w:spacing w:val="0"/>
                      <w:kern w:val="21"/>
                      <w:position w:val="0"/>
                      <w:sz w:val="21"/>
                      <w:szCs w:val="21"/>
                      <w14:textFill>
                        <w14:solidFill>
                          <w14:schemeClr w14:val="tx1"/>
                        </w14:solidFill>
                      </w14:textFill>
                    </w:rPr>
                    <w:t>）</w:t>
                  </w:r>
                  <w:r>
                    <w:rPr>
                      <w:rStyle w:val="44"/>
                      <w:rFonts w:ascii="Times New Roman" w:hAnsi="Times New Roman" w:cs="Times New Roman"/>
                      <w:color w:val="000000" w:themeColor="text1"/>
                      <w:spacing w:val="0"/>
                      <w:kern w:val="21"/>
                      <w:position w:val="0"/>
                      <w:sz w:val="21"/>
                      <w:szCs w:val="21"/>
                      <w14:textFill>
                        <w14:solidFill>
                          <w14:schemeClr w14:val="tx1"/>
                        </w14:solidFill>
                      </w14:textFill>
                    </w:rPr>
                    <w:t>丙基三甲氧基硅烷</w:t>
                  </w:r>
                </w:p>
              </w:tc>
              <w:tc>
                <w:tcPr>
                  <w:tcW w:w="118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77-92-9</w:t>
                  </w:r>
                </w:p>
              </w:tc>
              <w:tc>
                <w:tcPr>
                  <w:tcW w:w="641"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2</w:t>
                  </w:r>
                </w:p>
              </w:tc>
              <w:tc>
                <w:tcPr>
                  <w:tcW w:w="2566"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γ―甲基丙烯酰氧基丙基三甲氧基硅烷</w:t>
                  </w:r>
                </w:p>
              </w:tc>
              <w:tc>
                <w:tcPr>
                  <w:tcW w:w="118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77-92-9</w:t>
                  </w:r>
                </w:p>
              </w:tc>
              <w:tc>
                <w:tcPr>
                  <w:tcW w:w="641"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4"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3</w:t>
                  </w:r>
                </w:p>
              </w:tc>
              <w:tc>
                <w:tcPr>
                  <w:tcW w:w="2566"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水</w:t>
                  </w:r>
                </w:p>
              </w:tc>
              <w:tc>
                <w:tcPr>
                  <w:tcW w:w="1180"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w:t>
                  </w:r>
                </w:p>
              </w:tc>
              <w:tc>
                <w:tcPr>
                  <w:tcW w:w="641" w:type="pct"/>
                  <w:vAlign w:val="center"/>
                </w:tcPr>
                <w:p>
                  <w:pPr>
                    <w:pageBreakBefore w:val="0"/>
                    <w:kinsoku/>
                    <w:overflowPunct/>
                    <w:autoSpaceDE/>
                    <w:autoSpaceDN/>
                    <w:bidi w:val="0"/>
                    <w:adjustRightInd w:val="0"/>
                    <w:snapToGrid w:val="0"/>
                    <w:spacing w:before="62" w:beforeLines="20" w:after="62" w:afterLines="20"/>
                    <w:jc w:val="center"/>
                    <w:textAlignment w:val="auto"/>
                    <w:rPr>
                      <w:rStyle w:val="44"/>
                      <w:rFonts w:ascii="Times New Roman" w:hAnsi="Times New Roman" w:cs="Times New Roman"/>
                      <w:color w:val="000000" w:themeColor="text1"/>
                      <w:spacing w:val="0"/>
                      <w:kern w:val="21"/>
                      <w:position w:val="0"/>
                      <w:sz w:val="21"/>
                      <w:szCs w:val="21"/>
                      <w14:textFill>
                        <w14:solidFill>
                          <w14:schemeClr w14:val="tx1"/>
                        </w14:solidFill>
                      </w14:textFill>
                    </w:rPr>
                  </w:pPr>
                  <w:r>
                    <w:rPr>
                      <w:rStyle w:val="44"/>
                      <w:rFonts w:ascii="Times New Roman" w:hAnsi="Times New Roman" w:cs="Times New Roman"/>
                      <w:color w:val="000000" w:themeColor="text1"/>
                      <w:spacing w:val="0"/>
                      <w:kern w:val="21"/>
                      <w:position w:val="0"/>
                      <w:sz w:val="21"/>
                      <w:szCs w:val="21"/>
                      <w14:textFill>
                        <w14:solidFill>
                          <w14:schemeClr w14:val="tx1"/>
                        </w14:solidFill>
                      </w14:textFill>
                    </w:rPr>
                    <w:t>30-80%</w:t>
                  </w:r>
                </w:p>
              </w:tc>
            </w:tr>
          </w:tbl>
          <w:p>
            <w:pPr>
              <w:pageBreakBefore w:val="0"/>
              <w:kinsoku/>
              <w:overflowPunct/>
              <w:autoSpaceDE/>
              <w:autoSpaceDN/>
              <w:bidi w:val="0"/>
              <w:spacing w:line="360" w:lineRule="auto"/>
              <w:ind w:firstLine="481" w:firstLineChars="200"/>
              <w:textAlignment w:val="auto"/>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水基环保粘合剂：</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是一种水溶性胶粘剂，是由醋酸乙烯单体在引发剂作用下经聚合反应而制得的一种热塑性粘合剂</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通常称为白乳胶或PVAC乳液，化学名称</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聚乙酸</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乙烯酯胶粘剂。白乳胶可常温固化</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固化较快</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粘接强度较高，粘接层具有较好的韧性和耐久性</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不易老化。它以水为分散剂，使用安全、无毒、不燃、清洗方便，对木材、纸张和织物有很好的黏着力，胶接强度高，固化后的胶层无色透明，韧性好，不污染被粘接物；乳液稳定性好，储存期可达半年以上。根据检测报告，本项目使用的白乳胶总挥发性有机物含量</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为</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未检出（检出限</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2g/L</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，符合《胶粘剂挥发性有机化合物限量》（GB33372-2020）表2中水基型胶粘剂VOC含量限值（聚乙酸乙烯酯类木工与家具限量值≤100g/L）。</w:t>
            </w:r>
          </w:p>
          <w:p>
            <w:pPr>
              <w:pageBreakBefore w:val="0"/>
              <w:kinsoku/>
              <w:overflowPunct/>
              <w:autoSpaceDE/>
              <w:autoSpaceDN/>
              <w:bidi w:val="0"/>
              <w:spacing w:line="360" w:lineRule="auto"/>
              <w:ind w:firstLine="481" w:firstLineChars="200"/>
              <w:textAlignment w:val="auto"/>
              <w:rPr>
                <w:rFonts w:hint="eastAsia" w:ascii="Arial" w:hAnsi="Arial" w:eastAsia="宋体" w:cs="Arial"/>
                <w:i w:val="0"/>
                <w:iCs w:val="0"/>
                <w:caps w:val="0"/>
                <w:color w:val="000000" w:themeColor="text1"/>
                <w:spacing w:val="0"/>
                <w:kern w:val="21"/>
                <w:sz w:val="27"/>
                <w:szCs w:val="27"/>
                <w:shd w:val="clear" w:fill="FFFFFF"/>
                <w:lang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漆料：</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根据建设单位提供的产品检验报告，本项目使用的漆料均为水性漆，满足《低挥发性有机化合物含量涂料产品技术要求》（GB/T38597-2020）表1中水性涂料中VOC含量限值（木器涂料清漆限值≤270g/L</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、色漆限值</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0g/L）</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要求</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，使用过程中漆料：稀释剂（水）=5:1。</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清漆为透白色液体，流动性较好；白漆为乳白色液</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体。</w:t>
            </w:r>
            <w:r>
              <w:rPr>
                <w:rFonts w:ascii="Times New Roman" w:hAnsi="Times New Roman" w:cs="Times New Roman"/>
                <w:color w:val="000000" w:themeColor="text1"/>
                <w:spacing w:val="0"/>
                <w:kern w:val="21"/>
                <w:position w:val="0"/>
                <w:sz w:val="24"/>
                <w14:textFill>
                  <w14:solidFill>
                    <w14:schemeClr w14:val="tx1"/>
                  </w14:solidFill>
                </w14:textFill>
              </w:rPr>
              <w:t>清漆主要用于木制品的保护，涂刷于木品时，漆呈现泛白现象，等待通风实干后，整体呈现为透明漆膜效果，可增强实木家具的耐磨性与防水性</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w:t>
            </w:r>
            <w:r>
              <w:rPr>
                <w:rFonts w:ascii="Times New Roman" w:hAnsi="Times New Roman" w:cs="Times New Roman"/>
                <w:color w:val="000000" w:themeColor="text1"/>
                <w:spacing w:val="0"/>
                <w:kern w:val="21"/>
                <w:position w:val="0"/>
                <w:sz w:val="24"/>
                <w14:textFill>
                  <w14:solidFill>
                    <w14:schemeClr w14:val="tx1"/>
                  </w14:solidFill>
                </w14:textFill>
              </w:rPr>
              <w:t>白漆为覆盖色，涂刷干燥后木品表面呈白色，遮瑕性比较好</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cs="Times New Roman"/>
                <w:color w:val="000000" w:themeColor="text1"/>
                <w:spacing w:val="0"/>
                <w:kern w:val="21"/>
                <w:position w:val="0"/>
                <w:sz w:val="24"/>
                <w14:textFill>
                  <w14:solidFill>
                    <w14:schemeClr w14:val="tx1"/>
                  </w14:solidFill>
                </w14:textFill>
              </w:rPr>
              <w:t>项目生产过程中所用的涂料见下表。</w:t>
            </w:r>
          </w:p>
          <w:p>
            <w:pPr>
              <w:pageBreakBefore w:val="0"/>
              <w:numPr>
                <w:ilvl w:val="0"/>
                <w:numId w:val="23"/>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本项目漆料</w:t>
            </w:r>
            <w:r>
              <w:rPr>
                <w:rFonts w:hint="eastAsia" w:ascii="Times New Roman" w:hAnsi="Times New Roman" w:cs="Times New Roman"/>
                <w:b/>
                <w:bCs/>
                <w:color w:val="000000" w:themeColor="text1"/>
                <w:spacing w:val="0"/>
                <w:kern w:val="21"/>
                <w:position w:val="0"/>
                <w:szCs w:val="21"/>
                <w:lang w:val="en-US" w:eastAsia="zh-CN"/>
                <w14:textFill>
                  <w14:solidFill>
                    <w14:schemeClr w14:val="tx1"/>
                  </w14:solidFill>
                </w14:textFill>
              </w:rPr>
              <w:t>VOCs含量</w:t>
            </w:r>
            <w:r>
              <w:rPr>
                <w:rFonts w:ascii="Times New Roman" w:hAnsi="Times New Roman" w:cs="Times New Roman"/>
                <w:b/>
                <w:bCs/>
                <w:color w:val="000000" w:themeColor="text1"/>
                <w:spacing w:val="0"/>
                <w:kern w:val="21"/>
                <w:position w:val="0"/>
                <w:szCs w:val="21"/>
                <w14:textFill>
                  <w14:solidFill>
                    <w14:schemeClr w14:val="tx1"/>
                  </w14:solidFill>
                </w14:textFill>
              </w:rPr>
              <w:t>表 单位：g/L</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1017"/>
              <w:gridCol w:w="1066"/>
              <w:gridCol w:w="2244"/>
              <w:gridCol w:w="974"/>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名称</w:t>
                  </w:r>
                </w:p>
              </w:tc>
              <w:tc>
                <w:tcPr>
                  <w:tcW w:w="3163" w:type="pct"/>
                  <w:gridSpan w:val="4"/>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hint="eastAsia" w:ascii="Times New Roman" w:hAnsi="Times New Roman" w:cs="Times New Roman"/>
                      <w:b/>
                      <w:bCs/>
                      <w:color w:val="000000" w:themeColor="text1"/>
                      <w:spacing w:val="0"/>
                      <w:kern w:val="21"/>
                      <w:position w:val="0"/>
                      <w:szCs w:val="21"/>
                      <w14:textFill>
                        <w14:solidFill>
                          <w14:schemeClr w14:val="tx1"/>
                        </w14:solidFill>
                      </w14:textFill>
                    </w:rPr>
                    <w:t>成分</w:t>
                  </w:r>
                </w:p>
              </w:tc>
              <w:tc>
                <w:tcPr>
                  <w:tcW w:w="703"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p>
              </w:tc>
              <w:tc>
                <w:tcPr>
                  <w:tcW w:w="607"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VOC</w:t>
                  </w:r>
                  <w:r>
                    <w:rPr>
                      <w:rFonts w:ascii="Times New Roman" w:hAnsi="Times New Roman" w:cs="Times New Roman"/>
                      <w:bCs/>
                      <w:color w:val="000000" w:themeColor="text1"/>
                      <w:spacing w:val="0"/>
                      <w:kern w:val="21"/>
                      <w:position w:val="0"/>
                      <w:szCs w:val="21"/>
                      <w:vertAlign w:val="subscript"/>
                      <w14:textFill>
                        <w14:solidFill>
                          <w14:schemeClr w14:val="tx1"/>
                        </w14:solidFill>
                      </w14:textFill>
                    </w:rPr>
                    <w:t>S</w:t>
                  </w:r>
                </w:p>
              </w:tc>
              <w:tc>
                <w:tcPr>
                  <w:tcW w:w="636"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甲醛</w:t>
                  </w:r>
                </w:p>
              </w:tc>
              <w:tc>
                <w:tcPr>
                  <w:tcW w:w="1339"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苯、甲苯、二甲苯总和</w:t>
                  </w:r>
                </w:p>
              </w:tc>
              <w:tc>
                <w:tcPr>
                  <w:tcW w:w="580"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卤代烃</w:t>
                  </w:r>
                </w:p>
              </w:tc>
              <w:tc>
                <w:tcPr>
                  <w:tcW w:w="703"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bookmarkStart w:id="14" w:name="OLE_LINK5"/>
                  <w:r>
                    <w:rPr>
                      <w:rFonts w:ascii="Times New Roman" w:hAnsi="Times New Roman" w:cs="Times New Roman"/>
                      <w:color w:val="000000" w:themeColor="text1"/>
                      <w:spacing w:val="0"/>
                      <w:kern w:val="21"/>
                      <w:position w:val="0"/>
                      <w:szCs w:val="21"/>
                      <w14:textFill>
                        <w14:solidFill>
                          <w14:schemeClr w14:val="tx1"/>
                        </w14:solidFill>
                      </w14:textFill>
                    </w:rPr>
                    <w:t>水性白面漆</w:t>
                  </w:r>
                  <w:bookmarkEnd w:id="14"/>
                </w:p>
              </w:tc>
              <w:tc>
                <w:tcPr>
                  <w:tcW w:w="6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193</w:t>
                  </w:r>
                </w:p>
              </w:tc>
              <w:tc>
                <w:tcPr>
                  <w:tcW w:w="63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133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5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水性白底漆</w:t>
                  </w:r>
                </w:p>
              </w:tc>
              <w:tc>
                <w:tcPr>
                  <w:tcW w:w="6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165</w:t>
                  </w:r>
                </w:p>
              </w:tc>
              <w:tc>
                <w:tcPr>
                  <w:tcW w:w="63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133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5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水性清面漆</w:t>
                  </w:r>
                </w:p>
              </w:tc>
              <w:tc>
                <w:tcPr>
                  <w:tcW w:w="6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184</w:t>
                  </w:r>
                </w:p>
              </w:tc>
              <w:tc>
                <w:tcPr>
                  <w:tcW w:w="63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133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5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水性清底漆</w:t>
                  </w:r>
                </w:p>
              </w:tc>
              <w:tc>
                <w:tcPr>
                  <w:tcW w:w="6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145</w:t>
                  </w:r>
                </w:p>
              </w:tc>
              <w:tc>
                <w:tcPr>
                  <w:tcW w:w="63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133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5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未检出</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桶装</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漆料用量核算：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根据建设单位提供的资料，本项目仅对实木椅子进行喷漆，其他产品均不喷漆，本项目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年产</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纯实木椅</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12万套</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，喷涂面积约</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/套；</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年产</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金属椅腿</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实木椅8万套</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，仅椅面喷漆，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喷涂面积为0.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35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，则总喷涂面积为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124000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。油漆使用量按以下公式计算：</w:t>
            </w:r>
          </w:p>
          <w:p>
            <w:pPr>
              <w:pageBreakBefore w:val="0"/>
              <w:kinsoku/>
              <w:overflowPunct/>
              <w:autoSpaceDE/>
              <w:autoSpaceDN/>
              <w:bidi w:val="0"/>
              <w:spacing w:line="360" w:lineRule="auto"/>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object>
                <v:shape id="_x0000_i1026" o:spt="75" type="#_x0000_t75" style="height:33pt;width:76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m—漆用量，t/a；</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ρ—漆密度，g/cm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或g/ml；</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δ—涂层厚度，μm，根据建设单位提供资料，本项目底漆喷涂2次</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先喷涂</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1次</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白底漆，再喷涂</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1次清底漆）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，面漆喷涂1次</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纯实木椅喷白面</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漆、</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金属腿实木椅喷</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清面漆）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，底漆两次喷涂总厚度约为80μm，面漆喷涂厚度约为40μm；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S—涂装面积（m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Ɛ—上漆率，本项目采用高压无气喷漆法，参考《涂装技术实用手册》（叶扬详主编，机械工业出版社出版）、《谈喷涂涂着效率》（王锡春，工业涂装，1007-9548（2006）10-0022-04），上漆率取70%。</w:t>
            </w:r>
          </w:p>
          <w:p>
            <w:pPr>
              <w:pageBreakBefore w:val="0"/>
              <w:numPr>
                <w:ilvl w:val="0"/>
                <w:numId w:val="23"/>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bookmarkStart w:id="15" w:name="OLE_LINK8"/>
            <w:r>
              <w:rPr>
                <w:rFonts w:ascii="Times New Roman" w:hAnsi="Times New Roman" w:cs="Times New Roman"/>
                <w:b/>
                <w:bCs/>
                <w:color w:val="000000" w:themeColor="text1"/>
                <w:spacing w:val="0"/>
                <w:kern w:val="21"/>
                <w:position w:val="0"/>
                <w:szCs w:val="21"/>
                <w14:textFill>
                  <w14:solidFill>
                    <w14:schemeClr w14:val="tx1"/>
                  </w14:solidFill>
                </w14:textFill>
              </w:rPr>
              <w:t>本项目漆用量核算</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101"/>
              <w:gridCol w:w="1233"/>
              <w:gridCol w:w="1215"/>
              <w:gridCol w:w="1186"/>
              <w:gridCol w:w="1170"/>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09"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类别</w:t>
                  </w:r>
                </w:p>
              </w:tc>
              <w:tc>
                <w:tcPr>
                  <w:tcW w:w="65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喷涂面积（m</w:t>
                  </w:r>
                  <w:r>
                    <w:rPr>
                      <w:rFonts w:ascii="Times New Roman" w:hAnsi="Times New Roman" w:cs="Times New Roman"/>
                      <w:bCs/>
                      <w:color w:val="000000" w:themeColor="text1"/>
                      <w:spacing w:val="0"/>
                      <w:kern w:val="21"/>
                      <w:position w:val="0"/>
                      <w:szCs w:val="21"/>
                      <w:vertAlign w:val="superscript"/>
                      <w14:textFill>
                        <w14:solidFill>
                          <w14:schemeClr w14:val="tx1"/>
                        </w14:solidFill>
                      </w14:textFill>
                    </w:rPr>
                    <w:t>2</w:t>
                  </w:r>
                  <w:r>
                    <w:rPr>
                      <w:rFonts w:ascii="Times New Roman" w:hAnsi="Times New Roman" w:cs="Times New Roman"/>
                      <w:bCs/>
                      <w:color w:val="000000" w:themeColor="text1"/>
                      <w:spacing w:val="0"/>
                      <w:kern w:val="21"/>
                      <w:position w:val="0"/>
                      <w:szCs w:val="21"/>
                      <w14:textFill>
                        <w14:solidFill>
                          <w14:schemeClr w14:val="tx1"/>
                        </w14:solidFill>
                      </w14:textFill>
                    </w:rPr>
                    <w:t>）</w:t>
                  </w:r>
                </w:p>
              </w:tc>
              <w:tc>
                <w:tcPr>
                  <w:tcW w:w="736"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漆密度（g/cm</w:t>
                  </w:r>
                  <w:r>
                    <w:rPr>
                      <w:rFonts w:ascii="Times New Roman" w:hAnsi="Times New Roman"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cs="Times New Roman"/>
                      <w:bCs/>
                      <w:color w:val="000000" w:themeColor="text1"/>
                      <w:spacing w:val="0"/>
                      <w:kern w:val="21"/>
                      <w:position w:val="0"/>
                      <w:szCs w:val="21"/>
                      <w14:textFill>
                        <w14:solidFill>
                          <w14:schemeClr w14:val="tx1"/>
                        </w14:solidFill>
                      </w14:textFill>
                    </w:rPr>
                    <w:t>）</w:t>
                  </w:r>
                </w:p>
              </w:tc>
              <w:tc>
                <w:tcPr>
                  <w:tcW w:w="725"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漆膜厚度（μm）</w:t>
                  </w:r>
                </w:p>
              </w:tc>
              <w:tc>
                <w:tcPr>
                  <w:tcW w:w="708"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上漆率（%）</w:t>
                  </w:r>
                </w:p>
              </w:tc>
              <w:tc>
                <w:tcPr>
                  <w:tcW w:w="69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固含量（%）</w:t>
                  </w:r>
                </w:p>
              </w:tc>
              <w:tc>
                <w:tcPr>
                  <w:tcW w:w="666"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用量（t/a）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0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水性白面漆</w:t>
                  </w:r>
                </w:p>
              </w:tc>
              <w:tc>
                <w:tcPr>
                  <w:tcW w:w="65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96000</w:t>
                  </w:r>
                </w:p>
              </w:tc>
              <w:tc>
                <w:tcPr>
                  <w:tcW w:w="736"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 w:val="0"/>
                      <w:color w:val="000000" w:themeColor="text1"/>
                      <w:spacing w:val="0"/>
                      <w:kern w:val="21"/>
                      <w:position w:val="0"/>
                      <w:szCs w:val="21"/>
                      <w14:textFill>
                        <w14:solidFill>
                          <w14:schemeClr w14:val="tx1"/>
                        </w14:solidFill>
                      </w14:textFill>
                    </w:rPr>
                  </w:pPr>
                  <w:r>
                    <w:rPr>
                      <w:rFonts w:ascii="Times New Roman" w:hAnsi="Times New Roman" w:cs="Times New Roman"/>
                      <w:b w:val="0"/>
                      <w:color w:val="000000" w:themeColor="text1"/>
                      <w:spacing w:val="0"/>
                      <w:kern w:val="21"/>
                      <w:position w:val="0"/>
                      <w:szCs w:val="21"/>
                      <w14:textFill>
                        <w14:solidFill>
                          <w14:schemeClr w14:val="tx1"/>
                        </w14:solidFill>
                      </w14:textFill>
                    </w:rPr>
                    <w:t>1.174</w:t>
                  </w:r>
                </w:p>
              </w:tc>
              <w:tc>
                <w:tcPr>
                  <w:tcW w:w="1219"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w:t>
                  </w:r>
                </w:p>
              </w:tc>
              <w:tc>
                <w:tcPr>
                  <w:tcW w:w="7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Cs w:val="21"/>
                      <w14:textFill>
                        <w14:solidFill>
                          <w14:schemeClr w14:val="tx1"/>
                        </w14:solidFill>
                      </w14:textFill>
                    </w:rPr>
                    <w:t>70</w:t>
                  </w:r>
                </w:p>
              </w:tc>
              <w:tc>
                <w:tcPr>
                  <w:tcW w:w="69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 w:val="0"/>
                      <w:color w:val="000000" w:themeColor="text1"/>
                      <w:spacing w:val="0"/>
                      <w:kern w:val="21"/>
                      <w:position w:val="0"/>
                      <w:szCs w:val="21"/>
                      <w14:textFill>
                        <w14:solidFill>
                          <w14:schemeClr w14:val="tx1"/>
                        </w14:solidFill>
                      </w14:textFill>
                    </w:rPr>
                  </w:pPr>
                  <w:r>
                    <w:rPr>
                      <w:rFonts w:ascii="Times New Roman" w:hAnsi="Times New Roman" w:cs="Times New Roman"/>
                      <w:b w:val="0"/>
                      <w:color w:val="000000" w:themeColor="text1"/>
                      <w:spacing w:val="0"/>
                      <w:kern w:val="21"/>
                      <w:position w:val="0"/>
                      <w:szCs w:val="21"/>
                      <w14:textFill>
                        <w14:solidFill>
                          <w14:schemeClr w14:val="tx1"/>
                        </w14:solidFill>
                      </w14:textFill>
                    </w:rPr>
                    <w:t>43.3</w:t>
                  </w:r>
                </w:p>
              </w:tc>
              <w:tc>
                <w:tcPr>
                  <w:tcW w:w="112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6.44</w:t>
                  </w:r>
                </w:p>
              </w:tc>
            </w:tr>
            <w:bookmarkEnd w:id="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水性白底漆</w:t>
                  </w:r>
                </w:p>
              </w:tc>
              <w:tc>
                <w:tcPr>
                  <w:tcW w:w="65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124000</w:t>
                  </w:r>
                </w:p>
              </w:tc>
              <w:tc>
                <w:tcPr>
                  <w:tcW w:w="736" w:type="pct"/>
                  <w:shd w:val="clear" w:color="auto" w:fill="auto"/>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 w:val="0"/>
                      <w:color w:val="000000" w:themeColor="text1"/>
                      <w:spacing w:val="0"/>
                      <w:kern w:val="21"/>
                      <w:position w:val="0"/>
                      <w:szCs w:val="21"/>
                      <w14:textFill>
                        <w14:solidFill>
                          <w14:schemeClr w14:val="tx1"/>
                        </w14:solidFill>
                      </w14:textFill>
                    </w:rPr>
                  </w:pPr>
                  <w:r>
                    <w:rPr>
                      <w:rFonts w:ascii="Times New Roman" w:hAnsi="Times New Roman" w:cs="Times New Roman"/>
                      <w:b w:val="0"/>
                      <w:color w:val="000000" w:themeColor="text1"/>
                      <w:spacing w:val="0"/>
                      <w:kern w:val="21"/>
                      <w:position w:val="0"/>
                      <w:szCs w:val="21"/>
                      <w14:textFill>
                        <w14:solidFill>
                          <w14:schemeClr w14:val="tx1"/>
                        </w14:solidFill>
                      </w14:textFill>
                    </w:rPr>
                    <w:t>1.103</w:t>
                  </w:r>
                </w:p>
              </w:tc>
              <w:tc>
                <w:tcPr>
                  <w:tcW w:w="1219"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40</w:t>
                  </w:r>
                </w:p>
              </w:tc>
              <w:tc>
                <w:tcPr>
                  <w:tcW w:w="7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Cs w:val="21"/>
                      <w14:textFill>
                        <w14:solidFill>
                          <w14:schemeClr w14:val="tx1"/>
                        </w14:solidFill>
                      </w14:textFill>
                    </w:rPr>
                    <w:t>70</w:t>
                  </w:r>
                </w:p>
              </w:tc>
              <w:tc>
                <w:tcPr>
                  <w:tcW w:w="69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 w:val="0"/>
                      <w:color w:val="000000" w:themeColor="text1"/>
                      <w:spacing w:val="0"/>
                      <w:kern w:val="21"/>
                      <w:position w:val="0"/>
                      <w:szCs w:val="21"/>
                      <w14:textFill>
                        <w14:solidFill>
                          <w14:schemeClr w14:val="tx1"/>
                        </w14:solidFill>
                      </w14:textFill>
                    </w:rPr>
                  </w:pPr>
                  <w:r>
                    <w:rPr>
                      <w:rFonts w:ascii="Times New Roman" w:hAnsi="Times New Roman" w:cs="Times New Roman"/>
                      <w:b w:val="0"/>
                      <w:color w:val="000000" w:themeColor="text1"/>
                      <w:spacing w:val="0"/>
                      <w:kern w:val="21"/>
                      <w:position w:val="0"/>
                      <w:szCs w:val="21"/>
                      <w14:textFill>
                        <w14:solidFill>
                          <w14:schemeClr w14:val="tx1"/>
                        </w14:solidFill>
                      </w14:textFill>
                    </w:rPr>
                    <w:t>48.7</w:t>
                  </w:r>
                </w:p>
              </w:tc>
              <w:tc>
                <w:tcPr>
                  <w:tcW w:w="112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0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水性清面漆</w:t>
                  </w:r>
                </w:p>
              </w:tc>
              <w:tc>
                <w:tcPr>
                  <w:tcW w:w="65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28000</w:t>
                  </w:r>
                </w:p>
              </w:tc>
              <w:tc>
                <w:tcPr>
                  <w:tcW w:w="736"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1.174</w:t>
                  </w:r>
                </w:p>
              </w:tc>
              <w:tc>
                <w:tcPr>
                  <w:tcW w:w="1219"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w:t>
                  </w:r>
                </w:p>
              </w:tc>
              <w:tc>
                <w:tcPr>
                  <w:tcW w:w="7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69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35.7</w:t>
                  </w:r>
                </w:p>
              </w:tc>
              <w:tc>
                <w:tcPr>
                  <w:tcW w:w="112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水性清底漆</w:t>
                  </w:r>
                </w:p>
              </w:tc>
              <w:tc>
                <w:tcPr>
                  <w:tcW w:w="65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124000</w:t>
                  </w:r>
                </w:p>
              </w:tc>
              <w:tc>
                <w:tcPr>
                  <w:tcW w:w="736"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1.103</w:t>
                  </w:r>
                </w:p>
              </w:tc>
              <w:tc>
                <w:tcPr>
                  <w:tcW w:w="1219"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40</w:t>
                  </w:r>
                </w:p>
              </w:tc>
              <w:tc>
                <w:tcPr>
                  <w:tcW w:w="7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697"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34.4</w:t>
                  </w:r>
                </w:p>
              </w:tc>
              <w:tc>
                <w:tcPr>
                  <w:tcW w:w="112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333" w:type="pct"/>
                  <w:gridSpan w:val="6"/>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val="0"/>
                      <w:color w:val="000000" w:themeColor="text1"/>
                      <w:spacing w:val="0"/>
                      <w:kern w:val="21"/>
                      <w:position w:val="0"/>
                      <w:szCs w:val="21"/>
                      <w14:textFill>
                        <w14:solidFill>
                          <w14:schemeClr w14:val="tx1"/>
                        </w14:solidFill>
                      </w14:textFill>
                    </w:rPr>
                    <w:t>合计</w:t>
                  </w:r>
                </w:p>
              </w:tc>
              <w:tc>
                <w:tcPr>
                  <w:tcW w:w="1120" w:type="dxa"/>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23.96</w:t>
                  </w:r>
                </w:p>
              </w:tc>
            </w:tr>
          </w:tbl>
          <w:p>
            <w:pPr>
              <w:pageBreakBefore w:val="0"/>
              <w:kinsoku/>
              <w:overflowPunct/>
              <w:autoSpaceDE/>
              <w:autoSpaceDN/>
              <w:bidi w:val="0"/>
              <w:adjustRightInd w:val="0"/>
              <w:snapToGrid w:val="0"/>
              <w:spacing w:before="62" w:beforeLines="20" w:after="62" w:afterLines="20"/>
              <w:ind w:firstLine="421"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注：</w:t>
            </w:r>
            <w:r>
              <w:rPr>
                <w:rFonts w:ascii="Times New Roman" w:hAnsi="Times New Roman" w:eastAsia="宋体" w:cs="Times New Roman"/>
                <w:color w:val="000000" w:themeColor="text1"/>
                <w:spacing w:val="0"/>
                <w:kern w:val="21"/>
                <w:position w:val="0"/>
                <w:szCs w:val="21"/>
                <w14:textFill>
                  <w14:solidFill>
                    <w14:schemeClr w14:val="tx1"/>
                  </w14:solidFill>
                </w14:textFill>
              </w:rPr>
              <w:t>表中数据已包括稀释剂（水），底漆喷涂2层，面漆喷涂1层。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根据项目水性漆的实际使用配比可分别计算出其主剂、稀释剂等的用量，见下表。</w:t>
            </w:r>
          </w:p>
          <w:p>
            <w:pPr>
              <w:pageBreakBefore w:val="0"/>
              <w:numPr>
                <w:ilvl w:val="0"/>
                <w:numId w:val="23"/>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漆料原料一览表 单位：t/a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675"/>
              <w:gridCol w:w="1676"/>
              <w:gridCol w:w="1676"/>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油漆</w:t>
                  </w:r>
                </w:p>
              </w:tc>
              <w:tc>
                <w:tcPr>
                  <w:tcW w:w="1675"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用量</w:t>
                  </w:r>
                </w:p>
              </w:tc>
              <w:tc>
                <w:tcPr>
                  <w:tcW w:w="1676"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配比</w:t>
                  </w:r>
                </w:p>
              </w:tc>
              <w:tc>
                <w:tcPr>
                  <w:tcW w:w="1676"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主剂</w:t>
                  </w:r>
                </w:p>
              </w:tc>
              <w:tc>
                <w:tcPr>
                  <w:tcW w:w="1677"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稀释剂（水）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水性白面漆</w:t>
                  </w:r>
                </w:p>
              </w:tc>
              <w:tc>
                <w:tcPr>
                  <w:tcW w:w="1675" w:type="dxa"/>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6.44</w:t>
                  </w:r>
                </w:p>
              </w:tc>
              <w:tc>
                <w:tcPr>
                  <w:tcW w:w="1676"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面漆：水=5:1</w:t>
                  </w:r>
                </w:p>
              </w:tc>
              <w:tc>
                <w:tcPr>
                  <w:tcW w:w="1676"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5.37</w:t>
                  </w:r>
                </w:p>
              </w:tc>
              <w:tc>
                <w:tcPr>
                  <w:tcW w:w="1677"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水性白底漆</w:t>
                  </w:r>
                </w:p>
              </w:tc>
              <w:tc>
                <w:tcPr>
                  <w:tcW w:w="1675" w:type="dxa"/>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7.82</w:t>
                  </w:r>
                </w:p>
              </w:tc>
              <w:tc>
                <w:tcPr>
                  <w:tcW w:w="1676"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底漆：水=5:1</w:t>
                  </w:r>
                </w:p>
              </w:tc>
              <w:tc>
                <w:tcPr>
                  <w:tcW w:w="1676"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6.52</w:t>
                  </w:r>
                </w:p>
              </w:tc>
              <w:tc>
                <w:tcPr>
                  <w:tcW w:w="1677"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水性清面漆</w:t>
                  </w:r>
                </w:p>
              </w:tc>
              <w:tc>
                <w:tcPr>
                  <w:tcW w:w="1675" w:type="dxa"/>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1.88</w:t>
                  </w:r>
                </w:p>
              </w:tc>
              <w:tc>
                <w:tcPr>
                  <w:tcW w:w="1676" w:type="dxa"/>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面漆：水=5:1</w:t>
                  </w:r>
                </w:p>
              </w:tc>
              <w:tc>
                <w:tcPr>
                  <w:tcW w:w="1676"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1.57</w:t>
                  </w:r>
                </w:p>
              </w:tc>
              <w:tc>
                <w:tcPr>
                  <w:tcW w:w="1677"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水性清底漆</w:t>
                  </w:r>
                </w:p>
              </w:tc>
              <w:tc>
                <w:tcPr>
                  <w:tcW w:w="1675" w:type="dxa"/>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7.82</w:t>
                  </w:r>
                </w:p>
              </w:tc>
              <w:tc>
                <w:tcPr>
                  <w:tcW w:w="1676" w:type="dxa"/>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底漆：水=5:1</w:t>
                  </w:r>
                </w:p>
              </w:tc>
              <w:tc>
                <w:tcPr>
                  <w:tcW w:w="1676"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6.52</w:t>
                  </w:r>
                </w:p>
              </w:tc>
              <w:tc>
                <w:tcPr>
                  <w:tcW w:w="1677"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74"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合计</w:t>
                  </w:r>
                </w:p>
              </w:tc>
              <w:tc>
                <w:tcPr>
                  <w:tcW w:w="1675" w:type="dxa"/>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23.96</w:t>
                  </w:r>
                </w:p>
              </w:tc>
              <w:tc>
                <w:tcPr>
                  <w:tcW w:w="1676" w:type="dxa"/>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676"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19.98</w:t>
                  </w:r>
                </w:p>
              </w:tc>
              <w:tc>
                <w:tcPr>
                  <w:tcW w:w="1677" w:type="dxa"/>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3.98</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由上表可知，本项目水性涂料用量</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19.98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根据本项目油漆成分检测报告，项目喷漆工序使用油漆用量及</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成分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情况见下表。</w:t>
            </w:r>
          </w:p>
          <w:p>
            <w:pPr>
              <w:pageBreakBefore w:val="0"/>
              <w:numPr>
                <w:ilvl w:val="0"/>
                <w:numId w:val="23"/>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本项目油漆主要成分表</w:t>
            </w:r>
            <w:r>
              <w:rPr>
                <w:rFonts w:hint="eastAsia" w:ascii="Times New Roman" w:hAnsi="Times New Roman" w:cs="Times New Roman"/>
                <w:b/>
                <w:bCs/>
                <w:color w:val="000000" w:themeColor="text1"/>
                <w:spacing w:val="0"/>
                <w:kern w:val="21"/>
                <w:position w:val="0"/>
                <w:szCs w:val="21"/>
                <w:lang w:eastAsia="zh-CN"/>
                <w14:textFill>
                  <w14:solidFill>
                    <w14:schemeClr w14:val="tx1"/>
                  </w14:solidFill>
                </w14:textFill>
              </w:rPr>
              <w:t>（</w:t>
            </w:r>
            <w:r>
              <w:rPr>
                <w:rFonts w:hint="eastAsia" w:ascii="Times New Roman" w:hAnsi="Times New Roman" w:cs="Times New Roman"/>
                <w:b/>
                <w:bCs/>
                <w:color w:val="000000" w:themeColor="text1"/>
                <w:spacing w:val="0"/>
                <w:kern w:val="21"/>
                <w:position w:val="0"/>
                <w:szCs w:val="21"/>
                <w:lang w:val="en-US" w:eastAsia="zh-CN"/>
                <w14:textFill>
                  <w14:solidFill>
                    <w14:schemeClr w14:val="tx1"/>
                  </w14:solidFill>
                </w14:textFill>
              </w:rPr>
              <w:t>主剂</w:t>
            </w:r>
            <w:r>
              <w:rPr>
                <w:rFonts w:hint="eastAsia" w:ascii="Times New Roman" w:hAnsi="Times New Roman" w:cs="Times New Roman"/>
                <w:b/>
                <w:bCs/>
                <w:color w:val="000000" w:themeColor="text1"/>
                <w:spacing w:val="0"/>
                <w:kern w:val="21"/>
                <w:position w:val="0"/>
                <w:szCs w:val="21"/>
                <w:lang w:eastAsia="zh-CN"/>
                <w14:textFill>
                  <w14:solidFill>
                    <w14:schemeClr w14:val="tx1"/>
                  </w14:solidFill>
                </w14:textFill>
              </w:rPr>
              <w:t>）</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744"/>
              <w:gridCol w:w="1744"/>
              <w:gridCol w:w="1749"/>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91" w:type="pct"/>
                  <w:vMerge w:val="restar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名称</w:t>
                  </w:r>
                </w:p>
              </w:tc>
              <w:tc>
                <w:tcPr>
                  <w:tcW w:w="3126" w:type="pct"/>
                  <w:gridSpan w:val="3"/>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主要含量（t/a）</w:t>
                  </w:r>
                </w:p>
              </w:tc>
              <w:tc>
                <w:tcPr>
                  <w:tcW w:w="982" w:type="pct"/>
                  <w:vMerge w:val="restar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年用量（t/a）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p>
              </w:tc>
              <w:tc>
                <w:tcPr>
                  <w:tcW w:w="1041"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VOC</w:t>
                  </w:r>
                  <w:r>
                    <w:rPr>
                      <w:rFonts w:ascii="Times New Roman" w:hAnsi="Times New Roman" w:cs="Times New Roman"/>
                      <w:bCs/>
                      <w:color w:val="000000" w:themeColor="text1"/>
                      <w:spacing w:val="0"/>
                      <w:kern w:val="21"/>
                      <w:position w:val="0"/>
                      <w:szCs w:val="21"/>
                      <w:vertAlign w:val="subscript"/>
                      <w14:textFill>
                        <w14:solidFill>
                          <w14:schemeClr w14:val="tx1"/>
                        </w14:solidFill>
                      </w14:textFill>
                    </w:rPr>
                    <w:t>S</w:t>
                  </w:r>
                </w:p>
              </w:tc>
              <w:tc>
                <w:tcPr>
                  <w:tcW w:w="1041"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固体分</w:t>
                  </w:r>
                </w:p>
              </w:tc>
              <w:tc>
                <w:tcPr>
                  <w:tcW w:w="1044"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水</w:t>
                  </w:r>
                </w:p>
              </w:tc>
              <w:tc>
                <w:tcPr>
                  <w:tcW w:w="982" w:type="pct"/>
                  <w:vMerge w:val="continue"/>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89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水性白面漆</w:t>
                  </w:r>
                </w:p>
              </w:tc>
              <w:tc>
                <w:tcPr>
                  <w:tcW w:w="104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0.88</w:t>
                  </w:r>
                </w:p>
              </w:tc>
              <w:tc>
                <w:tcPr>
                  <w:tcW w:w="1041" w:type="pct"/>
                  <w:vAlign w:val="center"/>
                </w:tcPr>
                <w:p>
                  <w:pPr>
                    <w:pStyle w:val="38"/>
                    <w:pageBreakBefore w:val="0"/>
                    <w:kinsoku/>
                    <w:overflowPunct/>
                    <w:autoSpaceDE/>
                    <w:autoSpaceDN/>
                    <w:bidi w:val="0"/>
                    <w:adjustRightInd w:val="0"/>
                    <w:snapToGrid w:val="0"/>
                    <w:spacing w:before="62" w:beforeLines="20" w:after="62" w:afterLines="20"/>
                    <w:textAlignment w:val="auto"/>
                    <w:rPr>
                      <w:rFonts w:hint="default" w:ascii="Times New Roman" w:hAnsi="Times New Roman" w:cs="Times New Roman" w:eastAsiaTheme="minorEastAsia"/>
                      <w:b w:val="0"/>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 w:val="0"/>
                      <w:color w:val="000000" w:themeColor="text1"/>
                      <w:spacing w:val="0"/>
                      <w:kern w:val="21"/>
                      <w:position w:val="0"/>
                      <w:szCs w:val="21"/>
                      <w:lang w:val="en-US" w:eastAsia="zh-CN"/>
                      <w14:textFill>
                        <w14:solidFill>
                          <w14:schemeClr w14:val="tx1"/>
                        </w14:solidFill>
                      </w14:textFill>
                    </w:rPr>
                    <w:t>2.33</w:t>
                  </w:r>
                </w:p>
              </w:tc>
              <w:tc>
                <w:tcPr>
                  <w:tcW w:w="104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2.16</w:t>
                  </w:r>
                </w:p>
              </w:tc>
              <w:tc>
                <w:tcPr>
                  <w:tcW w:w="982"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9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水性白底漆</w:t>
                  </w:r>
                </w:p>
              </w:tc>
              <w:tc>
                <w:tcPr>
                  <w:tcW w:w="104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0.98</w:t>
                  </w:r>
                </w:p>
              </w:tc>
              <w:tc>
                <w:tcPr>
                  <w:tcW w:w="1041" w:type="pct"/>
                  <w:vAlign w:val="center"/>
                </w:tcPr>
                <w:p>
                  <w:pPr>
                    <w:pStyle w:val="38"/>
                    <w:pageBreakBefore w:val="0"/>
                    <w:kinsoku/>
                    <w:overflowPunct/>
                    <w:autoSpaceDE/>
                    <w:autoSpaceDN/>
                    <w:bidi w:val="0"/>
                    <w:adjustRightInd w:val="0"/>
                    <w:snapToGrid w:val="0"/>
                    <w:spacing w:before="62" w:beforeLines="20" w:after="62" w:afterLines="20"/>
                    <w:textAlignment w:val="auto"/>
                    <w:rPr>
                      <w:rFonts w:hint="default" w:ascii="Times New Roman" w:hAnsi="Times New Roman" w:cs="Times New Roman" w:eastAsiaTheme="minorEastAsia"/>
                      <w:b w:val="0"/>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 w:val="0"/>
                      <w:color w:val="000000" w:themeColor="text1"/>
                      <w:spacing w:val="0"/>
                      <w:kern w:val="21"/>
                      <w:position w:val="0"/>
                      <w:szCs w:val="21"/>
                      <w:lang w:val="en-US" w:eastAsia="zh-CN"/>
                      <w14:textFill>
                        <w14:solidFill>
                          <w14:schemeClr w14:val="tx1"/>
                        </w14:solidFill>
                      </w14:textFill>
                    </w:rPr>
                    <w:t>3.18</w:t>
                  </w:r>
                </w:p>
              </w:tc>
              <w:tc>
                <w:tcPr>
                  <w:tcW w:w="104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2.36</w:t>
                  </w:r>
                </w:p>
              </w:tc>
              <w:tc>
                <w:tcPr>
                  <w:tcW w:w="982"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水性清面漆</w:t>
                  </w:r>
                </w:p>
              </w:tc>
              <w:tc>
                <w:tcPr>
                  <w:tcW w:w="104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0.25</w:t>
                  </w:r>
                </w:p>
              </w:tc>
              <w:tc>
                <w:tcPr>
                  <w:tcW w:w="1041" w:type="pct"/>
                  <w:vAlign w:val="center"/>
                </w:tcPr>
                <w:p>
                  <w:pPr>
                    <w:pStyle w:val="38"/>
                    <w:pageBreakBefore w:val="0"/>
                    <w:kinsoku/>
                    <w:overflowPunct/>
                    <w:autoSpaceDE/>
                    <w:autoSpaceDN/>
                    <w:bidi w:val="0"/>
                    <w:adjustRightInd w:val="0"/>
                    <w:snapToGrid w:val="0"/>
                    <w:spacing w:before="62" w:beforeLines="20" w:after="62" w:afterLines="20"/>
                    <w:textAlignment w:val="auto"/>
                    <w:rPr>
                      <w:rFonts w:hint="default" w:ascii="Times New Roman" w:hAnsi="Times New Roman" w:cs="Times New Roman" w:eastAsiaTheme="minorEastAsia"/>
                      <w:b w:val="0"/>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 w:val="0"/>
                      <w:color w:val="000000" w:themeColor="text1"/>
                      <w:spacing w:val="0"/>
                      <w:kern w:val="21"/>
                      <w:position w:val="0"/>
                      <w:szCs w:val="21"/>
                      <w:lang w:val="en-US" w:eastAsia="zh-CN"/>
                      <w14:textFill>
                        <w14:solidFill>
                          <w14:schemeClr w14:val="tx1"/>
                        </w14:solidFill>
                      </w14:textFill>
                    </w:rPr>
                    <w:t>0.56</w:t>
                  </w:r>
                </w:p>
              </w:tc>
              <w:tc>
                <w:tcPr>
                  <w:tcW w:w="104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0.76</w:t>
                  </w:r>
                </w:p>
              </w:tc>
              <w:tc>
                <w:tcPr>
                  <w:tcW w:w="982"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水性清底漆</w:t>
                  </w:r>
                </w:p>
              </w:tc>
              <w:tc>
                <w:tcPr>
                  <w:tcW w:w="104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0.86</w:t>
                  </w:r>
                </w:p>
              </w:tc>
              <w:tc>
                <w:tcPr>
                  <w:tcW w:w="1041" w:type="pct"/>
                  <w:vAlign w:val="center"/>
                </w:tcPr>
                <w:p>
                  <w:pPr>
                    <w:pStyle w:val="38"/>
                    <w:pageBreakBefore w:val="0"/>
                    <w:kinsoku/>
                    <w:overflowPunct/>
                    <w:autoSpaceDE/>
                    <w:autoSpaceDN/>
                    <w:bidi w:val="0"/>
                    <w:adjustRightInd w:val="0"/>
                    <w:snapToGrid w:val="0"/>
                    <w:spacing w:before="62" w:beforeLines="20" w:after="62" w:afterLines="20"/>
                    <w:textAlignment w:val="auto"/>
                    <w:rPr>
                      <w:rFonts w:hint="default" w:ascii="Times New Roman" w:hAnsi="Times New Roman" w:cs="Times New Roman" w:eastAsiaTheme="minorEastAsia"/>
                      <w:b w:val="0"/>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 w:val="0"/>
                      <w:color w:val="000000" w:themeColor="text1"/>
                      <w:spacing w:val="0"/>
                      <w:kern w:val="21"/>
                      <w:position w:val="0"/>
                      <w:szCs w:val="21"/>
                      <w:lang w:val="en-US" w:eastAsia="zh-CN"/>
                      <w14:textFill>
                        <w14:solidFill>
                          <w14:schemeClr w14:val="tx1"/>
                        </w14:solidFill>
                      </w14:textFill>
                    </w:rPr>
                    <w:t>2.24</w:t>
                  </w:r>
                </w:p>
              </w:tc>
              <w:tc>
                <w:tcPr>
                  <w:tcW w:w="104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3.42</w:t>
                  </w:r>
                </w:p>
              </w:tc>
              <w:tc>
                <w:tcPr>
                  <w:tcW w:w="982"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Align w:val="center"/>
                </w:tcPr>
                <w:p>
                  <w:pPr>
                    <w:pStyle w:val="38"/>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b w:val="0"/>
                      <w:color w:val="000000" w:themeColor="text1"/>
                      <w:spacing w:val="0"/>
                      <w:kern w:val="21"/>
                      <w:position w:val="0"/>
                      <w:szCs w:val="21"/>
                      <w14:textFill>
                        <w14:solidFill>
                          <w14:schemeClr w14:val="tx1"/>
                        </w14:solidFill>
                      </w14:textFill>
                    </w:rPr>
                  </w:pPr>
                  <w:r>
                    <w:rPr>
                      <w:rFonts w:ascii="Times New Roman" w:hAnsi="Times New Roman" w:cs="Times New Roman"/>
                      <w:b w:val="0"/>
                      <w:color w:val="000000" w:themeColor="text1"/>
                      <w:spacing w:val="0"/>
                      <w:kern w:val="21"/>
                      <w:position w:val="0"/>
                      <w:szCs w:val="21"/>
                      <w14:textFill>
                        <w14:solidFill>
                          <w14:schemeClr w14:val="tx1"/>
                        </w14:solidFill>
                      </w14:textFill>
                    </w:rPr>
                    <w:t>合计</w:t>
                  </w:r>
                </w:p>
              </w:tc>
              <w:tc>
                <w:tcPr>
                  <w:tcW w:w="104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2.97</w:t>
                  </w:r>
                </w:p>
              </w:tc>
              <w:tc>
                <w:tcPr>
                  <w:tcW w:w="1041" w:type="pct"/>
                  <w:vAlign w:val="center"/>
                </w:tcPr>
                <w:p>
                  <w:pPr>
                    <w:pStyle w:val="38"/>
                    <w:pageBreakBefore w:val="0"/>
                    <w:kinsoku/>
                    <w:overflowPunct/>
                    <w:autoSpaceDE/>
                    <w:autoSpaceDN/>
                    <w:bidi w:val="0"/>
                    <w:adjustRightInd w:val="0"/>
                    <w:snapToGrid w:val="0"/>
                    <w:spacing w:before="62" w:beforeLines="20" w:after="62" w:afterLines="20"/>
                    <w:textAlignment w:val="auto"/>
                    <w:rPr>
                      <w:rFonts w:hint="default" w:ascii="Times New Roman" w:hAnsi="Times New Roman" w:cs="Times New Roman" w:eastAsiaTheme="minorEastAsia"/>
                      <w:b w:val="0"/>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 w:val="0"/>
                      <w:color w:val="000000" w:themeColor="text1"/>
                      <w:spacing w:val="0"/>
                      <w:kern w:val="21"/>
                      <w:position w:val="0"/>
                      <w:szCs w:val="21"/>
                      <w:lang w:val="en-US" w:eastAsia="zh-CN"/>
                      <w14:textFill>
                        <w14:solidFill>
                          <w14:schemeClr w14:val="tx1"/>
                        </w14:solidFill>
                      </w14:textFill>
                    </w:rPr>
                    <w:t>8.31</w:t>
                  </w:r>
                </w:p>
              </w:tc>
              <w:tc>
                <w:tcPr>
                  <w:tcW w:w="104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8.70</w:t>
                  </w:r>
                </w:p>
              </w:tc>
              <w:tc>
                <w:tcPr>
                  <w:tcW w:w="982"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000" w:type="pct"/>
                  <w:gridSpan w:val="5"/>
                  <w:vAlign w:val="center"/>
                </w:tcPr>
                <w:p>
                  <w:pPr>
                    <w:pStyle w:val="38"/>
                    <w:pageBreakBefore w:val="0"/>
                    <w:kinsoku/>
                    <w:overflowPunct/>
                    <w:autoSpaceDE/>
                    <w:autoSpaceDN/>
                    <w:bidi w:val="0"/>
                    <w:adjustRightInd w:val="0"/>
                    <w:snapToGrid w:val="0"/>
                    <w:spacing w:before="62" w:beforeLines="20" w:after="62" w:afterLines="20"/>
                    <w:jc w:val="left"/>
                    <w:textAlignment w:val="auto"/>
                    <w:rPr>
                      <w:rFonts w:hint="default" w:ascii="Times New Roman" w:hAnsi="Times New Roman" w:cs="Times New Roman"/>
                      <w:b w:val="0"/>
                      <w:color w:val="000000" w:themeColor="text1"/>
                      <w:spacing w:val="0"/>
                      <w:kern w:val="21"/>
                      <w:position w:val="0"/>
                      <w:szCs w:val="21"/>
                      <w:lang w:val="en-US"/>
                      <w14:textFill>
                        <w14:solidFill>
                          <w14:schemeClr w14:val="tx1"/>
                        </w14:solidFill>
                      </w14:textFill>
                    </w:rPr>
                  </w:pPr>
                  <w:r>
                    <w:rPr>
                      <w:rFonts w:ascii="Times New Roman" w:hAnsi="Times New Roman" w:cs="Times New Roman"/>
                      <w:b w:val="0"/>
                      <w:color w:val="000000" w:themeColor="text1"/>
                      <w:spacing w:val="0"/>
                      <w:kern w:val="21"/>
                      <w:position w:val="0"/>
                      <w:szCs w:val="21"/>
                      <w14:textFill>
                        <w14:solidFill>
                          <w14:schemeClr w14:val="tx1"/>
                        </w14:solidFill>
                      </w14:textFill>
                    </w:rPr>
                    <w:t>注：表中年用量为漆料</w:t>
                  </w:r>
                  <w:r>
                    <w:rPr>
                      <w:rFonts w:hint="eastAsia" w:ascii="Times New Roman" w:hAnsi="Times New Roman" w:cs="Times New Roman"/>
                      <w:b w:val="0"/>
                      <w:color w:val="000000" w:themeColor="text1"/>
                      <w:spacing w:val="0"/>
                      <w:kern w:val="21"/>
                      <w:position w:val="0"/>
                      <w:szCs w:val="21"/>
                      <w:lang w:val="en-US" w:eastAsia="zh-CN"/>
                      <w14:textFill>
                        <w14:solidFill>
                          <w14:schemeClr w14:val="tx1"/>
                        </w14:solidFill>
                      </w14:textFill>
                    </w:rPr>
                    <w:t>主剂，不含稀释剂（水）。</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本项目调漆在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调漆房内进行，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喷漆在喷漆房内进行，晾干在晾干房内进行，项目设有3个喷枪，喷涂时间计算见下表。</w:t>
            </w:r>
          </w:p>
          <w:p>
            <w:pPr>
              <w:pageBreakBefore w:val="0"/>
              <w:numPr>
                <w:ilvl w:val="0"/>
                <w:numId w:val="23"/>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14:textFill>
                  <w14:solidFill>
                    <w14:schemeClr w14:val="tx1"/>
                  </w14:solidFill>
                </w14:textFill>
              </w:rPr>
              <w:t>喷涂时间计算</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72"/>
              <w:gridCol w:w="870"/>
              <w:gridCol w:w="1011"/>
              <w:gridCol w:w="1283"/>
              <w:gridCol w:w="951"/>
              <w:gridCol w:w="667"/>
              <w:gridCol w:w="932"/>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0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车间</w:t>
                  </w:r>
                </w:p>
              </w:tc>
              <w:tc>
                <w:tcPr>
                  <w:tcW w:w="40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类型</w:t>
                  </w:r>
                </w:p>
              </w:tc>
              <w:tc>
                <w:tcPr>
                  <w:tcW w:w="51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喷漆量（t/a）</w:t>
                  </w:r>
                </w:p>
              </w:tc>
              <w:tc>
                <w:tcPr>
                  <w:tcW w:w="6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喷枪口径（mm）</w:t>
                  </w:r>
                </w:p>
              </w:tc>
              <w:tc>
                <w:tcPr>
                  <w:tcW w:w="76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喷枪</w:t>
                  </w: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流速</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kg</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/min）</w:t>
                  </w:r>
                </w:p>
              </w:tc>
              <w:tc>
                <w:tcPr>
                  <w:tcW w:w="5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密度（t/m</w:t>
                  </w:r>
                  <w:r>
                    <w:rPr>
                      <w:rFonts w:ascii="Times New Roman" w:hAnsi="Times New Roman" w:eastAsia="宋体" w:cs="Times New Roman"/>
                      <w:b/>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w:t>
                  </w:r>
                </w:p>
              </w:tc>
              <w:tc>
                <w:tcPr>
                  <w:tcW w:w="39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喷枪个数</w:t>
                  </w:r>
                </w:p>
              </w:tc>
              <w:tc>
                <w:tcPr>
                  <w:tcW w:w="55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喷涂时间（h/a）</w:t>
                  </w:r>
                </w:p>
              </w:tc>
              <w:tc>
                <w:tcPr>
                  <w:tcW w:w="78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平均日喷涂时间（h/d）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底漆喷房</w:t>
                  </w:r>
                </w:p>
              </w:tc>
              <w:tc>
                <w:tcPr>
                  <w:tcW w:w="40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水性底漆</w:t>
                  </w:r>
                </w:p>
              </w:tc>
              <w:tc>
                <w:tcPr>
                  <w:tcW w:w="519"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15.64</w:t>
                  </w:r>
                </w:p>
              </w:tc>
              <w:tc>
                <w:tcPr>
                  <w:tcW w:w="6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0.8</w:t>
                  </w:r>
                </w:p>
              </w:tc>
              <w:tc>
                <w:tcPr>
                  <w:tcW w:w="765"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0.12</w:t>
                  </w:r>
                </w:p>
              </w:tc>
              <w:tc>
                <w:tcPr>
                  <w:tcW w:w="5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1.103</w:t>
                  </w:r>
                </w:p>
              </w:tc>
              <w:tc>
                <w:tcPr>
                  <w:tcW w:w="39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556"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1086</w:t>
                  </w:r>
                </w:p>
              </w:tc>
              <w:tc>
                <w:tcPr>
                  <w:tcW w:w="78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面漆喷房</w:t>
                  </w:r>
                </w:p>
              </w:tc>
              <w:tc>
                <w:tcPr>
                  <w:tcW w:w="40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水性面漆</w:t>
                  </w:r>
                </w:p>
              </w:tc>
              <w:tc>
                <w:tcPr>
                  <w:tcW w:w="519"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8.32</w:t>
                  </w:r>
                </w:p>
              </w:tc>
              <w:tc>
                <w:tcPr>
                  <w:tcW w:w="1011" w:type="dxa"/>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0.8</w:t>
                  </w:r>
                </w:p>
              </w:tc>
              <w:tc>
                <w:tcPr>
                  <w:tcW w:w="1282" w:type="dxa"/>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0.12</w:t>
                  </w:r>
                </w:p>
              </w:tc>
              <w:tc>
                <w:tcPr>
                  <w:tcW w:w="56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1.174</w:t>
                  </w:r>
                </w:p>
              </w:tc>
              <w:tc>
                <w:tcPr>
                  <w:tcW w:w="39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56"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1156</w:t>
                  </w:r>
                </w:p>
              </w:tc>
              <w:tc>
                <w:tcPr>
                  <w:tcW w:w="78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p>
              </w:tc>
            </w:tr>
          </w:tbl>
          <w:p>
            <w:pPr>
              <w:pageBreakBefore w:val="0"/>
              <w:kinsoku/>
              <w:overflowPunct/>
              <w:autoSpaceDE/>
              <w:autoSpaceDN/>
              <w:bidi w:val="0"/>
              <w:snapToGrid w:val="0"/>
              <w:spacing w:before="62" w:beforeLines="20" w:after="62" w:afterLines="20"/>
              <w:ind w:firstLine="421"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注：</w:t>
            </w:r>
            <w:r>
              <w:rPr>
                <w:rFonts w:ascii="Times New Roman" w:hAnsi="Times New Roman" w:eastAsia="宋体" w:cs="Times New Roman"/>
                <w:color w:val="000000" w:themeColor="text1"/>
                <w:spacing w:val="0"/>
                <w:kern w:val="21"/>
                <w:position w:val="0"/>
                <w:szCs w:val="21"/>
                <w14:textFill>
                  <w14:solidFill>
                    <w14:schemeClr w14:val="tx1"/>
                  </w14:solidFill>
                </w14:textFill>
              </w:rPr>
              <w:t>平均日喷涂时间取整数计。</w:t>
            </w:r>
          </w:p>
          <w:p>
            <w:pPr>
              <w:pageBreakBefore w:val="0"/>
              <w:numPr>
                <w:ilvl w:val="0"/>
                <w:numId w:val="22"/>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项目物料平衡、VOCs平衡及水平衡分析</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1、</w:t>
            </w:r>
            <w:r>
              <w:rPr>
                <w:rFonts w:ascii="Times New Roman" w:hAnsi="Times New Roman" w:eastAsia="宋体" w:cs="Times New Roman"/>
                <w:b/>
                <w:bCs/>
                <w:color w:val="000000" w:themeColor="text1"/>
                <w:spacing w:val="0"/>
                <w:kern w:val="21"/>
                <w:position w:val="0"/>
                <w:sz w:val="24"/>
                <w14:textFill>
                  <w14:solidFill>
                    <w14:schemeClr w14:val="tx1"/>
                  </w14:solidFill>
                </w14:textFill>
              </w:rPr>
              <w:t>物料平衡</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本项目物料平衡见下表。</w:t>
            </w:r>
          </w:p>
          <w:p>
            <w:pPr>
              <w:pageBreakBefore w:val="0"/>
              <w:numPr>
                <w:ilvl w:val="0"/>
                <w:numId w:val="23"/>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14:textFill>
                  <w14:solidFill>
                    <w14:schemeClr w14:val="tx1"/>
                  </w14:solidFill>
                </w14:textFill>
              </w:rPr>
              <w:t>本项目物料平衡一览表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67"/>
              <w:gridCol w:w="1641"/>
              <w:gridCol w:w="2494"/>
              <w:gridCol w:w="157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71"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投入</w:t>
                  </w:r>
                </w:p>
              </w:tc>
              <w:tc>
                <w:tcPr>
                  <w:tcW w:w="2428"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产出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名称</w:t>
                  </w:r>
                </w:p>
              </w:tc>
              <w:tc>
                <w:tcPr>
                  <w:tcW w:w="97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数量</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t/a</w:t>
                  </w:r>
                </w:p>
              </w:tc>
              <w:tc>
                <w:tcPr>
                  <w:tcW w:w="148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去向</w:t>
                  </w:r>
                </w:p>
              </w:tc>
              <w:tc>
                <w:tcPr>
                  <w:tcW w:w="9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数量</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钢材</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1200</w:t>
                  </w:r>
                </w:p>
              </w:tc>
              <w:tc>
                <w:tcPr>
                  <w:tcW w:w="148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Cs w:val="21"/>
                      <w14:textFill>
                        <w14:solidFill>
                          <w14:schemeClr w14:val="tx1"/>
                        </w14:solidFill>
                      </w14:textFill>
                    </w:rPr>
                    <w:t>家具</w:t>
                  </w:r>
                  <w:r>
                    <w:rPr>
                      <w:rFonts w:ascii="Times New Roman" w:hAnsi="Times New Roman" w:cs="Times New Roman"/>
                      <w:color w:val="000000" w:themeColor="text1"/>
                      <w:spacing w:val="0"/>
                      <w:kern w:val="21"/>
                      <w:position w:val="0"/>
                      <w:szCs w:val="21"/>
                      <w14:textFill>
                        <w14:solidFill>
                          <w14:schemeClr w14:val="tx1"/>
                        </w14:solidFill>
                      </w14:textFill>
                    </w:rPr>
                    <w:t>成品</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26200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板材</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9240</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有机废气（产生量）</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2.9787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木皮</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80</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木料</w:t>
                  </w:r>
                  <w:r>
                    <w:rPr>
                      <w:rFonts w:ascii="Times New Roman" w:hAnsi="Times New Roman" w:eastAsia="宋体" w:cs="Times New Roman"/>
                      <w:bCs/>
                      <w:color w:val="000000" w:themeColor="text1"/>
                      <w:spacing w:val="0"/>
                      <w:kern w:val="21"/>
                      <w:position w:val="0"/>
                      <w:szCs w:val="21"/>
                      <w14:textFill>
                        <w14:solidFill>
                          <w14:schemeClr w14:val="tx1"/>
                        </w14:solidFill>
                      </w14:textFill>
                    </w:rPr>
                    <w:t>粉尘</w:t>
                  </w:r>
                  <w:r>
                    <w:rPr>
                      <w:rFonts w:ascii="Times New Roman" w:hAnsi="Times New Roman" w:cs="Times New Roman"/>
                      <w:bCs/>
                      <w:color w:val="000000" w:themeColor="text1"/>
                      <w:spacing w:val="0"/>
                      <w:kern w:val="21"/>
                      <w:position w:val="0"/>
                      <w:szCs w:val="21"/>
                      <w14:textFill>
                        <w14:solidFill>
                          <w14:schemeClr w14:val="tx1"/>
                        </w14:solidFill>
                      </w14:textFill>
                    </w:rPr>
                    <w:t>（产生量）</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4.875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封边条</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0.15</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漆雾（产生量）</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2.493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水基木材拼板胶</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5.28</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漆料打磨粉尘</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（产生量）</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0.5828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热熔胶</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1.5</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金属加工粉尘</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（产生量）</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bidi="ar"/>
                      <w14:textFill>
                        <w14:solidFill>
                          <w14:schemeClr w14:val="tx1"/>
                        </w14:solidFill>
                      </w14:textFill>
                    </w:rPr>
                    <w:t>6.798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白蜡木</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15180</w:t>
                  </w:r>
                </w:p>
              </w:tc>
              <w:tc>
                <w:tcPr>
                  <w:tcW w:w="1488"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喷塑粉尘</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（产生量）</w:t>
                  </w:r>
                </w:p>
              </w:tc>
              <w:tc>
                <w:tcPr>
                  <w:tcW w:w="94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bidi="ar"/>
                      <w14:textFill>
                        <w14:solidFill>
                          <w14:schemeClr w14:val="tx1"/>
                        </w14:solidFill>
                      </w14:textFill>
                    </w:rPr>
                    <w:t>1.218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五金零配件</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hint="default" w:cs="Times New Roman" w:eastAsiaTheme="minorEastAsia"/>
                      <w:color w:val="000000" w:themeColor="text1"/>
                      <w:spacing w:val="0"/>
                      <w:kern w:val="21"/>
                      <w:position w:val="0"/>
                      <w:lang w:val="en-US" w:eastAsia="zh-CN"/>
                      <w14:textFill>
                        <w14:solidFill>
                          <w14:schemeClr w14:val="tx1"/>
                        </w14:solidFill>
                      </w14:textFill>
                    </w:rPr>
                  </w:pPr>
                  <w:r>
                    <w:rPr>
                      <w:rFonts w:hint="eastAsia" w:cs="Times New Roman"/>
                      <w:color w:val="000000" w:themeColor="text1"/>
                      <w:spacing w:val="0"/>
                      <w:kern w:val="21"/>
                      <w:position w:val="0"/>
                      <w:lang w:val="en-US" w:eastAsia="zh-CN"/>
                      <w14:textFill>
                        <w14:solidFill>
                          <w14:schemeClr w14:val="tx1"/>
                        </w14:solidFill>
                      </w14:textFill>
                    </w:rPr>
                    <w:t>100</w:t>
                  </w:r>
                </w:p>
              </w:tc>
              <w:tc>
                <w:tcPr>
                  <w:tcW w:w="1488"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hint="eastAsia" w:ascii="Times New Roman" w:hAnsi="Times New Roman"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废边角料</w:t>
                  </w:r>
                </w:p>
              </w:tc>
              <w:tc>
                <w:tcPr>
                  <w:tcW w:w="94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cs="Times New Roman" w:eastAsiaTheme="minorEastAsia"/>
                      <w:color w:val="000000" w:themeColor="text1"/>
                      <w:spacing w:val="0"/>
                      <w:kern w:val="21"/>
                      <w:position w:val="0"/>
                      <w:szCs w:val="21"/>
                      <w:lang w:eastAsia="zh-CN" w:bidi="ar"/>
                      <w14:textFill>
                        <w14:solidFill>
                          <w14:schemeClr w14:val="tx1"/>
                        </w14:solidFill>
                      </w14:textFill>
                    </w:rPr>
                  </w:pPr>
                  <w:r>
                    <w:rPr>
                      <w:rFonts w:hint="eastAsia" w:ascii="Times New Roman" w:hAnsi="Times New Roman" w:cs="Times New Roman"/>
                      <w:color w:val="000000" w:themeColor="text1"/>
                      <w:spacing w:val="0"/>
                      <w:kern w:val="21"/>
                      <w:position w:val="0"/>
                      <w:szCs w:val="21"/>
                      <w:lang w:eastAsia="zh-CN" w:bidi="ar"/>
                      <w14:textFill>
                        <w14:solidFill>
                          <w14:schemeClr w14:val="tx1"/>
                        </w14:solidFill>
                      </w14:textFill>
                    </w:rPr>
                    <w:t>205.3745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水性底漆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（不含稀释剂）</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hint="default" w:cs="Times New Roman" w:eastAsiaTheme="minorEastAsia"/>
                      <w:color w:val="000000" w:themeColor="text1"/>
                      <w:spacing w:val="0"/>
                      <w:kern w:val="21"/>
                      <w:position w:val="0"/>
                      <w:lang w:val="en-US" w:eastAsia="zh-CN"/>
                      <w14:textFill>
                        <w14:solidFill>
                          <w14:schemeClr w14:val="tx1"/>
                        </w14:solidFill>
                      </w14:textFill>
                    </w:rPr>
                  </w:pPr>
                  <w:r>
                    <w:rPr>
                      <w:rFonts w:hint="eastAsia" w:cs="Times New Roman"/>
                      <w:color w:val="000000" w:themeColor="text1"/>
                      <w:spacing w:val="0"/>
                      <w:kern w:val="21"/>
                      <w:position w:val="0"/>
                      <w:lang w:val="en-US" w:eastAsia="zh-CN"/>
                      <w14:textFill>
                        <w14:solidFill>
                          <w14:schemeClr w14:val="tx1"/>
                        </w14:solidFill>
                      </w14:textFill>
                    </w:rPr>
                    <w:t>13.04</w:t>
                  </w:r>
                </w:p>
              </w:tc>
              <w:tc>
                <w:tcPr>
                  <w:tcW w:w="1488"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hint="default" w:ascii="Times New Roman" w:hAnsi="Times New Roman" w:cs="Times New Roman" w:eastAsiaTheme="minorEastAsia"/>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bCs/>
                      <w:color w:val="000000" w:themeColor="text1"/>
                      <w:spacing w:val="0"/>
                      <w:kern w:val="21"/>
                      <w:position w:val="0"/>
                      <w:szCs w:val="21"/>
                      <w:lang w:val="en-US" w:eastAsia="zh-CN"/>
                      <w14:textFill>
                        <w14:solidFill>
                          <w14:schemeClr w14:val="tx1"/>
                        </w14:solidFill>
                      </w14:textFill>
                    </w:rPr>
                    <w:t>水分</w:t>
                  </w:r>
                </w:p>
              </w:tc>
              <w:tc>
                <w:tcPr>
                  <w:tcW w:w="94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bidi="ar"/>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水性面漆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（不含稀释剂）</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hint="default" w:cs="Times New Roman" w:eastAsiaTheme="minorEastAsia"/>
                      <w:color w:val="000000" w:themeColor="text1"/>
                      <w:spacing w:val="0"/>
                      <w:kern w:val="21"/>
                      <w:position w:val="0"/>
                      <w:lang w:val="en-US" w:eastAsia="zh-CN"/>
                      <w14:textFill>
                        <w14:solidFill>
                          <w14:schemeClr w14:val="tx1"/>
                        </w14:solidFill>
                      </w14:textFill>
                    </w:rPr>
                  </w:pPr>
                  <w:r>
                    <w:rPr>
                      <w:rFonts w:hint="eastAsia" w:cs="Times New Roman"/>
                      <w:color w:val="000000" w:themeColor="text1"/>
                      <w:spacing w:val="0"/>
                      <w:kern w:val="21"/>
                      <w:position w:val="0"/>
                      <w:lang w:val="en-US" w:eastAsia="zh-CN"/>
                      <w14:textFill>
                        <w14:solidFill>
                          <w14:schemeClr w14:val="tx1"/>
                        </w14:solidFill>
                      </w14:textFill>
                    </w:rPr>
                    <w:t>6.94</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海绵</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375</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皮革</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22.5</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无纺布</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cs="Times New Roman"/>
                      <w:color w:val="000000" w:themeColor="text1"/>
                      <w:spacing w:val="0"/>
                      <w:kern w:val="21"/>
                      <w:position w:val="0"/>
                      <w14:textFill>
                        <w14:solidFill>
                          <w14:schemeClr w14:val="tx1"/>
                        </w14:solidFill>
                      </w14:textFill>
                    </w:rPr>
                    <w:t>2</w:t>
                  </w:r>
                  <w:r>
                    <w:rPr>
                      <w:rFonts w:hint="eastAsia" w:cs="Times New Roman"/>
                      <w:color w:val="000000" w:themeColor="text1"/>
                      <w:spacing w:val="0"/>
                      <w:kern w:val="21"/>
                      <w:position w:val="0"/>
                      <w14:textFill>
                        <w14:solidFill>
                          <w14:schemeClr w14:val="tx1"/>
                        </w14:solidFill>
                      </w14:textFill>
                    </w:rPr>
                    <w:t>.05</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水基环保粘合剂</w:t>
                  </w:r>
                </w:p>
              </w:tc>
              <w:tc>
                <w:tcPr>
                  <w:tcW w:w="978" w:type="pct"/>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2.5</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塑粉</w:t>
                  </w:r>
                </w:p>
              </w:tc>
              <w:tc>
                <w:tcPr>
                  <w:tcW w:w="978"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4.06</w:t>
                  </w:r>
                </w:p>
              </w:tc>
              <w:tc>
                <w:tcPr>
                  <w:tcW w:w="148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p>
              </w:tc>
              <w:tc>
                <w:tcPr>
                  <w:tcW w:w="9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59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合计</w:t>
                  </w:r>
                </w:p>
              </w:tc>
              <w:tc>
                <w:tcPr>
                  <w:tcW w:w="978"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26233.02</w:t>
                  </w:r>
                </w:p>
              </w:tc>
              <w:tc>
                <w:tcPr>
                  <w:tcW w:w="148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合计</w:t>
                  </w:r>
                </w:p>
              </w:tc>
              <w:tc>
                <w:tcPr>
                  <w:tcW w:w="9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26233.02</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14:textFill>
                  <w14:solidFill>
                    <w14:schemeClr w14:val="tx1"/>
                  </w14:solidFill>
                </w14:textFill>
              </w:rPr>
              <w:t>2、漆料平衡</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本项目漆料平衡见下表。</w:t>
            </w:r>
          </w:p>
          <w:p>
            <w:pPr>
              <w:pageBreakBefore w:val="0"/>
              <w:numPr>
                <w:ilvl w:val="0"/>
                <w:numId w:val="23"/>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14:textFill>
                  <w14:solidFill>
                    <w14:schemeClr w14:val="tx1"/>
                  </w14:solidFill>
                </w14:textFill>
              </w:rPr>
              <w:t>本项目漆料平衡一览表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71"/>
              <w:gridCol w:w="1637"/>
              <w:gridCol w:w="2494"/>
              <w:gridCol w:w="157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71"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投入</w:t>
                  </w:r>
                </w:p>
              </w:tc>
              <w:tc>
                <w:tcPr>
                  <w:tcW w:w="2428"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产出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名称</w:t>
                  </w:r>
                </w:p>
              </w:tc>
              <w:tc>
                <w:tcPr>
                  <w:tcW w:w="97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数量</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t/a</w:t>
                  </w:r>
                </w:p>
              </w:tc>
              <w:tc>
                <w:tcPr>
                  <w:tcW w:w="148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去向</w:t>
                  </w:r>
                </w:p>
              </w:tc>
              <w:tc>
                <w:tcPr>
                  <w:tcW w:w="9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数量</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水性底漆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（含稀释剂）</w:t>
                  </w:r>
                </w:p>
              </w:tc>
              <w:tc>
                <w:tcPr>
                  <w:tcW w:w="976"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15.64</w:t>
                  </w:r>
                </w:p>
              </w:tc>
              <w:tc>
                <w:tcPr>
                  <w:tcW w:w="148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进入产品</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bCs/>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eastAsia="zh-CN"/>
                      <w14:textFill>
                        <w14:solidFill>
                          <w14:schemeClr w14:val="tx1"/>
                        </w14:solidFill>
                      </w14:textFill>
                    </w:rPr>
                    <w:t>5.2342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59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水性面漆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（含稀释剂）</w:t>
                  </w:r>
                </w:p>
              </w:tc>
              <w:tc>
                <w:tcPr>
                  <w:tcW w:w="976"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8.32</w:t>
                  </w:r>
                </w:p>
              </w:tc>
              <w:tc>
                <w:tcPr>
                  <w:tcW w:w="1488"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喷漆废气（产生量）</w:t>
                  </w:r>
                </w:p>
              </w:tc>
              <w:tc>
                <w:tcPr>
                  <w:tcW w:w="940"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2.97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97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1488"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漆雾（产生量）</w:t>
                  </w:r>
                </w:p>
              </w:tc>
              <w:tc>
                <w:tcPr>
                  <w:tcW w:w="94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2.493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97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1488"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漆料打磨粉尘</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（产生量）</w:t>
                  </w:r>
                </w:p>
              </w:tc>
              <w:tc>
                <w:tcPr>
                  <w:tcW w:w="94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0.5828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9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97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1488"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hint="eastAsia" w:ascii="Times New Roman" w:hAnsi="Times New Roman" w:cs="Times New Roman"/>
                      <w:bCs/>
                      <w:color w:val="000000" w:themeColor="text1"/>
                      <w:spacing w:val="0"/>
                      <w:kern w:val="21"/>
                      <w:position w:val="0"/>
                      <w:szCs w:val="21"/>
                      <w14:textFill>
                        <w14:solidFill>
                          <w14:schemeClr w14:val="tx1"/>
                        </w14:solidFill>
                      </w14:textFill>
                    </w:rPr>
                    <w:t>水蒸气</w:t>
                  </w:r>
                </w:p>
              </w:tc>
              <w:tc>
                <w:tcPr>
                  <w:tcW w:w="94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12.68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59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合计</w:t>
                  </w:r>
                </w:p>
              </w:tc>
              <w:tc>
                <w:tcPr>
                  <w:tcW w:w="976"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23.96</w:t>
                  </w:r>
                </w:p>
              </w:tc>
              <w:tc>
                <w:tcPr>
                  <w:tcW w:w="148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合计</w:t>
                  </w:r>
                </w:p>
              </w:tc>
              <w:tc>
                <w:tcPr>
                  <w:tcW w:w="9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23.96</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本项目漆料平衡图如下。</w:t>
            </w:r>
          </w:p>
          <w:p>
            <w:pPr>
              <w:pageBreakBefore w:val="0"/>
              <w:kinsoku/>
              <w:overflowPunct/>
              <w:autoSpaceDE/>
              <w:autoSpaceDN/>
              <w:bidi w:val="0"/>
              <w:snapToGrid w:val="0"/>
              <w:spacing w:before="62" w:beforeLines="20" w:after="62" w:afterLines="20"/>
              <w:jc w:val="center"/>
              <w:textAlignment w:val="auto"/>
              <w:rPr>
                <w:color w:val="000000" w:themeColor="text1"/>
                <w:spacing w:val="0"/>
                <w:kern w:val="21"/>
                <w:position w:val="0"/>
                <w14:textFill>
                  <w14:solidFill>
                    <w14:schemeClr w14:val="tx1"/>
                  </w14:solidFill>
                </w14:textFill>
              </w:rPr>
            </w:pPr>
            <w:r>
              <w:rPr>
                <w:color w:val="000000" w:themeColor="text1"/>
                <w:spacing w:val="0"/>
                <w:kern w:val="21"/>
                <w:position w:val="0"/>
                <w14:textFill>
                  <w14:solidFill>
                    <w14:schemeClr w14:val="tx1"/>
                  </w14:solidFill>
                </w14:textFill>
              </w:rPr>
              <w:object>
                <v:shape id="_x0000_i1027" o:spt="75" type="#_x0000_t75" style="height:219.45pt;width:388.5pt;" o:ole="t" filled="f" o:preferrelative="t" stroked="f" coordsize="21600,21600">
                  <v:path/>
                  <v:fill on="f" focussize="0,0"/>
                  <v:stroke on="f"/>
                  <v:imagedata r:id="rId27" o:title=""/>
                  <o:lock v:ext="edit" aspectratio="t"/>
                  <w10:wrap type="none"/>
                  <w10:anchorlock/>
                </v:shape>
                <o:OLEObject Type="Embed" ProgID="Visio.Drawing.11" ShapeID="_x0000_i1027" DrawAspect="Content" ObjectID="_1468075727" r:id="rId26">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ind w:left="0" w:firstLine="0"/>
              <w:jc w:val="center"/>
              <w:textAlignment w:val="auto"/>
              <w:rPr>
                <w:color w:val="000000" w:themeColor="text1"/>
                <w:spacing w:val="0"/>
                <w:kern w:val="21"/>
                <w:position w:val="0"/>
                <w14:textFill>
                  <w14:solidFill>
                    <w14:schemeClr w14:val="tx1"/>
                  </w14:solidFill>
                </w14:textFill>
              </w:rPr>
            </w:pPr>
            <w:bookmarkStart w:id="16" w:name="OLE_LINK28"/>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漆料平衡图</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单位：</w:t>
            </w: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t/a</w:t>
            </w:r>
          </w:p>
          <w:bookmarkEnd w:id="16"/>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3、</w:t>
            </w:r>
            <w:r>
              <w:rPr>
                <w:rFonts w:ascii="Times New Roman" w:hAnsi="Times New Roman" w:eastAsia="宋体" w:cs="Times New Roman"/>
                <w:b/>
                <w:bCs/>
                <w:color w:val="000000" w:themeColor="text1"/>
                <w:spacing w:val="0"/>
                <w:kern w:val="21"/>
                <w:position w:val="0"/>
                <w:sz w:val="24"/>
                <w14:textFill>
                  <w14:solidFill>
                    <w14:schemeClr w14:val="tx1"/>
                  </w14:solidFill>
                </w14:textFill>
              </w:rPr>
              <w:t>VOCs平衡</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本项目VOCs平衡见下表。</w:t>
            </w:r>
          </w:p>
          <w:p>
            <w:pPr>
              <w:pageBreakBefore w:val="0"/>
              <w:numPr>
                <w:ilvl w:val="0"/>
                <w:numId w:val="23"/>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14:textFill>
                  <w14:solidFill>
                    <w14:schemeClr w14:val="tx1"/>
                  </w14:solidFill>
                </w14:textFill>
              </w:rPr>
              <w:t>本项目VOCs平衡一览表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84"/>
              <w:gridCol w:w="764"/>
              <w:gridCol w:w="1153"/>
              <w:gridCol w:w="2438"/>
              <w:gridCol w:w="15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26" w:type="pct"/>
                  <w:gridSpan w:val="3"/>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投入</w:t>
                  </w:r>
                </w:p>
              </w:tc>
              <w:tc>
                <w:tcPr>
                  <w:tcW w:w="2373"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产出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名称</w:t>
                  </w:r>
                </w:p>
              </w:tc>
              <w:tc>
                <w:tcPr>
                  <w:tcW w:w="1144"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数量</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t/a</w:t>
                  </w:r>
                </w:p>
              </w:tc>
              <w:tc>
                <w:tcPr>
                  <w:tcW w:w="145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去向</w:t>
                  </w:r>
                </w:p>
              </w:tc>
              <w:tc>
                <w:tcPr>
                  <w:tcW w:w="9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数量</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bookmarkStart w:id="17" w:name="OLE_LINK29" w:colFirst="5" w:colLast="5"/>
                  <w:r>
                    <w:rPr>
                      <w:rFonts w:ascii="Times New Roman" w:hAnsi="Times New Roman" w:eastAsia="宋体" w:cs="Times New Roman"/>
                      <w:color w:val="000000" w:themeColor="text1"/>
                      <w:spacing w:val="0"/>
                      <w:kern w:val="21"/>
                      <w:position w:val="0"/>
                      <w:szCs w:val="21"/>
                      <w14:textFill>
                        <w14:solidFill>
                          <w14:schemeClr w14:val="tx1"/>
                        </w14:solidFill>
                      </w14:textFill>
                    </w:rPr>
                    <w:t>水性底漆</w:t>
                  </w:r>
                </w:p>
              </w:tc>
              <w:tc>
                <w:tcPr>
                  <w:tcW w:w="456"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88" w:type="pct"/>
                  <w:shd w:val="clear" w:color="auto" w:fill="auto"/>
                  <w:vAlign w:val="center"/>
                </w:tcPr>
                <w:p>
                  <w:pPr>
                    <w:pStyle w:val="50"/>
                    <w:pageBreakBefore w:val="0"/>
                    <w:widowControl w:val="0"/>
                    <w:kinsoku/>
                    <w:overflowPunct/>
                    <w:autoSpaceDE/>
                    <w:autoSpaceDN/>
                    <w:bidi w:val="0"/>
                    <w:spacing w:before="62" w:beforeLines="20" w:after="62" w:afterLines="20"/>
                    <w:textAlignment w:val="auto"/>
                    <w:rPr>
                      <w:rFonts w:hint="default" w:cs="Times New Roman" w:eastAsiaTheme="minorEastAsia"/>
                      <w:color w:val="000000" w:themeColor="text1"/>
                      <w:spacing w:val="0"/>
                      <w:kern w:val="21"/>
                      <w:position w:val="0"/>
                      <w:lang w:val="en-US" w:eastAsia="zh-CN"/>
                      <w14:textFill>
                        <w14:solidFill>
                          <w14:schemeClr w14:val="tx1"/>
                        </w14:solidFill>
                      </w14:textFill>
                    </w:rPr>
                  </w:pPr>
                  <w:r>
                    <w:rPr>
                      <w:rFonts w:hint="eastAsia" w:cs="Times New Roman"/>
                      <w:color w:val="000000" w:themeColor="text1"/>
                      <w:spacing w:val="0"/>
                      <w:kern w:val="21"/>
                      <w:position w:val="0"/>
                      <w:lang w:val="en-US" w:eastAsia="zh-CN"/>
                      <w14:textFill>
                        <w14:solidFill>
                          <w14:schemeClr w14:val="tx1"/>
                        </w14:solidFill>
                      </w14:textFill>
                    </w:rPr>
                    <w:t>1.84</w:t>
                  </w:r>
                </w:p>
              </w:tc>
              <w:tc>
                <w:tcPr>
                  <w:tcW w:w="145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有组织排放</w:t>
                  </w:r>
                </w:p>
              </w:tc>
              <w:tc>
                <w:tcPr>
                  <w:tcW w:w="917"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0.2836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水性面漆</w:t>
                  </w:r>
                </w:p>
              </w:tc>
              <w:tc>
                <w:tcPr>
                  <w:tcW w:w="456"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88" w:type="pct"/>
                  <w:shd w:val="clear" w:color="auto" w:fill="auto"/>
                  <w:vAlign w:val="center"/>
                </w:tcPr>
                <w:p>
                  <w:pPr>
                    <w:pStyle w:val="50"/>
                    <w:pageBreakBefore w:val="0"/>
                    <w:widowControl w:val="0"/>
                    <w:kinsoku/>
                    <w:overflowPunct/>
                    <w:autoSpaceDE/>
                    <w:autoSpaceDN/>
                    <w:bidi w:val="0"/>
                    <w:spacing w:before="62" w:beforeLines="20" w:after="62" w:afterLines="20"/>
                    <w:textAlignment w:val="auto"/>
                    <w:rPr>
                      <w:rFonts w:hint="default" w:cs="Times New Roman" w:eastAsiaTheme="minorEastAsia"/>
                      <w:color w:val="000000" w:themeColor="text1"/>
                      <w:spacing w:val="0"/>
                      <w:kern w:val="21"/>
                      <w:position w:val="0"/>
                      <w:lang w:val="en-US" w:eastAsia="zh-CN"/>
                      <w14:textFill>
                        <w14:solidFill>
                          <w14:schemeClr w14:val="tx1"/>
                        </w14:solidFill>
                      </w14:textFill>
                    </w:rPr>
                  </w:pPr>
                  <w:r>
                    <w:rPr>
                      <w:rFonts w:hint="eastAsia" w:cs="Times New Roman"/>
                      <w:color w:val="000000" w:themeColor="text1"/>
                      <w:spacing w:val="0"/>
                      <w:kern w:val="21"/>
                      <w:position w:val="0"/>
                      <w:lang w:val="en-US" w:eastAsia="zh-CN"/>
                      <w14:textFill>
                        <w14:solidFill>
                          <w14:schemeClr w14:val="tx1"/>
                        </w14:solidFill>
                      </w14:textFill>
                    </w:rPr>
                    <w:t>1.13</w:t>
                  </w:r>
                </w:p>
              </w:tc>
              <w:tc>
                <w:tcPr>
                  <w:tcW w:w="1455" w:type="pct"/>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无组织排放</w:t>
                  </w:r>
                </w:p>
              </w:tc>
              <w:tc>
                <w:tcPr>
                  <w:tcW w:w="917"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0.1502</w:t>
                  </w:r>
                </w:p>
              </w:tc>
            </w:tr>
            <w:bookmarkEnd w:id="17"/>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热熔胶</w:t>
                  </w:r>
                </w:p>
              </w:tc>
              <w:tc>
                <w:tcPr>
                  <w:tcW w:w="456"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88" w:type="pct"/>
                  <w:shd w:val="clear" w:color="auto" w:fill="auto"/>
                  <w:vAlign w:val="center"/>
                </w:tcPr>
                <w:p>
                  <w:pPr>
                    <w:pStyle w:val="50"/>
                    <w:pageBreakBefore w:val="0"/>
                    <w:widowControl w:val="0"/>
                    <w:kinsoku/>
                    <w:overflowPunct/>
                    <w:autoSpaceDE/>
                    <w:autoSpaceDN/>
                    <w:bidi w:val="0"/>
                    <w:spacing w:before="62" w:beforeLines="20" w:after="62" w:afterLines="20"/>
                    <w:textAlignment w:val="auto"/>
                    <w:rPr>
                      <w:rFonts w:cs="Times New Roman"/>
                      <w:color w:val="000000" w:themeColor="text1"/>
                      <w:spacing w:val="0"/>
                      <w:kern w:val="21"/>
                      <w:position w:val="0"/>
                      <w14:textFill>
                        <w14:solidFill>
                          <w14:schemeClr w14:val="tx1"/>
                        </w14:solidFill>
                      </w14:textFill>
                    </w:rPr>
                  </w:pPr>
                  <w:r>
                    <w:rPr>
                      <w:rFonts w:hint="eastAsia" w:cs="Times New Roman"/>
                      <w:color w:val="000000" w:themeColor="text1"/>
                      <w:spacing w:val="0"/>
                      <w:kern w:val="21"/>
                      <w:position w:val="0"/>
                      <w14:textFill>
                        <w14:solidFill>
                          <w14:schemeClr w14:val="tx1"/>
                        </w14:solidFill>
                      </w14:textFill>
                    </w:rPr>
                    <w:t>0.003</w:t>
                  </w:r>
                </w:p>
              </w:tc>
              <w:tc>
                <w:tcPr>
                  <w:tcW w:w="1455"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被处理</w:t>
                  </w:r>
                </w:p>
              </w:tc>
              <w:tc>
                <w:tcPr>
                  <w:tcW w:w="91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2.5449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jc w:val="center"/>
              </w:trPr>
              <w:tc>
                <w:tcPr>
                  <w:tcW w:w="148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水基环保粘合剂</w:t>
                  </w:r>
                </w:p>
              </w:tc>
              <w:tc>
                <w:tcPr>
                  <w:tcW w:w="456"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88" w:type="pct"/>
                  <w:shd w:val="clear" w:color="auto" w:fill="auto"/>
                  <w:vAlign w:val="center"/>
                </w:tcPr>
                <w:p>
                  <w:pPr>
                    <w:pStyle w:val="50"/>
                    <w:pageBreakBefore w:val="0"/>
                    <w:widowControl w:val="0"/>
                    <w:kinsoku/>
                    <w:overflowPunct/>
                    <w:autoSpaceDE/>
                    <w:autoSpaceDN/>
                    <w:bidi w:val="0"/>
                    <w:spacing w:before="62" w:beforeLines="20" w:after="62" w:afterLines="20"/>
                    <w:textAlignment w:val="auto"/>
                    <w:rPr>
                      <w:rFonts w:eastAsia="宋体" w:cs="Times New Roman"/>
                      <w:color w:val="000000" w:themeColor="text1"/>
                      <w:spacing w:val="0"/>
                      <w:kern w:val="21"/>
                      <w:position w:val="0"/>
                      <w14:textFill>
                        <w14:solidFill>
                          <w14:schemeClr w14:val="tx1"/>
                        </w14:solidFill>
                      </w14:textFill>
                    </w:rPr>
                  </w:pPr>
                  <w:r>
                    <w:rPr>
                      <w:rFonts w:hint="eastAsia" w:eastAsia="宋体" w:cs="Times New Roman"/>
                      <w:color w:val="000000" w:themeColor="text1"/>
                      <w:spacing w:val="0"/>
                      <w:kern w:val="21"/>
                      <w:position w:val="0"/>
                      <w14:textFill>
                        <w14:solidFill>
                          <w14:schemeClr w14:val="tx1"/>
                        </w14:solidFill>
                      </w14:textFill>
                    </w:rPr>
                    <w:t>0.005</w:t>
                  </w:r>
                </w:p>
              </w:tc>
              <w:tc>
                <w:tcPr>
                  <w:tcW w:w="1455"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91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塑粉</w:t>
                  </w:r>
                </w:p>
              </w:tc>
              <w:tc>
                <w:tcPr>
                  <w:tcW w:w="456"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8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0.000</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7</w:t>
                  </w:r>
                </w:p>
              </w:tc>
              <w:tc>
                <w:tcPr>
                  <w:tcW w:w="1455" w:type="pct"/>
                  <w:shd w:val="clear" w:color="auto" w:fill="auto"/>
                  <w:vAlign w:val="center"/>
                </w:tcPr>
                <w:p>
                  <w:pPr>
                    <w:pStyle w:val="55"/>
                    <w:pageBreakBefore w:val="0"/>
                    <w:kinsoku/>
                    <w:overflowPunct/>
                    <w:autoSpaceDE/>
                    <w:autoSpaceDN/>
                    <w:bidi w:val="0"/>
                    <w:snapToGrid w:val="0"/>
                    <w:spacing w:before="62" w:beforeLines="20" w:after="62" w:afterLines="20"/>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91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482"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合计</w:t>
                  </w:r>
                </w:p>
              </w:tc>
              <w:tc>
                <w:tcPr>
                  <w:tcW w:w="1144"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2.9787</w:t>
                  </w:r>
                </w:p>
              </w:tc>
              <w:tc>
                <w:tcPr>
                  <w:tcW w:w="145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合计</w:t>
                  </w:r>
                </w:p>
              </w:tc>
              <w:tc>
                <w:tcPr>
                  <w:tcW w:w="9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2.9787</w:t>
                  </w:r>
                </w:p>
              </w:tc>
            </w:tr>
          </w:tbl>
          <w:p>
            <w:pPr>
              <w:pageBreakBefore w:val="0"/>
              <w:kinsoku/>
              <w:overflowPunct/>
              <w:autoSpaceDE/>
              <w:autoSpaceDN/>
              <w:bidi w:val="0"/>
              <w:adjustRightInd w:val="0"/>
              <w:snapToGrid w:val="0"/>
              <w:spacing w:line="360" w:lineRule="auto"/>
              <w:ind w:left="482"/>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本项目</w:t>
            </w:r>
            <w:r>
              <w:rPr>
                <w:rFonts w:ascii="Times New Roman" w:hAnsi="Times New Roman" w:eastAsia="宋体" w:cs="Times New Roman"/>
                <w:color w:val="000000" w:themeColor="text1"/>
                <w:spacing w:val="0"/>
                <w:kern w:val="21"/>
                <w:position w:val="0"/>
                <w:sz w:val="24"/>
                <w14:textFill>
                  <w14:solidFill>
                    <w14:schemeClr w14:val="tx1"/>
                  </w14:solidFill>
                </w14:textFill>
              </w:rPr>
              <w:t>VOCs平衡如下。</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object>
                <v:shape id="_x0000_i1028" o:spt="75" type="#_x0000_t75" style="height:398.75pt;width:386.3pt;" o:ole="t" filled="f" o:preferrelative="t" stroked="f" coordsize="21600,21600">
                  <v:path/>
                  <v:fill on="f" focussize="0,0"/>
                  <v:stroke on="f"/>
                  <v:imagedata r:id="rId29" o:title=""/>
                  <o:lock v:ext="edit" aspectratio="t"/>
                  <w10:wrap type="none"/>
                  <w10:anchorlock/>
                </v:shape>
                <o:OLEObject Type="Embed" ProgID="Visio.Drawing.11" ShapeID="_x0000_i1028" DrawAspect="Content" ObjectID="_1468075728" r:id="rId28">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ind w:left="0" w:firstLine="0"/>
              <w:jc w:val="center"/>
              <w:textAlignment w:val="auto"/>
              <w:rPr>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VOCs平衡图</w:t>
            </w:r>
            <w:r>
              <w:rPr>
                <w:rFonts w:ascii="Times New Roman" w:hAnsi="Times New Roman" w:eastAsia="宋体" w:cs="Times New Roman"/>
                <w:b/>
                <w:color w:val="000000" w:themeColor="text1"/>
                <w:spacing w:val="0"/>
                <w:kern w:val="21"/>
                <w:position w:val="0"/>
                <w:szCs w:val="21"/>
                <w14:textFill>
                  <w14:solidFill>
                    <w14:schemeClr w14:val="tx1"/>
                  </w14:solidFill>
                </w14:textFill>
              </w:rPr>
              <w:t xml:space="preserve"> 单位：</w:t>
            </w: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t/a</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4、</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水平衡</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本项目用水主要为水性漆稀释用水、</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用水、脱脂-硅烷化用水、切削液调配用水和生活用水。本项目不冲洗地面，厂区地面定期清扫，因此无地面冲洗废水产生；生产设备无需用水清洗，定期用干净的抹布清洁，因此无设备清洗废水产生。</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（1）生活用水及排放情况</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本项目劳动定员</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30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0人，均不在厂内食宿，生活用水按50L/人·d计。本项目生活用水量为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5m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4950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/a），产污系数按85%计，</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则</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本项目生活污水产生量为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12.75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4207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.5m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/a）。本项目生活污水</w:t>
            </w:r>
            <w:r>
              <w:rPr>
                <w:rFonts w:ascii="Times New Roman" w:hAnsi="Times New Roman" w:eastAsia="宋体" w:cs="Times New Roman"/>
                <w:bCs/>
                <w:color w:val="000000" w:themeColor="text1"/>
                <w:spacing w:val="0"/>
                <w:kern w:val="21"/>
                <w:position w:val="0"/>
                <w:sz w:val="24"/>
                <w14:textFill>
                  <w14:solidFill>
                    <w14:schemeClr w14:val="tx1"/>
                  </w14:solidFill>
                </w14:textFill>
              </w:rPr>
              <w:t>进入厂区自建的预处理池（30m</w:t>
            </w:r>
            <w:r>
              <w:rPr>
                <w:rFonts w:ascii="Times New Roman" w:hAnsi="Times New Roman" w:eastAsia="宋体" w:cs="Times New Roman"/>
                <w:bCs/>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 w:val="24"/>
                <w14:textFill>
                  <w14:solidFill>
                    <w14:schemeClr w14:val="tx1"/>
                  </w14:solidFill>
                </w14:textFill>
              </w:rPr>
              <w:t>）处理达</w:t>
            </w:r>
            <w:r>
              <w:rPr>
                <w:rFonts w:ascii="Times New Roman" w:hAnsi="Times New Roman" w:cs="Times New Roman"/>
                <w:bCs/>
                <w:color w:val="000000" w:themeColor="text1"/>
                <w:spacing w:val="0"/>
                <w:kern w:val="21"/>
                <w:position w:val="0"/>
                <w:sz w:val="24"/>
                <w14:textFill>
                  <w14:solidFill>
                    <w14:schemeClr w14:val="tx1"/>
                  </w14:solidFill>
                </w14:textFill>
              </w:rPr>
              <w:t>园区污水处理厂设计进水水质</w:t>
            </w:r>
            <w:r>
              <w:rPr>
                <w:rFonts w:ascii="Times New Roman" w:hAnsi="Times New Roman" w:eastAsia="宋体" w:cs="Times New Roman"/>
                <w:bCs/>
                <w:color w:val="000000" w:themeColor="text1"/>
                <w:spacing w:val="0"/>
                <w:kern w:val="21"/>
                <w:position w:val="0"/>
                <w:sz w:val="24"/>
                <w14:textFill>
                  <w14:solidFill>
                    <w14:schemeClr w14:val="tx1"/>
                  </w14:solidFill>
                </w14:textFill>
              </w:rPr>
              <w:t>后通过园区污水管网排入泉坝污水处理厂处理达《城镇污水处理厂污染物排放标准》（GB18918-2002）一级A标准，尾水排入南河。</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（2）调漆用水</w:t>
            </w:r>
          </w:p>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项目水性涂料用量约</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19.98t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/a，人工按配比（水性底漆/面漆基料：稀释剂（水）=5:1）加水进行调制，则水</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性漆稀释用水量约</w:t>
            </w:r>
            <w:r>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3.99</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hint="default"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/a（约0.01</w:t>
            </w:r>
            <w:r>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hint="default"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/d），全部蒸发损耗。</w:t>
            </w:r>
            <w:r>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本项目</w:t>
            </w:r>
            <w:r>
              <w:rPr>
                <w:rFonts w:hint="default" w:ascii="Times New Roman" w:hAnsi="Times New Roman" w:eastAsia="宋体" w:cs="Times New Roman"/>
                <w:color w:val="000000" w:themeColor="text1"/>
                <w:kern w:val="21"/>
                <w:sz w:val="24"/>
                <w:szCs w:val="24"/>
                <w14:textFill>
                  <w14:solidFill>
                    <w14:schemeClr w14:val="tx1"/>
                  </w14:solidFill>
                </w14:textFill>
              </w:rPr>
              <w:t>喷枪清洗废水回用于调漆，喷枪清洗废水</w:t>
            </w:r>
            <w:r>
              <w:rPr>
                <w:rFonts w:hint="default" w:ascii="Times New Roman" w:hAnsi="Times New Roman" w:cs="Times New Roman"/>
                <w:color w:val="000000" w:themeColor="text1"/>
                <w:spacing w:val="0"/>
                <w:kern w:val="21"/>
                <w:position w:val="0"/>
                <w:sz w:val="24"/>
                <w14:textFill>
                  <w14:solidFill>
                    <w14:schemeClr w14:val="tx1"/>
                  </w14:solidFill>
                </w14:textFill>
              </w:rPr>
              <w:t>产生量为</w:t>
            </w:r>
            <w:r>
              <w:rPr>
                <w:rFonts w:hint="default" w:ascii="Times New Roman" w:hAnsi="Times New Roman" w:cs="Times New Roman"/>
                <w:color w:val="000000" w:themeColor="text1"/>
                <w:spacing w:val="0"/>
                <w:kern w:val="21"/>
                <w:position w:val="0"/>
                <w:sz w:val="24"/>
                <w:lang w:val="en-US" w:eastAsia="zh-CN"/>
                <w14:textFill>
                  <w14:solidFill>
                    <w14:schemeClr w14:val="tx1"/>
                  </w14:solidFill>
                </w14:textFill>
              </w:rPr>
              <w:t>0.0012m</w:t>
            </w:r>
            <w:r>
              <w:rPr>
                <w:rFonts w:hint="default" w:ascii="Times New Roman" w:hAnsi="Times New Roman" w:cs="Times New Roman"/>
                <w:color w:val="000000" w:themeColor="text1"/>
                <w:spacing w:val="0"/>
                <w:kern w:val="21"/>
                <w:position w:val="0"/>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kern w:val="21"/>
                <w:position w:val="0"/>
                <w:sz w:val="24"/>
                <w:lang w:val="en-US" w:eastAsia="zh-CN"/>
                <w14:textFill>
                  <w14:solidFill>
                    <w14:schemeClr w14:val="tx1"/>
                  </w14:solidFill>
                </w14:textFill>
              </w:rPr>
              <w:t>/d（0.396</w:t>
            </w:r>
            <w:r>
              <w:rPr>
                <w:rFonts w:hint="default" w:ascii="Times New Roman" w:hAnsi="Times New Roman" w:cs="Times New Roman"/>
                <w:color w:val="000000" w:themeColor="text1"/>
                <w:spacing w:val="0"/>
                <w:kern w:val="21"/>
                <w:position w:val="0"/>
                <w:sz w:val="24"/>
                <w14:textFill>
                  <w14:solidFill>
                    <w14:schemeClr w14:val="tx1"/>
                  </w14:solidFill>
                </w14:textFill>
              </w:rPr>
              <w:t>t/a</w:t>
            </w:r>
            <w:r>
              <w:rPr>
                <w:rFonts w:hint="default" w:ascii="Times New Roman" w:hAnsi="Times New Roman" w:cs="Times New Roman"/>
                <w:color w:val="000000" w:themeColor="text1"/>
                <w:spacing w:val="0"/>
                <w:kern w:val="21"/>
                <w:position w:val="0"/>
                <w:sz w:val="24"/>
                <w:lang w:val="en-US" w:eastAsia="zh-CN"/>
                <w14:textFill>
                  <w14:solidFill>
                    <w14:schemeClr w14:val="tx1"/>
                  </w14:solidFill>
                </w14:textFill>
              </w:rPr>
              <w:t>）</w:t>
            </w:r>
            <w:r>
              <w:rPr>
                <w:rFonts w:hint="default" w:ascii="Times New Roman" w:hAnsi="Times New Roman" w:cs="Times New Roman"/>
                <w:color w:val="000000" w:themeColor="text1"/>
                <w:spacing w:val="0"/>
                <w:kern w:val="21"/>
                <w:position w:val="0"/>
                <w:sz w:val="24"/>
                <w14:textFill>
                  <w14:solidFill>
                    <w14:schemeClr w14:val="tx1"/>
                  </w14:solidFill>
                </w14:textFill>
              </w:rPr>
              <w:t>，</w:t>
            </w:r>
            <w:r>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t>则调漆用新鲜水量为0.010</w:t>
            </w:r>
            <w:r>
              <w:rPr>
                <w:rFonts w:hint="eastAsia" w:ascii="Times New Roman" w:hAnsi="Times New Roman" w:eastAsia="宋体" w:cs="Times New Roman"/>
                <w:color w:val="000000" w:themeColor="text1"/>
                <w:kern w:val="2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hint="default"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default"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3.5</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9</w:t>
            </w:r>
            <w:r>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4</w:t>
            </w:r>
            <w:r>
              <w:rPr>
                <w:rFonts w:hint="default" w:ascii="Times New Roman" w:hAnsi="Times New Roman" w:cs="Times New Roman"/>
                <w:color w:val="000000" w:themeColor="text1"/>
                <w:spacing w:val="0"/>
                <w:kern w:val="21"/>
                <w:position w:val="0"/>
                <w:sz w:val="24"/>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4"/>
                <w:szCs w:val="22"/>
                <w14:textFill>
                  <w14:solidFill>
                    <w14:schemeClr w14:val="tx1"/>
                  </w14:solidFill>
                </w14:textFill>
              </w:rPr>
              <w:t>（3）水旋柜用水</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本项目设置3个喷漆房，共设3套</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设备，</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单个</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循环水池有效容积</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为4.8</w:t>
            </w:r>
            <w:r>
              <w:rPr>
                <w:rFonts w:ascii="Times New Roman" w:hAnsi="Times New Roman" w:eastAsia="宋体" w:cs="Times New Roman"/>
                <w:color w:val="000000" w:themeColor="text1"/>
                <w:spacing w:val="0"/>
                <w:kern w:val="21"/>
                <w:position w:val="0"/>
                <w:sz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3个循环水池总容积为14.4</w:t>
            </w:r>
            <w:r>
              <w:rPr>
                <w:rFonts w:ascii="Times New Roman" w:hAnsi="Times New Roman" w:eastAsia="宋体" w:cs="Times New Roman"/>
                <w:color w:val="000000" w:themeColor="text1"/>
                <w:spacing w:val="0"/>
                <w:kern w:val="21"/>
                <w:position w:val="0"/>
                <w:sz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，类比同行业其他项目，喷漆过程中</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循环水池损失水量约占总容积的10%，需定期补充损耗水量1.44m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475.2</w:t>
            </w:r>
            <w:r>
              <w:rPr>
                <w:rFonts w:ascii="Times New Roman" w:hAnsi="Times New Roman" w:eastAsia="宋体" w:cs="Times New Roman"/>
                <w:color w:val="000000" w:themeColor="text1"/>
                <w:spacing w:val="0"/>
                <w:kern w:val="21"/>
                <w:position w:val="0"/>
                <w:sz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/a），循环水一年更换一次，更换</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废水</w:t>
            </w:r>
            <w:r>
              <w:rPr>
                <w:rFonts w:ascii="Times New Roman" w:hAnsi="Times New Roman" w:eastAsia="宋体" w:cs="Times New Roman"/>
                <w:color w:val="000000" w:themeColor="text1"/>
                <w:spacing w:val="0"/>
                <w:kern w:val="21"/>
                <w:position w:val="0"/>
                <w:sz w:val="24"/>
                <w14:textFill>
                  <w14:solidFill>
                    <w14:schemeClr w14:val="tx1"/>
                  </w14:solidFill>
                </w14:textFill>
              </w:rPr>
              <w:t>量为12.96m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vertAlign w:val="baseline"/>
                <w:lang w:val="en-US" w:eastAsia="zh-CN"/>
                <w14:textFill>
                  <w14:solidFill>
                    <w14:schemeClr w14:val="tx1"/>
                  </w14:solidFill>
                </w14:textFill>
              </w:rPr>
              <w:t>/a（折合0.04</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vertAlign w:val="baseline"/>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14:textFill>
                  <w14:solidFill>
                    <w14:schemeClr w14:val="tx1"/>
                  </w14:solidFill>
                </w14:textFill>
              </w:rPr>
              <w:t>4</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）切削液调配用水</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根据建设单位提供的资料，本项目切削液和水按照1:10的比例配置成型，切削液原液年使用量为0.1t，则本项目切削液配比用水量约1m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/a（0.003m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/d），其中进入废切削液的废水量以80%计（进入废切削液的水量为0.8m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/a，0.0024m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，加上切削液原液用量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0.1t/a），废切削液处置量为0.9t/a。项目切削液每年更换一次，产生的废切削液交危废资质单位处置。</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（5）脱脂-硅烷化用水</w:t>
            </w:r>
          </w:p>
          <w:p>
            <w:pPr>
              <w:pageBreakBefore w:val="0"/>
              <w:kinsoku/>
              <w:overflowPunct/>
              <w:autoSpaceDE/>
              <w:autoSpaceDN/>
              <w:bidi w:val="0"/>
              <w:spacing w:line="360" w:lineRule="auto"/>
              <w:ind w:firstLine="481" w:firstLineChars="200"/>
              <w:textAlignment w:val="auto"/>
              <w:rPr>
                <w:rFonts w:hint="default" w:ascii="Times New Roman" w:hAnsi="Times New Roman" w:cs="Times New Roman" w:eastAsiaTheme="minorEastAsia"/>
                <w:b/>
                <w:bCs/>
                <w:color w:val="000000" w:themeColor="text1"/>
                <w:spacing w:val="0"/>
                <w:kern w:val="21"/>
                <w:position w:val="0"/>
                <w:sz w:val="24"/>
                <w:lang w:val="en-US" w:eastAsia="zh-CN"/>
                <w14:textFill>
                  <w14:solidFill>
                    <w14:schemeClr w14:val="tx1"/>
                  </w14:solidFill>
                </w14:textFill>
              </w:rPr>
            </w:pPr>
            <w:r>
              <w:rPr>
                <w:rFonts w:hint="eastAsia" w:ascii="Times New Roman" w:hAnsi="Times New Roman" w:cs="Times New Roman"/>
                <w:b/>
                <w:bCs/>
                <w:color w:val="000000" w:themeColor="text1"/>
                <w:spacing w:val="0"/>
                <w:kern w:val="21"/>
                <w:position w:val="0"/>
                <w:sz w:val="24"/>
                <w:lang w:val="en-US" w:eastAsia="zh-CN"/>
                <w14:textFill>
                  <w14:solidFill>
                    <w14:schemeClr w14:val="tx1"/>
                  </w14:solidFill>
                </w14:textFill>
              </w:rPr>
              <w:t>①脱脂用水</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default" w:ascii="Times New Roman" w:hAnsi="Times New Roman" w:cs="Times New Roman"/>
                <w:bCs/>
                <w:color w:val="000000" w:themeColor="text1"/>
                <w:kern w:val="21"/>
                <w:sz w:val="24"/>
                <w14:textFill>
                  <w14:solidFill>
                    <w14:schemeClr w14:val="tx1"/>
                  </w14:solidFill>
                </w14:textFill>
              </w:rPr>
              <w:t>脱脂用水主要来自预脱脂、主脱脂用水，项目脱脂使用自来水，项目设置2个有效容积为2m</w:t>
            </w:r>
            <w:r>
              <w:rPr>
                <w:rFonts w:hint="default" w:ascii="Times New Roman" w:hAnsi="Times New Roman" w:cs="Times New Roman"/>
                <w:bCs/>
                <w:color w:val="000000" w:themeColor="text1"/>
                <w:kern w:val="21"/>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14:textFill>
                  <w14:solidFill>
                    <w14:schemeClr w14:val="tx1"/>
                  </w14:solidFill>
                </w14:textFill>
              </w:rPr>
              <w:t>的脱脂槽，脱脂槽脱脂用水量共计4m</w:t>
            </w:r>
            <w:r>
              <w:rPr>
                <w:rFonts w:hint="default" w:ascii="Times New Roman" w:hAnsi="Times New Roman" w:cs="Times New Roman"/>
                <w:bCs/>
                <w:color w:val="000000" w:themeColor="text1"/>
                <w:kern w:val="21"/>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14:textFill>
                  <w14:solidFill>
                    <w14:schemeClr w14:val="tx1"/>
                  </w14:solidFill>
                </w14:textFill>
              </w:rPr>
              <w:t>，其中约20%蒸发损耗，其余循环使用，</w:t>
            </w:r>
            <w:r>
              <w:rPr>
                <w:rFonts w:ascii="Times New Roman" w:hAnsi="Times New Roman" w:cs="Times New Roman"/>
                <w:bCs/>
                <w:color w:val="000000" w:themeColor="text1"/>
                <w:spacing w:val="0"/>
                <w:kern w:val="21"/>
                <w:position w:val="0"/>
                <w:sz w:val="24"/>
                <w14:textFill>
                  <w14:solidFill>
                    <w14:schemeClr w14:val="tx1"/>
                  </w14:solidFill>
                </w14:textFill>
              </w:rPr>
              <w:t>每</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天</w:t>
            </w:r>
            <w:r>
              <w:rPr>
                <w:rFonts w:ascii="Times New Roman" w:hAnsi="Times New Roman" w:cs="Times New Roman"/>
                <w:bCs/>
                <w:color w:val="000000" w:themeColor="text1"/>
                <w:spacing w:val="0"/>
                <w:kern w:val="21"/>
                <w:position w:val="0"/>
                <w:sz w:val="24"/>
                <w14:textFill>
                  <w14:solidFill>
                    <w14:schemeClr w14:val="tx1"/>
                  </w14:solidFill>
                </w14:textFill>
              </w:rPr>
              <w:t>补充</w:t>
            </w:r>
            <w:r>
              <w:rPr>
                <w:rFonts w:hint="eastAsia" w:ascii="Times New Roman" w:hAnsi="Times New Roman" w:cs="Times New Roman"/>
                <w:bCs/>
                <w:color w:val="000000" w:themeColor="text1"/>
                <w:spacing w:val="0"/>
                <w:kern w:val="21"/>
                <w:position w:val="0"/>
                <w:sz w:val="24"/>
                <w14:textFill>
                  <w14:solidFill>
                    <w14:schemeClr w14:val="tx1"/>
                  </w14:solidFill>
                </w14:textFill>
              </w:rPr>
              <w:t>脱脂剂</w:t>
            </w:r>
            <w:r>
              <w:rPr>
                <w:rFonts w:ascii="Times New Roman" w:hAnsi="Times New Roman" w:cs="Times New Roman"/>
                <w:bCs/>
                <w:color w:val="000000" w:themeColor="text1"/>
                <w:spacing w:val="0"/>
                <w:kern w:val="21"/>
                <w:position w:val="0"/>
                <w:sz w:val="24"/>
                <w14:textFill>
                  <w14:solidFill>
                    <w14:schemeClr w14:val="tx1"/>
                  </w14:solidFill>
                </w14:textFill>
              </w:rPr>
              <w:t>及新鲜水，共计0.8m</w:t>
            </w:r>
            <w:r>
              <w:rPr>
                <w:rFonts w:ascii="Times New Roman" w:hAnsi="Times New Roman" w:cs="Times New Roman"/>
                <w:bCs/>
                <w:color w:val="000000" w:themeColor="text1"/>
                <w:spacing w:val="0"/>
                <w:kern w:val="21"/>
                <w:position w:val="0"/>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szCs w:val="32"/>
                <w14:textFill>
                  <w14:solidFill>
                    <w14:schemeClr w14:val="tx1"/>
                  </w14:solidFill>
                </w14:textFill>
              </w:rPr>
              <w:t>/d</w:t>
            </w:r>
            <w:r>
              <w:rPr>
                <w:rFonts w:hint="default" w:ascii="Times New Roman" w:hAnsi="Times New Roman" w:cs="Times New Roman"/>
                <w:bCs/>
                <w:color w:val="000000" w:themeColor="text1"/>
                <w:kern w:val="21"/>
                <w:sz w:val="24"/>
                <w14:textFill>
                  <w14:solidFill>
                    <w14:schemeClr w14:val="tx1"/>
                  </w14:solidFill>
                </w14:textFill>
              </w:rPr>
              <w:t>。根据</w:t>
            </w:r>
            <w:r>
              <w:rPr>
                <w:rFonts w:hint="eastAsia" w:ascii="Times New Roman" w:hAnsi="Times New Roman" w:cs="Times New Roman"/>
                <w:bCs/>
                <w:color w:val="000000" w:themeColor="text1"/>
                <w:kern w:val="21"/>
                <w:sz w:val="24"/>
                <w:lang w:val="en-US" w:eastAsia="zh-CN"/>
                <w14:textFill>
                  <w14:solidFill>
                    <w14:schemeClr w14:val="tx1"/>
                  </w14:solidFill>
                </w14:textFill>
              </w:rPr>
              <w:t>建设单位</w:t>
            </w:r>
            <w:r>
              <w:rPr>
                <w:rFonts w:hint="default" w:ascii="Times New Roman" w:hAnsi="Times New Roman" w:cs="Times New Roman"/>
                <w:bCs/>
                <w:color w:val="000000" w:themeColor="text1"/>
                <w:kern w:val="21"/>
                <w:sz w:val="24"/>
                <w14:textFill>
                  <w14:solidFill>
                    <w14:schemeClr w14:val="tx1"/>
                  </w14:solidFill>
                </w14:textFill>
              </w:rPr>
              <w:t>提供资料，每周分批次更换一次脱脂液，脱脂废水一次最大排放量为3.2m</w:t>
            </w:r>
            <w:r>
              <w:rPr>
                <w:rFonts w:hint="default" w:ascii="Times New Roman" w:hAnsi="Times New Roman" w:cs="Times New Roman"/>
                <w:bCs/>
                <w:color w:val="000000" w:themeColor="text1"/>
                <w:kern w:val="21"/>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14:textFill>
                  <w14:solidFill>
                    <w14:schemeClr w14:val="tx1"/>
                  </w14:solidFill>
                </w14:textFill>
              </w:rPr>
              <w:t>/次</w:t>
            </w:r>
            <w:r>
              <w:rPr>
                <w:rFonts w:ascii="Times New Roman" w:hAnsi="Times New Roman" w:cs="Times New Roman"/>
                <w:color w:val="000000" w:themeColor="text1"/>
                <w:spacing w:val="0"/>
                <w:kern w:val="21"/>
                <w:position w:val="0"/>
                <w:sz w:val="24"/>
                <w14:textFill>
                  <w14:solidFill>
                    <w14:schemeClr w14:val="tx1"/>
                  </w14:solidFill>
                </w14:textFill>
              </w:rPr>
              <w:t>，本项目设置1处20m</w:t>
            </w:r>
            <w:r>
              <w:rPr>
                <w:rFonts w:ascii="Times New Roman" w:hAnsi="Times New Roman"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cs="Times New Roman"/>
                <w:color w:val="000000" w:themeColor="text1"/>
                <w:spacing w:val="0"/>
                <w:kern w:val="21"/>
                <w:position w:val="0"/>
                <w:sz w:val="24"/>
                <w14:textFill>
                  <w14:solidFill>
                    <w14:schemeClr w14:val="tx1"/>
                  </w14:solidFill>
                </w14:textFill>
              </w:rPr>
              <w:t>收集池，用于暂存工件清洗废水、脱脂槽废水。</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②硅烷化用水</w:t>
            </w:r>
          </w:p>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用水主要来自</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工作槽调配用水，项目</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使用</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自来水</w:t>
            </w:r>
            <w:r>
              <w:rPr>
                <w:rFonts w:hint="default" w:ascii="Times New Roman" w:hAnsi="Times New Roman" w:cs="Times New Roman"/>
                <w:bCs/>
                <w:color w:val="000000" w:themeColor="text1"/>
                <w:kern w:val="21"/>
                <w:sz w:val="24"/>
                <w:szCs w:val="32"/>
                <w14:textFill>
                  <w14:solidFill>
                    <w14:schemeClr w14:val="tx1"/>
                  </w14:solidFill>
                </w14:textFill>
              </w:rPr>
              <w:t>，项目设置1个有效容积为2m</w:t>
            </w:r>
            <w:r>
              <w:rPr>
                <w:rFonts w:hint="default" w:ascii="Times New Roman" w:hAnsi="Times New Roman" w:cs="Times New Roman"/>
                <w:bCs/>
                <w:color w:val="000000" w:themeColor="text1"/>
                <w:kern w:val="21"/>
                <w:sz w:val="24"/>
                <w:szCs w:val="32"/>
                <w:vertAlign w:val="superscript"/>
                <w14:textFill>
                  <w14:solidFill>
                    <w14:schemeClr w14:val="tx1"/>
                  </w14:solidFill>
                </w14:textFill>
              </w:rPr>
              <w:t>3</w:t>
            </w:r>
            <w:r>
              <w:rPr>
                <w:rFonts w:hint="default" w:ascii="Times New Roman" w:hAnsi="Times New Roman" w:cs="Times New Roman"/>
                <w:bCs/>
                <w:color w:val="000000" w:themeColor="text1"/>
                <w:kern w:val="21"/>
                <w:sz w:val="24"/>
                <w:szCs w:val="32"/>
                <w14:textFill>
                  <w14:solidFill>
                    <w14:schemeClr w14:val="tx1"/>
                  </w14:solidFill>
                </w14:textFill>
              </w:rPr>
              <w:t>的</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槽，其中约20%蒸发损耗，其余循环使用定期补充，</w:t>
            </w:r>
            <w:r>
              <w:rPr>
                <w:rFonts w:ascii="Times New Roman" w:hAnsi="Times New Roman" w:eastAsia="宋体" w:cs="Times New Roman"/>
                <w:color w:val="000000" w:themeColor="text1"/>
                <w:spacing w:val="0"/>
                <w:kern w:val="21"/>
                <w:position w:val="0"/>
                <w:sz w:val="24"/>
                <w14:textFill>
                  <w14:solidFill>
                    <w14:schemeClr w14:val="tx1"/>
                  </w14:solidFill>
                </w14:textFill>
              </w:rPr>
              <w:t>其余硅烷化槽液可循环使用</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定期补充，每天补充硅烷化液及新鲜水，共计</w:t>
            </w:r>
            <w:r>
              <w:rPr>
                <w:rFonts w:ascii="Times New Roman" w:hAnsi="Times New Roman" w:eastAsia="宋体" w:cs="Times New Roman"/>
                <w:color w:val="000000" w:themeColor="text1"/>
                <w:spacing w:val="0"/>
                <w:kern w:val="21"/>
                <w:position w:val="0"/>
                <w:sz w:val="24"/>
                <w14:textFill>
                  <w14:solidFill>
                    <w14:schemeClr w14:val="tx1"/>
                  </w14:solidFill>
                </w14:textFill>
              </w:rPr>
              <w:t>0.</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szCs w:val="32"/>
                <w14:textFill>
                  <w14:solidFill>
                    <w14:schemeClr w14:val="tx1"/>
                  </w14:solidFill>
                </w14:textFill>
              </w:rPr>
              <w:t>/d</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③脱脂-硅烷化清洗用水</w:t>
            </w:r>
          </w:p>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bCs/>
                <w:color w:val="000000" w:themeColor="text1"/>
                <w:kern w:val="21"/>
                <w:sz w:val="24"/>
                <w14:textFill>
                  <w14:solidFill>
                    <w14:schemeClr w14:val="tx1"/>
                  </w14:solidFill>
                </w14:textFill>
              </w:rPr>
              <w:t>本项目脱脂-</w:t>
            </w:r>
            <w:r>
              <w:rPr>
                <w:rFonts w:hint="eastAsia"/>
                <w:bCs/>
                <w:color w:val="000000" w:themeColor="text1"/>
                <w:kern w:val="21"/>
                <w:sz w:val="24"/>
                <w:lang w:val="en-US" w:eastAsia="zh-CN"/>
                <w14:textFill>
                  <w14:solidFill>
                    <w14:schemeClr w14:val="tx1"/>
                  </w14:solidFill>
                </w14:textFill>
              </w:rPr>
              <w:t>硅烷化</w:t>
            </w:r>
            <w:r>
              <w:rPr>
                <w:rFonts w:hint="eastAsia"/>
                <w:bCs/>
                <w:color w:val="000000" w:themeColor="text1"/>
                <w:kern w:val="21"/>
                <w:sz w:val="24"/>
                <w14:textFill>
                  <w14:solidFill>
                    <w14:schemeClr w14:val="tx1"/>
                  </w14:solidFill>
                </w14:textFill>
              </w:rPr>
              <w:t>线采用间歇式逆流漂洗的方式进行清洗，运行过程中工件与清洗水进行逆向流动，主要为工件</w:t>
            </w:r>
            <w:r>
              <w:rPr>
                <w:rFonts w:hint="eastAsia"/>
                <w:bCs/>
                <w:color w:val="000000" w:themeColor="text1"/>
                <w:kern w:val="21"/>
                <w:sz w:val="24"/>
                <w:lang w:val="en-US" w:eastAsia="zh-CN"/>
                <w14:textFill>
                  <w14:solidFill>
                    <w14:schemeClr w14:val="tx1"/>
                  </w14:solidFill>
                </w14:textFill>
              </w:rPr>
              <w:t>在</w:t>
            </w:r>
            <w:r>
              <w:rPr>
                <w:rFonts w:hint="eastAsia"/>
                <w:bCs/>
                <w:color w:val="000000" w:themeColor="text1"/>
                <w:kern w:val="21"/>
                <w:sz w:val="24"/>
                <w14:textFill>
                  <w14:solidFill>
                    <w14:schemeClr w14:val="tx1"/>
                  </w14:solidFill>
                </w14:textFill>
              </w:rPr>
              <w:t>脱脂和-</w:t>
            </w:r>
            <w:r>
              <w:rPr>
                <w:rFonts w:hint="eastAsia" w:ascii="Times New Roman" w:eastAsia="宋体"/>
                <w:bCs/>
                <w:color w:val="000000" w:themeColor="text1"/>
                <w:kern w:val="21"/>
                <w:sz w:val="24"/>
                <w:lang w:val="en-US" w:eastAsia="zh-CN"/>
                <w14:textFill>
                  <w14:solidFill>
                    <w14:schemeClr w14:val="tx1"/>
                  </w14:solidFill>
                </w14:textFill>
              </w:rPr>
              <w:t>硅烷化</w:t>
            </w:r>
            <w:r>
              <w:rPr>
                <w:rFonts w:hint="eastAsia"/>
                <w:bCs/>
                <w:color w:val="000000" w:themeColor="text1"/>
                <w:kern w:val="21"/>
                <w:sz w:val="24"/>
                <w14:textFill>
                  <w14:solidFill>
                    <w14:schemeClr w14:val="tx1"/>
                  </w14:solidFill>
                </w14:textFill>
              </w:rPr>
              <w:t>表面清洗所使用的水（逆流水和水池定期更换水），采用喷淋方式水洗。</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项目脱脂-硅烷化线上设置脱脂清洗水池（2个，</w:t>
            </w:r>
            <w:r>
              <w:rPr>
                <w:rFonts w:ascii="Times New Roman" w:hAnsi="Times New Roman" w:eastAsia="宋体" w:cs="Times New Roman"/>
                <w:color w:val="000000" w:themeColor="text1"/>
                <w:spacing w:val="0"/>
                <w:kern w:val="21"/>
                <w:position w:val="0"/>
                <w:sz w:val="24"/>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/个）及硅烷化清洗水池（2个，</w:t>
            </w:r>
            <w:r>
              <w:rPr>
                <w:rFonts w:ascii="Times New Roman" w:hAnsi="Times New Roman" w:eastAsia="宋体" w:cs="Times New Roman"/>
                <w:color w:val="000000" w:themeColor="text1"/>
                <w:spacing w:val="0"/>
                <w:kern w:val="21"/>
                <w:position w:val="0"/>
                <w:sz w:val="24"/>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/个），工件依次通过清洗池清洗，均使用自来水清洗。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本项目采用逆流漂洗进行清洗工件，逆流漂洗是利用液位差使各清洗池内清洗水按工件传送的反方向进行倒溢。清洗过程中往2#硅烷化清洗池补充自来水，逆流通过1#硅烷化清洗池后排入废水收集池（20m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）；补充的自来水加入2#脱脂清洗池，逆流通过1#脱脂清洗池后排入废水收集池（20m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）。根据业主提供资料，其每个水池逆流速度约</w:t>
            </w:r>
            <w:r>
              <w:rPr>
                <w:rFonts w:ascii="Times New Roman" w:hAnsi="Times New Roman" w:eastAsia="宋体" w:cs="Times New Roman"/>
                <w:color w:val="000000" w:themeColor="text1"/>
                <w:spacing w:val="0"/>
                <w:kern w:val="21"/>
                <w:position w:val="0"/>
                <w:sz w:val="24"/>
                <w14:textFill>
                  <w14:solidFill>
                    <w14:schemeClr w14:val="tx1"/>
                  </w14:solidFill>
                </w14:textFill>
              </w:rPr>
              <w:t>0.03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/h，则每天逆流废水量为</w:t>
            </w:r>
            <w:r>
              <w:rPr>
                <w:rFonts w:ascii="Times New Roman" w:hAnsi="Times New Roman" w:eastAsia="宋体" w:cs="Times New Roman"/>
                <w:color w:val="000000" w:themeColor="text1"/>
                <w:spacing w:val="0"/>
                <w:kern w:val="21"/>
                <w:position w:val="0"/>
                <w:sz w:val="24"/>
                <w14:textFill>
                  <w14:solidFill>
                    <w14:schemeClr w14:val="tx1"/>
                  </w14:solidFill>
                </w14:textFill>
              </w:rPr>
              <w:t>1.2</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/d，项目脱脂-硅烷化线每天运行时间以10h计，年工作330</w:t>
            </w:r>
            <w:r>
              <w:rPr>
                <w:rFonts w:ascii="Times New Roman" w:hAnsi="Times New Roman" w:eastAsia="宋体" w:cs="Times New Roman"/>
                <w:color w:val="000000" w:themeColor="text1"/>
                <w:spacing w:val="0"/>
                <w:kern w:val="21"/>
                <w:position w:val="0"/>
                <w:sz w:val="24"/>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hint="eastAsia"/>
                <w:color w:val="000000" w:themeColor="text1"/>
                <w:kern w:val="21"/>
                <w:sz w:val="24"/>
                <w14:textFill>
                  <w14:solidFill>
                    <w14:schemeClr w14:val="tx1"/>
                  </w14:solidFill>
                </w14:textFill>
              </w:rPr>
              <w:t>综上，</w:t>
            </w:r>
            <w:r>
              <w:rPr>
                <w:rFonts w:hint="eastAsia"/>
                <w:bCs/>
                <w:color w:val="000000" w:themeColor="text1"/>
                <w:kern w:val="21"/>
                <w:sz w:val="24"/>
                <w14:textFill>
                  <w14:solidFill>
                    <w14:schemeClr w14:val="tx1"/>
                  </w14:solidFill>
                </w14:textFill>
              </w:rPr>
              <w:t>本项目脱脂-</w:t>
            </w:r>
            <w:r>
              <w:rPr>
                <w:rFonts w:hint="eastAsia"/>
                <w:bCs/>
                <w:color w:val="000000" w:themeColor="text1"/>
                <w:kern w:val="21"/>
                <w:sz w:val="24"/>
                <w:lang w:val="en-US" w:eastAsia="zh-CN"/>
                <w14:textFill>
                  <w14:solidFill>
                    <w14:schemeClr w14:val="tx1"/>
                  </w14:solidFill>
                </w14:textFill>
              </w:rPr>
              <w:t>硅烷化</w:t>
            </w:r>
            <w:r>
              <w:rPr>
                <w:rFonts w:hint="eastAsia"/>
                <w:bCs/>
                <w:color w:val="000000" w:themeColor="text1"/>
                <w:kern w:val="21"/>
                <w:sz w:val="24"/>
                <w14:textFill>
                  <w14:solidFill>
                    <w14:schemeClr w14:val="tx1"/>
                  </w14:solidFill>
                </w14:textFill>
              </w:rPr>
              <w:t>线用水情况见下表。</w:t>
            </w:r>
          </w:p>
          <w:p>
            <w:pPr>
              <w:keepNext w:val="0"/>
              <w:keepLines w:val="0"/>
              <w:pageBreakBefore w:val="0"/>
              <w:numPr>
                <w:ilvl w:val="0"/>
                <w:numId w:val="23"/>
              </w:numPr>
              <w:kinsoku/>
              <w:wordWrap/>
              <w:overflowPunct/>
              <w:autoSpaceDE/>
              <w:autoSpaceDN/>
              <w:bidi w:val="0"/>
              <w:adjustRightInd w:val="0"/>
              <w:snapToGrid w:val="0"/>
              <w:spacing w:before="62" w:beforeLines="20" w:after="62" w:afterLines="20"/>
              <w:ind w:left="0" w:firstLine="0"/>
              <w:jc w:val="center"/>
              <w:textAlignment w:val="auto"/>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t>本项目</w:t>
            </w:r>
            <w:r>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脱脂-硅烷化线用水情况</w:t>
            </w:r>
            <w:r>
              <w:rPr>
                <w:rFonts w:hint="default" w:ascii="Times New Roman" w:hAnsi="Times New Roman" w:eastAsia="宋体" w:cs="Times New Roman"/>
                <w:b/>
                <w:bCs/>
                <w:color w:val="000000" w:themeColor="text1"/>
                <w:spacing w:val="0"/>
                <w:kern w:val="21"/>
                <w:position w:val="0"/>
                <w:sz w:val="21"/>
                <w:szCs w:val="21"/>
                <w14:textFill>
                  <w14:solidFill>
                    <w14:schemeClr w14:val="tx1"/>
                  </w14:solidFill>
                </w14:textFill>
              </w:rPr>
              <w:t>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116"/>
              <w:gridCol w:w="1300"/>
              <w:gridCol w:w="1017"/>
              <w:gridCol w:w="120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2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工序</w:t>
                  </w:r>
                </w:p>
              </w:tc>
              <w:tc>
                <w:tcPr>
                  <w:tcW w:w="66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有效容积</w:t>
                  </w:r>
                </w:p>
              </w:tc>
              <w:tc>
                <w:tcPr>
                  <w:tcW w:w="77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更换频次</w:t>
                  </w:r>
                </w:p>
              </w:tc>
              <w:tc>
                <w:tcPr>
                  <w:tcW w:w="60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日最大用水量</w:t>
                  </w:r>
                </w:p>
              </w:tc>
              <w:tc>
                <w:tcPr>
                  <w:tcW w:w="71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日最大废水产生量</w:t>
                  </w:r>
                </w:p>
              </w:tc>
              <w:tc>
                <w:tcPr>
                  <w:tcW w:w="1208"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2#</w:t>
                  </w:r>
                  <w:r>
                    <w:rPr>
                      <w:rFonts w:hint="eastAsia" w:ascii="Times New Roman" w:hAnsi="Times New Roman" w:cs="Times New Roman"/>
                      <w:color w:val="000000" w:themeColor="text1"/>
                      <w:kern w:val="21"/>
                      <w:sz w:val="21"/>
                      <w:szCs w:val="21"/>
                      <w:lang w:val="en-US" w:eastAsia="zh-CN"/>
                      <w14:textFill>
                        <w14:solidFill>
                          <w14:schemeClr w14:val="tx1"/>
                        </w14:solidFill>
                      </w14:textFill>
                    </w:rPr>
                    <w:t>硅烷化</w:t>
                  </w:r>
                  <w:r>
                    <w:rPr>
                      <w:rFonts w:hint="default" w:ascii="Times New Roman" w:hAnsi="Times New Roman" w:cs="Times New Roman"/>
                      <w:color w:val="000000" w:themeColor="text1"/>
                      <w:kern w:val="21"/>
                      <w:sz w:val="21"/>
                      <w:szCs w:val="21"/>
                      <w14:textFill>
                        <w14:solidFill>
                          <w14:schemeClr w14:val="tx1"/>
                        </w14:solidFill>
                      </w14:textFill>
                    </w:rPr>
                    <w:t>清洗池</w:t>
                  </w:r>
                </w:p>
              </w:tc>
              <w:tc>
                <w:tcPr>
                  <w:tcW w:w="665" w:type="pct"/>
                  <w:vAlign w:val="center"/>
                </w:tcPr>
                <w:p>
                  <w:pPr>
                    <w:keepNext w:val="0"/>
                    <w:keepLines w:val="0"/>
                    <w:pageBreakBefore w:val="0"/>
                    <w:widowControl/>
                    <w:kinsoku/>
                    <w:wordWrap/>
                    <w:overflowPunct/>
                    <w:topLinePunct/>
                    <w:autoSpaceDE/>
                    <w:autoSpaceDN/>
                    <w:bidi w:val="0"/>
                    <w:snapToGrid w:val="0"/>
                    <w:spacing w:before="48" w:beforeLines="20" w:after="48" w:afterLines="20"/>
                    <w:ind w:lef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2m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75" w:type="pct"/>
                  <w:vAlign w:val="center"/>
                </w:tcPr>
                <w:p>
                  <w:pPr>
                    <w:keepNext w:val="0"/>
                    <w:keepLines w:val="0"/>
                    <w:pageBreakBefore w:val="0"/>
                    <w:widowControl/>
                    <w:kinsoku/>
                    <w:wordWrap/>
                    <w:overflowPunct/>
                    <w:topLinePunct/>
                    <w:autoSpaceDE/>
                    <w:autoSpaceDN/>
                    <w:bidi w:val="0"/>
                    <w:snapToGrid w:val="0"/>
                    <w:spacing w:before="48" w:beforeLines="20" w:after="48" w:afterLines="20"/>
                    <w:ind w:lef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逆流，流速0.0375m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r>
                    <w:rPr>
                      <w:rFonts w:hint="default" w:ascii="Times New Roman" w:hAnsi="Times New Roman" w:cs="Times New Roman"/>
                      <w:color w:val="000000" w:themeColor="text1"/>
                      <w:kern w:val="21"/>
                      <w:sz w:val="21"/>
                      <w:szCs w:val="21"/>
                      <w14:textFill>
                        <w14:solidFill>
                          <w14:schemeClr w14:val="tx1"/>
                        </w14:solidFill>
                      </w14:textFill>
                    </w:rPr>
                    <w:t>/h</w:t>
                  </w:r>
                </w:p>
              </w:tc>
              <w:tc>
                <w:tcPr>
                  <w:tcW w:w="60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1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1208" w:type="pct"/>
                  <w:vMerge w:val="restar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依次逆流漂洗，每周末位预热清洗池更换一次水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1#</w:t>
                  </w:r>
                  <w:r>
                    <w:rPr>
                      <w:rFonts w:hint="eastAsia" w:ascii="Times New Roman" w:hAnsi="Times New Roman" w:cs="Times New Roman"/>
                      <w:color w:val="000000" w:themeColor="text1"/>
                      <w:kern w:val="21"/>
                      <w:sz w:val="21"/>
                      <w:szCs w:val="21"/>
                      <w:lang w:val="en-US" w:eastAsia="zh-CN"/>
                      <w14:textFill>
                        <w14:solidFill>
                          <w14:schemeClr w14:val="tx1"/>
                        </w14:solidFill>
                      </w14:textFill>
                    </w:rPr>
                    <w:t>硅烷化</w:t>
                  </w:r>
                  <w:r>
                    <w:rPr>
                      <w:rFonts w:hint="default" w:ascii="Times New Roman" w:hAnsi="Times New Roman" w:cs="Times New Roman"/>
                      <w:color w:val="000000" w:themeColor="text1"/>
                      <w:kern w:val="21"/>
                      <w:sz w:val="21"/>
                      <w:szCs w:val="21"/>
                      <w14:textFill>
                        <w14:solidFill>
                          <w14:schemeClr w14:val="tx1"/>
                        </w14:solidFill>
                      </w14:textFill>
                    </w:rPr>
                    <w:t>清洗池</w:t>
                  </w:r>
                </w:p>
              </w:tc>
              <w:tc>
                <w:tcPr>
                  <w:tcW w:w="66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2m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7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逆流，流速0.0375m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r>
                    <w:rPr>
                      <w:rFonts w:hint="default" w:ascii="Times New Roman" w:hAnsi="Times New Roman" w:cs="Times New Roman"/>
                      <w:color w:val="000000" w:themeColor="text1"/>
                      <w:kern w:val="21"/>
                      <w:sz w:val="21"/>
                      <w:szCs w:val="21"/>
                      <w14:textFill>
                        <w14:solidFill>
                          <w14:schemeClr w14:val="tx1"/>
                        </w14:solidFill>
                      </w14:textFill>
                    </w:rPr>
                    <w:t>/h</w:t>
                  </w:r>
                </w:p>
              </w:tc>
              <w:tc>
                <w:tcPr>
                  <w:tcW w:w="60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1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1208" w:type="pct"/>
                  <w:vMerge w:val="continue"/>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2#脱脂清洗池</w:t>
                  </w:r>
                </w:p>
              </w:tc>
              <w:tc>
                <w:tcPr>
                  <w:tcW w:w="66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2m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7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逆流，流速0.0375m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r>
                    <w:rPr>
                      <w:rFonts w:hint="default" w:ascii="Times New Roman" w:hAnsi="Times New Roman" w:cs="Times New Roman"/>
                      <w:color w:val="000000" w:themeColor="text1"/>
                      <w:kern w:val="21"/>
                      <w:sz w:val="21"/>
                      <w:szCs w:val="21"/>
                      <w14:textFill>
                        <w14:solidFill>
                          <w14:schemeClr w14:val="tx1"/>
                        </w14:solidFill>
                      </w14:textFill>
                    </w:rPr>
                    <w:t>/h</w:t>
                  </w:r>
                </w:p>
              </w:tc>
              <w:tc>
                <w:tcPr>
                  <w:tcW w:w="60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1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1208" w:type="pct"/>
                  <w:vMerge w:val="restar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依次逆流漂洗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1#脱脂清洗池</w:t>
                  </w:r>
                </w:p>
              </w:tc>
              <w:tc>
                <w:tcPr>
                  <w:tcW w:w="66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2m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75"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逆流，流速0.0375m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r>
                    <w:rPr>
                      <w:rFonts w:hint="default" w:ascii="Times New Roman" w:hAnsi="Times New Roman" w:cs="Times New Roman"/>
                      <w:color w:val="000000" w:themeColor="text1"/>
                      <w:kern w:val="21"/>
                      <w:sz w:val="21"/>
                      <w:szCs w:val="21"/>
                      <w14:textFill>
                        <w14:solidFill>
                          <w14:schemeClr w14:val="tx1"/>
                        </w14:solidFill>
                      </w14:textFill>
                    </w:rPr>
                    <w:t>/h</w:t>
                  </w:r>
                </w:p>
              </w:tc>
              <w:tc>
                <w:tcPr>
                  <w:tcW w:w="60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0.375m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1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0.3m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1208" w:type="pct"/>
                  <w:vMerge w:val="continue"/>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pct"/>
                  <w:gridSpan w:val="3"/>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合计</w:t>
                  </w:r>
                </w:p>
              </w:tc>
              <w:tc>
                <w:tcPr>
                  <w:tcW w:w="60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1.5</w:t>
                  </w:r>
                  <w:r>
                    <w:rPr>
                      <w:rFonts w:hint="default" w:ascii="Times New Roman" w:hAnsi="Times New Roman" w:cs="Times New Roman"/>
                      <w:color w:val="000000" w:themeColor="text1"/>
                      <w:kern w:val="21"/>
                      <w:sz w:val="21"/>
                      <w:szCs w:val="21"/>
                      <w14:textFill>
                        <w14:solidFill>
                          <w14:schemeClr w14:val="tx1"/>
                        </w14:solidFill>
                      </w14:textFill>
                    </w:rPr>
                    <w:t>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716"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1.2</w:t>
                  </w:r>
                  <w:r>
                    <w:rPr>
                      <w:rFonts w:hint="default" w:ascii="Times New Roman" w:hAnsi="Times New Roman" w:cs="Times New Roman"/>
                      <w:color w:val="000000" w:themeColor="text1"/>
                      <w:kern w:val="21"/>
                      <w:sz w:val="21"/>
                      <w:szCs w:val="21"/>
                      <w14:textFill>
                        <w14:solidFill>
                          <w14:schemeClr w14:val="tx1"/>
                        </w14:solidFill>
                      </w14:textFill>
                    </w:rPr>
                    <w:t>m</w:t>
                  </w:r>
                  <w:r>
                    <w:rPr>
                      <w:rFonts w:hint="default" w:ascii="Times New Roman" w:hAnsi="Times New Roman" w:cs="Times New Roman"/>
                      <w:color w:val="000000" w:themeColor="text1"/>
                      <w:kern w:val="21"/>
                      <w:sz w:val="21"/>
                      <w:szCs w:val="21"/>
                      <w:vertAlign w:val="superscript"/>
                      <w14:textFill>
                        <w14:solidFill>
                          <w14:schemeClr w14:val="tx1"/>
                        </w14:solidFill>
                      </w14:textFill>
                    </w:rPr>
                    <w:t>3</w:t>
                  </w:r>
                </w:p>
              </w:tc>
              <w:tc>
                <w:tcPr>
                  <w:tcW w:w="1208" w:type="pct"/>
                  <w:vAlign w:val="center"/>
                </w:tcPr>
                <w:p>
                  <w:pPr>
                    <w:pStyle w:val="2"/>
                    <w:keepNext w:val="0"/>
                    <w:keepLines w:val="0"/>
                    <w:pageBreakBefore w:val="0"/>
                    <w:kinsoku/>
                    <w:wordWrap/>
                    <w:overflowPunct/>
                    <w:topLinePunct/>
                    <w:autoSpaceDE/>
                    <w:autoSpaceDN/>
                    <w:bidi w:val="0"/>
                    <w:snapToGrid w:val="0"/>
                    <w:spacing w:before="48" w:beforeLines="20" w:after="48" w:afterLines="20" w:line="240" w:lineRule="auto"/>
                    <w:ind w:left="0" w:right="0" w:firstLine="0"/>
                    <w:jc w:val="center"/>
                    <w:textAlignment w:val="auto"/>
                    <w:rPr>
                      <w:rFonts w:hint="default" w:ascii="Times New Roman" w:hAnsi="Times New Roman" w:cs="Times New Roman"/>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kern w:val="21"/>
                      <w:sz w:val="21"/>
                      <w:szCs w:val="21"/>
                      <w14:textFill>
                        <w14:solidFill>
                          <w14:schemeClr w14:val="tx1"/>
                        </w14:solidFill>
                      </w14:textFill>
                    </w:rPr>
                    <w:t>/</w:t>
                  </w:r>
                </w:p>
              </w:tc>
            </w:tr>
          </w:tbl>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本项目脱脂-硅烷化流水线示意图如下。</w:t>
            </w:r>
          </w:p>
          <w:p>
            <w:pPr>
              <w:keepNext w:val="0"/>
              <w:keepLines w:val="0"/>
              <w:pageBreakBefore w:val="0"/>
              <w:widowControl w:val="0"/>
              <w:kinsoku/>
              <w:wordWrap/>
              <w:overflowPunct/>
              <w:topLinePunct w:val="0"/>
              <w:autoSpaceDE/>
              <w:autoSpaceDN/>
              <w:bidi w:val="0"/>
              <w:snapToGrid w:val="0"/>
              <w:spacing w:before="63" w:beforeLines="20" w:after="63" w:afterLines="20" w:line="240" w:lineRule="auto"/>
              <w:ind w:left="0" w:firstLine="0" w:firstLineChars="0"/>
              <w:jc w:val="center"/>
              <w:textAlignment w:val="auto"/>
              <w:rPr>
                <w:color w:val="000000" w:themeColor="text1"/>
                <w:kern w:val="21"/>
                <w14:textFill>
                  <w14:solidFill>
                    <w14:schemeClr w14:val="tx1"/>
                  </w14:solidFill>
                </w14:textFill>
              </w:rPr>
            </w:pPr>
            <w:r>
              <w:rPr>
                <w:color w:val="000000" w:themeColor="text1"/>
                <w:kern w:val="21"/>
                <w14:textFill>
                  <w14:solidFill>
                    <w14:schemeClr w14:val="tx1"/>
                  </w14:solidFill>
                </w14:textFill>
              </w:rPr>
              <w:object>
                <v:shape id="_x0000_i1029" o:spt="75" type="#_x0000_t75" style="height:95.15pt;width:419pt;" o:ole="t" filled="f" o:preferrelative="t" stroked="f" coordsize="21600,21600">
                  <v:path/>
                  <v:fill on="f" focussize="0,0"/>
                  <v:stroke on="f"/>
                  <v:imagedata r:id="rId31" o:title=""/>
                  <o:lock v:ext="edit" aspectratio="t"/>
                  <w10:wrap type="none"/>
                  <w10:anchorlock/>
                </v:shape>
                <o:OLEObject Type="Embed" ProgID="Visio.Drawing.15" ShapeID="_x0000_i1029" DrawAspect="Content" ObjectID="_1468075729" r:id="rId30">
                  <o:LockedField>false</o:LockedField>
                </o:OLEObject>
              </w:object>
            </w:r>
          </w:p>
          <w:p>
            <w:pPr>
              <w:keepNext w:val="0"/>
              <w:keepLines w:val="0"/>
              <w:pageBreakBefore w:val="0"/>
              <w:widowControl w:val="0"/>
              <w:numPr>
                <w:ilvl w:val="0"/>
                <w:numId w:val="25"/>
              </w:numPr>
              <w:kinsoku/>
              <w:wordWrap/>
              <w:overflowPunct/>
              <w:topLinePunct w:val="0"/>
              <w:autoSpaceDE/>
              <w:autoSpaceDN/>
              <w:bidi w:val="0"/>
              <w:adjustRightInd w:val="0"/>
              <w:snapToGrid w:val="0"/>
              <w:spacing w:before="63" w:beforeLines="20" w:after="63" w:afterLines="20" w:line="240" w:lineRule="auto"/>
              <w:ind w:left="0" w:firstLine="0" w:firstLineChars="0"/>
              <w:jc w:val="center"/>
              <w:textAlignment w:val="auto"/>
              <w:rPr>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b/>
                <w:color w:val="000000" w:themeColor="text1"/>
                <w:spacing w:val="0"/>
                <w:kern w:val="21"/>
                <w:position w:val="0"/>
                <w:szCs w:val="21"/>
                <w:lang w:val="en-US" w:eastAsia="zh-CN"/>
                <w14:textFill>
                  <w14:solidFill>
                    <w14:schemeClr w14:val="tx1"/>
                  </w14:solidFill>
                </w14:textFill>
              </w:rPr>
              <w:t>脱脂-硅烷</w:t>
            </w:r>
            <w:r>
              <w:rPr>
                <w:rFonts w:hint="eastAsia" w:ascii="Times New Roman" w:hAnsi="Times New Roman" w:eastAsia="宋体" w:cs="Times New Roman"/>
                <w:b/>
                <w:bCs w:val="0"/>
                <w:color w:val="000000" w:themeColor="text1"/>
                <w:spacing w:val="0"/>
                <w:kern w:val="21"/>
                <w:position w:val="0"/>
                <w:szCs w:val="21"/>
                <w:lang w:val="en-US" w:eastAsia="zh-CN"/>
                <w14:textFill>
                  <w14:solidFill>
                    <w14:schemeClr w14:val="tx1"/>
                  </w14:solidFill>
                </w14:textFill>
              </w:rPr>
              <w:t>化</w:t>
            </w:r>
            <w:r>
              <w:rPr>
                <w:b/>
                <w:bCs w:val="0"/>
                <w:color w:val="000000" w:themeColor="text1"/>
                <w:kern w:val="21"/>
                <w14:textFill>
                  <w14:solidFill>
                    <w14:schemeClr w14:val="tx1"/>
                  </w14:solidFill>
                </w14:textFill>
              </w:rPr>
              <w:t>给排水示意图</w:t>
            </w:r>
            <w:r>
              <w:rPr>
                <w:rFonts w:ascii="Times New Roman" w:hAnsi="Times New Roman" w:eastAsia="宋体" w:cs="Times New Roman"/>
                <w:b/>
                <w:bCs w:val="0"/>
                <w:color w:val="000000" w:themeColor="text1"/>
                <w:spacing w:val="0"/>
                <w:kern w:val="21"/>
                <w:position w:val="0"/>
                <w:szCs w:val="21"/>
                <w14:textFill>
                  <w14:solidFill>
                    <w14:schemeClr w14:val="tx1"/>
                  </w14:solidFill>
                </w14:textFill>
              </w:rPr>
              <w:t xml:space="preserve"> </w:t>
            </w:r>
            <w:r>
              <w:rPr>
                <w:rFonts w:ascii="Times New Roman" w:hAnsi="Times New Roman" w:eastAsia="宋体" w:cs="Times New Roman"/>
                <w:b/>
                <w:color w:val="000000" w:themeColor="text1"/>
                <w:spacing w:val="0"/>
                <w:kern w:val="21"/>
                <w:position w:val="0"/>
                <w:szCs w:val="21"/>
                <w14:textFill>
                  <w14:solidFill>
                    <w14:schemeClr w14:val="tx1"/>
                  </w14:solidFill>
                </w14:textFill>
              </w:rPr>
              <w:t>单位：</w:t>
            </w: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t/a</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6</w:t>
            </w:r>
            <w:r>
              <w:rPr>
                <w:rFonts w:hint="eastAsia" w:ascii="Times New Roman" w:hAnsi="Times New Roman" w:eastAsia="宋体" w:cs="Times New Roman"/>
                <w:b/>
                <w:bCs/>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喷枪清洗用水</w:t>
            </w:r>
          </w:p>
          <w:p>
            <w:pPr>
              <w:pageBreakBefore w:val="0"/>
              <w:widowControl/>
              <w:kinsoku/>
              <w:overflowPunct/>
              <w:autoSpaceDE/>
              <w:autoSpaceDN/>
              <w:bidi w:val="0"/>
              <w:spacing w:line="360" w:lineRule="auto"/>
              <w:ind w:firstLine="480"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r>
              <w:rPr>
                <w:rFonts w:ascii="Times New Roman" w:hAnsi="Times New Roman" w:cs="Times New Roman"/>
                <w:color w:val="000000" w:themeColor="text1"/>
                <w:spacing w:val="0"/>
                <w:kern w:val="21"/>
                <w:position w:val="0"/>
                <w:sz w:val="24"/>
                <w14:textFill>
                  <w14:solidFill>
                    <w14:schemeClr w14:val="tx1"/>
                  </w14:solidFill>
                </w14:textFill>
              </w:rPr>
              <w:t>本项目共设置3把喷枪，每天喷涂结束后需清洗喷枪，</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本项目所用漆料为水性漆，喷枪用自来水清洗。</w:t>
            </w:r>
            <w:r>
              <w:rPr>
                <w:rFonts w:ascii="Times New Roman" w:hAnsi="Times New Roman" w:cs="Times New Roman"/>
                <w:color w:val="000000" w:themeColor="text1"/>
                <w:spacing w:val="0"/>
                <w:kern w:val="21"/>
                <w:position w:val="0"/>
                <w:sz w:val="24"/>
                <w14:textFill>
                  <w14:solidFill>
                    <w14:schemeClr w14:val="tx1"/>
                  </w14:solidFill>
                </w14:textFill>
              </w:rPr>
              <w:t>根据建设单位提供资料，单</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个</w:t>
            </w:r>
            <w:r>
              <w:rPr>
                <w:rFonts w:ascii="Times New Roman" w:hAnsi="Times New Roman" w:cs="Times New Roman"/>
                <w:color w:val="000000" w:themeColor="text1"/>
                <w:spacing w:val="0"/>
                <w:kern w:val="21"/>
                <w:position w:val="0"/>
                <w:sz w:val="24"/>
                <w14:textFill>
                  <w14:solidFill>
                    <w14:schemeClr w14:val="tx1"/>
                  </w14:solidFill>
                </w14:textFill>
              </w:rPr>
              <w:t>喷枪清洗用水约</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0.5</w:t>
            </w:r>
            <w:r>
              <w:rPr>
                <w:rFonts w:ascii="Times New Roman" w:hAnsi="Times New Roman" w:cs="Times New Roman"/>
                <w:color w:val="000000" w:themeColor="text1"/>
                <w:spacing w:val="0"/>
                <w:kern w:val="21"/>
                <w:position w:val="0"/>
                <w:sz w:val="24"/>
                <w14:textFill>
                  <w14:solidFill>
                    <w14:schemeClr w14:val="tx1"/>
                  </w14:solidFill>
                </w14:textFill>
              </w:rPr>
              <w:t>L</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/次</w:t>
            </w:r>
            <w:r>
              <w:rPr>
                <w:rFonts w:ascii="Times New Roman" w:hAnsi="Times New Roman" w:cs="Times New Roman"/>
                <w:color w:val="000000" w:themeColor="text1"/>
                <w:spacing w:val="0"/>
                <w:kern w:val="21"/>
                <w:position w:val="0"/>
                <w:sz w:val="24"/>
                <w14:textFill>
                  <w14:solidFill>
                    <w14:schemeClr w14:val="tx1"/>
                  </w14:solidFill>
                </w14:textFill>
              </w:rPr>
              <w:t>，年工作</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330</w:t>
            </w:r>
            <w:r>
              <w:rPr>
                <w:rFonts w:ascii="Times New Roman" w:hAnsi="Times New Roman" w:cs="Times New Roman"/>
                <w:color w:val="000000" w:themeColor="text1"/>
                <w:spacing w:val="0"/>
                <w:kern w:val="21"/>
                <w:position w:val="0"/>
                <w:sz w:val="24"/>
                <w14:textFill>
                  <w14:solidFill>
                    <w14:schemeClr w14:val="tx1"/>
                  </w14:solidFill>
                </w14:textFill>
              </w:rPr>
              <w:t>天，则喷枪清洗用水量为</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0.0015m</w:t>
            </w:r>
            <w:r>
              <w:rPr>
                <w:rFonts w:hint="eastAsia" w:ascii="Times New Roman" w:hAnsi="Times New Roman" w:cs="Times New Roman"/>
                <w:color w:val="000000" w:themeColor="text1"/>
                <w:spacing w:val="0"/>
                <w:kern w:val="21"/>
                <w:position w:val="0"/>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/d（</w:t>
            </w:r>
            <w:r>
              <w:rPr>
                <w:rFonts w:ascii="Times New Roman" w:hAnsi="Times New Roman" w:cs="Times New Roman"/>
                <w:color w:val="000000" w:themeColor="text1"/>
                <w:spacing w:val="0"/>
                <w:kern w:val="21"/>
                <w:position w:val="0"/>
                <w:sz w:val="24"/>
                <w14:textFill>
                  <w14:solidFill>
                    <w14:schemeClr w14:val="tx1"/>
                  </w14:solidFill>
                </w14:textFill>
              </w:rPr>
              <w:t>0.</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495</w:t>
            </w:r>
            <w:r>
              <w:rPr>
                <w:rFonts w:ascii="Times New Roman" w:hAnsi="Times New Roman" w:cs="Times New Roman"/>
                <w:color w:val="000000" w:themeColor="text1"/>
                <w:spacing w:val="0"/>
                <w:kern w:val="21"/>
                <w:position w:val="0"/>
                <w:sz w:val="24"/>
                <w14:textFill>
                  <w14:solidFill>
                    <w14:schemeClr w14:val="tx1"/>
                  </w14:solidFill>
                </w14:textFill>
              </w:rPr>
              <w:t>t/a</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w:t>
            </w:r>
            <w:r>
              <w:rPr>
                <w:rFonts w:ascii="Times New Roman" w:hAnsi="Times New Roman" w:cs="Times New Roman"/>
                <w:color w:val="000000" w:themeColor="text1"/>
                <w:spacing w:val="0"/>
                <w:kern w:val="21"/>
                <w:position w:val="0"/>
                <w:sz w:val="24"/>
                <w14:textFill>
                  <w14:solidFill>
                    <w14:schemeClr w14:val="tx1"/>
                  </w14:solidFill>
                </w14:textFill>
              </w:rPr>
              <w:t>，喷枪清洗废水</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损耗以20%计，</w:t>
            </w:r>
            <w:r>
              <w:rPr>
                <w:rFonts w:ascii="Times New Roman" w:hAnsi="Times New Roman" w:cs="Times New Roman"/>
                <w:color w:val="000000" w:themeColor="text1"/>
                <w:spacing w:val="0"/>
                <w:kern w:val="21"/>
                <w:position w:val="0"/>
                <w:sz w:val="24"/>
                <w14:textFill>
                  <w14:solidFill>
                    <w14:schemeClr w14:val="tx1"/>
                  </w14:solidFill>
                </w14:textFill>
              </w:rPr>
              <w:t>则喷枪清洗废水产生量为</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0.0012m</w:t>
            </w:r>
            <w:r>
              <w:rPr>
                <w:rFonts w:hint="eastAsia" w:ascii="Times New Roman" w:hAnsi="Times New Roman" w:cs="Times New Roman"/>
                <w:color w:val="000000" w:themeColor="text1"/>
                <w:spacing w:val="0"/>
                <w:kern w:val="21"/>
                <w:position w:val="0"/>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/d（0.396</w:t>
            </w:r>
            <w:r>
              <w:rPr>
                <w:rFonts w:ascii="Times New Roman" w:hAnsi="Times New Roman" w:cs="Times New Roman"/>
                <w:color w:val="000000" w:themeColor="text1"/>
                <w:spacing w:val="0"/>
                <w:kern w:val="21"/>
                <w:position w:val="0"/>
                <w:sz w:val="24"/>
                <w14:textFill>
                  <w14:solidFill>
                    <w14:schemeClr w14:val="tx1"/>
                  </w14:solidFill>
                </w14:textFill>
              </w:rPr>
              <w:t>t/a</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w:t>
            </w:r>
            <w:r>
              <w:rPr>
                <w:rFonts w:ascii="Times New Roman" w:hAnsi="Times New Roman" w:cs="Times New Roman"/>
                <w:color w:val="000000" w:themeColor="text1"/>
                <w:spacing w:val="0"/>
                <w:kern w:val="21"/>
                <w:position w:val="0"/>
                <w:sz w:val="24"/>
                <w14:textFill>
                  <w14:solidFill>
                    <w14:schemeClr w14:val="tx1"/>
                  </w14:solidFill>
                </w14:textFill>
              </w:rPr>
              <w:t>，</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本项目喷枪清洗废水回用于调漆，</w:t>
            </w:r>
            <w:r>
              <w:rPr>
                <w:rFonts w:ascii="Times New Roman" w:hAnsi="Times New Roman" w:cs="Times New Roman"/>
                <w:color w:val="000000" w:themeColor="text1"/>
                <w:spacing w:val="0"/>
                <w:kern w:val="21"/>
                <w:position w:val="0"/>
                <w:sz w:val="24"/>
                <w14:textFill>
                  <w14:solidFill>
                    <w14:schemeClr w14:val="tx1"/>
                  </w14:solidFill>
                </w14:textFill>
              </w:rPr>
              <w:t>不外排。</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本项目水平衡见下图。</w:t>
            </w:r>
          </w:p>
          <w:p>
            <w:pPr>
              <w:pStyle w:val="27"/>
              <w:pageBreakBefore w:val="0"/>
              <w:kinsoku/>
              <w:overflowPunct/>
              <w:autoSpaceDE/>
              <w:autoSpaceDN/>
              <w:bidi w:val="0"/>
              <w:snapToGrid w:val="0"/>
              <w:spacing w:before="62" w:beforeLines="20" w:after="62" w:afterLines="20"/>
              <w:jc w:val="center"/>
              <w:textAlignment w:val="auto"/>
              <w:rPr>
                <w:rFonts w:ascii="Times New Roman" w:hAnsi="Times New Roman"/>
                <w:color w:val="000000" w:themeColor="text1"/>
                <w:spacing w:val="0"/>
                <w:kern w:val="21"/>
                <w:position w:val="0"/>
                <w:sz w:val="21"/>
                <w:szCs w:val="21"/>
                <w14:textFill>
                  <w14:solidFill>
                    <w14:schemeClr w14:val="tx1"/>
                  </w14:solidFill>
                </w14:textFill>
              </w:rPr>
            </w:pPr>
            <w:r>
              <w:rPr>
                <w:rFonts w:hint="eastAsia" w:ascii="等线" w:hAnsi="等线" w:eastAsia="等线"/>
                <w:color w:val="000000" w:themeColor="text1"/>
                <w:spacing w:val="0"/>
                <w:kern w:val="21"/>
                <w:position w:val="0"/>
                <w:sz w:val="21"/>
                <w:szCs w:val="21"/>
                <w:lang w:bidi="ar"/>
                <w14:textFill>
                  <w14:solidFill>
                    <w14:schemeClr w14:val="tx1"/>
                  </w14:solidFill>
                </w14:textFill>
              </w:rPr>
              <w:object>
                <v:shape id="_x0000_i1030" o:spt="75" type="#_x0000_t75" style="height:299.2pt;width:402.55pt;" o:ole="t" filled="f" o:preferrelative="t" stroked="f" coordsize="21600,21600">
                  <v:path/>
                  <v:fill on="f" focussize="0,0"/>
                  <v:stroke on="f"/>
                  <v:imagedata r:id="rId33" o:title=""/>
                  <o:lock v:ext="edit" aspectratio="t"/>
                  <w10:wrap type="none"/>
                  <w10:anchorlock/>
                </v:shape>
                <o:OLEObject Type="Embed" ProgID="Visio.Drawing.15" ShapeID="_x0000_i1030" DrawAspect="Content" ObjectID="_1468075730" r:id="rId32">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color w:val="000000" w:themeColor="text1"/>
                <w:spacing w:val="0"/>
                <w:kern w:val="21"/>
                <w:position w:val="0"/>
                <w:sz w:val="21"/>
                <w:szCs w:val="21"/>
                <w14:textFill>
                  <w14:solidFill>
                    <w14:schemeClr w14:val="tx1"/>
                  </w14:solidFill>
                </w14:textFill>
              </w:rPr>
            </w:pPr>
            <w:bookmarkStart w:id="18" w:name="OLE_LINK21"/>
            <w:r>
              <w:rPr>
                <w:rFonts w:ascii="Times New Roman" w:hAnsi="Times New Roman" w:eastAsia="宋体" w:cs="Times New Roman"/>
                <w:b/>
                <w:color w:val="000000" w:themeColor="text1"/>
                <w:spacing w:val="0"/>
                <w:kern w:val="21"/>
                <w:position w:val="0"/>
                <w:sz w:val="21"/>
                <w:szCs w:val="21"/>
                <w14:textFill>
                  <w14:solidFill>
                    <w14:schemeClr w14:val="tx1"/>
                  </w14:solidFill>
                </w14:textFill>
              </w:rPr>
              <w:t>本项目水平衡图（以日</w:t>
            </w:r>
            <w:r>
              <w:rPr>
                <w:rFonts w:hint="eastAsia" w:ascii="Times New Roman" w:hAnsi="Times New Roman" w:eastAsia="宋体" w:cs="Times New Roman"/>
                <w:b/>
                <w:color w:val="000000" w:themeColor="text1"/>
                <w:spacing w:val="0"/>
                <w:kern w:val="21"/>
                <w:position w:val="0"/>
                <w:sz w:val="21"/>
                <w:szCs w:val="21"/>
                <w:lang w:val="en-US" w:eastAsia="zh-CN"/>
                <w14:textFill>
                  <w14:solidFill>
                    <w14:schemeClr w14:val="tx1"/>
                  </w14:solidFill>
                </w14:textFill>
              </w:rPr>
              <w:t>平均</w:t>
            </w:r>
            <w:r>
              <w:rPr>
                <w:rFonts w:ascii="Times New Roman" w:hAnsi="Times New Roman" w:eastAsia="宋体" w:cs="Times New Roman"/>
                <w:b/>
                <w:color w:val="000000" w:themeColor="text1"/>
                <w:spacing w:val="0"/>
                <w:kern w:val="21"/>
                <w:position w:val="0"/>
                <w:sz w:val="21"/>
                <w:szCs w:val="21"/>
                <w14:textFill>
                  <w14:solidFill>
                    <w14:schemeClr w14:val="tx1"/>
                  </w14:solidFill>
                </w14:textFill>
              </w:rPr>
              <w:t>水量计） 单位：m</w:t>
            </w:r>
            <w:r>
              <w:rPr>
                <w:rFonts w:ascii="Times New Roman" w:hAnsi="Times New Roman" w:eastAsia="宋体" w:cs="Times New Roman"/>
                <w:b/>
                <w:color w:val="000000" w:themeColor="text1"/>
                <w:spacing w:val="0"/>
                <w:kern w:val="21"/>
                <w:position w:val="0"/>
                <w:sz w:val="21"/>
                <w:szCs w:val="21"/>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21"/>
                <w:szCs w:val="21"/>
                <w14:textFill>
                  <w14:solidFill>
                    <w14:schemeClr w14:val="tx1"/>
                  </w14:solidFill>
                </w14:textFill>
              </w:rPr>
              <w:t>/d</w:t>
            </w:r>
          </w:p>
          <w:bookmarkEnd w:id="18"/>
          <w:p>
            <w:pPr>
              <w:pageBreakBefore w:val="0"/>
              <w:numPr>
                <w:ilvl w:val="0"/>
                <w:numId w:val="22"/>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劳动定员及工作制度</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本项目劳动定员</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00人，年工作330天，两班制，每班工作时间</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8h。</w:t>
            </w:r>
          </w:p>
          <w:p>
            <w:pPr>
              <w:pageBreakBefore w:val="0"/>
              <w:numPr>
                <w:ilvl w:val="0"/>
                <w:numId w:val="22"/>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总平面布置合理性分析</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根据项目功能要求和厂房情况，本项目入口位于厂区东侧，紧邻园区道路，交通便利。项目总体布局上分为生产区、生活区、仓储区，总体布局上将生产、生活、仓储区独立设置，避免相互干扰。</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1、厂区平面布置</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本项目选址位于</w:t>
            </w:r>
            <w:r>
              <w:rPr>
                <w:rFonts w:ascii="Times New Roman" w:hAnsi="Times New Roman" w:eastAsia="宋体" w:cs="Times New Roman"/>
                <w:color w:val="000000" w:themeColor="text1"/>
                <w:spacing w:val="0"/>
                <w:kern w:val="21"/>
                <w:position w:val="0"/>
                <w:sz w:val="24"/>
                <w14:textFill>
                  <w14:solidFill>
                    <w14:schemeClr w14:val="tx1"/>
                  </w14:solidFill>
                </w14:textFill>
              </w:rPr>
              <w:t>广元市昭化区绿色家居产业城</w:t>
            </w:r>
            <w:r>
              <w:rPr>
                <w:rFonts w:ascii="Times New Roman" w:hAnsi="Times New Roman" w:eastAsia="宋体" w:cs="Times New Roman"/>
                <w:bCs/>
                <w:color w:val="000000" w:themeColor="text1"/>
                <w:spacing w:val="0"/>
                <w:kern w:val="21"/>
                <w:position w:val="0"/>
                <w:sz w:val="24"/>
                <w14:textFill>
                  <w14:solidFill>
                    <w14:schemeClr w14:val="tx1"/>
                  </w14:solidFill>
                </w14:textFill>
              </w:rPr>
              <w:t>内</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bCs/>
                <w:color w:val="000000" w:themeColor="text1"/>
                <w:spacing w:val="0"/>
                <w:kern w:val="21"/>
                <w:position w:val="0"/>
                <w:sz w:val="24"/>
                <w14:textFill>
                  <w14:solidFill>
                    <w14:schemeClr w14:val="tx1"/>
                  </w14:solidFill>
                </w14:textFill>
              </w:rPr>
              <w:t>项目厂区呈长方形，共新建4栋厂房，其中</w:t>
            </w:r>
            <w:r>
              <w:rPr>
                <w:rFonts w:ascii="Times New Roman" w:hAnsi="Times New Roman" w:eastAsia="宋体" w:cs="Times New Roman"/>
                <w:color w:val="000000" w:themeColor="text1"/>
                <w:spacing w:val="0"/>
                <w:kern w:val="21"/>
                <w:position w:val="0"/>
                <w:sz w:val="24"/>
                <w14:textFill>
                  <w14:solidFill>
                    <w14:schemeClr w14:val="tx1"/>
                  </w14:solidFill>
                </w14:textFill>
              </w:rPr>
              <w:t>1#木业车间主要设置木材加工区，进行各类</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木材</w:t>
            </w:r>
            <w:r>
              <w:rPr>
                <w:rFonts w:ascii="Times New Roman" w:hAnsi="Times New Roman" w:eastAsia="宋体" w:cs="Times New Roman"/>
                <w:color w:val="000000" w:themeColor="text1"/>
                <w:spacing w:val="0"/>
                <w:kern w:val="21"/>
                <w:position w:val="0"/>
                <w:sz w:val="24"/>
                <w14:textFill>
                  <w14:solidFill>
                    <w14:schemeClr w14:val="tx1"/>
                  </w14:solidFill>
                </w14:textFill>
              </w:rPr>
              <w:t>原料的初步加工；2#实木板式车间主要设置实木车间、板式车间、喷漆房及打样定制区，用于板式家具、实木家具加工生产及喷漆</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工序</w:t>
            </w:r>
            <w:r>
              <w:rPr>
                <w:rFonts w:ascii="Times New Roman" w:hAnsi="Times New Roman" w:eastAsia="宋体" w:cs="Times New Roman"/>
                <w:color w:val="000000" w:themeColor="text1"/>
                <w:spacing w:val="0"/>
                <w:kern w:val="21"/>
                <w:position w:val="0"/>
                <w:sz w:val="24"/>
                <w14:textFill>
                  <w14:solidFill>
                    <w14:schemeClr w14:val="tx1"/>
                  </w14:solidFill>
                </w14:textFill>
              </w:rPr>
              <w:t>；3#金属软包车间1F为金属车间，主要设置下料区、焊接区、喷塑区、打磨区，主要用于五金件加工；2F为软包车间，设置裁剪区、缝纫区、裁棉区、贴面区、安包区，主要用于软包</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件</w:t>
            </w:r>
            <w:r>
              <w:rPr>
                <w:rFonts w:ascii="Times New Roman" w:hAnsi="Times New Roman" w:eastAsia="宋体" w:cs="Times New Roman"/>
                <w:color w:val="000000" w:themeColor="text1"/>
                <w:spacing w:val="0"/>
                <w:kern w:val="21"/>
                <w:position w:val="0"/>
                <w:sz w:val="24"/>
                <w14:textFill>
                  <w14:solidFill>
                    <w14:schemeClr w14:val="tx1"/>
                  </w14:solidFill>
                </w14:textFill>
              </w:rPr>
              <w:t>加工生产；4#车间为原辅料及成品仓库。本项目入口位于厂区东侧，紧邻园区道路，交通便利</w:t>
            </w:r>
            <w:r>
              <w:rPr>
                <w:rFonts w:ascii="Times New Roman" w:hAnsi="Times New Roman" w:eastAsia="宋体" w:cs="Times New Roman"/>
                <w:bCs/>
                <w:color w:val="000000" w:themeColor="text1"/>
                <w:spacing w:val="0"/>
                <w:kern w:val="21"/>
                <w:position w:val="0"/>
                <w:sz w:val="24"/>
                <w14:textFill>
                  <w14:solidFill>
                    <w14:schemeClr w14:val="tx1"/>
                  </w14:solidFill>
                </w14:textFill>
              </w:rPr>
              <w:t>，车间内留有通道，能满足厂区消防及物流、人行的要求。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本项目的平面布置考虑到与周围环境相容，项目生产过程主要产污环节均布置在标准厂房内，与周围敏感点有一定距离。项目周围敏感点</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均</w:t>
            </w:r>
            <w:r>
              <w:rPr>
                <w:rFonts w:hint="eastAsia" w:ascii="Times New Roman" w:hAnsi="Times New Roman" w:cs="Times New Roman"/>
                <w:color w:val="000000" w:themeColor="text1"/>
                <w:spacing w:val="0"/>
                <w:kern w:val="21"/>
                <w:position w:val="0"/>
                <w:sz w:val="24"/>
                <w14:textFill>
                  <w14:solidFill>
                    <w14:schemeClr w14:val="tx1"/>
                  </w14:solidFill>
                </w14:textFill>
              </w:rPr>
              <w:t>位于</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本</w:t>
            </w:r>
            <w:r>
              <w:rPr>
                <w:rFonts w:hint="eastAsia" w:ascii="Times New Roman" w:hAnsi="Times New Roman" w:cs="Times New Roman"/>
                <w:color w:val="000000" w:themeColor="text1"/>
                <w:spacing w:val="0"/>
                <w:kern w:val="21"/>
                <w:position w:val="0"/>
                <w:sz w:val="24"/>
                <w14:textFill>
                  <w14:solidFill>
                    <w14:schemeClr w14:val="tx1"/>
                  </w14:solidFill>
                </w14:textFill>
              </w:rPr>
              <w:t>项目</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喷涂车间</w:t>
            </w:r>
            <w:r>
              <w:rPr>
                <w:rFonts w:hint="eastAsia" w:ascii="Times New Roman" w:hAnsi="Times New Roman" w:cs="Times New Roman"/>
                <w:color w:val="000000" w:themeColor="text1"/>
                <w:spacing w:val="0"/>
                <w:kern w:val="21"/>
                <w:position w:val="0"/>
                <w:sz w:val="24"/>
                <w14:textFill>
                  <w14:solidFill>
                    <w14:schemeClr w14:val="tx1"/>
                  </w14:solidFill>
                </w14:textFill>
              </w:rPr>
              <w:t>主导风向</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的</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侧</w:t>
            </w:r>
            <w:r>
              <w:rPr>
                <w:rFonts w:hint="eastAsia" w:ascii="Times New Roman" w:hAnsi="Times New Roman" w:cs="Times New Roman"/>
                <w:color w:val="000000" w:themeColor="text1"/>
                <w:spacing w:val="0"/>
                <w:kern w:val="21"/>
                <w:position w:val="0"/>
                <w:sz w:val="24"/>
                <w14:textFill>
                  <w14:solidFill>
                    <w14:schemeClr w14:val="tx1"/>
                  </w14:solidFill>
                </w14:textFill>
              </w:rPr>
              <w:t>风向</w:t>
            </w:r>
            <w:r>
              <w:rPr>
                <w:rFonts w:ascii="Times New Roman" w:hAnsi="Times New Roman" w:eastAsia="宋体" w:cs="Times New Roman"/>
                <w:bCs/>
                <w:color w:val="000000" w:themeColor="text1"/>
                <w:spacing w:val="0"/>
                <w:kern w:val="21"/>
                <w:position w:val="0"/>
                <w:sz w:val="24"/>
                <w14:textFill>
                  <w14:solidFill>
                    <w14:schemeClr w14:val="tx1"/>
                  </w14:solidFill>
                </w14:textFill>
              </w:rPr>
              <w:t>，总体生产设施平面布置合理。</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2、环保设施布局</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（1）污水处理设施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项目生产过程中产生员工生活污水</w:t>
            </w:r>
            <w:r>
              <w:rPr>
                <w:rFonts w:hint="eastAsia" w:ascii="Times New Roman" w:hAnsi="Times New Roman" w:eastAsia="宋体" w:cs="Times New Roman"/>
                <w:color w:val="000000" w:themeColor="text1"/>
                <w:spacing w:val="0"/>
                <w:kern w:val="21"/>
                <w:position w:val="0"/>
                <w:sz w:val="24"/>
                <w:szCs w:val="20"/>
                <w14:textFill>
                  <w14:solidFill>
                    <w14:schemeClr w14:val="tx1"/>
                  </w14:solidFill>
                </w14:textFill>
              </w:rPr>
              <w:t>及</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生产废水</w:t>
            </w:r>
            <w:r>
              <w:rPr>
                <w:rFonts w:hint="eastAsia" w:ascii="Times New Roman" w:hAnsi="Times New Roman" w:eastAsia="宋体" w:cs="Times New Roman"/>
                <w:color w:val="000000" w:themeColor="text1"/>
                <w:spacing w:val="0"/>
                <w:kern w:val="21"/>
                <w:position w:val="0"/>
                <w:sz w:val="24"/>
                <w:szCs w:val="20"/>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0"/>
                <w:lang w:val="en-US" w:eastAsia="zh-CN"/>
                <w14:textFill>
                  <w14:solidFill>
                    <w14:schemeClr w14:val="tx1"/>
                  </w14:solidFill>
                </w14:textFill>
              </w:rPr>
              <w:t>其中生产废水包括喷枪清洗废水、</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脱脂-硅烷化废水。</w:t>
            </w:r>
            <w:r>
              <w:rPr>
                <w:rFonts w:hint="eastAsia" w:ascii="Times New Roman" w:hAnsi="Times New Roman" w:eastAsia="宋体" w:cs="Times New Roman"/>
                <w:color w:val="000000" w:themeColor="text1"/>
                <w:spacing w:val="0"/>
                <w:kern w:val="21"/>
                <w:position w:val="0"/>
                <w:sz w:val="24"/>
                <w:szCs w:val="20"/>
                <w:lang w:val="en-US" w:eastAsia="zh-CN"/>
                <w14:textFill>
                  <w14:solidFill>
                    <w14:schemeClr w14:val="tx1"/>
                  </w14:solidFill>
                </w14:textFill>
              </w:rPr>
              <w:t>本</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项目</w:t>
            </w:r>
            <w:r>
              <w:rPr>
                <w:rFonts w:hint="eastAsia" w:ascii="Times New Roman" w:hAnsi="Times New Roman" w:eastAsia="宋体" w:cs="Times New Roman"/>
                <w:color w:val="000000" w:themeColor="text1"/>
                <w:spacing w:val="0"/>
                <w:kern w:val="21"/>
                <w:position w:val="0"/>
                <w:sz w:val="24"/>
                <w:szCs w:val="20"/>
                <w:lang w:val="en-US" w:eastAsia="zh-CN"/>
                <w14:textFill>
                  <w14:solidFill>
                    <w14:schemeClr w14:val="tx1"/>
                  </w14:solidFill>
                </w14:textFill>
              </w:rPr>
              <w:t>喷枪清洗废水回用于调漆，不外排；</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脱脂-硅烷化废水经厂内污水处理</w:t>
            </w:r>
            <w:r>
              <w:rPr>
                <w:rFonts w:ascii="Times New Roman" w:hAnsi="Times New Roman" w:eastAsia="宋体" w:cs="Times New Roman"/>
                <w:color w:val="000000" w:themeColor="text1"/>
                <w:spacing w:val="0"/>
                <w:kern w:val="21"/>
                <w:position w:val="0"/>
                <w:sz w:val="24"/>
                <w14:textFill>
                  <w14:solidFill>
                    <w14:schemeClr w14:val="tx1"/>
                  </w14:solidFill>
                </w14:textFill>
              </w:rPr>
              <w:t>站“</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隔油+pH调节+混凝气浮+混凝沉淀</w:t>
            </w:r>
            <w:r>
              <w:rPr>
                <w:rFonts w:ascii="Times New Roman" w:hAnsi="Times New Roman" w:eastAsia="宋体" w:cs="Times New Roman"/>
                <w:color w:val="000000" w:themeColor="text1"/>
                <w:spacing w:val="0"/>
                <w:kern w:val="21"/>
                <w:position w:val="0"/>
                <w:sz w:val="24"/>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生活污</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水经预处理池处理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达园区污水处理厂设计进水水质后排入园区污水管网。本评价认为其废水处理措施布局合理。</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（2）废气处理设施</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1#车间</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木料粉尘经</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集气管道</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收集，中央除尘器（TA001）处理后经20m高排气筒（DA001）达标外排，同时加强车间机械通风措施；</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2#车间</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木料粉尘经</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集气管道</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收集，中央除尘器（TA002）处理后经20m高排气筒（DA00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2</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封边废气经集气罩收集，</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#二级活性炭吸附装置处理后经20m高排气筒（DA00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）达标外排；喷漆废气经</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水旋柜处理、</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密闭车间负压</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收集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后经</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干式过滤+</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+催化燃烧装置处理后经20m排气筒（DA00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）达标排放；</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漆料打磨粉尘经密闭车间负压收集，脉冲布袋除尘处理后经20m高排气筒（DA00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5</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金属加工粉尘经</w:t>
            </w:r>
            <w:r>
              <w:rPr>
                <w:rFonts w:hint="eastAsia" w:ascii="Times New Roman" w:hAnsi="Times New Roman" w:eastAsia="宋体" w:cs="Times New Roman"/>
                <w:color w:val="000000" w:themeColor="text1"/>
                <w:spacing w:val="0"/>
                <w:kern w:val="21"/>
                <w:position w:val="0"/>
                <w:sz w:val="24"/>
                <w:lang w:val="en-US" w:eastAsia="zh-CN" w:bidi="ar"/>
                <w14:textFill>
                  <w14:solidFill>
                    <w14:schemeClr w14:val="tx1"/>
                  </w14:solidFill>
                </w14:textFill>
              </w:rPr>
              <w:t>集气罩</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收集、布袋除尘器处理后经</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20m排气筒（DA00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6</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焊接烟尘经集气罩收集，焊烟净化器处理后经20m排气筒（DA00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6</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喷塑粉尘经密闭车间负压收集，高效旋风分离器+全聚酯滤芯二级回收处理后经20m高排气筒（DA00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）达标外排</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#二级活性炭处理后经20m排气筒（DA00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）达标排放；贴棉废气经集气罩收集，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#二级活性炭处理后经20m排气筒（DA00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）达标排放。</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（3）噪声设备布置</w:t>
            </w:r>
          </w:p>
          <w:p>
            <w:pPr>
              <w:pageBreakBefore w:val="0"/>
              <w:kinsoku/>
              <w:overflowPunct/>
              <w:topLine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本项目营运过程中主要产生生产设备噪声。本次环评要求项目设备采取选用低噪设备、加装减振设施（以橡胶垫为主），加强设备的维修、保养</w:t>
            </w:r>
            <w:r>
              <w:rPr>
                <w:rFonts w:ascii="Times New Roman" w:hAnsi="Times New Roman" w:eastAsia="宋体" w:cs="Times New Roman"/>
                <w:color w:val="000000" w:themeColor="text1"/>
                <w:spacing w:val="0"/>
                <w:kern w:val="21"/>
                <w:position w:val="0"/>
                <w:sz w:val="24"/>
                <w14:textFill>
                  <w14:solidFill>
                    <w14:schemeClr w14:val="tx1"/>
                  </w14:solidFill>
                </w14:textFill>
              </w:rPr>
              <w:t>和管理，夜间不生产，设备用完后或不用时应立即关闭，设备采取减振、合理布局、隔声等措施，噪声源对厂界噪声贡献值降低，同时，通过距离衰减，厂界噪声可达到《工业企业厂界环境噪声排放标准》（GB12348-2008）中3类标准限值的要求，不会对区域声环境质量造成明显影响。</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（4）固废设施布置</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项目产生一般固废经收集后全部外售废旧资源回收单位；生活垃圾收集后交由当地环卫部门清运处置；危险废物分类收集暂存于危险废物暂存间，委托有资质的单位处理。</w:t>
            </w: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本项目对各类固体废物采取妥善处置，不会造成二次污染。</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危废暂存间位于2#厂房南侧，远离办公生活区，便于危废日常管理及转运。</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3、合理性分析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各车间内生产设备按照工艺顺序布置，有利于原料供给和产品生产，节省了物流路径以及能源消耗，车间内通道能够满足厂区内物流、人行的要求。本项目厂房按封闭式标准化厂房建设，具有一定隔声降噪效果，且有利于废气收集处理，减少无组织废气排放。同时，本项目生产区域与办公生活区域分区合理，能够做到互不干扰。</w:t>
            </w:r>
            <w:r>
              <w:rPr>
                <w:rFonts w:ascii="Times New Roman" w:hAnsi="Times New Roman" w:eastAsia="宋体" w:cs="Times New Roman"/>
                <w:bCs/>
                <w:color w:val="000000" w:themeColor="text1"/>
                <w:spacing w:val="0"/>
                <w:kern w:val="21"/>
                <w:position w:val="0"/>
                <w:sz w:val="24"/>
                <w14:textFill>
                  <w14:solidFill>
                    <w14:schemeClr w14:val="tx1"/>
                  </w14:solidFill>
                </w14:textFill>
              </w:rPr>
              <w:t>项目生产过程主要产污环节均布置在标准厂房内，与周围敏感点有一定距离，项目周围敏感点位于项目所在地主导风向侧风向。</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本项目平面布置总体布局基本合理，功能分区明确，生产工艺合理、物流顺畅，环保设施的设置能够满足项目生产环保要求，项目平面布局与周围敏感点有一定距离，可有效减缓对周围敏感点的影响，从环保角度而言，本项目总平面布置合理，总平面及环保设施布置图详见附图</w:t>
            </w:r>
            <w:r>
              <w:rPr>
                <w:rFonts w:ascii="Times New Roman" w:hAnsi="Times New Roman" w:eastAsia="宋体" w:cs="Times New Roman"/>
                <w:bCs/>
                <w:color w:val="000000" w:themeColor="text1"/>
                <w:spacing w:val="0"/>
                <w:kern w:val="21"/>
                <w:position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51" w:type="pct"/>
            <w:vAlign w:val="center"/>
          </w:tcPr>
          <w:p>
            <w:pPr>
              <w:pageBreakBefore w:val="0"/>
              <w:widowControl/>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工艺流程和产排污环节</w:t>
            </w:r>
          </w:p>
        </w:tc>
        <w:tc>
          <w:tcPr>
            <w:tcW w:w="4748" w:type="pct"/>
          </w:tcPr>
          <w:p>
            <w:pPr>
              <w:pageBreakBefore w:val="0"/>
              <w:numPr>
                <w:ilvl w:val="0"/>
                <w:numId w:val="26"/>
              </w:numPr>
              <w:kinsoku/>
              <w:overflowPunct/>
              <w:autoSpaceDE/>
              <w:autoSpaceDN/>
              <w:bidi w:val="0"/>
              <w:spacing w:line="360" w:lineRule="auto"/>
              <w:textAlignment w:val="auto"/>
              <w:rPr>
                <w:rFonts w:ascii="Times New Roman" w:hAnsi="Times New Roman" w:eastAsia="宋体" w:cs="Times New Roman"/>
                <w:color w:val="000000" w:themeColor="text1"/>
                <w:spacing w:val="0"/>
                <w:kern w:val="21"/>
                <w:position w:val="0"/>
                <w:lang w:val="zh-TW"/>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一、施工期工程</w:t>
            </w:r>
            <w:r>
              <w:rPr>
                <w:rFonts w:ascii="Times New Roman" w:hAnsi="Times New Roman" w:eastAsia="宋体" w:cs="Times New Roman"/>
                <w:b/>
                <w:bCs/>
                <w:color w:val="000000" w:themeColor="text1"/>
                <w:spacing w:val="0"/>
                <w:kern w:val="21"/>
                <w:position w:val="0"/>
                <w:sz w:val="24"/>
                <w:lang w:val="zh-TW"/>
                <w14:textFill>
                  <w14:solidFill>
                    <w14:schemeClr w14:val="tx1"/>
                  </w14:solidFill>
                </w14:textFill>
              </w:rPr>
              <w:t>分析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本项目在空地基础上进行土建施工，</w:t>
            </w:r>
            <w:r>
              <w:rPr>
                <w:rFonts w:ascii="Times New Roman" w:hAnsi="Times New Roman" w:cs="Times New Roman"/>
                <w:bCs/>
                <w:color w:val="000000" w:themeColor="text1"/>
                <w:spacing w:val="0"/>
                <w:kern w:val="21"/>
                <w:position w:val="0"/>
                <w:sz w:val="24"/>
                <w14:textFill>
                  <w14:solidFill>
                    <w14:schemeClr w14:val="tx1"/>
                  </w14:solidFill>
                </w14:textFill>
              </w:rPr>
              <w:t>施工期长24个月。项目</w:t>
            </w:r>
            <w:r>
              <w:rPr>
                <w:rFonts w:hint="eastAsia" w:ascii="Times New Roman" w:hAnsi="Times New Roman" w:cs="Times New Roman"/>
                <w:bCs/>
                <w:color w:val="000000" w:themeColor="text1"/>
                <w:spacing w:val="0"/>
                <w:kern w:val="21"/>
                <w:position w:val="0"/>
                <w:sz w:val="24"/>
                <w14:textFill>
                  <w14:solidFill>
                    <w14:schemeClr w14:val="tx1"/>
                  </w14:solidFill>
                </w14:textFill>
              </w:rPr>
              <w:t>施工</w:t>
            </w:r>
            <w:r>
              <w:rPr>
                <w:rFonts w:ascii="Times New Roman" w:hAnsi="Times New Roman" w:cs="Times New Roman"/>
                <w:bCs/>
                <w:color w:val="000000" w:themeColor="text1"/>
                <w:spacing w:val="0"/>
                <w:kern w:val="21"/>
                <w:position w:val="0"/>
                <w:sz w:val="24"/>
                <w14:textFill>
                  <w14:solidFill>
                    <w14:schemeClr w14:val="tx1"/>
                  </w14:solidFill>
                </w14:textFill>
              </w:rPr>
              <w:t>高峰期施工人员</w:t>
            </w:r>
            <w:r>
              <w:rPr>
                <w:rFonts w:ascii="Times New Roman" w:hAnsi="Times New Roman" w:eastAsia="宋体" w:cs="Times New Roman"/>
                <w:color w:val="000000" w:themeColor="text1"/>
                <w:spacing w:val="0"/>
                <w:kern w:val="21"/>
                <w:position w:val="0"/>
                <w:sz w:val="24"/>
                <w14:textFill>
                  <w14:solidFill>
                    <w14:schemeClr w14:val="tx1"/>
                  </w14:solidFill>
                </w14:textFill>
              </w:rPr>
              <w:t>约50人。施工场地内设临时施工营地，主要供施工人员办公，不设食堂、宿舍。具体工艺流程及产污环节见下图。</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object>
                <v:shape id="_x0000_i1031" o:spt="75" type="#_x0000_t75" style="height:85pt;width:400.75pt;" o:ole="t" filled="f" o:preferrelative="t" stroked="f" coordsize="21600,21600">
                  <v:path/>
                  <v:fill on="f" focussize="0,0"/>
                  <v:stroke on="f"/>
                  <v:imagedata r:id="rId35" o:title=""/>
                  <o:lock v:ext="edit" aspectratio="f"/>
                  <w10:wrap type="none"/>
                  <w10:anchorlock/>
                </v:shape>
                <o:OLEObject Type="Embed" ProgID="Visio.Drawing.11" ShapeID="_x0000_i1031" DrawAspect="Content" ObjectID="_1468075731" r:id="rId34">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施工期工艺流程图</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工艺流程说明：</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场地平整：</w:t>
            </w:r>
            <w:r>
              <w:rPr>
                <w:rFonts w:ascii="Times New Roman" w:hAnsi="Times New Roman" w:eastAsia="宋体" w:cs="Times New Roman"/>
                <w:color w:val="000000" w:themeColor="text1"/>
                <w:spacing w:val="0"/>
                <w:kern w:val="21"/>
                <w:position w:val="0"/>
                <w:sz w:val="24"/>
                <w14:textFill>
                  <w14:solidFill>
                    <w14:schemeClr w14:val="tx1"/>
                  </w14:solidFill>
                </w14:textFill>
              </w:rPr>
              <w:t>使用推土机、铲土机、</w:t>
            </w:r>
            <w:r>
              <w:rPr>
                <w:rFonts w:ascii="Times New Roman" w:hAnsi="Times New Roman" w:cs="Times New Roman"/>
                <w:bCs/>
                <w:color w:val="000000" w:themeColor="text1"/>
                <w:spacing w:val="0"/>
                <w:kern w:val="21"/>
                <w:position w:val="0"/>
                <w:sz w:val="24"/>
                <w14:textFill>
                  <w14:solidFill>
                    <w14:schemeClr w14:val="tx1"/>
                  </w14:solidFill>
                </w14:textFill>
              </w:rPr>
              <w:t>挖掘机</w:t>
            </w:r>
            <w:r>
              <w:rPr>
                <w:rFonts w:ascii="Times New Roman" w:hAnsi="Times New Roman" w:eastAsia="宋体" w:cs="Times New Roman"/>
                <w:color w:val="000000" w:themeColor="text1"/>
                <w:spacing w:val="0"/>
                <w:kern w:val="21"/>
                <w:position w:val="0"/>
                <w:sz w:val="24"/>
                <w14:textFill>
                  <w14:solidFill>
                    <w14:schemeClr w14:val="tx1"/>
                  </w14:solidFill>
                </w14:textFill>
              </w:rPr>
              <w:t>等设备，对项目施工区内的植物、石块等进行清理，使场地平整。此过程主要产生扬尘、机械废气、噪声、植被破坏、水土流失等。</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基础工程：</w:t>
            </w:r>
            <w:r>
              <w:rPr>
                <w:rFonts w:ascii="Times New Roman" w:hAnsi="Times New Roman" w:eastAsia="宋体" w:cs="Times New Roman"/>
                <w:color w:val="000000" w:themeColor="text1"/>
                <w:spacing w:val="0"/>
                <w:kern w:val="21"/>
                <w:position w:val="0"/>
                <w:sz w:val="24"/>
                <w14:textFill>
                  <w14:solidFill>
                    <w14:schemeClr w14:val="tx1"/>
                  </w14:solidFill>
                </w14:textFill>
              </w:rPr>
              <w:t>包括场地挖方、填方施工及地基处理与基础设施施工，挖掘机、推土机等设备运行时将产生噪声、扬尘及废弃土石方。</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主体工程：</w:t>
            </w:r>
            <w:r>
              <w:rPr>
                <w:rFonts w:ascii="Times New Roman" w:hAnsi="Times New Roman" w:eastAsia="宋体" w:cs="Times New Roman"/>
                <w:color w:val="000000" w:themeColor="text1"/>
                <w:spacing w:val="0"/>
                <w:kern w:val="21"/>
                <w:position w:val="0"/>
                <w:sz w:val="24"/>
                <w14:textFill>
                  <w14:solidFill>
                    <w14:schemeClr w14:val="tx1"/>
                  </w14:solidFill>
                </w14:textFill>
              </w:rPr>
              <w:t>主要为</w:t>
            </w:r>
            <w:r>
              <w:rPr>
                <w:rFonts w:ascii="Times New Roman" w:hAnsi="Times New Roman" w:cs="Times New Roman"/>
                <w:bCs/>
                <w:color w:val="000000" w:themeColor="text1"/>
                <w:spacing w:val="0"/>
                <w:kern w:val="21"/>
                <w:position w:val="0"/>
                <w:sz w:val="24"/>
                <w14:textFill>
                  <w14:solidFill>
                    <w14:schemeClr w14:val="tx1"/>
                  </w14:solidFill>
                </w14:textFill>
              </w:rPr>
              <w:t>模板安装、钢筋安装、混凝土工程、模板拆除、填充墙工程和门窗框安装等工序</w:t>
            </w:r>
            <w:r>
              <w:rPr>
                <w:rFonts w:ascii="Times New Roman" w:hAnsi="Times New Roman" w:eastAsia="宋体" w:cs="Times New Roman"/>
                <w:color w:val="000000" w:themeColor="text1"/>
                <w:spacing w:val="0"/>
                <w:kern w:val="21"/>
                <w:position w:val="0"/>
                <w:sz w:val="24"/>
                <w14:textFill>
                  <w14:solidFill>
                    <w14:schemeClr w14:val="tx1"/>
                  </w14:solidFill>
                </w14:textFill>
              </w:rPr>
              <w:t>。在主体工程施工过程中将产生施工噪声、施工扬尘、施工废水、建筑垃圾等。</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装修工程：</w:t>
            </w:r>
            <w:r>
              <w:rPr>
                <w:rFonts w:ascii="Times New Roman" w:hAnsi="Times New Roman" w:eastAsia="宋体" w:cs="Times New Roman"/>
                <w:color w:val="000000" w:themeColor="text1"/>
                <w:spacing w:val="0"/>
                <w:kern w:val="21"/>
                <w:position w:val="0"/>
                <w:sz w:val="24"/>
                <w14:textFill>
                  <w14:solidFill>
                    <w14:schemeClr w14:val="tx1"/>
                  </w14:solidFill>
                </w14:textFill>
              </w:rPr>
              <w:t>在对建筑物的室内外进行装修时（如表面粉刷、油漆、喷涂、裱糊等），钻机、电锤、切割机等产生噪声；油漆、喷涂、建筑及装饰材料等挥发产生废气、建筑垃圾等。</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设备安装及调试：</w:t>
            </w:r>
            <w:r>
              <w:rPr>
                <w:rFonts w:ascii="Times New Roman" w:hAnsi="Times New Roman" w:eastAsia="宋体" w:cs="Times New Roman"/>
                <w:color w:val="000000" w:themeColor="text1"/>
                <w:spacing w:val="0"/>
                <w:kern w:val="21"/>
                <w:position w:val="0"/>
                <w:sz w:val="24"/>
                <w14:textFill>
                  <w14:solidFill>
                    <w14:schemeClr w14:val="tx1"/>
                  </w14:solidFill>
                </w14:textFill>
              </w:rPr>
              <w:t>设备安装工程施工时，主要产生的污染物为吊装设备以及电钻、电锤、切割机等设备产生的噪声，另外，还有少量废弃包装材料等固体废弃物。</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本项目施工期主要污染因素为：</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（1）废水：主要为施工人员产生的生活污水；</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（2）废气：主要为装修工程产生的装修废气、设备安装过程中产生的粉尘；</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（3）噪声：主要为设备安装过程使用的各种施工机械产生的噪声；</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（4）固废：主要为施工过程中产生的建筑垃圾、施工人员产生生活垃圾。</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二、营运期工艺流程及产污环节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本项目于厂房内布置板式家具生产线2条、实木家居生产线2条、软体家具生产线1条、五金家具配件生产线1条，本项目营运期工艺流程如下所示。</w:t>
            </w:r>
          </w:p>
          <w:p>
            <w:pPr>
              <w:pageBreakBefore w:val="0"/>
              <w:numPr>
                <w:ilvl w:val="0"/>
                <w:numId w:val="27"/>
              </w:numPr>
              <w:kinsoku/>
              <w:overflowPunct/>
              <w:autoSpaceDE/>
              <w:autoSpaceDN/>
              <w:bidi w:val="0"/>
              <w:spacing w:line="360" w:lineRule="auto"/>
              <w:ind w:firstLine="482"/>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板式家具生产线</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本项目板式家具主要产品包括桌子、柜子，</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均</w:t>
            </w:r>
            <w:r>
              <w:rPr>
                <w:rFonts w:ascii="Times New Roman" w:hAnsi="Times New Roman" w:eastAsia="宋体" w:cs="Times New Roman"/>
                <w:color w:val="000000" w:themeColor="text1"/>
                <w:spacing w:val="0"/>
                <w:kern w:val="21"/>
                <w:position w:val="0"/>
                <w:sz w:val="24"/>
                <w14:textFill>
                  <w14:solidFill>
                    <w14:schemeClr w14:val="tx1"/>
                  </w14:solidFill>
                </w14:textFill>
              </w:rPr>
              <w:t>为板材制，</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其中部分桌子为金属桌腿。本项目板式家具生产外购已加工好的板材进行生产，无需喷漆，</w:t>
            </w:r>
            <w:r>
              <w:rPr>
                <w:rFonts w:ascii="Times New Roman" w:hAnsi="Times New Roman" w:eastAsia="宋体" w:cs="Times New Roman"/>
                <w:color w:val="000000" w:themeColor="text1"/>
                <w:spacing w:val="0"/>
                <w:kern w:val="21"/>
                <w:position w:val="0"/>
                <w:sz w:val="24"/>
                <w14:textFill>
                  <w14:solidFill>
                    <w14:schemeClr w14:val="tx1"/>
                  </w14:solidFill>
                </w14:textFill>
              </w:rPr>
              <w:t>主要工序为板材</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裁切、</w:t>
            </w:r>
            <w:r>
              <w:rPr>
                <w:rFonts w:ascii="Times New Roman" w:hAnsi="Times New Roman" w:eastAsia="宋体" w:cs="Times New Roman"/>
                <w:color w:val="000000" w:themeColor="text1"/>
                <w:spacing w:val="0"/>
                <w:kern w:val="21"/>
                <w:position w:val="0"/>
                <w:sz w:val="24"/>
                <w14:textFill>
                  <w14:solidFill>
                    <w14:schemeClr w14:val="tx1"/>
                  </w14:solidFill>
                </w14:textFill>
              </w:rPr>
              <w:t>加工及组装</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本项目板式家具生产线工艺流程及产污环节分析如下。</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object>
                <v:shape id="_x0000_i1032" o:spt="75" type="#_x0000_t75" style="height:402.3pt;width:362.1pt;" o:ole="t" filled="f" o:preferrelative="t" stroked="f" coordsize="21600,21600">
                  <v:path/>
                  <v:fill on="f" focussize="0,0"/>
                  <v:stroke on="f" joinstyle="miter"/>
                  <v:imagedata r:id="rId37" o:title=""/>
                  <o:lock v:ext="edit" aspectratio="t"/>
                  <w10:wrap type="none"/>
                  <w10:anchorlock/>
                </v:shape>
                <o:OLEObject Type="Embed" ProgID="Visio.Drawing.11" ShapeID="_x0000_i1032" DrawAspect="Content" ObjectID="_1468075732" r:id="rId36">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板式家具生产线工艺流程图</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工艺流程简述：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开</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料：</w:t>
            </w:r>
            <w:r>
              <w:rPr>
                <w:rFonts w:ascii="Times New Roman" w:hAnsi="Times New Roman" w:eastAsia="宋体" w:cs="Times New Roman"/>
                <w:color w:val="000000" w:themeColor="text1"/>
                <w:spacing w:val="0"/>
                <w:kern w:val="21"/>
                <w:position w:val="0"/>
                <w:sz w:val="24"/>
                <w14:textFill>
                  <w14:solidFill>
                    <w14:schemeClr w14:val="tx1"/>
                  </w14:solidFill>
                </w14:textFill>
              </w:rPr>
              <w:t>根据订单所要求的规格用下料机、电子锯等设备将板材按规定大小、尺寸进行切割下料。此工序会产生木料粉尘、木材边角料和噪声。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冷压：</w:t>
            </w:r>
            <w:r>
              <w:rPr>
                <w:rFonts w:ascii="Times New Roman" w:hAnsi="Times New Roman" w:eastAsia="宋体" w:cs="Times New Roman"/>
                <w:color w:val="000000" w:themeColor="text1"/>
                <w:spacing w:val="0"/>
                <w:kern w:val="21"/>
                <w:position w:val="0"/>
                <w:sz w:val="24"/>
                <w14:textFill>
                  <w14:solidFill>
                    <w14:schemeClr w14:val="tx1"/>
                  </w14:solidFill>
                </w14:textFill>
              </w:rPr>
              <w:t>根据产品需要，板材两面均需进行贴皮，下料后使用涂胶机将拼板胶涂在板材上，再根据需要将木皮进行贴皮，然后利用冷压机将木皮拼装和层压在板材表面，在常温下对其进行加压使其自然固化，冷压时间约为8min。此工序会产生废胶桶</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精裁：</w:t>
            </w:r>
            <w:r>
              <w:rPr>
                <w:rFonts w:ascii="Times New Roman" w:hAnsi="Times New Roman" w:eastAsia="宋体" w:cs="Times New Roman"/>
                <w:color w:val="000000" w:themeColor="text1"/>
                <w:spacing w:val="0"/>
                <w:kern w:val="21"/>
                <w:position w:val="0"/>
                <w:sz w:val="24"/>
                <w14:textFill>
                  <w14:solidFill>
                    <w14:schemeClr w14:val="tx1"/>
                  </w14:solidFill>
                </w14:textFill>
              </w:rPr>
              <w:t>压实后，根据成品柜子、桌子组件的大小要求，使用推台锯对压合后的板材进行进一步精切。此工序会产生木料粉尘、木材边角料和噪声。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封边：</w:t>
            </w:r>
            <w:r>
              <w:rPr>
                <w:rFonts w:ascii="Times New Roman" w:hAnsi="Times New Roman" w:eastAsia="宋体" w:cs="Times New Roman"/>
                <w:color w:val="000000" w:themeColor="text1"/>
                <w:spacing w:val="0"/>
                <w:kern w:val="21"/>
                <w:position w:val="0"/>
                <w:sz w:val="24"/>
                <w14:textFill>
                  <w14:solidFill>
                    <w14:schemeClr w14:val="tx1"/>
                  </w14:solidFill>
                </w14:textFill>
              </w:rPr>
              <w:t>根据客户需要，对部分已经精裁后的板材进行封边，封边采用热熔胶，利用封边机将封边热熔胶加热熔化后，在板材边缘贴上封边条，使得板材四周平整美观，加热熔化过程采用电加热，加热熔化时间约为10min，加热温度控制在130°C左右。此工序会产生封边废气、废封边条、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开槽钻孔：</w:t>
            </w:r>
            <w:r>
              <w:rPr>
                <w:rFonts w:ascii="Times New Roman" w:hAnsi="Times New Roman" w:eastAsia="宋体" w:cs="Times New Roman"/>
                <w:color w:val="000000" w:themeColor="text1"/>
                <w:spacing w:val="0"/>
                <w:kern w:val="21"/>
                <w:position w:val="0"/>
                <w:sz w:val="24"/>
                <w14:textFill>
                  <w14:solidFill>
                    <w14:schemeClr w14:val="tx1"/>
                  </w14:solidFill>
                </w14:textFill>
              </w:rPr>
              <w:t>使用钻床对板材进行钻五金件安装孔，部分无需安装五金件的产品使用榫槽机进行开槽，将板材进行拼装。此工序会产生木料粉尘、木材边角料和噪声。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组装：</w:t>
            </w:r>
            <w:r>
              <w:rPr>
                <w:rFonts w:ascii="Times New Roman" w:hAnsi="Times New Roman" w:eastAsia="宋体" w:cs="Times New Roman"/>
                <w:color w:val="000000" w:themeColor="text1"/>
                <w:spacing w:val="0"/>
                <w:kern w:val="21"/>
                <w:position w:val="0"/>
                <w:sz w:val="24"/>
                <w14:textFill>
                  <w14:solidFill>
                    <w14:schemeClr w14:val="tx1"/>
                  </w14:solidFill>
                </w14:textFill>
              </w:rPr>
              <w:t>利用枪钉、螺丝等将板材与五金零部件组装成型。此工序会产生噪声。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检验：</w:t>
            </w:r>
            <w:r>
              <w:rPr>
                <w:rFonts w:ascii="Times New Roman" w:hAnsi="Times New Roman" w:eastAsia="宋体" w:cs="Times New Roman"/>
                <w:color w:val="000000" w:themeColor="text1"/>
                <w:spacing w:val="0"/>
                <w:kern w:val="21"/>
                <w:position w:val="0"/>
                <w:sz w:val="24"/>
                <w14:textFill>
                  <w14:solidFill>
                    <w14:schemeClr w14:val="tx1"/>
                  </w14:solidFill>
                </w14:textFill>
              </w:rPr>
              <w:t>人工目视对产品进行品质检验，不合格品拆除后返回至组装工序进行重新组装。</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包装：</w:t>
            </w:r>
            <w:r>
              <w:rPr>
                <w:rFonts w:ascii="Times New Roman" w:hAnsi="Times New Roman" w:eastAsia="宋体" w:cs="Times New Roman"/>
                <w:color w:val="000000" w:themeColor="text1"/>
                <w:spacing w:val="0"/>
                <w:kern w:val="21"/>
                <w:position w:val="0"/>
                <w:sz w:val="24"/>
                <w14:textFill>
                  <w14:solidFill>
                    <w14:schemeClr w14:val="tx1"/>
                  </w14:solidFill>
                </w14:textFill>
              </w:rPr>
              <w:t>采用塑料、木条等包装材料对合格产品进行包装后运至库房待售。此工序会产生废包装材料。</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2、实木家具生产线</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本项目实木家具为椅子，</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根据客户要求，部分实木椅采用金属椅腿，部分为全实木椅，</w:t>
            </w:r>
            <w:r>
              <w:rPr>
                <w:rFonts w:ascii="Times New Roman" w:hAnsi="Times New Roman" w:eastAsia="宋体" w:cs="Times New Roman"/>
                <w:color w:val="000000" w:themeColor="text1"/>
                <w:spacing w:val="0"/>
                <w:kern w:val="21"/>
                <w:position w:val="0"/>
                <w:sz w:val="24"/>
                <w14:textFill>
                  <w14:solidFill>
                    <w14:schemeClr w14:val="tx1"/>
                  </w14:solidFill>
                </w14:textFill>
              </w:rPr>
              <w:t>主要工序为实木加工、喷漆</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及</w:t>
            </w:r>
            <w:r>
              <w:rPr>
                <w:rFonts w:ascii="Times New Roman" w:hAnsi="Times New Roman" w:eastAsia="宋体" w:cs="Times New Roman"/>
                <w:color w:val="000000" w:themeColor="text1"/>
                <w:spacing w:val="0"/>
                <w:kern w:val="21"/>
                <w:position w:val="0"/>
                <w:sz w:val="24"/>
                <w14:textFill>
                  <w14:solidFill>
                    <w14:schemeClr w14:val="tx1"/>
                  </w14:solidFill>
                </w14:textFill>
              </w:rPr>
              <w:t>组装，实木家具生产工艺流程及产污分析如下图所示。</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object>
                <v:shape id="_x0000_i1033" o:spt="75" type="#_x0000_t75" style="height:355.55pt;width:414.25pt;" o:ole="t" filled="f" o:preferrelative="t" stroked="f" coordsize="21600,21600">
                  <v:path/>
                  <v:fill on="f" focussize="0,0"/>
                  <v:stroke on="f" joinstyle="miter"/>
                  <v:imagedata r:id="rId39" o:title=""/>
                  <o:lock v:ext="edit" aspectratio="t"/>
                  <w10:wrap type="none"/>
                  <w10:anchorlock/>
                </v:shape>
                <o:OLEObject Type="Embed" ProgID="Visio.Drawing.11" ShapeID="_x0000_i1033" DrawAspect="Content" ObjectID="_1468075733" r:id="rId38">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项目实木家具工艺流程图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工艺流程简述：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开料：</w:t>
            </w:r>
            <w:r>
              <w:rPr>
                <w:rFonts w:ascii="Times New Roman" w:hAnsi="Times New Roman" w:eastAsia="宋体" w:cs="Times New Roman"/>
                <w:color w:val="000000" w:themeColor="text1"/>
                <w:spacing w:val="0"/>
                <w:kern w:val="21"/>
                <w:position w:val="0"/>
                <w:sz w:val="24"/>
                <w14:textFill>
                  <w14:solidFill>
                    <w14:schemeClr w14:val="tx1"/>
                  </w14:solidFill>
                </w14:textFill>
              </w:rPr>
              <w:t>根据工艺要求及尺寸规格用推台锯等设备将木料切成所需要的规格，此工序会产生木材边角料、噪声和木料粉尘。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压刨：</w:t>
            </w:r>
            <w:r>
              <w:rPr>
                <w:rFonts w:ascii="Times New Roman" w:hAnsi="Times New Roman" w:eastAsia="宋体" w:cs="Times New Roman"/>
                <w:color w:val="000000" w:themeColor="text1"/>
                <w:spacing w:val="0"/>
                <w:kern w:val="21"/>
                <w:position w:val="0"/>
                <w:sz w:val="24"/>
                <w14:textFill>
                  <w14:solidFill>
                    <w14:schemeClr w14:val="tx1"/>
                  </w14:solidFill>
                </w14:textFill>
              </w:rPr>
              <w:t>使用压刨床、平刨床等设备对工件进行压刨，定座面厚度和宽度。此工序会产生木材边角料、噪声和木料粉尘。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开榫：</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利用钻床和开榫机对木料进行榫头和榫孔</w:t>
            </w:r>
            <w:r>
              <w:rPr>
                <w:rFonts w:ascii="Times New Roman" w:hAnsi="Times New Roman" w:eastAsia="宋体" w:cs="Times New Roman"/>
                <w:color w:val="000000" w:themeColor="text1"/>
                <w:spacing w:val="0"/>
                <w:kern w:val="21"/>
                <w:position w:val="0"/>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此工序会产生木材边角料、噪声和木料粉尘。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cs="Times New Roman"/>
                <w:color w:val="000000" w:themeColor="text1"/>
                <w:spacing w:val="0"/>
                <w:kern w:val="21"/>
                <w:position w:val="0"/>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拼板：</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将实木板材利用拼板胶和拼板机进行接长拼宽成座面所需的宽度，</w:t>
            </w:r>
            <w:r>
              <w:rPr>
                <w:rFonts w:ascii="Times New Roman" w:hAnsi="Times New Roman" w:eastAsia="宋体" w:cs="Times New Roman"/>
                <w:color w:val="000000" w:themeColor="text1"/>
                <w:spacing w:val="0"/>
                <w:kern w:val="21"/>
                <w:position w:val="0"/>
                <w:sz w:val="24"/>
                <w14:textFill>
                  <w14:solidFill>
                    <w14:schemeClr w14:val="tx1"/>
                  </w14:solidFill>
                </w14:textFill>
              </w:rPr>
              <w:t>此工序会产生噪声</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废胶桶。</w:t>
            </w:r>
          </w:p>
          <w:p>
            <w:pPr>
              <w:pageBreakBefore w:val="0"/>
              <w:widowControl/>
              <w:kinsoku/>
              <w:overflowPunct/>
              <w:autoSpaceDE/>
              <w:autoSpaceDN/>
              <w:bidi w:val="0"/>
              <w:spacing w:line="360" w:lineRule="auto"/>
              <w:ind w:firstLine="481" w:firstLineChars="200"/>
              <w:textAlignment w:val="auto"/>
              <w:rPr>
                <w:rFonts w:ascii="Times New Roman" w:hAnsi="Times New Roman" w:cs="Times New Roman"/>
                <w:color w:val="000000" w:themeColor="text1"/>
                <w:spacing w:val="0"/>
                <w:kern w:val="21"/>
                <w:position w:val="0"/>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锯解：</w:t>
            </w:r>
            <w:r>
              <w:rPr>
                <w:rFonts w:ascii="Times New Roman" w:hAnsi="Times New Roman" w:eastAsia="宋体" w:cs="Times New Roman"/>
                <w:color w:val="000000" w:themeColor="text1"/>
                <w:spacing w:val="0"/>
                <w:kern w:val="21"/>
                <w:position w:val="0"/>
                <w:sz w:val="24"/>
                <w14:textFill>
                  <w14:solidFill>
                    <w14:schemeClr w14:val="tx1"/>
                  </w14:solidFill>
                </w14:textFill>
              </w:rPr>
              <w:t>划线利用锯床进行锯解成每块座面毛坯。此工序会产生木材边角料、噪声和木料粉尘。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刨光：</w:t>
            </w:r>
            <w:r>
              <w:rPr>
                <w:rFonts w:ascii="Times New Roman" w:hAnsi="Times New Roman" w:eastAsia="宋体" w:cs="Times New Roman"/>
                <w:color w:val="000000" w:themeColor="text1"/>
                <w:spacing w:val="0"/>
                <w:kern w:val="21"/>
                <w:position w:val="0"/>
                <w:sz w:val="24"/>
                <w14:textFill>
                  <w14:solidFill>
                    <w14:schemeClr w14:val="tx1"/>
                  </w14:solidFill>
                </w14:textFill>
              </w:rPr>
              <w:t>利用刨床对木料进行刨光。此工序会产生木材边角料、噪声和</w:t>
            </w:r>
            <w:bookmarkStart w:id="19" w:name="OLE_LINK12"/>
            <w:r>
              <w:rPr>
                <w:rFonts w:ascii="Times New Roman" w:hAnsi="Times New Roman" w:eastAsia="宋体" w:cs="Times New Roman"/>
                <w:color w:val="000000" w:themeColor="text1"/>
                <w:spacing w:val="0"/>
                <w:kern w:val="21"/>
                <w:position w:val="0"/>
                <w:sz w:val="24"/>
                <w14:textFill>
                  <w14:solidFill>
                    <w14:schemeClr w14:val="tx1"/>
                  </w14:solidFill>
                </w14:textFill>
              </w:rPr>
              <w:t>木料粉尘</w:t>
            </w:r>
            <w:bookmarkEnd w:id="19"/>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铣型：</w:t>
            </w:r>
            <w:r>
              <w:rPr>
                <w:rFonts w:ascii="Times New Roman" w:hAnsi="Times New Roman" w:eastAsia="宋体" w:cs="Times New Roman"/>
                <w:color w:val="000000" w:themeColor="text1"/>
                <w:spacing w:val="0"/>
                <w:kern w:val="21"/>
                <w:position w:val="0"/>
                <w:sz w:val="24"/>
                <w14:textFill>
                  <w14:solidFill>
                    <w14:schemeClr w14:val="tx1"/>
                  </w14:solidFill>
                </w14:textFill>
              </w:rPr>
              <w:t>根据产品规格和外观需求，利用设备对工件进行造型处理。主要污染物为噪声、木料粉尘。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钻孔：</w:t>
            </w:r>
            <w:r>
              <w:rPr>
                <w:rFonts w:ascii="Times New Roman" w:hAnsi="Times New Roman" w:eastAsia="宋体" w:cs="Times New Roman"/>
                <w:color w:val="000000" w:themeColor="text1"/>
                <w:spacing w:val="0"/>
                <w:kern w:val="21"/>
                <w:position w:val="0"/>
                <w:sz w:val="24"/>
                <w14:textFill>
                  <w14:solidFill>
                    <w14:schemeClr w14:val="tx1"/>
                  </w14:solidFill>
                </w14:textFill>
              </w:rPr>
              <w:t>利用排钻等设备按照设计及工艺要求在各产品部件的指定位置进行打眼钻孔，此工序主要产生的污染物为木料粉尘及噪声。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砂磨：</w:t>
            </w:r>
            <w:r>
              <w:rPr>
                <w:rFonts w:ascii="Times New Roman" w:hAnsi="Times New Roman" w:eastAsia="宋体" w:cs="Times New Roman"/>
                <w:color w:val="000000" w:themeColor="text1"/>
                <w:spacing w:val="0"/>
                <w:kern w:val="21"/>
                <w:position w:val="0"/>
                <w:sz w:val="24"/>
                <w14:textFill>
                  <w14:solidFill>
                    <w14:schemeClr w14:val="tx1"/>
                  </w14:solidFill>
                </w14:textFill>
              </w:rPr>
              <w:t>为了避免毛面和木料表面不平，木料须使用砂光机等设备进行砂光，使其平整、光滑，以利于后续加工。此工序主要产生的污染物为木料粉尘和噪声。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组装：</w:t>
            </w:r>
            <w:r>
              <w:rPr>
                <w:rFonts w:ascii="Times New Roman" w:hAnsi="Times New Roman" w:eastAsia="宋体" w:cs="Times New Roman"/>
                <w:color w:val="000000" w:themeColor="text1"/>
                <w:spacing w:val="0"/>
                <w:kern w:val="21"/>
                <w:position w:val="0"/>
                <w:sz w:val="24"/>
                <w14:textFill>
                  <w14:solidFill>
                    <w14:schemeClr w14:val="tx1"/>
                  </w14:solidFill>
                </w14:textFill>
              </w:rPr>
              <w:t>将加工好的座面、椅腿和椅背进行拼装。</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打磨：</w:t>
            </w:r>
            <w:r>
              <w:rPr>
                <w:rFonts w:ascii="Times New Roman" w:hAnsi="Times New Roman" w:eastAsia="宋体" w:cs="Times New Roman"/>
                <w:color w:val="000000" w:themeColor="text1"/>
                <w:spacing w:val="0"/>
                <w:kern w:val="21"/>
                <w:position w:val="0"/>
                <w:sz w:val="24"/>
                <w14:textFill>
                  <w14:solidFill>
                    <w14:schemeClr w14:val="tx1"/>
                  </w14:solidFill>
                </w14:textFill>
              </w:rPr>
              <w:t>将加工好的座面、椅腿和椅背</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在</w:t>
            </w:r>
            <w:r>
              <w:rPr>
                <w:rFonts w:ascii="Times New Roman" w:hAnsi="Times New Roman" w:eastAsia="宋体" w:cs="Times New Roman"/>
                <w:color w:val="000000" w:themeColor="text1"/>
                <w:spacing w:val="0"/>
                <w:kern w:val="21"/>
                <w:position w:val="0"/>
                <w:sz w:val="24"/>
                <w14:textFill>
                  <w14:solidFill>
                    <w14:schemeClr w14:val="tx1"/>
                  </w14:solidFill>
                </w14:textFill>
              </w:rPr>
              <w:t>打磨房内进行喷漆前打磨，打磨后进入喷漆房进行喷漆。此过程产生的主要污染物为木料粉尘、噪声。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调漆：</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本项目调漆在密闭</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调漆</w:t>
            </w:r>
            <w:r>
              <w:rPr>
                <w:rFonts w:ascii="Times New Roman" w:hAnsi="Times New Roman" w:eastAsia="宋体" w:cs="Times New Roman"/>
                <w:color w:val="000000" w:themeColor="text1"/>
                <w:spacing w:val="0"/>
                <w:kern w:val="21"/>
                <w:position w:val="0"/>
                <w:sz w:val="24"/>
                <w14:textFill>
                  <w14:solidFill>
                    <w14:schemeClr w14:val="tx1"/>
                  </w14:solidFill>
                </w14:textFill>
              </w:rPr>
              <w:t>房内进行，</w:t>
            </w:r>
            <w:bookmarkStart w:id="20" w:name="OLE_LINK1"/>
            <w:r>
              <w:rPr>
                <w:rFonts w:ascii="Times New Roman" w:hAnsi="Times New Roman" w:eastAsia="宋体" w:cs="Times New Roman"/>
                <w:color w:val="000000" w:themeColor="text1"/>
                <w:spacing w:val="0"/>
                <w:kern w:val="21"/>
                <w:position w:val="0"/>
                <w:sz w:val="24"/>
                <w14:textFill>
                  <w14:solidFill>
                    <w14:schemeClr w14:val="tx1"/>
                  </w14:solidFill>
                </w14:textFill>
              </w:rPr>
              <w:t>人工按配比（水性底漆/面漆基料：稀释剂（水）=5:1）进行调制</w:t>
            </w:r>
            <w:bookmarkEnd w:id="20"/>
            <w:r>
              <w:rPr>
                <w:rFonts w:ascii="Times New Roman" w:hAnsi="Times New Roman" w:eastAsia="宋体" w:cs="Times New Roman"/>
                <w:color w:val="000000" w:themeColor="text1"/>
                <w:spacing w:val="0"/>
                <w:kern w:val="21"/>
                <w:position w:val="0"/>
                <w:sz w:val="24"/>
                <w14:textFill>
                  <w14:solidFill>
                    <w14:schemeClr w14:val="tx1"/>
                  </w14:solidFill>
                </w14:textFill>
              </w:rPr>
              <w:t>，调漆过程由于有机溶剂的挥发产生有机废气，经调漆室负压收集后排至有机废气处理设施处理。此环节主要产生有机废气、废漆桶。</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喷底漆+晾干：</w:t>
            </w:r>
            <w:bookmarkStart w:id="21" w:name="OLE_LINK6"/>
            <w:r>
              <w:rPr>
                <w:rFonts w:ascii="Times New Roman" w:hAnsi="Times New Roman" w:eastAsia="宋体" w:cs="Times New Roman"/>
                <w:color w:val="000000" w:themeColor="text1"/>
                <w:spacing w:val="0"/>
                <w:kern w:val="21"/>
                <w:position w:val="0"/>
                <w:sz w:val="24"/>
                <w14:textFill>
                  <w14:solidFill>
                    <w14:schemeClr w14:val="tx1"/>
                  </w14:solidFill>
                </w14:textFill>
              </w:rPr>
              <w:t>本项目喷涂主要采用高压无气喷涂法，其采用增压泵将涂料增至高压（常用压力60-300kg/cm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），通过很细的喷孔喷出，使涂料形成扇形雾状。由于涂料里不混入空气，以及较高的涂料传递效率和生产效率，从而在表面形成致密的涂层，使无气喷涂表面质量明显的优于空气喷涂。</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本项目底漆喷涂2层，</w:t>
            </w:r>
            <w:bookmarkStart w:id="22" w:name="OLE_LINK30"/>
            <w:r>
              <w:rPr>
                <w:rFonts w:ascii="Times New Roman" w:hAnsi="Times New Roman" w:eastAsia="宋体" w:cs="Times New Roman"/>
                <w:color w:val="000000" w:themeColor="text1"/>
                <w:spacing w:val="0"/>
                <w:kern w:val="21"/>
                <w:position w:val="0"/>
                <w:sz w:val="24"/>
                <w14:textFill>
                  <w14:solidFill>
                    <w14:schemeClr w14:val="tx1"/>
                  </w14:solidFill>
                </w14:textFill>
              </w:rPr>
              <w:t>喷漆过程在密闭底漆房</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进行，</w:t>
            </w:r>
            <w:r>
              <w:rPr>
                <w:rFonts w:ascii="Times New Roman" w:hAnsi="Times New Roman" w:eastAsia="宋体" w:cs="Times New Roman"/>
                <w:color w:val="000000" w:themeColor="text1"/>
                <w:spacing w:val="0"/>
                <w:kern w:val="21"/>
                <w:position w:val="0"/>
                <w:sz w:val="24"/>
                <w14:textFill>
                  <w14:solidFill>
                    <w14:schemeClr w14:val="tx1"/>
                  </w14:solidFill>
                </w14:textFill>
              </w:rPr>
              <w:t>晾干过程</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在密闭晾干房</w:t>
            </w:r>
            <w:r>
              <w:rPr>
                <w:rFonts w:ascii="Times New Roman" w:hAnsi="Times New Roman" w:eastAsia="宋体" w:cs="Times New Roman"/>
                <w:color w:val="000000" w:themeColor="text1"/>
                <w:spacing w:val="0"/>
                <w:kern w:val="21"/>
                <w:position w:val="0"/>
                <w:sz w:val="24"/>
                <w14:textFill>
                  <w14:solidFill>
                    <w14:schemeClr w14:val="tx1"/>
                  </w14:solidFill>
                </w14:textFill>
              </w:rPr>
              <w:t>内进行。</w:t>
            </w:r>
            <w:bookmarkEnd w:id="22"/>
            <w:r>
              <w:rPr>
                <w:rFonts w:ascii="Times New Roman" w:hAnsi="Times New Roman" w:eastAsia="宋体" w:cs="Times New Roman"/>
                <w:color w:val="000000" w:themeColor="text1"/>
                <w:spacing w:val="0"/>
                <w:kern w:val="21"/>
                <w:position w:val="0"/>
                <w:sz w:val="24"/>
                <w14:textFill>
                  <w14:solidFill>
                    <w14:schemeClr w14:val="tx1"/>
                  </w14:solidFill>
                </w14:textFill>
              </w:rPr>
              <w:t>待喷坯先进入底漆喷房进行第一次底漆喷涂，喷涂完成后进入底漆晾干房内进行自然晾干，晾干时间约24小时，底漆晾干后需进行打磨，便于后续漆均匀附着，在打磨房内使用进行人工打磨。打磨完成后进入底漆喷房进行第二次底漆喷涂，喷涂完成后进入底漆晾干房内进行晾干，底漆晾干后进行底漆打磨。</w:t>
            </w:r>
            <w:bookmarkStart w:id="23" w:name="OLE_LINK11"/>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烘干过程中</w:t>
            </w:r>
            <w:r>
              <w:rPr>
                <w:rFonts w:ascii="Times New Roman" w:hAnsi="Times New Roman" w:eastAsia="宋体" w:cs="Times New Roman"/>
                <w:color w:val="000000" w:themeColor="text1"/>
                <w:spacing w:val="0"/>
                <w:kern w:val="21"/>
                <w:position w:val="0"/>
                <w:sz w:val="24"/>
                <w14:textFill>
                  <w14:solidFill>
                    <w14:schemeClr w14:val="tx1"/>
                  </w14:solidFill>
                </w14:textFill>
              </w:rPr>
              <w:t>夏季自然晾干，冬季利用电加热灯晾干</w:t>
            </w:r>
            <w:bookmarkEnd w:id="23"/>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在全封闭的底漆房内利用手动喷枪及机械手喷枪按照工艺要求喷涂在工件上，喷涂方式为高压无气喷涂。本项目设置底漆房2间（5m×4m×3m），配置2套</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（4m×1.5m×2.5m），工件完成底漆喷涂后自然晾干。根据业主提供的资料，</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本项目</w:t>
            </w:r>
            <w:r>
              <w:rPr>
                <w:rFonts w:ascii="Times New Roman" w:hAnsi="Times New Roman" w:eastAsia="宋体" w:cs="Times New Roman"/>
                <w:color w:val="000000" w:themeColor="text1"/>
                <w:spacing w:val="0"/>
                <w:kern w:val="21"/>
                <w:position w:val="0"/>
                <w:sz w:val="24"/>
                <w14:textFill>
                  <w14:solidFill>
                    <w14:schemeClr w14:val="tx1"/>
                  </w14:solidFill>
                </w14:textFill>
              </w:rPr>
              <w:t>上漆率为70%。</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喷漆房运行时，房门处于闭合状态，水箱内的水由水泵提升到水帘过滤器顶的溢水槽，溢流到水幕板上形成水幕，在旋流水帘一体机抽气作用下形成微负压状态。喷漆时，通过负压收集将带有漆雾的废气引至与水幕相接触，漆雾被冲刷到</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水箱内，捕捉漆雾后的废水循环使用，定期更换，作为危废交由有资质单位进行处理，不外排。预处理后的有机废气在风机引力的作用下抽送至有机废气处理设施处理。此工序主要产生的污染物为喷漆废气（漆雾、VOCs等）、喷漆废水、噪声和固废（废油漆桶、漆渣等）。</w:t>
            </w:r>
          </w:p>
          <w:bookmarkEnd w:id="21"/>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底漆打磨：</w:t>
            </w:r>
            <w:r>
              <w:rPr>
                <w:rFonts w:ascii="Times New Roman" w:hAnsi="Times New Roman" w:eastAsia="宋体" w:cs="Times New Roman"/>
                <w:color w:val="000000" w:themeColor="text1"/>
                <w:spacing w:val="0"/>
                <w:kern w:val="21"/>
                <w:position w:val="0"/>
                <w:sz w:val="24"/>
                <w14:textFill>
                  <w14:solidFill>
                    <w14:schemeClr w14:val="tx1"/>
                  </w14:solidFill>
                </w14:textFill>
              </w:rPr>
              <w:t>按照设计要求，人工对已喷底漆的木料进行砂磨，目的是使木料表面更为光滑平顺，便于面漆均匀附着，该工序在底漆打磨房进行。此工序主要产生的污染物为漆料打磨粉尘、噪声。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喷面漆+晾干：</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本项目面漆喷涂1层，喷漆过程均在密闭</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喷漆</w:t>
            </w:r>
            <w:r>
              <w:rPr>
                <w:rFonts w:ascii="Times New Roman" w:hAnsi="Times New Roman" w:eastAsia="宋体" w:cs="Times New Roman"/>
                <w:color w:val="000000" w:themeColor="text1"/>
                <w:spacing w:val="0"/>
                <w:kern w:val="21"/>
                <w:position w:val="0"/>
                <w:sz w:val="24"/>
                <w14:textFill>
                  <w14:solidFill>
                    <w14:schemeClr w14:val="tx1"/>
                  </w14:solidFill>
                </w14:textFill>
              </w:rPr>
              <w:t>房</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进行，</w:t>
            </w:r>
            <w:r>
              <w:rPr>
                <w:rFonts w:ascii="Times New Roman" w:hAnsi="Times New Roman" w:eastAsia="宋体" w:cs="Times New Roman"/>
                <w:color w:val="000000" w:themeColor="text1"/>
                <w:spacing w:val="0"/>
                <w:kern w:val="21"/>
                <w:position w:val="0"/>
                <w:sz w:val="24"/>
                <w14:textFill>
                  <w14:solidFill>
                    <w14:schemeClr w14:val="tx1"/>
                  </w14:solidFill>
                </w14:textFill>
              </w:rPr>
              <w:t>晾干过程</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在密闭晾干房</w:t>
            </w:r>
            <w:r>
              <w:rPr>
                <w:rFonts w:ascii="Times New Roman" w:hAnsi="Times New Roman" w:eastAsia="宋体" w:cs="Times New Roman"/>
                <w:color w:val="000000" w:themeColor="text1"/>
                <w:spacing w:val="0"/>
                <w:kern w:val="21"/>
                <w:position w:val="0"/>
                <w:sz w:val="24"/>
                <w14:textFill>
                  <w14:solidFill>
                    <w14:schemeClr w14:val="tx1"/>
                  </w14:solidFill>
                </w14:textFill>
              </w:rPr>
              <w:t>内进行。首先将漆料按照工艺要求调配完成，然后利用喷枪按照设计及工艺要求将面漆均匀喷涂在工件表面。工件喷漆后利用</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晾干房</w:t>
            </w:r>
            <w:r>
              <w:rPr>
                <w:rFonts w:ascii="Times New Roman" w:hAnsi="Times New Roman" w:eastAsia="宋体" w:cs="Times New Roman"/>
                <w:color w:val="000000" w:themeColor="text1"/>
                <w:spacing w:val="0"/>
                <w:kern w:val="21"/>
                <w:position w:val="0"/>
                <w:sz w:val="24"/>
                <w14:textFill>
                  <w14:solidFill>
                    <w14:schemeClr w14:val="tx1"/>
                  </w14:solidFill>
                </w14:textFill>
              </w:rPr>
              <w:t>大功率灯泡热辐射烘干（夏季自然晾干，冬季利用电加热灯晾干）。</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在全封闭的面漆房内利用手动喷枪及机械手喷枪按照工艺要求喷涂在工件上，喷涂方式为高压无气喷涂（喷涂工艺与底漆一致）。本项目设置面漆房1间（5m×4m×3m）配置1套水旋喷漆柜（4m×1.5m×2.5m），工件完成面漆喷涂后自然晾干，晾干过程中产生VOCs废气通过室内收集口进入废气主管，通过末端废气处理设施处理后达标排放。此工序主要产生的污染物为喷漆废气（漆雾、VOCs等）、喷漆废水、噪声和固废（废油漆桶、漆渣等）。</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检验：</w:t>
            </w:r>
            <w:r>
              <w:rPr>
                <w:rFonts w:ascii="Times New Roman" w:hAnsi="Times New Roman" w:eastAsia="宋体" w:cs="Times New Roman"/>
                <w:color w:val="000000" w:themeColor="text1"/>
                <w:spacing w:val="0"/>
                <w:kern w:val="21"/>
                <w:position w:val="0"/>
                <w:sz w:val="24"/>
                <w14:textFill>
                  <w14:solidFill>
                    <w14:schemeClr w14:val="tx1"/>
                  </w14:solidFill>
                </w14:textFill>
              </w:rPr>
              <w:t>人工目视对产品进行品质检验，不合格品返回喷漆工序重新喷漆。</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包装入库：</w:t>
            </w:r>
            <w:r>
              <w:rPr>
                <w:rFonts w:ascii="Times New Roman" w:hAnsi="Times New Roman" w:eastAsia="宋体" w:cs="Times New Roman"/>
                <w:color w:val="000000" w:themeColor="text1"/>
                <w:spacing w:val="0"/>
                <w:kern w:val="21"/>
                <w:position w:val="0"/>
                <w:sz w:val="24"/>
                <w14:textFill>
                  <w14:solidFill>
                    <w14:schemeClr w14:val="tx1"/>
                  </w14:solidFill>
                </w14:textFill>
              </w:rPr>
              <w:t>喷漆完成后将家具装配五金件</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或金属椅腿</w:t>
            </w:r>
            <w:r>
              <w:rPr>
                <w:rFonts w:ascii="Times New Roman" w:hAnsi="Times New Roman" w:eastAsia="宋体" w:cs="Times New Roman"/>
                <w:color w:val="000000" w:themeColor="text1"/>
                <w:spacing w:val="0"/>
                <w:kern w:val="21"/>
                <w:position w:val="0"/>
                <w:sz w:val="24"/>
                <w14:textFill>
                  <w14:solidFill>
                    <w14:schemeClr w14:val="tx1"/>
                  </w14:solidFill>
                </w14:textFill>
              </w:rPr>
              <w:t>，然后进行包装入库。此工序主要产生的污染物为噪声、废包装材料。</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3、软包家具生产线</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本项目软包家具为沙发，主要工序为板材加工、</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涂胶</w:t>
            </w:r>
            <w:r>
              <w:rPr>
                <w:rFonts w:ascii="Times New Roman" w:hAnsi="Times New Roman" w:eastAsia="宋体" w:cs="Times New Roman"/>
                <w:color w:val="000000" w:themeColor="text1"/>
                <w:spacing w:val="0"/>
                <w:kern w:val="21"/>
                <w:position w:val="0"/>
                <w:sz w:val="24"/>
                <w14:textFill>
                  <w14:solidFill>
                    <w14:schemeClr w14:val="tx1"/>
                  </w14:solidFill>
                </w14:textFill>
              </w:rPr>
              <w:t>、扪布、组装，软包家具生产工艺流程及产污分析如下图所示。</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object>
                <v:shape id="_x0000_i1034" o:spt="75" type="#_x0000_t75" style="height:400.1pt;width:414.6pt;" o:ole="t" filled="f" o:preferrelative="t" stroked="f" coordsize="21600,21600">
                  <v:path/>
                  <v:fill on="f" focussize="0,0"/>
                  <v:stroke on="f"/>
                  <v:imagedata r:id="rId41" o:title=""/>
                  <o:lock v:ext="edit" aspectratio="t"/>
                  <w10:wrap type="none"/>
                  <w10:anchorlock/>
                </v:shape>
                <o:OLEObject Type="Embed" ProgID="Visio.Drawing.11" ShapeID="_x0000_i1034" DrawAspect="Content" ObjectID="_1468075734" r:id="rId40">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软包家具生产线工艺流程图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工艺流程简述：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（1）实木、板材处理</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开料</w:t>
            </w: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根据客户要求，选择板材制作沙发底板、实木制作沙发框架，按尺寸规格要求利用锯床进行下料。此工序会产生木材边角料、噪声和木料粉尘。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开榫：</w:t>
            </w:r>
            <w:r>
              <w:rPr>
                <w:rFonts w:ascii="Times New Roman" w:hAnsi="Times New Roman" w:eastAsia="宋体" w:cs="Times New Roman"/>
                <w:color w:val="000000" w:themeColor="text1"/>
                <w:spacing w:val="0"/>
                <w:kern w:val="21"/>
                <w:position w:val="0"/>
                <w:sz w:val="24"/>
                <w14:textFill>
                  <w14:solidFill>
                    <w14:schemeClr w14:val="tx1"/>
                  </w14:solidFill>
                </w14:textFill>
              </w:rPr>
              <w:t>将切割好的木材利用榫槽机进行开榫。此工序会产生噪声和木料粉尘。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刨平打磨：</w:t>
            </w:r>
            <w:r>
              <w:rPr>
                <w:rFonts w:ascii="Times New Roman" w:hAnsi="Times New Roman" w:eastAsia="宋体" w:cs="Times New Roman"/>
                <w:color w:val="000000" w:themeColor="text1"/>
                <w:spacing w:val="0"/>
                <w:kern w:val="21"/>
                <w:position w:val="0"/>
                <w:sz w:val="24"/>
                <w14:textFill>
                  <w14:solidFill>
                    <w14:schemeClr w14:val="tx1"/>
                  </w14:solidFill>
                </w14:textFill>
              </w:rPr>
              <w:t>将用于沙发腿、沙发底座边缘的白蜡木进行刨平、打磨。此工序会产生噪声和木料粉尘。</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钉架：</w:t>
            </w:r>
            <w:r>
              <w:rPr>
                <w:rFonts w:ascii="Times New Roman" w:hAnsi="Times New Roman" w:eastAsia="宋体" w:cs="Times New Roman"/>
                <w:color w:val="000000" w:themeColor="text1"/>
                <w:spacing w:val="0"/>
                <w:kern w:val="21"/>
                <w:position w:val="0"/>
                <w:sz w:val="24"/>
                <w14:textFill>
                  <w14:solidFill>
                    <w14:schemeClr w14:val="tx1"/>
                  </w14:solidFill>
                </w14:textFill>
              </w:rPr>
              <w:t>人工使用射钉枪将成型木料零部件进行组装，使其形成软体家具骨架基本形状。此工序会产生噪声。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（2）海绵处理</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剪裁：</w:t>
            </w:r>
            <w:r>
              <w:rPr>
                <w:rFonts w:ascii="Times New Roman" w:hAnsi="Times New Roman" w:eastAsia="宋体" w:cs="Times New Roman"/>
                <w:color w:val="000000" w:themeColor="text1"/>
                <w:spacing w:val="0"/>
                <w:kern w:val="21"/>
                <w:position w:val="0"/>
                <w:sz w:val="24"/>
                <w14:textFill>
                  <w14:solidFill>
                    <w14:schemeClr w14:val="tx1"/>
                  </w14:solidFill>
                </w14:textFill>
              </w:rPr>
              <w:t>根据客户要求，使用自动切绵机对进厂的海绵根据规格要求进行剪裁。此过程产生的主要污染物为废海绵边角料、噪声。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涂胶贴</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棉：</w:t>
            </w:r>
            <w:r>
              <w:rPr>
                <w:rFonts w:hint="eastAsia" w:ascii="Times New Roman" w:hAnsi="Times New Roman" w:eastAsia="宋体" w:cs="Times New Roman"/>
                <w:b w:val="0"/>
                <w:bCs w:val="0"/>
                <w:color w:val="000000" w:themeColor="text1"/>
                <w:spacing w:val="0"/>
                <w:kern w:val="21"/>
                <w:position w:val="0"/>
                <w:sz w:val="24"/>
                <w:lang w:val="en-US" w:eastAsia="zh-CN"/>
                <w14:textFill>
                  <w14:solidFill>
                    <w14:schemeClr w14:val="tx1"/>
                  </w14:solidFill>
                </w14:textFill>
              </w:rPr>
              <w:t>人工用刷子在木架上刷</w:t>
            </w:r>
            <w:r>
              <w:rPr>
                <w:rFonts w:ascii="Times New Roman" w:hAnsi="Times New Roman" w:eastAsia="宋体" w:cs="Times New Roman"/>
                <w:b w:val="0"/>
                <w:bCs w:val="0"/>
                <w:color w:val="000000" w:themeColor="text1"/>
                <w:spacing w:val="0"/>
                <w:kern w:val="21"/>
                <w:position w:val="0"/>
                <w:sz w:val="24"/>
                <w14:textFill>
                  <w14:solidFill>
                    <w14:schemeClr w14:val="tx1"/>
                  </w14:solidFill>
                </w14:textFill>
              </w:rPr>
              <w:t>水</w:t>
            </w:r>
            <w:r>
              <w:rPr>
                <w:rFonts w:ascii="Times New Roman" w:hAnsi="Times New Roman" w:eastAsia="宋体" w:cs="Times New Roman"/>
                <w:color w:val="000000" w:themeColor="text1"/>
                <w:spacing w:val="0"/>
                <w:kern w:val="21"/>
                <w:position w:val="0"/>
                <w:sz w:val="24"/>
                <w14:textFill>
                  <w14:solidFill>
                    <w14:schemeClr w14:val="tx1"/>
                  </w14:solidFill>
                </w14:textFill>
              </w:rPr>
              <w:t>基胶，将海绵与木架黏附在一起，通过自然晾干。此过程产生的主要污染物为有机废气、废包装桶、噪声、含胶固废。</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（3）无纺布、皮革处理</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剪裁：</w:t>
            </w:r>
            <w:r>
              <w:rPr>
                <w:rFonts w:ascii="Times New Roman" w:hAnsi="Times New Roman" w:eastAsia="宋体" w:cs="Times New Roman"/>
                <w:color w:val="000000" w:themeColor="text1"/>
                <w:spacing w:val="0"/>
                <w:kern w:val="21"/>
                <w:position w:val="0"/>
                <w:sz w:val="24"/>
                <w14:textFill>
                  <w14:solidFill>
                    <w14:schemeClr w14:val="tx1"/>
                  </w14:solidFill>
                </w14:textFill>
              </w:rPr>
              <w:t>将外购的皮革、无纺布等原料根据产品规格分别进行裁剪。此过程产生的主要污染物为废布皮边角料、噪声。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缝纫：</w:t>
            </w:r>
            <w:r>
              <w:rPr>
                <w:rFonts w:ascii="Times New Roman" w:hAnsi="Times New Roman" w:eastAsia="宋体" w:cs="Times New Roman"/>
                <w:color w:val="000000" w:themeColor="text1"/>
                <w:spacing w:val="0"/>
                <w:kern w:val="21"/>
                <w:position w:val="0"/>
                <w:sz w:val="24"/>
                <w14:textFill>
                  <w14:solidFill>
                    <w14:schemeClr w14:val="tx1"/>
                  </w14:solidFill>
                </w14:textFill>
              </w:rPr>
              <w:t>将裁剪后的皮革、无纺布根据产品规格分别进行缝纫，将缝纫好的皮革、无纺布制成家具的套子。</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（4）扪布：</w:t>
            </w:r>
            <w:r>
              <w:rPr>
                <w:rFonts w:ascii="Times New Roman" w:hAnsi="Times New Roman" w:eastAsia="宋体" w:cs="Times New Roman"/>
                <w:color w:val="000000" w:themeColor="text1"/>
                <w:spacing w:val="0"/>
                <w:kern w:val="21"/>
                <w:position w:val="0"/>
                <w:sz w:val="24"/>
                <w14:textFill>
                  <w14:solidFill>
                    <w14:schemeClr w14:val="tx1"/>
                  </w14:solidFill>
                </w14:textFill>
              </w:rPr>
              <w:t>将皮革、无纺布制成的套子与海绵木架进行扪制。</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（5）组装：</w:t>
            </w:r>
            <w:r>
              <w:rPr>
                <w:rFonts w:ascii="Times New Roman" w:hAnsi="Times New Roman" w:eastAsia="宋体" w:cs="Times New Roman"/>
                <w:color w:val="000000" w:themeColor="text1"/>
                <w:spacing w:val="0"/>
                <w:kern w:val="21"/>
                <w:position w:val="0"/>
                <w:sz w:val="24"/>
                <w14:textFill>
                  <w14:solidFill>
                    <w14:schemeClr w14:val="tx1"/>
                  </w14:solidFill>
                </w14:textFill>
              </w:rPr>
              <w:t>扪制后的软包件半成品与外购的配件一起进行组装成型。</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（6）检验：</w:t>
            </w:r>
            <w:r>
              <w:rPr>
                <w:rFonts w:ascii="Times New Roman" w:hAnsi="Times New Roman" w:eastAsia="宋体" w:cs="Times New Roman"/>
                <w:color w:val="000000" w:themeColor="text1"/>
                <w:spacing w:val="0"/>
                <w:kern w:val="21"/>
                <w:position w:val="0"/>
                <w:sz w:val="24"/>
                <w14:textFill>
                  <w14:solidFill>
                    <w14:schemeClr w14:val="tx1"/>
                  </w14:solidFill>
                </w14:textFill>
              </w:rPr>
              <w:t>对软包产品进行品质检验合格后包装入库待发。不合格品进行返工处理，不能回用部分按照成分作为废边角料处理。此过程产生的主要污染物为废边角料。</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（7）包装入库：</w:t>
            </w:r>
            <w:r>
              <w:rPr>
                <w:rFonts w:ascii="Times New Roman" w:hAnsi="Times New Roman" w:eastAsia="宋体" w:cs="Times New Roman"/>
                <w:color w:val="000000" w:themeColor="text1"/>
                <w:spacing w:val="0"/>
                <w:kern w:val="21"/>
                <w:position w:val="0"/>
                <w:sz w:val="24"/>
                <w14:textFill>
                  <w14:solidFill>
                    <w14:schemeClr w14:val="tx1"/>
                  </w14:solidFill>
                </w14:textFill>
              </w:rPr>
              <w:t>采用塑料、木条等包装材料对合格产品进行包装后运至库房待售。此工序会产生废包装材料。</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4、五金配件加工生产线</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本项目五金配件</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主要为桌腿、椅腿，其他五金配件如柜门、柜锁等均为外购，不在厂内生产。本项目五金配件</w:t>
            </w:r>
            <w:r>
              <w:rPr>
                <w:rFonts w:ascii="Times New Roman" w:hAnsi="Times New Roman" w:eastAsia="宋体" w:cs="Times New Roman"/>
                <w:color w:val="000000" w:themeColor="text1"/>
                <w:spacing w:val="0"/>
                <w:kern w:val="21"/>
                <w:position w:val="0"/>
                <w:sz w:val="24"/>
                <w14:textFill>
                  <w14:solidFill>
                    <w14:schemeClr w14:val="tx1"/>
                  </w14:solidFill>
                </w14:textFill>
              </w:rPr>
              <w:t>生产工艺流程及产污分析如下图所示。</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object>
                <v:shape id="_x0000_i1035" o:spt="75" type="#_x0000_t75" style="height:502.45pt;width:362.1pt;" o:ole="t" filled="f" o:preferrelative="t" stroked="f" coordsize="21600,21600">
                  <v:path/>
                  <v:fill on="f" focussize="0,0"/>
                  <v:stroke on="f"/>
                  <v:imagedata r:id="rId43" o:title=""/>
                  <o:lock v:ext="edit" aspectratio="t"/>
                  <w10:wrap type="none"/>
                  <w10:anchorlock/>
                </v:shape>
                <o:OLEObject Type="Embed" ProgID="Visio.Drawing.11" ShapeID="_x0000_i1035" DrawAspect="Content" ObjectID="_1468075735" r:id="rId42">
                  <o:LockedField>false</o:LockedField>
                </o:OLEObject>
              </w:object>
            </w:r>
          </w:p>
          <w:p>
            <w:pPr>
              <w:pageBreakBefore w:val="0"/>
              <w:numPr>
                <w:ilvl w:val="0"/>
                <w:numId w:val="25"/>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五金配件生产线工艺流程图</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工艺流程简述：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下料：</w:t>
            </w:r>
            <w:r>
              <w:rPr>
                <w:rFonts w:ascii="Times New Roman" w:hAnsi="Times New Roman" w:eastAsia="宋体" w:cs="Times New Roman"/>
                <w:color w:val="000000" w:themeColor="text1"/>
                <w:spacing w:val="0"/>
                <w:kern w:val="21"/>
                <w:position w:val="0"/>
                <w:sz w:val="24"/>
                <w14:textFill>
                  <w14:solidFill>
                    <w14:schemeClr w14:val="tx1"/>
                  </w14:solidFill>
                </w14:textFill>
              </w:rPr>
              <w:t>根据工艺和质量要求，</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采用</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激光切割</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机及</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切管机</w:t>
            </w:r>
            <w:r>
              <w:rPr>
                <w:rFonts w:ascii="Times New Roman" w:hAnsi="Times New Roman" w:eastAsia="宋体" w:cs="Times New Roman"/>
                <w:color w:val="000000" w:themeColor="text1"/>
                <w:spacing w:val="0"/>
                <w:kern w:val="21"/>
                <w:position w:val="0"/>
                <w:sz w:val="24"/>
                <w14:textFill>
                  <w14:solidFill>
                    <w14:schemeClr w14:val="tx1"/>
                  </w14:solidFill>
                </w14:textFill>
              </w:rPr>
              <w:t>对原材料</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进行下料</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激光切割机原理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利用激光切割技术在大平板上将其平板的结构形状切割出来</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，锯床将平板分割按客户所需版型进行分割</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。激光切割</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工序主要将大平板件分割成小平板</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此工序</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将产生</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金属下料粉尘</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、噪声、固废。</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1"/>
                <w14:textFill>
                  <w14:solidFill>
                    <w14:schemeClr w14:val="tx1"/>
                  </w14:solidFill>
                </w14:textFill>
              </w:rPr>
              <w:t>粗加工：</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按照设计图纸及工艺参数，利用铣床、</w:t>
            </w:r>
            <w:r>
              <w:rPr>
                <w:rFonts w:hint="eastAsia" w:ascii="Times New Roman" w:hAnsi="Times New Roman" w:eastAsia="宋体" w:cs="Times New Roman"/>
                <w:color w:val="000000" w:themeColor="text1"/>
                <w:spacing w:val="0"/>
                <w:kern w:val="21"/>
                <w:position w:val="0"/>
                <w:sz w:val="24"/>
                <w:szCs w:val="21"/>
                <w14:textFill>
                  <w14:solidFill>
                    <w14:schemeClr w14:val="tx1"/>
                  </w14:solidFill>
                </w14:textFill>
              </w:rPr>
              <w:t>车</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床</w:t>
            </w:r>
            <w:r>
              <w:rPr>
                <w:rFonts w:hint="eastAsia" w:ascii="Times New Roman" w:hAnsi="Times New Roman" w:eastAsia="宋体" w:cs="Times New Roman"/>
                <w:color w:val="000000" w:themeColor="text1"/>
                <w:spacing w:val="0"/>
                <w:kern w:val="21"/>
                <w:position w:val="0"/>
                <w:sz w:val="24"/>
                <w:szCs w:val="21"/>
                <w14:textFill>
                  <w14:solidFill>
                    <w14:schemeClr w14:val="tx1"/>
                  </w14:solidFill>
                </w14:textFill>
              </w:rPr>
              <w:t>、大型加工中心、CNC加工中心</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等设备，对工件进行切割、铣削等，使原料较粗略地形成所需的形状。</w:t>
            </w:r>
            <w:r>
              <w:rPr>
                <w:rFonts w:ascii="Times New Roman" w:hAnsi="Times New Roman" w:eastAsia="宋体" w:cs="Times New Roman"/>
                <w:bCs/>
                <w:color w:val="000000" w:themeColor="text1"/>
                <w:spacing w:val="0"/>
                <w:kern w:val="21"/>
                <w:position w:val="0"/>
                <w:sz w:val="24"/>
                <w:szCs w:val="21"/>
                <w14:textFill>
                  <w14:solidFill>
                    <w14:schemeClr w14:val="tx1"/>
                  </w14:solidFill>
                </w14:textFill>
              </w:rPr>
              <w:t>该过程将产生固废、噪声</w:t>
            </w:r>
            <w:r>
              <w:rPr>
                <w:rFonts w:hint="eastAsia" w:ascii="Times New Roman" w:hAnsi="Times New Roman" w:eastAsia="宋体" w:cs="Times New Roman"/>
                <w:bCs/>
                <w:color w:val="000000" w:themeColor="text1"/>
                <w:spacing w:val="0"/>
                <w:kern w:val="21"/>
                <w:position w:val="0"/>
                <w:sz w:val="24"/>
                <w:szCs w:val="21"/>
                <w14:textFill>
                  <w14:solidFill>
                    <w14:schemeClr w14:val="tx1"/>
                  </w14:solidFill>
                </w14:textFill>
              </w:rPr>
              <w:t>、废切削液</w:t>
            </w:r>
            <w:r>
              <w:rPr>
                <w:rFonts w:ascii="Times New Roman" w:hAnsi="Times New Roman" w:eastAsia="宋体" w:cs="Times New Roman"/>
                <w:bCs/>
                <w:color w:val="000000" w:themeColor="text1"/>
                <w:spacing w:val="0"/>
                <w:kern w:val="21"/>
                <w:position w:val="0"/>
                <w:sz w:val="24"/>
                <w:szCs w:val="21"/>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1"/>
                <w14:textFill>
                  <w14:solidFill>
                    <w14:schemeClr w14:val="tx1"/>
                  </w14:solidFill>
                </w14:textFill>
              </w:rPr>
            </w:pPr>
            <w:r>
              <w:rPr>
                <w:rFonts w:ascii="Times New Roman" w:hAnsi="Times New Roman" w:eastAsia="宋体" w:cs="Times New Roman"/>
                <w:b/>
                <w:color w:val="000000" w:themeColor="text1"/>
                <w:spacing w:val="0"/>
                <w:kern w:val="21"/>
                <w:position w:val="0"/>
                <w:sz w:val="24"/>
                <w:szCs w:val="21"/>
                <w14:textFill>
                  <w14:solidFill>
                    <w14:schemeClr w14:val="tx1"/>
                  </w14:solidFill>
                </w14:textFill>
              </w:rPr>
              <w:t>折弯</w:t>
            </w:r>
            <w:r>
              <w:rPr>
                <w:rFonts w:ascii="Times New Roman" w:hAnsi="Times New Roman" w:eastAsia="宋体" w:cs="Times New Roman"/>
                <w:b/>
                <w:bCs/>
                <w:color w:val="000000" w:themeColor="text1"/>
                <w:spacing w:val="0"/>
                <w:kern w:val="21"/>
                <w:position w:val="0"/>
                <w:sz w:val="24"/>
                <w:szCs w:val="21"/>
                <w14:textFill>
                  <w14:solidFill>
                    <w14:schemeClr w14:val="tx1"/>
                  </w14:solidFill>
                </w14:textFill>
              </w:rPr>
              <w:t>：</w:t>
            </w:r>
            <w:r>
              <w:rPr>
                <w:rFonts w:ascii="宋体" w:hAnsi="宋体" w:eastAsia="宋体" w:cs="宋体"/>
                <w:color w:val="000000" w:themeColor="text1"/>
                <w:spacing w:val="0"/>
                <w:kern w:val="21"/>
                <w:position w:val="0"/>
                <w:sz w:val="24"/>
                <w:szCs w:val="24"/>
                <w14:textFill>
                  <w14:solidFill>
                    <w14:schemeClr w14:val="tx1"/>
                  </w14:solidFill>
                </w14:textFill>
              </w:rPr>
              <w:t>使用折弯机对需要弯曲的钢板进行折弯处理。</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将工件放到折弯机上，工件边缘放到压板位置，启动开关，压板下压，工件边缘折弯。</w:t>
            </w:r>
            <w:r>
              <w:rPr>
                <w:rFonts w:ascii="Times New Roman" w:hAnsi="Times New Roman" w:eastAsia="宋体" w:cs="Times New Roman"/>
                <w:bCs/>
                <w:color w:val="000000" w:themeColor="text1"/>
                <w:spacing w:val="0"/>
                <w:kern w:val="21"/>
                <w:position w:val="0"/>
                <w:sz w:val="24"/>
                <w:szCs w:val="21"/>
                <w14:textFill>
                  <w14:solidFill>
                    <w14:schemeClr w14:val="tx1"/>
                  </w14:solidFill>
                </w14:textFill>
              </w:rPr>
              <w:t>该过程将产生固废、噪声。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焊接：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产品及零部件的需求，利用氩弧焊机对工件进行焊接，达到成型要求。氩弧焊机是使用氩弧焊的机器，采用高压击穿的起弧方式。焊接要求无夹焊，无漏焊，焊接完成后送入打磨区进行打磨。该工序将产生焊接烟尘、焊渣以及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打磨：</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根据产品需要对焊接过程中产生的焊点及外观进行打磨</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通过磨床将部件</w:t>
            </w:r>
            <w:r>
              <w:rPr>
                <w:rFonts w:ascii="Times New Roman" w:hAnsi="Times New Roman" w:eastAsia="宋体" w:cs="Times New Roman"/>
                <w:color w:val="000000" w:themeColor="text1"/>
                <w:spacing w:val="0"/>
                <w:kern w:val="21"/>
                <w:position w:val="0"/>
                <w:sz w:val="24"/>
                <w14:textFill>
                  <w14:solidFill>
                    <w14:schemeClr w14:val="tx1"/>
                  </w14:solidFill>
                </w14:textFill>
              </w:rPr>
              <w:t>表面的焊缝打磨光滑，以符合产品要求。本项目采用干式打磨，会产生金属打磨粉尘、设备噪声。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脱脂-硅烷化：</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去除工件表面上的油污、焊垢、</w:t>
            </w:r>
            <w:r>
              <w:rPr>
                <w:rFonts w:ascii="Times New Roman" w:hAnsi="Times New Roman" w:eastAsia="宋体" w:cs="Times New Roman"/>
                <w:color w:val="000000" w:themeColor="text1"/>
                <w:spacing w:val="0"/>
                <w:kern w:val="21"/>
                <w:position w:val="0"/>
                <w:sz w:val="24"/>
                <w14:textFill>
                  <w14:solidFill>
                    <w14:schemeClr w14:val="tx1"/>
                  </w14:solidFill>
                </w14:textFill>
              </w:rPr>
              <w:t>灰尘等。本项目</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金属表面处理</w:t>
            </w:r>
            <w:r>
              <w:rPr>
                <w:rFonts w:ascii="Times New Roman" w:hAnsi="Times New Roman" w:eastAsia="宋体" w:cs="Times New Roman"/>
                <w:color w:val="000000" w:themeColor="text1"/>
                <w:spacing w:val="0"/>
                <w:kern w:val="21"/>
                <w:position w:val="0"/>
                <w:sz w:val="24"/>
                <w14:textFill>
                  <w14:solidFill>
                    <w14:schemeClr w14:val="tx1"/>
                  </w14:solidFill>
                </w14:textFill>
              </w:rPr>
              <w:t>工序采用脱脂-硅烷化工艺。</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①预脱脂：</w:t>
            </w:r>
            <w:r>
              <w:rPr>
                <w:rFonts w:ascii="Times New Roman" w:hAnsi="Times New Roman" w:eastAsia="宋体" w:cs="Times New Roman"/>
                <w:bCs/>
                <w:color w:val="000000" w:themeColor="text1"/>
                <w:spacing w:val="0"/>
                <w:kern w:val="21"/>
                <w:position w:val="0"/>
                <w:sz w:val="24"/>
                <w14:textFill>
                  <w14:solidFill>
                    <w14:schemeClr w14:val="tx1"/>
                  </w14:solidFill>
                </w14:textFill>
              </w:rPr>
              <w:t>成型冲压件在脱脂槽进行预脱脂处理。在温度为30-55℃脱脂液中喷淋1-2min，以达到部分脱除工件表面油脂的作用，减轻主脱脂的原材料的消耗。该过程中脱脂液重复使用，定期补充损耗，脱脂槽中的槽液定期清理槽渣，槽渣每周清一次，作为危废处理，</w:t>
            </w:r>
            <w:r>
              <w:rPr>
                <w:rFonts w:ascii="Times New Roman" w:hAnsi="Times New Roman" w:eastAsia="宋体" w:cs="Times New Roman"/>
                <w:color w:val="000000" w:themeColor="text1"/>
                <w:spacing w:val="0"/>
                <w:kern w:val="21"/>
                <w:position w:val="0"/>
                <w:sz w:val="24"/>
                <w14:textFill>
                  <w14:solidFill>
                    <w14:schemeClr w14:val="tx1"/>
                  </w14:solidFill>
                </w14:textFill>
              </w:rPr>
              <w:t>每</w:t>
            </w:r>
            <w:r>
              <w:rPr>
                <w:rFonts w:ascii="Times New Roman" w:hAnsi="Times New Roman" w:eastAsia="宋体" w:cs="Times New Roman"/>
                <w:bCs/>
                <w:color w:val="000000" w:themeColor="text1"/>
                <w:spacing w:val="0"/>
                <w:kern w:val="21"/>
                <w:position w:val="0"/>
                <w:sz w:val="24"/>
                <w14:textFill>
                  <w14:solidFill>
                    <w14:schemeClr w14:val="tx1"/>
                  </w14:solidFill>
                </w14:textFill>
              </w:rPr>
              <w:t>周</w:t>
            </w:r>
            <w:r>
              <w:rPr>
                <w:rFonts w:ascii="Times New Roman" w:hAnsi="Times New Roman" w:eastAsia="宋体" w:cs="Times New Roman"/>
                <w:color w:val="000000" w:themeColor="text1"/>
                <w:spacing w:val="0"/>
                <w:kern w:val="21"/>
                <w:position w:val="0"/>
                <w:sz w:val="24"/>
                <w14:textFill>
                  <w14:solidFill>
                    <w14:schemeClr w14:val="tx1"/>
                  </w14:solidFill>
                </w14:textFill>
              </w:rPr>
              <w:t>分批次更换一次脱脂液，并</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用自来水</w:t>
            </w:r>
            <w:r>
              <w:rPr>
                <w:rFonts w:ascii="Times New Roman" w:hAnsi="Times New Roman" w:eastAsia="宋体" w:cs="Times New Roman"/>
                <w:color w:val="000000" w:themeColor="text1"/>
                <w:spacing w:val="0"/>
                <w:kern w:val="21"/>
                <w:position w:val="0"/>
                <w:sz w:val="24"/>
                <w14:textFill>
                  <w14:solidFill>
                    <w14:schemeClr w14:val="tx1"/>
                  </w14:solidFill>
                </w14:textFill>
              </w:rPr>
              <w:t>定期配置脱脂槽液，废水排入自建污水处理站。</w:t>
            </w:r>
            <w:r>
              <w:rPr>
                <w:rFonts w:ascii="Times New Roman" w:hAnsi="Times New Roman" w:eastAsia="宋体" w:cs="Times New Roman"/>
                <w:bCs/>
                <w:color w:val="000000" w:themeColor="text1"/>
                <w:spacing w:val="0"/>
                <w:kern w:val="21"/>
                <w:position w:val="0"/>
                <w:sz w:val="24"/>
                <w14:textFill>
                  <w14:solidFill>
                    <w14:schemeClr w14:val="tx1"/>
                  </w14:solidFill>
                </w14:textFill>
              </w:rPr>
              <w:t>故此过程将产生废水、槽渣。</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b/>
                <w:color w:val="000000" w:themeColor="text1"/>
                <w:spacing w:val="0"/>
                <w:kern w:val="21"/>
                <w:position w:val="0"/>
                <w:sz w:val="24"/>
                <w14:textFill>
                  <w14:solidFill>
                    <w14:schemeClr w14:val="tx1"/>
                  </w14:solidFill>
                </w14:textFill>
              </w:rPr>
              <w:t>②</w:t>
            </w:r>
            <w:r>
              <w:rPr>
                <w:rFonts w:ascii="Times New Roman" w:hAnsi="Times New Roman" w:eastAsia="宋体" w:cs="Times New Roman"/>
                <w:b/>
                <w:color w:val="000000" w:themeColor="text1"/>
                <w:spacing w:val="0"/>
                <w:kern w:val="21"/>
                <w:position w:val="0"/>
                <w:sz w:val="24"/>
                <w14:textFill>
                  <w14:solidFill>
                    <w14:schemeClr w14:val="tx1"/>
                  </w14:solidFill>
                </w14:textFill>
              </w:rPr>
              <w:t>脱脂：</w:t>
            </w:r>
            <w:r>
              <w:rPr>
                <w:rFonts w:ascii="Times New Roman" w:hAnsi="Times New Roman" w:eastAsia="宋体" w:cs="Times New Roman"/>
                <w:bCs/>
                <w:color w:val="000000" w:themeColor="text1"/>
                <w:spacing w:val="0"/>
                <w:kern w:val="21"/>
                <w:position w:val="0"/>
                <w:sz w:val="24"/>
                <w14:textFill>
                  <w14:solidFill>
                    <w14:schemeClr w14:val="tx1"/>
                  </w14:solidFill>
                </w14:textFill>
              </w:rPr>
              <w:t>预脱脂后，成型冲压件</w:t>
            </w:r>
            <w:r>
              <w:rPr>
                <w:rFonts w:ascii="Times New Roman" w:hAnsi="Times New Roman" w:eastAsia="宋体" w:cs="Times New Roman"/>
                <w:color w:val="000000" w:themeColor="text1"/>
                <w:spacing w:val="0"/>
                <w:kern w:val="21"/>
                <w:position w:val="0"/>
                <w:sz w:val="24"/>
                <w14:textFill>
                  <w14:solidFill>
                    <w14:schemeClr w14:val="tx1"/>
                  </w14:solidFill>
                </w14:textFill>
              </w:rPr>
              <w:t>在脱脂槽中以温度为45-55℃的脱脂液中喷淋2-3min，</w:t>
            </w:r>
            <w:r>
              <w:rPr>
                <w:rFonts w:ascii="Times New Roman" w:hAnsi="Times New Roman" w:eastAsia="宋体" w:cs="Times New Roman"/>
                <w:bCs/>
                <w:color w:val="000000" w:themeColor="text1"/>
                <w:spacing w:val="0"/>
                <w:kern w:val="21"/>
                <w:position w:val="0"/>
                <w:sz w:val="24"/>
                <w14:textFill>
                  <w14:solidFill>
                    <w14:schemeClr w14:val="tx1"/>
                  </w14:solidFill>
                </w14:textFill>
              </w:rPr>
              <w:t>以达到部分脱除工件表面</w:t>
            </w:r>
            <w:r>
              <w:rPr>
                <w:rFonts w:ascii="Times New Roman" w:hAnsi="Times New Roman" w:eastAsia="宋体" w:cs="Times New Roman"/>
                <w:color w:val="000000" w:themeColor="text1"/>
                <w:spacing w:val="0"/>
                <w:kern w:val="21"/>
                <w:position w:val="0"/>
                <w:sz w:val="24"/>
                <w14:textFill>
                  <w14:solidFill>
                    <w14:schemeClr w14:val="tx1"/>
                  </w14:solidFill>
                </w14:textFill>
              </w:rPr>
              <w:t>油脂</w:t>
            </w:r>
            <w:r>
              <w:rPr>
                <w:rFonts w:ascii="Times New Roman" w:hAnsi="Times New Roman" w:eastAsia="宋体" w:cs="Times New Roman"/>
                <w:bCs/>
                <w:color w:val="000000" w:themeColor="text1"/>
                <w:spacing w:val="0"/>
                <w:kern w:val="21"/>
                <w:position w:val="0"/>
                <w:sz w:val="24"/>
                <w14:textFill>
                  <w14:solidFill>
                    <w14:schemeClr w14:val="tx1"/>
                  </w14:solidFill>
                </w14:textFill>
              </w:rPr>
              <w:t>的作用，减轻主脱脂的原材料的消耗。该过程中脱脂液重复使用，定期补充损耗，脱脂槽中的槽液定期清理槽渣，槽渣每周清一次，作为危废处理，</w:t>
            </w:r>
            <w:r>
              <w:rPr>
                <w:rFonts w:ascii="Times New Roman" w:hAnsi="Times New Roman" w:eastAsia="宋体" w:cs="Times New Roman"/>
                <w:color w:val="000000" w:themeColor="text1"/>
                <w:spacing w:val="0"/>
                <w:kern w:val="21"/>
                <w:position w:val="0"/>
                <w:sz w:val="24"/>
                <w14:textFill>
                  <w14:solidFill>
                    <w14:schemeClr w14:val="tx1"/>
                  </w14:solidFill>
                </w14:textFill>
              </w:rPr>
              <w:t>每</w:t>
            </w:r>
            <w:r>
              <w:rPr>
                <w:rFonts w:ascii="Times New Roman" w:hAnsi="Times New Roman" w:eastAsia="宋体" w:cs="Times New Roman"/>
                <w:bCs/>
                <w:color w:val="000000" w:themeColor="text1"/>
                <w:spacing w:val="0"/>
                <w:kern w:val="21"/>
                <w:position w:val="0"/>
                <w:sz w:val="24"/>
                <w14:textFill>
                  <w14:solidFill>
                    <w14:schemeClr w14:val="tx1"/>
                  </w14:solidFill>
                </w14:textFill>
              </w:rPr>
              <w:t>周</w:t>
            </w:r>
            <w:r>
              <w:rPr>
                <w:rFonts w:ascii="Times New Roman" w:hAnsi="Times New Roman" w:eastAsia="宋体" w:cs="Times New Roman"/>
                <w:color w:val="000000" w:themeColor="text1"/>
                <w:spacing w:val="0"/>
                <w:kern w:val="21"/>
                <w:position w:val="0"/>
                <w:sz w:val="24"/>
                <w14:textFill>
                  <w14:solidFill>
                    <w14:schemeClr w14:val="tx1"/>
                  </w14:solidFill>
                </w14:textFill>
              </w:rPr>
              <w:t>分批次更换一次脱脂液，并用</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自来水</w:t>
            </w:r>
            <w:r>
              <w:rPr>
                <w:rFonts w:ascii="Times New Roman" w:hAnsi="Times New Roman" w:eastAsia="宋体" w:cs="Times New Roman"/>
                <w:color w:val="000000" w:themeColor="text1"/>
                <w:spacing w:val="0"/>
                <w:kern w:val="21"/>
                <w:position w:val="0"/>
                <w:sz w:val="24"/>
                <w14:textFill>
                  <w14:solidFill>
                    <w14:schemeClr w14:val="tx1"/>
                  </w14:solidFill>
                </w14:textFill>
              </w:rPr>
              <w:t>定期配置脱脂槽液。</w:t>
            </w:r>
            <w:r>
              <w:rPr>
                <w:rFonts w:ascii="Times New Roman" w:hAnsi="Times New Roman" w:eastAsia="宋体" w:cs="Times New Roman"/>
                <w:bCs/>
                <w:color w:val="000000" w:themeColor="text1"/>
                <w:spacing w:val="0"/>
                <w:kern w:val="21"/>
                <w:position w:val="0"/>
                <w:sz w:val="24"/>
                <w14:textFill>
                  <w14:solidFill>
                    <w14:schemeClr w14:val="tx1"/>
                  </w14:solidFill>
                </w14:textFill>
              </w:rPr>
              <w:t>故此过程将产生废水、槽渣。</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③</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清洗两道：</w:t>
            </w:r>
            <w:r>
              <w:rPr>
                <w:rFonts w:ascii="Times New Roman" w:hAnsi="Times New Roman" w:eastAsia="宋体" w:cs="Times New Roman"/>
                <w:color w:val="000000" w:themeColor="text1"/>
                <w:spacing w:val="0"/>
                <w:kern w:val="21"/>
                <w:position w:val="0"/>
                <w:sz w:val="24"/>
                <w14:textFill>
                  <w14:solidFill>
                    <w14:schemeClr w14:val="tx1"/>
                  </w14:solidFill>
                </w14:textFill>
              </w:rPr>
              <w:t>本工序设置2个清洗槽，在清洗槽中使用常温自来水对工件</w:t>
            </w:r>
            <w:r>
              <w:rPr>
                <w:rFonts w:ascii="Times New Roman" w:hAnsi="Times New Roman" w:eastAsia="宋体" w:cs="Times New Roman"/>
                <w:bCs/>
                <w:color w:val="000000" w:themeColor="text1"/>
                <w:spacing w:val="0"/>
                <w:kern w:val="21"/>
                <w:position w:val="0"/>
                <w:sz w:val="24"/>
                <w14:textFill>
                  <w14:solidFill>
                    <w14:schemeClr w14:val="tx1"/>
                  </w14:solidFill>
                </w14:textFill>
              </w:rPr>
              <w:t>喷淋</w:t>
            </w:r>
            <w:r>
              <w:rPr>
                <w:rFonts w:ascii="Times New Roman" w:hAnsi="Times New Roman" w:eastAsia="宋体" w:cs="Times New Roman"/>
                <w:color w:val="000000" w:themeColor="text1"/>
                <w:spacing w:val="0"/>
                <w:kern w:val="21"/>
                <w:position w:val="0"/>
                <w:sz w:val="24"/>
                <w14:textFill>
                  <w14:solidFill>
                    <w14:schemeClr w14:val="tx1"/>
                  </w14:solidFill>
                </w14:textFill>
              </w:rPr>
              <w:t>进行喷淋清洗，去除表面残留的脱脂剂、油污等，每天外排废水，该工艺会产生清洗废水。</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1"/>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④</w:t>
            </w:r>
            <w:r>
              <w:rPr>
                <w:rFonts w:ascii="Times New Roman" w:hAnsi="Times New Roman" w:eastAsia="宋体" w:cs="Times New Roman"/>
                <w:b/>
                <w:bCs/>
                <w:color w:val="000000" w:themeColor="text1"/>
                <w:spacing w:val="0"/>
                <w:kern w:val="21"/>
                <w:position w:val="0"/>
                <w:sz w:val="24"/>
                <w14:textFill>
                  <w14:solidFill>
                    <w14:schemeClr w14:val="tx1"/>
                  </w14:solidFill>
                </w14:textFill>
              </w:rPr>
              <w:t>硅烷化：</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硅烷在水溶液中通常以水解的形式存在：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color w:val="000000" w:themeColor="text1"/>
                <w:spacing w:val="0"/>
                <w:kern w:val="21"/>
                <w:position w:val="0"/>
                <w:sz w:val="24"/>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1"/>
                <w14:textFill>
                  <w14:solidFill>
                    <w14:schemeClr w14:val="tx1"/>
                  </w14:solidFill>
                </w14:textFill>
              </w:rPr>
              <w:object>
                <v:shape id="_x0000_i1036" o:spt="75" type="#_x0000_t75" style="height:18pt;width:168.95pt;" o:ole="t" filled="f" o:preferrelative="t" stroked="f" coordsize="21600,21600">
                  <v:path/>
                  <v:fill on="f" focussize="0,0"/>
                  <v:stroke on="f"/>
                  <v:imagedata r:id="rId45" o:title=""/>
                  <o:lock v:ext="edit" aspectratio="t"/>
                  <w10:wrap type="none"/>
                  <w10:anchorlock/>
                </v:shape>
                <o:OLEObject Type="Embed" ProgID="Equation.KSEE3" ShapeID="_x0000_i1036" DrawAspect="Content" ObjectID="_1468075736" r:id="rId44">
                  <o:LockedField>false</o:LockedField>
                </o:OLEObject>
              </w:objec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硅烷水解后通过其SiOH基团与金属表面的MeOH基团</w:t>
            </w:r>
            <w:r>
              <w:rPr>
                <w:rFonts w:hint="eastAsia" w:ascii="Times New Roman" w:hAnsi="Times New Roman" w:eastAsia="宋体" w:cs="Times New Roman"/>
                <w:color w:val="000000" w:themeColor="text1"/>
                <w:spacing w:val="0"/>
                <w:kern w:val="21"/>
                <w:position w:val="0"/>
                <w:sz w:val="24"/>
                <w:szCs w:val="21"/>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Me表示金属</w:t>
            </w:r>
            <w:r>
              <w:rPr>
                <w:rFonts w:hint="eastAsia" w:ascii="Times New Roman" w:hAnsi="Times New Roman" w:eastAsia="宋体" w:cs="Times New Roman"/>
                <w:color w:val="000000" w:themeColor="text1"/>
                <w:spacing w:val="0"/>
                <w:kern w:val="21"/>
                <w:position w:val="0"/>
                <w:sz w:val="24"/>
                <w:szCs w:val="21"/>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的缩水反应而快速吸附于金属表面。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color w:val="000000" w:themeColor="text1"/>
                <w:spacing w:val="0"/>
                <w:kern w:val="21"/>
                <w:position w:val="0"/>
                <w:sz w:val="24"/>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1"/>
                <w14:textFill>
                  <w14:solidFill>
                    <w14:schemeClr w14:val="tx1"/>
                  </w14:solidFill>
                </w14:textFill>
              </w:rPr>
              <w:object>
                <v:shape id="_x0000_i1037" o:spt="75" type="#_x0000_t75" style="height:17pt;width:156pt;" o:ole="t" filled="f" o:preferrelative="t" stroked="f" coordsize="21600,21600">
                  <v:path/>
                  <v:fill on="f" focussize="0,0"/>
                  <v:stroke on="f"/>
                  <v:imagedata r:id="rId47" o:title=""/>
                  <o:lock v:ext="edit" aspectratio="t"/>
                  <w10:wrap type="none"/>
                  <w10:anchorlock/>
                </v:shape>
                <o:OLEObject Type="Embed" ProgID="Equation.KSEE3" ShapeID="_x0000_i1037" DrawAspect="Content" ObjectID="_1468075737" r:id="rId46">
                  <o:LockedField>false</o:LockedField>
                </o:OLEObject>
              </w:objec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一方面硅烷在金属界面上形成Si-O-Me共价键</w:t>
            </w:r>
            <w:r>
              <w:rPr>
                <w:rFonts w:hint="eastAsia" w:ascii="Times New Roman" w:hAnsi="Times New Roman" w:eastAsia="宋体" w:cs="Times New Roman"/>
                <w:color w:val="000000" w:themeColor="text1"/>
                <w:spacing w:val="0"/>
                <w:kern w:val="21"/>
                <w:position w:val="0"/>
                <w:sz w:val="24"/>
                <w:szCs w:val="21"/>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一般来说，共价键间的作用力可达700kJ/tool，硅烷与金属之间的结合是非常牢固的</w:t>
            </w:r>
            <w:r>
              <w:rPr>
                <w:rFonts w:hint="eastAsia" w:ascii="Times New Roman" w:hAnsi="Times New Roman" w:eastAsia="宋体" w:cs="Times New Roman"/>
                <w:color w:val="000000" w:themeColor="text1"/>
                <w:spacing w:val="0"/>
                <w:kern w:val="21"/>
                <w:position w:val="0"/>
                <w:sz w:val="24"/>
                <w:szCs w:val="21"/>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1"/>
                <w14:textFill>
                  <w14:solidFill>
                    <w14:schemeClr w14:val="tx1"/>
                  </w14:solidFill>
                </w14:textFill>
              </w:rPr>
              <w:t>另一方面，剩余的硅烷分子通过SiOH基团之间的缩聚反应在金属表面形成具有Si-O-Si三维网状结构的硅</w:t>
            </w:r>
            <w:r>
              <w:rPr>
                <w:rFonts w:ascii="Times New Roman" w:hAnsi="Times New Roman" w:eastAsia="宋体" w:cs="Times New Roman"/>
                <w:color w:val="000000" w:themeColor="text1"/>
                <w:spacing w:val="0"/>
                <w:kern w:val="21"/>
                <w:position w:val="0"/>
                <w:sz w:val="24"/>
                <w14:textFill>
                  <w14:solidFill>
                    <w14:schemeClr w14:val="tx1"/>
                  </w14:solidFill>
                </w14:textFill>
              </w:rPr>
              <w:t>烷膜</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该硅烷膜在烘干过程中和后道的喷粉通过交联反应结合在一起，形成牢固的化学键。这样，基材、硅烷和塑粉之间可以通过化学键形成稳固的膜层结构。</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在硅烷化槽利用硅烷化处理剂对工件进行处理。硅烷化槽液可循环使用，只需每天补充即可，每日</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w:t>
            </w:r>
            <w:r>
              <w:rPr>
                <w:rFonts w:ascii="Times New Roman" w:hAnsi="Times New Roman" w:eastAsia="宋体" w:cs="Times New Roman"/>
                <w:color w:val="000000" w:themeColor="text1"/>
                <w:spacing w:val="0"/>
                <w:kern w:val="21"/>
                <w:position w:val="0"/>
                <w:sz w:val="24"/>
                <w14:textFill>
                  <w14:solidFill>
                    <w14:schemeClr w14:val="tx1"/>
                  </w14:solidFill>
                </w14:textFill>
              </w:rPr>
              <w:t>量约为</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1</w:t>
            </w:r>
            <w:r>
              <w:rPr>
                <w:rFonts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硅烷化槽</w:t>
            </w:r>
            <w:r>
              <w:rPr>
                <w:rFonts w:ascii="Times New Roman" w:hAnsi="Times New Roman" w:eastAsia="宋体" w:cs="Times New Roman"/>
                <w:color w:val="000000" w:themeColor="text1"/>
                <w:spacing w:val="0"/>
                <w:kern w:val="21"/>
                <w:position w:val="0"/>
                <w:sz w:val="24"/>
                <w14:textFill>
                  <w14:solidFill>
                    <w14:schemeClr w14:val="tx1"/>
                  </w14:solidFill>
                </w14:textFill>
              </w:rPr>
              <w:t>每三个月清理一次槽渣，槽液不外排</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⑤清洗</w:t>
            </w:r>
            <w:r>
              <w:rPr>
                <w:rFonts w:ascii="Times New Roman" w:hAnsi="Times New Roman" w:eastAsia="宋体" w:cs="Times New Roman"/>
                <w:b/>
                <w:bCs/>
                <w:color w:val="000000" w:themeColor="text1"/>
                <w:spacing w:val="0"/>
                <w:kern w:val="21"/>
                <w:position w:val="0"/>
                <w:sz w:val="24"/>
                <w14:textFill>
                  <w14:solidFill>
                    <w14:schemeClr w14:val="tx1"/>
                  </w14:solidFill>
                </w14:textFill>
              </w:rPr>
              <w:t>两道：</w:t>
            </w:r>
            <w:r>
              <w:rPr>
                <w:rFonts w:ascii="Times New Roman" w:hAnsi="Times New Roman" w:eastAsia="宋体" w:cs="Times New Roman"/>
                <w:color w:val="000000" w:themeColor="text1"/>
                <w:spacing w:val="0"/>
                <w:kern w:val="21"/>
                <w:position w:val="0"/>
                <w:sz w:val="24"/>
                <w14:textFill>
                  <w14:solidFill>
                    <w14:schemeClr w14:val="tx1"/>
                  </w14:solidFill>
                </w14:textFill>
              </w:rPr>
              <w:t>经硅烷化后再将</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成型国内工件在清洗槽</w:t>
            </w:r>
            <w:r>
              <w:rPr>
                <w:rFonts w:ascii="Times New Roman" w:hAnsi="Times New Roman" w:eastAsia="宋体" w:cs="Times New Roman"/>
                <w:color w:val="000000" w:themeColor="text1"/>
                <w:spacing w:val="0"/>
                <w:kern w:val="21"/>
                <w:position w:val="0"/>
                <w:sz w:val="24"/>
                <w14:textFill>
                  <w14:solidFill>
                    <w14:schemeClr w14:val="tx1"/>
                  </w14:solidFill>
                </w14:textFill>
              </w:rPr>
              <w:t>采用喷淋的方式</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进行</w:t>
            </w:r>
            <w:r>
              <w:rPr>
                <w:rFonts w:ascii="Times New Roman" w:hAnsi="Times New Roman" w:eastAsia="宋体" w:cs="Times New Roman"/>
                <w:color w:val="000000" w:themeColor="text1"/>
                <w:spacing w:val="0"/>
                <w:kern w:val="21"/>
                <w:position w:val="0"/>
                <w:sz w:val="24"/>
                <w14:textFill>
                  <w14:solidFill>
                    <w14:schemeClr w14:val="tx1"/>
                  </w14:solidFill>
                </w14:textFill>
              </w:rPr>
              <w:t>清洗，</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每天外排废水</w:t>
            </w:r>
            <w:r>
              <w:rPr>
                <w:rFonts w:ascii="Times New Roman" w:hAnsi="Times New Roman" w:eastAsia="宋体" w:cs="Times New Roman"/>
                <w:color w:val="000000" w:themeColor="text1"/>
                <w:spacing w:val="0"/>
                <w:kern w:val="21"/>
                <w:position w:val="0"/>
                <w:sz w:val="24"/>
                <w14:textFill>
                  <w14:solidFill>
                    <w14:schemeClr w14:val="tx1"/>
                  </w14:solidFill>
                </w14:textFill>
              </w:rPr>
              <w:t>。该工艺会产生清洗废水。</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烘干：</w:t>
            </w:r>
            <w:r>
              <w:rPr>
                <w:rFonts w:ascii="Times New Roman" w:hAnsi="Times New Roman" w:eastAsia="宋体" w:cs="Times New Roman"/>
                <w:color w:val="000000" w:themeColor="text1"/>
                <w:spacing w:val="0"/>
                <w:kern w:val="21"/>
                <w:position w:val="0"/>
                <w:sz w:val="24"/>
                <w14:textFill>
                  <w14:solidFill>
                    <w14:schemeClr w14:val="tx1"/>
                  </w14:solidFill>
                </w14:textFill>
              </w:rPr>
              <w:t>硅烷化表面处理完的产品在</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烘箱</w:t>
            </w:r>
            <w:r>
              <w:rPr>
                <w:rFonts w:ascii="Times New Roman" w:hAnsi="Times New Roman" w:eastAsia="宋体" w:cs="Times New Roman"/>
                <w:color w:val="000000" w:themeColor="text1"/>
                <w:spacing w:val="0"/>
                <w:kern w:val="21"/>
                <w:position w:val="0"/>
                <w:sz w:val="24"/>
                <w14:textFill>
                  <w14:solidFill>
                    <w14:schemeClr w14:val="tx1"/>
                  </w14:solidFill>
                </w14:textFill>
              </w:rPr>
              <w:t>内进行烘干，本项目使用1台</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电热烘干机</w:t>
            </w:r>
            <w:r>
              <w:rPr>
                <w:rFonts w:ascii="Times New Roman" w:hAnsi="Times New Roman" w:eastAsia="宋体" w:cs="Times New Roman"/>
                <w:color w:val="000000" w:themeColor="text1"/>
                <w:spacing w:val="0"/>
                <w:kern w:val="21"/>
                <w:position w:val="0"/>
                <w:sz w:val="24"/>
                <w14:textFill>
                  <w14:solidFill>
                    <w14:schemeClr w14:val="tx1"/>
                  </w14:solidFill>
                </w14:textFill>
              </w:rPr>
              <w:t>进行</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烘干</w:t>
            </w:r>
            <w:r>
              <w:rPr>
                <w:rFonts w:ascii="Times New Roman" w:hAnsi="Times New Roman" w:eastAsia="宋体" w:cs="Times New Roman"/>
                <w:color w:val="000000" w:themeColor="text1"/>
                <w:spacing w:val="0"/>
                <w:kern w:val="21"/>
                <w:position w:val="0"/>
                <w:sz w:val="24"/>
                <w14:textFill>
                  <w14:solidFill>
                    <w14:schemeClr w14:val="tx1"/>
                  </w14:solidFill>
                </w14:textFill>
              </w:rPr>
              <w:t>，烘干温度180℃。</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喷塑：</w:t>
            </w:r>
            <w:r>
              <w:rPr>
                <w:rFonts w:ascii="Times New Roman" w:hAnsi="Times New Roman" w:eastAsia="宋体" w:cs="Times New Roman"/>
                <w:color w:val="000000" w:themeColor="text1"/>
                <w:spacing w:val="0"/>
                <w:kern w:val="21"/>
                <w:position w:val="0"/>
                <w:sz w:val="24"/>
                <w14:textFill>
                  <w14:solidFill>
                    <w14:schemeClr w14:val="tx1"/>
                  </w14:solidFill>
                </w14:textFill>
              </w:rPr>
              <w:t>将产品上挂送入喷粉室，在零件表面喷涂粉末涂料，经加工后形成均匀的膜层，项目采用手工喷涂形式，采用静电喷粉工艺，基本原理为在喷枪与工件之间形成一个高压电晕放电电场，当粉末粒子由喷枪口喷出经过放电区时，便捕集了大量的电子，成为带负电的微粒，在静电吸引的作用下，被吸附到带正电荷的工件上去。当粉末附着到一定厚度时，则会发生“同性相斥”的作用，不能再吸附粉末，从而使各部分的粉层厚度均匀。此工序会产生</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喷塑</w:t>
            </w:r>
            <w:r>
              <w:rPr>
                <w:rFonts w:ascii="Times New Roman" w:hAnsi="Times New Roman" w:eastAsia="宋体" w:cs="Times New Roman"/>
                <w:color w:val="000000" w:themeColor="text1"/>
                <w:spacing w:val="0"/>
                <w:kern w:val="21"/>
                <w:position w:val="0"/>
                <w:sz w:val="24"/>
                <w14:textFill>
                  <w14:solidFill>
                    <w14:schemeClr w14:val="tx1"/>
                  </w14:solidFill>
                </w14:textFill>
              </w:rPr>
              <w:t>粉尘和噪声。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加热固化：</w:t>
            </w:r>
            <w:r>
              <w:rPr>
                <w:rFonts w:ascii="Times New Roman" w:hAnsi="Times New Roman" w:eastAsia="宋体" w:cs="Times New Roman"/>
                <w:color w:val="000000" w:themeColor="text1"/>
                <w:spacing w:val="0"/>
                <w:kern w:val="21"/>
                <w:position w:val="0"/>
                <w:sz w:val="24"/>
                <w14:textFill>
                  <w14:solidFill>
                    <w14:schemeClr w14:val="tx1"/>
                  </w14:solidFill>
                </w14:textFill>
              </w:rPr>
              <w:t>喷粉后，工件进入固化</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箱</w:t>
            </w:r>
            <w:r>
              <w:rPr>
                <w:rFonts w:ascii="Times New Roman" w:hAnsi="Times New Roman" w:eastAsia="宋体" w:cs="Times New Roman"/>
                <w:color w:val="000000" w:themeColor="text1"/>
                <w:spacing w:val="0"/>
                <w:kern w:val="21"/>
                <w:position w:val="0"/>
                <w:sz w:val="24"/>
                <w14:textFill>
                  <w14:solidFill>
                    <w14:schemeClr w14:val="tx1"/>
                  </w14:solidFill>
                </w14:textFill>
              </w:rPr>
              <w:t>中进行加热固化，本项目使用</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的</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固化箱</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为一体化小型固化箱，为密闭设备，</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固化</w:t>
            </w:r>
            <w:r>
              <w:rPr>
                <w:rFonts w:ascii="Times New Roman" w:hAnsi="Times New Roman" w:eastAsia="宋体" w:cs="Times New Roman"/>
                <w:color w:val="000000" w:themeColor="text1"/>
                <w:spacing w:val="0"/>
                <w:kern w:val="21"/>
                <w:position w:val="0"/>
                <w:sz w:val="24"/>
                <w14:textFill>
                  <w14:solidFill>
                    <w14:schemeClr w14:val="tx1"/>
                  </w14:solidFill>
                </w14:textFill>
              </w:rPr>
              <w:t>温度</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为</w:t>
            </w:r>
            <w:r>
              <w:rPr>
                <w:rFonts w:ascii="Times New Roman" w:hAnsi="Times New Roman" w:eastAsia="宋体" w:cs="Times New Roman"/>
                <w:color w:val="000000" w:themeColor="text1"/>
                <w:spacing w:val="0"/>
                <w:kern w:val="21"/>
                <w:position w:val="0"/>
                <w:sz w:val="24"/>
                <w14:textFill>
                  <w14:solidFill>
                    <w14:schemeClr w14:val="tx1"/>
                  </w14:solidFill>
                </w14:textFill>
              </w:rPr>
              <w:t>180~220℃，采用</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电加热</w:t>
            </w:r>
            <w:r>
              <w:rPr>
                <w:rFonts w:ascii="Times New Roman" w:hAnsi="Times New Roman" w:eastAsia="宋体" w:cs="Times New Roman"/>
                <w:color w:val="000000" w:themeColor="text1"/>
                <w:spacing w:val="0"/>
                <w:kern w:val="21"/>
                <w:position w:val="0"/>
                <w:sz w:val="24"/>
                <w14:textFill>
                  <w14:solidFill>
                    <w14:schemeClr w14:val="tx1"/>
                  </w14:solidFill>
                </w14:textFill>
              </w:rPr>
              <w:t>，固化时间约20min。此工序产生</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固化废气</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widowControl/>
              <w:kinsoku/>
              <w:overflowPunct/>
              <w:autoSpaceDE/>
              <w:autoSpaceDN/>
              <w:bidi w:val="0"/>
              <w:spacing w:line="360" w:lineRule="auto"/>
              <w:ind w:firstLine="481"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包装入库：</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合格的产品进行包装入库，此过程会产生少量废包装材料。</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w:t>
            </w:r>
            <w:r>
              <w:rPr>
                <w:rFonts w:ascii="Times New Roman" w:hAnsi="Times New Roman" w:eastAsia="宋体" w:cs="Times New Roman"/>
                <w:b/>
                <w:color w:val="000000" w:themeColor="text1"/>
                <w:spacing w:val="0"/>
                <w:kern w:val="21"/>
                <w:position w:val="0"/>
                <w:sz w:val="24"/>
                <w14:textFill>
                  <w14:solidFill>
                    <w14:schemeClr w14:val="tx1"/>
                  </w14:solidFill>
                </w14:textFill>
              </w:rPr>
              <w:t>产污环节及污染物分析小结</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本项目运营期生产工艺及产污情况汇总如下：</w:t>
            </w:r>
          </w:p>
          <w:p>
            <w:pPr>
              <w:pageBreakBefore w:val="0"/>
              <w:numPr>
                <w:ilvl w:val="0"/>
                <w:numId w:val="23"/>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项目运营期生产工艺及产污情况汇总表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78"/>
              <w:gridCol w:w="1354"/>
              <w:gridCol w:w="1783"/>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897"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项目</w:t>
                  </w: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产污环节</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污染物组成</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废气</w:t>
                  </w:r>
                </w:p>
              </w:tc>
              <w:tc>
                <w:tcPr>
                  <w:tcW w:w="808"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木材加工</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1#车间</w:t>
                  </w:r>
                  <w:r>
                    <w:rPr>
                      <w:rFonts w:ascii="Times New Roman" w:hAnsi="Times New Roman" w:eastAsia="宋体" w:cs="Times New Roman"/>
                      <w:color w:val="000000" w:themeColor="text1"/>
                      <w:spacing w:val="0"/>
                      <w:kern w:val="21"/>
                      <w:position w:val="0"/>
                      <w:szCs w:val="21"/>
                      <w14:textFill>
                        <w14:solidFill>
                          <w14:schemeClr w14:val="tx1"/>
                        </w14:solidFill>
                      </w14:textFill>
                    </w:rPr>
                    <w:t>木料粉尘</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集气管收集+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TA001</w:t>
                  </w:r>
                  <w:r>
                    <w:rPr>
                      <w:rFonts w:ascii="Times New Roman" w:hAnsi="Times New Roman" w:eastAsia="宋体" w:cs="Times New Roman"/>
                      <w:color w:val="000000" w:themeColor="text1"/>
                      <w:spacing w:val="0"/>
                      <w:kern w:val="21"/>
                      <w:position w:val="0"/>
                      <w:szCs w:val="21"/>
                      <w14:textFill>
                        <w14:solidFill>
                          <w14:schemeClr w14:val="tx1"/>
                        </w14:solidFill>
                      </w14:textFill>
                    </w:rPr>
                    <w:t>中央除尘器处理+20m排气筒（DA001）达标排放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2#车间</w:t>
                  </w:r>
                  <w:r>
                    <w:rPr>
                      <w:rFonts w:ascii="Times New Roman" w:hAnsi="Times New Roman" w:eastAsia="宋体" w:cs="Times New Roman"/>
                      <w:color w:val="000000" w:themeColor="text1"/>
                      <w:spacing w:val="0"/>
                      <w:kern w:val="21"/>
                      <w:position w:val="0"/>
                      <w:szCs w:val="21"/>
                      <w14:textFill>
                        <w14:solidFill>
                          <w14:schemeClr w14:val="tx1"/>
                        </w14:solidFill>
                      </w14:textFill>
                    </w:rPr>
                    <w:t>木料粉尘</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集气管收集+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TA002</w:t>
                  </w:r>
                  <w:r>
                    <w:rPr>
                      <w:rFonts w:ascii="Times New Roman" w:hAnsi="Times New Roman" w:eastAsia="宋体" w:cs="Times New Roman"/>
                      <w:color w:val="000000" w:themeColor="text1"/>
                      <w:spacing w:val="0"/>
                      <w:kern w:val="21"/>
                      <w:position w:val="0"/>
                      <w:szCs w:val="21"/>
                      <w14:textFill>
                        <w14:solidFill>
                          <w14:schemeClr w14:val="tx1"/>
                        </w14:solidFill>
                      </w14:textFill>
                    </w:rPr>
                    <w:t>中央除尘器处理+20m排气筒（DA00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封边</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封边废气</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调漆、喷漆、晾干</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喷漆废气</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底漆打磨</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漆料打磨废气</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密闭负压收集+脉冲布袋除尘+20m排气筒（DA00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金属加工</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金属加工粉尘</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下抽式集气罩</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收集+布袋除尘器处理后通过20m排气筒</w:t>
                  </w:r>
                  <w:r>
                    <w:rPr>
                      <w:rFonts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焊接</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焊接烟尘</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集气罩收集+焊烟净化器处理+20m排气筒（DA00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喷塑粉尘</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密闭负压收集+高效旋风分离器+全聚酯滤芯二级回收处理+20m排气筒（</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固化废气</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涂</w:t>
                  </w:r>
                  <w:r>
                    <w:rPr>
                      <w:rFonts w:ascii="Times New Roman" w:hAnsi="Times New Roman" w:eastAsia="宋体" w:cs="Times New Roman"/>
                      <w:color w:val="000000" w:themeColor="text1"/>
                      <w:spacing w:val="0"/>
                      <w:kern w:val="21"/>
                      <w:position w:val="0"/>
                      <w:szCs w:val="21"/>
                      <w14:textFill>
                        <w14:solidFill>
                          <w14:schemeClr w14:val="tx1"/>
                        </w14:solidFill>
                      </w14:textFill>
                    </w:rPr>
                    <w:t>胶粘棉</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贴棉废气</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97" w:type="pct"/>
                  <w:gridSpan w:val="2"/>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废水</w:t>
                  </w:r>
                </w:p>
              </w:tc>
              <w:tc>
                <w:tcPr>
                  <w:tcW w:w="808"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漆雾治理</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水旋柜废液</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循环使用，每年定期更换处置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办公生活</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经预处理池处理后外排园区污水管网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喷枪清洗</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喷枪清洗废水</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回用于调漆，不外排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脱脂-硅烷化</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脱脂-硅烷化废水</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隔油+pH调节+混凝气浮+混凝沉淀</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”处理后外排园区污水</w:t>
                  </w:r>
                  <w:r>
                    <w:rPr>
                      <w:rFonts w:ascii="Times New Roman" w:hAnsi="Times New Roman" w:eastAsia="宋体" w:cs="Times New Roman"/>
                      <w:color w:val="000000" w:themeColor="text1"/>
                      <w:spacing w:val="0"/>
                      <w:kern w:val="21"/>
                      <w:position w:val="0"/>
                      <w:szCs w:val="21"/>
                      <w14:textFill>
                        <w14:solidFill>
                          <w14:schemeClr w14:val="tx1"/>
                        </w14:solidFill>
                      </w14:textFill>
                    </w:rPr>
                    <w:t>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噪声</w:t>
                  </w:r>
                </w:p>
              </w:tc>
              <w:tc>
                <w:tcPr>
                  <w:tcW w:w="8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生产设备</w:t>
                  </w:r>
                </w:p>
              </w:tc>
              <w:tc>
                <w:tcPr>
                  <w:tcW w:w="106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设备噪声</w:t>
                  </w:r>
                </w:p>
              </w:tc>
              <w:tc>
                <w:tcPr>
                  <w:tcW w:w="222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选用低噪声设备，设置隔声</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减振</w:t>
                  </w:r>
                  <w:r>
                    <w:rPr>
                      <w:rFonts w:ascii="Times New Roman" w:hAnsi="Times New Roman" w:eastAsia="宋体" w:cs="Times New Roman"/>
                      <w:color w:val="000000" w:themeColor="text1"/>
                      <w:spacing w:val="0"/>
                      <w:kern w:val="21"/>
                      <w:position w:val="0"/>
                      <w:szCs w:val="21"/>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54"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固体废物</w:t>
                  </w:r>
                </w:p>
              </w:tc>
              <w:tc>
                <w:tcPr>
                  <w:tcW w:w="642"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一般固体</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废物</w:t>
                  </w: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废气处理</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布袋收尘</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经收集后</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原材料</w:t>
                  </w:r>
                  <w:r>
                    <w:rPr>
                      <w:rFonts w:ascii="Times New Roman" w:hAnsi="Times New Roman" w:eastAsia="宋体" w:cs="Times New Roman"/>
                      <w:color w:val="000000" w:themeColor="text1"/>
                      <w:spacing w:val="0"/>
                      <w:kern w:val="21"/>
                      <w:position w:val="0"/>
                      <w:szCs w:val="21"/>
                      <w14:textFill>
                        <w14:solidFill>
                          <w14:schemeClr w14:val="tx1"/>
                        </w14:solidFill>
                      </w14:textFill>
                    </w:rPr>
                    <w:t>加工</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废</w:t>
                  </w:r>
                  <w:r>
                    <w:rPr>
                      <w:rFonts w:ascii="Times New Roman" w:hAnsi="Times New Roman" w:eastAsia="宋体" w:cs="Times New Roman"/>
                      <w:color w:val="000000" w:themeColor="text1"/>
                      <w:spacing w:val="0"/>
                      <w:kern w:val="21"/>
                      <w:position w:val="0"/>
                      <w:szCs w:val="21"/>
                      <w14:textFill>
                        <w14:solidFill>
                          <w14:schemeClr w14:val="tx1"/>
                        </w14:solidFill>
                      </w14:textFill>
                    </w:rPr>
                    <w:t>边角料</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经收集后</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成品包装</w:t>
                  </w:r>
                </w:p>
              </w:tc>
              <w:tc>
                <w:tcPr>
                  <w:tcW w:w="106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废包装材料</w:t>
                  </w:r>
                </w:p>
              </w:tc>
              <w:tc>
                <w:tcPr>
                  <w:tcW w:w="222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经收集后</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废气处理</w:t>
                  </w:r>
                </w:p>
              </w:tc>
              <w:tc>
                <w:tcPr>
                  <w:tcW w:w="106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废催化剂</w:t>
                  </w:r>
                </w:p>
              </w:tc>
              <w:tc>
                <w:tcPr>
                  <w:tcW w:w="222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厂家更换时回收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金属加工</w:t>
                  </w:r>
                </w:p>
              </w:tc>
              <w:tc>
                <w:tcPr>
                  <w:tcW w:w="106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金属加工粉尘</w:t>
                  </w:r>
                </w:p>
              </w:tc>
              <w:tc>
                <w:tcPr>
                  <w:tcW w:w="2229"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经收集后</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危险废物</w:t>
                  </w: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调漆</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废漆料桶</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粘接</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废胶桶</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脱脂-硅烷化</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废有机溶剂桶</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漆渣</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废气治理</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漆料打磨收尘</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脱脂-硅烷化</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废滤渣</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废水治理</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废水站污泥</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设备维护</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废机油、废油桶、含油手套及抹布</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设备运行</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废切削液</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废气治理</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废活性炭</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废气治理</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Cs w:val="21"/>
                      <w14:textFill>
                        <w14:solidFill>
                          <w14:schemeClr w14:val="tx1"/>
                        </w14:solidFill>
                      </w14:textFill>
                    </w:rPr>
                    <w:t>水旋柜</w:t>
                  </w:r>
                  <w:r>
                    <w:rPr>
                      <w:rFonts w:ascii="Times New Roman" w:hAnsi="Times New Roman" w:cs="Times New Roman"/>
                      <w:color w:val="000000" w:themeColor="text1"/>
                      <w:spacing w:val="0"/>
                      <w:kern w:val="21"/>
                      <w:position w:val="0"/>
                      <w:szCs w:val="21"/>
                      <w14:textFill>
                        <w14:solidFill>
                          <w14:schemeClr w14:val="tx1"/>
                        </w14:solidFill>
                      </w14:textFill>
                    </w:rPr>
                    <w:t>废</w:t>
                  </w: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液</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废气治理</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废过滤棉</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待鉴别废物</w:t>
                  </w: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漆渣</w:t>
                  </w:r>
                </w:p>
              </w:tc>
              <w:tc>
                <w:tcPr>
                  <w:tcW w:w="2229" w:type="pct"/>
                  <w:vMerge w:val="restar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t>定期开展鉴别，</w:t>
                  </w:r>
                  <w:r>
                    <w:rPr>
                      <w:rFonts w:cs="Times New Roman"/>
                      <w:color w:val="000000" w:themeColor="text1"/>
                      <w:spacing w:val="0"/>
                      <w:kern w:val="21"/>
                      <w:position w:val="0"/>
                      <w:szCs w:val="24"/>
                      <w14:textFill>
                        <w14:solidFill>
                          <w14:schemeClr w14:val="tx1"/>
                        </w14:solidFill>
                      </w14:textFill>
                    </w:rPr>
                    <w:t>确定其是否属于危险废物，若属于危险废物应交由有资质单位进行处理，若不属于危险废物则</w:t>
                  </w:r>
                  <w:r>
                    <w:rPr>
                      <w:rFonts w:hint="eastAsia" w:cs="Times New Roman"/>
                      <w:color w:val="000000" w:themeColor="text1"/>
                      <w:spacing w:val="0"/>
                      <w:kern w:val="21"/>
                      <w:position w:val="0"/>
                      <w:szCs w:val="24"/>
                      <w14:textFill>
                        <w14:solidFill>
                          <w14:schemeClr w14:val="tx1"/>
                        </w14:solidFill>
                      </w14:textFill>
                    </w:rPr>
                    <w:t>外运进行处置，鉴别</w:t>
                  </w:r>
                  <w:r>
                    <w:rPr>
                      <w:rFonts w:cs="Times New Roman"/>
                      <w:color w:val="000000" w:themeColor="text1"/>
                      <w:spacing w:val="0"/>
                      <w:kern w:val="21"/>
                      <w:position w:val="0"/>
                      <w:szCs w:val="24"/>
                      <w14:textFill>
                        <w14:solidFill>
                          <w14:schemeClr w14:val="tx1"/>
                        </w14:solidFill>
                      </w14:textFill>
                    </w:rPr>
                    <w:t>结果出具前应按照危险废物进行管理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eastAsiaTheme="minorEastAsia"/>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废气治理</w:t>
                  </w:r>
                </w:p>
              </w:tc>
              <w:tc>
                <w:tcPr>
                  <w:tcW w:w="1064" w:type="pct"/>
                  <w:shd w:val="clear" w:color="auto" w:fill="auto"/>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cs="Times New Roman" w:eastAsiaTheme="minorEastAsia"/>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21"/>
                      <w:position w:val="0"/>
                      <w:szCs w:val="21"/>
                      <w14:textFill>
                        <w14:solidFill>
                          <w14:schemeClr w14:val="tx1"/>
                        </w14:solidFill>
                      </w14:textFill>
                    </w:rPr>
                    <w:t>水旋柜</w:t>
                  </w:r>
                  <w:r>
                    <w:rPr>
                      <w:rFonts w:ascii="Times New Roman" w:hAnsi="Times New Roman" w:cs="Times New Roman"/>
                      <w:color w:val="000000" w:themeColor="text1"/>
                      <w:spacing w:val="0"/>
                      <w:kern w:val="21"/>
                      <w:position w:val="0"/>
                      <w:szCs w:val="21"/>
                      <w14:textFill>
                        <w14:solidFill>
                          <w14:schemeClr w14:val="tx1"/>
                        </w14:solidFill>
                      </w14:textFill>
                    </w:rPr>
                    <w:t>废</w:t>
                  </w:r>
                  <w:r>
                    <w:rPr>
                      <w:rFonts w:hint="eastAsia" w:ascii="Times New Roman" w:hAnsi="Times New Roman" w:cs="Times New Roman"/>
                      <w:color w:val="000000" w:themeColor="text1"/>
                      <w:spacing w:val="0"/>
                      <w:kern w:val="21"/>
                      <w:position w:val="0"/>
                      <w:szCs w:val="21"/>
                      <w:lang w:val="en-US" w:eastAsia="zh-CN"/>
                      <w14:textFill>
                        <w14:solidFill>
                          <w14:schemeClr w14:val="tx1"/>
                        </w14:solidFill>
                      </w14:textFill>
                    </w:rPr>
                    <w:t>液</w:t>
                  </w:r>
                </w:p>
              </w:tc>
              <w:tc>
                <w:tcPr>
                  <w:tcW w:w="2229" w:type="pct"/>
                  <w:vMerge w:val="continue"/>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废气治理</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漆料打磨收尘</w:t>
                  </w:r>
                </w:p>
              </w:tc>
              <w:tc>
                <w:tcPr>
                  <w:tcW w:w="2229" w:type="pct"/>
                  <w:vMerge w:val="continue"/>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生活垃圾</w:t>
                  </w:r>
                </w:p>
              </w:tc>
              <w:tc>
                <w:tcPr>
                  <w:tcW w:w="80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办公生活</w:t>
                  </w:r>
                </w:p>
              </w:tc>
              <w:tc>
                <w:tcPr>
                  <w:tcW w:w="1064"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生活垃圾</w:t>
                  </w:r>
                </w:p>
              </w:tc>
              <w:tc>
                <w:tcPr>
                  <w:tcW w:w="2229"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委托环卫部门定期清运</w:t>
                  </w:r>
                </w:p>
              </w:tc>
            </w:tr>
          </w:tbl>
          <w:p>
            <w:pPr>
              <w:pageBreakBefore w:val="0"/>
              <w:kinsoku/>
              <w:overflowPunct/>
              <w:autoSpaceDE/>
              <w:autoSpaceDN/>
              <w:bidi w:val="0"/>
              <w:adjustRightInd w:val="0"/>
              <w:snapToGrid w:val="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51" w:type="pct"/>
            <w:vAlign w:val="center"/>
          </w:tcPr>
          <w:p>
            <w:pPr>
              <w:pageBreakBefore w:val="0"/>
              <w:widowControl/>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与项目有关的原有环境污染问题</w:t>
            </w:r>
          </w:p>
        </w:tc>
        <w:tc>
          <w:tcPr>
            <w:tcW w:w="4748" w:type="pct"/>
          </w:tcPr>
          <w:p>
            <w:pPr>
              <w:pageBreakBefore w:val="0"/>
              <w:kinsoku/>
              <w:overflowPunct/>
              <w:autoSpaceDE/>
              <w:autoSpaceDN/>
              <w:bidi w:val="0"/>
              <w:spacing w:line="360" w:lineRule="auto"/>
              <w:ind w:firstLine="480"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本项目为新建项目</w:t>
            </w:r>
            <w:r>
              <w:rPr>
                <w:rFonts w:ascii="Times New Roman" w:hAnsi="Times New Roman"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用地性质为工业用地</w:t>
            </w:r>
            <w:r>
              <w:rPr>
                <w:rFonts w:ascii="Times New Roman" w:hAnsi="Times New Roman" w:cs="Times New Roman"/>
                <w:color w:val="000000" w:themeColor="text1"/>
                <w:spacing w:val="0"/>
                <w:kern w:val="21"/>
                <w:position w:val="0"/>
                <w:sz w:val="24"/>
                <w14:textFill>
                  <w14:solidFill>
                    <w14:schemeClr w14:val="tx1"/>
                  </w14:solidFill>
                </w14:textFill>
              </w:rPr>
              <w:t>，根据现场踏勘，拟选厂址目前为空地，未曾有工业企业入驻，不存在原有污染情况及环境问题。</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4"/>
              <w:gridCol w:w="4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4"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2495550" cy="1871980"/>
                        <wp:effectExtent l="0" t="0" r="0" b="13970"/>
                        <wp:docPr id="13" name="图片 13" descr="30a8ea430c8a18ebf59e60529efb4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a8ea430c8a18ebf59e60529efb437a"/>
                                <pic:cNvPicPr>
                                  <a:picLocks noChangeAspect="1"/>
                                </pic:cNvPicPr>
                              </pic:nvPicPr>
                              <pic:blipFill>
                                <a:blip r:embed="rId15"/>
                                <a:stretch>
                                  <a:fillRect/>
                                </a:stretch>
                              </pic:blipFill>
                              <pic:spPr>
                                <a:xfrm>
                                  <a:off x="0" y="0"/>
                                  <a:ext cx="2495550" cy="1871980"/>
                                </a:xfrm>
                                <a:prstGeom prst="rect">
                                  <a:avLst/>
                                </a:prstGeom>
                              </pic:spPr>
                            </pic:pic>
                          </a:graphicData>
                        </a:graphic>
                      </wp:inline>
                    </w:drawing>
                  </w:r>
                </w:p>
              </w:tc>
              <w:tc>
                <w:tcPr>
                  <w:tcW w:w="4194"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2496185" cy="1871980"/>
                        <wp:effectExtent l="0" t="0" r="18415" b="13970"/>
                        <wp:docPr id="20" name="图片 20" descr="IMG_20230330_14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0330_144748"/>
                                <pic:cNvPicPr>
                                  <a:picLocks noChangeAspect="1"/>
                                </pic:cNvPicPr>
                              </pic:nvPicPr>
                              <pic:blipFill>
                                <a:blip r:embed="rId13"/>
                                <a:stretch>
                                  <a:fillRect/>
                                </a:stretch>
                              </pic:blipFill>
                              <pic:spPr>
                                <a:xfrm>
                                  <a:off x="0" y="0"/>
                                  <a:ext cx="2496185"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4"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p>
              </w:tc>
              <w:tc>
                <w:tcPr>
                  <w:tcW w:w="4194" w:type="dxa"/>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本项目所在地</w:t>
                  </w:r>
                </w:p>
              </w:tc>
            </w:tr>
          </w:tbl>
          <w:p>
            <w:pPr>
              <w:pageBreakBefore w:val="0"/>
              <w:kinsoku/>
              <w:overflowPunct/>
              <w:autoSpaceDE/>
              <w:autoSpaceDN/>
              <w:bidi w:val="0"/>
              <w:spacing w:line="360" w:lineRule="auto"/>
              <w:ind w:firstLine="480"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1906" w:h="16838"/>
          <w:pgMar w:top="1134" w:right="1531" w:bottom="1276" w:left="1531" w:header="851" w:footer="850" w:gutter="0"/>
          <w:cols w:space="425" w:num="1"/>
          <w:docGrid w:type="lines" w:linePitch="312" w:charSpace="0"/>
        </w:sectPr>
      </w:pPr>
    </w:p>
    <w:p>
      <w:pPr>
        <w:pageBreakBefore w:val="0"/>
        <w:widowControl/>
        <w:kinsoku/>
        <w:overflowPunct/>
        <w:autoSpaceDE/>
        <w:autoSpaceDN/>
        <w:bidi w:val="0"/>
        <w:snapToGrid w:val="0"/>
        <w:spacing w:before="62" w:beforeLines="20" w:after="62" w:afterLines="20"/>
        <w:jc w:val="center"/>
        <w:textAlignment w:val="auto"/>
        <w:outlineLvl w:val="0"/>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pPr>
      <w:r>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t>三、区域环境质量现状、环境保护目标及评价标准</w:t>
      </w:r>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vAlign w:val="center"/>
          </w:tcPr>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区域</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环境</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质量</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现状</w:t>
            </w:r>
          </w:p>
        </w:tc>
        <w:tc>
          <w:tcPr>
            <w:tcW w:w="4748" w:type="pct"/>
            <w:vAlign w:val="center"/>
          </w:tcPr>
          <w:p>
            <w:pPr>
              <w:pageBreakBefore w:val="0"/>
              <w:numPr>
                <w:ilvl w:val="0"/>
                <w:numId w:val="28"/>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环境空气质量现状监测及评价</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1、区域环境空气质量</w:t>
            </w:r>
          </w:p>
          <w:p>
            <w:pPr>
              <w:pageBreakBefore w:val="0"/>
              <w:kinsoku/>
              <w:wordWrap w:val="0"/>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本项目位于四川省广元市昭化区，本次评价采用广元市生态环境局于2024年3月22日发布的《2023年广元市环境质量状况》（http://hbj.cngy.gov.cn/news/show/20240322112006115.html）中的结论作为区域达标判定依据。</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广元市环境空气质量现状见下表：</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广元市环境空气质量现状评价表 单位：CO为mg/m</w:t>
            </w:r>
            <w:r>
              <w:rPr>
                <w:rFonts w:ascii="Times New Roman" w:hAnsi="Times New Roman" w:eastAsia="宋体" w:cs="Times New Roman"/>
                <w:b/>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，其余μg/m</w:t>
            </w:r>
            <w:r>
              <w:rPr>
                <w:rFonts w:ascii="Times New Roman" w:hAnsi="Times New Roman" w:eastAsia="宋体" w:cs="Times New Roman"/>
                <w:b/>
                <w:bCs/>
                <w:color w:val="000000" w:themeColor="text1"/>
                <w:spacing w:val="0"/>
                <w:kern w:val="21"/>
                <w:position w:val="0"/>
                <w:szCs w:val="21"/>
                <w:vertAlign w:val="superscript"/>
                <w14:textFill>
                  <w14:solidFill>
                    <w14:schemeClr w14:val="tx1"/>
                  </w14:solidFill>
                </w14:textFill>
              </w:rPr>
              <w:t>3</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288"/>
              <w:gridCol w:w="1167"/>
              <w:gridCol w:w="874"/>
              <w:gridCol w:w="99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w:t>
                  </w:r>
                </w:p>
              </w:tc>
              <w:tc>
                <w:tcPr>
                  <w:tcW w:w="196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年评价指标</w:t>
                  </w:r>
                </w:p>
              </w:tc>
              <w:tc>
                <w:tcPr>
                  <w:tcW w:w="69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现状浓度</w:t>
                  </w:r>
                </w:p>
              </w:tc>
              <w:tc>
                <w:tcPr>
                  <w:tcW w:w="52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标准值</w:t>
                  </w:r>
                </w:p>
              </w:tc>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占标率</w:t>
                  </w:r>
                </w:p>
              </w:tc>
              <w:tc>
                <w:tcPr>
                  <w:tcW w:w="68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SO</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2</w:t>
                  </w:r>
                </w:p>
              </w:tc>
              <w:tc>
                <w:tcPr>
                  <w:tcW w:w="196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年平均质量浓度</w:t>
                  </w:r>
                </w:p>
              </w:tc>
              <w:tc>
                <w:tcPr>
                  <w:tcW w:w="6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7.9</w:t>
                  </w:r>
                </w:p>
              </w:tc>
              <w:tc>
                <w:tcPr>
                  <w:tcW w:w="52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60</w:t>
                  </w:r>
                </w:p>
              </w:tc>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13.17%</w:t>
                  </w:r>
                </w:p>
              </w:tc>
              <w:tc>
                <w:tcPr>
                  <w:tcW w:w="68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NO</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2</w:t>
                  </w:r>
                </w:p>
              </w:tc>
              <w:tc>
                <w:tcPr>
                  <w:tcW w:w="196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年平均质量浓度</w:t>
                  </w:r>
                </w:p>
              </w:tc>
              <w:tc>
                <w:tcPr>
                  <w:tcW w:w="6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22.9</w:t>
                  </w:r>
                </w:p>
              </w:tc>
              <w:tc>
                <w:tcPr>
                  <w:tcW w:w="52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40</w:t>
                  </w:r>
                </w:p>
              </w:tc>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57.25%</w:t>
                  </w:r>
                </w:p>
              </w:tc>
              <w:tc>
                <w:tcPr>
                  <w:tcW w:w="68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PM</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10</w:t>
                  </w:r>
                </w:p>
              </w:tc>
              <w:tc>
                <w:tcPr>
                  <w:tcW w:w="196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年平均质量浓度</w:t>
                  </w:r>
                </w:p>
              </w:tc>
              <w:tc>
                <w:tcPr>
                  <w:tcW w:w="6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46.4</w:t>
                  </w:r>
                </w:p>
              </w:tc>
              <w:tc>
                <w:tcPr>
                  <w:tcW w:w="52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66.29%</w:t>
                  </w:r>
                </w:p>
              </w:tc>
              <w:tc>
                <w:tcPr>
                  <w:tcW w:w="68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PM</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2.5</w:t>
                  </w:r>
                </w:p>
              </w:tc>
              <w:tc>
                <w:tcPr>
                  <w:tcW w:w="196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年平均质量浓度</w:t>
                  </w:r>
                </w:p>
              </w:tc>
              <w:tc>
                <w:tcPr>
                  <w:tcW w:w="6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25.8</w:t>
                  </w:r>
                </w:p>
              </w:tc>
              <w:tc>
                <w:tcPr>
                  <w:tcW w:w="52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35</w:t>
                  </w:r>
                </w:p>
              </w:tc>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73.71%</w:t>
                  </w:r>
                </w:p>
              </w:tc>
              <w:tc>
                <w:tcPr>
                  <w:tcW w:w="68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CO</w:t>
                  </w:r>
                </w:p>
              </w:tc>
              <w:tc>
                <w:tcPr>
                  <w:tcW w:w="196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第95百分位数24h平均质量浓度</w:t>
                  </w:r>
                </w:p>
              </w:tc>
              <w:tc>
                <w:tcPr>
                  <w:tcW w:w="6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c>
                <w:tcPr>
                  <w:tcW w:w="52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w:t>
                  </w:r>
                </w:p>
              </w:tc>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30.00%</w:t>
                  </w:r>
                </w:p>
              </w:tc>
              <w:tc>
                <w:tcPr>
                  <w:tcW w:w="68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O</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3</w:t>
                  </w:r>
                </w:p>
              </w:tc>
              <w:tc>
                <w:tcPr>
                  <w:tcW w:w="196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日最大8小时均值的第90百分位</w:t>
                  </w:r>
                </w:p>
              </w:tc>
              <w:tc>
                <w:tcPr>
                  <w:tcW w:w="6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124.6</w:t>
                  </w:r>
                </w:p>
              </w:tc>
              <w:tc>
                <w:tcPr>
                  <w:tcW w:w="52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160</w:t>
                  </w:r>
                </w:p>
              </w:tc>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77.88%</w:t>
                  </w:r>
                </w:p>
              </w:tc>
              <w:tc>
                <w:tcPr>
                  <w:tcW w:w="68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达标</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根据上表，广元市SO</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、NO</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、PM</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10</w:t>
            </w:r>
            <w:r>
              <w:rPr>
                <w:rFonts w:ascii="Times New Roman" w:hAnsi="Times New Roman" w:eastAsia="宋体" w:cs="Times New Roman"/>
                <w:color w:val="000000" w:themeColor="text1"/>
                <w:spacing w:val="0"/>
                <w:kern w:val="21"/>
                <w:position w:val="0"/>
                <w:sz w:val="24"/>
                <w14:textFill>
                  <w14:solidFill>
                    <w14:schemeClr w14:val="tx1"/>
                  </w14:solidFill>
                </w14:textFill>
              </w:rPr>
              <w:t>、PM</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2.5</w:t>
            </w:r>
            <w:r>
              <w:rPr>
                <w:rFonts w:ascii="Times New Roman" w:hAnsi="Times New Roman" w:eastAsia="宋体" w:cs="Times New Roman"/>
                <w:color w:val="000000" w:themeColor="text1"/>
                <w:spacing w:val="0"/>
                <w:kern w:val="21"/>
                <w:position w:val="0"/>
                <w:sz w:val="24"/>
                <w14:textFill>
                  <w14:solidFill>
                    <w14:schemeClr w14:val="tx1"/>
                  </w14:solidFill>
                </w14:textFill>
              </w:rPr>
              <w:t>年均浓度、O</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日最大8小时均值的第90百分位数、CO日均值第95百分位数24h平均质量浓度均达到《环境空气质量标准》（GB3095-2012）及其修改单二级标准，</w:t>
            </w:r>
            <w:r>
              <w:rPr>
                <w:rFonts w:ascii="Times New Roman" w:hAnsi="Times New Roman" w:cs="Times New Roman"/>
                <w:color w:val="000000" w:themeColor="text1"/>
                <w:spacing w:val="0"/>
                <w:kern w:val="21"/>
                <w:position w:val="0"/>
                <w:shd w:val="clear" w:color="auto" w:fill="FFFFFF"/>
                <w14:textFill>
                  <w14:solidFill>
                    <w14:schemeClr w14:val="tx1"/>
                  </w14:solidFill>
                </w14:textFill>
              </w:rPr>
              <w:t>本</w:t>
            </w:r>
            <w:r>
              <w:rPr>
                <w:rFonts w:ascii="Times New Roman" w:hAnsi="Times New Roman" w:eastAsia="宋体" w:cs="Times New Roman"/>
                <w:color w:val="000000" w:themeColor="text1"/>
                <w:spacing w:val="0"/>
                <w:kern w:val="21"/>
                <w:position w:val="0"/>
                <w:sz w:val="24"/>
                <w14:textFill>
                  <w14:solidFill>
                    <w14:schemeClr w14:val="tx1"/>
                  </w14:solidFill>
                </w14:textFill>
              </w:rPr>
              <w:t>项目所在区域为达标区</w:t>
            </w:r>
            <w:r>
              <w:rPr>
                <w:rFonts w:ascii="Times New Roman" w:hAnsi="Times New Roman" w:eastAsia="宋体" w:cs="Times New Roman"/>
                <w:color w:val="000000" w:themeColor="text1"/>
                <w:spacing w:val="0"/>
                <w:kern w:val="21"/>
                <w:position w:val="0"/>
                <w14:textFill>
                  <w14:solidFill>
                    <w14:schemeClr w14:val="tx1"/>
                  </w14:solidFill>
                </w14:textFill>
              </w:rPr>
              <w:t>。</w:t>
            </w:r>
          </w:p>
          <w:p>
            <w:pPr>
              <w:pageBreakBefore w:val="0"/>
              <w:numPr>
                <w:ilvl w:val="0"/>
                <w:numId w:val="30"/>
              </w:numPr>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其他污染物环境空气质量</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本项目污染物中特征因子为TSP、VOCs</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为进一步了解项目所在区域其他污染物环境质量现状，本次评价引用四川锡水金山环保科技有限公司于2023年4月17日对“家居水晶饰品生产项目”出具的监测报告（锡环检字〔2023〕第0328601号），不另行监测。</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引用监测报告监测日期为2023年3月26日至2023年4月1日，引用监测报告有效可行，引用评价结果如下所示。</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（1）检测项目及点位</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设置1处大气监测点，具体情况见下表。</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引用监测报告监测点位</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74"/>
              <w:gridCol w:w="2670"/>
              <w:gridCol w:w="230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94"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序号</w:t>
                  </w:r>
                </w:p>
              </w:tc>
              <w:tc>
                <w:tcPr>
                  <w:tcW w:w="880"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监测点位</w:t>
                  </w:r>
                </w:p>
              </w:tc>
              <w:tc>
                <w:tcPr>
                  <w:tcW w:w="1593"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监测项目</w:t>
                  </w:r>
                </w:p>
              </w:tc>
              <w:tc>
                <w:tcPr>
                  <w:tcW w:w="1372"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监测频次</w:t>
                  </w:r>
                </w:p>
              </w:tc>
              <w:tc>
                <w:tcPr>
                  <w:tcW w:w="759"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880"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项目区内</w:t>
                  </w:r>
                </w:p>
              </w:tc>
              <w:tc>
                <w:tcPr>
                  <w:tcW w:w="1593"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总悬浮颗粒物、TVOC</w:t>
                  </w:r>
                </w:p>
              </w:tc>
              <w:tc>
                <w:tcPr>
                  <w:tcW w:w="1372"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1次/天，连续7天</w:t>
                  </w:r>
                </w:p>
              </w:tc>
              <w:tc>
                <w:tcPr>
                  <w:tcW w:w="759" w:type="pct"/>
                  <w:vAlign w:val="center"/>
                </w:tcPr>
                <w:p>
                  <w:pPr>
                    <w:pageBreakBefore w:val="0"/>
                    <w:tabs>
                      <w:tab w:val="left" w:pos="90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本项目北侧490m处</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（2）检测结果</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TVOC、TSP检测结果见下表。</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14:textFill>
                  <w14:solidFill>
                    <w14:schemeClr w14:val="tx1"/>
                  </w14:solidFill>
                </w14:textFill>
              </w:rPr>
              <w:t>引用监测报告监测结果一览表（TVOC、TSP） 单位：μg/m</w:t>
            </w:r>
            <w:r>
              <w:rPr>
                <w:rFonts w:ascii="Times New Roman" w:hAnsi="Times New Roman" w:eastAsia="宋体" w:cs="Times New Roman"/>
                <w:b/>
                <w:bCs/>
                <w:color w:val="000000" w:themeColor="text1"/>
                <w:spacing w:val="0"/>
                <w:kern w:val="21"/>
                <w:position w:val="0"/>
                <w:vertAlign w:val="superscript"/>
                <w14:textFill>
                  <w14:solidFill>
                    <w14:schemeClr w14:val="tx1"/>
                  </w14:solidFill>
                </w14:textFill>
              </w:rPr>
              <w:t>3</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272"/>
              <w:gridCol w:w="2270"/>
              <w:gridCol w:w="1273"/>
              <w:gridCol w:w="765"/>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blHeader/>
                <w:jc w:val="center"/>
              </w:trPr>
              <w:tc>
                <w:tcPr>
                  <w:tcW w:w="907" w:type="pct"/>
                  <w:vMerge w:val="restar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检测点位</w:t>
                  </w: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采样日期</w:t>
                  </w:r>
                </w:p>
              </w:tc>
              <w:tc>
                <w:tcPr>
                  <w:tcW w:w="1355" w:type="pct"/>
                  <w:vMerge w:val="restar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监测项目</w:t>
                  </w: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检测结果</w:t>
                  </w:r>
                </w:p>
              </w:tc>
              <w:tc>
                <w:tcPr>
                  <w:tcW w:w="457" w:type="pct"/>
                  <w:vMerge w:val="restar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标准</w:t>
                  </w: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07" w:type="pct"/>
                  <w:vMerge w:val="restar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1#项目区内</w:t>
                  </w: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2023.3.26</w:t>
                  </w:r>
                </w:p>
              </w:tc>
              <w:tc>
                <w:tcPr>
                  <w:tcW w:w="1355" w:type="pct"/>
                  <w:vMerge w:val="restart"/>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TVO</w:t>
                  </w:r>
                  <w:r>
                    <w:rPr>
                      <w:rFonts w:ascii="Times New Roman" w:hAnsi="Times New Roman" w:cs="Times New Roman"/>
                      <w:color w:val="000000" w:themeColor="text1"/>
                      <w:spacing w:val="0"/>
                      <w:kern w:val="21"/>
                      <w:position w:val="0"/>
                      <w:szCs w:val="21"/>
                      <w14:textFill>
                        <w14:solidFill>
                          <w14:schemeClr w14:val="tx1"/>
                        </w14:solidFill>
                      </w14:textFill>
                    </w:rPr>
                    <w:t>C</w:t>
                  </w:r>
                  <w:r>
                    <w:rPr>
                      <w:rFonts w:ascii="Times New Roman" w:hAnsi="Times New Roman" w:eastAsia="宋体" w:cs="Times New Roman"/>
                      <w:color w:val="000000" w:themeColor="text1"/>
                      <w:spacing w:val="0"/>
                      <w:kern w:val="21"/>
                      <w:position w:val="0"/>
                      <w:szCs w:val="21"/>
                      <w14:textFill>
                        <w14:solidFill>
                          <w14:schemeClr w14:val="tx1"/>
                        </w14:solidFill>
                      </w14:textFill>
                    </w:rPr>
                    <w:t>（8h均值）</w:t>
                  </w:r>
                </w:p>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13.9</w:t>
                  </w:r>
                </w:p>
              </w:tc>
              <w:tc>
                <w:tcPr>
                  <w:tcW w:w="457" w:type="pct"/>
                  <w:vMerge w:val="restar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600</w:t>
                  </w:r>
                </w:p>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2023.3.27</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25.9</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2023.3.28</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28.2</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2023.3.29</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47.7</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2023.3.30</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15.8</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2023.3.31</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22.1</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2023.4.1</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28.9</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2023.3.26</w:t>
                  </w:r>
                </w:p>
              </w:tc>
              <w:tc>
                <w:tcPr>
                  <w:tcW w:w="1355" w:type="pct"/>
                  <w:vMerge w:val="restart"/>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总悬浮颗粒物</w:t>
                  </w: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119</w:t>
                  </w:r>
                </w:p>
              </w:tc>
              <w:tc>
                <w:tcPr>
                  <w:tcW w:w="457" w:type="pct"/>
                  <w:vMerge w:val="restar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300</w:t>
                  </w: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2023.3.27</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118</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2023.3.28</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119</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2023.3.29</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117</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2023.3.30</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120</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2023.3.31</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115</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90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2023.4.1</w:t>
                  </w:r>
                </w:p>
              </w:tc>
              <w:tc>
                <w:tcPr>
                  <w:tcW w:w="1355" w:type="pct"/>
                  <w:vMerge w:val="continue"/>
                  <w:tcBorders>
                    <w:tl2br w:val="nil"/>
                    <w:tr2bl w:val="nil"/>
                  </w:tcBorders>
                  <w:vAlign w:val="center"/>
                </w:tcPr>
                <w:p>
                  <w:pPr>
                    <w:pageBreakBefore w:val="0"/>
                    <w:widowControl/>
                    <w:tabs>
                      <w:tab w:val="left" w:pos="213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114</w:t>
                  </w:r>
                </w:p>
              </w:tc>
              <w:tc>
                <w:tcPr>
                  <w:tcW w:w="457" w:type="pct"/>
                  <w:vMerge w:val="continue"/>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59" w:type="pct"/>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是</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由上表可知，所测项目TSP满足《环境空气质量标准》（GB3095-2012）中二级标准；TVOC满足《环境影响评价技术导则 大气环境》</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（HJ 2.2-2018）</w:t>
            </w:r>
            <w:r>
              <w:rPr>
                <w:rFonts w:ascii="Times New Roman" w:hAnsi="Times New Roman" w:eastAsia="宋体" w:cs="Times New Roman"/>
                <w:color w:val="000000" w:themeColor="text1"/>
                <w:spacing w:val="0"/>
                <w:kern w:val="21"/>
                <w:position w:val="0"/>
                <w:sz w:val="24"/>
                <w14:textFill>
                  <w14:solidFill>
                    <w14:schemeClr w14:val="tx1"/>
                  </w14:solidFill>
                </w14:textFill>
              </w:rPr>
              <w:t>附录D的浓度限值要求。</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综上所述，本项目所在区域环境空气质量较好。</w:t>
            </w:r>
          </w:p>
          <w:p>
            <w:pPr>
              <w:pageBreakBefore w:val="0"/>
              <w:numPr>
                <w:ilvl w:val="0"/>
                <w:numId w:val="28"/>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地表水环境质量现状</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根据《建设项目环境影响报告表编制技术指南 污染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本项目运营期生产废水</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主要为脱脂-硅烷化废水，经厂内自建污水处理站处理后与</w:t>
            </w:r>
            <w:r>
              <w:rPr>
                <w:rFonts w:ascii="Times New Roman" w:hAnsi="Times New Roman" w:eastAsia="宋体" w:cs="Times New Roman"/>
                <w:color w:val="000000" w:themeColor="text1"/>
                <w:spacing w:val="0"/>
                <w:kern w:val="21"/>
                <w:position w:val="0"/>
                <w:sz w:val="24"/>
                <w14:textFill>
                  <w14:solidFill>
                    <w14:schemeClr w14:val="tx1"/>
                  </w14:solidFill>
                </w14:textFill>
              </w:rPr>
              <w:t>经厂内预处理池处理</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后的</w:t>
            </w:r>
            <w:r>
              <w:rPr>
                <w:rFonts w:ascii="Times New Roman" w:hAnsi="Times New Roman" w:eastAsia="宋体" w:cs="Times New Roman"/>
                <w:color w:val="000000" w:themeColor="text1"/>
                <w:spacing w:val="0"/>
                <w:kern w:val="21"/>
                <w:position w:val="0"/>
                <w:sz w:val="24"/>
                <w14:textFill>
                  <w14:solidFill>
                    <w14:schemeClr w14:val="tx1"/>
                  </w14:solidFill>
                </w14:textFill>
              </w:rPr>
              <w:t>生活污水达</w:t>
            </w:r>
            <w:r>
              <w:rPr>
                <w:rFonts w:ascii="Times New Roman" w:hAnsi="Times New Roman" w:cs="Times New Roman"/>
                <w:b/>
                <w:color w:val="000000" w:themeColor="text1"/>
                <w:spacing w:val="0"/>
                <w:kern w:val="21"/>
                <w:position w:val="0"/>
                <w:sz w:val="24"/>
                <w14:textFill>
                  <w14:solidFill>
                    <w14:schemeClr w14:val="tx1"/>
                  </w14:solidFill>
                </w14:textFill>
              </w:rPr>
              <w:t>园区污水处理厂设计进水水质</w:t>
            </w:r>
            <w:r>
              <w:rPr>
                <w:rFonts w:hint="eastAsia" w:ascii="Times New Roman" w:hAnsi="Times New Roman" w:eastAsia="宋体" w:cs="Times New Roman"/>
                <w:bCs/>
                <w:color w:val="000000" w:themeColor="text1"/>
                <w:spacing w:val="0"/>
                <w:kern w:val="21"/>
                <w:position w:val="0"/>
                <w:sz w:val="24"/>
                <w:lang w:eastAsia="zh-CN"/>
                <w14:textFill>
                  <w14:solidFill>
                    <w14:schemeClr w14:val="tx1"/>
                  </w14:solidFill>
                </w14:textFill>
              </w:rPr>
              <w:t>，</w:t>
            </w:r>
            <w:r>
              <w:rPr>
                <w:rFonts w:ascii="Times New Roman" w:hAnsi="Times New Roman" w:eastAsia="宋体" w:cs="Times New Roman"/>
                <w:bCs/>
                <w:color w:val="000000" w:themeColor="text1"/>
                <w:spacing w:val="0"/>
                <w:kern w:val="21"/>
                <w:position w:val="0"/>
                <w:sz w:val="24"/>
                <w14:textFill>
                  <w14:solidFill>
                    <w14:schemeClr w14:val="tx1"/>
                  </w14:solidFill>
                </w14:textFill>
              </w:rPr>
              <w:t>通过园区污水管网</w:t>
            </w:r>
            <w:r>
              <w:rPr>
                <w:rFonts w:ascii="Times New Roman" w:hAnsi="Times New Roman" w:eastAsia="宋体" w:cs="Times New Roman"/>
                <w:b/>
                <w:bCs/>
                <w:color w:val="000000" w:themeColor="text1"/>
                <w:spacing w:val="0"/>
                <w:kern w:val="21"/>
                <w:position w:val="0"/>
                <w:sz w:val="24"/>
                <w14:textFill>
                  <w14:solidFill>
                    <w14:schemeClr w14:val="tx1"/>
                  </w14:solidFill>
                </w14:textFill>
              </w:rPr>
              <w:t>近期</w:t>
            </w:r>
            <w:r>
              <w:rPr>
                <w:rFonts w:ascii="Times New Roman" w:hAnsi="Times New Roman" w:eastAsia="宋体" w:cs="Times New Roman"/>
                <w:bCs/>
                <w:color w:val="000000" w:themeColor="text1"/>
                <w:spacing w:val="0"/>
                <w:kern w:val="21"/>
                <w:position w:val="0"/>
                <w:sz w:val="24"/>
                <w14:textFill>
                  <w14:solidFill>
                    <w14:schemeClr w14:val="tx1"/>
                  </w14:solidFill>
                </w14:textFill>
              </w:rPr>
              <w:t>排入泉坝污水处理厂处理达《城镇污水处理厂污染物排放标准》（GB18918-2002）一级A标准，尾水排入南河</w:t>
            </w:r>
            <w:r>
              <w:rPr>
                <w:rFonts w:ascii="Times New Roman" w:hAnsi="Times New Roman" w:cs="Times New Roman"/>
                <w:bCs/>
                <w:color w:val="000000" w:themeColor="text1"/>
                <w:spacing w:val="0"/>
                <w:kern w:val="21"/>
                <w:position w:val="0"/>
                <w:sz w:val="24"/>
                <w14:textFill>
                  <w14:solidFill>
                    <w14:schemeClr w14:val="tx1"/>
                  </w14:solidFill>
                </w14:textFill>
              </w:rPr>
              <w:t>；</w:t>
            </w:r>
            <w:r>
              <w:rPr>
                <w:rFonts w:hint="eastAsia" w:ascii="Times New Roman" w:hAnsi="Times New Roman" w:cs="Times New Roman"/>
                <w:b/>
                <w:color w:val="000000" w:themeColor="text1"/>
                <w:spacing w:val="0"/>
                <w:kern w:val="21"/>
                <w:position w:val="0"/>
                <w:sz w:val="24"/>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4"/>
                <w14:textFill>
                  <w14:solidFill>
                    <w14:schemeClr w14:val="tx1"/>
                  </w14:solidFill>
                </w14:textFill>
              </w:rPr>
              <w:t>排入园区拟新建的园区污水处理厂处理</w:t>
            </w:r>
            <w:r>
              <w:rPr>
                <w:rFonts w:ascii="Times New Roman" w:hAnsi="Times New Roman" w:eastAsia="宋体" w:cs="Times New Roman"/>
                <w:bCs/>
                <w:color w:val="000000" w:themeColor="text1"/>
                <w:spacing w:val="0"/>
                <w:kern w:val="21"/>
                <w:position w:val="0"/>
                <w:sz w:val="24"/>
                <w14:textFill>
                  <w14:solidFill>
                    <w14:schemeClr w14:val="tx1"/>
                  </w14:solidFill>
                </w14:textFill>
              </w:rPr>
              <w:t>达</w:t>
            </w:r>
            <w:r>
              <w:rPr>
                <w:rFonts w:ascii="Times New Roman" w:hAnsi="Times New Roman" w:eastAsia="宋体" w:cs="Times New Roman"/>
                <w:color w:val="000000" w:themeColor="text1"/>
                <w:spacing w:val="0"/>
                <w:kern w:val="21"/>
                <w:position w:val="0"/>
                <w:sz w:val="24"/>
                <w14:textFill>
                  <w14:solidFill>
                    <w14:schemeClr w14:val="tx1"/>
                  </w14:solidFill>
                </w14:textFill>
              </w:rPr>
              <w:t>《四川省岷江、沱江流域水污染物排放标准》（DB</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51/2311-2016）中“城镇污水处理厂”污染物浓度排放限值后尾水排入沙河</w:t>
            </w:r>
            <w:r>
              <w:rPr>
                <w:rFonts w:ascii="Times New Roman" w:hAnsi="Times New Roman" w:eastAsia="宋体" w:cs="Times New Roman"/>
                <w:bCs/>
                <w:color w:val="000000" w:themeColor="text1"/>
                <w:spacing w:val="0"/>
                <w:kern w:val="21"/>
                <w:position w:val="0"/>
                <w:sz w:val="24"/>
                <w14:textFill>
                  <w14:solidFill>
                    <w14:schemeClr w14:val="tx1"/>
                  </w14:solidFill>
                </w14:textFill>
              </w:rPr>
              <w:t>。</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广元市昭化区元坝镇，项目所在最近河流为后头河，受纳水体水系关系为后头河-长滩河-南河。本次评价引用广元市生态环境局于2024年8月7日公布的《2024年7月广元市地表水水质状况》中南河断面水质监测结果，对区域水环境质量进行评价，具体情况见下表。</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南河水质情况表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900"/>
              <w:gridCol w:w="1497"/>
              <w:gridCol w:w="2092"/>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水系</w:t>
                  </w:r>
                </w:p>
              </w:tc>
              <w:tc>
                <w:tcPr>
                  <w:tcW w:w="53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河流</w:t>
                  </w:r>
                </w:p>
              </w:tc>
              <w:tc>
                <w:tcPr>
                  <w:tcW w:w="89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断面名称</w:t>
                  </w:r>
                </w:p>
              </w:tc>
              <w:tc>
                <w:tcPr>
                  <w:tcW w:w="124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河流划定类别</w:t>
                  </w:r>
                </w:p>
              </w:tc>
              <w:tc>
                <w:tcPr>
                  <w:tcW w:w="125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本月</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实测类别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068"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嘉陵江水系</w:t>
                  </w:r>
                </w:p>
              </w:tc>
              <w:tc>
                <w:tcPr>
                  <w:tcW w:w="537"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南河</w:t>
                  </w:r>
                </w:p>
              </w:tc>
              <w:tc>
                <w:tcPr>
                  <w:tcW w:w="89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荣山</w:t>
                  </w:r>
                </w:p>
              </w:tc>
              <w:tc>
                <w:tcPr>
                  <w:tcW w:w="124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Ⅲ类</w:t>
                  </w:r>
                </w:p>
              </w:tc>
              <w:tc>
                <w:tcPr>
                  <w:tcW w:w="125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font-size:10.5pt;" w:cs="Times New Roman"/>
                      <w:color w:val="000000" w:themeColor="text1"/>
                      <w:spacing w:val="0"/>
                      <w:kern w:val="21"/>
                      <w:position w:val="0"/>
                      <w:szCs w:val="21"/>
                      <w:shd w:val="clear" w:color="auto" w:fill="FFFFFF"/>
                      <w14:textFill>
                        <w14:solidFill>
                          <w14:schemeClr w14:val="tx1"/>
                        </w14:solidFill>
                      </w14:textFill>
                    </w:rPr>
                    <w:t>Ⅰ</w:t>
                  </w:r>
                  <w:r>
                    <w:rPr>
                      <w:rFonts w:ascii="Times New Roman" w:hAnsi="Times New Roman" w:eastAsia="宋体" w:cs="Times New Roman"/>
                      <w:color w:val="000000" w:themeColor="text1"/>
                      <w:spacing w:val="0"/>
                      <w:kern w:val="21"/>
                      <w:position w:val="0"/>
                      <w:szCs w:val="21"/>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068"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p>
              </w:tc>
              <w:tc>
                <w:tcPr>
                  <w:tcW w:w="537"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p>
              </w:tc>
              <w:tc>
                <w:tcPr>
                  <w:tcW w:w="89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南渡</w:t>
                  </w:r>
                </w:p>
              </w:tc>
              <w:tc>
                <w:tcPr>
                  <w:tcW w:w="124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Ⅲ类</w:t>
                  </w:r>
                </w:p>
              </w:tc>
              <w:tc>
                <w:tcPr>
                  <w:tcW w:w="125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仿宋" w:cs="Times New Roman"/>
                      <w:color w:val="000000" w:themeColor="text1"/>
                      <w:spacing w:val="0"/>
                      <w:kern w:val="21"/>
                      <w:position w:val="0"/>
                      <w:szCs w:val="21"/>
                      <w14:textFill>
                        <w14:solidFill>
                          <w14:schemeClr w14:val="tx1"/>
                        </w14:solidFill>
                      </w14:textFill>
                    </w:rPr>
                    <w:t>Ⅱ</w:t>
                  </w:r>
                  <w:r>
                    <w:rPr>
                      <w:rFonts w:ascii="Times New Roman" w:hAnsi="Times New Roman" w:eastAsia="宋体" w:cs="Times New Roman"/>
                      <w:color w:val="000000" w:themeColor="text1"/>
                      <w:spacing w:val="0"/>
                      <w:kern w:val="21"/>
                      <w:position w:val="0"/>
                      <w:szCs w:val="21"/>
                      <w14:textFill>
                        <w14:solidFill>
                          <w14:schemeClr w14:val="tx1"/>
                        </w14:solidFill>
                      </w14:textFill>
                    </w:rPr>
                    <w:t>类</w:t>
                  </w:r>
                </w:p>
              </w:tc>
            </w:tr>
          </w:tbl>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根据上表，区域水环境质量能达到《地表水环境质量标准》（GB3838-2002）Ⅲ类水质要求，满足规定的水质功能类别，区域地表水环境质量较好。</w:t>
            </w:r>
          </w:p>
          <w:p>
            <w:pPr>
              <w:pageBreakBefore w:val="0"/>
              <w:numPr>
                <w:ilvl w:val="0"/>
                <w:numId w:val="28"/>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声环境质量现状</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根据《建设项目环境影响报告表编制技术指南 污染影响类（试行）》，厂界外周边50米范围内存在声环境保护目标的建设项目，应监测保护目标声环境质量现状并评价达标情况。各点位应监测昼夜间噪声，监测时间不少于1天，项目夜间不生产则仅监测昼间噪声。</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本项目位于广元市昭化区绿色家居产业城，项目所在地用地性质为工业用地，根据现场踏勘，本项目厂界外50米范围内不存在声环境保护目标，因此本次评价无需开展声环境质量现状监测及评价。</w:t>
            </w:r>
          </w:p>
          <w:p>
            <w:pPr>
              <w:pageBreakBefore w:val="0"/>
              <w:numPr>
                <w:ilvl w:val="0"/>
                <w:numId w:val="28"/>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地下水、土壤环境质量现状</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18"/>
                <w14:textFill>
                  <w14:solidFill>
                    <w14:schemeClr w14:val="tx1"/>
                  </w14:solidFill>
                </w14:textFill>
              </w:rPr>
            </w:pPr>
            <w:r>
              <w:rPr>
                <w:rFonts w:ascii="Times New Roman" w:hAnsi="Times New Roman" w:eastAsia="宋体" w:cs="Times New Roman"/>
                <w:color w:val="000000" w:themeColor="text1"/>
                <w:spacing w:val="0"/>
                <w:kern w:val="21"/>
                <w:position w:val="0"/>
                <w:sz w:val="24"/>
                <w:szCs w:val="18"/>
                <w14:textFill>
                  <w14:solidFill>
                    <w14:schemeClr w14:val="tx1"/>
                  </w14:solidFill>
                </w14:textFill>
              </w:rPr>
              <w:t>根据《建设项目环境影响报告表编制技术指南 污染影响类（试行）》，地下水和土壤环境原则上不开展环境质量现状调查。建设项目存在土壤、地下水环境污染途径的，应结合污染源、保护目标分布情况开展现状调查以留作背景值。</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为智能家居生产制造项目，项目生产过程中使用的原辅料及产品均不涉及重金属物料，厂区周边目前主要为空地和已建的生产性企业，本项目营运期有机废气、粉尘经处理后能够实现达标排放，对土壤环境影响较小。此外，本项目设置危废暂存间对项目生产过程中产生的危险废物进行收集，危废暂存间地面采取防渗混凝土硬化地面，并增涂防渗层，危废暂存间防渗层防渗系数满足≤1×10</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-10</w:t>
            </w:r>
            <w:r>
              <w:rPr>
                <w:rFonts w:ascii="Times New Roman" w:hAnsi="Times New Roman" w:eastAsia="宋体" w:cs="Times New Roman"/>
                <w:color w:val="000000" w:themeColor="text1"/>
                <w:spacing w:val="0"/>
                <w:kern w:val="21"/>
                <w:position w:val="0"/>
                <w:sz w:val="24"/>
                <w14:textFill>
                  <w14:solidFill>
                    <w14:schemeClr w14:val="tx1"/>
                  </w14:solidFill>
                </w14:textFill>
              </w:rPr>
              <w:t>cm/s，因此本项目正常工况下不会形成地面漫流和垂直入渗。</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本项目位于广元市昭化区绿色家居产业城，根据现场踏勘，项目周边无地下水及土壤环境保护目标，建设单位在严格落实本次评价提出的各项防渗措施后，本项目对地下水及土壤的影响小。</w:t>
            </w:r>
          </w:p>
          <w:p>
            <w:pPr>
              <w:pageBreakBefore w:val="0"/>
              <w:numPr>
                <w:ilvl w:val="0"/>
                <w:numId w:val="28"/>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生态环境</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18"/>
                <w14:textFill>
                  <w14:solidFill>
                    <w14:schemeClr w14:val="tx1"/>
                  </w14:solidFill>
                </w14:textFill>
              </w:rPr>
            </w:pPr>
            <w:r>
              <w:rPr>
                <w:rFonts w:ascii="Times New Roman" w:hAnsi="Times New Roman" w:eastAsia="宋体" w:cs="Times New Roman"/>
                <w:color w:val="000000" w:themeColor="text1"/>
                <w:spacing w:val="0"/>
                <w:kern w:val="21"/>
                <w:position w:val="0"/>
                <w:sz w:val="24"/>
                <w:szCs w:val="18"/>
                <w14:textFill>
                  <w14:solidFill>
                    <w14:schemeClr w14:val="tx1"/>
                  </w14:solidFill>
                </w14:textFill>
              </w:rPr>
              <w:t>本项</w:t>
            </w:r>
            <w:r>
              <w:rPr>
                <w:rFonts w:ascii="Times New Roman" w:hAnsi="Times New Roman" w:eastAsia="宋体" w:cs="Times New Roman"/>
                <w:color w:val="000000" w:themeColor="text1"/>
                <w:spacing w:val="0"/>
                <w:kern w:val="21"/>
                <w:position w:val="0"/>
                <w:sz w:val="24"/>
                <w14:textFill>
                  <w14:solidFill>
                    <w14:schemeClr w14:val="tx1"/>
                  </w14:solidFill>
                </w14:textFill>
              </w:rPr>
              <w:t>目位于广元市昭化区绿色家居产业城，所占用地为工业用地，区域生态状态以工业园区生态环境为主要特征，人为活动频繁，已不存在原</w:t>
            </w:r>
            <w:r>
              <w:rPr>
                <w:rFonts w:ascii="Times New Roman" w:hAnsi="Times New Roman" w:eastAsia="宋体" w:cs="Times New Roman"/>
                <w:color w:val="000000" w:themeColor="text1"/>
                <w:spacing w:val="0"/>
                <w:kern w:val="21"/>
                <w:position w:val="0"/>
                <w:sz w:val="24"/>
                <w:szCs w:val="18"/>
                <w14:textFill>
                  <w14:solidFill>
                    <w14:schemeClr w14:val="tx1"/>
                  </w14:solidFill>
                </w14:textFill>
              </w:rPr>
              <w:t>生植被，项目周围无高大的乔木、灌木和无明显的自然保护区和风景名胜区，该区域及周围无有生态价值的植被，生物多样性程度较低。</w:t>
            </w:r>
          </w:p>
          <w:p>
            <w:pPr>
              <w:pageBreakBefore w:val="0"/>
              <w:numPr>
                <w:ilvl w:val="0"/>
                <w:numId w:val="28"/>
              </w:numPr>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电磁辐射</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18"/>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新</w:t>
            </w:r>
            <w:r>
              <w:rPr>
                <w:rFonts w:ascii="Times New Roman" w:hAnsi="Times New Roman" w:eastAsia="宋体" w:cs="Times New Roman"/>
                <w:color w:val="000000" w:themeColor="text1"/>
                <w:spacing w:val="0"/>
                <w:kern w:val="21"/>
                <w:position w:val="0"/>
                <w:sz w:val="24"/>
                <w:szCs w:val="18"/>
                <w14:textFill>
                  <w14:solidFill>
                    <w14:schemeClr w14:val="tx1"/>
                  </w14:solidFill>
                </w14:textFill>
              </w:rPr>
              <w:t>建或改建、扩建广播电台、差转台、电视塔台、卫星地球上行站、雷达等电磁辐射类项目，应根据相关技术导则对项目电磁辐射现状开展监测与评价。</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本项目为智能家居生产制造项目</w:t>
            </w:r>
            <w:r>
              <w:rPr>
                <w:rFonts w:ascii="Times New Roman" w:hAnsi="Times New Roman" w:eastAsia="宋体" w:cs="Times New Roman"/>
                <w:color w:val="000000" w:themeColor="text1"/>
                <w:spacing w:val="0"/>
                <w:kern w:val="21"/>
                <w:position w:val="0"/>
                <w:sz w:val="24"/>
                <w:szCs w:val="18"/>
                <w14:textFill>
                  <w14:solidFill>
                    <w14:schemeClr w14:val="tx1"/>
                  </w14:solidFill>
                </w14:textFill>
              </w:rPr>
              <w:t>，不属于新建或改建、扩建广播电台、差转台、电视塔台、卫星地球上行站、雷达等电磁辐射类项目，因此不开展电磁辐射现状监测与评价。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51" w:type="pct"/>
            <w:vAlign w:val="center"/>
          </w:tcPr>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环境</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保护</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目标</w:t>
            </w:r>
          </w:p>
        </w:tc>
        <w:tc>
          <w:tcPr>
            <w:tcW w:w="4748" w:type="pct"/>
          </w:tcPr>
          <w:p>
            <w:pPr>
              <w:pageBreakBefore w:val="0"/>
              <w:numPr>
                <w:ilvl w:val="0"/>
                <w:numId w:val="31"/>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大气环境</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建设项目环境影响报告表编制技术指南（污染影响类）》（试行），应明确厂界外500米范围内的自然保护区、风景名胜区、居住区、文化区和农村地区中人群较集中的区域等保护目标的名称及与建设项目厂界位置关系。</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本项目厂界外500m范围内大气环境敏感点具体如下表所示：</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大气环境保护目标一览表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960"/>
              <w:gridCol w:w="967"/>
              <w:gridCol w:w="1334"/>
              <w:gridCol w:w="499"/>
              <w:gridCol w:w="1205"/>
              <w:gridCol w:w="113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环境要素</w:t>
                  </w:r>
                </w:p>
              </w:tc>
              <w:tc>
                <w:tcPr>
                  <w:tcW w:w="1150"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坐标/m</w:t>
                  </w:r>
                </w:p>
              </w:tc>
              <w:tc>
                <w:tcPr>
                  <w:tcW w:w="79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主要保护目标</w:t>
                  </w:r>
                </w:p>
              </w:tc>
              <w:tc>
                <w:tcPr>
                  <w:tcW w:w="297"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方位</w:t>
                  </w:r>
                </w:p>
              </w:tc>
              <w:tc>
                <w:tcPr>
                  <w:tcW w:w="719" w:type="pct"/>
                  <w:vMerge w:val="restar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b/>
                      <w:color w:val="000000" w:themeColor="text1"/>
                      <w:spacing w:val="0"/>
                      <w:kern w:val="21"/>
                      <w:position w:val="0"/>
                      <w:sz w:val="18"/>
                      <w:szCs w:val="18"/>
                      <w:lang w:eastAsia="zh-CN"/>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与厂界距离</w:t>
                  </w:r>
                  <w:r>
                    <w:rPr>
                      <w:rFonts w:hint="eastAsia" w:ascii="Times New Roman" w:hAnsi="Times New Roman" w:eastAsia="宋体" w:cs="Times New Roman"/>
                      <w:b/>
                      <w:color w:val="000000" w:themeColor="text1"/>
                      <w:spacing w:val="0"/>
                      <w:kern w:val="21"/>
                      <w:position w:val="0"/>
                      <w:sz w:val="18"/>
                      <w:szCs w:val="18"/>
                      <w:lang w:eastAsia="zh-CN"/>
                      <w14:textFill>
                        <w14:solidFill>
                          <w14:schemeClr w14:val="tx1"/>
                        </w14:solidFill>
                      </w14:textFill>
                    </w:rPr>
                    <w:t>（</w:t>
                  </w:r>
                  <w:r>
                    <w:rPr>
                      <w:rFonts w:hint="eastAsia" w:ascii="Times New Roman" w:hAnsi="Times New Roman" w:eastAsia="宋体" w:cs="Times New Roman"/>
                      <w:b/>
                      <w:color w:val="000000" w:themeColor="text1"/>
                      <w:spacing w:val="0"/>
                      <w:kern w:val="21"/>
                      <w:position w:val="0"/>
                      <w:sz w:val="18"/>
                      <w:szCs w:val="18"/>
                      <w:lang w:val="en-US" w:eastAsia="zh-CN"/>
                      <w14:textFill>
                        <w14:solidFill>
                          <w14:schemeClr w14:val="tx1"/>
                        </w14:solidFill>
                      </w14:textFill>
                    </w:rPr>
                    <w:t>高差</w:t>
                  </w:r>
                  <w:r>
                    <w:rPr>
                      <w:rFonts w:hint="eastAsia" w:ascii="Times New Roman" w:hAnsi="Times New Roman" w:eastAsia="宋体" w:cs="Times New Roman"/>
                      <w:b/>
                      <w:color w:val="000000" w:themeColor="text1"/>
                      <w:spacing w:val="0"/>
                      <w:kern w:val="21"/>
                      <w:position w:val="0"/>
                      <w:sz w:val="18"/>
                      <w:szCs w:val="18"/>
                      <w:lang w:eastAsia="zh-CN"/>
                      <w14:textFill>
                        <w14:solidFill>
                          <w14:schemeClr w14:val="tx1"/>
                        </w14:solidFill>
                      </w14:textFill>
                    </w:rPr>
                    <w:t>）</w:t>
                  </w:r>
                </w:p>
              </w:tc>
              <w:tc>
                <w:tcPr>
                  <w:tcW w:w="67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受影响规模</w:t>
                  </w:r>
                </w:p>
              </w:tc>
              <w:tc>
                <w:tcPr>
                  <w:tcW w:w="79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p>
              </w:tc>
              <w:tc>
                <w:tcPr>
                  <w:tcW w:w="57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X</w:t>
                  </w:r>
                </w:p>
              </w:tc>
              <w:tc>
                <w:tcPr>
                  <w:tcW w:w="57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Y</w:t>
                  </w:r>
                </w:p>
              </w:tc>
              <w:tc>
                <w:tcPr>
                  <w:tcW w:w="79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p>
              </w:tc>
              <w:tc>
                <w:tcPr>
                  <w:tcW w:w="297"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p>
              </w:tc>
              <w:tc>
                <w:tcPr>
                  <w:tcW w:w="719"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p>
              </w:tc>
              <w:tc>
                <w:tcPr>
                  <w:tcW w:w="67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p>
              </w:tc>
              <w:tc>
                <w:tcPr>
                  <w:tcW w:w="79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大气环境</w:t>
                  </w:r>
                </w:p>
              </w:tc>
              <w:tc>
                <w:tcPr>
                  <w:tcW w:w="57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3571426</w:t>
                  </w:r>
                </w:p>
              </w:tc>
              <w:tc>
                <w:tcPr>
                  <w:tcW w:w="57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35591840</w:t>
                  </w:r>
                </w:p>
              </w:tc>
              <w:tc>
                <w:tcPr>
                  <w:tcW w:w="796"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散户居民</w:t>
                  </w:r>
                </w:p>
              </w:tc>
              <w:tc>
                <w:tcPr>
                  <w:tcW w:w="2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S</w:t>
                  </w:r>
                </w:p>
              </w:tc>
              <w:tc>
                <w:tcPr>
                  <w:tcW w:w="71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82</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+16m</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p>
              </w:tc>
              <w:tc>
                <w:tcPr>
                  <w:tcW w:w="676"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户</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3</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人</w:t>
                  </w:r>
                </w:p>
              </w:tc>
              <w:tc>
                <w:tcPr>
                  <w:tcW w:w="79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《环境空气质量标准》（GB 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57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3571372</w:t>
                  </w:r>
                </w:p>
              </w:tc>
              <w:tc>
                <w:tcPr>
                  <w:tcW w:w="57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35592098</w:t>
                  </w:r>
                </w:p>
              </w:tc>
              <w:tc>
                <w:tcPr>
                  <w:tcW w:w="796"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散户居民</w:t>
                  </w:r>
                </w:p>
              </w:tc>
              <w:tc>
                <w:tcPr>
                  <w:tcW w:w="2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S</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E</w:t>
                  </w:r>
                </w:p>
              </w:tc>
              <w:tc>
                <w:tcPr>
                  <w:tcW w:w="71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259</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+8m</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p>
              </w:tc>
              <w:tc>
                <w:tcPr>
                  <w:tcW w:w="676"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1户3人</w:t>
                  </w:r>
                </w:p>
              </w:tc>
              <w:tc>
                <w:tcPr>
                  <w:tcW w:w="79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57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3571440</w:t>
                  </w:r>
                </w:p>
              </w:tc>
              <w:tc>
                <w:tcPr>
                  <w:tcW w:w="57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35592485</w:t>
                  </w:r>
                </w:p>
              </w:tc>
              <w:tc>
                <w:tcPr>
                  <w:tcW w:w="796"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王家湾居民</w:t>
                  </w:r>
                </w:p>
              </w:tc>
              <w:tc>
                <w:tcPr>
                  <w:tcW w:w="29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S</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E</w:t>
                  </w:r>
                </w:p>
              </w:tc>
              <w:tc>
                <w:tcPr>
                  <w:tcW w:w="71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392</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-15m</w:t>
                  </w: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w:t>
                  </w:r>
                </w:p>
              </w:tc>
              <w:tc>
                <w:tcPr>
                  <w:tcW w:w="676"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20户64人</w:t>
                  </w:r>
                </w:p>
              </w:tc>
              <w:tc>
                <w:tcPr>
                  <w:tcW w:w="79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bl>
          <w:p>
            <w:pPr>
              <w:pageBreakBefore w:val="0"/>
              <w:numPr>
                <w:ilvl w:val="0"/>
                <w:numId w:val="31"/>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声环境</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根据《建设项目环境影响报告表编制技术指南（污染影响类）》（试行），应明确厂界外50米范围内的声环境保护目标（医院、学校、机关、科研单位、住宅、自然保护区等对噪声敏感的建筑物或区域）。</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本项目50m范围内无声环境保护目标。</w:t>
            </w:r>
          </w:p>
          <w:p>
            <w:pPr>
              <w:pageBreakBefore w:val="0"/>
              <w:numPr>
                <w:ilvl w:val="0"/>
                <w:numId w:val="31"/>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地表水环境</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本项目废水近期进入园区管网后排入泉坝污水处理处理达标后排入南河；远期园</w:t>
            </w:r>
            <w:r>
              <w:rPr>
                <w:rFonts w:ascii="Times New Roman" w:hAnsi="Times New Roman" w:eastAsia="宋体" w:cs="Times New Roman"/>
                <w:bCs/>
                <w:color w:val="000000" w:themeColor="text1"/>
                <w:spacing w:val="0"/>
                <w:kern w:val="21"/>
                <w:position w:val="0"/>
                <w:sz w:val="24"/>
                <w14:textFill>
                  <w14:solidFill>
                    <w14:schemeClr w14:val="tx1"/>
                  </w14:solidFill>
                </w14:textFill>
              </w:rPr>
              <w:t>区污水处理厂建成后，废水经园区管网排入园区污水处理厂处理达标后排入沙河。根据规划环评，规划区配套园区污水处理厂排口设在沙河，沙河排口下游约5.8km汇入长滩河，经11.5km后汇入南河，长滩河汇入南河口为南河白甲鱼瓦氏黄颡鱼国家级水产种质资源保护区。本项目地表水环境保护目标见下表。</w:t>
            </w:r>
          </w:p>
          <w:p>
            <w:pPr>
              <w:pageBreakBefore w:val="0"/>
              <w:widowControl/>
              <w:numPr>
                <w:ilvl w:val="0"/>
                <w:numId w:val="29"/>
              </w:numPr>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地表水环境保护目标一览表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552"/>
              <w:gridCol w:w="1766"/>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环境要素</w:t>
                  </w:r>
                </w:p>
              </w:tc>
              <w:tc>
                <w:tcPr>
                  <w:tcW w:w="152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主要保护目标</w:t>
                  </w:r>
                </w:p>
              </w:tc>
              <w:tc>
                <w:tcPr>
                  <w:tcW w:w="105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距离（m）</w:t>
                  </w:r>
                </w:p>
              </w:tc>
              <w:tc>
                <w:tcPr>
                  <w:tcW w:w="166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地表水环境</w:t>
                  </w:r>
                </w:p>
              </w:tc>
              <w:tc>
                <w:tcPr>
                  <w:tcW w:w="152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沙河</w:t>
                  </w:r>
                </w:p>
              </w:tc>
              <w:tc>
                <w:tcPr>
                  <w:tcW w:w="105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园区污水厂排口受纳水体</w:t>
                  </w:r>
                </w:p>
              </w:tc>
              <w:tc>
                <w:tcPr>
                  <w:tcW w:w="1663"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《地表水环境质量标准》（GB 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p>
              </w:tc>
              <w:tc>
                <w:tcPr>
                  <w:tcW w:w="152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长滩河</w:t>
                  </w:r>
                </w:p>
              </w:tc>
              <w:tc>
                <w:tcPr>
                  <w:tcW w:w="105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园区污水厂排口下游5.8km</w:t>
                  </w:r>
                </w:p>
              </w:tc>
              <w:tc>
                <w:tcPr>
                  <w:tcW w:w="1663"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p>
              </w:tc>
              <w:tc>
                <w:tcPr>
                  <w:tcW w:w="152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南河白甲鱼瓦氏黄颡鱼国家级水产种质资源保护区</w:t>
                  </w:r>
                </w:p>
              </w:tc>
              <w:tc>
                <w:tcPr>
                  <w:tcW w:w="105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园区污水厂排口下游17.3km</w:t>
                  </w:r>
                </w:p>
              </w:tc>
              <w:tc>
                <w:tcPr>
                  <w:tcW w:w="166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《地表水环境质量标准》（GB 3838-2002）Ⅱ类标准</w:t>
                  </w:r>
                </w:p>
              </w:tc>
            </w:tr>
          </w:tbl>
          <w:p>
            <w:pPr>
              <w:pageBreakBefore w:val="0"/>
              <w:numPr>
                <w:ilvl w:val="0"/>
                <w:numId w:val="31"/>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地下水环境</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明确厂界外500米范围内的地下水集中式饮用水水源和热水、矿泉水、温泉等特殊地下水资源。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本项目位于广元市昭化区绿色家居产业城，根据现场调查，本项目厂界外500米范围内无上述地下水敏感目标。</w:t>
            </w:r>
          </w:p>
          <w:p>
            <w:pPr>
              <w:pageBreakBefore w:val="0"/>
              <w:numPr>
                <w:ilvl w:val="0"/>
                <w:numId w:val="31"/>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生态环境</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本项目位于广元市昭化区绿色家居产业城，项目占地范围内无生态环境保护目标。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51" w:type="pct"/>
            <w:tcMar>
              <w:left w:w="28" w:type="dxa"/>
              <w:right w:w="28" w:type="dxa"/>
            </w:tcMar>
            <w:vAlign w:val="center"/>
          </w:tcPr>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污染</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物排</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放控</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制标</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准</w:t>
            </w:r>
          </w:p>
        </w:tc>
        <w:tc>
          <w:tcPr>
            <w:tcW w:w="4748" w:type="pct"/>
          </w:tcPr>
          <w:p>
            <w:pPr>
              <w:pageBreakBefore w:val="0"/>
              <w:numPr>
                <w:ilvl w:val="0"/>
                <w:numId w:val="32"/>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废水</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本项目生活污水经预处理池预处理后排入园区污水管网</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；脱脂-硅烷化废水经厂内自建污水站处理后排入园区污水管网</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各污染物指标在满足园区污水处理厂接管标准后，进入园区污水管网，排入园区污水处理厂处理。由于园区污水处理厂尚未建成投产，因此本项目废水近期进入园区管网后排入泉坝污水处理</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厂</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处理达标后排入南河；远期园区污水处理厂建成后，废水经园区管网排入园区污水处理厂处理达标后排入沙河。</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根据规划环评要求，</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企业严格执行相应行业排放标准要求，同时达到与园区污水处理厂协议进水水质标准后再排入园区污水处理厂；无行业排放标准的企业废水执行《污水综合排放标准》（GB8978-1996）中三级标准</w:t>
            </w:r>
            <w:r>
              <w:rPr>
                <w:rFonts w:ascii="Times New Roman" w:hAnsi="Times New Roman" w:eastAsia="宋体" w:cs="Times New Roman"/>
                <w:bCs/>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本项目废水排放</w:t>
            </w:r>
            <w:r>
              <w:rPr>
                <w:rFonts w:hint="eastAsia" w:ascii="Times New Roman" w:hAnsi="Times New Roman" w:eastAsia="宋体" w:cs="Times New Roman"/>
                <w:b/>
                <w:bCs w:val="0"/>
                <w:color w:val="000000" w:themeColor="text1"/>
                <w:spacing w:val="0"/>
                <w:kern w:val="21"/>
                <w:position w:val="0"/>
                <w:sz w:val="24"/>
                <w:lang w:val="en-US" w:eastAsia="zh-CN"/>
                <w14:textFill>
                  <w14:solidFill>
                    <w14:schemeClr w14:val="tx1"/>
                  </w14:solidFill>
                </w14:textFill>
              </w:rPr>
              <w:t>近期</w:t>
            </w:r>
            <w:r>
              <w:rPr>
                <w:rFonts w:hint="eastAsia" w:ascii="Times New Roman" w:hAnsi="Times New Roman" w:eastAsia="宋体" w:cs="Times New Roman"/>
                <w:b w:val="0"/>
                <w:bCs/>
                <w:color w:val="000000" w:themeColor="text1"/>
                <w:spacing w:val="0"/>
                <w:kern w:val="21"/>
                <w:position w:val="0"/>
                <w:sz w:val="24"/>
                <w:lang w:val="en-US" w:eastAsia="zh-CN"/>
                <w14:textFill>
                  <w14:solidFill>
                    <w14:schemeClr w14:val="tx1"/>
                  </w14:solidFill>
                </w14:textFill>
              </w:rPr>
              <w:t>COD、BOD</w:t>
            </w:r>
            <w:r>
              <w:rPr>
                <w:rFonts w:hint="eastAsia" w:ascii="Times New Roman" w:hAnsi="Times New Roman" w:eastAsia="宋体" w:cs="Times New Roman"/>
                <w:b w:val="0"/>
                <w:bCs/>
                <w:color w:val="000000" w:themeColor="text1"/>
                <w:spacing w:val="0"/>
                <w:kern w:val="21"/>
                <w:position w:val="0"/>
                <w:sz w:val="24"/>
                <w:vertAlign w:val="subscript"/>
                <w:lang w:val="en-US" w:eastAsia="zh-CN"/>
                <w14:textFill>
                  <w14:solidFill>
                    <w14:schemeClr w14:val="tx1"/>
                  </w14:solidFill>
                </w14:textFill>
              </w:rPr>
              <w:t>5</w:t>
            </w:r>
            <w:r>
              <w:rPr>
                <w:rFonts w:hint="eastAsia" w:ascii="Times New Roman" w:hAnsi="Times New Roman" w:eastAsia="宋体" w:cs="Times New Roman"/>
                <w:b w:val="0"/>
                <w:bCs/>
                <w:color w:val="000000" w:themeColor="text1"/>
                <w:spacing w:val="0"/>
                <w:kern w:val="21"/>
                <w:position w:val="0"/>
                <w:sz w:val="24"/>
                <w:lang w:val="en-US" w:eastAsia="zh-CN"/>
                <w14:textFill>
                  <w14:solidFill>
                    <w14:schemeClr w14:val="tx1"/>
                  </w14:solidFill>
                </w14:textFill>
              </w:rPr>
              <w:t>、SS、</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LAS、石油类</w:t>
            </w:r>
            <w:r>
              <w:rPr>
                <w:rFonts w:hint="eastAsia" w:ascii="Times New Roman" w:hAnsi="Times New Roman" w:eastAsia="宋体" w:cs="Times New Roman"/>
                <w:bCs/>
                <w:color w:val="000000" w:themeColor="text1"/>
                <w:spacing w:val="0"/>
                <w:kern w:val="21"/>
                <w:position w:val="0"/>
                <w:sz w:val="24"/>
                <w:lang w:val="en-US" w:eastAsia="zh-CN"/>
                <w14:textFill>
                  <w14:solidFill>
                    <w14:schemeClr w14:val="tx1"/>
                  </w14:solidFill>
                </w14:textFill>
              </w:rPr>
              <w:t>执行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《污水综合排放标准》（GB8978-1996）中三级标准</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氨氮、TP执行《污水排入城镇下水道水质标准》（GB/T 31962-2015）中</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B</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标准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snapToGrid w:val="0"/>
                <w:color w:val="000000" w:themeColor="text1"/>
                <w:spacing w:val="0"/>
                <w:kern w:val="21"/>
                <w:position w:val="0"/>
                <w:szCs w:val="21"/>
                <w:lang w:val="en-US" w:eastAsia="zh-CN"/>
                <w14:textFill>
                  <w14:solidFill>
                    <w14:schemeClr w14:val="tx1"/>
                  </w14:solidFill>
                </w14:textFill>
              </w:rPr>
              <w:t>近期</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废水排放标准 单位：pH无量纲，其余mg/L</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7"/>
              <w:gridCol w:w="1852"/>
              <w:gridCol w:w="1918"/>
              <w:gridCol w:w="37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序号</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污染因子</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标准值</w:t>
                  </w:r>
                </w:p>
              </w:tc>
              <w:tc>
                <w:tcPr>
                  <w:tcW w:w="2243"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1</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pH</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6~9</w:t>
                  </w:r>
                </w:p>
              </w:tc>
              <w:tc>
                <w:tcPr>
                  <w:tcW w:w="2243" w:type="pct"/>
                  <w:vMerge w:val="restart"/>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《污水综合排放标准》（</w:t>
                  </w:r>
                  <w:r>
                    <w:rPr>
                      <w:rFonts w:hint="default" w:ascii="Times New Roman" w:hAnsi="Times New Roman" w:eastAsia="Times New Roman" w:cs="Times New Roman"/>
                      <w:color w:val="000000" w:themeColor="text1"/>
                      <w:spacing w:val="0"/>
                      <w:kern w:val="21"/>
                      <w:position w:val="0"/>
                      <w:sz w:val="21"/>
                      <w:szCs w:val="21"/>
                      <w:highlight w:val="none"/>
                      <w14:textFill>
                        <w14:solidFill>
                          <w14:schemeClr w14:val="tx1"/>
                        </w14:solidFill>
                      </w14:textFill>
                    </w:rPr>
                    <w:t>GB 8978-1996</w:t>
                  </w: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）三级标准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2</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COD</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500</w:t>
                  </w:r>
                </w:p>
              </w:tc>
              <w:tc>
                <w:tcPr>
                  <w:tcW w:w="2243" w:type="pct"/>
                  <w:vMerge w:val="continue"/>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3</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BOD</w:t>
                  </w:r>
                  <w:r>
                    <w:rPr>
                      <w:rFonts w:hint="default" w:ascii="Times New Roman" w:hAnsi="Times New Roman" w:eastAsia="宋体" w:cs="Times New Roman"/>
                      <w:color w:val="000000" w:themeColor="text1"/>
                      <w:spacing w:val="0"/>
                      <w:kern w:val="21"/>
                      <w:position w:val="0"/>
                      <w:sz w:val="21"/>
                      <w:szCs w:val="21"/>
                      <w:vertAlign w:val="subscript"/>
                      <w14:textFill>
                        <w14:solidFill>
                          <w14:schemeClr w14:val="tx1"/>
                        </w14:solidFill>
                      </w14:textFill>
                    </w:rPr>
                    <w:t>5</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300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4</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SS</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400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5</w:t>
                  </w:r>
                </w:p>
              </w:tc>
              <w:tc>
                <w:tcPr>
                  <w:tcW w:w="1852" w:type="dxa"/>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eastAsia="宋体" w:cs="Times New Roman"/>
                      <w:kern w:val="0"/>
                      <w:sz w:val="21"/>
                      <w:szCs w:val="21"/>
                    </w:rPr>
                    <w:t>LAS</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highlight w:val="none"/>
                      <w:lang w:val="en-US" w:eastAsia="zh-CN"/>
                      <w14:textFill>
                        <w14:solidFill>
                          <w14:schemeClr w14:val="tx1"/>
                        </w14:solidFill>
                      </w14:textFill>
                    </w:rPr>
                    <w:t>20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6</w:t>
                  </w:r>
                </w:p>
              </w:tc>
              <w:tc>
                <w:tcPr>
                  <w:tcW w:w="1852" w:type="dxa"/>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eastAsia="宋体" w:cs="Times New Roman"/>
                      <w:kern w:val="0"/>
                      <w:sz w:val="21"/>
                      <w:szCs w:val="21"/>
                    </w:rPr>
                    <w:t>石油类</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highlight w:val="none"/>
                      <w:lang w:val="en-US" w:eastAsia="zh-CN"/>
                      <w14:textFill>
                        <w14:solidFill>
                          <w14:schemeClr w14:val="tx1"/>
                        </w14:solidFill>
                      </w14:textFill>
                    </w:rPr>
                    <w:t>30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7</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NH</w:t>
                  </w:r>
                  <w:r>
                    <w:rPr>
                      <w:rFonts w:hint="default" w:ascii="Times New Roman" w:hAnsi="Times New Roman" w:eastAsia="宋体" w:cs="Times New Roman"/>
                      <w:color w:val="000000" w:themeColor="text1"/>
                      <w:spacing w:val="0"/>
                      <w:kern w:val="21"/>
                      <w:positio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-N</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45</w:t>
                  </w:r>
                </w:p>
              </w:tc>
              <w:tc>
                <w:tcPr>
                  <w:tcW w:w="2243" w:type="pct"/>
                  <w:vMerge w:val="restar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《污水排入城镇下水道水质标准》（</w:t>
                  </w:r>
                  <w:r>
                    <w:rPr>
                      <w:rFonts w:hint="default" w:ascii="Times New Roman" w:hAnsi="Times New Roman" w:eastAsia="Times New Roman" w:cs="Times New Roman"/>
                      <w:color w:val="000000" w:themeColor="text1"/>
                      <w:spacing w:val="0"/>
                      <w:kern w:val="21"/>
                      <w:position w:val="0"/>
                      <w:sz w:val="21"/>
                      <w:szCs w:val="21"/>
                      <w:highlight w:val="none"/>
                      <w14:textFill>
                        <w14:solidFill>
                          <w14:schemeClr w14:val="tx1"/>
                        </w14:solidFill>
                      </w14:textFill>
                    </w:rPr>
                    <w:t>GB/T 31962-2015</w:t>
                  </w: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）中B标准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8</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TP</w:t>
                  </w:r>
                </w:p>
              </w:tc>
              <w:tc>
                <w:tcPr>
                  <w:tcW w:w="1145" w:type="pct"/>
                  <w:shd w:val="clear" w:color="auto" w:fill="auto"/>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hint="default" w:ascii="Times New Roman" w:hAnsi="Times New Roman" w:cs="Times New Roman" w:eastAsiaTheme="minorEastAsia"/>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8</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本项目废水排放</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远期</w:t>
            </w:r>
            <w:r>
              <w:rPr>
                <w:rFonts w:hint="eastAsia" w:ascii="Times New Roman" w:hAnsi="Times New Roman" w:eastAsia="宋体" w:cs="Times New Roman"/>
                <w:b w:val="0"/>
                <w:bCs/>
                <w:color w:val="000000" w:themeColor="text1"/>
                <w:spacing w:val="0"/>
                <w:kern w:val="21"/>
                <w:position w:val="0"/>
                <w:sz w:val="24"/>
                <w:lang w:val="en-US" w:eastAsia="zh-CN"/>
                <w14:textFill>
                  <w14:solidFill>
                    <w14:schemeClr w14:val="tx1"/>
                  </w14:solidFill>
                </w14:textFill>
              </w:rPr>
              <w:t>COD、BOD</w:t>
            </w:r>
            <w:r>
              <w:rPr>
                <w:rFonts w:hint="eastAsia" w:ascii="Times New Roman" w:hAnsi="Times New Roman" w:eastAsia="宋体" w:cs="Times New Roman"/>
                <w:b w:val="0"/>
                <w:bCs/>
                <w:color w:val="000000" w:themeColor="text1"/>
                <w:spacing w:val="0"/>
                <w:kern w:val="21"/>
                <w:position w:val="0"/>
                <w:sz w:val="24"/>
                <w:vertAlign w:val="subscript"/>
                <w:lang w:val="en-US" w:eastAsia="zh-CN"/>
                <w14:textFill>
                  <w14:solidFill>
                    <w14:schemeClr w14:val="tx1"/>
                  </w14:solidFill>
                </w14:textFill>
              </w:rPr>
              <w:t>5</w:t>
            </w:r>
            <w:r>
              <w:rPr>
                <w:rFonts w:hint="eastAsia" w:ascii="Times New Roman" w:hAnsi="Times New Roman" w:eastAsia="宋体" w:cs="Times New Roman"/>
                <w:b w:val="0"/>
                <w:bCs/>
                <w:color w:val="000000" w:themeColor="text1"/>
                <w:spacing w:val="0"/>
                <w:kern w:val="21"/>
                <w:position w:val="0"/>
                <w:sz w:val="24"/>
                <w:lang w:val="en-US" w:eastAsia="zh-CN"/>
                <w14:textFill>
                  <w14:solidFill>
                    <w14:schemeClr w14:val="tx1"/>
                  </w14:solidFill>
                </w14:textFill>
              </w:rPr>
              <w:t>、SS、</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氨氮、TP</w:t>
            </w:r>
            <w:r>
              <w:rPr>
                <w:rFonts w:hint="eastAsia" w:ascii="Times New Roman" w:hAnsi="Times New Roman" w:eastAsia="宋体" w:cs="Times New Roman"/>
                <w:b w:val="0"/>
                <w:bCs w:val="0"/>
                <w:color w:val="000000" w:themeColor="text1"/>
                <w:spacing w:val="0"/>
                <w:kern w:val="21"/>
                <w:position w:val="0"/>
                <w:sz w:val="24"/>
                <w:szCs w:val="22"/>
                <w:lang w:val="en-US" w:eastAsia="zh-CN"/>
                <w14:textFill>
                  <w14:solidFill>
                    <w14:schemeClr w14:val="tx1"/>
                  </w14:solidFill>
                </w14:textFill>
              </w:rPr>
              <w:t>指标</w:t>
            </w:r>
            <w:r>
              <w:rPr>
                <w:rFonts w:ascii="Times New Roman" w:hAnsi="Times New Roman" w:eastAsia="宋体" w:cs="Times New Roman"/>
                <w:b w:val="0"/>
                <w:bCs w:val="0"/>
                <w:color w:val="000000" w:themeColor="text1"/>
                <w:spacing w:val="0"/>
                <w:kern w:val="21"/>
                <w:position w:val="0"/>
                <w:sz w:val="24"/>
                <w14:textFill>
                  <w14:solidFill>
                    <w14:schemeClr w14:val="tx1"/>
                  </w14:solidFill>
                </w14:textFill>
              </w:rPr>
              <w:t>执</w:t>
            </w:r>
            <w:r>
              <w:rPr>
                <w:rFonts w:ascii="Times New Roman" w:hAnsi="Times New Roman" w:eastAsia="宋体" w:cs="Times New Roman"/>
                <w:bCs/>
                <w:color w:val="000000" w:themeColor="text1"/>
                <w:spacing w:val="0"/>
                <w:kern w:val="21"/>
                <w:position w:val="0"/>
                <w:sz w:val="24"/>
                <w14:textFill>
                  <w14:solidFill>
                    <w14:schemeClr w14:val="tx1"/>
                  </w14:solidFill>
                </w14:textFill>
              </w:rPr>
              <w:t>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园区污水处理厂设计进水水质</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LAS、石油类执行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《污水综合排放标准》（GB8978-1996）中三级标准</w:t>
            </w:r>
            <w:r>
              <w:rPr>
                <w:rFonts w:ascii="Times New Roman" w:hAnsi="Times New Roman" w:eastAsia="宋体" w:cs="Times New Roman"/>
                <w:bCs/>
                <w:color w:val="000000" w:themeColor="text1"/>
                <w:spacing w:val="0"/>
                <w:kern w:val="21"/>
                <w:position w:val="0"/>
                <w:sz w:val="24"/>
                <w14:textFill>
                  <w14:solidFill>
                    <w14:schemeClr w14:val="tx1"/>
                  </w14:solidFill>
                </w14:textFill>
              </w:rPr>
              <w:t>。</w:t>
            </w:r>
          </w:p>
          <w:p>
            <w:pPr>
              <w:pageBreakBefore w:val="0"/>
              <w:numPr>
                <w:ilvl w:val="0"/>
                <w:numId w:val="29"/>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snapToGrid w:val="0"/>
                <w:color w:val="000000" w:themeColor="text1"/>
                <w:spacing w:val="0"/>
                <w:kern w:val="21"/>
                <w:position w:val="0"/>
                <w:szCs w:val="21"/>
                <w:lang w:val="en-US" w:eastAsia="zh-CN"/>
                <w14:textFill>
                  <w14:solidFill>
                    <w14:schemeClr w14:val="tx1"/>
                  </w14:solidFill>
                </w14:textFill>
              </w:rPr>
              <w:t>远期</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废水排放标准 单位：pH无量纲，其余mg/L</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7"/>
              <w:gridCol w:w="1852"/>
              <w:gridCol w:w="1918"/>
              <w:gridCol w:w="37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序号</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污染因子</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标准值</w:t>
                  </w:r>
                </w:p>
              </w:tc>
              <w:tc>
                <w:tcPr>
                  <w:tcW w:w="2243"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pH</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6~9</w:t>
                  </w:r>
                </w:p>
              </w:tc>
              <w:tc>
                <w:tcPr>
                  <w:tcW w:w="2243"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园区污水处理厂设计进水水质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COD</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BOD</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5</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300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SS</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400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NH</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-N</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40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110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TP</w:t>
                  </w:r>
                </w:p>
              </w:tc>
              <w:tc>
                <w:tcPr>
                  <w:tcW w:w="114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7</w:t>
                  </w:r>
                </w:p>
              </w:tc>
              <w:tc>
                <w:tcPr>
                  <w:tcW w:w="1852" w:type="dxa"/>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kern w:val="0"/>
                      <w:sz w:val="21"/>
                      <w:szCs w:val="21"/>
                    </w:rPr>
                    <w:t>LAS</w:t>
                  </w:r>
                </w:p>
              </w:tc>
              <w:tc>
                <w:tcPr>
                  <w:tcW w:w="1918" w:type="dxa"/>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highlight w:val="none"/>
                      <w:lang w:val="en-US" w:eastAsia="zh-CN"/>
                      <w14:textFill>
                        <w14:solidFill>
                          <w14:schemeClr w14:val="tx1"/>
                        </w14:solidFill>
                      </w14:textFill>
                    </w:rPr>
                    <w:t>20</w:t>
                  </w:r>
                </w:p>
              </w:tc>
              <w:tc>
                <w:tcPr>
                  <w:tcW w:w="2243"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《污水综合排放标准》（</w:t>
                  </w:r>
                  <w:r>
                    <w:rPr>
                      <w:rFonts w:hint="default" w:ascii="Times New Roman" w:hAnsi="Times New Roman" w:eastAsia="Times New Roman" w:cs="Times New Roman"/>
                      <w:color w:val="000000" w:themeColor="text1"/>
                      <w:spacing w:val="0"/>
                      <w:kern w:val="21"/>
                      <w:position w:val="0"/>
                      <w:sz w:val="21"/>
                      <w:szCs w:val="21"/>
                      <w:highlight w:val="none"/>
                      <w14:textFill>
                        <w14:solidFill>
                          <w14:schemeClr w14:val="tx1"/>
                        </w14:solidFill>
                      </w14:textFill>
                    </w:rPr>
                    <w:t>GB 8978-1996</w:t>
                  </w: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）三级标准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5" w:type="pct"/>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8</w:t>
                  </w:r>
                </w:p>
              </w:tc>
              <w:tc>
                <w:tcPr>
                  <w:tcW w:w="1852" w:type="dxa"/>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kern w:val="0"/>
                      <w:sz w:val="21"/>
                      <w:szCs w:val="21"/>
                    </w:rPr>
                    <w:t>石油类</w:t>
                  </w:r>
                </w:p>
              </w:tc>
              <w:tc>
                <w:tcPr>
                  <w:tcW w:w="1918" w:type="dxa"/>
                  <w:vAlign w:val="center"/>
                </w:tcPr>
                <w:p>
                  <w:pPr>
                    <w:keepNext w:val="0"/>
                    <w:keepLines w:val="0"/>
                    <w:pageBreakBefore w:val="0"/>
                    <w:widowControl w:val="0"/>
                    <w:kinsoku/>
                    <w:wordWrap/>
                    <w:overflowPunct/>
                    <w:topLinePunct w:val="0"/>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highlight w:val="none"/>
                      <w:lang w:val="en-US" w:eastAsia="zh-CN"/>
                      <w14:textFill>
                        <w14:solidFill>
                          <w14:schemeClr w14:val="tx1"/>
                        </w14:solidFill>
                      </w14:textFill>
                    </w:rPr>
                    <w:t>30</w:t>
                  </w:r>
                </w:p>
              </w:tc>
              <w:tc>
                <w:tcPr>
                  <w:tcW w:w="2243"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numPr>
                <w:ilvl w:val="0"/>
                <w:numId w:val="32"/>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废气</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施工期：</w:t>
            </w:r>
            <w:r>
              <w:rPr>
                <w:rFonts w:ascii="Times New Roman" w:hAnsi="Times New Roman" w:eastAsia="宋体" w:cs="Times New Roman"/>
                <w:color w:val="000000" w:themeColor="text1"/>
                <w:spacing w:val="0"/>
                <w:kern w:val="21"/>
                <w:position w:val="0"/>
                <w:sz w:val="24"/>
                <w14:textFill>
                  <w14:solidFill>
                    <w14:schemeClr w14:val="tx1"/>
                  </w14:solidFill>
                </w14:textFill>
              </w:rPr>
              <w:t>施工期扬尘执行《四川省施工场地扬尘排放标准》（DB</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51/2682-2020）表1中有关限值标准。</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val="zh-CN"/>
                <w14:textFill>
                  <w14:solidFill>
                    <w14:schemeClr w14:val="tx1"/>
                  </w14:solidFill>
                </w14:textFill>
              </w:rPr>
              <w:t>四川省施工场地扬尘排放限值 单位：μg/m³</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06"/>
              <w:gridCol w:w="901"/>
              <w:gridCol w:w="3489"/>
              <w:gridCol w:w="15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3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w:t>
                  </w:r>
                </w:p>
              </w:tc>
              <w:tc>
                <w:tcPr>
                  <w:tcW w:w="53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区域</w:t>
                  </w:r>
                </w:p>
              </w:tc>
              <w:tc>
                <w:tcPr>
                  <w:tcW w:w="208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施工阶段</w:t>
                  </w:r>
                </w:p>
              </w:tc>
              <w:tc>
                <w:tcPr>
                  <w:tcW w:w="94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最高排放限值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 w:hRule="atLeast"/>
                <w:jc w:val="center"/>
              </w:trPr>
              <w:tc>
                <w:tcPr>
                  <w:tcW w:w="1436"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总悬浮颗粒物（TSP）</w:t>
                  </w:r>
                </w:p>
              </w:tc>
              <w:tc>
                <w:tcPr>
                  <w:tcW w:w="538"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广元市</w:t>
                  </w:r>
                </w:p>
              </w:tc>
              <w:tc>
                <w:tcPr>
                  <w:tcW w:w="208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拆除工程/土方开挖/土方回填阶段</w:t>
                  </w:r>
                </w:p>
              </w:tc>
              <w:tc>
                <w:tcPr>
                  <w:tcW w:w="94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3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538"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208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其他工程阶段</w:t>
                  </w:r>
                </w:p>
              </w:tc>
              <w:tc>
                <w:tcPr>
                  <w:tcW w:w="942"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250</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运营期：</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本项目运营期排放的大气污染物为颗粒物、VOCs、二氧化硫、氮氧化物。其中VOCs有组织排放执行《四川省固定污染源大气挥发性有机物排放标准》（</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DB51/2377-2017</w:t>
            </w:r>
            <w:r>
              <w:rPr>
                <w:rFonts w:ascii="Times New Roman" w:hAnsi="Times New Roman" w:eastAsia="宋体" w:cs="Times New Roman"/>
                <w:color w:val="000000" w:themeColor="text1"/>
                <w:spacing w:val="0"/>
                <w:kern w:val="21"/>
                <w:position w:val="0"/>
                <w:sz w:val="24"/>
                <w14:textFill>
                  <w14:solidFill>
                    <w14:schemeClr w14:val="tx1"/>
                  </w14:solidFill>
                </w14:textFill>
              </w:rPr>
              <w:t>）中表3“家具制造”第二阶段排气筒挥发性有机物排放限值；颗粒物有组织排放参照执行《大气污染物综合排放标准》（GB16297-1996）表2中标准限值</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本项目大气污染物有组织排放标准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00"/>
              <w:gridCol w:w="1551"/>
              <w:gridCol w:w="1501"/>
              <w:gridCol w:w="1201"/>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序号</w:t>
                  </w:r>
                </w:p>
              </w:tc>
              <w:tc>
                <w:tcPr>
                  <w:tcW w:w="5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w:t>
                  </w:r>
                </w:p>
              </w:tc>
              <w:tc>
                <w:tcPr>
                  <w:tcW w:w="92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最高允许排放浓度（mg/m</w:t>
                  </w:r>
                  <w:r>
                    <w:rPr>
                      <w:rFonts w:ascii="Times New Roman" w:hAnsi="Times New Roman" w:eastAsia="宋体" w:cs="Times New Roman"/>
                      <w:b/>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w:t>
                  </w:r>
                </w:p>
              </w:tc>
              <w:tc>
                <w:tcPr>
                  <w:tcW w:w="8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最高允许排放速率（kg/h）</w:t>
                  </w:r>
                </w:p>
              </w:tc>
              <w:tc>
                <w:tcPr>
                  <w:tcW w:w="71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监测位置</w:t>
                  </w:r>
                </w:p>
              </w:tc>
              <w:tc>
                <w:tcPr>
                  <w:tcW w:w="159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97"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92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60</w:t>
                  </w:r>
                </w:p>
              </w:tc>
              <w:tc>
                <w:tcPr>
                  <w:tcW w:w="89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6.8</w:t>
                  </w:r>
                </w:p>
              </w:tc>
              <w:tc>
                <w:tcPr>
                  <w:tcW w:w="716"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车间或生产设施排气筒（H=20m）</w:t>
                  </w:r>
                </w:p>
              </w:tc>
              <w:tc>
                <w:tcPr>
                  <w:tcW w:w="159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DB51/2377-2017</w:t>
                  </w:r>
                  <w:r>
                    <w:rPr>
                      <w:rFonts w:ascii="Times New Roman" w:hAnsi="Times New Roman" w:eastAsia="宋体" w:cs="Times New Roman"/>
                      <w:color w:val="000000" w:themeColor="text1"/>
                      <w:spacing w:val="0"/>
                      <w:kern w:val="21"/>
                      <w:position w:val="0"/>
                      <w:szCs w:val="21"/>
                      <w14:textFill>
                        <w14:solidFill>
                          <w14:schemeClr w14:val="tx1"/>
                        </w14:solidFill>
                      </w14:textFill>
                    </w:rPr>
                    <w:t>）表3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5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92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120</w:t>
                  </w:r>
                </w:p>
              </w:tc>
              <w:tc>
                <w:tcPr>
                  <w:tcW w:w="89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w:t>
                  </w:r>
                </w:p>
              </w:tc>
              <w:tc>
                <w:tcPr>
                  <w:tcW w:w="716"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59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《大气污染物综合排放标准》（GB16297-1996）表2</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VOCs无组织排放执行《四川省固定污染源大气挥发性有机物排放标准》（DB51/2377-2017）表5中无组织排放监控浓度限值</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；颗粒物无组织排放参照执行《大气污染物综合排放标准》（GB16297-1996）</w:t>
            </w:r>
            <w:r>
              <w:rPr>
                <w:rFonts w:ascii="Times New Roman" w:hAnsi="Times New Roman" w:eastAsia="宋体" w:cs="Times New Roman"/>
                <w:color w:val="000000" w:themeColor="text1"/>
                <w:spacing w:val="0"/>
                <w:kern w:val="21"/>
                <w:position w:val="0"/>
                <w:sz w:val="24"/>
                <w14:textFill>
                  <w14:solidFill>
                    <w14:schemeClr w14:val="tx1"/>
                  </w14:solidFill>
                </w14:textFill>
              </w:rPr>
              <w:t>表2中标准限值。</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本项目大气污染物无组织排放标准 单位：</w:t>
            </w:r>
            <w:r>
              <w:rPr>
                <w:rFonts w:ascii="Times New Roman" w:hAnsi="Times New Roman" w:eastAsia="宋体" w:cs="Times New Roman"/>
                <w:b/>
                <w:color w:val="000000" w:themeColor="text1"/>
                <w:spacing w:val="0"/>
                <w:kern w:val="21"/>
                <w:position w:val="0"/>
                <w:szCs w:val="21"/>
                <w14:textFill>
                  <w14:solidFill>
                    <w14:schemeClr w14:val="tx1"/>
                  </w14:solidFill>
                </w14:textFill>
              </w:rPr>
              <w:t>mg/m</w:t>
            </w:r>
            <w:r>
              <w:rPr>
                <w:rFonts w:ascii="Times New Roman" w:hAnsi="Times New Roman" w:eastAsia="宋体" w:cs="Times New Roman"/>
                <w:b/>
                <w:color w:val="000000" w:themeColor="text1"/>
                <w:spacing w:val="0"/>
                <w:kern w:val="21"/>
                <w:position w:val="0"/>
                <w:szCs w:val="21"/>
                <w:vertAlign w:val="superscript"/>
                <w14:textFill>
                  <w14:solidFill>
                    <w14:schemeClr w14:val="tx1"/>
                  </w14:solidFill>
                </w14:textFill>
              </w:rPr>
              <w:t>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01"/>
              <w:gridCol w:w="1331"/>
              <w:gridCol w:w="1315"/>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4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序号</w:t>
                  </w:r>
                </w:p>
              </w:tc>
              <w:tc>
                <w:tcPr>
                  <w:tcW w:w="71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w:t>
                  </w:r>
                </w:p>
              </w:tc>
              <w:tc>
                <w:tcPr>
                  <w:tcW w:w="79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浓度</w:t>
                  </w:r>
                </w:p>
              </w:tc>
              <w:tc>
                <w:tcPr>
                  <w:tcW w:w="78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监测位置</w:t>
                  </w:r>
                </w:p>
              </w:tc>
              <w:tc>
                <w:tcPr>
                  <w:tcW w:w="225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71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79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785"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周界外最高浓度点</w:t>
                  </w:r>
                </w:p>
              </w:tc>
              <w:tc>
                <w:tcPr>
                  <w:tcW w:w="225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717"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79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785"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5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《四川省固定污染源大气挥发性有机物排放标准》（DB51/2377-2017）表5</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厂区内VOCs无组织排放参照执行《挥发性有机物无组织排放控制标准》（GB 37822-2019）中附录A中规定限值要求。</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厂区内VOCs无组织排放限值 单位：mg/m</w:t>
            </w:r>
            <w:r>
              <w:rPr>
                <w:rFonts w:ascii="Times New Roman" w:hAnsi="Times New Roman" w:eastAsia="宋体" w:cs="Times New Roman"/>
                <w:b/>
                <w:color w:val="000000" w:themeColor="text1"/>
                <w:spacing w:val="0"/>
                <w:kern w:val="21"/>
                <w:position w:val="0"/>
                <w:szCs w:val="21"/>
                <w:vertAlign w:val="superscript"/>
                <w14:textFill>
                  <w14:solidFill>
                    <w14:schemeClr w14:val="tx1"/>
                  </w14:solidFill>
                </w14:textFill>
              </w:rPr>
              <w:t>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4"/>
              <w:gridCol w:w="1774"/>
              <w:gridCol w:w="2705"/>
              <w:gridCol w:w="23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95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t>污染物项目</w:t>
                  </w:r>
                </w:p>
              </w:tc>
              <w:tc>
                <w:tcPr>
                  <w:tcW w:w="105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t>特别排放</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限值</w:t>
                  </w:r>
                </w:p>
              </w:tc>
              <w:tc>
                <w:tcPr>
                  <w:tcW w:w="161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t>限值含义</w:t>
                  </w:r>
                </w:p>
              </w:tc>
              <w:tc>
                <w:tcPr>
                  <w:tcW w:w="1373"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lang w:val="zh-CN"/>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 w:hRule="atLeast"/>
                <w:jc w:val="center"/>
              </w:trPr>
              <w:tc>
                <w:tcPr>
                  <w:tcW w:w="952"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t>VOCs</w:t>
                  </w:r>
                </w:p>
              </w:tc>
              <w:tc>
                <w:tcPr>
                  <w:tcW w:w="105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t>6</w:t>
                  </w:r>
                </w:p>
              </w:tc>
              <w:tc>
                <w:tcPr>
                  <w:tcW w:w="161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t>监控点处1h平均浓度值</w:t>
                  </w:r>
                </w:p>
              </w:tc>
              <w:tc>
                <w:tcPr>
                  <w:tcW w:w="1373"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t>在厂房外设置监控点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 w:hRule="atLeast"/>
                <w:jc w:val="center"/>
              </w:trPr>
              <w:tc>
                <w:tcPr>
                  <w:tcW w:w="952"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p>
              </w:tc>
              <w:tc>
                <w:tcPr>
                  <w:tcW w:w="105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t>20</w:t>
                  </w:r>
                </w:p>
              </w:tc>
              <w:tc>
                <w:tcPr>
                  <w:tcW w:w="161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t>监控点处任意1次浓度值</w:t>
                  </w:r>
                </w:p>
              </w:tc>
              <w:tc>
                <w:tcPr>
                  <w:tcW w:w="1373"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val="zh-CN"/>
                      <w14:textFill>
                        <w14:solidFill>
                          <w14:schemeClr w14:val="tx1"/>
                        </w14:solidFill>
                      </w14:textFill>
                    </w:rPr>
                  </w:pPr>
                </w:p>
              </w:tc>
            </w:tr>
          </w:tbl>
          <w:p>
            <w:pPr>
              <w:pageBreakBefore w:val="0"/>
              <w:numPr>
                <w:ilvl w:val="0"/>
                <w:numId w:val="32"/>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噪声</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施工期噪声执行《建筑施工场界环境噪声排放标准》（GB12523-2011）中的相关限值，详见下表。</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14:textFill>
                  <w14:solidFill>
                    <w14:schemeClr w14:val="tx1"/>
                  </w14:solidFill>
                </w14:textFill>
              </w:rPr>
            </w:pPr>
            <w:r>
              <w:rPr>
                <w:rFonts w:ascii="Times New Roman" w:hAnsi="Times New Roman" w:eastAsia="宋体" w:cs="Times New Roman"/>
                <w:b/>
                <w:color w:val="000000" w:themeColor="text1"/>
                <w:spacing w:val="0"/>
                <w:kern w:val="21"/>
                <w:position w:val="0"/>
                <w14:textFill>
                  <w14:solidFill>
                    <w14:schemeClr w14:val="tx1"/>
                  </w14:solidFill>
                </w14:textFill>
              </w:rPr>
              <w:t>《建筑施工场界环境噪声排放标准》（GB12523-2011）单位：dB（A）</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8"/>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昼间</w:t>
                  </w:r>
                </w:p>
              </w:tc>
              <w:tc>
                <w:tcPr>
                  <w:tcW w:w="254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254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pageBreakBefore w:val="0"/>
                    <w:kinsoku/>
                    <w:overflowPunct/>
                    <w:autoSpaceDE/>
                    <w:autoSpaceDN/>
                    <w:bidi w:val="0"/>
                    <w:snapToGrid w:val="0"/>
                    <w:spacing w:before="62" w:beforeLines="20" w:after="62" w:afterLines="20"/>
                    <w:jc w:val="left"/>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夜间噪声最大声级超过限制幅度不得高于15dB（A）</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运营期执行《工业企业厂界环境噪声排放标准》（GB12348-2008）中3类标准，详见下表。</w:t>
            </w:r>
          </w:p>
          <w:p>
            <w:pPr>
              <w:pageBreakBefore w:val="0"/>
              <w:numPr>
                <w:ilvl w:val="0"/>
                <w:numId w:val="29"/>
              </w:numPr>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14:textFill>
                  <w14:solidFill>
                    <w14:schemeClr w14:val="tx1"/>
                  </w14:solidFill>
                </w14:textFill>
              </w:rPr>
            </w:pPr>
            <w:r>
              <w:rPr>
                <w:rFonts w:ascii="Times New Roman" w:hAnsi="Times New Roman" w:eastAsia="宋体" w:cs="Times New Roman"/>
                <w:b/>
                <w:color w:val="000000" w:themeColor="text1"/>
                <w:spacing w:val="0"/>
                <w:kern w:val="21"/>
                <w:position w:val="0"/>
                <w14:textFill>
                  <w14:solidFill>
                    <w14:schemeClr w14:val="tx1"/>
                  </w14:solidFill>
                </w14:textFill>
              </w:rPr>
              <w:t>《工业企业厂界</w:t>
            </w:r>
            <w:r>
              <w:rPr>
                <w:rFonts w:ascii="Times New Roman" w:hAnsi="Times New Roman" w:eastAsia="宋体" w:cs="Times New Roman"/>
                <w:b/>
                <w:bCs/>
                <w:color w:val="000000" w:themeColor="text1"/>
                <w:spacing w:val="0"/>
                <w:kern w:val="21"/>
                <w:position w:val="0"/>
                <w14:textFill>
                  <w14:solidFill>
                    <w14:schemeClr w14:val="tx1"/>
                  </w14:solidFill>
                </w14:textFill>
              </w:rPr>
              <w:t>环境</w:t>
            </w:r>
            <w:r>
              <w:rPr>
                <w:rFonts w:ascii="Times New Roman" w:hAnsi="Times New Roman" w:eastAsia="宋体" w:cs="Times New Roman"/>
                <w:b/>
                <w:color w:val="000000" w:themeColor="text1"/>
                <w:spacing w:val="0"/>
                <w:kern w:val="21"/>
                <w:position w:val="0"/>
                <w14:textFill>
                  <w14:solidFill>
                    <w14:schemeClr w14:val="tx1"/>
                  </w14:solidFill>
                </w14:textFill>
              </w:rPr>
              <w:t>噪声排放标准》（GB12348-2008）单位：dB（A）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2587"/>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58"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声环境功能区3类</w:t>
                  </w:r>
                </w:p>
              </w:tc>
              <w:tc>
                <w:tcPr>
                  <w:tcW w:w="154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昼间</w:t>
                  </w:r>
                </w:p>
              </w:tc>
              <w:tc>
                <w:tcPr>
                  <w:tcW w:w="15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58"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54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w:t>
                  </w:r>
                </w:p>
              </w:tc>
              <w:tc>
                <w:tcPr>
                  <w:tcW w:w="159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3"/>
                  <w:vAlign w:val="center"/>
                </w:tcPr>
                <w:p>
                  <w:pPr>
                    <w:pageBreakBefore w:val="0"/>
                    <w:kinsoku/>
                    <w:overflowPunct/>
                    <w:autoSpaceDE/>
                    <w:autoSpaceDN/>
                    <w:bidi w:val="0"/>
                    <w:snapToGrid w:val="0"/>
                    <w:spacing w:before="62" w:beforeLines="20" w:after="62" w:afterLines="20"/>
                    <w:jc w:val="left"/>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夜间频发噪声的最大声级超过限值的幅度不得高于10dB（A）；</w:t>
                  </w:r>
                </w:p>
                <w:p>
                  <w:pPr>
                    <w:pageBreakBefore w:val="0"/>
                    <w:kinsoku/>
                    <w:overflowPunct/>
                    <w:autoSpaceDE/>
                    <w:autoSpaceDN/>
                    <w:bidi w:val="0"/>
                    <w:snapToGrid w:val="0"/>
                    <w:spacing w:before="62" w:beforeLines="20" w:after="62" w:afterLines="20"/>
                    <w:jc w:val="left"/>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夜间偶发噪声的最大声级超过限值的幅度不得高于15dB（A）。</w:t>
                  </w:r>
                </w:p>
              </w:tc>
            </w:tr>
          </w:tbl>
          <w:p>
            <w:pPr>
              <w:pageBreakBefore w:val="0"/>
              <w:numPr>
                <w:ilvl w:val="0"/>
                <w:numId w:val="32"/>
              </w:numPr>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固体废物</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一般工业固废暂存执行“防渗漏、防雨淋、防扬尘”的相关环境保护要求；危险废物在厂内临时贮存执行《危险废物贮存污染控制标准》（GB18597-2023）相关规定。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2" w:hRule="atLeast"/>
          <w:jc w:val="center"/>
        </w:trPr>
        <w:tc>
          <w:tcPr>
            <w:tcW w:w="251" w:type="pct"/>
            <w:vAlign w:val="center"/>
          </w:tcPr>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总量</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控制</w:t>
            </w:r>
          </w:p>
          <w:p>
            <w:pPr>
              <w:pageBreakBefore w:val="0"/>
              <w:kinsoku/>
              <w:overflowPunct/>
              <w:autoSpaceDE/>
              <w:autoSpaceDN/>
              <w:bidi w:val="0"/>
              <w:adjustRightInd w:val="0"/>
              <w:snapToGrid w:val="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指标</w:t>
            </w:r>
          </w:p>
        </w:tc>
        <w:tc>
          <w:tcPr>
            <w:tcW w:w="4748" w:type="pct"/>
          </w:tcPr>
          <w:p>
            <w:pPr>
              <w:pageBreakBefore w:val="0"/>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一、废水污染物所需替代总量指标</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val="de-DE"/>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val="de-DE" w:eastAsia="de-DE"/>
                <w14:textFill>
                  <w14:solidFill>
                    <w14:schemeClr w14:val="tx1"/>
                  </w14:solidFill>
                </w14:textFill>
              </w:rPr>
              <w:t>按照《关于贯彻落实</w:t>
            </w:r>
            <w:r>
              <w:rPr>
                <w:rFonts w:ascii="Times New Roman" w:hAnsi="Times New Roman" w:eastAsia="宋体" w:cs="Times New Roman"/>
                <w:color w:val="000000" w:themeColor="text1"/>
                <w:spacing w:val="0"/>
                <w:kern w:val="21"/>
                <w:position w:val="0"/>
                <w:sz w:val="24"/>
                <w:szCs w:val="22"/>
                <w:lang w:val="de-D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val="de-DE" w:eastAsia="de-DE"/>
                <w14:textFill>
                  <w14:solidFill>
                    <w14:schemeClr w14:val="tx1"/>
                  </w14:solidFill>
                </w14:textFill>
              </w:rPr>
              <w:t>建设项目主要污染物排放总量指标审核及管理暂行办法</w:t>
            </w:r>
            <w:r>
              <w:rPr>
                <w:rFonts w:ascii="Times New Roman" w:hAnsi="Times New Roman" w:eastAsia="宋体" w:cs="Times New Roman"/>
                <w:color w:val="000000" w:themeColor="text1"/>
                <w:spacing w:val="0"/>
                <w:kern w:val="21"/>
                <w:position w:val="0"/>
                <w:sz w:val="24"/>
                <w:szCs w:val="22"/>
                <w:lang w:val="de-D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val="de-DE" w:eastAsia="de-DE"/>
                <w14:textFill>
                  <w14:solidFill>
                    <w14:schemeClr w14:val="tx1"/>
                  </w14:solidFill>
                </w14:textFill>
              </w:rPr>
              <w:t>的通知</w:t>
            </w:r>
            <w:r>
              <w:rPr>
                <w:rFonts w:ascii="Times New Roman" w:hAnsi="Times New Roman" w:eastAsia="宋体" w:cs="Times New Roman"/>
                <w:color w:val="000000" w:themeColor="text1"/>
                <w:spacing w:val="0"/>
                <w:kern w:val="21"/>
                <w:position w:val="0"/>
                <w:sz w:val="24"/>
                <w:szCs w:val="22"/>
                <w:lang w:val="de-D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val="de-DE" w:eastAsia="de-DE"/>
                <w14:textFill>
                  <w14:solidFill>
                    <w14:schemeClr w14:val="tx1"/>
                  </w14:solidFill>
                </w14:textFill>
              </w:rPr>
              <w:t>（川环办发〔2015〕333号）文件要求，</w:t>
            </w:r>
            <w:r>
              <w:rPr>
                <w:rFonts w:ascii="Times New Roman" w:hAnsi="Times New Roman" w:eastAsia="宋体" w:cs="Times New Roman"/>
                <w:color w:val="000000" w:themeColor="text1"/>
                <w:spacing w:val="0"/>
                <w:kern w:val="21"/>
                <w:position w:val="0"/>
                <w:sz w:val="24"/>
                <w:szCs w:val="22"/>
                <w:lang w:val="de-DE"/>
                <w14:textFill>
                  <w14:solidFill>
                    <w14:schemeClr w14:val="tx1"/>
                  </w14:solidFill>
                </w14:textFill>
              </w:rPr>
              <w:t>结合项目编制情况，</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本项目废水排放量以企业预测排放量核定。</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生产废水排放量为1.657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生活污水排放量为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12.75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/d，废水排放标准执行</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园区污水处理厂设计进水水质</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，本项目废水排放量以企业预测排放量核定。</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根据园区规划环评，项目所在园</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区拟新建的</w:t>
            </w:r>
            <w:r>
              <w:rPr>
                <w:rFonts w:hint="eastAsia" w:ascii="Times New Roman" w:hAnsi="Times New Roman" w:cs="Times New Roman"/>
                <w:color w:val="auto"/>
                <w:kern w:val="2"/>
                <w:sz w:val="24"/>
                <w:szCs w:val="24"/>
                <w:highlight w:val="none"/>
                <w:lang w:val="en-US" w:eastAsia="zh-CN" w:bidi="ar-SA"/>
              </w:rPr>
              <w:t>大坝</w:t>
            </w:r>
            <w:r>
              <w:rPr>
                <w:rFonts w:hint="default" w:ascii="Times New Roman" w:hAnsi="Times New Roman" w:eastAsia="宋体" w:cs="Times New Roman"/>
                <w:color w:val="auto"/>
                <w:kern w:val="2"/>
                <w:sz w:val="24"/>
                <w:szCs w:val="24"/>
                <w:highlight w:val="none"/>
                <w:lang w:val="en-US" w:eastAsia="zh-CN" w:bidi="ar-SA"/>
              </w:rPr>
              <w:t>污水处理厂</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尚未投</w:t>
            </w:r>
            <w:r>
              <w:rPr>
                <w:rFonts w:ascii="Times New Roman" w:hAnsi="Times New Roman" w:eastAsia="宋体" w:cs="Times New Roman"/>
                <w:color w:val="000000" w:themeColor="text1"/>
                <w:spacing w:val="0"/>
                <w:kern w:val="21"/>
                <w:position w:val="0"/>
                <w:sz w:val="24"/>
                <w14:textFill>
                  <w14:solidFill>
                    <w14:schemeClr w14:val="tx1"/>
                  </w14:solidFill>
                </w14:textFill>
              </w:rPr>
              <w:t>运，本项目污水排放分近期、</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4"/>
                <w14:textFill>
                  <w14:solidFill>
                    <w14:schemeClr w14:val="tx1"/>
                  </w14:solidFill>
                </w14:textFill>
              </w:rPr>
              <w:t>方案。</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近期排水方案：</w:t>
            </w:r>
            <w:r>
              <w:rPr>
                <w:rFonts w:ascii="Times New Roman" w:hAnsi="Times New Roman" w:eastAsia="宋体" w:cs="Times New Roman"/>
                <w:color w:val="000000" w:themeColor="text1"/>
                <w:spacing w:val="0"/>
                <w:kern w:val="21"/>
                <w:position w:val="0"/>
                <w:sz w:val="24"/>
                <w14:textFill>
                  <w14:solidFill>
                    <w14:schemeClr w14:val="tx1"/>
                  </w14:solidFill>
                </w14:textFill>
              </w:rPr>
              <w:t>废水经园区污水管网进入泉坝污水处理厂处理达到《城镇污水处理厂污染物排放标准》（GB18918-2002）一级A标后，尾水排入南河。</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lang w:val="de-DE"/>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eastAsia="zh-CN"/>
                <w14:textFill>
                  <w14:solidFill>
                    <w14:schemeClr w14:val="tx1"/>
                  </w14:solidFill>
                </w14:textFill>
              </w:rPr>
              <w:t>远期</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排放方案：</w:t>
            </w:r>
            <w:r>
              <w:rPr>
                <w:rFonts w:ascii="Times New Roman" w:hAnsi="Times New Roman" w:eastAsia="宋体" w:cs="Times New Roman"/>
                <w:color w:val="000000" w:themeColor="text1"/>
                <w:spacing w:val="0"/>
                <w:kern w:val="21"/>
                <w:position w:val="0"/>
                <w:sz w:val="24"/>
                <w14:textFill>
                  <w14:solidFill>
                    <w14:schemeClr w14:val="tx1"/>
                  </w14:solidFill>
                </w14:textFill>
              </w:rPr>
              <w:t>废水通过管网进入园区拟新建的园区污水处理厂处理，达到出水标准后尾水排入沙河，最终汇入长滩河。新建污水处理厂出水执行《四川省岷江、沱江流域水污染物排放标准》（DB51/2311</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2016）中“城镇污水处理厂”污染物浓度排放限值</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lang w:val="de-DE"/>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val="de-DE"/>
                <w14:textFill>
                  <w14:solidFill>
                    <w14:schemeClr w14:val="tx1"/>
                  </w14:solidFill>
                </w14:textFill>
              </w:rPr>
              <w:t>1</w:t>
            </w:r>
            <w:r>
              <w:rPr>
                <w:rFonts w:ascii="Times New Roman" w:hAnsi="Times New Roman" w:eastAsia="宋体" w:cs="Times New Roman"/>
                <w:b/>
                <w:bCs/>
                <w:color w:val="000000" w:themeColor="text1"/>
                <w:spacing w:val="0"/>
                <w:kern w:val="21"/>
                <w:position w:val="0"/>
                <w:sz w:val="24"/>
                <w14:textFill>
                  <w14:solidFill>
                    <w14:schemeClr w14:val="tx1"/>
                  </w14:solidFill>
                </w14:textFill>
              </w:rPr>
              <w:t>、企业排口</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lang w:val="de-DE"/>
                <w14:textFill>
                  <w14:solidFill>
                    <w14:schemeClr w14:val="tx1"/>
                  </w14:solidFill>
                </w14:textFill>
              </w:rPr>
            </w:pP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COD：</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4754.31</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m³/a×</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301.98</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mg/L×10</w:t>
            </w:r>
            <w:r>
              <w:rPr>
                <w:rFonts w:ascii="Times New Roman" w:hAnsi="Times New Roman" w:eastAsia="宋体" w:cs="Times New Roman"/>
                <w:color w:val="000000" w:themeColor="text1"/>
                <w:spacing w:val="0"/>
                <w:kern w:val="21"/>
                <w:position w:val="0"/>
                <w:sz w:val="24"/>
                <w:vertAlign w:val="superscript"/>
                <w:lang w:val="de-DE"/>
                <w14:textFill>
                  <w14:solidFill>
                    <w14:schemeClr w14:val="tx1"/>
                  </w14:solidFill>
                </w14:textFill>
              </w:rPr>
              <w:t>-6</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1.4357</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t/a</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val="de-DE"/>
                <w14:textFill>
                  <w14:solidFill>
                    <w14:schemeClr w14:val="tx1"/>
                  </w14:solidFill>
                </w14:textFill>
              </w:rPr>
            </w:pP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NH</w:t>
            </w:r>
            <w:r>
              <w:rPr>
                <w:rFonts w:ascii="Times New Roman" w:hAnsi="Times New Roman" w:eastAsia="宋体" w:cs="Times New Roman"/>
                <w:color w:val="000000" w:themeColor="text1"/>
                <w:spacing w:val="0"/>
                <w:kern w:val="21"/>
                <w:position w:val="0"/>
                <w:sz w:val="24"/>
                <w:vertAlign w:val="subscript"/>
                <w:lang w:val="de-DE"/>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-N：</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4754.31</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m³/a×</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32.36</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mg/L×10</w:t>
            </w:r>
            <w:r>
              <w:rPr>
                <w:rFonts w:ascii="Times New Roman" w:hAnsi="Times New Roman" w:eastAsia="宋体" w:cs="Times New Roman"/>
                <w:color w:val="000000" w:themeColor="text1"/>
                <w:spacing w:val="0"/>
                <w:kern w:val="21"/>
                <w:position w:val="0"/>
                <w:sz w:val="24"/>
                <w:vertAlign w:val="superscript"/>
                <w:lang w:val="de-DE"/>
                <w14:textFill>
                  <w14:solidFill>
                    <w14:schemeClr w14:val="tx1"/>
                  </w14:solidFill>
                </w14:textFill>
              </w:rPr>
              <w:t>-6</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0.1539</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t/a</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2、污水处理厂排口</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14:textFill>
                  <w14:solidFill>
                    <w14:schemeClr w14:val="tx1"/>
                  </w14:solidFill>
                </w14:textFill>
              </w:rPr>
              <w:t>①</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近期方案</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本项目废水经厂内收集处理后</w:t>
            </w:r>
            <w:r>
              <w:rPr>
                <w:rFonts w:ascii="Times New Roman" w:hAnsi="Times New Roman" w:eastAsia="宋体" w:cs="Times New Roman"/>
                <w:bCs/>
                <w:color w:val="000000" w:themeColor="text1"/>
                <w:spacing w:val="0"/>
                <w:kern w:val="21"/>
                <w:position w:val="0"/>
                <w:sz w:val="24"/>
                <w14:textFill>
                  <w14:solidFill>
                    <w14:schemeClr w14:val="tx1"/>
                  </w14:solidFill>
                </w14:textFill>
              </w:rPr>
              <w:t>进入昭化区</w:t>
            </w:r>
            <w:r>
              <w:rPr>
                <w:rFonts w:ascii="Times New Roman" w:hAnsi="Times New Roman" w:eastAsia="宋体" w:cs="Times New Roman"/>
                <w:color w:val="000000" w:themeColor="text1"/>
                <w:spacing w:val="0"/>
                <w:kern w:val="21"/>
                <w:position w:val="0"/>
                <w:sz w:val="24"/>
                <w14:textFill>
                  <w14:solidFill>
                    <w14:schemeClr w14:val="tx1"/>
                  </w14:solidFill>
                </w14:textFill>
              </w:rPr>
              <w:t>绿色家居产业城污水管网，排入泉坝污水处理厂处理达《城镇污水处理厂污染物排放标准》（GB</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18918-2002）一级A标准后排入南河。</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COD：</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4754.31</w:t>
            </w:r>
            <w:r>
              <w:rPr>
                <w:rFonts w:ascii="Times New Roman" w:hAnsi="Times New Roman" w:eastAsia="宋体" w:cs="Times New Roman"/>
                <w:color w:val="000000" w:themeColor="text1"/>
                <w:spacing w:val="0"/>
                <w:kern w:val="21"/>
                <w:position w:val="0"/>
                <w:sz w:val="24"/>
                <w14:textFill>
                  <w14:solidFill>
                    <w14:schemeClr w14:val="tx1"/>
                  </w14:solidFill>
                </w14:textFill>
              </w:rPr>
              <w:t>m³/a×50mg/L×10</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-6</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0.2377</w:t>
            </w:r>
            <w:r>
              <w:rPr>
                <w:rFonts w:ascii="Times New Roman" w:hAnsi="Times New Roman" w:eastAsia="宋体" w:cs="Times New Roman"/>
                <w:color w:val="000000" w:themeColor="text1"/>
                <w:spacing w:val="0"/>
                <w:kern w:val="21"/>
                <w:position w:val="0"/>
                <w:sz w:val="24"/>
                <w14:textFill>
                  <w14:solidFill>
                    <w14:schemeClr w14:val="tx1"/>
                  </w14:solidFill>
                </w14:textFill>
              </w:rPr>
              <w:t>t/a</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NH</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-N：</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4754.31</w:t>
            </w:r>
            <w:r>
              <w:rPr>
                <w:rFonts w:ascii="Times New Roman" w:hAnsi="Times New Roman" w:eastAsia="宋体" w:cs="Times New Roman"/>
                <w:color w:val="000000" w:themeColor="text1"/>
                <w:spacing w:val="0"/>
                <w:kern w:val="21"/>
                <w:position w:val="0"/>
                <w:sz w:val="24"/>
                <w14:textFill>
                  <w14:solidFill>
                    <w14:schemeClr w14:val="tx1"/>
                  </w14:solidFill>
                </w14:textFill>
              </w:rPr>
              <w:t>m³/a×5mg/L×10</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-6</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0.0238</w:t>
            </w:r>
            <w:r>
              <w:rPr>
                <w:rFonts w:ascii="Times New Roman" w:hAnsi="Times New Roman" w:eastAsia="宋体" w:cs="Times New Roman"/>
                <w:color w:val="000000" w:themeColor="text1"/>
                <w:spacing w:val="0"/>
                <w:kern w:val="21"/>
                <w:position w:val="0"/>
                <w:sz w:val="24"/>
                <w14:textFill>
                  <w14:solidFill>
                    <w14:schemeClr w14:val="tx1"/>
                  </w14:solidFill>
                </w14:textFill>
              </w:rPr>
              <w:t>t/a</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②</w:t>
            </w: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远期</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方案</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待园区污水处理厂建成投运后</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本项目废水排入园区规划污水厂</w:t>
            </w:r>
            <w:r>
              <w:rPr>
                <w:rFonts w:ascii="Times New Roman" w:hAnsi="Times New Roman" w:eastAsia="宋体" w:cs="Times New Roman"/>
                <w:color w:val="000000" w:themeColor="text1"/>
                <w:spacing w:val="0"/>
                <w:kern w:val="21"/>
                <w:position w:val="0"/>
                <w:sz w:val="24"/>
                <w14:textFill>
                  <w14:solidFill>
                    <w14:schemeClr w14:val="tx1"/>
                  </w14:solidFill>
                </w14:textFill>
              </w:rPr>
              <w:t>处理达</w:t>
            </w:r>
            <w:r>
              <w:rPr>
                <w:rFonts w:hint="eastAsia" w:ascii="Times New Roman" w:hAnsi="Times New Roman" w:eastAsia="宋体" w:cs="Times New Roman"/>
                <w:bCs/>
                <w:color w:val="000000" w:themeColor="text1"/>
                <w:spacing w:val="0"/>
                <w:kern w:val="21"/>
                <w:position w:val="0"/>
                <w:sz w:val="24"/>
                <w14:textFill>
                  <w14:solidFill>
                    <w14:schemeClr w14:val="tx1"/>
                  </w14:solidFill>
                </w14:textFill>
              </w:rPr>
              <w:t>《</w:t>
            </w:r>
            <w:r>
              <w:rPr>
                <w:rFonts w:ascii="Times New Roman" w:hAnsi="Times New Roman" w:eastAsia="宋体" w:cs="Times New Roman"/>
                <w:bCs/>
                <w:color w:val="000000" w:themeColor="text1"/>
                <w:spacing w:val="0"/>
                <w:kern w:val="21"/>
                <w:position w:val="0"/>
                <w:sz w:val="24"/>
                <w14:textFill>
                  <w14:solidFill>
                    <w14:schemeClr w14:val="tx1"/>
                  </w14:solidFill>
                </w14:textFill>
              </w:rPr>
              <w:t>四川省岷江、沱江流域水污染物排放标准》（DB51/2311-2016）</w:t>
            </w:r>
            <w:r>
              <w:rPr>
                <w:rFonts w:hint="eastAsia" w:ascii="Times New Roman" w:hAnsi="Times New Roman" w:eastAsia="宋体" w:cs="Times New Roman"/>
                <w:bCs/>
                <w:color w:val="000000" w:themeColor="text1"/>
                <w:spacing w:val="0"/>
                <w:kern w:val="21"/>
                <w:position w:val="0"/>
                <w:sz w:val="24"/>
                <w14:textFill>
                  <w14:solidFill>
                    <w14:schemeClr w14:val="tx1"/>
                  </w14:solidFill>
                </w14:textFill>
              </w:rPr>
              <w:t>“城镇污水处理厂”排放标准</w:t>
            </w:r>
            <w:r>
              <w:rPr>
                <w:rFonts w:ascii="Times New Roman" w:hAnsi="Times New Roman" w:eastAsia="宋体" w:cs="Times New Roman"/>
                <w:color w:val="000000" w:themeColor="text1"/>
                <w:spacing w:val="0"/>
                <w:kern w:val="21"/>
                <w:position w:val="0"/>
                <w:sz w:val="24"/>
                <w14:textFill>
                  <w14:solidFill>
                    <w14:schemeClr w14:val="tx1"/>
                  </w14:solidFill>
                </w14:textFill>
              </w:rPr>
              <w:t>后排入</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沙河</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COD：</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4754.31</w:t>
            </w:r>
            <w:r>
              <w:rPr>
                <w:rFonts w:ascii="Times New Roman" w:hAnsi="Times New Roman" w:eastAsia="宋体" w:cs="Times New Roman"/>
                <w:color w:val="000000" w:themeColor="text1"/>
                <w:spacing w:val="0"/>
                <w:kern w:val="21"/>
                <w:position w:val="0"/>
                <w:sz w:val="24"/>
                <w14:textFill>
                  <w14:solidFill>
                    <w14:schemeClr w14:val="tx1"/>
                  </w14:solidFill>
                </w14:textFill>
              </w:rPr>
              <w:t>m³/a×</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0mg/L×10</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-6</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0.1426</w:t>
            </w:r>
            <w:r>
              <w:rPr>
                <w:rFonts w:ascii="Times New Roman" w:hAnsi="Times New Roman" w:eastAsia="宋体" w:cs="Times New Roman"/>
                <w:color w:val="000000" w:themeColor="text1"/>
                <w:spacing w:val="0"/>
                <w:kern w:val="21"/>
                <w:position w:val="0"/>
                <w:sz w:val="24"/>
                <w14:textFill>
                  <w14:solidFill>
                    <w14:schemeClr w14:val="tx1"/>
                  </w14:solidFill>
                </w14:textFill>
              </w:rPr>
              <w:t>t/a</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NH</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-N：</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4754.31</w:t>
            </w:r>
            <w:r>
              <w:rPr>
                <w:rFonts w:ascii="Times New Roman" w:hAnsi="Times New Roman" w:eastAsia="宋体" w:cs="Times New Roman"/>
                <w:color w:val="000000" w:themeColor="text1"/>
                <w:spacing w:val="0"/>
                <w:kern w:val="21"/>
                <w:position w:val="0"/>
                <w:sz w:val="24"/>
                <w14:textFill>
                  <w14:solidFill>
                    <w14:schemeClr w14:val="tx1"/>
                  </w14:solidFill>
                </w14:textFill>
              </w:rPr>
              <w:t>m³/a×</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1.</w:t>
            </w:r>
            <w:r>
              <w:rPr>
                <w:rFonts w:ascii="Times New Roman" w:hAnsi="Times New Roman" w:eastAsia="宋体" w:cs="Times New Roman"/>
                <w:color w:val="000000" w:themeColor="text1"/>
                <w:spacing w:val="0"/>
                <w:kern w:val="21"/>
                <w:position w:val="0"/>
                <w:sz w:val="24"/>
                <w14:textFill>
                  <w14:solidFill>
                    <w14:schemeClr w14:val="tx1"/>
                  </w14:solidFill>
                </w14:textFill>
              </w:rPr>
              <w:t>5mg/L×10</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-6</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0.0071</w:t>
            </w:r>
            <w:r>
              <w:rPr>
                <w:rFonts w:ascii="Times New Roman" w:hAnsi="Times New Roman" w:eastAsia="宋体" w:cs="Times New Roman"/>
                <w:color w:val="000000" w:themeColor="text1"/>
                <w:spacing w:val="0"/>
                <w:kern w:val="21"/>
                <w:position w:val="0"/>
                <w:sz w:val="24"/>
                <w14:textFill>
                  <w14:solidFill>
                    <w14:schemeClr w14:val="tx1"/>
                  </w14:solidFill>
                </w14:textFill>
              </w:rPr>
              <w:t>t/a</w:t>
            </w:r>
          </w:p>
          <w:p>
            <w:pPr>
              <w:pageBreakBefore w:val="0"/>
              <w:kinsoku/>
              <w:overflowPunct/>
              <w:autoSpaceDE/>
              <w:autoSpaceDN/>
              <w:bidi w:val="0"/>
              <w:adjustRightInd w:val="0"/>
              <w:spacing w:line="360" w:lineRule="auto"/>
              <w:textAlignment w:val="auto"/>
              <w:rPr>
                <w:rFonts w:ascii="Times New Roman" w:hAnsi="Times New Roman" w:eastAsia="宋体" w:cs="Times New Roman"/>
                <w:b/>
                <w:bCs/>
                <w:color w:val="000000" w:themeColor="text1"/>
                <w:spacing w:val="0"/>
                <w:kern w:val="21"/>
                <w:position w:val="0"/>
                <w:sz w:val="24"/>
                <w:lang w:val="de-DE" w:eastAsia="de-DE"/>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val="de-DE"/>
                <w14:textFill>
                  <w14:solidFill>
                    <w14:schemeClr w14:val="tx1"/>
                  </w14:solidFill>
                </w14:textFill>
              </w:rPr>
              <w:t>二</w:t>
            </w:r>
            <w:r>
              <w:rPr>
                <w:rFonts w:ascii="Times New Roman" w:hAnsi="Times New Roman" w:eastAsia="宋体" w:cs="Times New Roman"/>
                <w:b/>
                <w:bCs/>
                <w:color w:val="000000" w:themeColor="text1"/>
                <w:spacing w:val="0"/>
                <w:kern w:val="21"/>
                <w:position w:val="0"/>
                <w:sz w:val="24"/>
                <w:lang w:val="de-DE" w:eastAsia="de-DE"/>
                <w14:textFill>
                  <w14:solidFill>
                    <w14:schemeClr w14:val="tx1"/>
                  </w14:solidFill>
                </w14:textFill>
              </w:rPr>
              <w:t>、废气污染物总量控制指标</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val="de-DE"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val="de-DE" w:eastAsia="de-DE" w:bidi="ar"/>
                <w14:textFill>
                  <w14:solidFill>
                    <w14:schemeClr w14:val="tx1"/>
                  </w14:solidFill>
                </w14:textFill>
              </w:rPr>
              <w:t>根据《建设项目主要污染物总量控制指标审核及管理暂行办法》（环发</w:t>
            </w:r>
            <w:r>
              <w:rPr>
                <w:rFonts w:ascii="Times New Roman" w:hAnsi="Times New Roman" w:eastAsia="宋体" w:cs="Times New Roman"/>
                <w:snapToGrid w:val="0"/>
                <w:color w:val="000000" w:themeColor="text1"/>
                <w:spacing w:val="0"/>
                <w:kern w:val="21"/>
                <w:position w:val="0"/>
                <w:sz w:val="24"/>
                <w:szCs w:val="22"/>
                <w:lang w:val="de-DE" w:bidi="ar"/>
                <w14:textFill>
                  <w14:solidFill>
                    <w14:schemeClr w14:val="tx1"/>
                  </w14:solidFill>
                </w14:textFill>
              </w:rPr>
              <w:t>〔</w:t>
            </w:r>
            <w:r>
              <w:rPr>
                <w:rFonts w:ascii="Times New Roman" w:hAnsi="Times New Roman" w:eastAsia="宋体" w:cs="Times New Roman"/>
                <w:snapToGrid w:val="0"/>
                <w:color w:val="000000" w:themeColor="text1"/>
                <w:spacing w:val="0"/>
                <w:kern w:val="21"/>
                <w:position w:val="0"/>
                <w:sz w:val="24"/>
                <w:szCs w:val="22"/>
                <w:lang w:val="de-DE" w:eastAsia="de-DE" w:bidi="ar"/>
                <w14:textFill>
                  <w14:solidFill>
                    <w14:schemeClr w14:val="tx1"/>
                  </w14:solidFill>
                </w14:textFill>
              </w:rPr>
              <w:t>2014</w:t>
            </w:r>
            <w:r>
              <w:rPr>
                <w:rFonts w:ascii="Times New Roman" w:hAnsi="Times New Roman" w:eastAsia="宋体" w:cs="Times New Roman"/>
                <w:snapToGrid w:val="0"/>
                <w:color w:val="000000" w:themeColor="text1"/>
                <w:spacing w:val="0"/>
                <w:kern w:val="21"/>
                <w:position w:val="0"/>
                <w:sz w:val="24"/>
                <w:szCs w:val="22"/>
                <w:lang w:val="de-DE" w:bidi="ar"/>
                <w14:textFill>
                  <w14:solidFill>
                    <w14:schemeClr w14:val="tx1"/>
                  </w14:solidFill>
                </w14:textFill>
              </w:rPr>
              <w:t>〕</w:t>
            </w:r>
            <w:r>
              <w:rPr>
                <w:rFonts w:ascii="Times New Roman" w:hAnsi="Times New Roman" w:eastAsia="宋体" w:cs="Times New Roman"/>
                <w:snapToGrid w:val="0"/>
                <w:color w:val="000000" w:themeColor="text1"/>
                <w:spacing w:val="0"/>
                <w:kern w:val="21"/>
                <w:position w:val="0"/>
                <w:sz w:val="24"/>
                <w:szCs w:val="22"/>
                <w:lang w:val="de-DE" w:eastAsia="de-DE" w:bidi="ar"/>
                <w14:textFill>
                  <w14:solidFill>
                    <w14:schemeClr w14:val="tx1"/>
                  </w14:solidFill>
                </w14:textFill>
              </w:rPr>
              <w:t>197号，简称《暂行方法》）在污染物排放总量审核中明确“火电、钢铁、水泥、造纸、印染行业建设项目所需替代的主要污染物排放总量指标采用绩效方法核定。其他行业依照国家或地方污染物排放标准及单位产品基准排水量（行业最高允许排水量）、烟气量等予以核定”。由于本项目有机废气</w:t>
            </w:r>
            <w:r>
              <w:rPr>
                <w:rFonts w:ascii="Times New Roman" w:hAnsi="Times New Roman" w:eastAsia="宋体" w:cs="Times New Roman"/>
                <w:snapToGrid w:val="0"/>
                <w:color w:val="000000" w:themeColor="text1"/>
                <w:spacing w:val="0"/>
                <w:kern w:val="21"/>
                <w:position w:val="0"/>
                <w:sz w:val="24"/>
                <w:szCs w:val="22"/>
                <w:lang w:val="de-DE" w:bidi="ar"/>
                <w14:textFill>
                  <w14:solidFill>
                    <w14:schemeClr w14:val="tx1"/>
                  </w14:solidFill>
                </w14:textFill>
              </w:rPr>
              <w:t>预测</w:t>
            </w:r>
            <w:r>
              <w:rPr>
                <w:rFonts w:ascii="Times New Roman" w:hAnsi="Times New Roman" w:eastAsia="宋体" w:cs="Times New Roman"/>
                <w:snapToGrid w:val="0"/>
                <w:color w:val="000000" w:themeColor="text1"/>
                <w:spacing w:val="0"/>
                <w:kern w:val="21"/>
                <w:position w:val="0"/>
                <w:sz w:val="24"/>
                <w:szCs w:val="22"/>
                <w:lang w:val="de-DE" w:eastAsia="de-DE" w:bidi="ar"/>
                <w14:textFill>
                  <w14:solidFill>
                    <w14:schemeClr w14:val="tx1"/>
                  </w14:solidFill>
                </w14:textFill>
              </w:rPr>
              <w:t>排放量与按照标准核定量差异较大，</w:t>
            </w:r>
            <w:r>
              <w:rPr>
                <w:rFonts w:ascii="Times New Roman" w:hAnsi="Times New Roman" w:eastAsia="宋体" w:cs="Times New Roman"/>
                <w:snapToGrid w:val="0"/>
                <w:color w:val="000000" w:themeColor="text1"/>
                <w:spacing w:val="0"/>
                <w:kern w:val="21"/>
                <w:position w:val="0"/>
                <w:sz w:val="24"/>
                <w:szCs w:val="22"/>
                <w:lang w:val="de-DE" w:bidi="ar"/>
                <w14:textFill>
                  <w14:solidFill>
                    <w14:schemeClr w14:val="tx1"/>
                  </w14:solidFill>
                </w14:textFill>
              </w:rPr>
              <w:t>因此</w:t>
            </w:r>
            <w:r>
              <w:rPr>
                <w:rFonts w:ascii="Times New Roman" w:hAnsi="Times New Roman" w:eastAsia="宋体" w:cs="Times New Roman"/>
                <w:snapToGrid w:val="0"/>
                <w:color w:val="000000" w:themeColor="text1"/>
                <w:spacing w:val="0"/>
                <w:kern w:val="21"/>
                <w:position w:val="0"/>
                <w:sz w:val="24"/>
                <w:szCs w:val="22"/>
                <w:lang w:val="de-DE" w:eastAsia="de-DE" w:bidi="ar"/>
                <w14:textFill>
                  <w14:solidFill>
                    <w14:schemeClr w14:val="tx1"/>
                  </w14:solidFill>
                </w14:textFill>
              </w:rPr>
              <w:t>本项目有机废气的排放量以</w:t>
            </w:r>
            <w:r>
              <w:rPr>
                <w:rFonts w:ascii="Times New Roman" w:hAnsi="Times New Roman" w:eastAsia="宋体" w:cs="Times New Roman"/>
                <w:snapToGrid w:val="0"/>
                <w:color w:val="000000" w:themeColor="text1"/>
                <w:spacing w:val="0"/>
                <w:kern w:val="21"/>
                <w:position w:val="0"/>
                <w:sz w:val="24"/>
                <w:szCs w:val="22"/>
                <w:lang w:val="de-DE" w:bidi="ar"/>
                <w14:textFill>
                  <w14:solidFill>
                    <w14:schemeClr w14:val="tx1"/>
                  </w14:solidFill>
                </w14:textFill>
              </w:rPr>
              <w:t>企业预测</w:t>
            </w:r>
            <w:r>
              <w:rPr>
                <w:rFonts w:ascii="Times New Roman" w:hAnsi="Times New Roman" w:eastAsia="宋体" w:cs="Times New Roman"/>
                <w:snapToGrid w:val="0"/>
                <w:color w:val="000000" w:themeColor="text1"/>
                <w:spacing w:val="0"/>
                <w:kern w:val="21"/>
                <w:position w:val="0"/>
                <w:sz w:val="24"/>
                <w:szCs w:val="22"/>
                <w:lang w:val="de-DE" w:eastAsia="de-DE" w:bidi="ar"/>
                <w14:textFill>
                  <w14:solidFill>
                    <w14:schemeClr w14:val="tx1"/>
                  </w14:solidFill>
                </w14:textFill>
              </w:rPr>
              <w:t>排放量核定</w:t>
            </w:r>
            <w:r>
              <w:rPr>
                <w:rFonts w:ascii="Times New Roman" w:hAnsi="Times New Roman" w:eastAsia="宋体" w:cs="Times New Roman"/>
                <w:snapToGrid w:val="0"/>
                <w:color w:val="000000" w:themeColor="text1"/>
                <w:spacing w:val="0"/>
                <w:kern w:val="21"/>
                <w:position w:val="0"/>
                <w:sz w:val="24"/>
                <w:szCs w:val="22"/>
                <w:lang w:val="de-DE" w:bidi="ar"/>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lang w:val="de-DE"/>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废气污染物</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p>
          <w:p>
            <w:pPr>
              <w:pageBreakBefore w:val="0"/>
              <w:kinsoku/>
              <w:wordWrap w:val="0"/>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val="de-DE"/>
                <w14:textFill>
                  <w14:solidFill>
                    <w14:schemeClr w14:val="tx1"/>
                  </w14:solidFill>
                </w14:textFill>
              </w:rPr>
            </w:pP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VOCs（</w:t>
            </w:r>
            <w:r>
              <w:rPr>
                <w:rFonts w:ascii="Times New Roman" w:hAnsi="Times New Roman" w:eastAsia="宋体" w:cs="Times New Roman"/>
                <w:color w:val="000000" w:themeColor="text1"/>
                <w:spacing w:val="0"/>
                <w:kern w:val="21"/>
                <w:position w:val="0"/>
                <w:sz w:val="24"/>
                <w14:textFill>
                  <w14:solidFill>
                    <w14:schemeClr w14:val="tx1"/>
                  </w14:solidFill>
                </w14:textFill>
              </w:rPr>
              <w:t>有组织</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0.0030t/a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80%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20%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2.97</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95%</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10%+0.000</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7</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80%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20%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0.0050t/a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80%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20%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0.2836</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t/a</w:t>
            </w:r>
          </w:p>
          <w:p>
            <w:pPr>
              <w:pageBreakBefore w:val="0"/>
              <w:kinsoku/>
              <w:wordWrap w:val="0"/>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val="de-DE"/>
                <w14:textFill>
                  <w14:solidFill>
                    <w14:schemeClr w14:val="tx1"/>
                  </w14:solidFill>
                </w14:textFill>
              </w:rPr>
            </w:pP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VOCs（</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无</w:t>
            </w:r>
            <w:r>
              <w:rPr>
                <w:rFonts w:ascii="Times New Roman" w:hAnsi="Times New Roman" w:eastAsia="宋体" w:cs="Times New Roman"/>
                <w:color w:val="000000" w:themeColor="text1"/>
                <w:spacing w:val="0"/>
                <w:kern w:val="21"/>
                <w:position w:val="0"/>
                <w:sz w:val="24"/>
                <w14:textFill>
                  <w14:solidFill>
                    <w14:schemeClr w14:val="tx1"/>
                  </w14:solidFill>
                </w14:textFill>
              </w:rPr>
              <w:t>组织</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：0.0030t/a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20%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2.97</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5%+0.000</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7</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20%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0.0050t/a</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20%</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0.1502</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t/a</w:t>
            </w:r>
          </w:p>
          <w:p>
            <w:pPr>
              <w:pageBreakBefore w:val="0"/>
              <w:kinsoku/>
              <w:wordWrap w:val="0"/>
              <w:overflowPunct/>
              <w:autoSpaceDE/>
              <w:autoSpaceDN/>
              <w:bidi w:val="0"/>
              <w:adjustRightInd w:val="0"/>
              <w:spacing w:line="360" w:lineRule="auto"/>
              <w:ind w:firstLine="480" w:firstLineChars="200"/>
              <w:textAlignment w:val="auto"/>
              <w:rPr>
                <w:rFonts w:ascii="Calibri" w:hAnsi="Calibri" w:eastAsia="宋体" w:cs="Calibri"/>
                <w:color w:val="000000" w:themeColor="text1"/>
                <w:spacing w:val="0"/>
                <w:kern w:val="21"/>
                <w:position w:val="0"/>
                <w:sz w:val="24"/>
                <w:lang w:val="de-DE"/>
                <w14:textFill>
                  <w14:solidFill>
                    <w14:schemeClr w14:val="tx1"/>
                  </w14:solidFill>
                </w14:textFill>
              </w:rPr>
            </w:pP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VOCs</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合计</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0.2836</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t/a</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0.1502</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t/a</w:t>
            </w:r>
            <w:r>
              <w:rPr>
                <w:rFonts w:hint="eastAsia" w:ascii="Times New Roman" w:hAnsi="Times New Roman" w:eastAsia="宋体" w:cs="Times New Roman"/>
                <w:color w:val="000000" w:themeColor="text1"/>
                <w:spacing w:val="0"/>
                <w:kern w:val="21"/>
                <w:position w:val="0"/>
                <w:sz w:val="24"/>
                <w:lang w:val="de-DE"/>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de-DE" w:eastAsia="zh-CN"/>
                <w14:textFill>
                  <w14:solidFill>
                    <w14:schemeClr w14:val="tx1"/>
                  </w14:solidFill>
                </w14:textFill>
              </w:rPr>
              <w:t>0.4338</w:t>
            </w:r>
            <w:r>
              <w:rPr>
                <w:rFonts w:ascii="Times New Roman" w:hAnsi="Times New Roman" w:eastAsia="宋体" w:cs="Times New Roman"/>
                <w:color w:val="000000" w:themeColor="text1"/>
                <w:spacing w:val="0"/>
                <w:kern w:val="21"/>
                <w:position w:val="0"/>
                <w:sz w:val="24"/>
                <w:lang w:val="de-DE"/>
                <w14:textFill>
                  <w14:solidFill>
                    <w14:schemeClr w14:val="tx1"/>
                  </w14:solidFill>
                </w14:textFill>
              </w:rPr>
              <w:t>t/a</w:t>
            </w:r>
          </w:p>
          <w:p>
            <w:pPr>
              <w:pageBreakBefore w:val="0"/>
              <w:kinsoku/>
              <w:wordWrap w:val="0"/>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val="de-DE"/>
                <w14:textFill>
                  <w14:solidFill>
                    <w14:schemeClr w14:val="tx1"/>
                  </w14:solidFill>
                </w14:textFill>
              </w:rPr>
            </w:pPr>
          </w:p>
          <w:p>
            <w:pPr>
              <w:pageBreakBefore w:val="0"/>
              <w:kinsoku/>
              <w:overflowPunct/>
              <w:autoSpaceDE/>
              <w:autoSpaceDN/>
              <w:bidi w:val="0"/>
              <w:spacing w:line="360" w:lineRule="auto"/>
              <w:textAlignment w:val="auto"/>
              <w:rPr>
                <w:rFonts w:ascii="Times New Roman" w:hAnsi="Times New Roman" w:eastAsia="宋体" w:cs="Times New Roman"/>
                <w:color w:val="000000" w:themeColor="text1"/>
                <w:spacing w:val="0"/>
                <w:kern w:val="21"/>
                <w:position w:val="0"/>
                <w:lang w:val="de-DE"/>
                <w14:textFill>
                  <w14:solidFill>
                    <w14:schemeClr w14:val="tx1"/>
                  </w14:solidFill>
                </w14:textFill>
              </w:rPr>
            </w:pP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lang w:val="de-DE"/>
          <w14:textFill>
            <w14:solidFill>
              <w14:schemeClr w14:val="tx1"/>
            </w14:solidFill>
          </w14:textFill>
        </w:rPr>
        <w:sectPr>
          <w:pgSz w:w="11906" w:h="16838"/>
          <w:pgMar w:top="1134" w:right="1531" w:bottom="1134" w:left="1531" w:header="851" w:footer="850" w:gutter="0"/>
          <w:cols w:space="425" w:num="1"/>
          <w:docGrid w:type="lines" w:linePitch="312" w:charSpace="0"/>
        </w:sectPr>
      </w:pPr>
    </w:p>
    <w:p>
      <w:pPr>
        <w:pageBreakBefore w:val="0"/>
        <w:widowControl/>
        <w:kinsoku/>
        <w:overflowPunct/>
        <w:autoSpaceDE/>
        <w:autoSpaceDN/>
        <w:bidi w:val="0"/>
        <w:snapToGrid w:val="0"/>
        <w:spacing w:before="62" w:beforeLines="20" w:after="62" w:afterLines="20"/>
        <w:jc w:val="center"/>
        <w:textAlignment w:val="auto"/>
        <w:outlineLvl w:val="0"/>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pPr>
      <w:r>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t>四、主要环境影响和保护措施</w:t>
      </w:r>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6"/>
        <w:gridCol w:w="87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55" w:type="pct"/>
            <w:tcMar>
              <w:left w:w="28" w:type="dxa"/>
              <w:right w:w="28" w:type="dxa"/>
            </w:tcMar>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施工期环境影响和保护措施</w:t>
            </w:r>
          </w:p>
        </w:tc>
        <w:tc>
          <w:tcPr>
            <w:tcW w:w="4844" w:type="pct"/>
          </w:tcPr>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根据施工期工艺流程分析，项目施工期主要产生扬尘、机械设备废气、噪声、废水和固废等污染物。</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8"/>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8"/>
                <w14:textFill>
                  <w14:solidFill>
                    <w14:schemeClr w14:val="tx1"/>
                  </w14:solidFill>
                </w14:textFill>
              </w:rPr>
              <w:t>一、施工期废气环境影响分析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cs="Times New Roman"/>
                <w:color w:val="000000" w:themeColor="text1"/>
                <w:spacing w:val="0"/>
                <w:kern w:val="21"/>
                <w:position w:val="0"/>
                <w:sz w:val="24"/>
                <w14:textFill>
                  <w14:solidFill>
                    <w14:schemeClr w14:val="tx1"/>
                  </w14:solidFill>
                </w14:textFill>
              </w:rPr>
              <w:t>项目施工期间产生的主要废气包括施工扬尘、装修工程废气、施工燃油尾气及汽车尾气。</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1、施工扬尘</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施工扬尘主要来自厂房地基等基础工程土石方开挖、运输车辆装卸材料和行驶时产生的扬尘；建筑材料（白灰、水泥、沙子、石子、砖等）的现场搬运及堆放扬尘；建筑垃圾的清理及堆放扬尘；人来车往造成的现场道路扬尘。</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cs="Times New Roman"/>
                <w:b/>
                <w:bCs/>
                <w:color w:val="000000" w:themeColor="text1"/>
                <w:spacing w:val="0"/>
                <w:kern w:val="21"/>
                <w:position w:val="0"/>
                <w:sz w:val="24"/>
                <w:lang w:bidi="ar"/>
                <w14:textFill>
                  <w14:solidFill>
                    <w14:schemeClr w14:val="tx1"/>
                  </w14:solidFill>
                </w14:textFill>
              </w:rPr>
              <w:t>及可行性：</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①在施工现场采取洒水降尘等措施降低粉尘对内部工人及外环境的影响。</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②在施工场地对施工车辆</w:t>
            </w:r>
            <w:r>
              <w:rPr>
                <w:rFonts w:ascii="Times New Roman" w:hAnsi="Times New Roman" w:eastAsia="宋体" w:cs="Times New Roman"/>
                <w:bCs/>
                <w:color w:val="000000" w:themeColor="text1"/>
                <w:spacing w:val="0"/>
                <w:kern w:val="21"/>
                <w:position w:val="0"/>
                <w:sz w:val="24"/>
                <w14:textFill>
                  <w14:solidFill>
                    <w14:schemeClr w14:val="tx1"/>
                  </w14:solidFill>
                </w14:textFill>
              </w:rPr>
              <w:t>实施</w:t>
            </w:r>
            <w:r>
              <w:rPr>
                <w:rFonts w:ascii="Times New Roman" w:hAnsi="Times New Roman" w:eastAsia="宋体" w:cs="Times New Roman"/>
                <w:color w:val="000000" w:themeColor="text1"/>
                <w:spacing w:val="0"/>
                <w:kern w:val="21"/>
                <w:position w:val="0"/>
                <w:sz w:val="24"/>
                <w14:textFill>
                  <w14:solidFill>
                    <w14:schemeClr w14:val="tx1"/>
                  </w14:solidFill>
                </w14:textFill>
              </w:rPr>
              <w:t>限速行驶，同时施工现场主要运输道路使用硬化路面并定期进行洒水抑尘；在施工场地出口放置防尘垫和车轮冲洗装置，防止泥土带出现场；对施工车辆进行了严格管理，包括限制施工车辆不得超载运输，出场时必须封闭等；</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③施工过程堆放的渣土采防尘网遮盖，并及时清运。</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2、</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施工燃油尾气及汽车尾气</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cs="Times New Roman"/>
                <w:color w:val="000000" w:themeColor="text1"/>
                <w:spacing w:val="0"/>
                <w:kern w:val="21"/>
                <w:position w:val="0"/>
                <w:sz w:val="24"/>
                <w14:textFill>
                  <w14:solidFill>
                    <w14:schemeClr w14:val="tx1"/>
                  </w14:solidFill>
                </w14:textFill>
              </w:rPr>
              <w:t>施工期间产生的施工燃油尾气及汽车尾气</w:t>
            </w:r>
            <w:r>
              <w:rPr>
                <w:rFonts w:ascii="Times New Roman" w:hAnsi="Times New Roman" w:cs="Times New Roman"/>
                <w:color w:val="000000" w:themeColor="text1"/>
                <w:spacing w:val="0"/>
                <w:kern w:val="21"/>
                <w:position w:val="0"/>
                <w:sz w:val="24"/>
                <w:lang w:bidi="zh-CN"/>
                <w14:textFill>
                  <w14:solidFill>
                    <w14:schemeClr w14:val="tx1"/>
                  </w14:solidFill>
                </w14:textFill>
              </w:rPr>
              <w:t>主要来源于</w:t>
            </w:r>
            <w:r>
              <w:rPr>
                <w:rFonts w:ascii="Times New Roman" w:hAnsi="Times New Roman" w:cs="Times New Roman"/>
                <w:color w:val="000000" w:themeColor="text1"/>
                <w:spacing w:val="0"/>
                <w:kern w:val="21"/>
                <w:position w:val="0"/>
                <w:sz w:val="24"/>
                <w14:textFill>
                  <w14:solidFill>
                    <w14:schemeClr w14:val="tx1"/>
                  </w14:solidFill>
                </w14:textFill>
              </w:rPr>
              <w:t>施工机械和运输车辆。施工机械和运输车辆产生的施工机械尾气</w:t>
            </w:r>
            <w:r>
              <w:rPr>
                <w:rFonts w:ascii="Times New Roman" w:hAnsi="Times New Roman" w:cs="Times New Roman"/>
                <w:color w:val="000000" w:themeColor="text1"/>
                <w:spacing w:val="0"/>
                <w:kern w:val="21"/>
                <w:position w:val="0"/>
                <w:sz w:val="24"/>
                <w:lang w:val="zh-CN" w:bidi="zh-CN"/>
                <w14:textFill>
                  <w14:solidFill>
                    <w14:schemeClr w14:val="tx1"/>
                  </w14:solidFill>
                </w14:textFill>
              </w:rPr>
              <w:t>产生量较小，且</w:t>
            </w:r>
            <w:r>
              <w:rPr>
                <w:rFonts w:ascii="Times New Roman" w:hAnsi="Times New Roman" w:cs="Times New Roman"/>
                <w:color w:val="000000" w:themeColor="text1"/>
                <w:spacing w:val="0"/>
                <w:kern w:val="21"/>
                <w:position w:val="0"/>
                <w:sz w:val="24"/>
                <w:lang w:bidi="zh-CN"/>
                <w14:textFill>
                  <w14:solidFill>
                    <w14:schemeClr w14:val="tx1"/>
                  </w14:solidFill>
                </w14:textFill>
              </w:rPr>
              <w:t>属于</w:t>
            </w:r>
            <w:r>
              <w:rPr>
                <w:rFonts w:ascii="Times New Roman" w:hAnsi="Times New Roman" w:cs="Times New Roman"/>
                <w:color w:val="000000" w:themeColor="text1"/>
                <w:spacing w:val="0"/>
                <w:kern w:val="21"/>
                <w:position w:val="0"/>
                <w:sz w:val="24"/>
                <w:lang w:val="zh-CN" w:bidi="zh-CN"/>
                <w14:textFill>
                  <w14:solidFill>
                    <w14:schemeClr w14:val="tx1"/>
                  </w14:solidFill>
                </w14:textFill>
              </w:rPr>
              <w:t>间断性、分散性排放，主要污染因子以</w:t>
            </w:r>
            <w:r>
              <w:rPr>
                <w:rFonts w:ascii="Times New Roman" w:hAnsi="Times New Roman" w:eastAsia="Times New Roman" w:cs="Times New Roman"/>
                <w:color w:val="000000" w:themeColor="text1"/>
                <w:spacing w:val="0"/>
                <w:kern w:val="21"/>
                <w:position w:val="0"/>
                <w:sz w:val="24"/>
                <w:lang w:val="zh-CN" w:bidi="zh-CN"/>
                <w14:textFill>
                  <w14:solidFill>
                    <w14:schemeClr w14:val="tx1"/>
                  </w14:solidFill>
                </w14:textFill>
              </w:rPr>
              <w:t>CO</w:t>
            </w:r>
            <w:r>
              <w:rPr>
                <w:rFonts w:ascii="Times New Roman" w:hAnsi="Times New Roman" w:cs="Times New Roman"/>
                <w:color w:val="000000" w:themeColor="text1"/>
                <w:spacing w:val="0"/>
                <w:kern w:val="21"/>
                <w:position w:val="0"/>
                <w:sz w:val="24"/>
                <w:lang w:val="zh-CN" w:bidi="zh-CN"/>
                <w14:textFill>
                  <w14:solidFill>
                    <w14:schemeClr w14:val="tx1"/>
                  </w14:solidFill>
                </w14:textFill>
              </w:rPr>
              <w:t>、</w:t>
            </w:r>
            <w:r>
              <w:rPr>
                <w:rFonts w:ascii="Times New Roman" w:hAnsi="Times New Roman" w:eastAsia="Times New Roman" w:cs="Times New Roman"/>
                <w:color w:val="000000" w:themeColor="text1"/>
                <w:spacing w:val="0"/>
                <w:kern w:val="21"/>
                <w:position w:val="0"/>
                <w:sz w:val="24"/>
                <w:lang w:val="zh-CN" w:bidi="zh-CN"/>
                <w14:textFill>
                  <w14:solidFill>
                    <w14:schemeClr w14:val="tx1"/>
                  </w14:solidFill>
                </w14:textFill>
              </w:rPr>
              <w:t>THC</w:t>
            </w:r>
            <w:r>
              <w:rPr>
                <w:rFonts w:ascii="Times New Roman" w:hAnsi="Times New Roman" w:eastAsia="Times New Roman" w:cs="Times New Roman"/>
                <w:color w:val="000000" w:themeColor="text1"/>
                <w:spacing w:val="0"/>
                <w:kern w:val="21"/>
                <w:position w:val="0"/>
                <w:sz w:val="24"/>
                <w:lang w:bidi="zh-CN"/>
                <w14:textFill>
                  <w14:solidFill>
                    <w14:schemeClr w14:val="tx1"/>
                  </w14:solidFill>
                </w14:textFill>
              </w:rPr>
              <w:t>和NO</w:t>
            </w:r>
            <w:r>
              <w:rPr>
                <w:rFonts w:ascii="Times New Roman" w:hAnsi="Times New Roman" w:eastAsia="Times New Roman" w:cs="Times New Roman"/>
                <w:color w:val="000000" w:themeColor="text1"/>
                <w:spacing w:val="0"/>
                <w:kern w:val="21"/>
                <w:position w:val="0"/>
                <w:sz w:val="24"/>
                <w:vertAlign w:val="subscript"/>
                <w:lang w:bidi="zh-CN"/>
                <w14:textFill>
                  <w14:solidFill>
                    <w14:schemeClr w14:val="tx1"/>
                  </w14:solidFill>
                </w14:textFill>
              </w:rPr>
              <w:t>x</w:t>
            </w:r>
            <w:r>
              <w:rPr>
                <w:rFonts w:ascii="Times New Roman" w:hAnsi="Times New Roman" w:cs="Times New Roman"/>
                <w:color w:val="000000" w:themeColor="text1"/>
                <w:spacing w:val="0"/>
                <w:kern w:val="21"/>
                <w:position w:val="0"/>
                <w:sz w:val="24"/>
                <w:lang w:val="zh-CN" w:bidi="zh-CN"/>
                <w14:textFill>
                  <w14:solidFill>
                    <w14:schemeClr w14:val="tx1"/>
                  </w14:solidFill>
                </w14:textFill>
              </w:rPr>
              <w:t>为主，</w:t>
            </w:r>
            <w:r>
              <w:rPr>
                <w:rFonts w:ascii="Times New Roman" w:hAnsi="Times New Roman" w:cs="Times New Roman"/>
                <w:color w:val="000000" w:themeColor="text1"/>
                <w:spacing w:val="0"/>
                <w:kern w:val="21"/>
                <w:position w:val="0"/>
                <w:sz w:val="24"/>
                <w:lang w:bidi="zh-CN"/>
                <w14:textFill>
                  <w14:solidFill>
                    <w14:schemeClr w14:val="tx1"/>
                  </w14:solidFill>
                </w14:textFill>
              </w:rPr>
              <w:t>在施工期间会对施工作业点和交通道路附近的大气环境造成一定的污染。</w:t>
            </w:r>
            <w:r>
              <w:rPr>
                <w:rFonts w:ascii="Times New Roman" w:hAnsi="Times New Roman" w:cs="Times New Roman"/>
                <w:color w:val="000000" w:themeColor="text1"/>
                <w:spacing w:val="0"/>
                <w:kern w:val="21"/>
                <w:position w:val="0"/>
                <w:sz w:val="24"/>
                <w:lang w:bidi="ar"/>
                <w14:textFill>
                  <w14:solidFill>
                    <w14:schemeClr w14:val="tx1"/>
                  </w14:solidFill>
                </w14:textFill>
              </w:rPr>
              <w:t>由于产生的机械尾气具有暂时性、偶然性、局域性，同时施工区域较为开阔，空气流通性好，因此产生的施工机械尾气能在短时间内扩散，这些影响会随着施工期的结束而消失。</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r>
              <w:rPr>
                <w:rFonts w:ascii="Times New Roman" w:hAnsi="Times New Roman" w:cs="Times New Roman"/>
                <w:b/>
                <w:bCs/>
                <w:color w:val="000000" w:themeColor="text1"/>
                <w:spacing w:val="0"/>
                <w:kern w:val="21"/>
                <w:position w:val="0"/>
                <w:sz w:val="24"/>
                <w14:textFill>
                  <w14:solidFill>
                    <w14:schemeClr w14:val="tx1"/>
                  </w14:solidFill>
                </w14:textFill>
              </w:rPr>
              <w:t>治理措施及可行性：</w:t>
            </w:r>
            <w:r>
              <w:rPr>
                <w:rFonts w:ascii="Times New Roman" w:hAnsi="Times New Roman" w:cs="Times New Roman"/>
                <w:color w:val="000000" w:themeColor="text1"/>
                <w:spacing w:val="0"/>
                <w:kern w:val="21"/>
                <w:position w:val="0"/>
                <w:sz w:val="24"/>
                <w14:textFill>
                  <w14:solidFill>
                    <w14:schemeClr w14:val="tx1"/>
                  </w14:solidFill>
                </w14:textFill>
              </w:rPr>
              <w:t>施工期间应选择符合国家尾气排放标准的施工机械，强化机械设备的维护、保养，尽可能降低尾气排放，加强管理、合理施工，禁止机械设备超负荷运行。由于施工区场地开阔，空气流通性好，废气中的各项污染物能够很快扩散。</w:t>
            </w:r>
          </w:p>
          <w:p>
            <w:pPr>
              <w:pageBreakBefore w:val="0"/>
              <w:kinsoku/>
              <w:overflowPunct/>
              <w:autoSpaceDE/>
              <w:autoSpaceDN/>
              <w:bidi w:val="0"/>
              <w:spacing w:line="360" w:lineRule="auto"/>
              <w:ind w:left="420" w:left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3、装修工程废气</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1"/>
                <w:lang w:bidi="ar"/>
                <w14:textFill>
                  <w14:solidFill>
                    <w14:schemeClr w14:val="tx1"/>
                  </w14:solidFill>
                </w14:textFill>
              </w:rPr>
              <w:t>本项目主体建筑施工完成后，需要对室内外建筑进行装修设计，可能会使用涂料、胶水等材料进行施工，会产生一定量的装修工程废气。可能会有少量甲醛、醋酸丁酯、乙醇、丁醇等污染因子产生并进行无组织排放。</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1"/>
                <w:lang w:bidi="ar"/>
                <w14:textFill>
                  <w14:solidFill>
                    <w14:schemeClr w14:val="tx1"/>
                  </w14:solidFill>
                </w14:textFill>
              </w:rPr>
              <w:t>治理措施及可行性：</w:t>
            </w:r>
            <w:r>
              <w:rPr>
                <w:rFonts w:ascii="Times New Roman" w:hAnsi="Times New Roman" w:eastAsia="宋体" w:cs="Times New Roman"/>
                <w:color w:val="000000" w:themeColor="text1"/>
                <w:spacing w:val="0"/>
                <w:kern w:val="21"/>
                <w:position w:val="0"/>
                <w:sz w:val="24"/>
                <w:szCs w:val="21"/>
                <w:lang w:bidi="ar"/>
                <w14:textFill>
                  <w14:solidFill>
                    <w14:schemeClr w14:val="tx1"/>
                  </w14:solidFill>
                </w14:textFill>
              </w:rPr>
              <w:t>由于装修阶段整体工作周期短，本评价要求建设单位选用环保型装修材料，加强室内通风换气、促进空气流通，</w:t>
            </w:r>
            <w:r>
              <w:rPr>
                <w:rFonts w:ascii="Times New Roman" w:hAnsi="Times New Roman" w:eastAsia="宋体" w:cs="Times New Roman"/>
                <w:color w:val="000000" w:themeColor="text1"/>
                <w:spacing w:val="0"/>
                <w:kern w:val="21"/>
                <w:position w:val="0"/>
                <w:sz w:val="24"/>
                <w14:textFill>
                  <w14:solidFill>
                    <w14:schemeClr w14:val="tx1"/>
                  </w14:solidFill>
                </w14:textFill>
              </w:rPr>
              <w:t>降低</w:t>
            </w:r>
            <w:r>
              <w:rPr>
                <w:rFonts w:ascii="Times New Roman" w:hAnsi="Times New Roman" w:eastAsia="宋体" w:cs="Times New Roman"/>
                <w:color w:val="000000" w:themeColor="text1"/>
                <w:spacing w:val="0"/>
                <w:kern w:val="21"/>
                <w:position w:val="0"/>
                <w:sz w:val="24"/>
                <w:szCs w:val="21"/>
                <w:lang w:bidi="ar"/>
                <w14:textFill>
                  <w14:solidFill>
                    <w14:schemeClr w14:val="tx1"/>
                  </w14:solidFill>
                </w14:textFill>
              </w:rPr>
              <w:t>对施工人员和周边环境的影响。</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8"/>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8"/>
                <w14:textFill>
                  <w14:solidFill>
                    <w14:schemeClr w14:val="tx1"/>
                  </w14:solidFill>
                </w14:textFill>
              </w:rPr>
              <w:t>二、废水环境影响和保护措施分析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施工期废水主要为施工废水以及施工人员产生的生活污水。</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施工场地地基开挖、</w:t>
            </w:r>
            <w:r>
              <w:rPr>
                <w:rFonts w:ascii="Times New Roman" w:hAnsi="Times New Roman" w:eastAsia="宋体" w:cs="Times New Roman"/>
                <w:bCs/>
                <w:color w:val="000000" w:themeColor="text1"/>
                <w:spacing w:val="0"/>
                <w:kern w:val="21"/>
                <w:position w:val="0"/>
                <w:sz w:val="24"/>
                <w14:textFill>
                  <w14:solidFill>
                    <w14:schemeClr w14:val="tx1"/>
                  </w14:solidFill>
                </w14:textFill>
              </w:rPr>
              <w:t>混凝土</w:t>
            </w:r>
            <w:r>
              <w:rPr>
                <w:rFonts w:ascii="Times New Roman" w:hAnsi="Times New Roman" w:eastAsia="宋体" w:cs="Times New Roman"/>
                <w:color w:val="000000" w:themeColor="text1"/>
                <w:spacing w:val="0"/>
                <w:kern w:val="21"/>
                <w:position w:val="0"/>
                <w:sz w:val="24"/>
                <w14:textFill>
                  <w14:solidFill>
                    <w14:schemeClr w14:val="tx1"/>
                  </w14:solidFill>
                </w14:textFill>
              </w:rPr>
              <w:t>养护等，将产生以SS为主要污染物的废水；燃油动力机械在冲洗和维护时，将产生少量含石油类和SS的废水。</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highlight w:val="yellow"/>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项目场地内设置简易隔油沉淀池，施工废水经隔油沉淀后回用于场地洒水降尘及车辆冲洗用水，不外排。项目地基施工阶段基坑作业抽取的地下水经沉淀处理后，用于车辆冲洗及场地洒水降尘。</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厂房建设期间，施工高峰期施工人员数量约50人，人均用水量约为50L/人·天，污水产生系数取0.85，施工期生活污水产生量约2.13m</w:t>
            </w:r>
            <w:r>
              <w:rPr>
                <w:rFonts w:ascii="Times New Roman" w:hAnsi="Times New Roman" w:eastAsia="宋体" w:cs="Times New Roman"/>
                <w:bCs/>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 w:val="24"/>
                <w14:textFill>
                  <w14:solidFill>
                    <w14:schemeClr w14:val="tx1"/>
                  </w14:solidFill>
                </w14:textFill>
              </w:rPr>
              <w:t>/d，生活污水主要污染因子为COD、氨氮和SS，</w:t>
            </w:r>
            <w:r>
              <w:rPr>
                <w:rFonts w:ascii="Times New Roman" w:hAnsi="Times New Roman" w:eastAsia="宋体" w:cs="Times New Roman"/>
                <w:color w:val="000000" w:themeColor="text1"/>
                <w:spacing w:val="0"/>
                <w:kern w:val="21"/>
                <w:position w:val="0"/>
                <w:sz w:val="24"/>
                <w14:textFill>
                  <w14:solidFill>
                    <w14:schemeClr w14:val="tx1"/>
                  </w14:solidFill>
                </w14:textFill>
              </w:rPr>
              <w:t>施工期生活污水经</w:t>
            </w:r>
            <w:r>
              <w:rPr>
                <w:rFonts w:ascii="Times New Roman" w:hAnsi="Times New Roman" w:eastAsia="宋体" w:cs="Times New Roman"/>
                <w:bCs/>
                <w:color w:val="000000" w:themeColor="text1"/>
                <w:spacing w:val="0"/>
                <w:kern w:val="21"/>
                <w:position w:val="0"/>
                <w:sz w:val="24"/>
                <w14:textFill>
                  <w14:solidFill>
                    <w14:schemeClr w14:val="tx1"/>
                  </w14:solidFill>
                </w14:textFill>
              </w:rPr>
              <w:t>预处理池处理后排入园区污水管网后排入污水处理厂处理。</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8"/>
                <w14:textFill>
                  <w14:solidFill>
                    <w14:schemeClr w14:val="tx1"/>
                  </w14:solidFill>
                </w14:textFill>
              </w:rPr>
              <w:t>三、噪声环境影响和保护措施分析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cs="Times New Roman"/>
                <w:color w:val="000000" w:themeColor="text1"/>
                <w:spacing w:val="0"/>
                <w:kern w:val="21"/>
                <w:position w:val="0"/>
                <w:sz w:val="24"/>
                <w14:textFill>
                  <w14:solidFill>
                    <w14:schemeClr w14:val="tx1"/>
                  </w14:solidFill>
                </w14:textFill>
              </w:rPr>
              <w:t>施工期噪声主要来源于施工过程中机械设备的使用，如载重汽车、起重机、装载机等，以及机械开挖、运输、吊装等施工活动。虽然施工噪声仅在施工期的土建施工阶段产生，会随着施工的结束而消失，但由于噪声较强，将会对周围声环境产生较为严重影响。因此施工单位应尽量选择低噪设备，严格控制施工时间，同时可设置简易隔声墙等降低噪声对周边环境的影响。</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14:textFill>
                  <w14:solidFill>
                    <w14:schemeClr w14:val="tx1"/>
                  </w14:solidFill>
                </w14:textFill>
              </w:rPr>
              <w:t>施工期合理施工，不在夜间（22:00-06:00）和中午休息时间施工，加强施工人员管理教育、规范材料装卸操作，</w:t>
            </w:r>
            <w:r>
              <w:rPr>
                <w:rFonts w:ascii="Times New Roman" w:hAnsi="Times New Roman" w:eastAsia="宋体" w:cs="Times New Roman"/>
                <w:bCs/>
                <w:color w:val="000000" w:themeColor="text1"/>
                <w:spacing w:val="0"/>
                <w:kern w:val="21"/>
                <w:position w:val="0"/>
                <w:sz w:val="24"/>
                <w14:textFill>
                  <w14:solidFill>
                    <w14:schemeClr w14:val="tx1"/>
                  </w14:solidFill>
                </w14:textFill>
              </w:rPr>
              <w:t>减少</w:t>
            </w:r>
            <w:r>
              <w:rPr>
                <w:rFonts w:ascii="Times New Roman" w:hAnsi="Times New Roman" w:eastAsia="宋体" w:cs="Times New Roman"/>
                <w:color w:val="000000" w:themeColor="text1"/>
                <w:spacing w:val="0"/>
                <w:kern w:val="21"/>
                <w:position w:val="0"/>
                <w:sz w:val="24"/>
                <w14:textFill>
                  <w14:solidFill>
                    <w14:schemeClr w14:val="tx1"/>
                  </w14:solidFill>
                </w14:textFill>
              </w:rPr>
              <w:t>不必要的敲击声。采取措施后，本项目施工期噪声对周围环境影响较小。</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由于项目施工期工程量较小，施工期较短，施工期影响随着施工期的结束也会结束。因此，项目施工期不会对项目周边环境造成明显影响。</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四、施工期固废污染治理措施</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根据工程分析，本项目施工期产生的</w:t>
            </w:r>
            <w:r>
              <w:rPr>
                <w:rFonts w:ascii="Times New Roman" w:hAnsi="Times New Roman" w:cs="Times New Roman"/>
                <w:color w:val="000000" w:themeColor="text1"/>
                <w:spacing w:val="0"/>
                <w:kern w:val="21"/>
                <w:position w:val="0"/>
                <w:sz w:val="24"/>
                <w14:textFill>
                  <w14:solidFill>
                    <w14:schemeClr w14:val="tx1"/>
                  </w14:solidFill>
                </w14:textFill>
              </w:rPr>
              <w:t>固体废物主要包括建筑垃圾和施工人员生活垃圾。</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1、建筑垃圾</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cs="Times New Roman"/>
                <w:color w:val="000000" w:themeColor="text1"/>
                <w:spacing w:val="0"/>
                <w:kern w:val="21"/>
                <w:position w:val="0"/>
                <w:sz w:val="24"/>
                <w14:textFill>
                  <w14:solidFill>
                    <w14:schemeClr w14:val="tx1"/>
                  </w14:solidFill>
                </w14:textFill>
              </w:rPr>
              <w:t>在土方开挖、房屋建设、物料运输等工程阶段，会产生一定数量的废弃建筑物料，如砂石、钢材、木材等；还会产生一定数量的装修垃圾，如废油漆桶、废涂料桶等。建筑垃圾中可回收利用的钢材、木材等进行回收利用，不能利用的应集中堆放，定期清运至政府规划的渣场进行堆放；废油漆桶、废涂料桶等装修垃圾交由有相应危废处理资质的单位处理。</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14:textFill>
                  <w14:solidFill>
                    <w14:schemeClr w14:val="tx1"/>
                  </w14:solidFill>
                </w14:textFill>
              </w:rPr>
              <w:t>建筑垃圾中的废钢筋、废金属、废木料等可以再次利用的固体废弃物进行分类收集，分类存放，分类回收并及时出售给废品回收公司处理。建筑垃圾中不能回收部分设置临时建筑废物堆放场并进行遮盖处理，做好地面的防渗漏处理，及时清运到指定的建筑垃圾场处理。</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2、生活垃圾</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生活垃圾主要产生于施工现场</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，项目施工高峰期的施工人数为</w:t>
            </w:r>
            <w:r>
              <w:rPr>
                <w:rFonts w:ascii="Times New Roman" w:hAnsi="Times New Roman" w:eastAsia="宋体" w:cs="Times New Roman"/>
                <w:color w:val="000000" w:themeColor="text1"/>
                <w:spacing w:val="0"/>
                <w:kern w:val="21"/>
                <w:position w:val="0"/>
                <w:sz w:val="24"/>
                <w14:textFill>
                  <w14:solidFill>
                    <w14:schemeClr w14:val="tx1"/>
                  </w14:solidFill>
                </w14:textFill>
              </w:rPr>
              <w:t>5</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0人，生活</w:t>
            </w:r>
            <w:r>
              <w:rPr>
                <w:rFonts w:ascii="Times New Roman" w:hAnsi="Times New Roman" w:eastAsia="宋体" w:cs="Times New Roman"/>
                <w:color w:val="000000" w:themeColor="text1"/>
                <w:spacing w:val="0"/>
                <w:kern w:val="21"/>
                <w:position w:val="0"/>
                <w:sz w:val="24"/>
                <w14:textFill>
                  <w14:solidFill>
                    <w14:schemeClr w14:val="tx1"/>
                  </w14:solidFill>
                </w14:textFill>
              </w:rPr>
              <w:t>垃圾产生量按每人1.0kg/d计，施工人员生活垃圾产生量约为0.05t/d。</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14:textFill>
                  <w14:solidFill>
                    <w14:schemeClr w14:val="tx1"/>
                  </w14:solidFill>
                </w14:textFill>
              </w:rPr>
              <w:t>施工过程中产生的生活垃圾经生活垃圾桶集中收集后，由环卫部门定期清运处理。</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综上分析，本项目施工过程产生的固体废物都能够得到合理有效的处置，不会造成二次污染。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5" w:hRule="atLeast"/>
          <w:jc w:val="center"/>
        </w:trPr>
        <w:tc>
          <w:tcPr>
            <w:tcW w:w="155" w:type="pct"/>
            <w:tcMar>
              <w:left w:w="28" w:type="dxa"/>
              <w:right w:w="28" w:type="dxa"/>
            </w:tcMar>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Cs/>
                <w:color w:val="000000" w:themeColor="text1"/>
                <w:spacing w:val="0"/>
                <w:kern w:val="21"/>
                <w:position w:val="0"/>
                <w:sz w:val="24"/>
                <w:szCs w:val="22"/>
                <w14:textFill>
                  <w14:solidFill>
                    <w14:schemeClr w14:val="tx1"/>
                  </w14:solidFill>
                </w14:textFill>
              </w:rPr>
              <w:t>运营期环境影响和保护措施</w:t>
            </w:r>
          </w:p>
        </w:tc>
        <w:tc>
          <w:tcPr>
            <w:tcW w:w="4844" w:type="pct"/>
          </w:tcPr>
          <w:p>
            <w:pPr>
              <w:pageBreakBefore w:val="0"/>
              <w:widowControl/>
              <w:kinsoku/>
              <w:overflowPunct/>
              <w:autoSpaceDE/>
              <w:autoSpaceDN/>
              <w:bidi w:val="0"/>
              <w:spacing w:line="360" w:lineRule="auto"/>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一、废气影响分析和保护措施</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根据项目产污环节识别结果，</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本项目废气主要包括木料粉尘、封边废气、</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喷漆废气、漆料打磨废气、焊接烟尘、喷塑粉尘、固化废气、贴棉废气</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widowControl/>
              <w:numPr>
                <w:ilvl w:val="0"/>
                <w:numId w:val="33"/>
              </w:numPr>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有组织废气</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（1）木料粉尘</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本项目木材开料、铣型、钻孔、砂光等工序会产生木料加工粉尘，主要污染物为颗粒物。</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本项目木料废气产污系数</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参考《排放源统计调查产排污核算方法和系数手册》中“211木质家具制造行业系数手册”，</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具体见下表。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木料</w:t>
            </w:r>
            <w:r>
              <w:rPr>
                <w:rFonts w:ascii="Times New Roman" w:hAnsi="Times New Roman" w:eastAsia="宋体" w:cs="Times New Roman"/>
                <w:b/>
                <w:color w:val="000000" w:themeColor="text1"/>
                <w:spacing w:val="0"/>
                <w:kern w:val="21"/>
                <w:position w:val="0"/>
                <w:szCs w:val="21"/>
                <w14:textFill>
                  <w14:solidFill>
                    <w14:schemeClr w14:val="tx1"/>
                  </w14:solidFill>
                </w14:textFill>
              </w:rPr>
              <w:t>粉尘产污系数</w:t>
            </w:r>
          </w:p>
          <w:tbl>
            <w:tblPr>
              <w:tblStyle w:val="20"/>
              <w:tblW w:w="496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33"/>
              <w:gridCol w:w="1059"/>
              <w:gridCol w:w="1179"/>
              <w:gridCol w:w="785"/>
              <w:gridCol w:w="1318"/>
              <w:gridCol w:w="1672"/>
              <w:gridCol w:w="10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9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产品名称</w:t>
                  </w:r>
                </w:p>
              </w:tc>
              <w:tc>
                <w:tcPr>
                  <w:tcW w:w="62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原料名称</w:t>
                  </w:r>
                </w:p>
              </w:tc>
              <w:tc>
                <w:tcPr>
                  <w:tcW w:w="70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工艺名称</w:t>
                  </w:r>
                </w:p>
              </w:tc>
              <w:tc>
                <w:tcPr>
                  <w:tcW w:w="46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规模等级</w:t>
                  </w:r>
                </w:p>
              </w:tc>
              <w:tc>
                <w:tcPr>
                  <w:tcW w:w="78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污染物指标</w:t>
                  </w:r>
                </w:p>
              </w:tc>
              <w:tc>
                <w:tcPr>
                  <w:tcW w:w="99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单位</w:t>
                  </w:r>
                </w:p>
              </w:tc>
              <w:tc>
                <w:tcPr>
                  <w:tcW w:w="635"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产污系数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92"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实木家具、人造板家具</w:t>
                  </w:r>
                </w:p>
              </w:tc>
              <w:tc>
                <w:tcPr>
                  <w:tcW w:w="629"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实木、人造板</w:t>
                  </w:r>
                </w:p>
              </w:tc>
              <w:tc>
                <w:tcPr>
                  <w:tcW w:w="700"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机加工</w:t>
                  </w:r>
                </w:p>
              </w:tc>
              <w:tc>
                <w:tcPr>
                  <w:tcW w:w="466"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所有规模</w:t>
                  </w:r>
                </w:p>
              </w:tc>
              <w:tc>
                <w:tcPr>
                  <w:tcW w:w="78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工业废气量</w:t>
                  </w:r>
                </w:p>
              </w:tc>
              <w:tc>
                <w:tcPr>
                  <w:tcW w:w="99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标立方米/立方米-原料</w:t>
                  </w:r>
                </w:p>
              </w:tc>
              <w:tc>
                <w:tcPr>
                  <w:tcW w:w="635"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92"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629"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00"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466"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8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颗粒物</w:t>
                  </w:r>
                </w:p>
              </w:tc>
              <w:tc>
                <w:tcPr>
                  <w:tcW w:w="99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克/立方米-原料</w:t>
                  </w:r>
                </w:p>
              </w:tc>
              <w:tc>
                <w:tcPr>
                  <w:tcW w:w="635"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150</w:t>
                  </w:r>
                </w:p>
              </w:tc>
            </w:tr>
          </w:tbl>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部分木材</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加工工序在1#厂房木业车间进行，</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木材加工量约</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为10500m</w:t>
            </w:r>
            <w:r>
              <w:rPr>
                <w:rFonts w:ascii="Times New Roman" w:hAnsi="Times New Roman" w:eastAsia="宋体" w:cs="Times New Roman"/>
                <w:color w:val="000000" w:themeColor="text1"/>
                <w:spacing w:val="0"/>
                <w:kern w:val="21"/>
                <w:position w:val="0"/>
                <w:sz w:val="24"/>
                <w:szCs w:val="22"/>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/a，木料加工工序日工作</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16</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h，年工作</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5280</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h，本项目</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1#厂房</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木料粉尘产生量为</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0.2983</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kg/h（1.575t/a）。</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部分</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木材加工在2#厂房实木车间进行，</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木材加工量约</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为22000m</w:t>
            </w:r>
            <w:r>
              <w:rPr>
                <w:rFonts w:ascii="Times New Roman" w:hAnsi="Times New Roman" w:eastAsia="宋体" w:cs="Times New Roman"/>
                <w:color w:val="000000" w:themeColor="text1"/>
                <w:spacing w:val="0"/>
                <w:kern w:val="21"/>
                <w:position w:val="0"/>
                <w:sz w:val="24"/>
                <w:szCs w:val="22"/>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/a，木料加工工序日工作</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16</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h，年工作</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5280</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h，本项目</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2#厂房</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木料粉尘产生量为</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0.6250</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kg/h（3.3t/a）。</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1#厂房木业车间</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在推台锯、开料机、吊镂、刨床、排钻、镂铣机等产尘设备的产尘口设置随产尘口移动的风管，各产尘点产生的粉尘通过产尘口处的抽风管收集后（收集效率90%），汇入总管道进入TA001中央除尘器处理后通过1根20m高排气筒（DA001）排放。</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4"/>
                <w:lang w:bidi="ar"/>
                <w14:textFill>
                  <w14:solidFill>
                    <w14:schemeClr w14:val="tx1"/>
                  </w14:solidFill>
                </w14:textFill>
              </w:rPr>
              <w:t>本</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项目</w:t>
            </w:r>
            <w:r>
              <w:rPr>
                <w:rFonts w:ascii="Times New Roman" w:hAnsi="Times New Roman" w:eastAsia="宋体" w:cs="Times New Roman"/>
                <w:color w:val="000000" w:themeColor="text1"/>
                <w:spacing w:val="0"/>
                <w:kern w:val="21"/>
                <w:position w:val="0"/>
                <w:sz w:val="24"/>
                <w:szCs w:val="24"/>
                <w:lang w:bidi="ar"/>
                <w14:textFill>
                  <w14:solidFill>
                    <w14:schemeClr w14:val="tx1"/>
                  </w14:solidFill>
                </w14:textFill>
              </w:rPr>
              <w:t>2#厂房实木车间</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在推台锯、开料机、吊镂、刨床、排钻、镂铣机等产尘设备的产尘口设置随产尘口移动的风管，各产尘点产生的粉尘通过产尘口处的抽风管收集后（收集效率90%），汇入总管道进入TA002中央除尘器处理后通过1根20m高排气筒（DA00</w:t>
            </w:r>
            <w:r>
              <w:rPr>
                <w:rFonts w:hint="eastAsia" w:ascii="Times New Roman" w:hAnsi="Times New Roman" w:eastAsia="宋体" w:cs="Times New Roman"/>
                <w:color w:val="000000" w:themeColor="text1"/>
                <w:spacing w:val="0"/>
                <w:kern w:val="21"/>
                <w:position w:val="0"/>
                <w:sz w:val="24"/>
                <w:szCs w:val="24"/>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）排放。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本项目木料粉尘收集管道设置在生产设备的产尘口处，与产尘口距离小于10cm，</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风机工作使管道产生负压吸尘，含有木屑颗粒的气流经过风机输送至末端的</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中央除尘设备</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中，可实现各作业点的粉尘统一收集，</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确保收集效率达到90%。</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中央除尘器采用脉冲式布袋除尘工艺，主要包括各工位抽风气管、排风总管、末端脉冲袋滤式除尘器、输送槽、储料仓、输送管道、打包房等。当含尘气体由进风口进入除尘器，首先碰到进出风口中间的斜板及挡板，气流便转向流入灰斗，同时气流速度放慢，由于惯性作用，使气体中粗颗粒粉尘直接流入灰斗。起预收尘的作用，进入灰斗的气流随后折而向上通过内部装有金属骨架的滤袋粉尘被捕集在滤袋的外表面，净化后的气体进入滤袋室上部清洁室，汇集到出风口排出。</w:t>
            </w:r>
          </w:p>
          <w:p>
            <w:pPr>
              <w:pStyle w:val="35"/>
              <w:pageBreakBefore w:val="0"/>
              <w:kinsoku/>
              <w:overflowPunct/>
              <w:autoSpaceDE/>
              <w:autoSpaceDN/>
              <w:bidi w:val="0"/>
              <w:snapToGrid w:val="0"/>
              <w:spacing w:before="62" w:beforeLines="20" w:after="62" w:afterLines="20"/>
              <w:jc w:val="center"/>
              <w:textAlignment w:val="auto"/>
              <w:rPr>
                <w:rFonts w:ascii="Times New Roman" w:cs="Times New Roman"/>
                <w:color w:val="000000" w:themeColor="text1"/>
                <w:spacing w:val="0"/>
                <w:kern w:val="21"/>
                <w:position w:val="0"/>
                <w:sz w:val="21"/>
                <w:szCs w:val="21"/>
                <w14:textFill>
                  <w14:solidFill>
                    <w14:schemeClr w14:val="tx1"/>
                  </w14:solidFill>
                </w14:textFill>
              </w:rPr>
            </w:pPr>
            <w:r>
              <w:rPr>
                <w:rFonts w:ascii="Times New Roman" w:cs="Times New Roman"/>
                <w:color w:val="000000" w:themeColor="text1"/>
                <w:spacing w:val="0"/>
                <w:kern w:val="21"/>
                <w:position w:val="0"/>
                <w:sz w:val="21"/>
                <w:szCs w:val="21"/>
                <w14:textFill>
                  <w14:solidFill>
                    <w14:schemeClr w14:val="tx1"/>
                  </w14:solidFill>
                </w14:textFill>
              </w:rPr>
              <w:drawing>
                <wp:inline distT="0" distB="0" distL="114300" distR="114300">
                  <wp:extent cx="5203825" cy="2812415"/>
                  <wp:effectExtent l="9525" t="9525" r="25400" b="1651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48"/>
                          <a:srcRect t="5789" r="3127"/>
                          <a:stretch>
                            <a:fillRect/>
                          </a:stretch>
                        </pic:blipFill>
                        <pic:spPr>
                          <a:xfrm>
                            <a:off x="0" y="0"/>
                            <a:ext cx="5203825" cy="2812415"/>
                          </a:xfrm>
                          <a:prstGeom prst="rect">
                            <a:avLst/>
                          </a:prstGeom>
                          <a:noFill/>
                          <a:ln>
                            <a:solidFill>
                              <a:schemeClr val="tx1"/>
                            </a:solidFill>
                          </a:ln>
                        </pic:spPr>
                      </pic:pic>
                    </a:graphicData>
                  </a:graphic>
                </wp:inline>
              </w:drawing>
            </w:r>
          </w:p>
          <w:p>
            <w:pPr>
              <w:pStyle w:val="48"/>
              <w:pageBreakBefore w:val="0"/>
              <w:widowControl/>
              <w:numPr>
                <w:ilvl w:val="0"/>
                <w:numId w:val="35"/>
              </w:numPr>
              <w:kinsoku/>
              <w:overflowPunct/>
              <w:autoSpaceDE/>
              <w:autoSpaceDN/>
              <w:bidi w:val="0"/>
              <w:snapToGrid w:val="0"/>
              <w:spacing w:before="62" w:beforeLines="20" w:after="62" w:afterLines="20" w:line="240" w:lineRule="auto"/>
              <w:ind w:left="0" w:firstLine="0" w:firstLineChars="0"/>
              <w:textAlignment w:val="auto"/>
              <w:rPr>
                <w:color w:val="000000" w:themeColor="text1"/>
                <w:spacing w:val="0"/>
                <w:kern w:val="21"/>
                <w:position w:val="0"/>
                <w:sz w:val="21"/>
                <w:szCs w:val="21"/>
                <w14:textFill>
                  <w14:solidFill>
                    <w14:schemeClr w14:val="tx1"/>
                  </w14:solidFill>
                </w14:textFill>
              </w:rPr>
            </w:pPr>
            <w:r>
              <w:rPr>
                <w:color w:val="000000" w:themeColor="text1"/>
                <w:spacing w:val="0"/>
                <w:kern w:val="21"/>
                <w:position w:val="0"/>
                <w:sz w:val="21"/>
                <w:szCs w:val="21"/>
                <w14:textFill>
                  <w14:solidFill>
                    <w14:schemeClr w14:val="tx1"/>
                  </w14:solidFill>
                </w14:textFill>
              </w:rPr>
              <w:t>中央除尘系统侧面示意图</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风机风量核算：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1#木业车间设置14台木工设备（断料机、方木多片锯、多片锯开料机、液压带锯机、刨槽机、剪板机、折弯机等）；2#实木车间设置35台木工设备（精密推台锯、CNC数控实木开料机、前上料电子锯、双头锯、榫槽机、木工钻床、镂铣机、铣床、制榫机、刨床等），每台设备配备1根吸气软管。</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参照《环境工程设计手册废气处理工程技术手册》，设计风量计算可按照以下公式计算：</w:t>
            </w:r>
          </w:p>
          <w:p>
            <w:pPr>
              <w:pageBreakBefore w:val="0"/>
              <w:kinsoku/>
              <w:overflowPunct/>
              <w:autoSpaceDE/>
              <w:autoSpaceDN/>
              <w:bidi w:val="0"/>
              <w:adjustRightInd w:val="0"/>
              <w:spacing w:line="360" w:lineRule="auto"/>
              <w:ind w:firstLine="480" w:firstLineChars="200"/>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object>
                <v:shape id="_x0000_i1038" o:spt="75" type="#_x0000_t75" style="height:16pt;width:82pt;" o:ole="t" filled="f" o:preferrelative="t" stroked="f" coordsize="21600,21600">
                  <v:path/>
                  <v:fill on="f" focussize="0,0"/>
                  <v:stroke on="f" joinstyle="miter"/>
                  <v:imagedata r:id="rId50" o:title=""/>
                  <o:lock v:ext="edit" aspectratio="t"/>
                  <w10:wrap type="none"/>
                  <w10:anchorlock/>
                </v:shape>
                <o:OLEObject Type="Embed" ProgID="Equation.3" ShapeID="_x0000_i1038" DrawAspect="Content" ObjectID="_1468075738" r:id="rId49">
                  <o:LockedField>false</o:LockedField>
                </o:OLEObject>
              </w:object>
            </w:r>
          </w:p>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式中：</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Q——所需风量，m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k——考虑沿高度分布不均匀的安全系数，1.4；</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P——集气罩口敞开面的周长，m；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H——罩口至污染源距离，m；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Vx——污染源边缘控制风速，m/s。</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根据建设单位所提供的设备尺寸，软管吸气口直径约10cm，吸尘口距离操作口0.1m，为满足收集率，考虑木质粉尘重量，项目吸风速率按1.5m/s核算，则本项目1#木业车间木料粉尘理论集气风量约3418.3m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/h，设计风机风量取5000m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/h；2#</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实木车间</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木料粉尘理论集气风量约8545.8m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/h，设计风机风量取10000m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本项目木料粉尘</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收集系统</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056"/>
              <w:gridCol w:w="1056"/>
              <w:gridCol w:w="1007"/>
              <w:gridCol w:w="1258"/>
              <w:gridCol w:w="1059"/>
              <w:gridCol w:w="1175"/>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工序</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产污节点</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收集方式</w:t>
                  </w:r>
                </w:p>
              </w:tc>
              <w:tc>
                <w:tcPr>
                  <w:tcW w:w="61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集气罩周长（m）</w:t>
                  </w:r>
                </w:p>
              </w:tc>
              <w:tc>
                <w:tcPr>
                  <w:tcW w:w="7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罩口距污染源距离（m）</w:t>
                  </w:r>
                </w:p>
              </w:tc>
              <w:tc>
                <w:tcPr>
                  <w:tcW w:w="5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集气风速（m/s）</w:t>
                  </w:r>
                </w:p>
              </w:tc>
              <w:tc>
                <w:tcPr>
                  <w:tcW w:w="63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风量（m³/h）</w:t>
                  </w:r>
                </w:p>
              </w:tc>
              <w:tc>
                <w:tcPr>
                  <w:tcW w:w="66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设计风量（m³/h）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木料加工</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木材加工×14</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集气管×14</w:t>
                  </w:r>
                </w:p>
              </w:tc>
              <w:tc>
                <w:tcPr>
                  <w:tcW w:w="61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bookmarkStart w:id="24" w:name="OLE_LINK13"/>
                  <w:r>
                    <w:rPr>
                      <w:rFonts w:ascii="Times New Roman" w:hAnsi="Times New Roman" w:eastAsia="宋体" w:cs="Times New Roman"/>
                      <w:color w:val="000000" w:themeColor="text1"/>
                      <w:spacing w:val="0"/>
                      <w:kern w:val="21"/>
                      <w:position w:val="0"/>
                      <w:szCs w:val="21"/>
                      <w14:textFill>
                        <w14:solidFill>
                          <w14:schemeClr w14:val="tx1"/>
                        </w14:solidFill>
                      </w14:textFill>
                    </w:rPr>
                    <w:t>0.314</w:t>
                  </w:r>
                  <w:bookmarkEnd w:id="24"/>
                </w:p>
              </w:tc>
              <w:tc>
                <w:tcPr>
                  <w:tcW w:w="7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w:t>
                  </w:r>
                </w:p>
              </w:tc>
              <w:tc>
                <w:tcPr>
                  <w:tcW w:w="5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63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3418.3</w:t>
                  </w:r>
                </w:p>
              </w:tc>
              <w:tc>
                <w:tcPr>
                  <w:tcW w:w="66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木材加工×35</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集气管×35</w:t>
                  </w:r>
                </w:p>
              </w:tc>
              <w:tc>
                <w:tcPr>
                  <w:tcW w:w="61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0.314</w:t>
                  </w:r>
                </w:p>
              </w:tc>
              <w:tc>
                <w:tcPr>
                  <w:tcW w:w="76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w:t>
                  </w:r>
                </w:p>
              </w:tc>
              <w:tc>
                <w:tcPr>
                  <w:tcW w:w="5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63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8545.8</w:t>
                  </w:r>
                </w:p>
              </w:tc>
              <w:tc>
                <w:tcPr>
                  <w:tcW w:w="66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10000</w:t>
                  </w: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bCs/>
                <w:color w:val="000000" w:themeColor="text1"/>
                <w:spacing w:val="0"/>
                <w:kern w:val="21"/>
                <w:position w:val="0"/>
                <w:sz w:val="24"/>
                <w14:textFill>
                  <w14:solidFill>
                    <w14:schemeClr w14:val="tx1"/>
                  </w14:solidFill>
                </w14:textFill>
              </w:rPr>
              <w:t>根据源强核算结果和处理设施设计参数，本项目木料粉尘有组织排放达标情况见下表。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本项目木料粉尘有组织源强及排放情况一览表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714"/>
              <w:gridCol w:w="1020"/>
              <w:gridCol w:w="1046"/>
              <w:gridCol w:w="758"/>
              <w:gridCol w:w="781"/>
              <w:gridCol w:w="758"/>
              <w:gridCol w:w="1020"/>
              <w:gridCol w:w="853"/>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vMerge w:val="restar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污染源</w:t>
                  </w:r>
                </w:p>
              </w:tc>
              <w:tc>
                <w:tcPr>
                  <w:tcW w:w="450" w:type="pct"/>
                  <w:vMerge w:val="restar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污染物</w:t>
                  </w:r>
                </w:p>
              </w:tc>
              <w:tc>
                <w:tcPr>
                  <w:tcW w:w="591" w:type="pct"/>
                  <w:vMerge w:val="restar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产生源强（kg/h）</w:t>
                  </w:r>
                </w:p>
              </w:tc>
              <w:tc>
                <w:tcPr>
                  <w:tcW w:w="1006" w:type="pct"/>
                  <w:gridSpan w:val="2"/>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收集系统</w:t>
                  </w:r>
                </w:p>
              </w:tc>
              <w:tc>
                <w:tcPr>
                  <w:tcW w:w="964" w:type="pct"/>
                  <w:gridSpan w:val="2"/>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b/>
                      <w:bCs/>
                      <w:color w:val="000000" w:themeColor="text1"/>
                      <w:spacing w:val="0"/>
                      <w:kern w:val="21"/>
                      <w:position w:val="0"/>
                      <w:sz w:val="18"/>
                      <w:szCs w:val="18"/>
                      <w14:textFill>
                        <w14:solidFill>
                          <w14:schemeClr w14:val="tx1"/>
                        </w14:solidFill>
                      </w14:textFill>
                    </w:rPr>
                  </w:pPr>
                  <w:r>
                    <w:rPr>
                      <w:rFonts w:ascii="Times New Roman" w:cs="Times New Roman"/>
                      <w:b/>
                      <w:color w:val="000000" w:themeColor="text1"/>
                      <w:spacing w:val="0"/>
                      <w:kern w:val="21"/>
                      <w:position w:val="0"/>
                      <w:sz w:val="18"/>
                      <w:szCs w:val="18"/>
                      <w14:textFill>
                        <w14:solidFill>
                          <w14:schemeClr w14:val="tx1"/>
                        </w14:solidFill>
                      </w14:textFill>
                    </w:rPr>
                    <w:t>治理措施参数</w:t>
                  </w:r>
                </w:p>
              </w:tc>
              <w:tc>
                <w:tcPr>
                  <w:tcW w:w="1105" w:type="pct"/>
                  <w:gridSpan w:val="2"/>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b/>
                      <w:bCs/>
                      <w:color w:val="000000" w:themeColor="text1"/>
                      <w:spacing w:val="0"/>
                      <w:kern w:val="21"/>
                      <w:position w:val="0"/>
                      <w:sz w:val="18"/>
                      <w:szCs w:val="18"/>
                      <w14:textFill>
                        <w14:solidFill>
                          <w14:schemeClr w14:val="tx1"/>
                        </w14:solidFill>
                      </w14:textFill>
                    </w:rPr>
                  </w:pPr>
                  <w:r>
                    <w:rPr>
                      <w:rFonts w:ascii="Times New Roman"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b/>
                      <w:bCs/>
                      <w:color w:val="000000" w:themeColor="text1"/>
                      <w:spacing w:val="0"/>
                      <w:kern w:val="21"/>
                      <w:position w:val="0"/>
                      <w:sz w:val="18"/>
                      <w:szCs w:val="18"/>
                      <w14:textFill>
                        <w14:solidFill>
                          <w14:schemeClr w14:val="tx1"/>
                        </w14:solidFill>
                      </w14:textFill>
                    </w:rPr>
                  </w:pPr>
                  <w:r>
                    <w:rPr>
                      <w:rFonts w:ascii="Times New Roman"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vMerge w:val="continue"/>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b/>
                      <w:bCs/>
                      <w:color w:val="000000" w:themeColor="text1"/>
                      <w:spacing w:val="0"/>
                      <w:kern w:val="21"/>
                      <w:position w:val="0"/>
                      <w:sz w:val="18"/>
                      <w:szCs w:val="18"/>
                      <w14:textFill>
                        <w14:solidFill>
                          <w14:schemeClr w14:val="tx1"/>
                        </w14:solidFill>
                      </w14:textFill>
                    </w:rPr>
                  </w:pPr>
                </w:p>
              </w:tc>
              <w:tc>
                <w:tcPr>
                  <w:tcW w:w="450" w:type="pct"/>
                  <w:vMerge w:val="continue"/>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b/>
                      <w:bCs/>
                      <w:color w:val="000000" w:themeColor="text1"/>
                      <w:spacing w:val="0"/>
                      <w:kern w:val="21"/>
                      <w:position w:val="0"/>
                      <w:sz w:val="18"/>
                      <w:szCs w:val="18"/>
                      <w14:textFill>
                        <w14:solidFill>
                          <w14:schemeClr w14:val="tx1"/>
                        </w14:solidFill>
                      </w14:textFill>
                    </w:rPr>
                  </w:pPr>
                </w:p>
              </w:tc>
              <w:tc>
                <w:tcPr>
                  <w:tcW w:w="591" w:type="pct"/>
                  <w:vMerge w:val="continue"/>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cs="Times New Roman"/>
                      <w:b/>
                      <w:color w:val="000000" w:themeColor="text1"/>
                      <w:spacing w:val="0"/>
                      <w:kern w:val="21"/>
                      <w:position w:val="0"/>
                      <w:sz w:val="18"/>
                      <w:szCs w:val="18"/>
                      <w14:textFill>
                        <w14:solidFill>
                          <w14:schemeClr w14:val="tx1"/>
                        </w14:solidFill>
                      </w14:textFill>
                    </w:rPr>
                    <w:t>/h）</w:t>
                  </w:r>
                </w:p>
              </w:tc>
              <w:tc>
                <w:tcPr>
                  <w:tcW w:w="4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集气效率（%）</w:t>
                  </w:r>
                </w:p>
              </w:tc>
              <w:tc>
                <w:tcPr>
                  <w:tcW w:w="511"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措施</w:t>
                  </w:r>
                </w:p>
              </w:tc>
              <w:tc>
                <w:tcPr>
                  <w:tcW w:w="4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处理效率（%）</w:t>
                  </w:r>
                </w:p>
              </w:tc>
              <w:tc>
                <w:tcPr>
                  <w:tcW w:w="552"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排放速率（kg/h）</w:t>
                  </w:r>
                </w:p>
              </w:tc>
              <w:tc>
                <w:tcPr>
                  <w:tcW w:w="5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vMerge w:val="restart"/>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color w:val="000000" w:themeColor="text1"/>
                      <w:spacing w:val="0"/>
                      <w:kern w:val="21"/>
                      <w:position w:val="0"/>
                      <w:sz w:val="18"/>
                      <w:szCs w:val="18"/>
                      <w14:textFill>
                        <w14:solidFill>
                          <w14:schemeClr w14:val="tx1"/>
                        </w14:solidFill>
                      </w14:textFill>
                    </w:rPr>
                  </w:pPr>
                  <w:r>
                    <w:rPr>
                      <w:rFonts w:ascii="Times New Roman" w:cs="Times New Roman"/>
                      <w:color w:val="000000" w:themeColor="text1"/>
                      <w:spacing w:val="0"/>
                      <w:kern w:val="21"/>
                      <w:position w:val="0"/>
                      <w:sz w:val="18"/>
                      <w:szCs w:val="18"/>
                      <w14:textFill>
                        <w14:solidFill>
                          <w14:schemeClr w14:val="tx1"/>
                        </w14:solidFill>
                      </w14:textFill>
                    </w:rPr>
                    <w:t>木料加工</w:t>
                  </w:r>
                </w:p>
              </w:tc>
              <w:tc>
                <w:tcPr>
                  <w:tcW w:w="450" w:type="pct"/>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color w:val="000000" w:themeColor="text1"/>
                      <w:spacing w:val="0"/>
                      <w:kern w:val="21"/>
                      <w:position w:val="0"/>
                      <w:sz w:val="18"/>
                      <w:szCs w:val="18"/>
                      <w14:textFill>
                        <w14:solidFill>
                          <w14:schemeClr w14:val="tx1"/>
                        </w14:solidFill>
                      </w14:textFill>
                    </w:rPr>
                  </w:pPr>
                  <w:r>
                    <w:rPr>
                      <w:rFonts w:ascii="Times New Roman" w:cs="Times New Roman"/>
                      <w:color w:val="000000" w:themeColor="text1"/>
                      <w:spacing w:val="0"/>
                      <w:kern w:val="21"/>
                      <w:position w:val="0"/>
                      <w:sz w:val="18"/>
                      <w:szCs w:val="18"/>
                      <w14:textFill>
                        <w14:solidFill>
                          <w14:schemeClr w14:val="tx1"/>
                        </w14:solidFill>
                      </w14:textFill>
                    </w:rPr>
                    <w:t>颗粒物</w:t>
                  </w:r>
                </w:p>
              </w:tc>
              <w:tc>
                <w:tcPr>
                  <w:tcW w:w="591" w:type="pct"/>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color w:val="000000" w:themeColor="text1"/>
                      <w:spacing w:val="0"/>
                      <w:kern w:val="21"/>
                      <w:position w:val="0"/>
                      <w:sz w:val="18"/>
                      <w:szCs w:val="18"/>
                      <w14:textFill>
                        <w14:solidFill>
                          <w14:schemeClr w14:val="tx1"/>
                        </w14:solidFill>
                      </w14:textFill>
                    </w:rPr>
                  </w:pPr>
                  <w:r>
                    <w:rPr>
                      <w:rFonts w:hint="eastAsia" w:ascii="Times New Roman" w:cs="Times New Roman"/>
                      <w:color w:val="000000" w:themeColor="text1"/>
                      <w:spacing w:val="0"/>
                      <w:kern w:val="21"/>
                      <w:position w:val="0"/>
                      <w:sz w:val="18"/>
                      <w:szCs w:val="18"/>
                      <w14:textFill>
                        <w14:solidFill>
                          <w14:schemeClr w14:val="tx1"/>
                        </w14:solidFill>
                      </w14:textFill>
                    </w:rPr>
                    <w:t>0.2983</w:t>
                  </w:r>
                </w:p>
              </w:tc>
              <w:tc>
                <w:tcPr>
                  <w:tcW w:w="5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5000</w:t>
                  </w:r>
                </w:p>
              </w:tc>
              <w:tc>
                <w:tcPr>
                  <w:tcW w:w="4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90</w:t>
                  </w:r>
                </w:p>
              </w:tc>
              <w:tc>
                <w:tcPr>
                  <w:tcW w:w="511" w:type="pct"/>
                  <w:vMerge w:val="restar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中央除尘器</w:t>
                  </w:r>
                </w:p>
              </w:tc>
              <w:tc>
                <w:tcPr>
                  <w:tcW w:w="453" w:type="pct"/>
                  <w:vMerge w:val="restar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99</w:t>
                  </w:r>
                </w:p>
              </w:tc>
              <w:tc>
                <w:tcPr>
                  <w:tcW w:w="552"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0.0027</w:t>
                  </w:r>
                </w:p>
              </w:tc>
              <w:tc>
                <w:tcPr>
                  <w:tcW w:w="5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0.0142</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DA001（20m）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vMerge w:val="continue"/>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color w:val="000000" w:themeColor="text1"/>
                      <w:spacing w:val="0"/>
                      <w:kern w:val="21"/>
                      <w:position w:val="0"/>
                      <w:sz w:val="18"/>
                      <w:szCs w:val="18"/>
                      <w14:textFill>
                        <w14:solidFill>
                          <w14:schemeClr w14:val="tx1"/>
                        </w14:solidFill>
                      </w14:textFill>
                    </w:rPr>
                  </w:pPr>
                </w:p>
              </w:tc>
              <w:tc>
                <w:tcPr>
                  <w:tcW w:w="450" w:type="pct"/>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color w:val="000000" w:themeColor="text1"/>
                      <w:spacing w:val="0"/>
                      <w:kern w:val="21"/>
                      <w:position w:val="0"/>
                      <w:sz w:val="18"/>
                      <w:szCs w:val="18"/>
                      <w14:textFill>
                        <w14:solidFill>
                          <w14:schemeClr w14:val="tx1"/>
                        </w14:solidFill>
                      </w14:textFill>
                    </w:rPr>
                  </w:pPr>
                  <w:r>
                    <w:rPr>
                      <w:rFonts w:ascii="Times New Roman" w:cs="Times New Roman"/>
                      <w:color w:val="000000" w:themeColor="text1"/>
                      <w:spacing w:val="0"/>
                      <w:kern w:val="21"/>
                      <w:position w:val="0"/>
                      <w:sz w:val="18"/>
                      <w:szCs w:val="18"/>
                      <w14:textFill>
                        <w14:solidFill>
                          <w14:schemeClr w14:val="tx1"/>
                        </w14:solidFill>
                      </w14:textFill>
                    </w:rPr>
                    <w:t>颗粒物</w:t>
                  </w:r>
                </w:p>
              </w:tc>
              <w:tc>
                <w:tcPr>
                  <w:tcW w:w="591" w:type="pct"/>
                  <w:vAlign w:val="center"/>
                </w:tcPr>
                <w:p>
                  <w:pPr>
                    <w:pStyle w:val="35"/>
                    <w:pageBreakBefore w:val="0"/>
                    <w:widowControl/>
                    <w:kinsoku/>
                    <w:overflowPunct/>
                    <w:autoSpaceDE/>
                    <w:autoSpaceDN/>
                    <w:bidi w:val="0"/>
                    <w:snapToGrid w:val="0"/>
                    <w:spacing w:before="62" w:beforeLines="20" w:after="62" w:afterLines="20"/>
                    <w:jc w:val="center"/>
                    <w:textAlignment w:val="auto"/>
                    <w:rPr>
                      <w:rFonts w:ascii="Times New Roman" w:cs="Times New Roman"/>
                      <w:color w:val="000000" w:themeColor="text1"/>
                      <w:spacing w:val="0"/>
                      <w:kern w:val="21"/>
                      <w:position w:val="0"/>
                      <w:sz w:val="18"/>
                      <w:szCs w:val="18"/>
                      <w14:textFill>
                        <w14:solidFill>
                          <w14:schemeClr w14:val="tx1"/>
                        </w14:solidFill>
                      </w14:textFill>
                    </w:rPr>
                  </w:pPr>
                  <w:r>
                    <w:rPr>
                      <w:rFonts w:hint="eastAsia" w:ascii="Times New Roman" w:cs="Times New Roman"/>
                      <w:color w:val="000000" w:themeColor="text1"/>
                      <w:spacing w:val="0"/>
                      <w:kern w:val="21"/>
                      <w:position w:val="0"/>
                      <w:sz w:val="18"/>
                      <w:szCs w:val="18"/>
                      <w14:textFill>
                        <w14:solidFill>
                          <w14:schemeClr w14:val="tx1"/>
                        </w14:solidFill>
                      </w14:textFill>
                    </w:rPr>
                    <w:t>0.6250</w:t>
                  </w:r>
                </w:p>
              </w:tc>
              <w:tc>
                <w:tcPr>
                  <w:tcW w:w="5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10000</w:t>
                  </w:r>
                </w:p>
              </w:tc>
              <w:tc>
                <w:tcPr>
                  <w:tcW w:w="4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r>
                    <w:rPr>
                      <w:rFonts w:ascii="Times New Roman" w:hAnsi="Times New Roman" w:cs="Times New Roman"/>
                      <w:color w:val="000000" w:themeColor="text1"/>
                      <w:spacing w:val="0"/>
                      <w:kern w:val="21"/>
                      <w:position w:val="0"/>
                      <w:sz w:val="18"/>
                      <w:szCs w:val="18"/>
                      <w14:textFill>
                        <w14:solidFill>
                          <w14:schemeClr w14:val="tx1"/>
                        </w14:solidFill>
                      </w14:textFill>
                    </w:rPr>
                    <w:t>90</w:t>
                  </w:r>
                </w:p>
              </w:tc>
              <w:tc>
                <w:tcPr>
                  <w:tcW w:w="511" w:type="pct"/>
                  <w:vMerge w:val="continue"/>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p>
              </w:tc>
              <w:tc>
                <w:tcPr>
                  <w:tcW w:w="453" w:type="pct"/>
                  <w:vMerge w:val="continue"/>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p>
              </w:tc>
              <w:tc>
                <w:tcPr>
                  <w:tcW w:w="552"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cs="Times New Roman"/>
                      <w:color w:val="000000" w:themeColor="text1"/>
                      <w:spacing w:val="0"/>
                      <w:kern w:val="21"/>
                      <w:position w:val="0"/>
                      <w:sz w:val="18"/>
                      <w:szCs w:val="18"/>
                      <w14:textFill>
                        <w14:solidFill>
                          <w14:schemeClr w14:val="tx1"/>
                        </w14:solidFill>
                      </w14:textFill>
                    </w:rPr>
                    <w:t>0.0056</w:t>
                  </w:r>
                </w:p>
              </w:tc>
              <w:tc>
                <w:tcPr>
                  <w:tcW w:w="553" w:type="pct"/>
                  <w:vAlign w:val="center"/>
                </w:tcPr>
                <w:p>
                  <w:pPr>
                    <w:pStyle w:val="47"/>
                    <w:pageBreakBefore w:val="0"/>
                    <w:widowControl/>
                    <w:kinsoku/>
                    <w:overflowPunct/>
                    <w:autoSpaceDE/>
                    <w:autoSpaceDN/>
                    <w:bidi w:val="0"/>
                    <w:snapToGrid w:val="0"/>
                    <w:spacing w:before="62" w:beforeLines="20" w:after="62" w:afterLines="20"/>
                    <w:ind w:firstLine="0"/>
                    <w:jc w:val="center"/>
                    <w:textAlignment w:val="auto"/>
                    <w:rPr>
                      <w:rFonts w:ascii="Times New Roman" w:hAnsi="Times New Roman"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cs="Times New Roman"/>
                      <w:color w:val="000000" w:themeColor="text1"/>
                      <w:spacing w:val="0"/>
                      <w:kern w:val="21"/>
                      <w:position w:val="0"/>
                      <w:sz w:val="18"/>
                      <w:szCs w:val="18"/>
                      <w14:textFill>
                        <w14:solidFill>
                          <w14:schemeClr w14:val="tx1"/>
                        </w14:solidFill>
                      </w14:textFill>
                    </w:rPr>
                    <w:t>0.0297</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2</w:t>
                  </w: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（20m）</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根据上表，本项目颗粒物有组织排放能够满足《大气污染物综合排放标准》（GB 16297-1996）表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中标准限值。</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可行性分析：</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排污许可证申请与核发技术规范家具制造工业》（HJ1027-2019）中表6废气治理可行技术参照表，木工车间产生的颗粒物治理可行技术包括：中央除尘、袋式除尘。本项目木工粉尘治理采用中央除尘工艺，属于《排污许可证申请与核发技术规范家具制造工业》（HJ</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1027-2019）中的可行技术，污染防治措施可行。故项目采取环评提出的措施后，产生的粉尘对周边环境影响小。</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（2）封边废气</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木质家具生产过程中，需使用热熔胶对板材进行封边处理，本项目封边工艺中以热熔胶为粘合剂，热熔胶是一种可塑性的粘合剂，白色固体树脂，主要成分为EVA树脂（乙烯和醋酸乙烯在高温高压下的共聚物）。封边过程中，热熔胶熔融状态下将产生少量挥发性有机废气，主要污染物为VOCs。</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w:t>
            </w:r>
            <w:bookmarkStart w:id="25" w:name="OLE_LINK15"/>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热熔胶</w:t>
            </w:r>
            <w:bookmarkEnd w:id="25"/>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使用量约为1.5t/a，封边工序</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日工作</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h，年工作</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2640</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h，密度为1.3g/cm</w:t>
            </w:r>
            <w:r>
              <w:rPr>
                <w:rFonts w:ascii="Times New Roman" w:hAnsi="Times New Roman" w:eastAsia="宋体" w:cs="Times New Roman"/>
                <w:color w:val="000000" w:themeColor="text1"/>
                <w:spacing w:val="0"/>
                <w:kern w:val="21"/>
                <w:position w:val="0"/>
                <w:sz w:val="24"/>
                <w:szCs w:val="22"/>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根据热熔胶成分检测报告，本项目使用的热熔胶总挥发性有机物为未检出，本次评价以检出限2g/kg计，则封边废气产生量为0.00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11</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kg/h（0.003t/a）。</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w:t>
            </w: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措施</w:t>
            </w: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本项目共设置3台封边</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机，每台设备热融段上方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设置</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个</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顶吸式</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集气罩</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（收集效率80%）</w:t>
            </w:r>
            <w:r>
              <w:rPr>
                <w:rFonts w:ascii="Times New Roman" w:hAnsi="Times New Roman" w:eastAsia="宋体" w:cs="Times New Roman"/>
                <w:color w:val="000000" w:themeColor="text1"/>
                <w:spacing w:val="0"/>
                <w:kern w:val="21"/>
                <w:position w:val="0"/>
                <w:sz w:val="24"/>
                <w14:textFill>
                  <w14:solidFill>
                    <w14:schemeClr w14:val="tx1"/>
                  </w14:solidFill>
                </w14:textFill>
              </w:rPr>
              <w:t>，收集后的VOCs经</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1#</w:t>
            </w:r>
            <w:r>
              <w:rPr>
                <w:rFonts w:ascii="Times New Roman" w:hAnsi="Times New Roman" w:eastAsia="宋体" w:cs="Times New Roman"/>
                <w:color w:val="000000" w:themeColor="text1"/>
                <w:spacing w:val="0"/>
                <w:kern w:val="21"/>
                <w:position w:val="0"/>
                <w:sz w:val="24"/>
                <w14:textFill>
                  <w14:solidFill>
                    <w14:schemeClr w14:val="tx1"/>
                  </w14:solidFill>
                </w14:textFill>
              </w:rPr>
              <w:t>二级活性炭吸附装置处理（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处理效率以</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0%计）后通过</w:t>
            </w:r>
            <w:r>
              <w:rPr>
                <w:rFonts w:ascii="Times New Roman" w:hAnsi="Times New Roman" w:eastAsia="宋体" w:cs="Times New Roman"/>
                <w:color w:val="000000" w:themeColor="text1"/>
                <w:spacing w:val="0"/>
                <w:kern w:val="21"/>
                <w:position w:val="0"/>
                <w:sz w:val="24"/>
                <w14:textFill>
                  <w14:solidFill>
                    <w14:schemeClr w14:val="tx1"/>
                  </w14:solidFill>
                </w14:textFill>
              </w:rPr>
              <w:t>20m高排气筒（DA00</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）达标排放。</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风量核算：</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参考《四川省重点行业挥发性有机物控制技术手册（其他工业涂装行业）》对于有机废气收集系统风速要求，风量计算如下：</w:t>
            </w:r>
          </w:p>
          <w:p>
            <w:pPr>
              <w:pageBreakBefore w:val="0"/>
              <w:widowControl/>
              <w:kinsoku/>
              <w:overflowPunct/>
              <w:autoSpaceDE/>
              <w:autoSpaceDN/>
              <w:bidi w:val="0"/>
              <w:spacing w:line="360" w:lineRule="auto"/>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L</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F</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×3600</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式中：</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L</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——顶吸罩的计算风量，m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/h；</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——罩口平均风速，m/s，控制风速不应低于0.3m/s，本项目取0.5m/s；</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F</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——排风罩开口面面积，m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2</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集气罩罩口投影面积取0.5m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2</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，设计风速为0.5m/s，计算得单个集气罩的集气风量为900m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/h，则本项目封边废气收集系统所需风机总风量为2700m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/h，结合项目实际情况，本项目设计风机风量为3000m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/h，满足要求。</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本项目封边废气</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收集措施</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47"/>
              <w:gridCol w:w="1106"/>
              <w:gridCol w:w="959"/>
              <w:gridCol w:w="1059"/>
              <w:gridCol w:w="1175"/>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工序</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产污节点</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收集方式及数量</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投影面积（m</w:t>
                  </w:r>
                  <w:r>
                    <w:rPr>
                      <w:rFonts w:ascii="Times New Roman" w:hAnsi="Times New Roman" w:eastAsia="宋体" w:cs="Times New Roman"/>
                      <w:b/>
                      <w:bCs/>
                      <w:color w:val="000000" w:themeColor="text1"/>
                      <w:spacing w:val="0"/>
                      <w:kern w:val="21"/>
                      <w:position w:val="0"/>
                      <w:szCs w:val="21"/>
                      <w:vertAlign w:val="superscript"/>
                      <w:lang w:bidi="ar"/>
                      <w14:textFill>
                        <w14:solidFill>
                          <w14:schemeClr w14:val="tx1"/>
                        </w14:solidFill>
                      </w14:textFill>
                    </w:rPr>
                    <w:t>2</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w:t>
                  </w:r>
                </w:p>
              </w:tc>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集气风速（m/s）</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风量（m³/h）</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合计风量（m³/h）</w:t>
                  </w:r>
                </w:p>
              </w:tc>
              <w:tc>
                <w:tcPr>
                  <w:tcW w:w="643" w:type="pct"/>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设计风量（m³/h）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封边</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封边机×3</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集气罩×3</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0.5</w:t>
                  </w:r>
                </w:p>
              </w:tc>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0.50</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900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2700</w:t>
                  </w:r>
                </w:p>
              </w:tc>
              <w:tc>
                <w:tcPr>
                  <w:tcW w:w="643" w:type="pct"/>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3000</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参考《四川省重点行业挥发性有机物控制技术手册（其他工业涂装行业）》对于有机废气收集系统风速要求，对于外部罩其边缘风速应≥0.3m/s，本项目操作面有机废气控制风速均≥0.3m/s，其风速满足</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挥发</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性</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有机物</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收集系统要求。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据源强核算结果和处理设施计算参数，本项目封边废气有组织排放达标情况见下表。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封边废气源强及排污情况一览表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701"/>
              <w:gridCol w:w="1020"/>
              <w:gridCol w:w="1046"/>
              <w:gridCol w:w="765"/>
              <w:gridCol w:w="684"/>
              <w:gridCol w:w="758"/>
              <w:gridCol w:w="1020"/>
              <w:gridCol w:w="85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39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55"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1076"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923"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63"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39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5"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52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47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4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8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47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封边</w:t>
                  </w:r>
                </w:p>
              </w:tc>
              <w:tc>
                <w:tcPr>
                  <w:tcW w:w="39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VOCs</w:t>
                  </w:r>
                </w:p>
              </w:tc>
              <w:tc>
                <w:tcPr>
                  <w:tcW w:w="55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0.00</w:t>
                  </w: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11</w:t>
                  </w: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3000</w:t>
                  </w:r>
                </w:p>
              </w:tc>
              <w:tc>
                <w:tcPr>
                  <w:tcW w:w="52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80</w:t>
                  </w:r>
                </w:p>
              </w:tc>
              <w:tc>
                <w:tcPr>
                  <w:tcW w:w="47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二级活性炭</w:t>
                  </w:r>
                </w:p>
              </w:tc>
              <w:tc>
                <w:tcPr>
                  <w:tcW w:w="4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80</w:t>
                  </w:r>
                </w:p>
              </w:tc>
              <w:tc>
                <w:tcPr>
                  <w:tcW w:w="58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0.0002</w:t>
                  </w:r>
                </w:p>
              </w:tc>
              <w:tc>
                <w:tcPr>
                  <w:tcW w:w="47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0.0005</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3</w:t>
                  </w: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（20m）</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封边废气</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VOCs有组织排放能够满足《四川省固定污染源大气挥发性有机物排放标准》（DB51</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2377-2017）表3排放限值要求。</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3</w:t>
            </w:r>
            <w:r>
              <w:rPr>
                <w:rFonts w:ascii="Times New Roman" w:hAnsi="Times New Roman" w:eastAsia="宋体" w:cs="Times New Roman"/>
                <w:b/>
                <w:bCs/>
                <w:color w:val="000000" w:themeColor="text1"/>
                <w:spacing w:val="0"/>
                <w:kern w:val="21"/>
                <w:position w:val="0"/>
                <w:sz w:val="24"/>
                <w14:textFill>
                  <w14:solidFill>
                    <w14:schemeClr w14:val="tx1"/>
                  </w14:solidFill>
                </w14:textFill>
              </w:rPr>
              <w:t>）喷漆废气</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（包括调漆、喷漆和晾干废气）</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本项目喷漆废气主要来源于调漆、喷漆和晾干等过程，项目设置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1间调漆房、</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2间底漆房</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1间面漆房</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及1间晾干房</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用于调漆、喷漆和晾干工序，喷漆过程中油漆将产生有机废气，使涂料中的有机溶剂完全挥发，主要污染物为VOCs。</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14:textFill>
                  <w14:solidFill>
                    <w14:schemeClr w14:val="tx1"/>
                  </w14:solidFill>
                </w14:textFill>
              </w:rPr>
              <w:t>根据前文漆料核算，本项目水性底漆喷涂量为</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15.64</w:t>
            </w:r>
            <w:r>
              <w:rPr>
                <w:rFonts w:ascii="Times New Roman" w:hAnsi="Times New Roman" w:eastAsia="宋体" w:cs="Times New Roman"/>
                <w:color w:val="000000" w:themeColor="text1"/>
                <w:spacing w:val="0"/>
                <w:kern w:val="21"/>
                <w:position w:val="0"/>
                <w:sz w:val="24"/>
                <w14:textFill>
                  <w14:solidFill>
                    <w14:schemeClr w14:val="tx1"/>
                  </w14:solidFill>
                </w14:textFill>
              </w:rPr>
              <w:t>t/a，水性面漆喷涂量为</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8.32</w:t>
            </w:r>
            <w:r>
              <w:rPr>
                <w:rFonts w:ascii="Times New Roman" w:hAnsi="Times New Roman" w:eastAsia="宋体" w:cs="Times New Roman"/>
                <w:color w:val="000000" w:themeColor="text1"/>
                <w:spacing w:val="0"/>
                <w:kern w:val="21"/>
                <w:position w:val="0"/>
                <w:sz w:val="24"/>
                <w14:textFill>
                  <w14:solidFill>
                    <w14:schemeClr w14:val="tx1"/>
                  </w14:solidFill>
                </w14:textFill>
              </w:rPr>
              <w:t>t/a，</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本项目所用漆料固体份为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8.31</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t/a，平均日喷涂时间均为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h/d。喷漆过程中上漆率约为70%，则喷涂废气中漆雾（颗粒物）产生量为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1.8886</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kg/h（</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2.493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t/a）。本项目喷漆过程中调漆、喷漆、晾干工序有机废气按油漆中挥发性有机物全部挥发计，则VOCs产生量为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2.25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kg/h（</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2.97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调漆房、</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喷漆房</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、晾干房</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均为密闭式，喷漆废气</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后</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在密闭的喷漆房内负压收集（收集效率95%）经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调漆产生的有机废气在密闭的</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调漆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房内负压收集（收集效率95%），然后</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一并</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经“干式过滤（漆雾处理效率99%）+</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+催化燃烧（有机废气处理效率</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90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%）”处理后经20m排气筒（DA00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）排放。</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工作原理：</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①</w:t>
            </w:r>
            <w:bookmarkStart w:id="26" w:name="OLE_LINK31"/>
            <w:r>
              <w:rPr>
                <w:rFonts w:hint="eastAsia" w:ascii="Times New Roman" w:hAnsi="Times New Roman" w:eastAsia="宋体" w:cs="Times New Roman"/>
                <w:b/>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b/>
                <w:color w:val="000000" w:themeColor="text1"/>
                <w:spacing w:val="0"/>
                <w:kern w:val="21"/>
                <w:position w:val="0"/>
                <w:sz w:val="24"/>
                <w14:textFill>
                  <w14:solidFill>
                    <w14:schemeClr w14:val="tx1"/>
                  </w14:solidFill>
                </w14:textFill>
              </w:rPr>
              <w:t>漆雾净化处理原理</w:t>
            </w:r>
            <w:bookmarkEnd w:id="26"/>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b/>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b/>
                <w:color w:val="000000" w:themeColor="text1"/>
                <w:spacing w:val="0"/>
                <w:kern w:val="21"/>
                <w:position w:val="0"/>
                <w:sz w:val="24"/>
                <w14:textFill>
                  <w14:solidFill>
                    <w14:schemeClr w14:val="tx1"/>
                  </w14:solidFill>
                </w14:textFill>
              </w:rPr>
              <w:t>漆雾净化：</w:t>
            </w:r>
            <w:r>
              <w:rPr>
                <w:rFonts w:ascii="Times New Roman" w:hAnsi="Times New Roman" w:eastAsia="宋体" w:cs="Times New Roman"/>
                <w:bCs/>
                <w:color w:val="000000" w:themeColor="text1"/>
                <w:spacing w:val="0"/>
                <w:kern w:val="21"/>
                <w:position w:val="0"/>
                <w:sz w:val="24"/>
                <w14:textFill>
                  <w14:solidFill>
                    <w14:schemeClr w14:val="tx1"/>
                  </w14:solidFill>
                </w14:textFill>
              </w:rPr>
              <w:t>水旋柜的原理‌主要基于利用负气压力原理，通过高速气流的作用，使水产生旋涡对吸入的漆雾进行冲洗，</w:t>
            </w:r>
            <w:r>
              <w:rPr>
                <w:rFonts w:ascii="Arial" w:hAnsi="Arial" w:eastAsia="宋体" w:cs="Arial"/>
                <w:color w:val="000000" w:themeColor="text1"/>
                <w:spacing w:val="0"/>
                <w:kern w:val="21"/>
                <w:position w:val="0"/>
                <w:sz w:val="24"/>
                <w:shd w:val="clear" w:color="auto" w:fill="FFFFFF"/>
                <w14:textFill>
                  <w14:solidFill>
                    <w14:schemeClr w14:val="tx1"/>
                  </w14:solidFill>
                </w14:textFill>
              </w:rPr>
              <w:t>含漆雾的混合空</w:t>
            </w:r>
            <w:r>
              <w:rPr>
                <w:rFonts w:ascii="Times New Roman" w:hAnsi="Times New Roman" w:eastAsia="宋体" w:cs="Times New Roman"/>
                <w:bCs/>
                <w:color w:val="000000" w:themeColor="text1"/>
                <w:spacing w:val="0"/>
                <w:kern w:val="21"/>
                <w:position w:val="0"/>
                <w:sz w:val="24"/>
                <w14:textFill>
                  <w14:solidFill>
                    <w14:schemeClr w14:val="tx1"/>
                  </w14:solidFill>
                </w14:textFill>
              </w:rPr>
              <w:t>气在排风机叶轮的高速旋转离心力作用下，被高速吸入上下旋涡漆雾处理室中。处理后的漆雾废气进入气液分离室，通过风机离心力使漆雾从空气中分离出来。水被多层</w:t>
            </w:r>
            <w:r>
              <w:rPr>
                <w:rFonts w:hint="eastAsia" w:ascii="Times New Roman" w:hAnsi="Times New Roman" w:eastAsia="宋体" w:cs="Times New Roman"/>
                <w:bCs/>
                <w:color w:val="000000" w:themeColor="text1"/>
                <w:spacing w:val="0"/>
                <w:kern w:val="21"/>
                <w:position w:val="0"/>
                <w:sz w:val="24"/>
                <w14:textFill>
                  <w14:solidFill>
                    <w14:schemeClr w14:val="tx1"/>
                  </w14:solidFill>
                </w14:textFill>
              </w:rPr>
              <w:t>挡水</w:t>
            </w:r>
            <w:r>
              <w:rPr>
                <w:rFonts w:ascii="Times New Roman" w:hAnsi="Times New Roman" w:eastAsia="宋体" w:cs="Times New Roman"/>
                <w:bCs/>
                <w:color w:val="000000" w:themeColor="text1"/>
                <w:spacing w:val="0"/>
                <w:kern w:val="21"/>
                <w:position w:val="0"/>
                <w:sz w:val="24"/>
                <w14:textFill>
                  <w14:solidFill>
                    <w14:schemeClr w14:val="tx1"/>
                  </w14:solidFill>
                </w14:textFill>
              </w:rPr>
              <w:t>板阻隔，通过排风机排至室外，被阻隔的水、漆渣回落到后排渣气液分离槽，通过排渣口返到后部水箱，漆渣漂浮在水箱后水面上。</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循环</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水箱</w:t>
            </w: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14:textFill>
                  <w14:solidFill>
                    <w14:schemeClr w14:val="tx1"/>
                  </w14:solidFill>
                </w14:textFill>
              </w:rPr>
              <w:t>以水为介质，工作时喷漆房内部呈</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微正压</w:t>
            </w:r>
            <w:r>
              <w:rPr>
                <w:rFonts w:ascii="Times New Roman" w:hAnsi="Times New Roman" w:eastAsia="宋体" w:cs="Times New Roman"/>
                <w:color w:val="000000" w:themeColor="text1"/>
                <w:spacing w:val="0"/>
                <w:kern w:val="21"/>
                <w:position w:val="0"/>
                <w:sz w:val="24"/>
                <w14:textFill>
                  <w14:solidFill>
                    <w14:schemeClr w14:val="tx1"/>
                  </w14:solidFill>
                </w14:textFill>
              </w:rPr>
              <w:t>状态，利用吸风式系统将喷漆房废气排入</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水箱</w:t>
            </w:r>
            <w:r>
              <w:rPr>
                <w:rFonts w:ascii="Times New Roman" w:hAnsi="Times New Roman" w:eastAsia="宋体" w:cs="Times New Roman"/>
                <w:color w:val="000000" w:themeColor="text1"/>
                <w:spacing w:val="0"/>
                <w:kern w:val="21"/>
                <w:position w:val="0"/>
                <w:sz w:val="24"/>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水箱</w:t>
            </w:r>
            <w:r>
              <w:rPr>
                <w:rFonts w:ascii="Times New Roman" w:hAnsi="Times New Roman" w:eastAsia="宋体" w:cs="Times New Roman"/>
                <w:color w:val="000000" w:themeColor="text1"/>
                <w:spacing w:val="0"/>
                <w:kern w:val="21"/>
                <w:position w:val="0"/>
                <w:sz w:val="24"/>
                <w14:textFill>
                  <w14:solidFill>
                    <w14:schemeClr w14:val="tx1"/>
                  </w14:solidFill>
                </w14:textFill>
              </w:rPr>
              <w:t>过滤除去颗粒物后再进入干式过滤柜。</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②干式过滤柜原理</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Heiti SC Light" w:cs="Times New Roman"/>
                <w:color w:val="000000" w:themeColor="text1"/>
                <w:spacing w:val="0"/>
                <w:kern w:val="21"/>
                <w:position w:val="0"/>
                <w:sz w:val="24"/>
                <w14:textFill>
                  <w14:solidFill>
                    <w14:schemeClr w14:val="tx1"/>
                  </w14:solidFill>
                </w14:textFill>
              </w:rPr>
              <w:t>本项目干式过滤柜采用过滤棉，利用惯性分</w:t>
            </w:r>
            <w:r>
              <w:rPr>
                <w:rFonts w:hint="eastAsia" w:ascii="Times New Roman" w:hAnsi="Times New Roman" w:eastAsia="Heiti SC Light" w:cs="Times New Roman"/>
                <w:color w:val="000000" w:themeColor="text1"/>
                <w:spacing w:val="0"/>
                <w:kern w:val="21"/>
                <w:position w:val="0"/>
                <w:sz w:val="24"/>
                <w14:textFill>
                  <w14:solidFill>
                    <w14:schemeClr w14:val="tx1"/>
                  </w14:solidFill>
                </w14:textFill>
              </w:rPr>
              <w:t>离技</w:t>
            </w:r>
            <w:r>
              <w:rPr>
                <w:rFonts w:ascii="Times New Roman" w:hAnsi="Times New Roman" w:eastAsia="Heiti SC Light" w:cs="Times New Roman"/>
                <w:color w:val="000000" w:themeColor="text1"/>
                <w:spacing w:val="0"/>
                <w:kern w:val="21"/>
                <w:position w:val="0"/>
                <w:sz w:val="24"/>
                <w14:textFill>
                  <w14:solidFill>
                    <w14:schemeClr w14:val="tx1"/>
                  </w14:solidFill>
                </w14:textFill>
              </w:rPr>
              <w:t>术，可有效吸收超范围的喷涂，强制过喷</w:t>
            </w:r>
            <w:r>
              <w:rPr>
                <w:rFonts w:hint="eastAsia" w:ascii="Times New Roman" w:hAnsi="Times New Roman" w:eastAsia="Heiti SC Light" w:cs="Times New Roman"/>
                <w:color w:val="000000" w:themeColor="text1"/>
                <w:spacing w:val="0"/>
                <w:kern w:val="21"/>
                <w:position w:val="0"/>
                <w:sz w:val="24"/>
                <w14:textFill>
                  <w14:solidFill>
                    <w14:schemeClr w14:val="tx1"/>
                  </w14:solidFill>
                </w14:textFill>
              </w:rPr>
              <w:t>气流</w:t>
            </w:r>
            <w:r>
              <w:rPr>
                <w:rFonts w:ascii="Times New Roman" w:hAnsi="Times New Roman" w:eastAsia="Heiti SC Light" w:cs="Times New Roman"/>
                <w:color w:val="000000" w:themeColor="text1"/>
                <w:spacing w:val="0"/>
                <w:kern w:val="21"/>
                <w:position w:val="0"/>
                <w:sz w:val="24"/>
                <w14:textFill>
                  <w14:solidFill>
                    <w14:schemeClr w14:val="tx1"/>
                  </w14:solidFill>
                </w14:textFill>
              </w:rPr>
              <w:t>经过折流板，强制气流多次改变流动方向，这样那些比空气重的颗粒会粘附在折流板壁上，不会随气流而带走，部分细小颗粒经过纤维过滤棉进行二次过滤。</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14:textFill>
                  <w14:solidFill>
                    <w14:schemeClr w14:val="tx1"/>
                  </w14:solidFill>
                </w14:textFill>
              </w:rPr>
              <w:t>③</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活性炭吸附脱附+</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催化燃烧装置</w:t>
            </w:r>
          </w:p>
          <w:p>
            <w:pPr>
              <w:pageBreakBefore w:val="0"/>
              <w:kinsoku/>
              <w:overflowPunct/>
              <w:autoSpaceDE/>
              <w:autoSpaceDN/>
              <w:bidi w:val="0"/>
              <w:spacing w:line="360" w:lineRule="auto"/>
              <w:ind w:firstLine="481" w:firstLineChars="200"/>
              <w:textAlignment w:val="auto"/>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活性炭吸附脱附</w:t>
            </w: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活性炭吸附是利用活性炭多微孔及其巨大的表面张力等特性将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废气中的有机溶剂吸附，使所排废气得到净化。</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基本原理为固体表面上存在着未平衡和未饱和的分子引力或化学键力，当此固体表面与气体接触时，就能吸着气体分子</w:t>
            </w: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，使其富集并保持在固体表面，此现象称为吸附。利用固体表面的吸附能力，使废气与大表面的多孔性固体物质相接触，废气中的污染物被吸附在固体表面上，使其与气体混合物分离，达到净化目的</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本项目采用蜂窝状活性炭，活性炭吸附脱附装置设计参数见下表。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hint="default"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活性炭吸附脱附装置设计参数表</w:t>
            </w:r>
          </w:p>
          <w:tbl>
            <w:tblPr>
              <w:tblStyle w:val="21"/>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417"/>
              <w:gridCol w:w="1617"/>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序号</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项目</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单位</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对应排气筒</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DA004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2</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粒度</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目</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3</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水分</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4</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着火点</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°C</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孔隙率</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6</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吸附阻力</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Pa</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7</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结构形式</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蜂窝式活性炭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8</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吸附容量</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g/g</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9</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碘值</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mg/g</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900-1100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10</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箱体尺寸</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L×B×H（m）</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11</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更换周期</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每1年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12</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风量</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pacing w:val="0"/>
                      <w:kern w:val="21"/>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/h</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13</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过滤风速</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m/s</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14</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停留时间</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s</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15</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填充量</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t/a</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4.5×3=13.5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16</w:t>
                  </w:r>
                </w:p>
              </w:tc>
              <w:tc>
                <w:tcPr>
                  <w:tcW w:w="14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脱附周期</w:t>
                  </w:r>
                </w:p>
              </w:tc>
              <w:tc>
                <w:tcPr>
                  <w:tcW w:w="1617"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w:t>
                  </w:r>
                </w:p>
              </w:tc>
              <w:tc>
                <w:tcPr>
                  <w:tcW w:w="4672" w:type="dxa"/>
                  <w:vAlign w:val="center"/>
                </w:tcPr>
                <w:p>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每天1次</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HYShuSongErKW" w:hAnsi="HYShuSongErKW" w:eastAsia="HYShuSongErKW" w:cs="HYShuSongErKW"/>
                <w:b/>
                <w:bCs/>
                <w:color w:val="000000" w:themeColor="text1"/>
                <w:spacing w:val="0"/>
                <w:kern w:val="21"/>
                <w:position w:val="0"/>
                <w:sz w:val="24"/>
                <w:lang w:bidi="ar"/>
                <w14:textFill>
                  <w14:solidFill>
                    <w14:schemeClr w14:val="tx1"/>
                  </w14:solidFill>
                </w14:textFill>
              </w:rPr>
              <w:t>催化燃烧装置：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催化燃烧是用催化剂使废气中可燃物质在较低温度下氧化分解的净化方法</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又称催化化学转化。由于催化剂加速了氧化分解的历程，大多数碳氢化合物在300~450℃的温度时，通过催化剂就可以氧化完全催化氧化是典型的气-固相催化反应，其实质是活性氧参与的深度氧化作用。在催化分解过程中，催化剂的作用是降低活化能，同时催化剂表面具有吸附作用，使反应物分子富集于表面提高了反应速率，加快了反应的进行。借助催化剂可使有机废气在较低的分解温度条件下，发生无焰燃烧，并氧化分解为CO</w:t>
            </w:r>
            <w:r>
              <w:rPr>
                <w:rFonts w:ascii="Times New Roman" w:hAnsi="Times New Roman" w:eastAsia="宋体" w:cs="Times New Roman"/>
                <w:color w:val="000000" w:themeColor="text1"/>
                <w:spacing w:val="0"/>
                <w:kern w:val="21"/>
                <w:position w:val="0"/>
                <w:sz w:val="24"/>
                <w:szCs w:val="22"/>
                <w:vertAlign w:val="sub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和H</w:t>
            </w:r>
            <w:r>
              <w:rPr>
                <w:rFonts w:ascii="Times New Roman" w:hAnsi="Times New Roman" w:eastAsia="宋体" w:cs="Times New Roman"/>
                <w:color w:val="000000" w:themeColor="text1"/>
                <w:spacing w:val="0"/>
                <w:kern w:val="21"/>
                <w:position w:val="0"/>
                <w:sz w:val="24"/>
                <w:szCs w:val="22"/>
                <w:vertAlign w:val="sub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O，同时放出大量热能，其反应过程为：</w:t>
            </w:r>
          </w:p>
          <w:p>
            <w:pPr>
              <w:pageBreakBefore w:val="0"/>
              <w:kinsoku/>
              <w:overflowPunct/>
              <w:autoSpaceDE/>
              <w:autoSpaceDN/>
              <w:bidi w:val="0"/>
              <w:spacing w:line="360" w:lineRule="auto"/>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object>
                <v:shape id="_x0000_i1039" o:spt="75" type="#_x0000_t75" style="height:34pt;width:269pt;" o:ole="t" filled="f" o:preferrelative="t" stroked="f" coordsize="21600,21600">
                  <v:path/>
                  <v:fill on="f" focussize="0,0"/>
                  <v:stroke on="f" joinstyle="miter"/>
                  <v:imagedata r:id="rId52" o:title=""/>
                  <o:lock v:ext="edit" aspectratio="t"/>
                  <w10:wrap type="none"/>
                  <w10:anchorlock/>
                </v:shape>
                <o:OLEObject Type="Embed" ProgID="Equation.3" ShapeID="_x0000_i1039" DrawAspect="Content" ObjectID="_1468075739" r:id="rId51">
                  <o:LockedField>false</o:LockedField>
                </o:OLEObject>
              </w:objec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活性炭脱附出来的高浓度、小风量、高温度的有机废气经阻火器过滤后，进入特制的板式热交换器和催化反应后的高温气体进行能量间接交换，此时废气源的温度得到第一次提升；具有一定温度的气体进入预热器，进行第二次的温度提升；之后进入第一级催化反应，此时有机废气在低温下部分分解，并释放出能量，对废气源进行直接加热，将气体温度提高到催化反应的最佳温度；经温度检测系统检测，温度符合催化反应的温度要求，进入催化燃烧室，有机气体提到彻底分解，同时释放出大量的热量；燃烧后的尾气一部分排出大气，大部分送往脱附床，用于活性炭的脱附再生，这样能满足燃烧和脱附所需的热能，达到节能的目的，整套吸附和催化燃烧过程由PLC实现自动控制；净化后的气体通过热交换器将热能转换给出冷气流，降温后气体由引风机排空。有机物利用自身氧化燃烧释放出的热量维持自燃，催化燃烧装置辅少量电能作为辅助热源，如果脱附废气浓度足够高，装置正常使用需要很少的电能加热。</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color w:val="000000" w:themeColor="text1"/>
                <w:kern w:val="21"/>
                <w14:textFill>
                  <w14:solidFill>
                    <w14:schemeClr w14:val="tx1"/>
                  </w14:solidFill>
                </w14:textFill>
              </w:rPr>
              <w:drawing>
                <wp:inline distT="0" distB="0" distL="114300" distR="114300">
                  <wp:extent cx="5386070" cy="2654300"/>
                  <wp:effectExtent l="0" t="0" r="5080" b="1270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53"/>
                          <a:stretch>
                            <a:fillRect/>
                          </a:stretch>
                        </pic:blipFill>
                        <pic:spPr>
                          <a:xfrm>
                            <a:off x="0" y="0"/>
                            <a:ext cx="5386070" cy="2654300"/>
                          </a:xfrm>
                          <a:prstGeom prst="rect">
                            <a:avLst/>
                          </a:prstGeom>
                          <a:noFill/>
                          <a:ln>
                            <a:noFill/>
                          </a:ln>
                        </pic:spPr>
                      </pic:pic>
                    </a:graphicData>
                  </a:graphic>
                </wp:inline>
              </w:drawing>
            </w:r>
          </w:p>
          <w:p>
            <w:pPr>
              <w:pageBreakBefore w:val="0"/>
              <w:widowControl/>
              <w:numPr>
                <w:ilvl w:val="0"/>
                <w:numId w:val="35"/>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color w:val="000000" w:themeColor="text1"/>
                <w:spacing w:val="0"/>
                <w:kern w:val="21"/>
                <w:position w:val="0"/>
                <w:szCs w:val="21"/>
                <w:lang w:val="en-US" w:eastAsia="zh-CN"/>
                <w14:textFill>
                  <w14:solidFill>
                    <w14:schemeClr w14:val="tx1"/>
                  </w14:solidFill>
                </w14:textFill>
              </w:rPr>
              <w:t>本项目喷漆</w:t>
            </w:r>
            <w:r>
              <w:rPr>
                <w:rFonts w:ascii="Times New Roman" w:hAnsi="Times New Roman" w:eastAsia="宋体" w:cs="Times New Roman"/>
                <w:b/>
                <w:color w:val="000000" w:themeColor="text1"/>
                <w:spacing w:val="0"/>
                <w:kern w:val="21"/>
                <w:position w:val="0"/>
                <w:szCs w:val="21"/>
                <w14:textFill>
                  <w14:solidFill>
                    <w14:schemeClr w14:val="tx1"/>
                  </w14:solidFill>
                </w14:textFill>
              </w:rPr>
              <w:t>废气治理工艺示意图</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风量计算：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参照《家具制造业手动喷漆房通风设施技术规程》（AQ/T4275-2016），喷漆房控制面风速宜为0.3m/s~0.4m/s，根据本项目喷漆房尺寸计算本项目喷漆废气处理风机风量</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晾干房及调漆房风量参考《三废处理工程技术手册废气卷》</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表17-1每小时各种场所换气次数，工厂涂装室</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换气次数取</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次/小时。</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本项目喷漆废气风量核算见下表。</w:t>
            </w:r>
          </w:p>
          <w:p>
            <w:pPr>
              <w:keepNext w:val="0"/>
              <w:keepLines w:val="0"/>
              <w:pageBreakBefore w:val="0"/>
              <w:widowControl/>
              <w:numPr>
                <w:ilvl w:val="0"/>
                <w:numId w:val="34"/>
              </w:numPr>
              <w:tabs>
                <w:tab w:val="left" w:pos="960"/>
              </w:tabs>
              <w:kinsoku/>
              <w:wordWrap/>
              <w:overflowPunct/>
              <w:topLinePunct w:val="0"/>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本项目喷漆废气</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风量核算</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6"/>
              <w:gridCol w:w="1978"/>
              <w:gridCol w:w="1281"/>
              <w:gridCol w:w="1286"/>
              <w:gridCol w:w="2024"/>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喷漆房</w:t>
                  </w:r>
                </w:p>
              </w:tc>
              <w:tc>
                <w:tcPr>
                  <w:tcW w:w="956"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尺寸（长、宽、高）</w:t>
                  </w:r>
                </w:p>
              </w:tc>
              <w:tc>
                <w:tcPr>
                  <w:tcW w:w="914"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控制面横截面积</w:t>
                  </w:r>
                </w:p>
              </w:tc>
              <w:tc>
                <w:tcPr>
                  <w:tcW w:w="91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换气次数</w:t>
                  </w:r>
                </w:p>
              </w:tc>
              <w:tc>
                <w:tcPr>
                  <w:tcW w:w="1049"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理论风量</w:t>
                  </w:r>
                </w:p>
              </w:tc>
              <w:tc>
                <w:tcPr>
                  <w:tcW w:w="572"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
                      <w:color w:val="000000" w:themeColor="text1"/>
                      <w:spacing w:val="0"/>
                      <w:kern w:val="21"/>
                      <w:position w:val="0"/>
                      <w:szCs w:val="21"/>
                      <w14:textFill>
                        <w14:solidFill>
                          <w14:schemeClr w14:val="tx1"/>
                        </w14:solidFill>
                      </w14:textFill>
                    </w:rPr>
                  </w:pPr>
                  <w:r>
                    <w:rPr>
                      <w:rFonts w:ascii="Times New Roman" w:hAnsi="Times New Roman" w:cs="Times New Roman"/>
                      <w:b/>
                      <w:color w:val="000000" w:themeColor="text1"/>
                      <w:spacing w:val="0"/>
                      <w:kern w:val="21"/>
                      <w:position w:val="0"/>
                      <w:szCs w:val="21"/>
                      <w14:textFill>
                        <w14:solidFill>
                          <w14:schemeClr w14:val="tx1"/>
                        </w14:solidFill>
                      </w14:textFill>
                    </w:rPr>
                    <w:t>设计风量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底漆房1</w:t>
                  </w:r>
                </w:p>
              </w:tc>
              <w:tc>
                <w:tcPr>
                  <w:tcW w:w="956"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5m×4m×3m</w:t>
                  </w:r>
                </w:p>
              </w:tc>
              <w:tc>
                <w:tcPr>
                  <w:tcW w:w="914"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10m</w:t>
                  </w:r>
                  <w:r>
                    <w:rPr>
                      <w:rFonts w:ascii="Times New Roman" w:hAnsi="Times New Roman" w:cs="Times New Roman"/>
                      <w:bCs/>
                      <w:color w:val="000000" w:themeColor="text1"/>
                      <w:spacing w:val="0"/>
                      <w:kern w:val="21"/>
                      <w:position w:val="0"/>
                      <w:szCs w:val="21"/>
                      <w:vertAlign w:val="superscript"/>
                      <w14:textFill>
                        <w14:solidFill>
                          <w14:schemeClr w14:val="tx1"/>
                        </w14:solidFill>
                      </w14:textFill>
                    </w:rPr>
                    <w:t>2</w:t>
                  </w:r>
                </w:p>
              </w:tc>
              <w:tc>
                <w:tcPr>
                  <w:tcW w:w="91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w:t>
                  </w:r>
                </w:p>
              </w:tc>
              <w:tc>
                <w:tcPr>
                  <w:tcW w:w="1049"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10800~14400m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c>
                <w:tcPr>
                  <w:tcW w:w="572"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15000m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底漆房2</w:t>
                  </w:r>
                </w:p>
              </w:tc>
              <w:tc>
                <w:tcPr>
                  <w:tcW w:w="956"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5m×4m×3m</w:t>
                  </w:r>
                </w:p>
              </w:tc>
              <w:tc>
                <w:tcPr>
                  <w:tcW w:w="914"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10m</w:t>
                  </w:r>
                  <w:r>
                    <w:rPr>
                      <w:rFonts w:ascii="Times New Roman" w:hAnsi="Times New Roman" w:cs="Times New Roman"/>
                      <w:bCs/>
                      <w:color w:val="000000" w:themeColor="text1"/>
                      <w:spacing w:val="0"/>
                      <w:kern w:val="21"/>
                      <w:position w:val="0"/>
                      <w:szCs w:val="21"/>
                      <w:vertAlign w:val="superscript"/>
                      <w14:textFill>
                        <w14:solidFill>
                          <w14:schemeClr w14:val="tx1"/>
                        </w14:solidFill>
                      </w14:textFill>
                    </w:rPr>
                    <w:t>2</w:t>
                  </w:r>
                </w:p>
              </w:tc>
              <w:tc>
                <w:tcPr>
                  <w:tcW w:w="91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w:t>
                  </w:r>
                </w:p>
              </w:tc>
              <w:tc>
                <w:tcPr>
                  <w:tcW w:w="1049"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10800~14400m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c>
                <w:tcPr>
                  <w:tcW w:w="572" w:type="pct"/>
                  <w:vAlign w:val="center"/>
                </w:tcPr>
                <w:p>
                  <w:pPr>
                    <w:keepNext w:val="0"/>
                    <w:keepLines w:val="0"/>
                    <w:pageBreakBefore w:val="0"/>
                    <w:widowControl/>
                    <w:kinsoku/>
                    <w:wordWrap/>
                    <w:overflowPunct/>
                    <w:topLinePunct w:val="0"/>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15000m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面漆房</w:t>
                  </w:r>
                </w:p>
              </w:tc>
              <w:tc>
                <w:tcPr>
                  <w:tcW w:w="956" w:type="pct"/>
                  <w:shd w:val="clear" w:color="auto" w:fill="auto"/>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5m×4m×3m</w:t>
                  </w:r>
                </w:p>
              </w:tc>
              <w:tc>
                <w:tcPr>
                  <w:tcW w:w="914" w:type="pct"/>
                  <w:shd w:val="clear" w:color="auto" w:fill="auto"/>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10m</w:t>
                  </w:r>
                  <w:r>
                    <w:rPr>
                      <w:rFonts w:ascii="Times New Roman" w:hAnsi="Times New Roman" w:cs="Times New Roman"/>
                      <w:bCs/>
                      <w:color w:val="000000" w:themeColor="text1"/>
                      <w:spacing w:val="0"/>
                      <w:kern w:val="21"/>
                      <w:position w:val="0"/>
                      <w:szCs w:val="21"/>
                      <w:vertAlign w:val="superscript"/>
                      <w14:textFill>
                        <w14:solidFill>
                          <w14:schemeClr w14:val="tx1"/>
                        </w14:solidFill>
                      </w14:textFill>
                    </w:rPr>
                    <w:t>2</w:t>
                  </w:r>
                </w:p>
              </w:tc>
              <w:tc>
                <w:tcPr>
                  <w:tcW w:w="91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w:t>
                  </w:r>
                </w:p>
              </w:tc>
              <w:tc>
                <w:tcPr>
                  <w:tcW w:w="1049"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10800~14400m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c>
                <w:tcPr>
                  <w:tcW w:w="572" w:type="pct"/>
                  <w:vAlign w:val="center"/>
                </w:tcPr>
                <w:p>
                  <w:pPr>
                    <w:keepNext w:val="0"/>
                    <w:keepLines w:val="0"/>
                    <w:pageBreakBefore w:val="0"/>
                    <w:widowControl/>
                    <w:kinsoku/>
                    <w:wordWrap/>
                    <w:overflowPunct/>
                    <w:topLinePunct w:val="0"/>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15000m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晾干房</w:t>
                  </w:r>
                </w:p>
              </w:tc>
              <w:tc>
                <w:tcPr>
                  <w:tcW w:w="956"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47m×8m×4.5m</w:t>
                  </w:r>
                </w:p>
              </w:tc>
              <w:tc>
                <w:tcPr>
                  <w:tcW w:w="914"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w:t>
                  </w:r>
                </w:p>
              </w:tc>
              <w:tc>
                <w:tcPr>
                  <w:tcW w:w="91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20次/h</w:t>
                  </w:r>
                </w:p>
              </w:tc>
              <w:tc>
                <w:tcPr>
                  <w:tcW w:w="1049"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33840m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c>
                <w:tcPr>
                  <w:tcW w:w="572" w:type="pct"/>
                  <w:vAlign w:val="center"/>
                </w:tcPr>
                <w:p>
                  <w:pPr>
                    <w:keepNext w:val="0"/>
                    <w:keepLines w:val="0"/>
                    <w:pageBreakBefore w:val="0"/>
                    <w:widowControl/>
                    <w:kinsoku/>
                    <w:wordWrap/>
                    <w:overflowPunct/>
                    <w:topLinePunct w:val="0"/>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35000m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调漆房</w:t>
                  </w:r>
                </w:p>
              </w:tc>
              <w:tc>
                <w:tcPr>
                  <w:tcW w:w="956"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7.5m×5.5m×4.5m</w:t>
                  </w:r>
                </w:p>
              </w:tc>
              <w:tc>
                <w:tcPr>
                  <w:tcW w:w="914"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w:t>
                  </w:r>
                </w:p>
              </w:tc>
              <w:tc>
                <w:tcPr>
                  <w:tcW w:w="917"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cs="Times New Roman"/>
                      <w:bCs/>
                      <w:color w:val="000000" w:themeColor="text1"/>
                      <w:spacing w:val="0"/>
                      <w:kern w:val="21"/>
                      <w:position w:val="0"/>
                      <w:szCs w:val="21"/>
                      <w14:textFill>
                        <w14:solidFill>
                          <w14:schemeClr w14:val="tx1"/>
                        </w14:solidFill>
                      </w14:textFill>
                    </w:rPr>
                  </w:pPr>
                  <w:r>
                    <w:rPr>
                      <w:rFonts w:ascii="Times New Roman" w:hAnsi="Times New Roman" w:cs="Times New Roman"/>
                      <w:bCs/>
                      <w:color w:val="000000" w:themeColor="text1"/>
                      <w:spacing w:val="0"/>
                      <w:kern w:val="21"/>
                      <w:position w:val="0"/>
                      <w:szCs w:val="21"/>
                      <w14:textFill>
                        <w14:solidFill>
                          <w14:schemeClr w14:val="tx1"/>
                        </w14:solidFill>
                      </w14:textFill>
                    </w:rPr>
                    <w:t>20次/h</w:t>
                  </w:r>
                </w:p>
              </w:tc>
              <w:tc>
                <w:tcPr>
                  <w:tcW w:w="1049"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3712.5m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c>
                <w:tcPr>
                  <w:tcW w:w="572"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5000</w:t>
                  </w:r>
                  <w:bookmarkStart w:id="27" w:name="OLE_LINK17"/>
                  <w:r>
                    <w:rPr>
                      <w:rFonts w:ascii="Times New Roman" w:hAnsi="Times New Roman" w:eastAsia="宋体" w:cs="Times New Roman"/>
                      <w:bCs/>
                      <w:color w:val="000000" w:themeColor="text1"/>
                      <w:spacing w:val="0"/>
                      <w:kern w:val="21"/>
                      <w:position w:val="0"/>
                      <w:szCs w:val="21"/>
                      <w14:textFill>
                        <w14:solidFill>
                          <w14:schemeClr w14:val="tx1"/>
                        </w14:solidFill>
                      </w14:textFill>
                    </w:rPr>
                    <w:t>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27" w:type="pct"/>
                  <w:gridSpan w:val="5"/>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合计</w:t>
                  </w:r>
                </w:p>
              </w:tc>
              <w:tc>
                <w:tcPr>
                  <w:tcW w:w="572" w:type="pct"/>
                  <w:vAlign w:val="center"/>
                </w:tcPr>
                <w:p>
                  <w:pPr>
                    <w:pStyle w:val="49"/>
                    <w:keepNext w:val="0"/>
                    <w:keepLines w:val="0"/>
                    <w:pageBreakBefore w:val="0"/>
                    <w:widowControl/>
                    <w:kinsoku/>
                    <w:wordWrap/>
                    <w:overflowPunct/>
                    <w:topLinePunct w:val="0"/>
                    <w:autoSpaceDE/>
                    <w:autoSpaceDN/>
                    <w:bidi w:val="0"/>
                    <w:adjustRightInd w:val="0"/>
                    <w:snapToGrid w:val="0"/>
                    <w:spacing w:before="62" w:beforeLines="20" w:after="62" w:afterLines="20" w:line="240" w:lineRule="auto"/>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85000m</w:t>
                  </w:r>
                  <w:r>
                    <w:rPr>
                      <w:rFonts w:ascii="Times New Roman" w:hAnsi="Times New Roman" w:eastAsia="宋体" w:cs="Times New Roman"/>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Cs w:val="21"/>
                      <w14:textFill>
                        <w14:solidFill>
                          <w14:schemeClr w14:val="tx1"/>
                        </w14:solidFill>
                      </w14:textFill>
                    </w:rPr>
                    <w:t>/h</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据源强核算结果和处理设施计算参数，本项目喷漆废气有组织排放达标情况见下表。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喷漆废气源强及排污情况一览表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01"/>
              <w:gridCol w:w="1020"/>
              <w:gridCol w:w="1046"/>
              <w:gridCol w:w="758"/>
              <w:gridCol w:w="723"/>
              <w:gridCol w:w="977"/>
              <w:gridCol w:w="1020"/>
              <w:gridCol w:w="85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39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00"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944"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1308"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03"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481"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67"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39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0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0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44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73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57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2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48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481"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喷漆</w:t>
                  </w:r>
                </w:p>
              </w:tc>
              <w:tc>
                <w:tcPr>
                  <w:tcW w:w="39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VOCs</w:t>
                  </w:r>
                </w:p>
              </w:tc>
              <w:tc>
                <w:tcPr>
                  <w:tcW w:w="50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2.25</w:t>
                  </w:r>
                </w:p>
              </w:tc>
              <w:tc>
                <w:tcPr>
                  <w:tcW w:w="501"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85000</w:t>
                  </w:r>
                </w:p>
              </w:tc>
              <w:tc>
                <w:tcPr>
                  <w:tcW w:w="44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95</w:t>
                  </w:r>
                </w:p>
              </w:tc>
              <w:tc>
                <w:tcPr>
                  <w:tcW w:w="737"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水旋柜</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+干式过滤</w:t>
                  </w: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+催化燃烧</w:t>
                  </w:r>
                </w:p>
              </w:tc>
              <w:tc>
                <w:tcPr>
                  <w:tcW w:w="57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90</w:t>
                  </w:r>
                </w:p>
              </w:tc>
              <w:tc>
                <w:tcPr>
                  <w:tcW w:w="52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0.2138</w:t>
                  </w:r>
                </w:p>
              </w:tc>
              <w:tc>
                <w:tcPr>
                  <w:tcW w:w="482"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0.2822</w:t>
                  </w:r>
                </w:p>
              </w:tc>
              <w:tc>
                <w:tcPr>
                  <w:tcW w:w="481"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4</w:t>
                  </w: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39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颗粒物</w:t>
                  </w:r>
                </w:p>
              </w:tc>
              <w:tc>
                <w:tcPr>
                  <w:tcW w:w="50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1.8886</w:t>
                  </w:r>
                </w:p>
              </w:tc>
              <w:tc>
                <w:tcPr>
                  <w:tcW w:w="50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42"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73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570"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cs="Times New Roman" w:eastAsiaTheme="minorEastAsia"/>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水旋柜+干式过滤（</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99</w:t>
                  </w:r>
                  <w:r>
                    <w:rPr>
                      <w:rStyle w:val="26"/>
                      <w:rFonts w:hint="eastAsia"/>
                      <w:color w:val="000000" w:themeColor="text1"/>
                      <w:spacing w:val="0"/>
                      <w:kern w:val="21"/>
                      <w:position w:val="0"/>
                      <w:sz w:val="18"/>
                      <w:szCs w:val="18"/>
                      <w:lang w:val="en-US"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w:t>
                  </w:r>
                </w:p>
              </w:tc>
              <w:tc>
                <w:tcPr>
                  <w:tcW w:w="52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0.0179</w:t>
                  </w:r>
                </w:p>
              </w:tc>
              <w:tc>
                <w:tcPr>
                  <w:tcW w:w="482"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0.0237</w:t>
                  </w:r>
                </w:p>
              </w:tc>
              <w:tc>
                <w:tcPr>
                  <w:tcW w:w="48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pP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喷漆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废气中</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颗粒物有组织排放能够满足《大气污染物综合排放标准》（GB 16297-1996）表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中标准限值</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VOCs有组织排放能够满足《四川省固定污染源大气挥发性有机物排放标准》（DB51</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2377-2017）表3排放限值要求。</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4</w:t>
            </w:r>
            <w:r>
              <w:rPr>
                <w:rFonts w:ascii="Times New Roman" w:hAnsi="Times New Roman" w:eastAsia="宋体" w:cs="Times New Roman"/>
                <w:b/>
                <w:bCs/>
                <w:color w:val="000000" w:themeColor="text1"/>
                <w:spacing w:val="0"/>
                <w:kern w:val="21"/>
                <w:position w:val="0"/>
                <w:sz w:val="24"/>
                <w14:textFill>
                  <w14:solidFill>
                    <w14:schemeClr w14:val="tx1"/>
                  </w14:solidFill>
                </w14:textFill>
              </w:rPr>
              <w:t>）漆料打磨粉尘</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项目生产过程中，底漆晾干后喷面漆之前，需要对底漆表面进行打磨处理，使工件表面平整光滑，该工序将产生少量的底漆打磨粉尘。</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本项目漆料打磨粉尘产污系数</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参考《排放源统计调查产排污核算方法和系数手册》中“211木质家具制造行业系数手册”，</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具体见下表。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漆料打磨粉尘产污系数</w:t>
            </w:r>
          </w:p>
          <w:tbl>
            <w:tblPr>
              <w:tblStyle w:val="2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6"/>
              <w:gridCol w:w="1251"/>
              <w:gridCol w:w="1156"/>
              <w:gridCol w:w="698"/>
              <w:gridCol w:w="1300"/>
              <w:gridCol w:w="1741"/>
              <w:gridCol w:w="1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产品名称</w:t>
                  </w:r>
                </w:p>
              </w:tc>
              <w:tc>
                <w:tcPr>
                  <w:tcW w:w="738"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原料名称</w:t>
                  </w:r>
                </w:p>
              </w:tc>
              <w:tc>
                <w:tcPr>
                  <w:tcW w:w="68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工艺名称</w:t>
                  </w:r>
                </w:p>
              </w:tc>
              <w:tc>
                <w:tcPr>
                  <w:tcW w:w="41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规模等级</w:t>
                  </w:r>
                </w:p>
              </w:tc>
              <w:tc>
                <w:tcPr>
                  <w:tcW w:w="767"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污染物指标</w:t>
                  </w:r>
                </w:p>
              </w:tc>
              <w:tc>
                <w:tcPr>
                  <w:tcW w:w="1027"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单位</w:t>
                  </w:r>
                </w:p>
              </w:tc>
              <w:tc>
                <w:tcPr>
                  <w:tcW w:w="68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产污系数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8"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实木家具、人造板家具</w:t>
                  </w:r>
                </w:p>
              </w:tc>
              <w:tc>
                <w:tcPr>
                  <w:tcW w:w="738"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实木、人造板、涂料、胶粘剂</w:t>
                  </w:r>
                </w:p>
              </w:tc>
              <w:tc>
                <w:tcPr>
                  <w:tcW w:w="682"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表面光滑处理</w:t>
                  </w:r>
                </w:p>
              </w:tc>
              <w:tc>
                <w:tcPr>
                  <w:tcW w:w="412"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所有规模</w:t>
                  </w:r>
                </w:p>
              </w:tc>
              <w:tc>
                <w:tcPr>
                  <w:tcW w:w="767"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工业废气量</w:t>
                  </w:r>
                </w:p>
              </w:tc>
              <w:tc>
                <w:tcPr>
                  <w:tcW w:w="1027"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标立方米/平方米-产品</w:t>
                  </w:r>
                </w:p>
              </w:tc>
              <w:tc>
                <w:tcPr>
                  <w:tcW w:w="68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8"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38"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682"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412"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67"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颗粒物</w:t>
                  </w:r>
                </w:p>
              </w:tc>
              <w:tc>
                <w:tcPr>
                  <w:tcW w:w="1027"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克/平方米-产品</w:t>
                  </w:r>
                </w:p>
              </w:tc>
              <w:tc>
                <w:tcPr>
                  <w:tcW w:w="68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23.5</w:t>
                  </w:r>
                </w:p>
              </w:tc>
            </w:tr>
          </w:tbl>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根据漆料核算，本项目底漆喷涂面积为</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4</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8</w:t>
            </w:r>
            <w:r>
              <w:rPr>
                <w:rFonts w:ascii="Times New Roman" w:hAnsi="Times New Roman" w:eastAsia="宋体" w:cs="Times New Roman"/>
                <w:color w:val="000000" w:themeColor="text1"/>
                <w:spacing w:val="0"/>
                <w:kern w:val="21"/>
                <w:position w:val="0"/>
                <w:sz w:val="24"/>
                <w14:textFill>
                  <w14:solidFill>
                    <w14:schemeClr w14:val="tx1"/>
                  </w14:solidFill>
                </w14:textFill>
              </w:rPr>
              <w:t>000m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/a，打磨面积以喷涂面积10%计，则打磨面积为</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4</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8</w:t>
            </w:r>
            <w:r>
              <w:rPr>
                <w:rFonts w:ascii="Times New Roman" w:hAnsi="Times New Roman" w:eastAsia="宋体" w:cs="Times New Roman"/>
                <w:color w:val="000000" w:themeColor="text1"/>
                <w:spacing w:val="0"/>
                <w:kern w:val="21"/>
                <w:position w:val="0"/>
                <w:sz w:val="24"/>
                <w14:textFill>
                  <w14:solidFill>
                    <w14:schemeClr w14:val="tx1"/>
                  </w14:solidFill>
                </w14:textFill>
              </w:rPr>
              <w:t>00m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/a，打磨工序日工作时间为4h，则漆料打磨粉尘产生量为</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0.4415</w:t>
            </w:r>
            <w:r>
              <w:rPr>
                <w:rFonts w:ascii="Times New Roman" w:hAnsi="Times New Roman" w:eastAsia="宋体" w:cs="Times New Roman"/>
                <w:color w:val="000000" w:themeColor="text1"/>
                <w:spacing w:val="0"/>
                <w:kern w:val="21"/>
                <w:position w:val="0"/>
                <w:sz w:val="24"/>
                <w14:textFill>
                  <w14:solidFill>
                    <w14:schemeClr w14:val="tx1"/>
                  </w14:solidFill>
                </w14:textFill>
              </w:rPr>
              <w:t>kg/h（</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0.5828</w:t>
            </w:r>
            <w:r>
              <w:rPr>
                <w:rFonts w:ascii="Times New Roman" w:hAnsi="Times New Roman" w:eastAsia="宋体" w:cs="Times New Roman"/>
                <w:color w:val="000000" w:themeColor="text1"/>
                <w:spacing w:val="0"/>
                <w:kern w:val="21"/>
                <w:position w:val="0"/>
                <w:sz w:val="24"/>
                <w14:textFill>
                  <w14:solidFill>
                    <w14:schemeClr w14:val="tx1"/>
                  </w14:solidFill>
                </w14:textFill>
              </w:rPr>
              <w:t>t/a）。</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14:textFill>
                  <w14:solidFill>
                    <w14:schemeClr w14:val="tx1"/>
                  </w14:solidFill>
                </w14:textFill>
              </w:rPr>
              <w:t>本</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项目打磨房为三围一盖，开放一侧设推拉门（生产时段关闭推拉门），打磨粉尘经密封负压收集（收集效率95%）后由脉冲布袋除尘器（处理效率99%）处理后由20m排气筒（DA00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）有组织外排。</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底漆打磨房除尘原理：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粉尘经侧方风机收集，带粉尘的空气流通过房体下部的风口进入主机体内，干净的空气经布袋进入主机隔舱上部通过风机排出；粉尘经布袋隔断，比重较大的由于重力作用自然沉降在主机舱下部地板上，附</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着</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在布袋上的部分粉尘经过布袋内压缩空气定时从内向外喷吹自动清理，从布袋表面脱落，下沉到主机内地板上，实现粉尘集中起来。该系统除尘效率大于99%，布袋平均每3个月更换一次。</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5293995" cy="2943860"/>
                  <wp:effectExtent l="9525" t="9525" r="11430" b="18415"/>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54"/>
                          <a:srcRect r="2580" b="2844"/>
                          <a:stretch>
                            <a:fillRect/>
                          </a:stretch>
                        </pic:blipFill>
                        <pic:spPr>
                          <a:xfrm>
                            <a:off x="0" y="0"/>
                            <a:ext cx="5293995" cy="2943860"/>
                          </a:xfrm>
                          <a:prstGeom prst="rect">
                            <a:avLst/>
                          </a:prstGeom>
                          <a:noFill/>
                          <a:ln>
                            <a:solidFill>
                              <a:schemeClr val="tx1"/>
                            </a:solidFill>
                          </a:ln>
                        </pic:spPr>
                      </pic:pic>
                    </a:graphicData>
                  </a:graphic>
                </wp:inline>
              </w:drawing>
            </w:r>
          </w:p>
          <w:p>
            <w:pPr>
              <w:pStyle w:val="48"/>
              <w:pageBreakBefore w:val="0"/>
              <w:widowControl/>
              <w:numPr>
                <w:ilvl w:val="0"/>
                <w:numId w:val="35"/>
              </w:numPr>
              <w:kinsoku/>
              <w:overflowPunct/>
              <w:autoSpaceDE/>
              <w:autoSpaceDN/>
              <w:bidi w:val="0"/>
              <w:snapToGrid w:val="0"/>
              <w:spacing w:before="62" w:beforeLines="20" w:after="62" w:afterLines="20" w:line="240" w:lineRule="auto"/>
              <w:ind w:left="0" w:firstLine="0" w:firstLineChars="0"/>
              <w:textAlignment w:val="auto"/>
              <w:rPr>
                <w:color w:val="000000" w:themeColor="text1"/>
                <w:spacing w:val="0"/>
                <w:kern w:val="21"/>
                <w:position w:val="0"/>
                <w:sz w:val="21"/>
                <w:szCs w:val="21"/>
                <w14:textFill>
                  <w14:solidFill>
                    <w14:schemeClr w14:val="tx1"/>
                  </w14:solidFill>
                </w14:textFill>
              </w:rPr>
            </w:pPr>
            <w:r>
              <w:rPr>
                <w:color w:val="000000" w:themeColor="text1"/>
                <w:spacing w:val="0"/>
                <w:kern w:val="21"/>
                <w:position w:val="0"/>
                <w:sz w:val="21"/>
                <w:szCs w:val="21"/>
                <w14:textFill>
                  <w14:solidFill>
                    <w14:schemeClr w14:val="tx1"/>
                  </w14:solidFill>
                </w14:textFill>
              </w:rPr>
              <w:t>本项目底漆打磨房除尘系统示意图</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风量计算：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2#车间</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底漆打磨房面积约160m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，高约</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.5m，为保证打磨粉尘有效收集，参考《三废处理工程技术手册废气卷》</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表17-1每小时各种场所换气次数，有害气体尘埃发出地换气次数为20次/h以上，本项目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打磨房换气次数按</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次/h计，则底漆打磨理论排风量应为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112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/h，考虑到过程中会有风量损失，本项目拟设置风量为12000m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据源强核算结果和处理设施计算参数，本项目漆料打磨粉尘有组织排放达标情况见下表。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漆料打磨粉尘源强及排污情况一览表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756"/>
              <w:gridCol w:w="1020"/>
              <w:gridCol w:w="1046"/>
              <w:gridCol w:w="758"/>
              <w:gridCol w:w="735"/>
              <w:gridCol w:w="758"/>
              <w:gridCol w:w="1020"/>
              <w:gridCol w:w="85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49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7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1008"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958"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61"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49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72"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45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50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45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5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50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打磨</w:t>
                  </w:r>
                </w:p>
              </w:tc>
              <w:tc>
                <w:tcPr>
                  <w:tcW w:w="49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颗粒物</w:t>
                  </w:r>
                </w:p>
              </w:tc>
              <w:tc>
                <w:tcPr>
                  <w:tcW w:w="57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0.4415</w:t>
                  </w: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12000</w:t>
                  </w:r>
                </w:p>
              </w:tc>
              <w:tc>
                <w:tcPr>
                  <w:tcW w:w="45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95</w:t>
                  </w:r>
                </w:p>
              </w:tc>
              <w:tc>
                <w:tcPr>
                  <w:tcW w:w="50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布袋除尘器</w:t>
                  </w:r>
                </w:p>
              </w:tc>
              <w:tc>
                <w:tcPr>
                  <w:tcW w:w="45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99</w:t>
                  </w:r>
                </w:p>
              </w:tc>
              <w:tc>
                <w:tcPr>
                  <w:tcW w:w="554"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0.0042</w:t>
                  </w:r>
                </w:p>
              </w:tc>
              <w:tc>
                <w:tcPr>
                  <w:tcW w:w="506"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55</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5</w:t>
                  </w: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（20m）</w:t>
                  </w:r>
                </w:p>
              </w:tc>
            </w:tr>
          </w:tbl>
          <w:p>
            <w:pPr>
              <w:pageBreakBefore w:val="0"/>
              <w:widowControl/>
              <w:kinsoku/>
              <w:overflowPunct/>
              <w:autoSpaceDE/>
              <w:autoSpaceDN/>
              <w:bidi w:val="0"/>
              <w:adjustRightInd w:val="0"/>
              <w:spacing w:line="360" w:lineRule="auto"/>
              <w:ind w:firstLine="480" w:firstLineChars="200"/>
              <w:textAlignment w:val="auto"/>
              <w:rPr>
                <w:rFonts w:hint="eastAsia" w:ascii="Times New Roman" w:hAnsi="Times New Roman" w:eastAsia="宋体" w:cs="Times New Roman"/>
                <w:b/>
                <w:bCs/>
                <w:color w:val="000000" w:themeColor="text1"/>
                <w:spacing w:val="0"/>
                <w:kern w:val="21"/>
                <w:position w:val="0"/>
                <w:sz w:val="24"/>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底漆打磨粉尘</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中</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颗粒物有组织排放能够满足《大气污染物综合排放标准》（GB 16297-1996）表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中标准限值</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5</w:t>
            </w:r>
            <w:r>
              <w:rPr>
                <w:rFonts w:ascii="Times New Roman" w:hAnsi="Times New Roman" w:eastAsia="宋体" w:cs="Times New Roman"/>
                <w:b/>
                <w:bCs/>
                <w:color w:val="000000" w:themeColor="text1"/>
                <w:spacing w:val="0"/>
                <w:kern w:val="21"/>
                <w:position w:val="0"/>
                <w:sz w:val="24"/>
                <w14:textFill>
                  <w14:solidFill>
                    <w14:schemeClr w14:val="tx1"/>
                  </w14:solidFill>
                </w14:textFill>
              </w:rPr>
              <w:t>）金属加工粉尘</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bookmarkStart w:id="28" w:name="OLE_LINK18"/>
            <w:r>
              <w:rPr>
                <w:rFonts w:ascii="Times New Roman" w:hAnsi="Times New Roman" w:eastAsia="宋体" w:cs="Times New Roman"/>
                <w:color w:val="000000" w:themeColor="text1"/>
                <w:spacing w:val="0"/>
                <w:kern w:val="21"/>
                <w:position w:val="0"/>
                <w:sz w:val="24"/>
                <w14:textFill>
                  <w14:solidFill>
                    <w14:schemeClr w14:val="tx1"/>
                  </w14:solidFill>
                </w14:textFill>
              </w:rPr>
              <w:t>本</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项目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金属钢板进行</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切割</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下料</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时会产生少量细小的金属粉尘，其主要成分为金属颗粒物</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同时</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项目在焊接工序后为去除工件表面毛刺，需对工件进行打磨</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加</w:t>
            </w:r>
            <w:r>
              <w:rPr>
                <w:rFonts w:ascii="Times New Roman" w:hAnsi="Times New Roman" w:eastAsia="宋体" w:cs="Times New Roman"/>
                <w:color w:val="000000" w:themeColor="text1"/>
                <w:spacing w:val="0"/>
                <w:kern w:val="21"/>
                <w:position w:val="0"/>
                <w:sz w:val="24"/>
                <w14:textFill>
                  <w14:solidFill>
                    <w14:schemeClr w14:val="tx1"/>
                  </w14:solidFill>
                </w14:textFill>
              </w:rPr>
              <w:t>工过程中会产生颗粒物。</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本项目金属加工粉尘产污系数</w:t>
            </w:r>
            <w:bookmarkStart w:id="29" w:name="OLE_LINK20"/>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参考《排放源统计调查产排污核算方法和系数手册》中“33-37、431-434机械行业系数手册”，具体见下</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金属加工粉尘产污系数</w:t>
            </w:r>
          </w:p>
          <w:tbl>
            <w:tblPr>
              <w:tblStyle w:val="20"/>
              <w:tblW w:w="496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60"/>
              <w:gridCol w:w="1884"/>
              <w:gridCol w:w="1118"/>
              <w:gridCol w:w="775"/>
              <w:gridCol w:w="1398"/>
              <w:gridCol w:w="1787"/>
              <w:gridCol w:w="7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产品名称</w:t>
                  </w:r>
                </w:p>
              </w:tc>
              <w:tc>
                <w:tcPr>
                  <w:tcW w:w="111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原料名称</w:t>
                  </w:r>
                </w:p>
              </w:tc>
              <w:tc>
                <w:tcPr>
                  <w:tcW w:w="664"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工艺名称</w:t>
                  </w:r>
                </w:p>
              </w:tc>
              <w:tc>
                <w:tcPr>
                  <w:tcW w:w="46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规模等级</w:t>
                  </w:r>
                </w:p>
              </w:tc>
              <w:tc>
                <w:tcPr>
                  <w:tcW w:w="83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污染物指标</w:t>
                  </w:r>
                </w:p>
              </w:tc>
              <w:tc>
                <w:tcPr>
                  <w:tcW w:w="106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单位</w:t>
                  </w:r>
                </w:p>
              </w:tc>
              <w:tc>
                <w:tcPr>
                  <w:tcW w:w="47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21"/>
                      <w:szCs w:val="21"/>
                      <w14:textFill>
                        <w14:solidFill>
                          <w14:schemeClr w14:val="tx1"/>
                        </w14:solidFill>
                      </w14:textFill>
                    </w:rPr>
                    <w:t>产污系数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392"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下料件</w:t>
                  </w:r>
                </w:p>
              </w:tc>
              <w:tc>
                <w:tcPr>
                  <w:tcW w:w="1119"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钢板、铝板、铝合金板、其它金属材料、玻璃纤维、其它非金属材料</w:t>
                  </w:r>
                </w:p>
              </w:tc>
              <w:tc>
                <w:tcPr>
                  <w:tcW w:w="664"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锯床、砂轮切割机切割</w:t>
                  </w:r>
                </w:p>
              </w:tc>
              <w:tc>
                <w:tcPr>
                  <w:tcW w:w="460"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所有规模</w:t>
                  </w:r>
                </w:p>
              </w:tc>
              <w:tc>
                <w:tcPr>
                  <w:tcW w:w="83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工业废气量</w:t>
                  </w:r>
                </w:p>
              </w:tc>
              <w:tc>
                <w:tcPr>
                  <w:tcW w:w="106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立方米/吨-原料</w:t>
                  </w:r>
                </w:p>
              </w:tc>
              <w:tc>
                <w:tcPr>
                  <w:tcW w:w="47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4635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92"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1119"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664"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460"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83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颗粒物</w:t>
                  </w:r>
                </w:p>
              </w:tc>
              <w:tc>
                <w:tcPr>
                  <w:tcW w:w="106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千克/吨-原料</w:t>
                  </w:r>
                </w:p>
              </w:tc>
              <w:tc>
                <w:tcPr>
                  <w:tcW w:w="47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2" w:hRule="atLeast"/>
                <w:jc w:val="center"/>
              </w:trPr>
              <w:tc>
                <w:tcPr>
                  <w:tcW w:w="392" w:type="pct"/>
                  <w:vMerge w:val="restart"/>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lang w:val="en-US" w:eastAsia="zh-CN"/>
                      <w14:textFill>
                        <w14:solidFill>
                          <w14:schemeClr w14:val="tx1"/>
                        </w14:solidFill>
                      </w14:textFill>
                    </w:rPr>
                    <w:t>干式预处理件</w:t>
                  </w:r>
                </w:p>
              </w:tc>
              <w:tc>
                <w:tcPr>
                  <w:tcW w:w="1119" w:type="pct"/>
                  <w:vMerge w:val="restart"/>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14:textFill>
                        <w14:solidFill>
                          <w14:schemeClr w14:val="tx1"/>
                        </w14:solidFill>
                      </w14:textFill>
                    </w:rPr>
                    <w:t>钢材（含板材、构件等）、铝材（含板材、构件等）、铝合金（含板材、构件等）、铁材、其它金属材料</w:t>
                  </w:r>
                </w:p>
              </w:tc>
              <w:tc>
                <w:tcPr>
                  <w:tcW w:w="664" w:type="pct"/>
                  <w:vMerge w:val="restart"/>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lang w:val="en-US" w:eastAsia="zh-CN"/>
                      <w14:textFill>
                        <w14:solidFill>
                          <w14:schemeClr w14:val="tx1"/>
                        </w14:solidFill>
                      </w14:textFill>
                    </w:rPr>
                    <w:t>抛丸、喷砂、打磨、滚筒</w:t>
                  </w:r>
                </w:p>
              </w:tc>
              <w:tc>
                <w:tcPr>
                  <w:tcW w:w="460" w:type="pct"/>
                  <w:vMerge w:val="restart"/>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所有规模</w:t>
                  </w:r>
                </w:p>
              </w:tc>
              <w:tc>
                <w:tcPr>
                  <w:tcW w:w="83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工业废气量</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立方米/吨-原料</w:t>
                  </w:r>
                </w:p>
              </w:tc>
              <w:tc>
                <w:tcPr>
                  <w:tcW w:w="47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850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92"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1119"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664"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460"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pPr>
                </w:p>
              </w:tc>
              <w:tc>
                <w:tcPr>
                  <w:tcW w:w="83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颗粒物</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1"/>
                      <w:position w:val="0"/>
                      <w:sz w:val="21"/>
                      <w:szCs w:val="21"/>
                      <w14:textFill>
                        <w14:solidFill>
                          <w14:schemeClr w14:val="tx1"/>
                        </w14:solidFill>
                      </w14:textFill>
                    </w:rPr>
                    <w:t>千克/吨-原料</w:t>
                  </w:r>
                </w:p>
              </w:tc>
              <w:tc>
                <w:tcPr>
                  <w:tcW w:w="47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2.19</w:t>
                  </w:r>
                </w:p>
              </w:tc>
            </w:tr>
            <w:bookmarkEnd w:id="28"/>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本项目钢材加工量为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00t/a</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需打磨的钢材约为200t/a，则金属加工粉尘产生量为1.2875kg/h（6.798t/a）</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bookmarkEnd w:id="29"/>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14:textFill>
                  <w14:solidFill>
                    <w14:schemeClr w14:val="tx1"/>
                  </w14:solidFill>
                </w14:textFill>
              </w:rPr>
              <w:t>钢材加工过程产生的颗粒物主要为铁屑，比重较大，易沉降，</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本项目金属加工粉尘经</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下抽式集气罩</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（收集效率</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8</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0%）收集处理后经布袋除尘器处理（处理效率99%）通过20m高排气筒（DA006）达标外排。金属粉尘</w:t>
            </w:r>
            <w:r>
              <w:rPr>
                <w:rFonts w:ascii="Times New Roman" w:hAnsi="Times New Roman" w:eastAsia="宋体" w:cs="Times New Roman"/>
                <w:color w:val="000000" w:themeColor="text1"/>
                <w:spacing w:val="0"/>
                <w:kern w:val="21"/>
                <w:position w:val="0"/>
                <w:sz w:val="24"/>
                <w14:textFill>
                  <w14:solidFill>
                    <w14:schemeClr w14:val="tx1"/>
                  </w14:solidFill>
                </w14:textFill>
              </w:rPr>
              <w:t>不易扩散，</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未收集的</w:t>
            </w:r>
            <w:r>
              <w:rPr>
                <w:rFonts w:ascii="Times New Roman" w:hAnsi="Times New Roman" w:eastAsia="宋体" w:cs="Times New Roman"/>
                <w:color w:val="000000" w:themeColor="text1"/>
                <w:spacing w:val="0"/>
                <w:kern w:val="21"/>
                <w:position w:val="0"/>
                <w:sz w:val="24"/>
                <w14:textFill>
                  <w14:solidFill>
                    <w14:schemeClr w14:val="tx1"/>
                  </w14:solidFill>
                </w14:textFill>
              </w:rPr>
              <w:t>颗粒物沉降在车间的各加工点附近，最终形成</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固体废物</w:t>
            </w:r>
            <w:r>
              <w:rPr>
                <w:rFonts w:ascii="Times New Roman" w:hAnsi="Times New Roman" w:eastAsia="宋体" w:cs="Times New Roman"/>
                <w:color w:val="000000" w:themeColor="text1"/>
                <w:spacing w:val="0"/>
                <w:kern w:val="21"/>
                <w:position w:val="0"/>
                <w:sz w:val="24"/>
                <w14:textFill>
                  <w14:solidFill>
                    <w14:schemeClr w14:val="tx1"/>
                  </w14:solidFill>
                </w14:textFill>
              </w:rPr>
              <w:t>，收集后作为固废外售废品回收站。</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风量计算：</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项目</w:t>
            </w:r>
            <w:r>
              <w:rPr>
                <w:rFonts w:hint="eastAsia" w:ascii="Times New Roman" w:hAnsi="Times New Roman" w:eastAsia="宋体" w:cs="Times New Roman"/>
                <w:color w:val="000000" w:themeColor="text1"/>
                <w:spacing w:val="0"/>
                <w:kern w:val="21"/>
                <w:position w:val="0"/>
                <w:sz w:val="24"/>
                <w:szCs w:val="24"/>
                <w14:textFill>
                  <w14:solidFill>
                    <w14:schemeClr w14:val="tx1"/>
                  </w14:solidFill>
                </w14:textFill>
              </w:rPr>
              <w:t>金属</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车间设置</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2台激光切割机，3台切管机及12个打磨台</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，每台设备</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及工位下方设置1套集气罩</w:t>
            </w:r>
            <w:r>
              <w:rPr>
                <w:rFonts w:ascii="Times New Roman" w:hAnsi="Times New Roman" w:eastAsia="宋体" w:cs="Times New Roman"/>
                <w:color w:val="000000" w:themeColor="text1"/>
                <w:spacing w:val="0"/>
                <w:kern w:val="21"/>
                <w:position w:val="0"/>
                <w:sz w:val="24"/>
                <w:szCs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参照《环境工程设计手册废气处理工程技术手册》，设计风量计算可按照以下公式计算：</w:t>
            </w:r>
          </w:p>
          <w:p>
            <w:pPr>
              <w:pageBreakBefore w:val="0"/>
              <w:kinsoku/>
              <w:overflowPunct/>
              <w:autoSpaceDE/>
              <w:autoSpaceDN/>
              <w:bidi w:val="0"/>
              <w:adjustRightInd w:val="0"/>
              <w:spacing w:line="360" w:lineRule="auto"/>
              <w:ind w:firstLine="480" w:firstLineChars="200"/>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object>
                <v:shape id="_x0000_i1040" o:spt="75" type="#_x0000_t75" style="height:16pt;width:82pt;" o:ole="t" filled="f" o:preferrelative="t" stroked="f" coordsize="21600,21600">
                  <v:path/>
                  <v:fill on="f" focussize="0,0"/>
                  <v:stroke on="f" joinstyle="miter"/>
                  <v:imagedata r:id="rId50" o:title=""/>
                  <o:lock v:ext="edit" aspectratio="t"/>
                  <w10:wrap type="none"/>
                  <w10:anchorlock/>
                </v:shape>
                <o:OLEObject Type="Embed" ProgID="Equation.3" ShapeID="_x0000_i1040" DrawAspect="Content" ObjectID="_1468075740" r:id="rId55">
                  <o:LockedField>false</o:LockedField>
                </o:OLEObject>
              </w:objec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Q——所需风量，m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k——考虑沿高度分布不均匀的安全系数，1.4；</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P——集气罩口敞开面的周长，m；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H——罩口至污染源距离，m；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Vx——污染源边缘控制风速，m/s。</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金属加工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粉尘</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风量计算见下表</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金属加工粉尘</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收集系统</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021"/>
              <w:gridCol w:w="1143"/>
              <w:gridCol w:w="1143"/>
              <w:gridCol w:w="1109"/>
              <w:gridCol w:w="1059"/>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工序</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产污节点</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收集方式</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单个</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集气罩周长（m）</w:t>
                  </w:r>
                </w:p>
              </w:tc>
              <w:tc>
                <w:tcPr>
                  <w:tcW w:w="6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罩口距污染源距离（m）</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集气风速（m/s）</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风量（m³/h）</w:t>
                  </w:r>
                </w:p>
              </w:tc>
              <w:tc>
                <w:tcPr>
                  <w:tcW w:w="629"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设计风量（m³/h）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切割</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切割机</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罩</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4</w:t>
                  </w:r>
                </w:p>
              </w:tc>
              <w:tc>
                <w:tcPr>
                  <w:tcW w:w="6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0.2</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0.5</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4032</w:t>
                  </w:r>
                </w:p>
              </w:tc>
              <w:tc>
                <w:tcPr>
                  <w:tcW w:w="629"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切管机</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罩</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w:t>
                  </w:r>
                </w:p>
              </w:tc>
              <w:tc>
                <w:tcPr>
                  <w:tcW w:w="6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0.2</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0.5</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3024</w:t>
                  </w:r>
                </w:p>
              </w:tc>
              <w:tc>
                <w:tcPr>
                  <w:tcW w:w="629"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打磨</w:t>
                  </w:r>
                </w:p>
              </w:tc>
              <w:tc>
                <w:tcPr>
                  <w:tcW w:w="6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打磨台</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12</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14:textFill>
                        <w14:solidFill>
                          <w14:schemeClr w14:val="tx1"/>
                        </w14:solidFill>
                      </w14:textFill>
                    </w:rPr>
                  </w:pPr>
                  <w:r>
                    <w:rPr>
                      <w:rFonts w:hint="default" w:ascii="Times New Roman" w:hAnsi="Times New Roman" w:eastAsia="宋体" w:cs="Times New Roman"/>
                      <w:color w:val="000000" w:themeColor="text1"/>
                      <w:spacing w:val="0"/>
                      <w:kern w:val="21"/>
                      <w:position w:val="0"/>
                      <w:szCs w:val="21"/>
                      <w14:textFill>
                        <w14:solidFill>
                          <w14:schemeClr w14:val="tx1"/>
                        </w14:solidFill>
                      </w14:textFill>
                    </w:rPr>
                    <w:t>集气</w:t>
                  </w:r>
                  <w:r>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罩</w:t>
                  </w:r>
                  <w:r>
                    <w:rPr>
                      <w:rFonts w:hint="default"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12</w:t>
                  </w:r>
                </w:p>
              </w:tc>
              <w:tc>
                <w:tcPr>
                  <w:tcW w:w="7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cs="Times New Roman"/>
                      <w:color w:val="000000" w:themeColor="text1"/>
                      <w:spacing w:val="0"/>
                      <w:kern w:val="21"/>
                      <w:position w:val="0"/>
                      <w:lang w:val="en-US" w:eastAsia="zh-CN"/>
                      <w14:textFill>
                        <w14:solidFill>
                          <w14:schemeClr w14:val="tx1"/>
                        </w14:solidFill>
                      </w14:textFill>
                    </w:rPr>
                  </w:pPr>
                  <w:r>
                    <w:rPr>
                      <w:rFonts w:hint="default" w:ascii="Times New Roman" w:hAnsi="Times New Roman" w:cs="Times New Roman"/>
                      <w:color w:val="000000" w:themeColor="text1"/>
                      <w:spacing w:val="0"/>
                      <w:kern w:val="21"/>
                      <w:position w:val="0"/>
                      <w:lang w:val="en-US" w:eastAsia="zh-CN"/>
                      <w14:textFill>
                        <w14:solidFill>
                          <w14:schemeClr w14:val="tx1"/>
                        </w14:solidFill>
                      </w14:textFill>
                    </w:rPr>
                    <w:t>2</w:t>
                  </w:r>
                </w:p>
              </w:tc>
              <w:tc>
                <w:tcPr>
                  <w:tcW w:w="69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14:textFill>
                        <w14:solidFill>
                          <w14:schemeClr w14:val="tx1"/>
                        </w14:solidFill>
                      </w14:textFill>
                    </w:rPr>
                  </w:pPr>
                  <w:r>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0.2</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0.5</w:t>
                  </w:r>
                </w:p>
              </w:tc>
              <w:tc>
                <w:tcPr>
                  <w:tcW w:w="58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12096</w:t>
                  </w:r>
                </w:p>
              </w:tc>
              <w:tc>
                <w:tcPr>
                  <w:tcW w:w="629"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金属加工粉尘</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14:textFill>
                  <w14:solidFill>
                    <w14:schemeClr w14:val="tx1"/>
                  </w14:solidFill>
                </w14:textFill>
              </w:rPr>
              <w:t>金属加工粉尘</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源强及排污情况一览表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633"/>
              <w:gridCol w:w="1020"/>
              <w:gridCol w:w="1046"/>
              <w:gridCol w:w="842"/>
              <w:gridCol w:w="765"/>
              <w:gridCol w:w="797"/>
              <w:gridCol w:w="1020"/>
              <w:gridCol w:w="85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410"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7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1086"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995"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59"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41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72"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5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48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50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4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51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金属加工</w:t>
                  </w:r>
                </w:p>
              </w:tc>
              <w:tc>
                <w:tcPr>
                  <w:tcW w:w="41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颗粒物</w:t>
                  </w:r>
                </w:p>
              </w:tc>
              <w:tc>
                <w:tcPr>
                  <w:tcW w:w="57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1.2875</w:t>
                  </w: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20000</w:t>
                  </w:r>
                </w:p>
              </w:tc>
              <w:tc>
                <w:tcPr>
                  <w:tcW w:w="533"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80</w:t>
                  </w:r>
                </w:p>
              </w:tc>
              <w:tc>
                <w:tcPr>
                  <w:tcW w:w="48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spacing w:val="0"/>
                      <w:kern w:val="21"/>
                      <w:position w:val="0"/>
                      <w:sz w:val="18"/>
                      <w:szCs w:val="18"/>
                    </w:rPr>
                    <w:t>布袋除尘</w:t>
                  </w:r>
                  <w:r>
                    <w:rPr>
                      <w:rFonts w:hint="eastAsia" w:ascii="Times New Roman" w:hAnsi="Times New Roman" w:eastAsia="宋体" w:cs="Times New Roman"/>
                      <w:color w:val="000000"/>
                      <w:spacing w:val="0"/>
                      <w:kern w:val="21"/>
                      <w:position w:val="0"/>
                      <w:sz w:val="18"/>
                      <w:szCs w:val="18"/>
                      <w:lang w:val="en-US" w:eastAsia="zh-CN"/>
                    </w:rPr>
                    <w:t>器</w:t>
                  </w:r>
                </w:p>
              </w:tc>
              <w:tc>
                <w:tcPr>
                  <w:tcW w:w="50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99</w:t>
                  </w:r>
                </w:p>
              </w:tc>
              <w:tc>
                <w:tcPr>
                  <w:tcW w:w="542"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0.0103</w:t>
                  </w:r>
                </w:p>
              </w:tc>
              <w:tc>
                <w:tcPr>
                  <w:tcW w:w="517"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0.0544</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6</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（20m）</w:t>
                  </w:r>
                </w:p>
              </w:tc>
            </w:tr>
          </w:tbl>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金属加工粉尘</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中</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颗粒物有组织排放能够满足《大气污染物综合排放标准》（GB 16297-1996）表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中标准限值</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14:textFill>
                  <w14:solidFill>
                    <w14:schemeClr w14:val="tx1"/>
                  </w14:solidFill>
                </w14:textFill>
              </w:rPr>
              <w:t>6</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）焊接烟尘</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本项目选用的焊接方式是利用氩弧焊机对工件进行焊接</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此过程会产生焊接烟尘。</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14:textFill>
                  <w14:solidFill>
                    <w14:schemeClr w14:val="tx1"/>
                  </w14:solidFill>
                </w14:textFill>
              </w:rPr>
              <w:t>本</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项目</w:t>
            </w:r>
            <w:r>
              <w:rPr>
                <w:rFonts w:ascii="Times New Roman" w:hAnsi="Times New Roman" w:eastAsia="宋体" w:cs="Times New Roman"/>
                <w:color w:val="000000" w:themeColor="text1"/>
                <w:spacing w:val="0"/>
                <w:kern w:val="21"/>
                <w:position w:val="0"/>
                <w:sz w:val="24"/>
                <w14:textFill>
                  <w14:solidFill>
                    <w14:schemeClr w14:val="tx1"/>
                  </w14:solidFill>
                </w14:textFill>
              </w:rPr>
              <w:t>焊接烟尘</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产污系数</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参考《排放源统计调查产排污核算方法和系数手册》中“33-37、431-434机械行业系数手册”，具体见下</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color w:val="000000" w:themeColor="text1"/>
                <w:spacing w:val="0"/>
                <w:kern w:val="21"/>
                <w:position w:val="0"/>
                <w:szCs w:val="21"/>
                <w:lang w:val="en-US" w:eastAsia="zh-CN"/>
                <w14:textFill>
                  <w14:solidFill>
                    <w14:schemeClr w14:val="tx1"/>
                  </w14:solidFill>
                </w14:textFill>
              </w:rPr>
              <w:t>焊接烟尘</w:t>
            </w:r>
            <w:r>
              <w:rPr>
                <w:rFonts w:ascii="Times New Roman" w:hAnsi="Times New Roman" w:eastAsia="宋体" w:cs="Times New Roman"/>
                <w:b/>
                <w:color w:val="000000" w:themeColor="text1"/>
                <w:spacing w:val="0"/>
                <w:kern w:val="21"/>
                <w:position w:val="0"/>
                <w:szCs w:val="21"/>
                <w14:textFill>
                  <w14:solidFill>
                    <w14:schemeClr w14:val="tx1"/>
                  </w14:solidFill>
                </w14:textFill>
              </w:rPr>
              <w:t>产污系数</w:t>
            </w:r>
          </w:p>
          <w:tbl>
            <w:tblPr>
              <w:tblStyle w:val="20"/>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72"/>
              <w:gridCol w:w="1077"/>
              <w:gridCol w:w="1054"/>
              <w:gridCol w:w="1107"/>
              <w:gridCol w:w="1366"/>
              <w:gridCol w:w="1630"/>
              <w:gridCol w:w="11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产品名称</w:t>
                  </w:r>
                </w:p>
              </w:tc>
              <w:tc>
                <w:tcPr>
                  <w:tcW w:w="644"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原料名称</w:t>
                  </w:r>
                </w:p>
              </w:tc>
              <w:tc>
                <w:tcPr>
                  <w:tcW w:w="63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工艺名称</w:t>
                  </w:r>
                </w:p>
              </w:tc>
              <w:tc>
                <w:tcPr>
                  <w:tcW w:w="661"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规模等级</w:t>
                  </w:r>
                </w:p>
              </w:tc>
              <w:tc>
                <w:tcPr>
                  <w:tcW w:w="814"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污染物指标</w:t>
                  </w:r>
                </w:p>
              </w:tc>
              <w:tc>
                <w:tcPr>
                  <w:tcW w:w="97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单位</w:t>
                  </w:r>
                </w:p>
              </w:tc>
              <w:tc>
                <w:tcPr>
                  <w:tcW w:w="63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产污系数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641"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焊接件</w:t>
                  </w:r>
                </w:p>
              </w:tc>
              <w:tc>
                <w:tcPr>
                  <w:tcW w:w="644"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实芯焊丝</w:t>
                  </w:r>
                </w:p>
              </w:tc>
              <w:tc>
                <w:tcPr>
                  <w:tcW w:w="630"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二氧化碳保护焊、埋弧焊、氩弧焊</w:t>
                  </w:r>
                </w:p>
              </w:tc>
              <w:tc>
                <w:tcPr>
                  <w:tcW w:w="661"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所有规模</w:t>
                  </w:r>
                </w:p>
              </w:tc>
              <w:tc>
                <w:tcPr>
                  <w:tcW w:w="814"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工业废气量</w:t>
                  </w:r>
                </w:p>
              </w:tc>
              <w:tc>
                <w:tcPr>
                  <w:tcW w:w="97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立方米/吨-原料</w:t>
                  </w:r>
                </w:p>
              </w:tc>
              <w:tc>
                <w:tcPr>
                  <w:tcW w:w="63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2130193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644"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630"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661"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814"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颗粒物</w:t>
                  </w:r>
                </w:p>
              </w:tc>
              <w:tc>
                <w:tcPr>
                  <w:tcW w:w="97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千克/吨-原料</w:t>
                  </w:r>
                </w:p>
              </w:tc>
              <w:tc>
                <w:tcPr>
                  <w:tcW w:w="63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9.19</w:t>
                  </w:r>
                </w:p>
              </w:tc>
            </w:tr>
          </w:tbl>
          <w:p>
            <w:pPr>
              <w:pageBreakBefore w:val="0"/>
              <w:widowControl/>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4"/>
                <w:szCs w:val="22"/>
                <w14:textFill>
                  <w14:solidFill>
                    <w14:schemeClr w14:val="tx1"/>
                  </w14:solidFill>
                </w14:textFill>
              </w:rPr>
              <w:t>本项目实心焊条使用量约4.8t/a，则项目焊接烟尘产生量为0.0084kg/h（0.0441t/a）。</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设置</w:t>
            </w:r>
            <w:r>
              <w:rPr>
                <w:rFonts w:ascii="Times New Roman" w:hAnsi="Times New Roman" w:eastAsia="宋体" w:cs="Times New Roman"/>
                <w:color w:val="000000" w:themeColor="text1"/>
                <w:spacing w:val="0"/>
                <w:kern w:val="21"/>
                <w:position w:val="0"/>
                <w:sz w:val="24"/>
                <w14:textFill>
                  <w14:solidFill>
                    <w14:schemeClr w14:val="tx1"/>
                  </w14:solidFill>
                </w14:textFill>
              </w:rPr>
              <w:t>26</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台焊机，考虑最不利情况，本次环评按照焊机同时工作考虑，环评要求焊机工位设置为固定式焊接工位，通过在焊接工位上方分别设置集气罩</w:t>
            </w:r>
            <w:r>
              <w:rPr>
                <w:rFonts w:ascii="Times New Roman" w:hAnsi="Times New Roman" w:cs="Times New Roman"/>
                <w:bCs/>
                <w:color w:val="000000" w:themeColor="text1"/>
                <w:spacing w:val="0"/>
                <w:kern w:val="21"/>
                <w:position w:val="0"/>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再通过管道将焊烟送至焊烟净化器（处理效率为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95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%）处理后引入20m高排气筒（DA00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6</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）达标外排。</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焊接烟尘</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设计风量拟采用12000m</w:t>
            </w:r>
            <w:r>
              <w:rPr>
                <w:rFonts w:ascii="Times New Roman" w:hAnsi="Times New Roman" w:eastAsia="宋体" w:cs="Times New Roman"/>
                <w:color w:val="000000" w:themeColor="text1"/>
                <w:spacing w:val="0"/>
                <w:kern w:val="21"/>
                <w:position w:val="0"/>
                <w:sz w:val="24"/>
                <w:szCs w:val="22"/>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本项目所设置集气罩收集效率</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0%，焊烟净化器处理净化效率为</w:t>
            </w:r>
            <w:r>
              <w:rPr>
                <w:rFonts w:hint="eastAsia" w:ascii="Times New Roman" w:hAnsi="Times New Roman" w:eastAsia="宋体" w:cs="Times New Roman"/>
                <w:color w:val="000000" w:themeColor="text1"/>
                <w:spacing w:val="0"/>
                <w:kern w:val="21"/>
                <w:position w:val="0"/>
                <w:sz w:val="24"/>
                <w:szCs w:val="22"/>
                <w:lang w:val="en-US" w:eastAsia="zh-CN" w:bidi="ar"/>
                <w14:textFill>
                  <w14:solidFill>
                    <w14:schemeClr w14:val="tx1"/>
                  </w14:solidFill>
                </w14:textFill>
              </w:rPr>
              <w:t>95</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本项目焊接烟尘</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收集系统</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022"/>
              <w:gridCol w:w="1114"/>
              <w:gridCol w:w="1198"/>
              <w:gridCol w:w="1083"/>
              <w:gridCol w:w="1059"/>
              <w:gridCol w:w="117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工序</w:t>
                  </w:r>
                </w:p>
              </w:tc>
              <w:tc>
                <w:tcPr>
                  <w:tcW w:w="64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产污节点</w:t>
                  </w:r>
                </w:p>
              </w:tc>
              <w:tc>
                <w:tcPr>
                  <w:tcW w:w="6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收集方式</w:t>
                  </w:r>
                </w:p>
              </w:tc>
              <w:tc>
                <w:tcPr>
                  <w:tcW w:w="74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单个</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集气罩周长（m）</w:t>
                  </w:r>
                </w:p>
              </w:tc>
              <w:tc>
                <w:tcPr>
                  <w:tcW w:w="67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罩口距污染源距离（m）</w:t>
                  </w:r>
                </w:p>
              </w:tc>
              <w:tc>
                <w:tcPr>
                  <w:tcW w:w="56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集气风速（m/s）</w:t>
                  </w:r>
                </w:p>
              </w:tc>
              <w:tc>
                <w:tcPr>
                  <w:tcW w:w="62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风量（m³/h）</w:t>
                  </w:r>
                </w:p>
              </w:tc>
              <w:tc>
                <w:tcPr>
                  <w:tcW w:w="62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设计风量（m³/h）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焊接</w:t>
                  </w:r>
                </w:p>
              </w:tc>
              <w:tc>
                <w:tcPr>
                  <w:tcW w:w="64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焊机×26</w:t>
                  </w:r>
                </w:p>
              </w:tc>
              <w:tc>
                <w:tcPr>
                  <w:tcW w:w="697"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集气罩×26</w:t>
                  </w:r>
                </w:p>
              </w:tc>
              <w:tc>
                <w:tcPr>
                  <w:tcW w:w="746"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678"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562"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0.3</w:t>
                  </w:r>
                </w:p>
              </w:tc>
              <w:tc>
                <w:tcPr>
                  <w:tcW w:w="621"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11232</w:t>
                  </w:r>
                </w:p>
              </w:tc>
              <w:tc>
                <w:tcPr>
                  <w:tcW w:w="62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12000</w:t>
                  </w: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据源强核算结果和处理设施计算参数，本项目焊接烟尘有组织排放达标情况见下表。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焊接烟尘源强及排污情况一览表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61"/>
              <w:gridCol w:w="1020"/>
              <w:gridCol w:w="1046"/>
              <w:gridCol w:w="840"/>
              <w:gridCol w:w="770"/>
              <w:gridCol w:w="789"/>
              <w:gridCol w:w="1021"/>
              <w:gridCol w:w="85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50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7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1086"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995"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59"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02"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72"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5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49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50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4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51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焊接</w:t>
                  </w:r>
                </w:p>
              </w:tc>
              <w:tc>
                <w:tcPr>
                  <w:tcW w:w="50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颗粒物</w:t>
                  </w:r>
                </w:p>
              </w:tc>
              <w:tc>
                <w:tcPr>
                  <w:tcW w:w="57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0.0084</w:t>
                  </w: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12000</w:t>
                  </w:r>
                </w:p>
              </w:tc>
              <w:tc>
                <w:tcPr>
                  <w:tcW w:w="53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80</w:t>
                  </w:r>
                </w:p>
              </w:tc>
              <w:tc>
                <w:tcPr>
                  <w:tcW w:w="49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焊烟净化器</w:t>
                  </w:r>
                </w:p>
              </w:tc>
              <w:tc>
                <w:tcPr>
                  <w:tcW w:w="503"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95</w:t>
                  </w:r>
                </w:p>
              </w:tc>
              <w:tc>
                <w:tcPr>
                  <w:tcW w:w="542"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0.0003</w:t>
                  </w:r>
                </w:p>
              </w:tc>
              <w:tc>
                <w:tcPr>
                  <w:tcW w:w="517"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0.0018</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6</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（20m）</w:t>
                  </w:r>
                </w:p>
              </w:tc>
            </w:tr>
          </w:tbl>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焊接烟尘</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中</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颗粒物有组织排放能够满足《大气污染物综合排放标准》（GB 16297-1996）表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中标准限值</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widowControl/>
              <w:kinsoku/>
              <w:overflowPunct/>
              <w:autoSpaceDE/>
              <w:autoSpaceDN/>
              <w:bidi w:val="0"/>
              <w:adjustRightInd w:val="0"/>
              <w:spacing w:line="360" w:lineRule="auto"/>
              <w:ind w:left="48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7</w:t>
            </w:r>
            <w:r>
              <w:rPr>
                <w:rFonts w:ascii="Times New Roman" w:hAnsi="Times New Roman" w:eastAsia="宋体" w:cs="Times New Roman"/>
                <w:b/>
                <w:bCs/>
                <w:color w:val="000000" w:themeColor="text1"/>
                <w:spacing w:val="0"/>
                <w:kern w:val="21"/>
                <w:position w:val="0"/>
                <w:sz w:val="24"/>
                <w14:textFill>
                  <w14:solidFill>
                    <w14:schemeClr w14:val="tx1"/>
                  </w14:solidFill>
                </w14:textFill>
              </w:rPr>
              <w:t>）喷塑粉尘</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本项目设置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条喷塑线，喷塑过程中会产生喷塑粉尘。本项目喷塑粉尘在几乎完全密闭的喷塑房内进行，喷塑房采用双层密闭，喷塑房内设喷塑室，喷塑房和喷塑室均密闭</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喷塑为密闭静电喷涂。</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根据塑粉用量核算，项目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五金件</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喷塑工序粉末使用量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4.06</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t/a，喷塑线年运行3</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0天，</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工作时间</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小时。</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参考《排放源统计调查产排污核算方法和系数手册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》中“33-37，431-434机械行业系数手册”，产污系</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数见下表。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喷塑粉尘产污系数</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51"/>
              <w:gridCol w:w="1551"/>
              <w:gridCol w:w="1080"/>
              <w:gridCol w:w="1131"/>
              <w:gridCol w:w="1392"/>
              <w:gridCol w:w="1780"/>
              <w:gridCol w:w="8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产品名称</w:t>
                  </w:r>
                </w:p>
              </w:tc>
              <w:tc>
                <w:tcPr>
                  <w:tcW w:w="92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原料名称</w:t>
                  </w:r>
                </w:p>
              </w:tc>
              <w:tc>
                <w:tcPr>
                  <w:tcW w:w="645"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工艺名称</w:t>
                  </w:r>
                </w:p>
              </w:tc>
              <w:tc>
                <w:tcPr>
                  <w:tcW w:w="675"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规模等级</w:t>
                  </w:r>
                </w:p>
              </w:tc>
              <w:tc>
                <w:tcPr>
                  <w:tcW w:w="82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污染物指标</w:t>
                  </w:r>
                </w:p>
              </w:tc>
              <w:tc>
                <w:tcPr>
                  <w:tcW w:w="1058"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单位</w:t>
                  </w:r>
                </w:p>
              </w:tc>
              <w:tc>
                <w:tcPr>
                  <w:tcW w:w="47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产污系数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92"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涂装件</w:t>
                  </w:r>
                </w:p>
              </w:tc>
              <w:tc>
                <w:tcPr>
                  <w:tcW w:w="923"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粉末涂料</w:t>
                  </w:r>
                </w:p>
              </w:tc>
              <w:tc>
                <w:tcPr>
                  <w:tcW w:w="645"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w:t>
                  </w:r>
                </w:p>
              </w:tc>
              <w:tc>
                <w:tcPr>
                  <w:tcW w:w="675"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所有规模</w:t>
                  </w:r>
                </w:p>
              </w:tc>
              <w:tc>
                <w:tcPr>
                  <w:tcW w:w="82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工业废气量</w:t>
                  </w:r>
                </w:p>
              </w:tc>
              <w:tc>
                <w:tcPr>
                  <w:tcW w:w="1058"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立方米/吨-原料</w:t>
                  </w:r>
                </w:p>
              </w:tc>
              <w:tc>
                <w:tcPr>
                  <w:tcW w:w="47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53200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92"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923"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645"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675"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82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颗粒物</w:t>
                  </w:r>
                </w:p>
              </w:tc>
              <w:tc>
                <w:tcPr>
                  <w:tcW w:w="1058"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千克/吨-原料</w:t>
                  </w:r>
                </w:p>
              </w:tc>
              <w:tc>
                <w:tcPr>
                  <w:tcW w:w="473"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300</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本项目喷塑粉尘产生量为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0.3076</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kg/h（</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1.218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喷塑粉尘通过密闭收集方式（收集效率按95%计）经</w:t>
            </w:r>
            <w:bookmarkStart w:id="30" w:name="_Hlk139479980"/>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“高效旋风分离器+全聚酯滤芯二级回收处理”（处理效率99%）</w:t>
            </w:r>
            <w:bookmarkEnd w:id="30"/>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处理后，由1根20m排气筒（DA00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）达标排放。本项目设置密闭喷塑房阻断未被喷塑室收集粉尘，抑尘效率约80%。</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“二级滤芯粉末回收装置”回收原理：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二级滤芯粉末回收装置”由“旋风分离”+“滤芯过滤”二级处理回收系统构成。喷塑产生粉尘首先通过抽风作用进入旋风分离结构，旋风分离结构设有多个旋筒，每个旋筒上分布有多元小旋风分离器，粉尘大部分在旋风分离结构的旋筒处由于空气动力学作用被旋筒上多元小旋风分离器分离，该粉末被粉泵抽回重新利用。未被旋风分离的粉末再次被后置的滤芯过滤，被截留的粉末量少，其中超细粉含量大，不再被利用。经过滤芯的含有极少量更细的粉末再次进入密闭固定式喷塑间内。</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风量核算：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本项目设置1套密闭固定式喷塑间，长宽高规格为10m×4m×3m。固定式喷塑间需做到全密闭设置，进出口采用合页门，合页门缝隙设密封胶条，喷塑过程中固定式喷塑间处于密闭状态。项目工件可由金属</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拖车</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通过地轨推进固定式喷塑间进行喷塑，喷塑完成后，打开出口合页门由金属</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拖车</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推出即可。</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喷塑间换气次数按30次/h计，则喷塑间理论排风量应为3600m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/h，考虑到过程中会有风量损失，本项目拟设置风量为5000m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据源强核算结果和处理设施计算参数，本项目喷塑粉尘有组织排放达标情况见下表。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喷塑粉尘</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源强及排污情况一览表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84"/>
              <w:gridCol w:w="1020"/>
              <w:gridCol w:w="1046"/>
              <w:gridCol w:w="779"/>
              <w:gridCol w:w="842"/>
              <w:gridCol w:w="758"/>
              <w:gridCol w:w="1020"/>
              <w:gridCol w:w="85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518"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50"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1068"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1038"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58"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18"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51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55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48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6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49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喷塑</w:t>
                  </w:r>
                </w:p>
              </w:tc>
              <w:tc>
                <w:tcPr>
                  <w:tcW w:w="51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颗粒物</w:t>
                  </w:r>
                </w:p>
              </w:tc>
              <w:tc>
                <w:tcPr>
                  <w:tcW w:w="55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0.3076</w:t>
                  </w: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5000</w:t>
                  </w:r>
                </w:p>
              </w:tc>
              <w:tc>
                <w:tcPr>
                  <w:tcW w:w="51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95</w:t>
                  </w:r>
                </w:p>
              </w:tc>
              <w:tc>
                <w:tcPr>
                  <w:tcW w:w="55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高效旋风分离器+全聚酯滤芯二级回收处理</w:t>
                  </w:r>
                </w:p>
              </w:tc>
              <w:tc>
                <w:tcPr>
                  <w:tcW w:w="48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99</w:t>
                  </w:r>
                </w:p>
              </w:tc>
              <w:tc>
                <w:tcPr>
                  <w:tcW w:w="56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0.0029</w:t>
                  </w:r>
                </w:p>
              </w:tc>
              <w:tc>
                <w:tcPr>
                  <w:tcW w:w="496"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0.0116</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lang w:val="en-US" w:eastAsia="zh-CN"/>
                      <w14:textFill>
                        <w14:solidFill>
                          <w14:schemeClr w14:val="tx1"/>
                        </w14:solidFill>
                      </w14:textFill>
                    </w:rPr>
                    <w:t>8</w:t>
                  </w: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（20m）</w:t>
                  </w:r>
                </w:p>
              </w:tc>
            </w:tr>
          </w:tbl>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喷塑粉尘</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中</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颗粒物有组织排放能够满足《大气污染物综合排放标准》（GB 16297-1996）表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中标准限值</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8</w:t>
            </w: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固化烘干废气</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本项目设置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套密闭固定式固化烘箱，长宽高规格为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m，利用</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电能</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加热，固化温度180℃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-200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粉末涂料塑粉在固化过程中会产生的少量有机废气。</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本项目塑粉使用量为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4.06t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参考</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《排放源统计调查产排污核算方法和系数手册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》中“33-37，431-434机械行业系数手册”，产污系</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数见下表。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固化</w:t>
            </w:r>
            <w:r>
              <w:rPr>
                <w:rFonts w:ascii="Times New Roman" w:hAnsi="Times New Roman" w:eastAsia="宋体" w:cs="Times New Roman"/>
                <w:b/>
                <w:color w:val="000000" w:themeColor="text1"/>
                <w:spacing w:val="0"/>
                <w:kern w:val="21"/>
                <w:position w:val="0"/>
                <w:szCs w:val="21"/>
                <w14:textFill>
                  <w14:solidFill>
                    <w14:schemeClr w14:val="tx1"/>
                  </w14:solidFill>
                </w14:textFill>
              </w:rPr>
              <w:t>烘干废气产污系数</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58"/>
              <w:gridCol w:w="1315"/>
              <w:gridCol w:w="1285"/>
              <w:gridCol w:w="757"/>
              <w:gridCol w:w="1559"/>
              <w:gridCol w:w="1744"/>
              <w:gridCol w:w="11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88"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产品名称</w:t>
                  </w:r>
                </w:p>
              </w:tc>
              <w:tc>
                <w:tcPr>
                  <w:tcW w:w="776"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原料名称</w:t>
                  </w:r>
                </w:p>
              </w:tc>
              <w:tc>
                <w:tcPr>
                  <w:tcW w:w="758"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工艺名称</w:t>
                  </w:r>
                </w:p>
              </w:tc>
              <w:tc>
                <w:tcPr>
                  <w:tcW w:w="447"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规模等级</w:t>
                  </w:r>
                </w:p>
              </w:tc>
              <w:tc>
                <w:tcPr>
                  <w:tcW w:w="92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污染物指标</w:t>
                  </w:r>
                </w:p>
              </w:tc>
              <w:tc>
                <w:tcPr>
                  <w:tcW w:w="102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单位</w:t>
                  </w:r>
                </w:p>
              </w:tc>
              <w:tc>
                <w:tcPr>
                  <w:tcW w:w="68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产污系数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8"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涂装件</w:t>
                  </w:r>
                </w:p>
              </w:tc>
              <w:tc>
                <w:tcPr>
                  <w:tcW w:w="776"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粉末涂料</w:t>
                  </w:r>
                </w:p>
              </w:tc>
              <w:tc>
                <w:tcPr>
                  <w:tcW w:w="758"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喷塑后烘干</w:t>
                  </w:r>
                </w:p>
              </w:tc>
              <w:tc>
                <w:tcPr>
                  <w:tcW w:w="447" w:type="pct"/>
                  <w:vMerge w:val="restart"/>
                  <w:tcBorders>
                    <w:top w:val="single" w:color="auto" w:sz="4" w:space="0"/>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所有规模</w:t>
                  </w:r>
                </w:p>
              </w:tc>
              <w:tc>
                <w:tcPr>
                  <w:tcW w:w="92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工业废气量</w:t>
                  </w:r>
                </w:p>
              </w:tc>
              <w:tc>
                <w:tcPr>
                  <w:tcW w:w="102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立方米/吨-原料</w:t>
                  </w:r>
                </w:p>
              </w:tc>
              <w:tc>
                <w:tcPr>
                  <w:tcW w:w="68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37262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8"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76"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758"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447" w:type="pct"/>
                  <w:vMerge w:val="continue"/>
                  <w:tcBorders>
                    <w:left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p>
              </w:tc>
              <w:tc>
                <w:tcPr>
                  <w:tcW w:w="92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挥发性有机物</w:t>
                  </w:r>
                </w:p>
              </w:tc>
              <w:tc>
                <w:tcPr>
                  <w:tcW w:w="1029"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千克/吨-原料</w:t>
                  </w:r>
                </w:p>
              </w:tc>
              <w:tc>
                <w:tcPr>
                  <w:tcW w:w="680" w:type="pct"/>
                  <w:tcBorders>
                    <w:top w:val="single" w:color="auto" w:sz="4" w:space="0"/>
                    <w:left w:val="single" w:color="auto" w:sz="4" w:space="0"/>
                    <w:bottom w:val="single" w:color="auto" w:sz="4" w:space="0"/>
                    <w:right w:val="single" w:color="auto" w:sz="4" w:space="0"/>
                  </w:tcBorders>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本项目喷粉附着率为85%，</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固化烘干工序平均每日工作时间为2h，</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则固化废气</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产生量为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0.011</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kg/h（0.000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kinsoku/>
              <w:overflowPunct/>
              <w:autoSpaceDE/>
              <w:autoSpaceDN/>
              <w:bidi w:val="0"/>
              <w:adjustRightInd w:val="0"/>
              <w:spacing w:line="360" w:lineRule="auto"/>
              <w:ind w:firstLine="481" w:firstLineChars="200"/>
              <w:textAlignment w:val="auto"/>
              <w:rPr>
                <w:rFonts w:hint="eastAsia" w:ascii="Times New Roman" w:hAnsi="Times New Roman" w:cs="Times New Roman" w:eastAsiaTheme="minorEastAsia"/>
                <w:color w:val="000000" w:themeColor="text1"/>
                <w:spacing w:val="0"/>
                <w:kern w:val="21"/>
                <w:position w:val="0"/>
                <w:sz w:val="24"/>
                <w:szCs w:val="22"/>
                <w:lang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治理措施：</w:t>
            </w:r>
            <w:r>
              <w:rPr>
                <w:rFonts w:hint="eastAsia" w:ascii="Times New Roman" w:hAnsi="Times New Roman" w:eastAsia="宋体" w:cs="Times New Roman"/>
                <w:b w:val="0"/>
                <w:bCs w:val="0"/>
                <w:color w:val="000000" w:themeColor="text1"/>
                <w:spacing w:val="0"/>
                <w:kern w:val="21"/>
                <w:position w:val="0"/>
                <w:sz w:val="24"/>
                <w:lang w:val="en-US" w:eastAsia="zh-CN"/>
                <w14:textFill>
                  <w14:solidFill>
                    <w14:schemeClr w14:val="tx1"/>
                  </w14:solidFill>
                </w14:textFill>
              </w:rPr>
              <w:t>本项目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固化箱</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为一体化小型固化箱，在开口处</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设置集气罩，捕集率按</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0%计，固化烘干废气经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集气罩</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收集后，经1套“</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二级活性炭</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吸附”装置处理（处理效率按</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0%计算），经1根20m排气筒（DA00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）排放。根据建设单位提供资料，本项目固化废气出口温度约100</w:t>
            </w:r>
            <w:r>
              <w:rPr>
                <w:rFonts w:ascii="Times New Roman" w:hAnsi="Times New Roman" w:eastAsia="宋体" w:cs="Times New Roman"/>
                <w:color w:val="000000" w:themeColor="text1"/>
                <w:spacing w:val="0"/>
                <w:kern w:val="21"/>
                <w:position w:val="0"/>
                <w:sz w:val="24"/>
                <w:szCs w:val="22"/>
                <w:lang w:eastAsia="ja-JP"/>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左右，通过管道冷却降温至35℃以下后进入活性炭吸附装置，不会引起活性炭高温失效的状况发生</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风量计算：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参照《环境工程设计手册废气处理工程技术手册》，设计风量计算可按照以下公式计算：</w:t>
            </w:r>
          </w:p>
          <w:p>
            <w:pPr>
              <w:pageBreakBefore w:val="0"/>
              <w:kinsoku/>
              <w:overflowPunct/>
              <w:autoSpaceDE/>
              <w:autoSpaceDN/>
              <w:bidi w:val="0"/>
              <w:adjustRightInd w:val="0"/>
              <w:spacing w:line="360" w:lineRule="auto"/>
              <w:ind w:firstLine="480" w:firstLineChars="200"/>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object>
                <v:shape id="_x0000_i1041" o:spt="75" type="#_x0000_t75" style="height:16pt;width:82pt;" o:ole="t" filled="f" o:preferrelative="t" stroked="f" coordsize="21600,21600">
                  <v:path/>
                  <v:fill on="f" focussize="0,0"/>
                  <v:stroke on="f" joinstyle="miter"/>
                  <v:imagedata r:id="rId50" o:title=""/>
                  <o:lock v:ext="edit" aspectratio="t"/>
                  <w10:wrap type="none"/>
                  <w10:anchorlock/>
                </v:shape>
                <o:OLEObject Type="Embed" ProgID="Equation.3" ShapeID="_x0000_i1041" DrawAspect="Content" ObjectID="_1468075741" r:id="rId56">
                  <o:LockedField>false</o:LockedField>
                </o:OLEObject>
              </w:objec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Q——所需风量，m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k——考虑沿高度分布不均匀的安全系数，1.4；</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P——集气罩口敞开面的周长，m；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H——罩口至污染源距离，m；</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Vx——污染源边缘控制风速，m/s。</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根据建设单位所提供的设备尺寸，</w:t>
            </w:r>
            <w:r>
              <w:rPr>
                <w:rFonts w:ascii="Times New Roman" w:hAnsi="Times New Roman" w:eastAsia="宋体" w:cs="Times New Roman"/>
                <w:color w:val="000000" w:themeColor="text1"/>
                <w:spacing w:val="0"/>
                <w:kern w:val="21"/>
                <w:position w:val="0"/>
                <w:sz w:val="24"/>
                <w14:textFill>
                  <w14:solidFill>
                    <w14:schemeClr w14:val="tx1"/>
                  </w14:solidFill>
                </w14:textFill>
              </w:rPr>
              <w:t>项目固化烘</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箱</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仅设置一个进出口，</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宽</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约1.5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m，因此设置集气罩规格为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m×1m，吸尘口距离操作口0.12m，为满足收集率，项目吸风速率按0.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m/s核算，则集气风量约</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1512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/h，设计风机风量取</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/h，单个集气罩风量为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/h。</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w:t>
            </w:r>
            <w:r>
              <w:rPr>
                <w:rFonts w:hint="eastAsia" w:ascii="Times New Roman" w:hAnsi="Times New Roman" w:eastAsia="宋体" w:cs="Times New Roman"/>
                <w:b/>
                <w:color w:val="000000" w:themeColor="text1"/>
                <w:spacing w:val="0"/>
                <w:kern w:val="21"/>
                <w:position w:val="0"/>
                <w:szCs w:val="21"/>
                <w14:textFill>
                  <w14:solidFill>
                    <w14:schemeClr w14:val="tx1"/>
                  </w14:solidFill>
                </w14:textFill>
              </w:rPr>
              <w:t>固化烘干废气</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收集系统</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056"/>
              <w:gridCol w:w="1056"/>
              <w:gridCol w:w="1007"/>
              <w:gridCol w:w="1259"/>
              <w:gridCol w:w="1059"/>
              <w:gridCol w:w="117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工序</w:t>
                  </w:r>
                </w:p>
              </w:tc>
              <w:tc>
                <w:tcPr>
                  <w:tcW w:w="64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产污节点</w:t>
                  </w:r>
                </w:p>
              </w:tc>
              <w:tc>
                <w:tcPr>
                  <w:tcW w:w="64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收集方式</w:t>
                  </w:r>
                </w:p>
              </w:tc>
              <w:tc>
                <w:tcPr>
                  <w:tcW w:w="61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集气罩周长（m）</w:t>
                  </w:r>
                </w:p>
              </w:tc>
              <w:tc>
                <w:tcPr>
                  <w:tcW w:w="76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罩口距污染源距离（m）</w:t>
                  </w:r>
                </w:p>
              </w:tc>
              <w:tc>
                <w:tcPr>
                  <w:tcW w:w="59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集气风速（m/s）</w:t>
                  </w:r>
                </w:p>
              </w:tc>
              <w:tc>
                <w:tcPr>
                  <w:tcW w:w="62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风量（m³/h）</w:t>
                  </w:r>
                </w:p>
              </w:tc>
              <w:tc>
                <w:tcPr>
                  <w:tcW w:w="70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设计风量（m³/h）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固化烘干</w:t>
                  </w:r>
                </w:p>
              </w:tc>
              <w:tc>
                <w:tcPr>
                  <w:tcW w:w="64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固化炉进出口</w:t>
                  </w:r>
                </w:p>
              </w:tc>
              <w:tc>
                <w:tcPr>
                  <w:tcW w:w="64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w:t>
                  </w:r>
                </w:p>
              </w:tc>
              <w:tc>
                <w:tcPr>
                  <w:tcW w:w="61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w:t>
                  </w:r>
                </w:p>
              </w:tc>
              <w:tc>
                <w:tcPr>
                  <w:tcW w:w="76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0.12</w:t>
                  </w:r>
                </w:p>
              </w:tc>
              <w:tc>
                <w:tcPr>
                  <w:tcW w:w="59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0.5</w:t>
                  </w:r>
                </w:p>
              </w:tc>
              <w:tc>
                <w:tcPr>
                  <w:tcW w:w="62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1512</w:t>
                  </w:r>
                </w:p>
              </w:tc>
              <w:tc>
                <w:tcPr>
                  <w:tcW w:w="70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000</w:t>
                  </w: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据源强核算结果和处理设施计算参数，本项目固化烘干废气有组织排放达标情况见下表。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固化烘干废气源强及排污情况一览表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746"/>
              <w:gridCol w:w="1020"/>
              <w:gridCol w:w="1046"/>
              <w:gridCol w:w="758"/>
              <w:gridCol w:w="724"/>
              <w:gridCol w:w="758"/>
              <w:gridCol w:w="1021"/>
              <w:gridCol w:w="85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497"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62"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1001"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974"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40"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497"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62"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4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5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4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42"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4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固化烘干</w:t>
                  </w:r>
                </w:p>
              </w:tc>
              <w:tc>
                <w:tcPr>
                  <w:tcW w:w="49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VOCs</w:t>
                  </w:r>
                </w:p>
              </w:tc>
              <w:tc>
                <w:tcPr>
                  <w:tcW w:w="562"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bidi="ar"/>
                      <w14:textFill>
                        <w14:solidFill>
                          <w14:schemeClr w14:val="tx1"/>
                        </w14:solidFill>
                      </w14:textFill>
                    </w:rPr>
                    <w:t>0.00</w:t>
                  </w: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11</w:t>
                  </w: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2</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000</w:t>
                  </w:r>
                </w:p>
              </w:tc>
              <w:tc>
                <w:tcPr>
                  <w:tcW w:w="4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80</w:t>
                  </w:r>
                </w:p>
              </w:tc>
              <w:tc>
                <w:tcPr>
                  <w:tcW w:w="526"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二级活性炭</w:t>
                  </w:r>
                </w:p>
              </w:tc>
              <w:tc>
                <w:tcPr>
                  <w:tcW w:w="4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80</w:t>
                  </w:r>
                </w:p>
              </w:tc>
              <w:tc>
                <w:tcPr>
                  <w:tcW w:w="542"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0.000</w:t>
                  </w: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2</w:t>
                  </w:r>
                </w:p>
              </w:tc>
              <w:tc>
                <w:tcPr>
                  <w:tcW w:w="49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0.0001</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7</w:t>
                  </w: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（20m）</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固化烘干废气</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VOCs有组织排放能够满足《四川省固定污染源大气挥发性有机物排放标准》（DB</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51</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2377-2017）表3排放限值要求。</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9</w:t>
            </w: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）贴棉废气</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源强核算：</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本项目贴棉过程中使用水基环保粘合剂，水基环保粘合剂使用量约为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密度为1.0g/cm</w:t>
            </w:r>
            <w:r>
              <w:rPr>
                <w:rFonts w:ascii="Times New Roman" w:hAnsi="Times New Roman" w:eastAsia="宋体" w:cs="Times New Roman"/>
                <w:color w:val="000000" w:themeColor="text1"/>
                <w:spacing w:val="0"/>
                <w:kern w:val="21"/>
                <w:position w:val="0"/>
                <w:sz w:val="24"/>
                <w:szCs w:val="22"/>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根据水基环保粘合剂成分检测报告计算可知，本项目使用的水基环保粘合剂总挥发性有机物为未检出，本次评价以检出限2g/L计，则贴棉废气产生量为0.00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09</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kg/h（</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0.0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治理</w:t>
            </w: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措施</w:t>
            </w: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本项目共设置</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个贴棉台</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，每个贴棉台上方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设置顶吸集气罩1个</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贴棉废气</w:t>
            </w:r>
            <w:r>
              <w:rPr>
                <w:rFonts w:ascii="Times New Roman" w:hAnsi="Times New Roman" w:eastAsia="宋体" w:cs="Times New Roman"/>
                <w:color w:val="000000" w:themeColor="text1"/>
                <w:spacing w:val="0"/>
                <w:kern w:val="21"/>
                <w:position w:val="0"/>
                <w:sz w:val="24"/>
                <w14:textFill>
                  <w14:solidFill>
                    <w14:schemeClr w14:val="tx1"/>
                  </w14:solidFill>
                </w14:textFill>
              </w:rPr>
              <w:t>收集后经</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二级活性炭吸附装置处理（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处理效率以</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0%计）后通过</w:t>
            </w:r>
            <w:r>
              <w:rPr>
                <w:rFonts w:ascii="Times New Roman" w:hAnsi="Times New Roman" w:eastAsia="宋体" w:cs="Times New Roman"/>
                <w:color w:val="000000" w:themeColor="text1"/>
                <w:spacing w:val="0"/>
                <w:kern w:val="21"/>
                <w:position w:val="0"/>
                <w:sz w:val="24"/>
                <w14:textFill>
                  <w14:solidFill>
                    <w14:schemeClr w14:val="tx1"/>
                  </w14:solidFill>
                </w14:textFill>
              </w:rPr>
              <w:t>20m高排气筒（DA00</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7</w:t>
            </w:r>
            <w:r>
              <w:rPr>
                <w:rFonts w:ascii="Times New Roman" w:hAnsi="Times New Roman" w:eastAsia="宋体" w:cs="Times New Roman"/>
                <w:color w:val="000000" w:themeColor="text1"/>
                <w:spacing w:val="0"/>
                <w:kern w:val="21"/>
                <w:position w:val="0"/>
                <w:sz w:val="24"/>
                <w14:textFill>
                  <w14:solidFill>
                    <w14:schemeClr w14:val="tx1"/>
                  </w14:solidFill>
                </w14:textFill>
              </w:rPr>
              <w:t>）达标排放。</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风量核算：</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参考《四川省重点行业挥发性有机物控制技术手册（其他工业涂装行业）》对于有机废气收集系统风速要求，风量计算如下：</w:t>
            </w:r>
          </w:p>
          <w:p>
            <w:pPr>
              <w:pageBreakBefore w:val="0"/>
              <w:widowControl/>
              <w:kinsoku/>
              <w:overflowPunct/>
              <w:autoSpaceDE/>
              <w:autoSpaceDN/>
              <w:bidi w:val="0"/>
              <w:spacing w:line="360" w:lineRule="auto"/>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L</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F</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×3600</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式中：</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L</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——顶吸罩的计算风量，m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/h；</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——罩口平均风速，m/s，控制风速不应低于0.3m/s，本项目取0.5m/s；</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i/>
                <w:iCs/>
                <w:color w:val="000000" w:themeColor="text1"/>
                <w:spacing w:val="0"/>
                <w:kern w:val="21"/>
                <w:position w:val="0"/>
                <w:sz w:val="24"/>
                <w:lang w:bidi="ar"/>
                <w14:textFill>
                  <w14:solidFill>
                    <w14:schemeClr w14:val="tx1"/>
                  </w14:solidFill>
                </w14:textFill>
              </w:rPr>
              <w:t>F</w:t>
            </w:r>
            <w:r>
              <w:rPr>
                <w:rFonts w:ascii="Times New Roman" w:hAnsi="Times New Roman" w:eastAsia="宋体" w:cs="Times New Roman"/>
                <w:color w:val="000000" w:themeColor="text1"/>
                <w:spacing w:val="0"/>
                <w:kern w:val="21"/>
                <w:position w:val="0"/>
                <w:sz w:val="24"/>
                <w:vertAlign w:val="subscript"/>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——排风罩开口面面积，m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2</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本项目</w:t>
            </w:r>
            <w:r>
              <w:rPr>
                <w:rFonts w:hint="eastAsia" w:ascii="Times New Roman" w:hAnsi="Times New Roman" w:eastAsia="宋体" w:cs="Times New Roman"/>
                <w:b/>
                <w:color w:val="000000" w:themeColor="text1"/>
                <w:spacing w:val="0"/>
                <w:kern w:val="21"/>
                <w:position w:val="0"/>
                <w:szCs w:val="21"/>
                <w:lang w:bidi="ar"/>
                <w14:textFill>
                  <w14:solidFill>
                    <w14:schemeClr w14:val="tx1"/>
                  </w14:solidFill>
                </w14:textFill>
              </w:rPr>
              <w:t>贴棉</w:t>
            </w: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废气</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收集措施</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047"/>
              <w:gridCol w:w="1107"/>
              <w:gridCol w:w="959"/>
              <w:gridCol w:w="1059"/>
              <w:gridCol w:w="1175"/>
              <w:gridCol w:w="117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工序</w:t>
                  </w:r>
                </w:p>
              </w:tc>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产污节点</w:t>
                  </w:r>
                </w:p>
              </w:tc>
              <w:tc>
                <w:tcPr>
                  <w:tcW w:w="6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收集方式及数量</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投影面积（m</w:t>
                  </w:r>
                  <w:r>
                    <w:rPr>
                      <w:rFonts w:ascii="Times New Roman" w:hAnsi="Times New Roman" w:eastAsia="宋体" w:cs="Times New Roman"/>
                      <w:b/>
                      <w:bCs/>
                      <w:color w:val="000000" w:themeColor="text1"/>
                      <w:spacing w:val="0"/>
                      <w:kern w:val="21"/>
                      <w:position w:val="0"/>
                      <w:szCs w:val="21"/>
                      <w:vertAlign w:val="superscript"/>
                      <w:lang w:bidi="ar"/>
                      <w14:textFill>
                        <w14:solidFill>
                          <w14:schemeClr w14:val="tx1"/>
                        </w14:solidFill>
                      </w14:textFill>
                    </w:rPr>
                    <w:t>2</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w:t>
                  </w:r>
                </w:p>
              </w:tc>
              <w:tc>
                <w:tcPr>
                  <w:tcW w:w="6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集气风速（m/s）</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风量（m³/h）</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合计风量（m³/h）</w:t>
                  </w:r>
                </w:p>
              </w:tc>
              <w:tc>
                <w:tcPr>
                  <w:tcW w:w="638" w:type="pct"/>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设计风量（m³/h）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贴棉</w:t>
                  </w:r>
                </w:p>
              </w:tc>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贴棉台×2</w:t>
                  </w:r>
                </w:p>
              </w:tc>
              <w:tc>
                <w:tcPr>
                  <w:tcW w:w="6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集气罩×2</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1.5</w:t>
                  </w:r>
                </w:p>
              </w:tc>
              <w:tc>
                <w:tcPr>
                  <w:tcW w:w="6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0.50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2700</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5400</w:t>
                  </w:r>
                </w:p>
              </w:tc>
              <w:tc>
                <w:tcPr>
                  <w:tcW w:w="638" w:type="pct"/>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6</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000</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参考《四川省重点行业挥发性有机物控制技术手册（其他工业涂装行业）》对于有机废气收集系统风速要求，对于外部罩其边缘风速应≥0.3m/s，本项目操作面有机废气控制风速均≥0.3m/s，其风速满足</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挥发</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性</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有机物</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收集系统要求。</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污染物排放情况：</w:t>
            </w:r>
            <w:r>
              <w:rPr>
                <w:rFonts w:ascii="Times New Roman" w:hAnsi="Times New Roman" w:eastAsia="宋体" w:cs="Times New Roman"/>
                <w:color w:val="000000" w:themeColor="text1"/>
                <w:spacing w:val="0"/>
                <w:kern w:val="21"/>
                <w:position w:val="0"/>
                <w:sz w:val="24"/>
                <w14:textFill>
                  <w14:solidFill>
                    <w14:schemeClr w14:val="tx1"/>
                  </w14:solidFill>
                </w14:textFill>
              </w:rPr>
              <w:t>根</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据源强核算结果和处理设施计算参数，本项目贴棉废气有组织排放达标情况见下表。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贴棉废气源强及排污情况一览表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701"/>
              <w:gridCol w:w="1020"/>
              <w:gridCol w:w="1046"/>
              <w:gridCol w:w="765"/>
              <w:gridCol w:w="685"/>
              <w:gridCol w:w="758"/>
              <w:gridCol w:w="1020"/>
              <w:gridCol w:w="85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污染源</w:t>
                  </w:r>
                </w:p>
              </w:tc>
              <w:tc>
                <w:tcPr>
                  <w:tcW w:w="394"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污染物</w:t>
                  </w:r>
                </w:p>
              </w:tc>
              <w:tc>
                <w:tcPr>
                  <w:tcW w:w="557" w:type="pct"/>
                  <w:vMerge w:val="restar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产生源强（kg/h）</w:t>
                  </w:r>
                </w:p>
              </w:tc>
              <w:tc>
                <w:tcPr>
                  <w:tcW w:w="1078" w:type="pct"/>
                  <w:gridSpan w:val="2"/>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收集系统</w:t>
                  </w:r>
                </w:p>
              </w:tc>
              <w:tc>
                <w:tcPr>
                  <w:tcW w:w="935"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治理措施参数</w:t>
                  </w:r>
                </w:p>
              </w:tc>
              <w:tc>
                <w:tcPr>
                  <w:tcW w:w="1045"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排放参数</w:t>
                  </w:r>
                </w:p>
              </w:tc>
              <w:tc>
                <w:tcPr>
                  <w:tcW w:w="53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394"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7"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风量（m</w:t>
                  </w:r>
                  <w:r>
                    <w:rPr>
                      <w:rFonts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/h）</w:t>
                  </w:r>
                </w:p>
              </w:tc>
              <w:tc>
                <w:tcPr>
                  <w:tcW w:w="52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集气效率（%）</w:t>
                  </w:r>
                </w:p>
              </w:tc>
              <w:tc>
                <w:tcPr>
                  <w:tcW w:w="47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措施</w:t>
                  </w:r>
                </w:p>
              </w:tc>
              <w:tc>
                <w:tcPr>
                  <w:tcW w:w="45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处理效率（%）</w:t>
                  </w:r>
                </w:p>
              </w:tc>
              <w:tc>
                <w:tcPr>
                  <w:tcW w:w="56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排放速率（kg/h）</w:t>
                  </w:r>
                </w:p>
              </w:tc>
              <w:tc>
                <w:tcPr>
                  <w:tcW w:w="47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14:textFill>
                        <w14:solidFill>
                          <w14:schemeClr w14:val="tx1"/>
                        </w14:solidFill>
                      </w14:textFill>
                    </w:rPr>
                    <w:t>排放量（t/a）</w:t>
                  </w:r>
                </w:p>
              </w:tc>
              <w:tc>
                <w:tcPr>
                  <w:tcW w:w="53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贴棉</w:t>
                  </w:r>
                </w:p>
              </w:tc>
              <w:tc>
                <w:tcPr>
                  <w:tcW w:w="39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VOCs</w:t>
                  </w:r>
                </w:p>
              </w:tc>
              <w:tc>
                <w:tcPr>
                  <w:tcW w:w="5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0.0009</w:t>
                  </w:r>
                </w:p>
              </w:tc>
              <w:tc>
                <w:tcPr>
                  <w:tcW w:w="553"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6</w:t>
                  </w: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000</w:t>
                  </w:r>
                </w:p>
              </w:tc>
              <w:tc>
                <w:tcPr>
                  <w:tcW w:w="52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80</w:t>
                  </w:r>
                </w:p>
              </w:tc>
              <w:tc>
                <w:tcPr>
                  <w:tcW w:w="47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二级活性炭</w:t>
                  </w:r>
                </w:p>
              </w:tc>
              <w:tc>
                <w:tcPr>
                  <w:tcW w:w="45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80</w:t>
                  </w:r>
                </w:p>
              </w:tc>
              <w:tc>
                <w:tcPr>
                  <w:tcW w:w="565"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0.0002</w:t>
                  </w:r>
                </w:p>
              </w:tc>
              <w:tc>
                <w:tcPr>
                  <w:tcW w:w="479"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0.0008</w:t>
                  </w:r>
                </w:p>
              </w:tc>
              <w:tc>
                <w:tcPr>
                  <w:tcW w:w="53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DA00</w:t>
                  </w:r>
                  <w:r>
                    <w:rPr>
                      <w:rFonts w:hint="eastAsia" w:ascii="Times New Roman" w:hAnsi="Times New Roman" w:eastAsia="宋体" w:cs="Times New Roman"/>
                      <w:bCs/>
                      <w:color w:val="000000" w:themeColor="text1"/>
                      <w:spacing w:val="0"/>
                      <w:kern w:val="21"/>
                      <w:position w:val="0"/>
                      <w:sz w:val="18"/>
                      <w:szCs w:val="18"/>
                      <w14:textFill>
                        <w14:solidFill>
                          <w14:schemeClr w14:val="tx1"/>
                        </w14:solidFill>
                      </w14:textFill>
                    </w:rPr>
                    <w:t>7</w:t>
                  </w:r>
                  <w:r>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t>（20m）</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由上表可知，本项目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贴棉废气</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VOCs有组织排放能够满足《四川省固定污染源大气挥发性有机物排放标准》（DB</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51</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2377-2017）表3排放限值要求。</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活性炭更换及管理要求：</w:t>
            </w:r>
          </w:p>
          <w:p>
            <w:pPr>
              <w:pageBreakBefore w:val="0"/>
              <w:kinsoku/>
              <w:wordWrap/>
              <w:overflowPunct/>
              <w:autoSpaceDE/>
              <w:autoSpaceDN/>
              <w:bidi w:val="0"/>
              <w:adjustRightInd w:val="0"/>
              <w:spacing w:line="360" w:lineRule="auto"/>
              <w:ind w:firstLine="480" w:firstLineChars="200"/>
              <w:textAlignment w:val="auto"/>
              <w:rPr>
                <w:rFonts w:hint="eastAsia" w:ascii="Times New Roman" w:hAnsi="Times New Roman" w:eastAsia="宋体" w:cs="Times New Roman"/>
                <w:bCs/>
                <w:color w:val="000000" w:themeColor="text1"/>
                <w:spacing w:val="0"/>
                <w:kern w:val="21"/>
                <w:position w:val="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24"/>
                <w:szCs w:val="24"/>
                <w:lang w:val="en-US" w:eastAsia="zh-CN"/>
                <w14:textFill>
                  <w14:solidFill>
                    <w14:schemeClr w14:val="tx1"/>
                  </w14:solidFill>
                </w14:textFill>
              </w:rPr>
              <w:t>根据《有机废气治理活性炭吸附装置技术规范》（T/ZSESS 010-2024），活性炭更换周期计算如下：</w:t>
            </w:r>
          </w:p>
          <w:p>
            <w:pPr>
              <w:pageBreakBefore w:val="0"/>
              <w:widowControl w:val="0"/>
              <w:kinsoku/>
              <w:overflowPunct/>
              <w:autoSpaceDE/>
              <w:autoSpaceDN/>
              <w:bidi w:val="0"/>
              <w:adjustRightInd w:val="0"/>
              <w:jc w:val="center"/>
              <w:textAlignment w:val="auto"/>
              <w:rPr>
                <w:rFonts w:hint="default" w:ascii="宋体" w:hAnsi="Calibri" w:eastAsia="宋体" w:cs="宋体"/>
                <w:color w:val="000000" w:themeColor="text1"/>
                <w:spacing w:val="0"/>
                <w:kern w:val="21"/>
                <w:position w:val="0"/>
                <w:sz w:val="24"/>
                <w:szCs w:val="24"/>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4"/>
                <w:lang w:val="en-US" w:eastAsia="zh-CN" w:bidi="ar-SA"/>
                <w14:textFill>
                  <w14:solidFill>
                    <w14:schemeClr w14:val="tx1"/>
                  </w14:solidFill>
                </w14:textFill>
              </w:rPr>
              <w:object>
                <v:shape id="_x0000_i1042" o:spt="75" type="#_x0000_t75" style="height:18.7pt;width:116.1pt;" o:ole="t" filled="f" o:preferrelative="t" stroked="f" coordsize="21600,21600">
                  <v:path/>
                  <v:fill on="f" focussize="0,0"/>
                  <v:stroke on="f"/>
                  <v:imagedata r:id="rId58" o:title=""/>
                  <o:lock v:ext="edit" aspectratio="t"/>
                  <w10:wrap type="none"/>
                  <w10:anchorlock/>
                </v:shape>
                <o:OLEObject Type="Embed" ProgID="Equation.3" ShapeID="_x0000_i1042" DrawAspect="Content" ObjectID="_1468075742" r:id="rId57">
                  <o:LockedField>false</o:LockedField>
                </o:OLEObject>
              </w:objec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式中：</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pPr>
            <w:r>
              <w:rPr>
                <w:rFonts w:hint="eastAsia" w:ascii="Times New Roman" w:hAnsi="Times New Roman" w:eastAsia="宋体" w:cs="Times New Roman"/>
                <w:i/>
                <w:iCs/>
                <w:color w:val="000000" w:themeColor="text1"/>
                <w:spacing w:val="0"/>
                <w:kern w:val="21"/>
                <w:position w:val="0"/>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更换周期，h；</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pPr>
            <w:r>
              <w:rPr>
                <w:rFonts w:hint="eastAsia" w:ascii="Times New Roman" w:hAnsi="Times New Roman" w:eastAsia="宋体" w:cs="Times New Roman"/>
                <w:i/>
                <w:iCs/>
                <w:color w:val="000000" w:themeColor="text1"/>
                <w:spacing w:val="0"/>
                <w:kern w:val="21"/>
                <w:position w:val="0"/>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活性炭用量，kg；</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pPr>
            <w:r>
              <w:rPr>
                <w:rFonts w:hint="eastAsia" w:ascii="Times New Roman" w:hAnsi="Times New Roman" w:eastAsia="宋体" w:cs="Times New Roman"/>
                <w:i/>
                <w:iCs/>
                <w:color w:val="000000" w:themeColor="text1"/>
                <w:spacing w:val="0"/>
                <w:kern w:val="21"/>
                <w:position w:val="0"/>
                <w:sz w:val="24"/>
                <w:szCs w:val="24"/>
                <w:lang w:val="en-US" w:eastAsia="zh-CN"/>
                <w14:textFill>
                  <w14:solidFill>
                    <w14:schemeClr w14:val="tx1"/>
                  </w14:solidFill>
                </w14:textFill>
              </w:rPr>
              <w:t>s——</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动态吸附量，%（一般取15%）；</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pPr>
            <w:r>
              <w:rPr>
                <w:rFonts w:hint="eastAsia" w:ascii="Times New Roman" w:hAnsi="Times New Roman" w:eastAsia="宋体" w:cs="Times New Roman"/>
                <w:i/>
                <w:iCs/>
                <w:color w:val="000000" w:themeColor="text1"/>
                <w:spacing w:val="0"/>
                <w:kern w:val="21"/>
                <w:position w:val="0"/>
                <w:sz w:val="24"/>
                <w:szCs w:val="24"/>
                <w:lang w:val="en-US" w:eastAsia="zh-CN"/>
                <w14:textFill>
                  <w14:solidFill>
                    <w14:schemeClr w14:val="tx1"/>
                  </w14:solidFill>
                </w14:textFill>
              </w:rPr>
              <w:t>c——</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活性炭削减的VOCs浓度，mg/m</w:t>
            </w:r>
            <w:r>
              <w:rPr>
                <w:rFonts w:hint="eastAsia" w:ascii="Times New Roman" w:hAnsi="Times New Roman" w:eastAsia="宋体" w:cs="Times New Roman"/>
                <w:color w:val="000000" w:themeColor="text1"/>
                <w:spacing w:val="0"/>
                <w:kern w:val="21"/>
                <w:position w:val="0"/>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pPr>
            <w:r>
              <w:rPr>
                <w:rFonts w:hint="eastAsia" w:ascii="Times New Roman" w:hAnsi="Times New Roman" w:eastAsia="宋体" w:cs="Times New Roman"/>
                <w:i/>
                <w:iCs/>
                <w:color w:val="000000" w:themeColor="text1"/>
                <w:spacing w:val="0"/>
                <w:kern w:val="21"/>
                <w:position w:val="0"/>
                <w:sz w:val="24"/>
                <w:szCs w:val="24"/>
                <w:lang w:val="en-US" w:eastAsia="zh-CN"/>
                <w14:textFill>
                  <w14:solidFill>
                    <w14:schemeClr w14:val="tx1"/>
                  </w14:solidFill>
                </w14:textFill>
              </w:rPr>
              <w:t>Q——</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风量，m</w:t>
            </w:r>
            <w:r>
              <w:rPr>
                <w:rFonts w:hint="eastAsia" w:ascii="Times New Roman" w:hAnsi="Times New Roman" w:eastAsia="宋体" w:cs="Times New Roman"/>
                <w:color w:val="000000" w:themeColor="text1"/>
                <w:spacing w:val="0"/>
                <w:kern w:val="21"/>
                <w:position w:val="0"/>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szCs w:val="24"/>
                <w:lang w:val="en-US" w:eastAsia="zh-CN"/>
                <w14:textFill>
                  <w14:solidFill>
                    <w14:schemeClr w14:val="tx1"/>
                  </w14:solidFill>
                </w14:textFill>
              </w:rPr>
              <w:t>/h</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4"/>
                <w14:textFill>
                  <w14:solidFill>
                    <w14:schemeClr w14:val="tx1"/>
                  </w14:solidFill>
                </w14:textFill>
              </w:rPr>
              <w:t>根据项目活性炭箱装填设计能力，</w:t>
            </w:r>
            <w:r>
              <w:rPr>
                <w:rFonts w:hint="eastAsia" w:ascii="Times New Roman" w:hAnsi="Times New Roman" w:eastAsia="宋体" w:cs="Times New Roman"/>
                <w:bCs/>
                <w:color w:val="000000" w:themeColor="text1"/>
                <w:spacing w:val="0"/>
                <w:kern w:val="21"/>
                <w:position w:val="0"/>
                <w:sz w:val="24"/>
                <w:szCs w:val="24"/>
                <w14:textFill>
                  <w14:solidFill>
                    <w14:schemeClr w14:val="tx1"/>
                  </w14:solidFill>
                </w14:textFill>
              </w:rPr>
              <w:t>按照产能平稳生产，建议活性炭更换频率、次数如下所示：</w:t>
            </w:r>
          </w:p>
          <w:p>
            <w:pPr>
              <w:keepNext w:val="0"/>
              <w:keepLines w:val="0"/>
              <w:pageBreakBefore w:val="0"/>
              <w:widowControl/>
              <w:numPr>
                <w:ilvl w:val="0"/>
                <w:numId w:val="34"/>
              </w:numPr>
              <w:suppressLineNumbers w:val="0"/>
              <w:tabs>
                <w:tab w:val="left" w:pos="960"/>
              </w:tabs>
              <w:kinsoku/>
              <w:wordWrap/>
              <w:overflowPunct/>
              <w:topLinePunct w:val="0"/>
              <w:autoSpaceDE/>
              <w:autoSpaceDN/>
              <w:bidi w:val="0"/>
              <w:adjustRightInd w:val="0"/>
              <w:snapToGrid w:val="0"/>
              <w:spacing w:before="66" w:beforeLines="20" w:beforeAutospacing="0" w:after="66" w:afterLines="20" w:afterAutospacing="0" w:line="240" w:lineRule="auto"/>
              <w:ind w:left="0" w:leftChars="0" w:right="0" w:firstLine="0" w:firstLineChars="0"/>
              <w:jc w:val="center"/>
              <w:textAlignment w:val="auto"/>
              <w:rPr>
                <w:rFonts w:ascii="Times New Roman" w:hAnsi="Times New Roman" w:eastAsia="宋体" w:cs="宋体"/>
                <w:b/>
                <w:bCs/>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本项目活性炭更换周期计算表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092"/>
              <w:gridCol w:w="1050"/>
              <w:gridCol w:w="1404"/>
              <w:gridCol w:w="1185"/>
              <w:gridCol w:w="114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分类</w:t>
                  </w:r>
                </w:p>
              </w:tc>
              <w:tc>
                <w:tcPr>
                  <w:tcW w:w="664"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活性炭用量（kg）</w:t>
                  </w:r>
                </w:p>
              </w:tc>
              <w:tc>
                <w:tcPr>
                  <w:tcW w:w="639"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eastAsia="zh-CN"/>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动态吸附量（%）</w:t>
                  </w:r>
                </w:p>
              </w:tc>
              <w:tc>
                <w:tcPr>
                  <w:tcW w:w="846"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活性炭削减的VOCs浓度（</w:t>
                  </w:r>
                  <w:r>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mg/m</w:t>
                  </w:r>
                  <w:r>
                    <w:rPr>
                      <w:rFonts w:hint="default" w:ascii="Times New Roman" w:hAnsi="Times New Roman" w:eastAsia="宋体" w:cs="Times New Roman"/>
                      <w:b/>
                      <w:bCs/>
                      <w:color w:val="000000" w:themeColor="text1"/>
                      <w:spacing w:val="0"/>
                      <w:kern w:val="21"/>
                      <w:position w:val="0"/>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w:t>
                  </w:r>
                </w:p>
              </w:tc>
              <w:tc>
                <w:tcPr>
                  <w:tcW w:w="580"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eastAsia="zh-CN"/>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风量（</w:t>
                  </w:r>
                  <w:r>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pacing w:val="0"/>
                      <w:kern w:val="21"/>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/h</w:t>
                  </w: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w:t>
                  </w:r>
                </w:p>
              </w:tc>
              <w:tc>
                <w:tcPr>
                  <w:tcW w:w="698"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eastAsia="zh-CN"/>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运行时间（h/d）</w:t>
                  </w:r>
                </w:p>
              </w:tc>
              <w:tc>
                <w:tcPr>
                  <w:tcW w:w="667"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eastAsia="zh-CN"/>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lang w:val="en-US" w:eastAsia="zh-CN"/>
                      <w14:textFill>
                        <w14:solidFill>
                          <w14:schemeClr w14:val="tx1"/>
                        </w14:solidFill>
                      </w14:textFill>
                    </w:rPr>
                    <w:t>更换周期（d）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1#</w:t>
                  </w:r>
                  <w:r>
                    <w:rPr>
                      <w:rFonts w:hint="default" w:ascii="Times New Roman" w:hAnsi="Times New Roman" w:cs="Times New Roman"/>
                      <w:color w:val="000000" w:themeColor="text1"/>
                      <w:spacing w:val="0"/>
                      <w:kern w:val="21"/>
                      <w:position w:val="0"/>
                      <w:sz w:val="21"/>
                      <w:szCs w:val="21"/>
                      <w14:textFill>
                        <w14:solidFill>
                          <w14:schemeClr w14:val="tx1"/>
                        </w14:solidFill>
                      </w14:textFill>
                    </w:rPr>
                    <w:t>二级活性炭</w:t>
                  </w:r>
                </w:p>
              </w:tc>
              <w:tc>
                <w:tcPr>
                  <w:tcW w:w="664"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250</w:t>
                  </w:r>
                </w:p>
              </w:tc>
              <w:tc>
                <w:tcPr>
                  <w:tcW w:w="639"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15</w:t>
                  </w:r>
                </w:p>
              </w:tc>
              <w:tc>
                <w:tcPr>
                  <w:tcW w:w="846"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0.2424</w:t>
                  </w:r>
                </w:p>
              </w:tc>
              <w:tc>
                <w:tcPr>
                  <w:tcW w:w="580"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3000</w:t>
                  </w:r>
                </w:p>
              </w:tc>
              <w:tc>
                <w:tcPr>
                  <w:tcW w:w="698"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16</w:t>
                  </w:r>
                </w:p>
              </w:tc>
              <w:tc>
                <w:tcPr>
                  <w:tcW w:w="667"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2#</w:t>
                  </w:r>
                  <w:r>
                    <w:rPr>
                      <w:rFonts w:hint="default" w:ascii="Times New Roman" w:hAnsi="Times New Roman" w:cs="Times New Roman"/>
                      <w:color w:val="000000" w:themeColor="text1"/>
                      <w:spacing w:val="0"/>
                      <w:kern w:val="21"/>
                      <w:position w:val="0"/>
                      <w:sz w:val="21"/>
                      <w:szCs w:val="21"/>
                      <w14:textFill>
                        <w14:solidFill>
                          <w14:schemeClr w14:val="tx1"/>
                        </w14:solidFill>
                      </w14:textFill>
                    </w:rPr>
                    <w:t>二级活性炭</w:t>
                  </w:r>
                </w:p>
              </w:tc>
              <w:tc>
                <w:tcPr>
                  <w:tcW w:w="664"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500</w:t>
                  </w:r>
                </w:p>
              </w:tc>
              <w:tc>
                <w:tcPr>
                  <w:tcW w:w="639"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15</w:t>
                  </w:r>
                </w:p>
              </w:tc>
              <w:tc>
                <w:tcPr>
                  <w:tcW w:w="846"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0.0658</w:t>
                  </w:r>
                </w:p>
              </w:tc>
              <w:tc>
                <w:tcPr>
                  <w:tcW w:w="580"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8000</w:t>
                  </w:r>
                </w:p>
              </w:tc>
              <w:tc>
                <w:tcPr>
                  <w:tcW w:w="698" w:type="pct"/>
                  <w:vAlign w:val="center"/>
                </w:tcPr>
                <w:p>
                  <w:pPr>
                    <w:pageBreakBefore w:val="0"/>
                    <w:kinsoku/>
                    <w:wordWrap/>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16</w:t>
                  </w:r>
                </w:p>
              </w:tc>
              <w:tc>
                <w:tcPr>
                  <w:tcW w:w="667" w:type="pct"/>
                  <w:vAlign w:val="center"/>
                </w:tcPr>
                <w:p>
                  <w:pPr>
                    <w:pageBreakBefore w:val="0"/>
                    <w:kinsoku/>
                    <w:wordWrap/>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w:t>
                  </w:r>
                </w:p>
              </w:tc>
            </w:tr>
          </w:tbl>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活性炭更换周期一般不应超过累计运行</w:t>
            </w:r>
            <w:r>
              <w:rPr>
                <w:rFonts w:hint="default" w:ascii="Times New Roman" w:hAnsi="Times New Roman" w:eastAsia="宋体" w:cs="Times New Roman"/>
                <w:color w:val="000000" w:themeColor="text1"/>
                <w:spacing w:val="0"/>
                <w:kern w:val="21"/>
                <w:position w:val="0"/>
                <w:sz w:val="24"/>
                <w:lang w:val="en-US" w:eastAsia="zh-CN"/>
                <w14:textFill>
                  <w14:solidFill>
                    <w14:schemeClr w14:val="tx1"/>
                  </w14:solidFill>
                </w14:textFill>
              </w:rPr>
              <w:t>500</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小时或</w:t>
            </w:r>
            <w:r>
              <w:rPr>
                <w:rFonts w:hint="default" w:ascii="Times New Roman" w:hAnsi="Times New Roman" w:eastAsia="宋体" w:cs="Times New Roman"/>
                <w:color w:val="000000" w:themeColor="text1"/>
                <w:spacing w:val="0"/>
                <w:kern w:val="21"/>
                <w:position w:val="0"/>
                <w:sz w:val="24"/>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个月，项目全年生产时间为330天，则本项目活性炭每3个月更换1次，年</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更换</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4次。</w:t>
            </w:r>
          </w:p>
          <w:p>
            <w:pPr>
              <w:keepNext w:val="0"/>
              <w:keepLines w:val="0"/>
              <w:pageBreakBefore w:val="0"/>
              <w:widowControl/>
              <w:numPr>
                <w:ilvl w:val="0"/>
                <w:numId w:val="34"/>
              </w:numPr>
              <w:suppressLineNumbers w:val="0"/>
              <w:tabs>
                <w:tab w:val="left" w:pos="960"/>
              </w:tabs>
              <w:kinsoku/>
              <w:wordWrap/>
              <w:overflowPunct/>
              <w:topLinePunct w:val="0"/>
              <w:autoSpaceDE/>
              <w:autoSpaceDN/>
              <w:bidi w:val="0"/>
              <w:adjustRightInd w:val="0"/>
              <w:snapToGrid w:val="0"/>
              <w:spacing w:before="66" w:beforeLines="20" w:beforeAutospacing="0" w:after="66" w:afterLines="20" w:afterAutospacing="0" w:line="240" w:lineRule="auto"/>
              <w:ind w:left="0" w:leftChars="0" w:right="0" w:firstLine="0" w:firstLineChars="0"/>
              <w:jc w:val="center"/>
              <w:textAlignment w:val="auto"/>
              <w:rPr>
                <w:rFonts w:ascii="Times New Roman" w:hAnsi="Times New Roman" w:eastAsia="宋体" w:cs="宋体"/>
                <w:b/>
                <w:bCs/>
                <w:color w:val="000000" w:themeColor="text1"/>
                <w:spacing w:val="0"/>
                <w:kern w:val="21"/>
                <w:position w:val="0"/>
                <w:sz w:val="21"/>
                <w:szCs w:val="21"/>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活性炭装填量参考表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315"/>
              <w:gridCol w:w="2656"/>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序号</w:t>
                  </w:r>
                </w:p>
              </w:tc>
              <w:tc>
                <w:tcPr>
                  <w:tcW w:w="1365"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VOCs初始浓度范围（mg/Nm</w:t>
                  </w:r>
                  <w:r>
                    <w:rPr>
                      <w:rFonts w:hint="default" w:ascii="Times New Roman" w:hAnsi="Times New Roman" w:eastAsia="宋体" w:cs="Times New Roman"/>
                      <w:b/>
                      <w:bCs/>
                      <w:color w:val="000000" w:themeColor="text1"/>
                      <w:spacing w:val="0"/>
                      <w:kern w:val="21"/>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w:t>
                  </w: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风量（Q）范围（Nm</w:t>
                  </w:r>
                  <w:r>
                    <w:rPr>
                      <w:rFonts w:hint="default" w:ascii="Times New Roman" w:hAnsi="Times New Roman" w:eastAsia="宋体" w:cs="Times New Roman"/>
                      <w:b/>
                      <w:bCs/>
                      <w:color w:val="000000" w:themeColor="text1"/>
                      <w:spacing w:val="0"/>
                      <w:kern w:val="21"/>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/h）</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1"/>
                      <w:position w:val="0"/>
                      <w:sz w:val="21"/>
                      <w:szCs w:val="21"/>
                      <w:vertAlign w:val="baseline"/>
                      <w:lang w:val="en-US" w:eastAsia="zh-CN"/>
                      <w14:textFill>
                        <w14:solidFill>
                          <w14:schemeClr w14:val="tx1"/>
                        </w14:solidFill>
                      </w14:textFill>
                    </w:rPr>
                    <w:t>活性炭最少装填量（吨）（按500小时使用时间计）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w:t>
                  </w:r>
                </w:p>
              </w:tc>
              <w:tc>
                <w:tcPr>
                  <w:tcW w:w="136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0~50</w:t>
                  </w: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0-5000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2</w:t>
                  </w:r>
                </w:p>
              </w:tc>
              <w:tc>
                <w:tcPr>
                  <w:tcW w:w="1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5000-10000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3</w:t>
                  </w:r>
                </w:p>
              </w:tc>
              <w:tc>
                <w:tcPr>
                  <w:tcW w:w="1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10000-20000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4</w:t>
                  </w:r>
                </w:p>
              </w:tc>
              <w:tc>
                <w:tcPr>
                  <w:tcW w:w="136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50~150</w:t>
                  </w: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0-5000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w:t>
                  </w:r>
                </w:p>
              </w:tc>
              <w:tc>
                <w:tcPr>
                  <w:tcW w:w="1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5000-10000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6</w:t>
                  </w:r>
                </w:p>
              </w:tc>
              <w:tc>
                <w:tcPr>
                  <w:tcW w:w="1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10000-20000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7</w:t>
                  </w:r>
                </w:p>
              </w:tc>
              <w:tc>
                <w:tcPr>
                  <w:tcW w:w="136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150~300</w:t>
                  </w: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0-5000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8</w:t>
                  </w:r>
                </w:p>
              </w:tc>
              <w:tc>
                <w:tcPr>
                  <w:tcW w:w="1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5000-10000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9</w:t>
                  </w:r>
                </w:p>
              </w:tc>
              <w:tc>
                <w:tcPr>
                  <w:tcW w:w="136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p>
              </w:tc>
              <w:tc>
                <w:tcPr>
                  <w:tcW w:w="156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10000-20000</w:t>
                  </w:r>
                </w:p>
              </w:tc>
              <w:tc>
                <w:tcPr>
                  <w:tcW w:w="1646" w:type="pct"/>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vertAlign w:val="baseline"/>
                      <w:lang w:val="en-US" w:eastAsia="zh-CN"/>
                      <w14:textFill>
                        <w14:solidFill>
                          <w14:schemeClr w14:val="tx1"/>
                        </w14:solidFill>
                      </w14:textFill>
                    </w:rPr>
                    <w:t>4.00</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根据《吸附法工业有机废气治理技术规范》，每100kg活性炭的吸附能力为2</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0</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kg废气，</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本项目活性炭装填量及更换周期见下表。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等线" w:cs="Times New Roman"/>
                <w:b/>
                <w:bCs/>
                <w:color w:val="000000" w:themeColor="text1"/>
                <w:spacing w:val="0"/>
                <w:kern w:val="21"/>
                <w:position w:val="0"/>
                <w:szCs w:val="21"/>
                <w:lang w:val="zh-CN"/>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w:t>
            </w:r>
            <w:r>
              <w:rPr>
                <w:rFonts w:ascii="Times New Roman" w:hAnsi="Times New Roman" w:eastAsia="宋体" w:cs="Times New Roman"/>
                <w:b/>
                <w:bCs/>
                <w:color w:val="000000" w:themeColor="text1"/>
                <w:spacing w:val="0"/>
                <w:kern w:val="21"/>
                <w:position w:val="0"/>
                <w:szCs w:val="21"/>
                <w:lang w:val="zh-CN" w:bidi="ar"/>
                <w14:textFill>
                  <w14:solidFill>
                    <w14:schemeClr w14:val="tx1"/>
                  </w14:solidFill>
                </w14:textFill>
              </w:rPr>
              <w:t>有机废气</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处理</w:t>
            </w:r>
            <w:r>
              <w:rPr>
                <w:rFonts w:ascii="Times New Roman" w:hAnsi="Times New Roman" w:eastAsia="宋体" w:cs="Times New Roman"/>
                <w:b/>
                <w:bCs/>
                <w:color w:val="000000" w:themeColor="text1"/>
                <w:spacing w:val="0"/>
                <w:kern w:val="21"/>
                <w:position w:val="0"/>
                <w:szCs w:val="21"/>
                <w:lang w:val="zh-CN" w:bidi="ar"/>
                <w14:textFill>
                  <w14:solidFill>
                    <w14:schemeClr w14:val="tx1"/>
                  </w14:solidFill>
                </w14:textFill>
              </w:rPr>
              <w:t>系统工艺参数表</w:t>
            </w:r>
          </w:p>
          <w:tbl>
            <w:tblPr>
              <w:tblStyle w:val="20"/>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66"/>
              <w:gridCol w:w="1136"/>
              <w:gridCol w:w="1313"/>
              <w:gridCol w:w="1113"/>
              <w:gridCol w:w="1228"/>
              <w:gridCol w:w="1401"/>
              <w:gridCol w:w="14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分类</w:t>
                  </w:r>
                </w:p>
              </w:tc>
              <w:tc>
                <w:tcPr>
                  <w:tcW w:w="670"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有机废气量（t/a）</w:t>
                  </w:r>
                </w:p>
              </w:tc>
              <w:tc>
                <w:tcPr>
                  <w:tcW w:w="774"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理论活性炭量（t/a）</w:t>
                  </w:r>
                </w:p>
              </w:tc>
              <w:tc>
                <w:tcPr>
                  <w:tcW w:w="656"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最大填充量（t）</w:t>
                  </w:r>
                </w:p>
              </w:tc>
              <w:tc>
                <w:tcPr>
                  <w:tcW w:w="722"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更换频次</w:t>
                  </w:r>
                </w:p>
              </w:tc>
              <w:tc>
                <w:tcPr>
                  <w:tcW w:w="826"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新鲜活性炭使用量（t/a）</w:t>
                  </w:r>
                </w:p>
              </w:tc>
              <w:tc>
                <w:tcPr>
                  <w:tcW w:w="838"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废活性炭产生量（t/a）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3" w:hRule="atLeast"/>
                <w:jc w:val="center"/>
              </w:trPr>
              <w:tc>
                <w:tcPr>
                  <w:tcW w:w="511"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1#二级活性炭</w:t>
                  </w:r>
                </w:p>
              </w:tc>
              <w:tc>
                <w:tcPr>
                  <w:tcW w:w="670"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0.0019</w:t>
                  </w:r>
                </w:p>
              </w:tc>
              <w:tc>
                <w:tcPr>
                  <w:tcW w:w="774"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0.0095</w:t>
                  </w:r>
                </w:p>
              </w:tc>
              <w:tc>
                <w:tcPr>
                  <w:tcW w:w="656"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t>0.25</w:t>
                  </w:r>
                </w:p>
              </w:tc>
              <w:tc>
                <w:tcPr>
                  <w:tcW w:w="722"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等线"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每年</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4</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次</w:t>
                  </w:r>
                </w:p>
              </w:tc>
              <w:tc>
                <w:tcPr>
                  <w:tcW w:w="826"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等线"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t>1</w:t>
                  </w:r>
                </w:p>
              </w:tc>
              <w:tc>
                <w:tcPr>
                  <w:tcW w:w="838"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t>1.0019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2</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#二级活性炭</w:t>
                  </w:r>
                </w:p>
              </w:tc>
              <w:tc>
                <w:tcPr>
                  <w:tcW w:w="670"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0.003</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7</w:t>
                  </w:r>
                </w:p>
              </w:tc>
              <w:tc>
                <w:tcPr>
                  <w:tcW w:w="774"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0.018</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w:t>
                  </w:r>
                </w:p>
              </w:tc>
              <w:tc>
                <w:tcPr>
                  <w:tcW w:w="656"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t>0.5</w:t>
                  </w:r>
                </w:p>
              </w:tc>
              <w:tc>
                <w:tcPr>
                  <w:tcW w:w="722"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每年</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4</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次</w:t>
                  </w:r>
                </w:p>
              </w:tc>
              <w:tc>
                <w:tcPr>
                  <w:tcW w:w="826"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等线"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t>2</w:t>
                  </w:r>
                </w:p>
              </w:tc>
              <w:tc>
                <w:tcPr>
                  <w:tcW w:w="838"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t>2.0037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3335" w:type="pct"/>
                  <w:gridSpan w:val="5"/>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合计</w:t>
                  </w:r>
                </w:p>
              </w:tc>
              <w:tc>
                <w:tcPr>
                  <w:tcW w:w="826"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等线"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val="en-US" w:eastAsia="zh-CN"/>
                      <w14:textFill>
                        <w14:solidFill>
                          <w14:schemeClr w14:val="tx1"/>
                        </w14:solidFill>
                      </w14:textFill>
                    </w:rPr>
                    <w:t>3</w:t>
                  </w:r>
                </w:p>
              </w:tc>
              <w:tc>
                <w:tcPr>
                  <w:tcW w:w="838" w:type="pct"/>
                  <w:tcBorders>
                    <w:tl2br w:val="nil"/>
                    <w:tr2bl w:val="nil"/>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等线"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等线" w:cs="Times New Roman"/>
                      <w:color w:val="000000" w:themeColor="text1"/>
                      <w:spacing w:val="0"/>
                      <w:kern w:val="21"/>
                      <w:position w:val="0"/>
                      <w:szCs w:val="21"/>
                      <w:lang w:eastAsia="zh-CN"/>
                      <w14:textFill>
                        <w14:solidFill>
                          <w14:schemeClr w14:val="tx1"/>
                        </w14:solidFill>
                      </w14:textFill>
                    </w:rPr>
                    <w:t>3.0056</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活性炭箱体运营管理要求如下：</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A.日常加强活性炭吸附箱体、活性炭的维护，确保活性炭不淋雨，箱体密封良好，防止受雨淋造成去除率下降；</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B.日常应加强废气收集管道、排气筒的管理和维护，及时修补漏风点，提高废气捕集率；</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C.生产操作前将废气收集、处理系统先打开，操作结束后一段时间后再关闭废气收集、处理系统；</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D.活性炭更换时，做好活性炭更换的记录、台账；</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E.当废气收集系统阻力增大、废气收集效果不佳时，应对活性炭收集管道、活性炭更换情况进行检查，及时维护管道、更换活性炭；</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F.活性炭更换应在停产时进行，不得一边更换活性炭一边进行生产加工；</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G.不得在厂内进行饱和活性炭的脱附、再生</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活性炭含碘量不小于800mg/g；</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H.更换下来的废活性炭应用防渗漏的编织袋密封包装后，作为危险废物暂存在危险废物暂存间并委托有资质单位处置。</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Calibri"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2、无组织废气</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项目无组织废气主要包括各工序未被收集的污染物，具体排放量见下表。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项目无组织废气排放情况一览表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913"/>
              <w:gridCol w:w="786"/>
              <w:gridCol w:w="1154"/>
              <w:gridCol w:w="2425"/>
              <w:gridCol w:w="1404"/>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无组织排放源</w:t>
                  </w:r>
                </w:p>
              </w:tc>
              <w:tc>
                <w:tcPr>
                  <w:tcW w:w="629"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产污环节</w:t>
                  </w:r>
                </w:p>
              </w:tc>
              <w:tc>
                <w:tcPr>
                  <w:tcW w:w="554"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w:t>
                  </w:r>
                </w:p>
              </w:tc>
              <w:tc>
                <w:tcPr>
                  <w:tcW w:w="670"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污染物排放速率（kg/h）</w:t>
                  </w:r>
                </w:p>
              </w:tc>
              <w:tc>
                <w:tcPr>
                  <w:tcW w:w="1971" w:type="pct"/>
                  <w:gridSpan w:val="2"/>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国家或地方污染物排放标准</w:t>
                  </w:r>
                </w:p>
              </w:tc>
              <w:tc>
                <w:tcPr>
                  <w:tcW w:w="588"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5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70"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标准名称</w:t>
                  </w: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浓度限值（mg/m</w:t>
                  </w:r>
                  <w:r>
                    <w:rPr>
                      <w:rFonts w:ascii="Times New Roman" w:hAnsi="Times New Roman" w:eastAsia="宋体" w:cs="Times New Roman"/>
                      <w:b/>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
                      <w:color w:val="000000" w:themeColor="text1"/>
                      <w:spacing w:val="0"/>
                      <w:kern w:val="21"/>
                      <w:position w:val="0"/>
                      <w:szCs w:val="21"/>
                      <w14:textFill>
                        <w14:solidFill>
                          <w14:schemeClr w14:val="tx1"/>
                        </w14:solidFill>
                      </w14:textFill>
                    </w:rPr>
                    <w:t>）</w:t>
                  </w:r>
                </w:p>
              </w:tc>
              <w:tc>
                <w:tcPr>
                  <w:tcW w:w="588"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1#厂房</w:t>
                  </w:r>
                </w:p>
              </w:tc>
              <w:tc>
                <w:tcPr>
                  <w:tcW w:w="62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木料</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加工</w:t>
                  </w:r>
                </w:p>
              </w:tc>
              <w:tc>
                <w:tcPr>
                  <w:tcW w:w="55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0.0298</w:t>
                  </w:r>
                </w:p>
              </w:tc>
              <w:tc>
                <w:tcPr>
                  <w:tcW w:w="124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《大气污染物综合排放标准》（GB16297-1996）</w:t>
                  </w: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2#厂房</w:t>
                  </w:r>
                </w:p>
              </w:tc>
              <w:tc>
                <w:tcPr>
                  <w:tcW w:w="62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木料</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加工</w:t>
                  </w:r>
                </w:p>
              </w:tc>
              <w:tc>
                <w:tcPr>
                  <w:tcW w:w="55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0.0625</w:t>
                  </w:r>
                </w:p>
              </w:tc>
              <w:tc>
                <w:tcPr>
                  <w:tcW w:w="124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封边</w:t>
                  </w:r>
                </w:p>
              </w:tc>
              <w:tc>
                <w:tcPr>
                  <w:tcW w:w="55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0.0002</w:t>
                  </w:r>
                </w:p>
              </w:tc>
              <w:tc>
                <w:tcPr>
                  <w:tcW w:w="124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喷漆</w:t>
                  </w:r>
                </w:p>
              </w:tc>
              <w:tc>
                <w:tcPr>
                  <w:tcW w:w="55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0.1125</w:t>
                  </w:r>
                </w:p>
              </w:tc>
              <w:tc>
                <w:tcPr>
                  <w:tcW w:w="124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0.1485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p>
              </w:tc>
              <w:tc>
                <w:tcPr>
                  <w:tcW w:w="55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0.0944</w:t>
                  </w:r>
                </w:p>
              </w:tc>
              <w:tc>
                <w:tcPr>
                  <w:tcW w:w="124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《大气污染物综合排放标准》（GB16297-1996）</w:t>
                  </w: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85"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漆料打磨</w:t>
                  </w:r>
                </w:p>
              </w:tc>
              <w:tc>
                <w:tcPr>
                  <w:tcW w:w="55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0.0221</w:t>
                  </w:r>
                </w:p>
              </w:tc>
              <w:tc>
                <w:tcPr>
                  <w:tcW w:w="124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3#厂房</w:t>
                  </w:r>
                </w:p>
              </w:tc>
              <w:tc>
                <w:tcPr>
                  <w:tcW w:w="629"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焊接</w:t>
                  </w:r>
                </w:p>
              </w:tc>
              <w:tc>
                <w:tcPr>
                  <w:tcW w:w="55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0.0017</w:t>
                  </w:r>
                </w:p>
              </w:tc>
              <w:tc>
                <w:tcPr>
                  <w:tcW w:w="124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w:t>
                  </w:r>
                </w:p>
              </w:tc>
              <w:tc>
                <w:tcPr>
                  <w:tcW w:w="55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0.0154</w:t>
                  </w:r>
                </w:p>
              </w:tc>
              <w:tc>
                <w:tcPr>
                  <w:tcW w:w="124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88"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w:t>
                  </w:r>
                </w:p>
              </w:tc>
              <w:tc>
                <w:tcPr>
                  <w:tcW w:w="55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0.0002</w:t>
                  </w:r>
                </w:p>
              </w:tc>
              <w:tc>
                <w:tcPr>
                  <w:tcW w:w="124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8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29"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贴棉</w:t>
                  </w:r>
                </w:p>
              </w:tc>
              <w:tc>
                <w:tcPr>
                  <w:tcW w:w="55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67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124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4"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8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10</w:t>
                  </w: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（4）无组织废气控制措施</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根据《挥发性有机物无组织排放控制标准》（GB</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37822-2019），本项目无组织废气控制措施如下：</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①本项目生产过程中所使用的各类涉VOCs物料应储存于密闭容器中，存放至化学品仓。</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②建设单位应对项目设备与管线组件尤其是</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喷漆、喷塑</w:t>
            </w:r>
            <w:r>
              <w:rPr>
                <w:rFonts w:ascii="Times New Roman" w:hAnsi="Times New Roman" w:eastAsia="宋体" w:cs="Times New Roman"/>
                <w:color w:val="000000" w:themeColor="text1"/>
                <w:spacing w:val="0"/>
                <w:kern w:val="21"/>
                <w:position w:val="0"/>
                <w:sz w:val="24"/>
                <w14:textFill>
                  <w14:solidFill>
                    <w14:schemeClr w14:val="tx1"/>
                  </w14:solidFill>
                </w14:textFill>
              </w:rPr>
              <w:t>设备进行VOCs泄漏检测，当检测到泄漏时，对泄漏源应予以标识并及时修复。泄漏检测应建立台账，记录检测时间、检测仪器读数、修复时间、采取的修复措施、修复后检测仪器读数等。台账保存期限不少于3年。</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③企业应建立台账，记录含VOCs原辅材料和含VOCs产品的名称、使用量、回收量、废气量、去向以及VOCs含量等信息。台账保存期限不少于3年。</w:t>
            </w:r>
          </w:p>
          <w:p>
            <w:pPr>
              <w:pageBreakBefore w:val="0"/>
              <w:widowControl/>
              <w:kinsoku/>
              <w:overflowPunct/>
              <w:autoSpaceDE/>
              <w:autoSpaceDN/>
              <w:bidi w:val="0"/>
              <w:adjustRightInd w:val="0"/>
              <w:spacing w:line="360" w:lineRule="auto"/>
              <w:ind w:left="420" w:left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3、</w:t>
            </w:r>
            <w:r>
              <w:rPr>
                <w:rFonts w:ascii="Times New Roman" w:hAnsi="Times New Roman" w:eastAsia="宋体" w:cs="Times New Roman"/>
                <w:b/>
                <w:bCs/>
                <w:color w:val="000000" w:themeColor="text1"/>
                <w:spacing w:val="0"/>
                <w:kern w:val="21"/>
                <w:position w:val="0"/>
                <w:sz w:val="24"/>
                <w14:textFill>
                  <w14:solidFill>
                    <w14:schemeClr w14:val="tx1"/>
                  </w14:solidFill>
                </w14:textFill>
              </w:rPr>
              <w:t>大气污染物排放情况</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（1）基本排放口设置</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本项目设置</w:t>
            </w:r>
            <w:r>
              <w:rPr>
                <w:rFonts w:hint="eastAsia" w:ascii="Times New Roman" w:hAnsi="Times New Roman" w:eastAsia="宋体" w:cs="Times New Roman"/>
                <w:color w:val="000000" w:themeColor="text1"/>
                <w:spacing w:val="0"/>
                <w:kern w:val="21"/>
                <w:position w:val="0"/>
                <w:sz w:val="24"/>
                <w:szCs w:val="22"/>
                <w:lang w:val="en-US" w:eastAsia="zh-CN" w:bidi="ar"/>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个大气排放口，项目大气污染物排放口基本信息见下表，根据《大气污染治理工程技术导则》（HJ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2000-2010），排气筒出口流速以15m/s计。</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大气污染物排放口基本信息表</w:t>
            </w:r>
          </w:p>
          <w:tbl>
            <w:tblPr>
              <w:tblStyle w:val="2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19"/>
              <w:gridCol w:w="1313"/>
              <w:gridCol w:w="2240"/>
              <w:gridCol w:w="1242"/>
              <w:gridCol w:w="1166"/>
              <w:gridCol w:w="11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779"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编号</w:t>
                  </w:r>
                </w:p>
              </w:tc>
              <w:tc>
                <w:tcPr>
                  <w:tcW w:w="775"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名称</w:t>
                  </w:r>
                </w:p>
              </w:tc>
              <w:tc>
                <w:tcPr>
                  <w:tcW w:w="1322"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污染物种类</w:t>
                  </w:r>
                </w:p>
              </w:tc>
              <w:tc>
                <w:tcPr>
                  <w:tcW w:w="733"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排气筒高度（m）</w:t>
                  </w:r>
                </w:p>
              </w:tc>
              <w:tc>
                <w:tcPr>
                  <w:tcW w:w="688"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出口内径（m）</w:t>
                  </w:r>
                </w:p>
              </w:tc>
              <w:tc>
                <w:tcPr>
                  <w:tcW w:w="701"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排气温度（°C）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779"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5"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2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33"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8"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01"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DA001</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highlight w:val="yellow"/>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7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 w:val="21"/>
                      <w:szCs w:val="21"/>
                      <w:lang w:bidi="ar"/>
                      <w14:textFill>
                        <w14:solidFill>
                          <w14:schemeClr w14:val="tx1"/>
                        </w14:solidFill>
                      </w14:textFill>
                    </w:rPr>
                    <w:t>2</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highlight w:val="yellow"/>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7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69"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 w:val="21"/>
                      <w:szCs w:val="21"/>
                      <w:lang w:bidi="ar"/>
                      <w14:textFill>
                        <w14:solidFill>
                          <w14:schemeClr w14:val="tx1"/>
                        </w14:solidFill>
                      </w14:textFill>
                    </w:rPr>
                    <w:t>3</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highlight w:val="yellow"/>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0.65</w:t>
                  </w:r>
                </w:p>
              </w:tc>
              <w:tc>
                <w:tcPr>
                  <w:tcW w:w="7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 w:val="21"/>
                      <w:szCs w:val="21"/>
                      <w:lang w:bidi="ar"/>
                      <w14:textFill>
                        <w14:solidFill>
                          <w14:schemeClr w14:val="tx1"/>
                        </w14:solidFill>
                      </w14:textFill>
                    </w:rPr>
                    <w:t>4</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颗粒物、VOCs</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1.4</w:t>
                  </w:r>
                </w:p>
              </w:tc>
              <w:tc>
                <w:tcPr>
                  <w:tcW w:w="7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 w:val="21"/>
                      <w:szCs w:val="21"/>
                      <w:lang w:bidi="ar"/>
                      <w14:textFill>
                        <w14:solidFill>
                          <w14:schemeClr w14:val="tx1"/>
                        </w14:solidFill>
                      </w14:textFill>
                    </w:rPr>
                    <w:t>5</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7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69"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 w:val="21"/>
                      <w:szCs w:val="21"/>
                      <w:lang w:bidi="ar"/>
                      <w14:textFill>
                        <w14:solidFill>
                          <w14:schemeClr w14:val="tx1"/>
                        </w14:solidFill>
                      </w14:textFill>
                    </w:rPr>
                    <w:t>6</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0.65</w:t>
                  </w:r>
                </w:p>
              </w:tc>
              <w:tc>
                <w:tcPr>
                  <w:tcW w:w="7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 w:val="21"/>
                      <w:szCs w:val="21"/>
                      <w:lang w:bidi="ar"/>
                      <w14:textFill>
                        <w14:solidFill>
                          <w14:schemeClr w14:val="tx1"/>
                        </w14:solidFill>
                      </w14:textFill>
                    </w:rPr>
                    <w:t>7</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7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69" w:hRule="atLeast"/>
                <w:jc w:val="center"/>
              </w:trPr>
              <w:tc>
                <w:tcPr>
                  <w:tcW w:w="77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DA008</w:t>
                  </w:r>
                </w:p>
              </w:tc>
              <w:tc>
                <w:tcPr>
                  <w:tcW w:w="77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排气筒</w:t>
                  </w:r>
                </w:p>
              </w:tc>
              <w:tc>
                <w:tcPr>
                  <w:tcW w:w="1322"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颗粒物</w:t>
                  </w:r>
                </w:p>
              </w:tc>
              <w:tc>
                <w:tcPr>
                  <w:tcW w:w="73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20</w:t>
                  </w:r>
                </w:p>
              </w:tc>
              <w:tc>
                <w:tcPr>
                  <w:tcW w:w="1163"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118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35</w:t>
                  </w: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（2）大气污染物排放量核算</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①有组织排放</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本项目大气污染物有组织排放情况见下表所示。</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大气污染物有组织排放量核算表</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84"/>
              <w:gridCol w:w="1331"/>
              <w:gridCol w:w="1853"/>
              <w:gridCol w:w="1564"/>
              <w:gridCol w:w="1537"/>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78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排放口编号</w:t>
                  </w: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污染物</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核算排放浓度（mg/m</w:t>
                  </w:r>
                  <w:r>
                    <w:rPr>
                      <w:rFonts w:ascii="Times New Roman" w:hAnsi="Times New Roman" w:eastAsia="宋体" w:cs="Times New Roman"/>
                      <w:b/>
                      <w:bCs/>
                      <w:color w:val="000000" w:themeColor="text1"/>
                      <w:spacing w:val="0"/>
                      <w:kern w:val="21"/>
                      <w:position w:val="0"/>
                      <w:szCs w:val="21"/>
                      <w:vertAlign w:val="superscript"/>
                      <w:lang w:bidi="ar"/>
                      <w14:textFill>
                        <w14:solidFill>
                          <w14:schemeClr w14:val="tx1"/>
                        </w14:solidFill>
                      </w14:textFill>
                    </w:rPr>
                    <w:t>3</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核算排放速率（kg/h）</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789" w:type="pct"/>
                  <w:tcBorders>
                    <w:top w:val="single" w:color="auto" w:sz="6" w:space="0"/>
                    <w:left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DA001</w:t>
                  </w: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0.5369</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0.0027</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0.0142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789" w:type="pct"/>
                  <w:tcBorders>
                    <w:left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DA002</w:t>
                  </w: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0.5625</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0.0056</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0.0297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789" w:type="pct"/>
                  <w:tcBorders>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DA003</w:t>
                  </w: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0.0606</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0.0002</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w:t>
                  </w:r>
                </w:p>
              </w:tc>
              <w:tc>
                <w:tcPr>
                  <w:tcW w:w="789" w:type="pct"/>
                  <w:vMerge w:val="restart"/>
                  <w:tcBorders>
                    <w:top w:val="single" w:color="auto" w:sz="6" w:space="0"/>
                    <w:left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DA004</w:t>
                  </w:r>
                </w:p>
              </w:tc>
              <w:tc>
                <w:tcPr>
                  <w:tcW w:w="1097"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0.2111</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0.0179</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0.0237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9" w:hRule="atLeast"/>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789" w:type="pct"/>
                  <w:vMerge w:val="continue"/>
                  <w:tcBorders>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097"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2.5147</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0.2138</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0.2822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9" w:hRule="atLeast"/>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78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DA005</w:t>
                  </w:r>
                </w:p>
              </w:tc>
              <w:tc>
                <w:tcPr>
                  <w:tcW w:w="1097"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0.3495</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0.0042</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0.0055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7</w:t>
                  </w:r>
                </w:p>
              </w:tc>
              <w:tc>
                <w:tcPr>
                  <w:tcW w:w="789"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DA006</w:t>
                  </w: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0.3323</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0.0106</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0.0562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789" w:type="pct"/>
                  <w:tcBorders>
                    <w:top w:val="single" w:color="auto" w:sz="6" w:space="0"/>
                    <w:left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DA007</w:t>
                  </w: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0.041</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bCs/>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0.000</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3</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9</w:t>
                  </w:r>
                </w:p>
              </w:tc>
              <w:tc>
                <w:tcPr>
                  <w:tcW w:w="789" w:type="pct"/>
                  <w:tcBorders>
                    <w:top w:val="single" w:color="auto" w:sz="6" w:space="0"/>
                    <w:left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DA008</w:t>
                  </w: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92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0.5844</w:t>
                  </w:r>
                </w:p>
              </w:tc>
              <w:tc>
                <w:tcPr>
                  <w:tcW w:w="908"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0.0029</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0.0116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6"/>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有组织排放合计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1" w:type="pct"/>
                  <w:vMerge w:val="restart"/>
                  <w:tcBorders>
                    <w:top w:val="single" w:color="auto" w:sz="6" w:space="0"/>
                    <w:left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10</w:t>
                  </w:r>
                </w:p>
              </w:tc>
              <w:tc>
                <w:tcPr>
                  <w:tcW w:w="789" w:type="pct"/>
                  <w:vMerge w:val="restart"/>
                  <w:tcBorders>
                    <w:top w:val="single" w:color="auto" w:sz="6" w:space="0"/>
                    <w:left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有组织排放合计</w:t>
                  </w:r>
                </w:p>
              </w:tc>
              <w:tc>
                <w:tcPr>
                  <w:tcW w:w="2933" w:type="pct"/>
                  <w:gridSpan w:val="3"/>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0.1409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1" w:type="pct"/>
                  <w:vMerge w:val="continue"/>
                  <w:tcBorders>
                    <w:left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89" w:type="pct"/>
                  <w:vMerge w:val="continue"/>
                  <w:tcBorders>
                    <w:left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933" w:type="pct"/>
                  <w:gridSpan w:val="3"/>
                  <w:tcBorders>
                    <w:top w:val="single" w:color="auto" w:sz="6" w:space="0"/>
                    <w:left w:val="single" w:color="auto" w:sz="4"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1006"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0.2836</w:t>
                  </w: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②无组织排放</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本项目大气污染物无组织排放情况见下表所示。</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大气污染物无组织排放量核算表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807"/>
              <w:gridCol w:w="409"/>
              <w:gridCol w:w="453"/>
              <w:gridCol w:w="778"/>
              <w:gridCol w:w="756"/>
              <w:gridCol w:w="2425"/>
              <w:gridCol w:w="1405"/>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5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产污设施名称</w:t>
                  </w:r>
                </w:p>
              </w:tc>
              <w:tc>
                <w:tcPr>
                  <w:tcW w:w="652"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产污环节</w:t>
                  </w:r>
                </w:p>
              </w:tc>
              <w:tc>
                <w:tcPr>
                  <w:tcW w:w="51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污染物种类</w:t>
                  </w:r>
                </w:p>
              </w:tc>
              <w:tc>
                <w:tcPr>
                  <w:tcW w:w="5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主要污染防治措施</w:t>
                  </w:r>
                </w:p>
              </w:tc>
              <w:tc>
                <w:tcPr>
                  <w:tcW w:w="196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国家或地方污染物排放标准</w:t>
                  </w:r>
                </w:p>
              </w:tc>
              <w:tc>
                <w:tcPr>
                  <w:tcW w:w="52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1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名称</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浓度限值（mg/m</w:t>
                  </w:r>
                  <w:r>
                    <w:rPr>
                      <w:rFonts w:ascii="Times New Roman" w:hAnsi="Times New Roman" w:eastAsia="宋体" w:cs="Times New Roman"/>
                      <w:b/>
                      <w:bCs/>
                      <w:color w:val="000000" w:themeColor="text1"/>
                      <w:spacing w:val="0"/>
                      <w:kern w:val="21"/>
                      <w:position w:val="0"/>
                      <w:szCs w:val="21"/>
                      <w:vertAlign w:val="superscript"/>
                      <w:lang w:bidi="ar"/>
                      <w14:textFill>
                        <w14:solidFill>
                          <w14:schemeClr w14:val="tx1"/>
                        </w14:solidFill>
                      </w14:textFill>
                    </w:rPr>
                    <w:t>3</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w:t>
                  </w:r>
                </w:p>
              </w:tc>
              <w:tc>
                <w:tcPr>
                  <w:tcW w:w="5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548" w:type="pc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1#厂房</w:t>
                  </w:r>
                </w:p>
              </w:tc>
              <w:tc>
                <w:tcPr>
                  <w:tcW w:w="652" w:type="pct"/>
                  <w:gridSpan w:val="2"/>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木料</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加工</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536"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加强车间通风</w:t>
                  </w:r>
                </w:p>
              </w:tc>
              <w:tc>
                <w:tcPr>
                  <w:tcW w:w="1245" w:type="pct"/>
                  <w:vMerge w:val="restar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《大气污染物综合排放标准》（GB16297-1996）</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548" w:type="pct"/>
                  <w:vMerge w:val="restart"/>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2#厂房</w:t>
                  </w:r>
                </w:p>
              </w:tc>
              <w:tc>
                <w:tcPr>
                  <w:tcW w:w="652" w:type="pct"/>
                  <w:gridSpan w:val="2"/>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木料</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加工</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continue"/>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548" w:type="pct"/>
                  <w:vMerge w:val="continue"/>
                  <w:tcBorders>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restart"/>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w:t>
                  </w:r>
                </w:p>
              </w:tc>
              <w:tc>
                <w:tcPr>
                  <w:tcW w:w="548" w:type="pct"/>
                  <w:vMerge w:val="continue"/>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喷漆</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0.1485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548" w:type="pct"/>
                  <w:vMerge w:val="continue"/>
                  <w:tcBorders>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喷漆</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restar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《大气污染物综合排放标准》（GB16297-1996）</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6</w:t>
                  </w:r>
                </w:p>
              </w:tc>
              <w:tc>
                <w:tcPr>
                  <w:tcW w:w="548"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漆料打磨</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continue"/>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7</w:t>
                  </w:r>
                </w:p>
              </w:tc>
              <w:tc>
                <w:tcPr>
                  <w:tcW w:w="548" w:type="pct"/>
                  <w:vMerge w:val="restar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3#厂房</w:t>
                  </w:r>
                </w:p>
              </w:tc>
              <w:tc>
                <w:tcPr>
                  <w:tcW w:w="65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焊接</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continue"/>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8</w:t>
                  </w:r>
                </w:p>
              </w:tc>
              <w:tc>
                <w:tcPr>
                  <w:tcW w:w="548" w:type="pct"/>
                  <w:vMerge w:val="continue"/>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continue"/>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9</w:t>
                  </w:r>
                </w:p>
              </w:tc>
              <w:tc>
                <w:tcPr>
                  <w:tcW w:w="548"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restart"/>
                  <w:tcBorders>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10</w:t>
                  </w:r>
                </w:p>
              </w:tc>
              <w:tc>
                <w:tcPr>
                  <w:tcW w:w="548"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2" w:type="pct"/>
                  <w:gridSpan w:val="2"/>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贴棉</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536"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45"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全</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厂</w:t>
                  </w:r>
                  <w:r>
                    <w:rPr>
                      <w:rFonts w:ascii="Times New Roman" w:hAnsi="Times New Roman" w:eastAsia="宋体" w:cs="Times New Roman"/>
                      <w:color w:val="000000" w:themeColor="text1"/>
                      <w:spacing w:val="0"/>
                      <w:kern w:val="21"/>
                      <w:position w:val="0"/>
                      <w:szCs w:val="21"/>
                      <w14:textFill>
                        <w14:solidFill>
                          <w14:schemeClr w14:val="tx1"/>
                        </w14:solidFill>
                      </w14:textFill>
                    </w:rPr>
                    <w:t>无组织排放合计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pct"/>
                  <w:gridSpan w:val="3"/>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全场无组织排放合计（t/a）</w:t>
                  </w:r>
                </w:p>
              </w:tc>
              <w:tc>
                <w:tcPr>
                  <w:tcW w:w="138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249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0.7109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pct"/>
                  <w:gridSpan w:val="3"/>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p>
              </w:tc>
              <w:tc>
                <w:tcPr>
                  <w:tcW w:w="138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249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0.1502</w:t>
                  </w:r>
                </w:p>
              </w:tc>
            </w:tr>
          </w:tbl>
          <w:p>
            <w:pPr>
              <w:keepNext w:val="0"/>
              <w:keepLines w:val="0"/>
              <w:pageBreakBefore w:val="0"/>
              <w:widowControl/>
              <w:kinsoku/>
              <w:wordWrap/>
              <w:overflowPunct/>
              <w:topLinePunct w:val="0"/>
              <w:autoSpaceDE/>
              <w:autoSpaceDN/>
              <w:bidi w:val="0"/>
              <w:adjustRightInd w:val="0"/>
              <w:snapToGrid/>
              <w:spacing w:line="360" w:lineRule="auto"/>
              <w:ind w:left="0" w:leftChars="0"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③大气污染物年排放情况</w:t>
            </w:r>
          </w:p>
          <w:p>
            <w:pPr>
              <w:keepNext w:val="0"/>
              <w:keepLines w:val="0"/>
              <w:pageBreakBefore w:val="0"/>
              <w:widowControl/>
              <w:kinsoku/>
              <w:wordWrap/>
              <w:overflowPunct/>
              <w:topLinePunct w:val="0"/>
              <w:autoSpaceDE/>
              <w:autoSpaceDN/>
              <w:bidi w:val="0"/>
              <w:adjustRightInd w:val="0"/>
              <w:snapToGrid/>
              <w:spacing w:line="360" w:lineRule="auto"/>
              <w:ind w:left="0" w:leftChars="0"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本项目大气污染物年排放情况见下表所示。</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大气污染物年排放量核算表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4322"/>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254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污染物</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254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0.8518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254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0.4338</w:t>
                  </w:r>
                </w:p>
              </w:tc>
            </w:tr>
          </w:tbl>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4、</w:t>
            </w:r>
            <w:r>
              <w:rPr>
                <w:rFonts w:ascii="Times New Roman" w:hAnsi="Times New Roman" w:eastAsia="宋体" w:cs="Times New Roman"/>
                <w:b/>
                <w:bCs/>
                <w:color w:val="000000" w:themeColor="text1"/>
                <w:spacing w:val="0"/>
                <w:kern w:val="21"/>
                <w:position w:val="0"/>
                <w:sz w:val="24"/>
                <w14:textFill>
                  <w14:solidFill>
                    <w14:schemeClr w14:val="tx1"/>
                  </w14:solidFill>
                </w14:textFill>
              </w:rPr>
              <w:t>废气非正常排放分析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根据《环境影响评价技术导则 大气环境》（HJ 2.2-2018），项目废气非正常排放为废气处理设施开停工、日常维修、检修以及废气设备运行异常下废气非正常工况下污染物的排放，以及活性炭吸附/脱附效率达不到效率等情况下的排放。本次评价在废气正常收集，处理效率为原处理效率一半的情况下对非正常工况下废气排放情况进行计算。</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项目非正常工况下大气污染物排放情况见下表。</w:t>
            </w:r>
          </w:p>
          <w:p>
            <w:pPr>
              <w:pageBreakBefore w:val="0"/>
              <w:widowControl/>
              <w:numPr>
                <w:ilvl w:val="0"/>
                <w:numId w:val="34"/>
              </w:numPr>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非正常工况下废气排放情况表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19"/>
              <w:gridCol w:w="987"/>
              <w:gridCol w:w="1437"/>
              <w:gridCol w:w="1452"/>
              <w:gridCol w:w="1191"/>
              <w:gridCol w:w="111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5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序号</w:t>
                  </w:r>
                </w:p>
              </w:tc>
              <w:tc>
                <w:tcPr>
                  <w:tcW w:w="535"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污染源</w:t>
                  </w:r>
                </w:p>
              </w:tc>
              <w:tc>
                <w:tcPr>
                  <w:tcW w:w="58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w:t>
                  </w:r>
                </w:p>
              </w:tc>
              <w:tc>
                <w:tcPr>
                  <w:tcW w:w="84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非正常排放浓度（mg/m</w:t>
                  </w:r>
                  <w:r>
                    <w:rPr>
                      <w:rFonts w:ascii="Times New Roman" w:hAnsi="Times New Roman" w:eastAsia="宋体" w:cs="Times New Roman"/>
                      <w:b/>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w:t>
                  </w:r>
                </w:p>
              </w:tc>
              <w:tc>
                <w:tcPr>
                  <w:tcW w:w="8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非正常排放速率（kg/h）</w:t>
                  </w:r>
                </w:p>
              </w:tc>
              <w:tc>
                <w:tcPr>
                  <w:tcW w:w="70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单次持续时间（h）</w:t>
                  </w:r>
                </w:p>
              </w:tc>
              <w:tc>
                <w:tcPr>
                  <w:tcW w:w="65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年发生频次（次）</w:t>
                  </w:r>
                </w:p>
              </w:tc>
              <w:tc>
                <w:tcPr>
                  <w:tcW w:w="560"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DA001</w:t>
                  </w:r>
                </w:p>
              </w:tc>
              <w:tc>
                <w:tcPr>
                  <w:tcW w:w="58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8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14.5635</w:t>
                  </w:r>
                </w:p>
              </w:tc>
              <w:tc>
                <w:tcPr>
                  <w:tcW w:w="85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0.3058</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立即停产</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检修</w:t>
                  </w:r>
                  <w:r>
                    <w:rPr>
                      <w:rFonts w:ascii="Times New Roman" w:hAnsi="Times New Roman" w:eastAsia="宋体" w:cs="Times New Roman"/>
                      <w:color w:val="000000" w:themeColor="text1"/>
                      <w:spacing w:val="0"/>
                      <w:kern w:val="21"/>
                      <w:position w:val="0"/>
                      <w:szCs w:val="21"/>
                      <w14:textFill>
                        <w14:solidFill>
                          <w14:schemeClr w14:val="tx1"/>
                        </w14:solidFill>
                      </w14:textFill>
                    </w:rPr>
                    <w:t>，待环保设施正常运行后再开工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5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2</w:t>
                  </w:r>
                </w:p>
              </w:tc>
              <w:tc>
                <w:tcPr>
                  <w:tcW w:w="58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8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32.1429</w:t>
                  </w:r>
                </w:p>
              </w:tc>
              <w:tc>
                <w:tcPr>
                  <w:tcW w:w="85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0.3214</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5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58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8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0.3409</w:t>
                  </w:r>
                </w:p>
              </w:tc>
              <w:tc>
                <w:tcPr>
                  <w:tcW w:w="85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0.0010</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p>
              </w:tc>
              <w:tc>
                <w:tcPr>
                  <w:tcW w:w="535" w:type="pct"/>
                  <w:vMerge w:val="restar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w:t>
                  </w:r>
                </w:p>
              </w:tc>
              <w:tc>
                <w:tcPr>
                  <w:tcW w:w="583"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848"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10.8578</w:t>
                  </w:r>
                </w:p>
              </w:tc>
              <w:tc>
                <w:tcPr>
                  <w:tcW w:w="857"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0.9229</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535" w:type="pct"/>
                  <w:vMerge w:val="continue"/>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83"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8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54.4171</w:t>
                  </w:r>
                </w:p>
              </w:tc>
              <w:tc>
                <w:tcPr>
                  <w:tcW w:w="85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4.6255</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535"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583"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84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9.3466</w:t>
                  </w:r>
                </w:p>
              </w:tc>
              <w:tc>
                <w:tcPr>
                  <w:tcW w:w="857"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0.1122</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p>
              </w:tc>
              <w:tc>
                <w:tcPr>
                  <w:tcW w:w="535"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58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848"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6.9379</w:t>
                  </w:r>
                </w:p>
              </w:tc>
              <w:tc>
                <w:tcPr>
                  <w:tcW w:w="857"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0.1669</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5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p>
              </w:tc>
              <w:tc>
                <w:tcPr>
                  <w:tcW w:w="583"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848"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0.0214</w:t>
                  </w:r>
                </w:p>
              </w:tc>
              <w:tc>
                <w:tcPr>
                  <w:tcW w:w="857"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0.0002</w:t>
                  </w:r>
                </w:p>
              </w:tc>
              <w:tc>
                <w:tcPr>
                  <w:tcW w:w="70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9</w:t>
                  </w:r>
                </w:p>
              </w:tc>
              <w:tc>
                <w:tcPr>
                  <w:tcW w:w="5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DA008</w:t>
                  </w:r>
                </w:p>
              </w:tc>
              <w:tc>
                <w:tcPr>
                  <w:tcW w:w="583"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颗粒物</w:t>
                  </w:r>
                </w:p>
              </w:tc>
              <w:tc>
                <w:tcPr>
                  <w:tcW w:w="848"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6.5909</w:t>
                  </w:r>
                </w:p>
              </w:tc>
              <w:tc>
                <w:tcPr>
                  <w:tcW w:w="857"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0.1384</w:t>
                  </w:r>
                </w:p>
              </w:tc>
              <w:tc>
                <w:tcPr>
                  <w:tcW w:w="703"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658"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560"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本次评价要求建设单位加强管理，定期对设备及环保设施进行维护检修，保证环保设施的处理效率，避免事故排放对大气环境产生影响。一旦出现上述非正常排放情况需立即停产，及时检修，待环保设施正常运行后再开工生产。</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5、环境影响分析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本项目位于四川省广元市昭化区，根据《2023年度广元市环境质量状况》，项目所在区域为达标区。</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1#车间</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木料粉尘经</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集气管道</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收集，中央除尘器（TA001）处理后经20m高排气筒（DA001）达标外排，同时加强车间机械通风措施；</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2#车间</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木料粉尘经</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集气管道</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收集，中央除尘器（TA002）处理后经20m高排气筒（DA00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2</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封边废气经集气罩收集，</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1</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#二级活性炭吸附装置处理后经20m高排气筒（DA00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）达标外排；喷漆废气经</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水旋柜处理、</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密闭车间负压</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收集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后经</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干式过滤+</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+催化燃烧装置处理后经20m排气筒（DA00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）达标排放；</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漆料打磨粉尘经密闭车间负压收集，脉冲布袋除尘处理后经20m高排气筒（DA00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5</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金属加工粉尘经</w:t>
            </w:r>
            <w:r>
              <w:rPr>
                <w:rFonts w:hint="eastAsia" w:ascii="Times New Roman" w:hAnsi="Times New Roman" w:eastAsia="宋体" w:cs="Times New Roman"/>
                <w:color w:val="000000" w:themeColor="text1"/>
                <w:spacing w:val="0"/>
                <w:kern w:val="21"/>
                <w:position w:val="0"/>
                <w:sz w:val="24"/>
                <w:lang w:val="en-US" w:eastAsia="zh-CN" w:bidi="ar"/>
                <w14:textFill>
                  <w14:solidFill>
                    <w14:schemeClr w14:val="tx1"/>
                  </w14:solidFill>
                </w14:textFill>
              </w:rPr>
              <w:t>集气罩</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收集</w:t>
            </w:r>
            <w:r>
              <w:rPr>
                <w:rFonts w:hint="eastAsia" w:ascii="Times New Roman" w:hAnsi="Times New Roman" w:eastAsia="宋体" w:cs="Times New Roman"/>
                <w:color w:val="000000" w:themeColor="text1"/>
                <w:spacing w:val="0"/>
                <w:kern w:val="21"/>
                <w:position w:val="0"/>
                <w:sz w:val="24"/>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布袋除尘器处理后经</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20m排气筒（DA00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6</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焊接烟尘经集气罩收集，焊烟净化器处理后经20m排气筒（DA00</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6</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）达标外排；</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喷塑粉尘经密闭车间负压收集，高效旋风分离器+全聚酯滤芯二级回收处理后经20m高排气筒（DA00</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）达标外排</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固化废气经集气罩收集，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#二级活性炭处理后经20m排气筒（DA00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）达标排放；贴棉废气经集气罩收集，</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#二级活性炭处理后经20m排气筒（DA00</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）达标排放。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本项目外排污染物相对少，外排污染物对大气环境贡献值较低，不会改变评价范围内大气环境功能，不会对评价范围内环境保护目标造成明显影响。</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综上所述，本项目废气经处理后均能实现达标排放，本项目的建设对项目所在地大气环境质量影响较小。</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6、卫生防护距离</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（1）等标排放量核算及特征污染物选取</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根据《大气有害物质无组织排放卫生防护距离推导技术导则》（GB/T</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39499-2020），当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等标排放量核算及特征污染物选取见下表。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等标排放量核算</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及</w:t>
            </w: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特征污染物选取一览表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919"/>
              <w:gridCol w:w="1557"/>
              <w:gridCol w:w="1421"/>
              <w:gridCol w:w="1206"/>
              <w:gridCol w:w="89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0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无组织源</w:t>
                  </w:r>
                </w:p>
              </w:tc>
              <w:tc>
                <w:tcPr>
                  <w:tcW w:w="5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w:t>
                  </w:r>
                </w:p>
              </w:tc>
              <w:tc>
                <w:tcPr>
                  <w:tcW w:w="91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无组织排放量（kg/h）</w:t>
                  </w:r>
                </w:p>
              </w:tc>
              <w:tc>
                <w:tcPr>
                  <w:tcW w:w="83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环境空气质量标准限值（mg/m³）</w:t>
                  </w:r>
                </w:p>
              </w:tc>
              <w:tc>
                <w:tcPr>
                  <w:tcW w:w="71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等标排放量（m</w:t>
                  </w:r>
                  <w:r>
                    <w:rPr>
                      <w:rFonts w:ascii="Times New Roman" w:hAnsi="Times New Roman" w:eastAsia="宋体" w:cs="Times New Roman"/>
                      <w:b/>
                      <w:bCs/>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/h）</w:t>
                  </w:r>
                </w:p>
              </w:tc>
              <w:tc>
                <w:tcPr>
                  <w:tcW w:w="52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相差</w:t>
                  </w:r>
                </w:p>
              </w:tc>
              <w:tc>
                <w:tcPr>
                  <w:tcW w:w="66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特征污染物选取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1#厂房</w:t>
                  </w:r>
                </w:p>
              </w:tc>
              <w:tc>
                <w:tcPr>
                  <w:tcW w:w="54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TSP</w:t>
                  </w:r>
                </w:p>
              </w:tc>
              <w:tc>
                <w:tcPr>
                  <w:tcW w:w="91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0.0298</w:t>
                  </w:r>
                </w:p>
              </w:tc>
              <w:tc>
                <w:tcPr>
                  <w:tcW w:w="83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0.9</w:t>
                  </w:r>
                </w:p>
              </w:tc>
              <w:tc>
                <w:tcPr>
                  <w:tcW w:w="71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33111</w:t>
                  </w:r>
                </w:p>
              </w:tc>
              <w:tc>
                <w:tcPr>
                  <w:tcW w:w="52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6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1"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2#厂房</w:t>
                  </w:r>
                </w:p>
              </w:tc>
              <w:tc>
                <w:tcPr>
                  <w:tcW w:w="5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TSP</w:t>
                  </w:r>
                </w:p>
              </w:tc>
              <w:tc>
                <w:tcPr>
                  <w:tcW w:w="91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0.0625</w:t>
                  </w:r>
                </w:p>
              </w:tc>
              <w:tc>
                <w:tcPr>
                  <w:tcW w:w="83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0.9</w:t>
                  </w:r>
                </w:p>
              </w:tc>
              <w:tc>
                <w:tcPr>
                  <w:tcW w:w="71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69444</w:t>
                  </w:r>
                </w:p>
              </w:tc>
              <w:tc>
                <w:tcPr>
                  <w:tcW w:w="52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662"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918"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0.3839</w:t>
                  </w:r>
                </w:p>
              </w:tc>
              <w:tc>
                <w:tcPr>
                  <w:tcW w:w="83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c>
                <w:tcPr>
                  <w:tcW w:w="711"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319916</w:t>
                  </w:r>
                </w:p>
              </w:tc>
              <w:tc>
                <w:tcPr>
                  <w:tcW w:w="52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62"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3#厂房</w:t>
                  </w:r>
                </w:p>
              </w:tc>
              <w:tc>
                <w:tcPr>
                  <w:tcW w:w="5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TSP</w:t>
                  </w:r>
                </w:p>
              </w:tc>
              <w:tc>
                <w:tcPr>
                  <w:tcW w:w="918"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0.0171</w:t>
                  </w:r>
                </w:p>
              </w:tc>
              <w:tc>
                <w:tcPr>
                  <w:tcW w:w="83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0.9</w:t>
                  </w:r>
                </w:p>
              </w:tc>
              <w:tc>
                <w:tcPr>
                  <w:tcW w:w="71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19000</w:t>
                  </w:r>
                </w:p>
              </w:tc>
              <w:tc>
                <w:tcPr>
                  <w:tcW w:w="526"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w:t>
                  </w:r>
                </w:p>
              </w:tc>
              <w:tc>
                <w:tcPr>
                  <w:tcW w:w="662"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918" w:type="pct"/>
                  <w:vAlign w:val="center"/>
                </w:tcPr>
                <w:p>
                  <w:pPr>
                    <w:pageBreakBefore w:val="0"/>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0.0004</w:t>
                  </w:r>
                </w:p>
              </w:tc>
              <w:tc>
                <w:tcPr>
                  <w:tcW w:w="83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c>
                <w:tcPr>
                  <w:tcW w:w="711" w:type="pct"/>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333.3</w:t>
                  </w:r>
                </w:p>
              </w:tc>
              <w:tc>
                <w:tcPr>
                  <w:tcW w:w="52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62"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（2）卫生防护距离初值计算</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根据《大气有害物质无组织排放卫生防护距离推导技术导则》（GB/T</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39499-2020）中有害气体无组织排放控制与工业企业卫生防护距离标准的制定方法，工业企业卫生防护距离初值按下式计算：</w:t>
            </w:r>
          </w:p>
          <w:p>
            <w:pPr>
              <w:pageBreakBefore w:val="0"/>
              <w:widowControl/>
              <w:kinsoku/>
              <w:overflowPunct/>
              <w:autoSpaceDE/>
              <w:autoSpaceDN/>
              <w:bidi w:val="0"/>
              <w:spacing w:line="360" w:lineRule="auto"/>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object>
                <v:shape id="_x0000_i1043" o:spt="75" type="#_x0000_t75" style="height:37.5pt;width:143.25pt;" o:ole="t" filled="f" o:preferrelative="t" stroked="f" coordsize="21600,21600">
                  <v:path/>
                  <v:fill on="f" focussize="0,0"/>
                  <v:stroke on="f" joinstyle="miter"/>
                  <v:imagedata r:id="rId60" o:title=""/>
                  <o:lock v:ext="edit" aspectratio="t"/>
                  <w10:wrap type="none"/>
                  <w10:anchorlock/>
                </v:shape>
                <o:OLEObject Type="Embed" ProgID="Equation.DSMT4" ShapeID="_x0000_i1043" DrawAspect="Content" ObjectID="_1468075743" r:id="rId59">
                  <o:LockedField>false</o:LockedField>
                </o:OLEObject>
              </w:objec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式中：</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C</w:t>
            </w:r>
            <w:r>
              <w:rPr>
                <w:rFonts w:ascii="Times New Roman" w:hAnsi="Times New Roman" w:eastAsia="宋体" w:cs="Times New Roman"/>
                <w:i/>
                <w:iCs/>
                <w:color w:val="000000" w:themeColor="text1"/>
                <w:spacing w:val="0"/>
                <w:kern w:val="21"/>
                <w:position w:val="0"/>
                <w:sz w:val="24"/>
                <w:szCs w:val="22"/>
                <w:vertAlign w:val="subscript"/>
                <w:lang w:bidi="ar"/>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——标准浓度限值，</w:t>
            </w: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mg/m</w:t>
            </w:r>
            <w:r>
              <w:rPr>
                <w:rFonts w:ascii="Times New Roman" w:hAnsi="Times New Roman" w:eastAsia="宋体" w:cs="Times New Roman"/>
                <w:i/>
                <w:iCs/>
                <w:color w:val="000000" w:themeColor="text1"/>
                <w:spacing w:val="0"/>
                <w:kern w:val="21"/>
                <w:position w:val="0"/>
                <w:sz w:val="24"/>
                <w:szCs w:val="22"/>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，取GB3095规定的二级标准或HJ2.2中规定的1h平均标准值；</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——工业企业所需卫生防护距离，m；</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R</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——有害气体无组织排放源所在生产单元的等效半径，m，根据生产单元的占地面积S（m</w:t>
            </w:r>
            <w:r>
              <w:rPr>
                <w:rFonts w:ascii="Times New Roman" w:hAnsi="Times New Roman" w:eastAsia="宋体" w:cs="Times New Roman"/>
                <w:color w:val="000000" w:themeColor="text1"/>
                <w:spacing w:val="0"/>
                <w:kern w:val="21"/>
                <w:position w:val="0"/>
                <w:sz w:val="24"/>
                <w:szCs w:val="22"/>
                <w:vertAlign w:val="superscript"/>
                <w:lang w:bidi="ar"/>
                <w14:textFill>
                  <w14:solidFill>
                    <w14:schemeClr w14:val="tx1"/>
                  </w14:solidFill>
                </w14:textFill>
              </w:rPr>
              <w:t>2</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）计算，</w:t>
            </w: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r=（S/π）</w:t>
            </w:r>
            <w:r>
              <w:rPr>
                <w:rFonts w:ascii="Times New Roman" w:hAnsi="Times New Roman" w:eastAsia="宋体" w:cs="Times New Roman"/>
                <w:i/>
                <w:iCs/>
                <w:color w:val="000000" w:themeColor="text1"/>
                <w:spacing w:val="0"/>
                <w:kern w:val="21"/>
                <w:position w:val="0"/>
                <w:sz w:val="24"/>
                <w:szCs w:val="22"/>
                <w:vertAlign w:val="superscript"/>
                <w:lang w:bidi="ar"/>
                <w14:textFill>
                  <w14:solidFill>
                    <w14:schemeClr w14:val="tx1"/>
                  </w14:solidFill>
                </w14:textFill>
              </w:rPr>
              <w:t>0.50</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，由面源的长度和宽度进行计算；</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A、B、C、D</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——卫生防护距离计算系数，无因次，根据工业企业所在地区近五年平均风速（项目所在区域近五年平均风速小于1.6m/s）及工业企业大气污染源构成类别选取，具体数据选取为A=400，B=0.01，C=1.85，D=0.78；</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
                <w:iCs/>
                <w:color w:val="000000" w:themeColor="text1"/>
                <w:spacing w:val="0"/>
                <w:kern w:val="21"/>
                <w:position w:val="0"/>
                <w:sz w:val="24"/>
                <w:szCs w:val="22"/>
                <w:vertAlign w:val="subscript"/>
                <w:lang w:bidi="ar"/>
                <w14:textFill>
                  <w14:solidFill>
                    <w14:schemeClr w14:val="tx1"/>
                  </w14:solidFill>
                </w14:textFill>
              </w:rPr>
              <w:t>c</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——工业企业有害气体无组织排放量可以达到的控制水平，kg/h。</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卫生防护距离初值计算参数表</w:t>
            </w:r>
          </w:p>
          <w:tbl>
            <w:tblPr>
              <w:tblStyle w:val="20"/>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8"/>
              <w:gridCol w:w="1632"/>
              <w:gridCol w:w="678"/>
              <w:gridCol w:w="679"/>
              <w:gridCol w:w="687"/>
              <w:gridCol w:w="679"/>
              <w:gridCol w:w="679"/>
              <w:gridCol w:w="687"/>
              <w:gridCol w:w="679"/>
              <w:gridCol w:w="679"/>
              <w:gridCol w:w="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40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计算系数</w:t>
                  </w:r>
                </w:p>
              </w:tc>
              <w:tc>
                <w:tcPr>
                  <w:tcW w:w="965"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工业企业所在地区近5年平均风速（m/s）</w:t>
                  </w:r>
                </w:p>
              </w:tc>
              <w:tc>
                <w:tcPr>
                  <w:tcW w:w="3627" w:type="pct"/>
                  <w:gridSpan w:val="9"/>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卫生防护距离L（m）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0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965"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L≤1000</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1000＜L≤2000</w:t>
                  </w:r>
                </w:p>
              </w:tc>
              <w:tc>
                <w:tcPr>
                  <w:tcW w:w="1209"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L＞2000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40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965"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Ⅰ</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Ⅱ</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Ⅲ</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Ⅰ</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Ⅱ</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Ⅲ</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Ⅰ</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Ⅱ</w:t>
                  </w:r>
                </w:p>
              </w:tc>
              <w:tc>
                <w:tcPr>
                  <w:tcW w:w="40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A</w:t>
                  </w: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&lt;2</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80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80</w:t>
                  </w:r>
                </w:p>
              </w:tc>
              <w:tc>
                <w:tcPr>
                  <w:tcW w:w="40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2~4</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700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470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350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700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470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350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380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250</w:t>
                  </w:r>
                </w:p>
              </w:tc>
              <w:tc>
                <w:tcPr>
                  <w:tcW w:w="40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&gt;4</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530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350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260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530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350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260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290</w:t>
                  </w:r>
                </w:p>
              </w:tc>
              <w:tc>
                <w:tcPr>
                  <w:tcW w:w="401"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190</w:t>
                  </w:r>
                </w:p>
              </w:tc>
              <w:tc>
                <w:tcPr>
                  <w:tcW w:w="403"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B</w:t>
                  </w: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&lt;2</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0.01</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0.015</w:t>
                  </w:r>
                </w:p>
              </w:tc>
              <w:tc>
                <w:tcPr>
                  <w:tcW w:w="1209"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&gt;2</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0.021</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0.036</w:t>
                  </w:r>
                </w:p>
              </w:tc>
              <w:tc>
                <w:tcPr>
                  <w:tcW w:w="1209"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C</w:t>
                  </w: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&lt;2</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1.85</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1.79</w:t>
                  </w:r>
                </w:p>
              </w:tc>
              <w:tc>
                <w:tcPr>
                  <w:tcW w:w="1209"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&gt;2</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1.85</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1.77</w:t>
                  </w:r>
                </w:p>
              </w:tc>
              <w:tc>
                <w:tcPr>
                  <w:tcW w:w="1209"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w:t>
                  </w: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&lt;2</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0.78</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0.78</w:t>
                  </w:r>
                </w:p>
              </w:tc>
              <w:tc>
                <w:tcPr>
                  <w:tcW w:w="1209"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0"/>
                      <w:szCs w:val="20"/>
                      <w14:textFill>
                        <w14:solidFill>
                          <w14:schemeClr w14:val="tx1"/>
                        </w14:solidFill>
                      </w14:textFill>
                    </w:rPr>
                  </w:pPr>
                </w:p>
              </w:tc>
              <w:tc>
                <w:tcPr>
                  <w:tcW w:w="965" w:type="pct"/>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&gt;2</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0.84</w:t>
                  </w:r>
                </w:p>
              </w:tc>
              <w:tc>
                <w:tcPr>
                  <w:tcW w:w="1208"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0.84</w:t>
                  </w:r>
                </w:p>
              </w:tc>
              <w:tc>
                <w:tcPr>
                  <w:tcW w:w="1209" w:type="pct"/>
                  <w:gridSpan w:val="3"/>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11"/>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widowControl/>
                    <w:kinsoku/>
                    <w:overflowPunct/>
                    <w:autoSpaceDE/>
                    <w:autoSpaceDN/>
                    <w:bidi w:val="0"/>
                    <w:snapToGrid w:val="0"/>
                    <w:spacing w:before="62" w:beforeLines="20" w:after="62" w:afterLines="20"/>
                    <w:jc w:val="left"/>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注：</w:t>
                  </w:r>
                  <w:r>
                    <w:rPr>
                      <w:rFonts w:ascii="Times New Roman" w:hAnsi="Times New Roman" w:eastAsia="宋体" w:cs="Times New Roman"/>
                      <w:b/>
                      <w:iCs/>
                      <w:color w:val="000000" w:themeColor="text1"/>
                      <w:spacing w:val="0"/>
                      <w:kern w:val="21"/>
                      <w:position w:val="0"/>
                      <w:szCs w:val="21"/>
                      <w:lang w:bidi="ar"/>
                      <w14:textFill>
                        <w14:solidFill>
                          <w14:schemeClr w14:val="tx1"/>
                        </w14:solidFill>
                      </w14:textFill>
                    </w:rPr>
                    <w:t>工业企业大气污染源构成分为三类。</w:t>
                  </w:r>
                </w:p>
                <w:p>
                  <w:pPr>
                    <w:pageBreakBefore w:val="0"/>
                    <w:widowControl/>
                    <w:kinsoku/>
                    <w:overflowPunct/>
                    <w:autoSpaceDE/>
                    <w:autoSpaceDN/>
                    <w:bidi w:val="0"/>
                    <w:snapToGrid w:val="0"/>
                    <w:spacing w:before="62" w:beforeLines="20" w:after="62" w:afterLines="20"/>
                    <w:jc w:val="left"/>
                    <w:textAlignment w:val="auto"/>
                    <w:rPr>
                      <w:rFonts w:ascii="Times New Roman" w:hAnsi="Times New Roman" w:eastAsia="宋体" w:cs="Times New Roman"/>
                      <w:i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iCs/>
                      <w:color w:val="000000" w:themeColor="text1"/>
                      <w:spacing w:val="0"/>
                      <w:kern w:val="21"/>
                      <w:position w:val="0"/>
                      <w:szCs w:val="21"/>
                      <w:lang w:bidi="ar"/>
                      <w14:textFill>
                        <w14:solidFill>
                          <w14:schemeClr w14:val="tx1"/>
                        </w14:solidFill>
                      </w14:textFill>
                    </w:rPr>
                    <w:t>Ⅰ类：</w:t>
                  </w:r>
                  <w:r>
                    <w:rPr>
                      <w:rFonts w:ascii="Times New Roman" w:hAnsi="Times New Roman" w:eastAsia="宋体" w:cs="Times New Roman"/>
                      <w:iCs/>
                      <w:color w:val="000000" w:themeColor="text1"/>
                      <w:spacing w:val="0"/>
                      <w:kern w:val="21"/>
                      <w:position w:val="0"/>
                      <w:szCs w:val="21"/>
                      <w:lang w:bidi="ar"/>
                      <w14:textFill>
                        <w14:solidFill>
                          <w14:schemeClr w14:val="tx1"/>
                        </w14:solidFill>
                      </w14:textFill>
                    </w:rPr>
                    <w:t>与无组织排放源共存的排放同种有害气体的排放量，大于标准规定的允许排放量的1/3。</w:t>
                  </w:r>
                </w:p>
                <w:p>
                  <w:pPr>
                    <w:pageBreakBefore w:val="0"/>
                    <w:widowControl/>
                    <w:kinsoku/>
                    <w:overflowPunct/>
                    <w:autoSpaceDE/>
                    <w:autoSpaceDN/>
                    <w:bidi w:val="0"/>
                    <w:snapToGrid w:val="0"/>
                    <w:spacing w:before="62" w:beforeLines="20" w:after="62" w:afterLines="20"/>
                    <w:jc w:val="left"/>
                    <w:textAlignment w:val="auto"/>
                    <w:rPr>
                      <w:rFonts w:ascii="Times New Roman" w:hAnsi="Times New Roman" w:eastAsia="宋体" w:cs="Times New Roman"/>
                      <w:i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iCs/>
                      <w:color w:val="000000" w:themeColor="text1"/>
                      <w:spacing w:val="0"/>
                      <w:kern w:val="21"/>
                      <w:position w:val="0"/>
                      <w:szCs w:val="21"/>
                      <w:lang w:bidi="ar"/>
                      <w14:textFill>
                        <w14:solidFill>
                          <w14:schemeClr w14:val="tx1"/>
                        </w14:solidFill>
                      </w14:textFill>
                    </w:rPr>
                    <w:t>Ⅱ类：</w:t>
                  </w:r>
                  <w:r>
                    <w:rPr>
                      <w:rFonts w:ascii="Times New Roman" w:hAnsi="Times New Roman" w:eastAsia="宋体" w:cs="Times New Roman"/>
                      <w:iCs/>
                      <w:color w:val="000000" w:themeColor="text1"/>
                      <w:spacing w:val="0"/>
                      <w:kern w:val="21"/>
                      <w:position w:val="0"/>
                      <w:szCs w:val="21"/>
                      <w:lang w:bidi="ar"/>
                      <w14:textFill>
                        <w14:solidFill>
                          <w14:schemeClr w14:val="tx1"/>
                        </w14:solidFill>
                      </w14:textFill>
                    </w:rPr>
                    <w:t>与无组织排放源共存的排放同种有害气体的排放量，小于标准规定的允许排放量的1/3，或虽无排放同种大气污染物之排气筒共存，但无组织排放的有害物质的容许浓度指标是按急性反应指标确定。</w:t>
                  </w:r>
                </w:p>
                <w:p>
                  <w:pPr>
                    <w:pageBreakBefore w:val="0"/>
                    <w:widowControl/>
                    <w:kinsoku/>
                    <w:overflowPunct/>
                    <w:autoSpaceDE/>
                    <w:autoSpaceDN/>
                    <w:bidi w:val="0"/>
                    <w:snapToGrid w:val="0"/>
                    <w:spacing w:before="62" w:beforeLines="20" w:after="62" w:afterLines="20"/>
                    <w:jc w:val="left"/>
                    <w:textAlignment w:val="auto"/>
                    <w:rPr>
                      <w:rFonts w:ascii="Times New Roman" w:hAnsi="Times New Roman" w:eastAsia="宋体" w:cs="Times New Roman"/>
                      <w:i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iCs/>
                      <w:color w:val="000000" w:themeColor="text1"/>
                      <w:spacing w:val="0"/>
                      <w:kern w:val="21"/>
                      <w:position w:val="0"/>
                      <w:szCs w:val="21"/>
                      <w:lang w:bidi="ar"/>
                      <w14:textFill>
                        <w14:solidFill>
                          <w14:schemeClr w14:val="tx1"/>
                        </w14:solidFill>
                      </w14:textFill>
                    </w:rPr>
                    <w:t>Ⅲ类：</w:t>
                  </w:r>
                  <w:r>
                    <w:rPr>
                      <w:rFonts w:ascii="Times New Roman" w:hAnsi="Times New Roman" w:eastAsia="宋体" w:cs="Times New Roman"/>
                      <w:iCs/>
                      <w:color w:val="000000" w:themeColor="text1"/>
                      <w:spacing w:val="0"/>
                      <w:kern w:val="21"/>
                      <w:position w:val="0"/>
                      <w:szCs w:val="21"/>
                      <w:lang w:bidi="ar"/>
                      <w14:textFill>
                        <w14:solidFill>
                          <w14:schemeClr w14:val="tx1"/>
                        </w14:solidFill>
                      </w14:textFill>
                    </w:rPr>
                    <w:t>无排放同种有害物质的排气筒与无组织排放源共存，且无组织排放的有害物质的容许浓度指标是按慢性反应指标确定。</w:t>
                  </w:r>
                </w:p>
              </w:tc>
            </w:tr>
          </w:tbl>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本项目卫生防护距离计算结果见下表。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无组织排放源的卫生防护距离</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943"/>
              <w:gridCol w:w="1258"/>
              <w:gridCol w:w="1317"/>
              <w:gridCol w:w="1560"/>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类别</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w:t>
                  </w: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面源源强（kg/h）</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排放面源长度（m）</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排放面源宽度（m）</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卫生防护距离初值计算结果（m）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1#厂房</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TSP</w:t>
                  </w: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0.0298</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132</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114</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2#厂房</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0.3839</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132</w:t>
                  </w:r>
                </w:p>
              </w:tc>
              <w:tc>
                <w:tcPr>
                  <w:tcW w:w="1556"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114</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3#厂房</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TSP</w:t>
                  </w:r>
                </w:p>
              </w:tc>
              <w:tc>
                <w:tcPr>
                  <w:tcW w:w="7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0.0171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88</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83.6</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0.12</w:t>
                  </w:r>
                </w:p>
              </w:tc>
            </w:tr>
          </w:tbl>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③卫生防护距离最终值确定</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根据《大气有害物质无组织排放卫生防护距离推导技术导则》（GB/T</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39499-2020）中单一特征大气有害物质终值的确定方法，卫生防护距离初值小于50m，级差为50m。如计算初值小于50m，卫生防护距离终值取50m，因此本项目最终确定以1#厂房、2#厂房、3#厂房边界设置50m卫生防护距离。</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根据现场调查，本项目50m卫生防护距离内无敏感点，本次评价要求项目50m卫生防护距离内不得新建住宅、学校等敏感项目。</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7、大气监测计划</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根据《排污单位自行监测技术指南 总则》（HJ 819-2017），参考《排污单位自行监测技术指南 涂装》（HJ 1086-2020），本项目监测要求及监测布点情况如下：</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大气环境管理与监测计划一览表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083"/>
              <w:gridCol w:w="1919"/>
              <w:gridCol w:w="1201"/>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8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类型</w:t>
                  </w:r>
                </w:p>
              </w:tc>
              <w:tc>
                <w:tcPr>
                  <w:tcW w:w="63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监测点位</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监测指标</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监测频次</w:t>
                  </w:r>
                </w:p>
              </w:tc>
              <w:tc>
                <w:tcPr>
                  <w:tcW w:w="22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有组织</w:t>
                  </w:r>
                </w:p>
              </w:tc>
              <w:tc>
                <w:tcPr>
                  <w:tcW w:w="63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DA001</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708"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1次/年</w:t>
                  </w:r>
                </w:p>
              </w:tc>
              <w:tc>
                <w:tcPr>
                  <w:tcW w:w="2237"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《大气综合排放标准》（GB16297-1996）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DA002</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《大气综合排放标准》（GB16297-1996）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《四川省固定污染源大气挥发性有机物排放标准》（DB 51/2377-2017）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vMerge w:val="restart"/>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《四川省固定污染源大气挥发性有机物排放标准》（DB 51/2377-2017）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《大气综合排放标准》（GB16297-1996）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《大气综合排放标准》（GB16297-1996）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《大气综合排放标准》（GB16297-1996）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《四川省固定污染源大气挥发性有机物排放标准》（DB 51/2377-2017）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DA008</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p>
              </w:tc>
              <w:tc>
                <w:tcPr>
                  <w:tcW w:w="22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《大气综合排放标准》（GB16297-1996）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 w:hRule="atLeast"/>
                <w:jc w:val="center"/>
              </w:trPr>
              <w:tc>
                <w:tcPr>
                  <w:tcW w:w="2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无组织</w:t>
                  </w:r>
                </w:p>
              </w:tc>
              <w:tc>
                <w:tcPr>
                  <w:tcW w:w="639"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厂界</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《大气综合排放标准》（GB16297-1996）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2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3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70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237"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《四川省固定污染源大气挥发性有机物排放标准》（DB 51/2377-2017）</w:t>
                  </w: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二、废水环境影响及保护措施</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运营期的废水包括生产废水和生活污水，其中生产废水</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包括</w:t>
            </w:r>
            <w:r>
              <w:rPr>
                <w:rFonts w:hint="eastAsia" w:ascii="Times New Roman" w:hAnsi="Times New Roman" w:eastAsia="宋体" w:cs="Times New Roman"/>
                <w:bCs/>
                <w:color w:val="000000" w:themeColor="text1"/>
                <w:spacing w:val="0"/>
                <w:kern w:val="21"/>
                <w:position w:val="0"/>
                <w:sz w:val="24"/>
                <w14:textFill>
                  <w14:solidFill>
                    <w14:schemeClr w14:val="tx1"/>
                  </w14:solidFill>
                </w14:textFill>
              </w:rPr>
              <w:t>水旋柜系统废水、脱脂-硅烷化废水</w:t>
            </w:r>
            <w:r>
              <w:rPr>
                <w:rFonts w:hint="eastAsia" w:ascii="Times New Roman" w:hAnsi="Times New Roman" w:eastAsia="宋体" w:cs="Times New Roman"/>
                <w:bCs/>
                <w:color w:val="000000" w:themeColor="text1"/>
                <w:spacing w:val="0"/>
                <w:kern w:val="21"/>
                <w:position w:val="0"/>
                <w:sz w:val="24"/>
                <w:lang w:eastAsia="zh-CN"/>
                <w14:textFill>
                  <w14:solidFill>
                    <w14:schemeClr w14:val="tx1"/>
                  </w14:solidFill>
                </w14:textFill>
              </w:rPr>
              <w:t>、</w:t>
            </w:r>
            <w:r>
              <w:rPr>
                <w:rFonts w:hint="eastAsia" w:ascii="Times New Roman" w:hAnsi="Times New Roman" w:eastAsia="宋体" w:cs="Times New Roman"/>
                <w:bCs/>
                <w:color w:val="000000" w:themeColor="text1"/>
                <w:spacing w:val="0"/>
                <w:kern w:val="21"/>
                <w:position w:val="0"/>
                <w:sz w:val="24"/>
                <w:lang w:val="en-US" w:eastAsia="zh-CN"/>
                <w14:textFill>
                  <w14:solidFill>
                    <w14:schemeClr w14:val="tx1"/>
                  </w14:solidFill>
                </w14:textFill>
              </w:rPr>
              <w:t>喷枪清洗废水</w:t>
            </w:r>
            <w:r>
              <w:rPr>
                <w:rFonts w:ascii="Times New Roman" w:hAnsi="Times New Roman" w:eastAsia="宋体" w:cs="Times New Roman"/>
                <w:bCs/>
                <w:color w:val="000000" w:themeColor="text1"/>
                <w:spacing w:val="0"/>
                <w:kern w:val="21"/>
                <w:position w:val="0"/>
                <w:sz w:val="24"/>
                <w14:textFill>
                  <w14:solidFill>
                    <w14:schemeClr w14:val="tx1"/>
                  </w14:solidFill>
                </w14:textFill>
              </w:rPr>
              <w:t>。</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1、源强分析</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（1）生活污水</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产生情况：</w:t>
            </w:r>
            <w:r>
              <w:rPr>
                <w:rFonts w:ascii="Times New Roman" w:hAnsi="Times New Roman" w:eastAsia="宋体" w:cs="Times New Roman"/>
                <w:bCs/>
                <w:color w:val="000000" w:themeColor="text1"/>
                <w:spacing w:val="0"/>
                <w:kern w:val="21"/>
                <w:position w:val="0"/>
                <w:sz w:val="24"/>
                <w14:textFill>
                  <w14:solidFill>
                    <w14:schemeClr w14:val="tx1"/>
                  </w14:solidFill>
                </w14:textFill>
              </w:rPr>
              <w:t>本项目劳动定员</w:t>
            </w:r>
            <w:r>
              <w:rPr>
                <w:rFonts w:hint="eastAsia" w:ascii="Times New Roman" w:hAnsi="Times New Roman" w:eastAsia="宋体" w:cs="Times New Roman"/>
                <w:bCs/>
                <w:color w:val="000000" w:themeColor="text1"/>
                <w:spacing w:val="0"/>
                <w:kern w:val="21"/>
                <w:position w:val="0"/>
                <w:sz w:val="24"/>
                <w14:textFill>
                  <w14:solidFill>
                    <w14:schemeClr w14:val="tx1"/>
                  </w14:solidFill>
                </w14:textFill>
              </w:rPr>
              <w:t>3</w:t>
            </w:r>
            <w:r>
              <w:rPr>
                <w:rFonts w:ascii="Times New Roman" w:hAnsi="Times New Roman" w:eastAsia="宋体" w:cs="Times New Roman"/>
                <w:bCs/>
                <w:color w:val="000000" w:themeColor="text1"/>
                <w:spacing w:val="0"/>
                <w:kern w:val="21"/>
                <w:position w:val="0"/>
                <w:sz w:val="24"/>
                <w14:textFill>
                  <w14:solidFill>
                    <w14:schemeClr w14:val="tx1"/>
                  </w14:solidFill>
                </w14:textFill>
              </w:rPr>
              <w:t>00</w:t>
            </w:r>
            <w:r>
              <w:rPr>
                <w:rFonts w:hint="eastAsia" w:ascii="Times New Roman" w:hAnsi="Times New Roman" w:eastAsia="宋体" w:cs="Times New Roman"/>
                <w:bCs/>
                <w:color w:val="000000" w:themeColor="text1"/>
                <w:spacing w:val="0"/>
                <w:kern w:val="21"/>
                <w:position w:val="0"/>
                <w:sz w:val="24"/>
                <w14:textFill>
                  <w14:solidFill>
                    <w14:schemeClr w14:val="tx1"/>
                  </w14:solidFill>
                </w14:textFill>
              </w:rPr>
              <w:t>人</w:t>
            </w:r>
            <w:r>
              <w:rPr>
                <w:rFonts w:ascii="Times New Roman" w:hAnsi="Times New Roman" w:eastAsia="宋体" w:cs="Times New Roman"/>
                <w:bCs/>
                <w:color w:val="000000" w:themeColor="text1"/>
                <w:spacing w:val="0"/>
                <w:kern w:val="21"/>
                <w:position w:val="0"/>
                <w:sz w:val="24"/>
                <w14:textFill>
                  <w14:solidFill>
                    <w14:schemeClr w14:val="tx1"/>
                  </w14:solidFill>
                </w14:textFill>
              </w:rPr>
              <w:t>，年工作330天，均不在厂内食宿，用水量以50L/人·d计算，用水</w:t>
            </w:r>
            <w:r>
              <w:rPr>
                <w:rFonts w:ascii="Times New Roman" w:hAnsi="Times New Roman" w:eastAsia="宋体" w:cs="Times New Roman"/>
                <w:color w:val="000000" w:themeColor="text1"/>
                <w:spacing w:val="0"/>
                <w:kern w:val="21"/>
                <w:position w:val="0"/>
                <w:sz w:val="24"/>
                <w14:textFill>
                  <w14:solidFill>
                    <w14:schemeClr w14:val="tx1"/>
                  </w14:solidFill>
                </w14:textFill>
              </w:rPr>
              <w:t>量为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5m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4950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w:t>
            </w:r>
            <w:r>
              <w:rPr>
                <w:rFonts w:ascii="Times New Roman" w:hAnsi="Times New Roman" w:eastAsia="宋体" w:cs="Times New Roman"/>
                <w:color w:val="000000" w:themeColor="text1"/>
                <w:spacing w:val="0"/>
                <w:kern w:val="21"/>
                <w:position w:val="0"/>
                <w:sz w:val="24"/>
                <w14:textFill>
                  <w14:solidFill>
                    <w14:schemeClr w14:val="tx1"/>
                  </w14:solidFill>
                </w14:textFill>
              </w:rPr>
              <w:t>，产污系数以85%计，则生活污水产生量约为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12.75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4207</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.5m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/a）</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参考《排放源统计调查产排污核算方法和系数手册》（公告2021年第24号）、《废水污染控制技术手册》（2013版），典型生活污水水质污染物浓度见下表。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典型生活污水水质污染物浓度表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88"/>
              <w:gridCol w:w="1428"/>
              <w:gridCol w:w="5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序号</w:t>
                  </w:r>
                </w:p>
              </w:tc>
              <w:tc>
                <w:tcPr>
                  <w:tcW w:w="70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污染物</w:t>
                  </w:r>
                </w:p>
              </w:tc>
              <w:tc>
                <w:tcPr>
                  <w:tcW w:w="842"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浓度（mg/L）</w:t>
                  </w:r>
                </w:p>
              </w:tc>
              <w:tc>
                <w:tcPr>
                  <w:tcW w:w="302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70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CODcr</w:t>
                  </w:r>
                </w:p>
              </w:tc>
              <w:tc>
                <w:tcPr>
                  <w:tcW w:w="8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325</w:t>
                  </w:r>
                </w:p>
              </w:tc>
              <w:tc>
                <w:tcPr>
                  <w:tcW w:w="302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《排放源统计调查产排污核算方法和系数手册》（公告2021年第24号）中“生活源产排污核算系数手册”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70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BOD</w:t>
                  </w:r>
                  <w:r>
                    <w:rPr>
                      <w:rFonts w:ascii="Times New Roman" w:hAnsi="Times New Roman" w:eastAsia="宋体" w:cs="Times New Roman"/>
                      <w:color w:val="000000" w:themeColor="text1"/>
                      <w:spacing w:val="0"/>
                      <w:kern w:val="21"/>
                      <w:position w:val="0"/>
                      <w:szCs w:val="21"/>
                      <w:vertAlign w:val="subscript"/>
                      <w14:textFill>
                        <w14:solidFill>
                          <w14:schemeClr w14:val="tx1"/>
                        </w14:solidFill>
                      </w14:textFill>
                    </w:rPr>
                    <w:t>5</w:t>
                  </w:r>
                </w:p>
              </w:tc>
              <w:tc>
                <w:tcPr>
                  <w:tcW w:w="8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220</w:t>
                  </w:r>
                </w:p>
              </w:tc>
              <w:tc>
                <w:tcPr>
                  <w:tcW w:w="3021"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《废水污染控制技术手册》（2013版）表1-1-1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70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SS</w:t>
                  </w:r>
                </w:p>
              </w:tc>
              <w:tc>
                <w:tcPr>
                  <w:tcW w:w="8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200</w:t>
                  </w:r>
                </w:p>
              </w:tc>
              <w:tc>
                <w:tcPr>
                  <w:tcW w:w="3021"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3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w:t>
                  </w:r>
                </w:p>
              </w:tc>
              <w:tc>
                <w:tcPr>
                  <w:tcW w:w="70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氨氮</w:t>
                  </w:r>
                </w:p>
              </w:tc>
              <w:tc>
                <w:tcPr>
                  <w:tcW w:w="8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37.7</w:t>
                  </w:r>
                </w:p>
              </w:tc>
              <w:tc>
                <w:tcPr>
                  <w:tcW w:w="3021" w:type="pct"/>
                  <w:vMerge w:val="restar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《排放源统计调查产排污核算方法和系数手册》（公告2021年第24号）中“生活源产排污核算系数手册”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701"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总磷</w:t>
                  </w:r>
                </w:p>
              </w:tc>
              <w:tc>
                <w:tcPr>
                  <w:tcW w:w="84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4.28</w:t>
                  </w:r>
                </w:p>
              </w:tc>
              <w:tc>
                <w:tcPr>
                  <w:tcW w:w="3021"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治理措施：</w:t>
            </w:r>
            <w:r>
              <w:rPr>
                <w:rFonts w:ascii="Times New Roman" w:hAnsi="Times New Roman" w:eastAsia="宋体" w:cs="Times New Roman"/>
                <w:bCs/>
                <w:color w:val="000000" w:themeColor="text1"/>
                <w:spacing w:val="0"/>
                <w:kern w:val="21"/>
                <w:position w:val="0"/>
                <w:sz w:val="24"/>
                <w14:textFill>
                  <w14:solidFill>
                    <w14:schemeClr w14:val="tx1"/>
                  </w14:solidFill>
                </w14:textFill>
              </w:rPr>
              <w:t>生活污水经厂区自建的预处理池（30m</w:t>
            </w:r>
            <w:r>
              <w:rPr>
                <w:rFonts w:ascii="Times New Roman" w:hAnsi="Times New Roman" w:eastAsia="宋体" w:cs="Times New Roman"/>
                <w:bCs/>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 w:val="24"/>
                <w14:textFill>
                  <w14:solidFill>
                    <w14:schemeClr w14:val="tx1"/>
                  </w14:solidFill>
                </w14:textFill>
              </w:rPr>
              <w:t>）处理达园区污水处理厂设计进水水质后排入园区污水管网。</w:t>
            </w:r>
            <w:r>
              <w:rPr>
                <w:rFonts w:ascii="Times New Roman" w:hAnsi="Times New Roman" w:eastAsia="宋体" w:cs="Times New Roman"/>
                <w:color w:val="000000" w:themeColor="text1"/>
                <w:spacing w:val="0"/>
                <w:kern w:val="21"/>
                <w:position w:val="0"/>
                <w:sz w:val="24"/>
                <w14:textFill>
                  <w14:solidFill>
                    <w14:schemeClr w14:val="tx1"/>
                  </w14:solidFill>
                </w14:textFill>
              </w:rPr>
              <w:t>预处理池处理效率：COD约15%、BOD</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5</w:t>
            </w:r>
            <w:r>
              <w:rPr>
                <w:rFonts w:ascii="Times New Roman" w:hAnsi="Times New Roman" w:eastAsia="宋体" w:cs="Times New Roman"/>
                <w:color w:val="000000" w:themeColor="text1"/>
                <w:spacing w:val="0"/>
                <w:kern w:val="21"/>
                <w:position w:val="0"/>
                <w:sz w:val="24"/>
                <w14:textFill>
                  <w14:solidFill>
                    <w14:schemeClr w14:val="tx1"/>
                  </w14:solidFill>
                </w14:textFill>
              </w:rPr>
              <w:t>约9%、SS约30%、NH</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-N约3%，TP约2%。</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b/>
                <w:bCs/>
                <w:color w:val="000000" w:themeColor="text1"/>
                <w:spacing w:val="0"/>
                <w:kern w:val="21"/>
                <w:position w:val="0"/>
                <w:sz w:val="24"/>
                <w14:textFill>
                  <w14:solidFill>
                    <w14:schemeClr w14:val="tx1"/>
                  </w14:solidFill>
                </w14:textFill>
              </w:rPr>
              <w:t>系统废水</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产生情况：</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本项目设置3个喷漆房，共设3套</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设备，</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循环水池有效容积14.4m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，类比同行业其他项目，喷漆过程中</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循环水池损失水量约占总容积的10%，需定期补充损耗水量1.44m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475.2</w:t>
            </w:r>
            <w:r>
              <w:rPr>
                <w:rFonts w:ascii="Times New Roman" w:hAnsi="Times New Roman" w:eastAsia="宋体" w:cs="Times New Roman"/>
                <w:color w:val="000000" w:themeColor="text1"/>
                <w:spacing w:val="0"/>
                <w:kern w:val="21"/>
                <w:position w:val="0"/>
                <w:sz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/a），循环水一年更换一次，作为危废处置，日最大更换用水量为12.96m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/d。</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治理措施：</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循环水一年更换一次，作为</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固废</w:t>
            </w:r>
            <w:r>
              <w:rPr>
                <w:rFonts w:ascii="Times New Roman" w:hAnsi="Times New Roman" w:eastAsia="宋体" w:cs="Times New Roman"/>
                <w:color w:val="000000" w:themeColor="text1"/>
                <w:spacing w:val="0"/>
                <w:kern w:val="21"/>
                <w:position w:val="0"/>
                <w:sz w:val="24"/>
                <w14:textFill>
                  <w14:solidFill>
                    <w14:schemeClr w14:val="tx1"/>
                  </w14:solidFill>
                </w14:textFill>
              </w:rPr>
              <w:t>处置，日最大更换用水量为12.96m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/d，</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不外排。</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cs="Times New Roman"/>
                <w:b/>
                <w:bCs/>
                <w:color w:val="000000" w:themeColor="text1"/>
                <w:spacing w:val="0"/>
                <w:kern w:val="21"/>
                <w:position w:val="0"/>
                <w:sz w:val="24"/>
                <w:szCs w:val="22"/>
                <w:lang w:bidi="ar"/>
                <w14:textFill>
                  <w14:solidFill>
                    <w14:schemeClr w14:val="tx1"/>
                  </w14:solidFill>
                </w14:textFill>
              </w:rPr>
              <w:t>（3</w:t>
            </w:r>
            <w:r>
              <w:rPr>
                <w:rFonts w:hint="eastAsia"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脱脂-硅烷化废水</w:t>
            </w:r>
          </w:p>
          <w:p>
            <w:pPr>
              <w:pageBreakBefore w:val="0"/>
              <w:kinsoku/>
              <w:overflowPunct/>
              <w:autoSpaceDE/>
              <w:autoSpaceDN/>
              <w:bidi w:val="0"/>
              <w:spacing w:line="360" w:lineRule="auto"/>
              <w:ind w:firstLine="481" w:firstLineChars="200"/>
              <w:textAlignment w:val="auto"/>
              <w:rPr>
                <w:rFonts w:hint="default" w:ascii="Times New Roman" w:hAnsi="Times New Roman" w:cs="Times New Roman" w:eastAsiaTheme="minorEastAsia"/>
                <w:b/>
                <w:bCs/>
                <w:color w:val="000000" w:themeColor="text1"/>
                <w:spacing w:val="0"/>
                <w:kern w:val="21"/>
                <w:position w:val="0"/>
                <w:sz w:val="24"/>
                <w:lang w:val="en-US" w:eastAsia="zh-CN"/>
                <w14:textFill>
                  <w14:solidFill>
                    <w14:schemeClr w14:val="tx1"/>
                  </w14:solidFill>
                </w14:textFill>
              </w:rPr>
            </w:pPr>
            <w:r>
              <w:rPr>
                <w:rFonts w:hint="eastAsia" w:ascii="Times New Roman" w:hAnsi="Times New Roman" w:cs="Times New Roman"/>
                <w:b/>
                <w:bCs/>
                <w:color w:val="000000" w:themeColor="text1"/>
                <w:spacing w:val="0"/>
                <w:kern w:val="21"/>
                <w:position w:val="0"/>
                <w:sz w:val="24"/>
                <w:lang w:val="en-US" w:eastAsia="zh-CN"/>
                <w14:textFill>
                  <w14:solidFill>
                    <w14:schemeClr w14:val="tx1"/>
                  </w14:solidFill>
                </w14:textFill>
              </w:rPr>
              <w:t>①脱脂用水</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default" w:ascii="Times New Roman" w:hAnsi="Times New Roman" w:cs="Times New Roman"/>
                <w:bCs/>
                <w:color w:val="000000" w:themeColor="text1"/>
                <w:kern w:val="21"/>
                <w:sz w:val="24"/>
                <w14:textFill>
                  <w14:solidFill>
                    <w14:schemeClr w14:val="tx1"/>
                  </w14:solidFill>
                </w14:textFill>
              </w:rPr>
              <w:t>脱脂用水主要来自预脱脂、主脱脂用水，项目脱脂使用自来水，项目设置2个有效容积为2m</w:t>
            </w:r>
            <w:r>
              <w:rPr>
                <w:rFonts w:hint="default" w:ascii="Times New Roman" w:hAnsi="Times New Roman" w:cs="Times New Roman"/>
                <w:bCs/>
                <w:color w:val="000000" w:themeColor="text1"/>
                <w:kern w:val="21"/>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14:textFill>
                  <w14:solidFill>
                    <w14:schemeClr w14:val="tx1"/>
                  </w14:solidFill>
                </w14:textFill>
              </w:rPr>
              <w:t>的脱脂槽，脱脂槽脱脂用水量共计4m</w:t>
            </w:r>
            <w:r>
              <w:rPr>
                <w:rFonts w:hint="default" w:ascii="Times New Roman" w:hAnsi="Times New Roman" w:cs="Times New Roman"/>
                <w:bCs/>
                <w:color w:val="000000" w:themeColor="text1"/>
                <w:kern w:val="21"/>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14:textFill>
                  <w14:solidFill>
                    <w14:schemeClr w14:val="tx1"/>
                  </w14:solidFill>
                </w14:textFill>
              </w:rPr>
              <w:t>，其中约20%蒸发损耗，其余循环使用，</w:t>
            </w:r>
            <w:r>
              <w:rPr>
                <w:rFonts w:ascii="Times New Roman" w:hAnsi="Times New Roman" w:cs="Times New Roman"/>
                <w:bCs/>
                <w:color w:val="000000" w:themeColor="text1"/>
                <w:spacing w:val="0"/>
                <w:kern w:val="21"/>
                <w:position w:val="0"/>
                <w:sz w:val="24"/>
                <w14:textFill>
                  <w14:solidFill>
                    <w14:schemeClr w14:val="tx1"/>
                  </w14:solidFill>
                </w14:textFill>
              </w:rPr>
              <w:t>每</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天</w:t>
            </w:r>
            <w:r>
              <w:rPr>
                <w:rFonts w:ascii="Times New Roman" w:hAnsi="Times New Roman" w:cs="Times New Roman"/>
                <w:bCs/>
                <w:color w:val="000000" w:themeColor="text1"/>
                <w:spacing w:val="0"/>
                <w:kern w:val="21"/>
                <w:position w:val="0"/>
                <w:sz w:val="24"/>
                <w14:textFill>
                  <w14:solidFill>
                    <w14:schemeClr w14:val="tx1"/>
                  </w14:solidFill>
                </w14:textFill>
              </w:rPr>
              <w:t>补充</w:t>
            </w:r>
            <w:r>
              <w:rPr>
                <w:rFonts w:hint="eastAsia" w:ascii="Times New Roman" w:hAnsi="Times New Roman" w:cs="Times New Roman"/>
                <w:bCs/>
                <w:color w:val="000000" w:themeColor="text1"/>
                <w:spacing w:val="0"/>
                <w:kern w:val="21"/>
                <w:position w:val="0"/>
                <w:sz w:val="24"/>
                <w14:textFill>
                  <w14:solidFill>
                    <w14:schemeClr w14:val="tx1"/>
                  </w14:solidFill>
                </w14:textFill>
              </w:rPr>
              <w:t>脱脂剂</w:t>
            </w:r>
            <w:r>
              <w:rPr>
                <w:rFonts w:ascii="Times New Roman" w:hAnsi="Times New Roman" w:cs="Times New Roman"/>
                <w:bCs/>
                <w:color w:val="000000" w:themeColor="text1"/>
                <w:spacing w:val="0"/>
                <w:kern w:val="21"/>
                <w:position w:val="0"/>
                <w:sz w:val="24"/>
                <w14:textFill>
                  <w14:solidFill>
                    <w14:schemeClr w14:val="tx1"/>
                  </w14:solidFill>
                </w14:textFill>
              </w:rPr>
              <w:t>及新鲜水，共计0.8m</w:t>
            </w:r>
            <w:r>
              <w:rPr>
                <w:rFonts w:ascii="Times New Roman" w:hAnsi="Times New Roman" w:cs="Times New Roman"/>
                <w:bCs/>
                <w:color w:val="000000" w:themeColor="text1"/>
                <w:spacing w:val="0"/>
                <w:kern w:val="21"/>
                <w:position w:val="0"/>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szCs w:val="32"/>
                <w14:textFill>
                  <w14:solidFill>
                    <w14:schemeClr w14:val="tx1"/>
                  </w14:solidFill>
                </w14:textFill>
              </w:rPr>
              <w:t>/d</w:t>
            </w:r>
            <w:r>
              <w:rPr>
                <w:rFonts w:hint="default" w:ascii="Times New Roman" w:hAnsi="Times New Roman" w:cs="Times New Roman"/>
                <w:bCs/>
                <w:color w:val="000000" w:themeColor="text1"/>
                <w:kern w:val="21"/>
                <w:sz w:val="24"/>
                <w14:textFill>
                  <w14:solidFill>
                    <w14:schemeClr w14:val="tx1"/>
                  </w14:solidFill>
                </w14:textFill>
              </w:rPr>
              <w:t>。根据</w:t>
            </w:r>
            <w:r>
              <w:rPr>
                <w:rFonts w:hint="eastAsia" w:ascii="Times New Roman" w:hAnsi="Times New Roman" w:cs="Times New Roman"/>
                <w:bCs/>
                <w:color w:val="000000" w:themeColor="text1"/>
                <w:kern w:val="21"/>
                <w:sz w:val="24"/>
                <w:lang w:val="en-US" w:eastAsia="zh-CN"/>
                <w14:textFill>
                  <w14:solidFill>
                    <w14:schemeClr w14:val="tx1"/>
                  </w14:solidFill>
                </w14:textFill>
              </w:rPr>
              <w:t>建设单位</w:t>
            </w:r>
            <w:r>
              <w:rPr>
                <w:rFonts w:hint="default" w:ascii="Times New Roman" w:hAnsi="Times New Roman" w:cs="Times New Roman"/>
                <w:bCs/>
                <w:color w:val="000000" w:themeColor="text1"/>
                <w:kern w:val="21"/>
                <w:sz w:val="24"/>
                <w14:textFill>
                  <w14:solidFill>
                    <w14:schemeClr w14:val="tx1"/>
                  </w14:solidFill>
                </w14:textFill>
              </w:rPr>
              <w:t>提供资料，每周分批次更换一次脱脂液，脱脂废水一次最大排放量为3.2m</w:t>
            </w:r>
            <w:r>
              <w:rPr>
                <w:rFonts w:hint="default" w:ascii="Times New Roman" w:hAnsi="Times New Roman" w:cs="Times New Roman"/>
                <w:bCs/>
                <w:color w:val="000000" w:themeColor="text1"/>
                <w:kern w:val="21"/>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14:textFill>
                  <w14:solidFill>
                    <w14:schemeClr w14:val="tx1"/>
                  </w14:solidFill>
                </w14:textFill>
              </w:rPr>
              <w:t>/次</w:t>
            </w:r>
            <w:r>
              <w:rPr>
                <w:rFonts w:ascii="Times New Roman" w:hAnsi="Times New Roman" w:cs="Times New Roman"/>
                <w:color w:val="000000" w:themeColor="text1"/>
                <w:spacing w:val="0"/>
                <w:kern w:val="21"/>
                <w:position w:val="0"/>
                <w:sz w:val="24"/>
                <w14:textFill>
                  <w14:solidFill>
                    <w14:schemeClr w14:val="tx1"/>
                  </w14:solidFill>
                </w14:textFill>
              </w:rPr>
              <w:t>，本项目设置1处20m</w:t>
            </w:r>
            <w:r>
              <w:rPr>
                <w:rFonts w:ascii="Times New Roman" w:hAnsi="Times New Roman"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cs="Times New Roman"/>
                <w:color w:val="000000" w:themeColor="text1"/>
                <w:spacing w:val="0"/>
                <w:kern w:val="21"/>
                <w:position w:val="0"/>
                <w:sz w:val="24"/>
                <w14:textFill>
                  <w14:solidFill>
                    <w14:schemeClr w14:val="tx1"/>
                  </w14:solidFill>
                </w14:textFill>
              </w:rPr>
              <w:t>收集池，用于暂存工件清洗废水、脱脂槽废水。</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②硅烷化用水</w:t>
            </w:r>
          </w:p>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用水主要来自</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工作槽调配用水，项目</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使用</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自来水</w:t>
            </w:r>
            <w:r>
              <w:rPr>
                <w:rFonts w:hint="default" w:ascii="Times New Roman" w:hAnsi="Times New Roman" w:cs="Times New Roman"/>
                <w:bCs/>
                <w:color w:val="000000" w:themeColor="text1"/>
                <w:kern w:val="21"/>
                <w:sz w:val="24"/>
                <w:szCs w:val="32"/>
                <w14:textFill>
                  <w14:solidFill>
                    <w14:schemeClr w14:val="tx1"/>
                  </w14:solidFill>
                </w14:textFill>
              </w:rPr>
              <w:t>，项目设置1个有效容积为2m</w:t>
            </w:r>
            <w:r>
              <w:rPr>
                <w:rFonts w:hint="default" w:ascii="Times New Roman" w:hAnsi="Times New Roman" w:cs="Times New Roman"/>
                <w:bCs/>
                <w:color w:val="000000" w:themeColor="text1"/>
                <w:kern w:val="21"/>
                <w:sz w:val="24"/>
                <w:szCs w:val="32"/>
                <w:vertAlign w:val="superscript"/>
                <w14:textFill>
                  <w14:solidFill>
                    <w14:schemeClr w14:val="tx1"/>
                  </w14:solidFill>
                </w14:textFill>
              </w:rPr>
              <w:t>3</w:t>
            </w:r>
            <w:r>
              <w:rPr>
                <w:rFonts w:hint="default" w:ascii="Times New Roman" w:hAnsi="Times New Roman" w:cs="Times New Roman"/>
                <w:bCs/>
                <w:color w:val="000000" w:themeColor="text1"/>
                <w:kern w:val="21"/>
                <w:sz w:val="24"/>
                <w:szCs w:val="32"/>
                <w14:textFill>
                  <w14:solidFill>
                    <w14:schemeClr w14:val="tx1"/>
                  </w14:solidFill>
                </w14:textFill>
              </w:rPr>
              <w:t>的</w:t>
            </w:r>
            <w:r>
              <w:rPr>
                <w:rFonts w:hint="eastAsia" w:ascii="Times New Roman" w:hAnsi="Times New Roman" w:cs="Times New Roman"/>
                <w:bCs/>
                <w:color w:val="000000" w:themeColor="text1"/>
                <w:kern w:val="21"/>
                <w:sz w:val="24"/>
                <w:szCs w:val="32"/>
                <w:lang w:val="en-US" w:eastAsia="zh-CN"/>
                <w14:textFill>
                  <w14:solidFill>
                    <w14:schemeClr w14:val="tx1"/>
                  </w14:solidFill>
                </w14:textFill>
              </w:rPr>
              <w:t>硅烷化</w:t>
            </w:r>
            <w:r>
              <w:rPr>
                <w:rFonts w:hint="default" w:ascii="Times New Roman" w:hAnsi="Times New Roman" w:cs="Times New Roman"/>
                <w:bCs/>
                <w:color w:val="000000" w:themeColor="text1"/>
                <w:kern w:val="21"/>
                <w:sz w:val="24"/>
                <w:szCs w:val="32"/>
                <w14:textFill>
                  <w14:solidFill>
                    <w14:schemeClr w14:val="tx1"/>
                  </w14:solidFill>
                </w14:textFill>
              </w:rPr>
              <w:t>槽，其中约20%蒸发损耗，其余循环使用定期补充，</w:t>
            </w:r>
            <w:r>
              <w:rPr>
                <w:rFonts w:ascii="Times New Roman" w:hAnsi="Times New Roman" w:eastAsia="宋体" w:cs="Times New Roman"/>
                <w:color w:val="000000" w:themeColor="text1"/>
                <w:spacing w:val="0"/>
                <w:kern w:val="21"/>
                <w:position w:val="0"/>
                <w:sz w:val="24"/>
                <w14:textFill>
                  <w14:solidFill>
                    <w14:schemeClr w14:val="tx1"/>
                  </w14:solidFill>
                </w14:textFill>
              </w:rPr>
              <w:t>其余硅烷化槽液可循环使用</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定期补充，每天补充硅烷化液及新鲜水，共计</w:t>
            </w:r>
            <w:r>
              <w:rPr>
                <w:rFonts w:ascii="Times New Roman" w:hAnsi="Times New Roman" w:eastAsia="宋体" w:cs="Times New Roman"/>
                <w:color w:val="000000" w:themeColor="text1"/>
                <w:spacing w:val="0"/>
                <w:kern w:val="21"/>
                <w:position w:val="0"/>
                <w:sz w:val="24"/>
                <w14:textFill>
                  <w14:solidFill>
                    <w14:schemeClr w14:val="tx1"/>
                  </w14:solidFill>
                </w14:textFill>
              </w:rPr>
              <w:t>0.</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4m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default" w:ascii="Times New Roman" w:hAnsi="Times New Roman" w:cs="Times New Roman"/>
                <w:bCs/>
                <w:color w:val="000000" w:themeColor="text1"/>
                <w:kern w:val="21"/>
                <w:sz w:val="24"/>
                <w:szCs w:val="32"/>
                <w14:textFill>
                  <w14:solidFill>
                    <w14:schemeClr w14:val="tx1"/>
                  </w14:solidFill>
                </w14:textFill>
              </w:rPr>
              <w:t>/d</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③脱脂-硅烷化清洗用水</w:t>
            </w:r>
          </w:p>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bCs/>
                <w:color w:val="000000" w:themeColor="text1"/>
                <w:kern w:val="21"/>
                <w:sz w:val="24"/>
                <w14:textFill>
                  <w14:solidFill>
                    <w14:schemeClr w14:val="tx1"/>
                  </w14:solidFill>
                </w14:textFill>
              </w:rPr>
              <w:t>本项目脱脂-</w:t>
            </w:r>
            <w:r>
              <w:rPr>
                <w:rFonts w:hint="eastAsia" w:asciiTheme="minorHAnsi" w:eastAsiaTheme="minorEastAsia"/>
                <w:bCs/>
                <w:color w:val="000000" w:themeColor="text1"/>
                <w:kern w:val="21"/>
                <w:sz w:val="24"/>
                <w:lang w:val="en-US" w:eastAsia="zh-CN"/>
                <w14:textFill>
                  <w14:solidFill>
                    <w14:schemeClr w14:val="tx1"/>
                  </w14:solidFill>
                </w14:textFill>
              </w:rPr>
              <w:t>硅烷化</w:t>
            </w:r>
            <w:r>
              <w:rPr>
                <w:rFonts w:hint="eastAsia"/>
                <w:bCs/>
                <w:color w:val="000000" w:themeColor="text1"/>
                <w:kern w:val="21"/>
                <w:sz w:val="24"/>
                <w14:textFill>
                  <w14:solidFill>
                    <w14:schemeClr w14:val="tx1"/>
                  </w14:solidFill>
                </w14:textFill>
              </w:rPr>
              <w:t>线采用间歇式逆流漂洗的方式进行清洗，运行过程中工件与清洗水进行逆向流动，主要为工件</w:t>
            </w:r>
            <w:r>
              <w:rPr>
                <w:rFonts w:hint="eastAsia" w:asciiTheme="minorHAnsi" w:eastAsiaTheme="minorEastAsia"/>
                <w:bCs/>
                <w:color w:val="000000" w:themeColor="text1"/>
                <w:kern w:val="21"/>
                <w:sz w:val="24"/>
                <w:lang w:val="en-US" w:eastAsia="zh-CN"/>
                <w14:textFill>
                  <w14:solidFill>
                    <w14:schemeClr w14:val="tx1"/>
                  </w14:solidFill>
                </w14:textFill>
              </w:rPr>
              <w:t>在</w:t>
            </w:r>
            <w:r>
              <w:rPr>
                <w:rFonts w:hint="eastAsia"/>
                <w:bCs/>
                <w:color w:val="000000" w:themeColor="text1"/>
                <w:kern w:val="21"/>
                <w:sz w:val="24"/>
                <w14:textFill>
                  <w14:solidFill>
                    <w14:schemeClr w14:val="tx1"/>
                  </w14:solidFill>
                </w14:textFill>
              </w:rPr>
              <w:t>脱脂和-</w:t>
            </w:r>
            <w:r>
              <w:rPr>
                <w:rFonts w:hint="eastAsia" w:ascii="Times New Roman" w:eastAsia="宋体"/>
                <w:bCs/>
                <w:color w:val="000000" w:themeColor="text1"/>
                <w:kern w:val="21"/>
                <w:sz w:val="24"/>
                <w:lang w:val="en-US" w:eastAsia="zh-CN"/>
                <w14:textFill>
                  <w14:solidFill>
                    <w14:schemeClr w14:val="tx1"/>
                  </w14:solidFill>
                </w14:textFill>
              </w:rPr>
              <w:t>硅烷化</w:t>
            </w:r>
            <w:r>
              <w:rPr>
                <w:rFonts w:hint="eastAsia"/>
                <w:bCs/>
                <w:color w:val="000000" w:themeColor="text1"/>
                <w:kern w:val="21"/>
                <w:sz w:val="24"/>
                <w14:textFill>
                  <w14:solidFill>
                    <w14:schemeClr w14:val="tx1"/>
                  </w14:solidFill>
                </w14:textFill>
              </w:rPr>
              <w:t>表面清洗所使用的水（逆流水和水池定期更换水），采用喷淋方式水洗。</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项目脱脂-硅烷化线上设置脱脂清洗水池（2个，</w:t>
            </w:r>
            <w:r>
              <w:rPr>
                <w:rFonts w:ascii="Times New Roman" w:hAnsi="Times New Roman" w:eastAsia="宋体" w:cs="Times New Roman"/>
                <w:color w:val="000000" w:themeColor="text1"/>
                <w:spacing w:val="0"/>
                <w:kern w:val="21"/>
                <w:position w:val="0"/>
                <w:sz w:val="24"/>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/个）及硅烷化清洗水池（2个，</w:t>
            </w:r>
            <w:r>
              <w:rPr>
                <w:rFonts w:ascii="Times New Roman" w:hAnsi="Times New Roman" w:eastAsia="宋体" w:cs="Times New Roman"/>
                <w:color w:val="000000" w:themeColor="text1"/>
                <w:spacing w:val="0"/>
                <w:kern w:val="21"/>
                <w:position w:val="0"/>
                <w:sz w:val="24"/>
                <w14:textFill>
                  <w14:solidFill>
                    <w14:schemeClr w14:val="tx1"/>
                  </w14:solidFill>
                </w14:textFill>
              </w:rPr>
              <w:t>2</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/个），工件依次通过清洗池清洗，均使用自来水清洗。</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本项目采用逆流漂洗进行清洗工件，逆流漂洗是利用液位差使各清洗池内清洗水按工件传送的反方向进行倒溢。清洗过程中往2#硅烷化清洗池补充自来水，逆流通过1#硅烷化清洗池后排入废水收集池（20m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）；补充的自来水加入2#脱脂清洗池，逆流通过1#脱脂清洗池后排入废水收集池（20m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）。根据业主提供资料，其每个水池逆流速度约</w:t>
            </w:r>
            <w:r>
              <w:rPr>
                <w:rFonts w:ascii="Times New Roman" w:hAnsi="Times New Roman" w:eastAsia="宋体" w:cs="Times New Roman"/>
                <w:color w:val="000000" w:themeColor="text1"/>
                <w:spacing w:val="0"/>
                <w:kern w:val="21"/>
                <w:position w:val="0"/>
                <w:sz w:val="24"/>
                <w14:textFill>
                  <w14:solidFill>
                    <w14:schemeClr w14:val="tx1"/>
                  </w14:solidFill>
                </w14:textFill>
              </w:rPr>
              <w:t>0.03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/h，则每天逆流废水量为</w:t>
            </w:r>
            <w:r>
              <w:rPr>
                <w:rFonts w:ascii="Times New Roman" w:hAnsi="Times New Roman" w:eastAsia="宋体" w:cs="Times New Roman"/>
                <w:color w:val="000000" w:themeColor="text1"/>
                <w:spacing w:val="0"/>
                <w:kern w:val="21"/>
                <w:position w:val="0"/>
                <w:sz w:val="24"/>
                <w14:textFill>
                  <w14:solidFill>
                    <w14:schemeClr w14:val="tx1"/>
                  </w14:solidFill>
                </w14:textFill>
              </w:rPr>
              <w:t>1.2</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/d，项目脱脂-硅烷化线每天运行时间以10h计，年工作330</w:t>
            </w:r>
            <w:r>
              <w:rPr>
                <w:rFonts w:ascii="Times New Roman" w:hAnsi="Times New Roman" w:eastAsia="宋体" w:cs="Times New Roman"/>
                <w:color w:val="000000" w:themeColor="text1"/>
                <w:spacing w:val="0"/>
                <w:kern w:val="21"/>
                <w:position w:val="0"/>
                <w:sz w:val="24"/>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产生源强：</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根据《污染源源强核算技术指南 准则》（HJ</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884-2018），本项目优先采用产排污系数法核算，本次评价各污染物指标产排情况参照《排放源统计调查产排污方法和系数——“33-37，431-434机械行业系数手册”》中的推荐产排污系数，并类</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比《合友信（成都）汽车配件有限公司零配件生产加工项目》进行核算，该项目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工艺与本项目</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类似</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均为金属件加工，采用的金属前处理工艺</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均为脱脂-硅烷化，因此废水性质具有类比性，其类比可行性分析见下表，该项目于2022年11月15日完成验收。</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color w:val="000000" w:themeColor="text1"/>
                <w:spacing w:val="0"/>
                <w:kern w:val="21"/>
                <w:position w:val="0"/>
                <w:szCs w:val="18"/>
                <w14:textFill>
                  <w14:solidFill>
                    <w14:schemeClr w14:val="tx1"/>
                  </w14:solidFill>
                </w14:textFill>
              </w:rPr>
            </w:pPr>
            <w:r>
              <w:rPr>
                <w:rFonts w:ascii="Times New Roman" w:hAnsi="Times New Roman" w:eastAsia="宋体" w:cs="Times New Roman"/>
                <w:b/>
                <w:color w:val="000000" w:themeColor="text1"/>
                <w:spacing w:val="0"/>
                <w:kern w:val="21"/>
                <w:position w:val="0"/>
                <w:szCs w:val="18"/>
                <w14:textFill>
                  <w14:solidFill>
                    <w14:schemeClr w14:val="tx1"/>
                  </w14:solidFill>
                </w14:textFill>
              </w:rPr>
              <w:t>类比可行性分析一览表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2890"/>
              <w:gridCol w:w="2108"/>
              <w:gridCol w:w="2112"/>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296"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序号</w:t>
                  </w:r>
                </w:p>
              </w:tc>
              <w:tc>
                <w:tcPr>
                  <w:tcW w:w="1704"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《污染源源强核算技术指南 准则》（HJ884-2018）要求</w:t>
                  </w:r>
                </w:p>
              </w:tc>
              <w:tc>
                <w:tcPr>
                  <w:tcW w:w="2488" w:type="pct"/>
                  <w:gridSpan w:val="2"/>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可行性说明</w:t>
                  </w:r>
                </w:p>
              </w:tc>
              <w:tc>
                <w:tcPr>
                  <w:tcW w:w="511"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类比可行性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p>
              </w:tc>
              <w:tc>
                <w:tcPr>
                  <w:tcW w:w="170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p>
              </w:tc>
              <w:tc>
                <w:tcPr>
                  <w:tcW w:w="1243"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类比项目</w:t>
                  </w:r>
                </w:p>
              </w:tc>
              <w:tc>
                <w:tcPr>
                  <w:tcW w:w="1244"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本项目</w:t>
                  </w:r>
                </w:p>
              </w:tc>
              <w:tc>
                <w:tcPr>
                  <w:tcW w:w="511"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29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1</w:t>
                  </w:r>
                </w:p>
              </w:tc>
              <w:tc>
                <w:tcPr>
                  <w:tcW w:w="170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原辅料及燃料类型相同且与污染物排放相关的成分相似</w:t>
                  </w:r>
                </w:p>
              </w:tc>
              <w:tc>
                <w:tcPr>
                  <w:tcW w:w="124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原材料</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为钢材</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脱脂-硅烷化工序采用</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脱脂剂、硅烷化剂</w:t>
                  </w:r>
                </w:p>
              </w:tc>
              <w:tc>
                <w:tcPr>
                  <w:tcW w:w="124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本项目五金件原材料</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为钢材</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脱脂-硅烷化工序采用的</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脱脂剂、硅烷化剂成分</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与类比项目</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相似</w:t>
                  </w:r>
                </w:p>
              </w:tc>
              <w:tc>
                <w:tcPr>
                  <w:tcW w:w="51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2</w:t>
                  </w:r>
                </w:p>
              </w:tc>
              <w:tc>
                <w:tcPr>
                  <w:tcW w:w="170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产品相似</w:t>
                  </w:r>
                </w:p>
              </w:tc>
              <w:tc>
                <w:tcPr>
                  <w:tcW w:w="124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产品为</w:t>
                  </w:r>
                  <w:r>
                    <w:rPr>
                      <w:rFonts w:ascii="Times New Roman" w:hAnsi="Times New Roman" w:eastAsia="宋体" w:cs="Times New Roman"/>
                      <w:bCs/>
                      <w:color w:val="000000" w:themeColor="text1"/>
                      <w:spacing w:val="0"/>
                      <w:kern w:val="21"/>
                      <w:position w:val="0"/>
                      <w:szCs w:val="21"/>
                      <w14:textFill>
                        <w14:solidFill>
                          <w14:schemeClr w14:val="tx1"/>
                        </w14:solidFill>
                      </w14:textFill>
                    </w:rPr>
                    <w:t>金属</w:t>
                  </w: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结构</w:t>
                  </w:r>
                  <w:r>
                    <w:rPr>
                      <w:rFonts w:ascii="Times New Roman" w:hAnsi="Times New Roman" w:eastAsia="宋体" w:cs="Times New Roman"/>
                      <w:bCs/>
                      <w:color w:val="000000" w:themeColor="text1"/>
                      <w:spacing w:val="0"/>
                      <w:kern w:val="21"/>
                      <w:position w:val="0"/>
                      <w:szCs w:val="21"/>
                      <w14:textFill>
                        <w14:solidFill>
                          <w14:schemeClr w14:val="tx1"/>
                        </w14:solidFill>
                      </w14:textFill>
                    </w:rPr>
                    <w:t>件</w:t>
                  </w:r>
                </w:p>
              </w:tc>
              <w:tc>
                <w:tcPr>
                  <w:tcW w:w="124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本项目产品为金属配件，与类比项目均为钢结构件，产品相似</w:t>
                  </w:r>
                </w:p>
              </w:tc>
              <w:tc>
                <w:tcPr>
                  <w:tcW w:w="51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3</w:t>
                  </w:r>
                </w:p>
              </w:tc>
              <w:tc>
                <w:tcPr>
                  <w:tcW w:w="170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生产工艺相同</w:t>
                  </w:r>
                </w:p>
              </w:tc>
              <w:tc>
                <w:tcPr>
                  <w:tcW w:w="124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金属表面处理工艺为脱脂-硅烷化工序</w:t>
                  </w:r>
                </w:p>
              </w:tc>
              <w:tc>
                <w:tcPr>
                  <w:tcW w:w="124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本项目采用的金属表面处理工艺为脱脂-硅烷化工序，与类比项目相似</w:t>
                  </w:r>
                </w:p>
              </w:tc>
              <w:tc>
                <w:tcPr>
                  <w:tcW w:w="51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4</w:t>
                  </w:r>
                </w:p>
              </w:tc>
              <w:tc>
                <w:tcPr>
                  <w:tcW w:w="170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污染控制措施相似，且污染物设计去除效率不低于类比对象去除效率</w:t>
                  </w:r>
                </w:p>
              </w:tc>
              <w:tc>
                <w:tcPr>
                  <w:tcW w:w="1243"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废水处理采用</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絮凝沉淀</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+气浮+pH调节”工艺</w:t>
                  </w:r>
                </w:p>
              </w:tc>
              <w:tc>
                <w:tcPr>
                  <w:tcW w:w="1244"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废水处理采用</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隔油+</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pH调节</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+混凝气浮+混凝沉淀</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”工艺</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与类比项目相似</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，去除效率不低于类比项目</w:t>
                  </w:r>
                </w:p>
              </w:tc>
              <w:tc>
                <w:tcPr>
                  <w:tcW w:w="51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可行</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本次</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脱脂-硅烷化</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废水污染物源强情况见下表。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cs="Times New Roman"/>
                <w:b/>
                <w:bCs/>
                <w:color w:val="000000" w:themeColor="text1"/>
                <w:spacing w:val="0"/>
                <w:kern w:val="21"/>
                <w:position w:val="0"/>
                <w:szCs w:val="21"/>
                <w14:textFill>
                  <w14:solidFill>
                    <w14:schemeClr w14:val="tx1"/>
                  </w14:solidFill>
                </w14:textFill>
              </w:rPr>
              <w:t>类比废水污染物源强情况</w:t>
            </w:r>
          </w:p>
          <w:tbl>
            <w:tblPr>
              <w:tblStyle w:val="5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1061"/>
              <w:gridCol w:w="1061"/>
              <w:gridCol w:w="1061"/>
              <w:gridCol w:w="1061"/>
              <w:gridCol w:w="1061"/>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2" w:type="pct"/>
                  <w:vMerge w:val="restar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废水种类</w:t>
                  </w:r>
                </w:p>
              </w:tc>
              <w:tc>
                <w:tcPr>
                  <w:tcW w:w="3757" w:type="pct"/>
                  <w:gridSpan w:val="6"/>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主要污染物浓度（mg/L）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242" w:type="pct"/>
                  <w:vMerge w:val="continue"/>
                  <w:vAlign w:val="center"/>
                </w:tcPr>
                <w:p>
                  <w:pPr>
                    <w:pageBreakBefore w:val="0"/>
                    <w:widowControl/>
                    <w:kinsoku/>
                    <w:overflowPunct/>
                    <w:autoSpaceDE/>
                    <w:autoSpaceDN/>
                    <w:bidi w:val="0"/>
                    <w:snapToGrid w:val="0"/>
                    <w:spacing w:before="62" w:beforeLines="20" w:after="62" w:afterLines="20"/>
                    <w:jc w:val="left"/>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COD</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氨氮</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SS</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TP</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LAS</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2"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脱脂</w:t>
                  </w:r>
                  <w:r>
                    <w:rPr>
                      <w:rFonts w:hint="eastAsia" w:ascii="Times New Roman" w:hAnsi="Times New Roman" w:eastAsia="宋体" w:cs="Times New Roman"/>
                      <w:bCs/>
                      <w:color w:val="000000" w:themeColor="text1"/>
                      <w:spacing w:val="0"/>
                      <w:kern w:val="21"/>
                      <w:position w:val="0"/>
                      <w:szCs w:val="21"/>
                      <w14:textFill>
                        <w14:solidFill>
                          <w14:schemeClr w14:val="tx1"/>
                        </w14:solidFill>
                      </w14:textFill>
                    </w:rPr>
                    <w:t>-硅烷化</w:t>
                  </w:r>
                  <w:r>
                    <w:rPr>
                      <w:rFonts w:ascii="Times New Roman" w:hAnsi="Times New Roman" w:eastAsia="宋体" w:cs="Times New Roman"/>
                      <w:bCs/>
                      <w:color w:val="000000" w:themeColor="text1"/>
                      <w:spacing w:val="0"/>
                      <w:kern w:val="21"/>
                      <w:position w:val="0"/>
                      <w:szCs w:val="21"/>
                      <w14:textFill>
                        <w14:solidFill>
                          <w14:schemeClr w14:val="tx1"/>
                        </w14:solidFill>
                      </w14:textFill>
                    </w:rPr>
                    <w:t>废水</w:t>
                  </w:r>
                </w:p>
              </w:tc>
              <w:tc>
                <w:tcPr>
                  <w:tcW w:w="626" w:type="pct"/>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1100</w:t>
                  </w:r>
                </w:p>
              </w:tc>
              <w:tc>
                <w:tcPr>
                  <w:tcW w:w="626" w:type="pct"/>
                  <w:vAlign w:val="center"/>
                </w:tcPr>
                <w:p>
                  <w:pPr>
                    <w:pageBreakBefore w:val="0"/>
                    <w:widowControl/>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500</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14:textFill>
                        <w14:solidFill>
                          <w14:schemeClr w14:val="tx1"/>
                        </w14:solidFill>
                      </w14:textFill>
                    </w:rPr>
                    <w:t>50</w:t>
                  </w:r>
                </w:p>
              </w:tc>
              <w:tc>
                <w:tcPr>
                  <w:tcW w:w="626" w:type="pct"/>
                  <w:vAlign w:val="center"/>
                </w:tcPr>
                <w:p>
                  <w:pPr>
                    <w:pageBreakBefore w:val="0"/>
                    <w:kinsoku/>
                    <w:overflowPunct/>
                    <w:topLine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Cs w:val="21"/>
                      <w:lang w:val="en-US" w:eastAsia="zh-CN"/>
                      <w14:textFill>
                        <w14:solidFill>
                          <w14:schemeClr w14:val="tx1"/>
                        </w14:solidFill>
                      </w14:textFill>
                    </w:rPr>
                    <w:t>33.6</w:t>
                  </w:r>
                </w:p>
              </w:tc>
            </w:tr>
          </w:tbl>
          <w:p>
            <w:pPr>
              <w:pageBreakBefore w:val="0"/>
              <w:widowControl/>
              <w:kinsoku/>
              <w:overflowPunct/>
              <w:autoSpaceDE/>
              <w:autoSpaceDN/>
              <w:bidi w:val="0"/>
              <w:spacing w:line="360" w:lineRule="auto"/>
              <w:ind w:firstLine="481" w:firstLineChars="200"/>
              <w:textAlignment w:val="auto"/>
              <w:rPr>
                <w:rFonts w:hint="default" w:ascii="Times New Roman" w:hAnsi="Times New Roman" w:eastAsia="宋体" w:cs="Times New Roman"/>
                <w:color w:val="000000" w:themeColor="text1"/>
                <w:spacing w:val="0"/>
                <w:kern w:val="21"/>
                <w:position w:val="0"/>
                <w:sz w:val="24"/>
                <w:lang w:val="en-US"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治理措施：</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本项目脱脂废水、清洗废水更换后暂存于20m</w:t>
            </w:r>
            <w:r>
              <w:rPr>
                <w:rFonts w:hint="eastAsia"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废水收集池中，逐天匀量的排入厂内污水处理站</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（处理能力为10m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/d）</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中进行处理，经厂内污水处理站“</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隔油+pH调节+混凝气浮+混凝沉淀</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”处理</w:t>
            </w:r>
            <w:r>
              <w:rPr>
                <w:rFonts w:ascii="Times New Roman" w:hAnsi="Times New Roman" w:eastAsia="宋体" w:cs="Times New Roman"/>
                <w:color w:val="000000" w:themeColor="text1"/>
                <w:spacing w:val="0"/>
                <w:kern w:val="21"/>
                <w:position w:val="0"/>
                <w:sz w:val="24"/>
                <w14:textFill>
                  <w14:solidFill>
                    <w14:schemeClr w14:val="tx1"/>
                  </w14:solidFill>
                </w14:textFill>
              </w:rPr>
              <w:t>满足园区污水处理厂设</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计进水水质后排入园区污水管网</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根据建设单位提供的资料，本项目污水处理站</w:t>
            </w:r>
            <w:r>
              <w:rPr>
                <w:rFonts w:ascii="Times New Roman" w:hAnsi="Times New Roman" w:eastAsia="宋体" w:cs="Times New Roman"/>
                <w:color w:val="000000" w:themeColor="text1"/>
                <w:spacing w:val="0"/>
                <w:kern w:val="21"/>
                <w:position w:val="0"/>
                <w:sz w:val="24"/>
                <w14:textFill>
                  <w14:solidFill>
                    <w14:schemeClr w14:val="tx1"/>
                  </w14:solidFill>
                </w14:textFill>
              </w:rPr>
              <w:t>处理效率：COD约</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60</w:t>
            </w:r>
            <w:r>
              <w:rPr>
                <w:rFonts w:ascii="Times New Roman" w:hAnsi="Times New Roman" w:eastAsia="宋体" w:cs="Times New Roman"/>
                <w:color w:val="000000" w:themeColor="text1"/>
                <w:spacing w:val="0"/>
                <w:kern w:val="21"/>
                <w:position w:val="0"/>
                <w:sz w:val="24"/>
                <w14:textFill>
                  <w14:solidFill>
                    <w14:schemeClr w14:val="tx1"/>
                  </w14:solidFill>
                </w14:textFill>
              </w:rPr>
              <w:t>%、SS约</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85</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LAS</w:t>
            </w:r>
            <w:r>
              <w:rPr>
                <w:rFonts w:ascii="Times New Roman" w:hAnsi="Times New Roman" w:eastAsia="宋体" w:cs="Times New Roman"/>
                <w:color w:val="000000" w:themeColor="text1"/>
                <w:spacing w:val="0"/>
                <w:kern w:val="21"/>
                <w:position w:val="0"/>
                <w:sz w:val="24"/>
                <w14:textFill>
                  <w14:solidFill>
                    <w14:schemeClr w14:val="tx1"/>
                  </w14:solidFill>
                </w14:textFill>
              </w:rPr>
              <w:t>约</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85</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石油类</w:t>
            </w:r>
            <w:r>
              <w:rPr>
                <w:rFonts w:ascii="Times New Roman" w:hAnsi="Times New Roman" w:eastAsia="宋体" w:cs="Times New Roman"/>
                <w:color w:val="000000" w:themeColor="text1"/>
                <w:spacing w:val="0"/>
                <w:kern w:val="21"/>
                <w:position w:val="0"/>
                <w:sz w:val="24"/>
                <w14:textFill>
                  <w14:solidFill>
                    <w14:schemeClr w14:val="tx1"/>
                  </w14:solidFill>
                </w14:textFill>
              </w:rPr>
              <w:t>约</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70</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widowControl/>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lang w:eastAsia="zh-CN"/>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4</w:t>
            </w:r>
            <w:r>
              <w:rPr>
                <w:rFonts w:hint="eastAsia" w:ascii="Times New Roman" w:hAnsi="Times New Roman" w:eastAsia="宋体" w:cs="Times New Roman"/>
                <w:b/>
                <w:bCs/>
                <w:color w:val="000000" w:themeColor="text1"/>
                <w:spacing w:val="0"/>
                <w:kern w:val="21"/>
                <w:position w:val="0"/>
                <w:sz w:val="24"/>
                <w:lang w:eastAsia="zh-CN"/>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喷枪清洗废水</w:t>
            </w:r>
          </w:p>
          <w:p>
            <w:pPr>
              <w:pageBreakBefore w:val="0"/>
              <w:widowControl/>
              <w:kinsoku/>
              <w:overflowPunct/>
              <w:autoSpaceDE/>
              <w:autoSpaceDN/>
              <w:bidi w:val="0"/>
              <w:spacing w:line="360" w:lineRule="auto"/>
              <w:ind w:firstLine="481" w:firstLineChars="200"/>
              <w:textAlignment w:val="auto"/>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产生源强：</w:t>
            </w:r>
            <w:r>
              <w:rPr>
                <w:rFonts w:ascii="Times New Roman" w:hAnsi="Times New Roman" w:cs="Times New Roman"/>
                <w:color w:val="000000" w:themeColor="text1"/>
                <w:spacing w:val="0"/>
                <w:kern w:val="21"/>
                <w:position w:val="0"/>
                <w:sz w:val="24"/>
                <w14:textFill>
                  <w14:solidFill>
                    <w14:schemeClr w14:val="tx1"/>
                  </w14:solidFill>
                </w14:textFill>
              </w:rPr>
              <w:t>本项目共设置3把喷枪，每天喷涂结束后需清洗喷枪，</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本项目所用漆料为水性漆，喷枪用自来水清洗。</w:t>
            </w:r>
            <w:r>
              <w:rPr>
                <w:rFonts w:ascii="Times New Roman" w:hAnsi="Times New Roman" w:cs="Times New Roman"/>
                <w:color w:val="000000" w:themeColor="text1"/>
                <w:spacing w:val="0"/>
                <w:kern w:val="21"/>
                <w:position w:val="0"/>
                <w:sz w:val="24"/>
                <w14:textFill>
                  <w14:solidFill>
                    <w14:schemeClr w14:val="tx1"/>
                  </w14:solidFill>
                </w14:textFill>
              </w:rPr>
              <w:t>根据建设单位提供资料，单</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个</w:t>
            </w:r>
            <w:r>
              <w:rPr>
                <w:rFonts w:ascii="Times New Roman" w:hAnsi="Times New Roman" w:cs="Times New Roman"/>
                <w:color w:val="000000" w:themeColor="text1"/>
                <w:spacing w:val="0"/>
                <w:kern w:val="21"/>
                <w:position w:val="0"/>
                <w:sz w:val="24"/>
                <w14:textFill>
                  <w14:solidFill>
                    <w14:schemeClr w14:val="tx1"/>
                  </w14:solidFill>
                </w14:textFill>
              </w:rPr>
              <w:t>喷枪清洗用水约</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0.5</w:t>
            </w:r>
            <w:r>
              <w:rPr>
                <w:rFonts w:ascii="Times New Roman" w:hAnsi="Times New Roman" w:cs="Times New Roman"/>
                <w:color w:val="000000" w:themeColor="text1"/>
                <w:spacing w:val="0"/>
                <w:kern w:val="21"/>
                <w:position w:val="0"/>
                <w:sz w:val="24"/>
                <w14:textFill>
                  <w14:solidFill>
                    <w14:schemeClr w14:val="tx1"/>
                  </w14:solidFill>
                </w14:textFill>
              </w:rPr>
              <w:t>L</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/次</w:t>
            </w:r>
            <w:r>
              <w:rPr>
                <w:rFonts w:ascii="Times New Roman" w:hAnsi="Times New Roman" w:cs="Times New Roman"/>
                <w:color w:val="000000" w:themeColor="text1"/>
                <w:spacing w:val="0"/>
                <w:kern w:val="21"/>
                <w:position w:val="0"/>
                <w:sz w:val="24"/>
                <w14:textFill>
                  <w14:solidFill>
                    <w14:schemeClr w14:val="tx1"/>
                  </w14:solidFill>
                </w14:textFill>
              </w:rPr>
              <w:t>，年工作</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330</w:t>
            </w:r>
            <w:r>
              <w:rPr>
                <w:rFonts w:ascii="Times New Roman" w:hAnsi="Times New Roman" w:cs="Times New Roman"/>
                <w:color w:val="000000" w:themeColor="text1"/>
                <w:spacing w:val="0"/>
                <w:kern w:val="21"/>
                <w:position w:val="0"/>
                <w:sz w:val="24"/>
                <w14:textFill>
                  <w14:solidFill>
                    <w14:schemeClr w14:val="tx1"/>
                  </w14:solidFill>
                </w14:textFill>
              </w:rPr>
              <w:t>天，则喷枪清洗用水量为</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0.0015m</w:t>
            </w:r>
            <w:r>
              <w:rPr>
                <w:rFonts w:hint="eastAsia" w:ascii="Times New Roman" w:hAnsi="Times New Roman" w:cs="Times New Roman"/>
                <w:color w:val="000000" w:themeColor="text1"/>
                <w:spacing w:val="0"/>
                <w:kern w:val="21"/>
                <w:position w:val="0"/>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/d（</w:t>
            </w:r>
            <w:r>
              <w:rPr>
                <w:rFonts w:ascii="Times New Roman" w:hAnsi="Times New Roman" w:cs="Times New Roman"/>
                <w:color w:val="000000" w:themeColor="text1"/>
                <w:spacing w:val="0"/>
                <w:kern w:val="21"/>
                <w:position w:val="0"/>
                <w:sz w:val="24"/>
                <w14:textFill>
                  <w14:solidFill>
                    <w14:schemeClr w14:val="tx1"/>
                  </w14:solidFill>
                </w14:textFill>
              </w:rPr>
              <w:t>0.</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495</w:t>
            </w:r>
            <w:r>
              <w:rPr>
                <w:rFonts w:ascii="Times New Roman" w:hAnsi="Times New Roman" w:cs="Times New Roman"/>
                <w:color w:val="000000" w:themeColor="text1"/>
                <w:spacing w:val="0"/>
                <w:kern w:val="21"/>
                <w:position w:val="0"/>
                <w:sz w:val="24"/>
                <w14:textFill>
                  <w14:solidFill>
                    <w14:schemeClr w14:val="tx1"/>
                  </w14:solidFill>
                </w14:textFill>
              </w:rPr>
              <w:t>t/a</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w:t>
            </w:r>
            <w:r>
              <w:rPr>
                <w:rFonts w:ascii="Times New Roman" w:hAnsi="Times New Roman" w:cs="Times New Roman"/>
                <w:color w:val="000000" w:themeColor="text1"/>
                <w:spacing w:val="0"/>
                <w:kern w:val="21"/>
                <w:position w:val="0"/>
                <w:sz w:val="24"/>
                <w14:textFill>
                  <w14:solidFill>
                    <w14:schemeClr w14:val="tx1"/>
                  </w14:solidFill>
                </w14:textFill>
              </w:rPr>
              <w:t>，喷枪清洗废水</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损耗以20%计，</w:t>
            </w:r>
            <w:r>
              <w:rPr>
                <w:rFonts w:ascii="Times New Roman" w:hAnsi="Times New Roman" w:cs="Times New Roman"/>
                <w:color w:val="000000" w:themeColor="text1"/>
                <w:spacing w:val="0"/>
                <w:kern w:val="21"/>
                <w:position w:val="0"/>
                <w:sz w:val="24"/>
                <w14:textFill>
                  <w14:solidFill>
                    <w14:schemeClr w14:val="tx1"/>
                  </w14:solidFill>
                </w14:textFill>
              </w:rPr>
              <w:t>则喷枪清洗废水产生量为</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0.0012m</w:t>
            </w:r>
            <w:r>
              <w:rPr>
                <w:rFonts w:hint="eastAsia" w:ascii="Times New Roman" w:hAnsi="Times New Roman" w:cs="Times New Roman"/>
                <w:color w:val="000000" w:themeColor="text1"/>
                <w:spacing w:val="0"/>
                <w:kern w:val="21"/>
                <w:position w:val="0"/>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/d（0.396</w:t>
            </w:r>
            <w:r>
              <w:rPr>
                <w:rFonts w:ascii="Times New Roman" w:hAnsi="Times New Roman" w:cs="Times New Roman"/>
                <w:color w:val="000000" w:themeColor="text1"/>
                <w:spacing w:val="0"/>
                <w:kern w:val="21"/>
                <w:position w:val="0"/>
                <w:sz w:val="24"/>
                <w14:textFill>
                  <w14:solidFill>
                    <w14:schemeClr w14:val="tx1"/>
                  </w14:solidFill>
                </w14:textFill>
              </w:rPr>
              <w:t>t/a</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w:t>
            </w:r>
            <w:r>
              <w:rPr>
                <w:rFonts w:hint="eastAsia" w:ascii="Times New Roman" w:hAnsi="Times New Roman" w:cs="Times New Roman"/>
                <w:color w:val="000000" w:themeColor="text1"/>
                <w:spacing w:val="0"/>
                <w:kern w:val="21"/>
                <w:position w:val="0"/>
                <w:sz w:val="24"/>
                <w:lang w:eastAsia="zh-CN"/>
                <w14:textFill>
                  <w14:solidFill>
                    <w14:schemeClr w14:val="tx1"/>
                  </w14:solidFill>
                </w14:textFill>
              </w:rPr>
              <w:t>。</w:t>
            </w:r>
          </w:p>
          <w:p>
            <w:pPr>
              <w:pageBreakBefore w:val="0"/>
              <w:widowControl/>
              <w:kinsoku/>
              <w:overflowPunct/>
              <w:autoSpaceDE/>
              <w:autoSpaceDN/>
              <w:bidi w:val="0"/>
              <w:spacing w:line="360" w:lineRule="auto"/>
              <w:ind w:firstLine="481" w:firstLineChars="200"/>
              <w:textAlignment w:val="auto"/>
              <w:rPr>
                <w:rFonts w:hint="eastAsia" w:ascii="Times New Roman" w:hAnsi="Times New Roman" w:eastAsia="宋体" w:cs="Times New Roman"/>
                <w:color w:val="000000" w:themeColor="text1"/>
                <w:spacing w:val="0"/>
                <w:kern w:val="21"/>
                <w:position w:val="0"/>
                <w:sz w:val="24"/>
                <w14:textFill>
                  <w14:solidFill>
                    <w14:schemeClr w14:val="tx1"/>
                  </w14:solidFill>
                </w14:textFill>
              </w:rPr>
            </w:pPr>
            <w:r>
              <w:rPr>
                <w:rFonts w:hint="eastAsia" w:ascii="Times New Roman" w:hAnsi="Times New Roman" w:cs="Times New Roman"/>
                <w:b/>
                <w:bCs/>
                <w:color w:val="000000" w:themeColor="text1"/>
                <w:spacing w:val="0"/>
                <w:kern w:val="21"/>
                <w:position w:val="0"/>
                <w:sz w:val="24"/>
                <w:lang w:val="en-US" w:eastAsia="zh-CN"/>
                <w14:textFill>
                  <w14:solidFill>
                    <w14:schemeClr w14:val="tx1"/>
                  </w14:solidFill>
                </w14:textFill>
              </w:rPr>
              <w:t>治理措施：</w:t>
            </w:r>
            <w:r>
              <w:rPr>
                <w:rFonts w:hint="eastAsia" w:ascii="Times New Roman" w:hAnsi="Times New Roman" w:cs="Times New Roman"/>
                <w:color w:val="000000" w:themeColor="text1"/>
                <w:spacing w:val="0"/>
                <w:kern w:val="21"/>
                <w:position w:val="0"/>
                <w:sz w:val="24"/>
                <w:lang w:val="en-US" w:eastAsia="zh-CN"/>
                <w14:textFill>
                  <w14:solidFill>
                    <w14:schemeClr w14:val="tx1"/>
                  </w14:solidFill>
                </w14:textFill>
              </w:rPr>
              <w:t>本项目喷枪清洗废水回用于调漆，</w:t>
            </w:r>
            <w:r>
              <w:rPr>
                <w:rFonts w:ascii="Times New Roman" w:hAnsi="Times New Roman" w:cs="Times New Roman"/>
                <w:color w:val="000000" w:themeColor="text1"/>
                <w:spacing w:val="0"/>
                <w:kern w:val="21"/>
                <w:position w:val="0"/>
                <w:sz w:val="24"/>
                <w14:textFill>
                  <w14:solidFill>
                    <w14:schemeClr w14:val="tx1"/>
                  </w14:solidFill>
                </w14:textFill>
              </w:rPr>
              <w:t>不外排。</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本项目运营期废水污染物产生及排放情况如下表所示。</w:t>
            </w:r>
          </w:p>
          <w:p>
            <w:pPr>
              <w:keepNext w:val="0"/>
              <w:keepLines w:val="0"/>
              <w:pageBreakBefore w:val="0"/>
              <w:widowControl/>
              <w:numPr>
                <w:ilvl w:val="0"/>
                <w:numId w:val="34"/>
              </w:numPr>
              <w:tabs>
                <w:tab w:val="left" w:pos="960"/>
              </w:tabs>
              <w:kinsoku/>
              <w:wordWrap/>
              <w:overflowPunct/>
              <w:topLinePunct w:val="0"/>
              <w:autoSpaceDE/>
              <w:autoSpaceDN/>
              <w:bidi w:val="0"/>
              <w:adjustRightInd w:val="0"/>
              <w:snapToGrid w:val="0"/>
              <w:spacing w:before="63" w:beforeLines="20" w:after="63"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运营期废水污染物产生及排放情况</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87"/>
              <w:gridCol w:w="387"/>
              <w:gridCol w:w="989"/>
              <w:gridCol w:w="1001"/>
              <w:gridCol w:w="816"/>
              <w:gridCol w:w="816"/>
              <w:gridCol w:w="816"/>
              <w:gridCol w:w="816"/>
              <w:gridCol w:w="816"/>
              <w:gridCol w:w="817"/>
              <w:gridCol w:w="8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 w:hRule="atLeast"/>
                <w:jc w:val="center"/>
              </w:trPr>
              <w:tc>
                <w:tcPr>
                  <w:tcW w:w="1408" w:type="pct"/>
                  <w:gridSpan w:val="3"/>
                  <w:tcBorders>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废水性质</w:t>
                  </w:r>
                </w:p>
              </w:tc>
              <w:tc>
                <w:tcPr>
                  <w:tcW w:w="549" w:type="pct"/>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废水量（m</w:t>
                  </w:r>
                  <w:r>
                    <w:rPr>
                      <w:rFonts w:hint="default" w:ascii="Times New Roman" w:hAnsi="Times New Roman" w:eastAsia="宋体" w:cs="Times New Roman"/>
                      <w:b/>
                      <w:color w:val="000000" w:themeColor="text1"/>
                      <w:spacing w:val="0"/>
                      <w:kern w:val="21"/>
                      <w:position w:val="0"/>
                      <w:sz w:val="18"/>
                      <w:szCs w:val="18"/>
                      <w:vertAlign w:val="superscript"/>
                      <w14:textFill>
                        <w14:solidFill>
                          <w14:schemeClr w14:val="tx1"/>
                        </w14:solidFill>
                      </w14:textFill>
                    </w:rPr>
                    <w:t>3</w:t>
                  </w: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/a）</w:t>
                  </w:r>
                </w:p>
              </w:tc>
              <w:tc>
                <w:tcPr>
                  <w:tcW w:w="467" w:type="pct"/>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vertAlign w:val="subscript"/>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COD</w:t>
                  </w:r>
                </w:p>
              </w:tc>
              <w:tc>
                <w:tcPr>
                  <w:tcW w:w="450" w:type="pct"/>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vertAlign w:val="subscript"/>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BOD</w:t>
                  </w:r>
                  <w:r>
                    <w:rPr>
                      <w:rFonts w:hint="default" w:ascii="Times New Roman" w:hAnsi="Times New Roman" w:eastAsia="宋体" w:cs="Times New Roman"/>
                      <w:b/>
                      <w:color w:val="000000" w:themeColor="text1"/>
                      <w:spacing w:val="0"/>
                      <w:kern w:val="21"/>
                      <w:position w:val="0"/>
                      <w:sz w:val="18"/>
                      <w:szCs w:val="18"/>
                      <w:vertAlign w:val="subscript"/>
                      <w14:textFill>
                        <w14:solidFill>
                          <w14:schemeClr w14:val="tx1"/>
                        </w14:solidFill>
                      </w14:textFill>
                    </w:rPr>
                    <w:t>5</w:t>
                  </w:r>
                </w:p>
              </w:tc>
              <w:tc>
                <w:tcPr>
                  <w:tcW w:w="420" w:type="pct"/>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SS</w:t>
                  </w:r>
                </w:p>
              </w:tc>
              <w:tc>
                <w:tcPr>
                  <w:tcW w:w="420" w:type="pct"/>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氨氮</w:t>
                  </w:r>
                </w:p>
              </w:tc>
              <w:tc>
                <w:tcPr>
                  <w:tcW w:w="420" w:type="pct"/>
                  <w:tcBorders>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14:textFill>
                        <w14:solidFill>
                          <w14:schemeClr w14:val="tx1"/>
                        </w14:solidFill>
                      </w14:textFill>
                    </w:rPr>
                    <w:t>总磷</w:t>
                  </w:r>
                </w:p>
              </w:tc>
              <w:tc>
                <w:tcPr>
                  <w:tcW w:w="442" w:type="pct"/>
                  <w:tcBorders>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lang w:val="en-US" w:eastAsia="zh-CN"/>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lang w:val="en-US" w:eastAsia="zh-CN"/>
                      <w14:textFill>
                        <w14:solidFill>
                          <w14:schemeClr w14:val="tx1"/>
                        </w14:solidFill>
                      </w14:textFill>
                    </w:rPr>
                    <w:t>石油类</w:t>
                  </w:r>
                </w:p>
              </w:tc>
              <w:tc>
                <w:tcPr>
                  <w:tcW w:w="420" w:type="pct"/>
                  <w:tcBorders>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color w:val="000000" w:themeColor="text1"/>
                      <w:spacing w:val="0"/>
                      <w:kern w:val="21"/>
                      <w:position w:val="0"/>
                      <w:sz w:val="18"/>
                      <w:szCs w:val="18"/>
                      <w:lang w:val="en-US" w:eastAsia="zh-CN"/>
                      <w14:textFill>
                        <w14:solidFill>
                          <w14:schemeClr w14:val="tx1"/>
                        </w14:solidFill>
                      </w14:textFill>
                    </w:rPr>
                  </w:pPr>
                  <w:r>
                    <w:rPr>
                      <w:rFonts w:hint="default" w:ascii="Times New Roman" w:hAnsi="Times New Roman" w:eastAsia="宋体" w:cs="Times New Roman"/>
                      <w:b/>
                      <w:color w:val="000000" w:themeColor="text1"/>
                      <w:spacing w:val="0"/>
                      <w:kern w:val="21"/>
                      <w:position w:val="0"/>
                      <w:sz w:val="18"/>
                      <w:szCs w:val="18"/>
                      <w:lang w:val="en-US" w:eastAsia="zh-CN"/>
                      <w14:textFill>
                        <w14:solidFill>
                          <w14:schemeClr w14:val="tx1"/>
                        </w14:solidFill>
                      </w14:textFill>
                    </w:rPr>
                    <w:t>LAS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249" w:type="pct"/>
                  <w:vMerge w:val="restart"/>
                  <w:tcBorders>
                    <w:top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生活污水</w:t>
                  </w:r>
                </w:p>
              </w:tc>
              <w:tc>
                <w:tcPr>
                  <w:tcW w:w="46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预处理池处理前</w:t>
                  </w: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浓度（mg/L）</w:t>
                  </w:r>
                </w:p>
              </w:tc>
              <w:tc>
                <w:tcPr>
                  <w:tcW w:w="549"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4207.5</w:t>
                  </w: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325</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300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300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37.7</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4.28</w:t>
                  </w:r>
                </w:p>
              </w:tc>
              <w:tc>
                <w:tcPr>
                  <w:tcW w:w="442"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9" w:type="pct"/>
                  <w:vMerge w:val="continue"/>
                  <w:tcBorders>
                    <w:top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产生量（t/a）</w:t>
                  </w:r>
                </w:p>
              </w:tc>
              <w:tc>
                <w:tcPr>
                  <w:tcW w:w="549"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1.3674</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1.2623</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1.2623</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0.1586</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0.0180</w:t>
                  </w:r>
                </w:p>
              </w:tc>
              <w:tc>
                <w:tcPr>
                  <w:tcW w:w="442"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9" w:type="pct"/>
                  <w:vMerge w:val="continue"/>
                  <w:tcBorders>
                    <w:top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8" w:type="pct"/>
                  <w:vMerge w:val="restart"/>
                  <w:tcBorders>
                    <w:top w:val="single" w:color="auto" w:sz="6" w:space="0"/>
                    <w:left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预处理池处理后</w:t>
                  </w: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浓度（mg/L）</w:t>
                  </w:r>
                </w:p>
              </w:tc>
              <w:tc>
                <w:tcPr>
                  <w:tcW w:w="549" w:type="pct"/>
                  <w:vMerge w:val="restart"/>
                  <w:tcBorders>
                    <w:top w:val="single" w:color="auto" w:sz="6" w:space="0"/>
                    <w:left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4207.5</w:t>
                  </w: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276.25</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273</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210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36.57</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4.19</w:t>
                  </w:r>
                </w:p>
              </w:tc>
              <w:tc>
                <w:tcPr>
                  <w:tcW w:w="442"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9" w:type="pct"/>
                  <w:vMerge w:val="continue"/>
                  <w:tcBorders>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8" w:type="pct"/>
                  <w:vMerge w:val="continue"/>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排放量（t/a）</w:t>
                  </w:r>
                </w:p>
              </w:tc>
              <w:tc>
                <w:tcPr>
                  <w:tcW w:w="549" w:type="pct"/>
                  <w:vMerge w:val="continue"/>
                  <w:tcBorders>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1.4357</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1.1486</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0.8836</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0.1539</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0.0176</w:t>
                  </w:r>
                </w:p>
              </w:tc>
              <w:tc>
                <w:tcPr>
                  <w:tcW w:w="442"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249" w:type="pct"/>
                  <w:vMerge w:val="restart"/>
                  <w:tcBorders>
                    <w:top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脱脂-硅烷化废水</w:t>
                  </w:r>
                </w:p>
              </w:tc>
              <w:tc>
                <w:tcPr>
                  <w:tcW w:w="468" w:type="pct"/>
                  <w:vMerge w:val="restart"/>
                  <w:tcBorders>
                    <w:top w:val="single" w:color="auto" w:sz="6" w:space="0"/>
                    <w:left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污水站处理前</w:t>
                  </w: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浓度（mg/L）</w:t>
                  </w:r>
                </w:p>
              </w:tc>
              <w:tc>
                <w:tcPr>
                  <w:tcW w:w="549" w:type="pct"/>
                  <w:vMerge w:val="restart"/>
                  <w:tcBorders>
                    <w:top w:val="single" w:color="auto" w:sz="6" w:space="0"/>
                    <w:left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546.81</w:t>
                  </w: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1100</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500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42"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33.6</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 w:hRule="atLeast"/>
                <w:jc w:val="center"/>
              </w:trPr>
              <w:tc>
                <w:tcPr>
                  <w:tcW w:w="249" w:type="pct"/>
                  <w:vMerge w:val="continue"/>
                  <w:tcBorders>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8" w:type="pct"/>
                  <w:vMerge w:val="continue"/>
                  <w:tcBorders>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产生量（t/a）</w:t>
                  </w:r>
                </w:p>
              </w:tc>
              <w:tc>
                <w:tcPr>
                  <w:tcW w:w="549" w:type="pct"/>
                  <w:vMerge w:val="continue"/>
                  <w:tcBorders>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0.6015</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0.2734</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42"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0.0184</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0.0273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tcBorders>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污水站处理后</w:t>
                  </w: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浓度（mg/L）</w:t>
                  </w:r>
                </w:p>
              </w:tc>
              <w:tc>
                <w:tcPr>
                  <w:tcW w:w="549"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546.81</w:t>
                  </w: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440</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75</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42"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10.08</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9" w:type="pct"/>
                  <w:vMerge w:val="continue"/>
                  <w:tcBorders>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排放量（t/a）</w:t>
                  </w:r>
                </w:p>
              </w:tc>
              <w:tc>
                <w:tcPr>
                  <w:tcW w:w="549"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0.2734</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0.0410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w:t>
                  </w:r>
                </w:p>
              </w:tc>
              <w:tc>
                <w:tcPr>
                  <w:tcW w:w="442"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0.0055</w:t>
                  </w:r>
                </w:p>
              </w:tc>
              <w:tc>
                <w:tcPr>
                  <w:tcW w:w="420" w:type="pct"/>
                  <w:tcBorders>
                    <w:top w:val="single" w:color="auto" w:sz="6" w:space="0"/>
                    <w:left w:val="single" w:color="auto" w:sz="6" w:space="0"/>
                    <w:bottom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0.0041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718" w:type="pct"/>
                  <w:gridSpan w:val="2"/>
                  <w:vMerge w:val="restart"/>
                  <w:tcBorders>
                    <w:top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厂区总排口</w:t>
                  </w: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浓度（mg/L）</w:t>
                  </w:r>
                </w:p>
              </w:tc>
              <w:tc>
                <w:tcPr>
                  <w:tcW w:w="549" w:type="pct"/>
                  <w:vMerge w:val="restart"/>
                  <w:tcBorders>
                    <w:top w:val="single" w:color="auto" w:sz="6" w:space="0"/>
                    <w:left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4659.93</w:t>
                  </w: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301.98</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241.60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220.35</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32.36</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3.71</w:t>
                  </w:r>
                </w:p>
              </w:tc>
              <w:tc>
                <w:tcPr>
                  <w:tcW w:w="442"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1.16</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0.86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8" w:type="pct"/>
                  <w:gridSpan w:val="2"/>
                  <w:vMerge w:val="continue"/>
                  <w:tcBorders>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排放量（t/a）</w:t>
                  </w:r>
                </w:p>
              </w:tc>
              <w:tc>
                <w:tcPr>
                  <w:tcW w:w="549" w:type="pct"/>
                  <w:vMerge w:val="continue"/>
                  <w:tcBorders>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1.4357</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1.1486</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1.0476</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0.1539</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lang w:bidi="ar"/>
                      <w14:textFill>
                        <w14:solidFill>
                          <w14:schemeClr w14:val="tx1"/>
                        </w14:solidFill>
                      </w14:textFill>
                    </w:rPr>
                    <w:t>0.0176</w:t>
                  </w:r>
                </w:p>
              </w:tc>
              <w:tc>
                <w:tcPr>
                  <w:tcW w:w="442"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0.0055</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0.0051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957" w:type="pct"/>
                  <w:gridSpan w:val="4"/>
                  <w:tcBorders>
                    <w:top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园区大坝污水处理厂设计进水水质</w:t>
                  </w:r>
                </w:p>
              </w:tc>
              <w:tc>
                <w:tcPr>
                  <w:tcW w:w="46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500</w:t>
                  </w:r>
                </w:p>
              </w:tc>
              <w:tc>
                <w:tcPr>
                  <w:tcW w:w="45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300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400</w:t>
                  </w:r>
                </w:p>
              </w:tc>
              <w:tc>
                <w:tcPr>
                  <w:tcW w:w="42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40</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kern w:val="21"/>
                      <w:position w:val="0"/>
                      <w:sz w:val="18"/>
                      <w:szCs w:val="18"/>
                      <w14:textFill>
                        <w14:solidFill>
                          <w14:schemeClr w14:val="tx1"/>
                        </w14:solidFill>
                      </w14:textFill>
                    </w:rPr>
                    <w:t>8</w:t>
                  </w:r>
                </w:p>
              </w:tc>
              <w:tc>
                <w:tcPr>
                  <w:tcW w:w="442"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30</w:t>
                  </w:r>
                </w:p>
              </w:tc>
              <w:tc>
                <w:tcPr>
                  <w:tcW w:w="420" w:type="pct"/>
                  <w:tcBorders>
                    <w:top w:val="single" w:color="auto" w:sz="6" w:space="0"/>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snapToGrid w:val="0"/>
                    <w:spacing w:before="63" w:beforeLines="20" w:after="63"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20</w:t>
                  </w:r>
                </w:p>
              </w:tc>
            </w:tr>
          </w:tbl>
          <w:p>
            <w:pPr>
              <w:keepNext w:val="0"/>
              <w:keepLines w:val="0"/>
              <w:pageBreakBefore w:val="0"/>
              <w:widowControl/>
              <w:suppressLineNumbers w:val="0"/>
              <w:kinsoku/>
              <w:wordWrap/>
              <w:overflowPunct/>
              <w:topLinePunct w:val="0"/>
              <w:autoSpaceDE/>
              <w:autoSpaceDN/>
              <w:bidi w:val="0"/>
              <w:adjustRightInd/>
              <w:snapToGrid w:val="0"/>
              <w:spacing w:before="66" w:beforeLines="20" w:beforeAutospacing="0" w:after="66" w:afterLines="20" w:afterAutospacing="0" w:line="240" w:lineRule="auto"/>
              <w:ind w:left="0" w:right="0" w:firstLine="0" w:firstLineChars="0"/>
              <w:jc w:val="both"/>
              <w:textAlignment w:val="auto"/>
              <w:rPr>
                <w:rFonts w:hint="eastAsia" w:ascii="Times New Roman" w:hAnsi="Times New Roman" w:eastAsia="宋体" w:cs="Times New Roman"/>
                <w:b w:val="0"/>
                <w:bCs/>
                <w:color w:val="000000"/>
                <w:sz w:val="18"/>
                <w:szCs w:val="18"/>
                <w:highlight w:val="none"/>
                <w:lang w:eastAsia="zh-CN"/>
              </w:rPr>
            </w:pPr>
            <w:r>
              <w:rPr>
                <w:rFonts w:hint="default" w:ascii="Times New Roman" w:hAnsi="Times New Roman" w:eastAsia="宋体" w:cs="Times New Roman"/>
                <w:b/>
                <w:bCs/>
                <w:color w:val="000000"/>
                <w:spacing w:val="0"/>
                <w:kern w:val="0"/>
                <w:sz w:val="18"/>
                <w:szCs w:val="18"/>
                <w:lang w:val="en-US" w:eastAsia="zh-CN"/>
              </w:rPr>
              <w:t>注：</w:t>
            </w:r>
            <w:r>
              <w:rPr>
                <w:rFonts w:hint="eastAsia" w:ascii="Times New Roman" w:hAnsi="Times New Roman" w:eastAsia="宋体" w:cs="Times New Roman"/>
                <w:b w:val="0"/>
                <w:bCs w:val="0"/>
                <w:color w:val="000000"/>
                <w:spacing w:val="0"/>
                <w:kern w:val="0"/>
                <w:sz w:val="18"/>
                <w:szCs w:val="18"/>
                <w:lang w:val="en-US" w:eastAsia="zh-CN"/>
              </w:rPr>
              <w:t>1、</w:t>
            </w:r>
            <w:r>
              <w:rPr>
                <w:rFonts w:hint="default" w:ascii="等线" w:hAnsi="等线" w:eastAsia="宋体" w:cs="Times New Roman"/>
                <w:b w:val="0"/>
                <w:bCs/>
                <w:color w:val="000000"/>
                <w:sz w:val="18"/>
                <w:szCs w:val="18"/>
                <w:highlight w:val="none"/>
              </w:rPr>
              <w:t>年产</w:t>
            </w:r>
            <w:r>
              <w:rPr>
                <w:rFonts w:hint="default" w:ascii="Times New Roman" w:hAnsi="Times New Roman" w:eastAsia="宋体" w:cs="Times New Roman"/>
                <w:b w:val="0"/>
                <w:bCs/>
                <w:color w:val="000000"/>
                <w:sz w:val="18"/>
                <w:szCs w:val="18"/>
                <w:highlight w:val="none"/>
              </w:rPr>
              <w:t>生天数以3</w:t>
            </w:r>
            <w:r>
              <w:rPr>
                <w:rFonts w:hint="eastAsia" w:ascii="Times New Roman" w:hAnsi="Times New Roman" w:eastAsia="宋体" w:cs="Times New Roman"/>
                <w:b w:val="0"/>
                <w:bCs/>
                <w:color w:val="000000"/>
                <w:sz w:val="18"/>
                <w:szCs w:val="18"/>
                <w:highlight w:val="none"/>
                <w:lang w:val="en-US" w:eastAsia="zh-CN"/>
              </w:rPr>
              <w:t>0</w:t>
            </w:r>
            <w:r>
              <w:rPr>
                <w:rFonts w:hint="default" w:ascii="Times New Roman" w:hAnsi="Times New Roman" w:eastAsia="宋体" w:cs="Times New Roman"/>
                <w:b w:val="0"/>
                <w:bCs/>
                <w:color w:val="000000"/>
                <w:sz w:val="18"/>
                <w:szCs w:val="18"/>
                <w:highlight w:val="none"/>
              </w:rPr>
              <w:t>0d进行计算</w:t>
            </w:r>
            <w:r>
              <w:rPr>
                <w:rFonts w:hint="eastAsia" w:ascii="Times New Roman" w:hAnsi="Times New Roman" w:eastAsia="宋体" w:cs="Times New Roman"/>
                <w:b w:val="0"/>
                <w:bCs/>
                <w:color w:val="000000"/>
                <w:sz w:val="18"/>
                <w:szCs w:val="18"/>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val="0"/>
              <w:spacing w:before="66" w:beforeLines="20" w:beforeAutospacing="0" w:after="66" w:afterLines="20" w:afterAutospacing="0" w:line="240" w:lineRule="auto"/>
              <w:ind w:left="0" w:right="0" w:firstLine="360" w:firstLineChars="200"/>
              <w:jc w:val="both"/>
              <w:textAlignment w:val="auto"/>
              <w:rPr>
                <w:rFonts w:hint="default" w:ascii="Times New Roman" w:hAnsi="Times New Roman" w:eastAsia="宋体" w:cs="Times New Roman"/>
                <w:b w:val="0"/>
                <w:bCs w:val="0"/>
                <w:color w:val="000000"/>
                <w:spacing w:val="0"/>
                <w:kern w:val="0"/>
                <w:sz w:val="18"/>
                <w:szCs w:val="18"/>
                <w:lang w:val="en-US" w:eastAsia="zh-CN"/>
              </w:rPr>
            </w:pPr>
            <w:r>
              <w:rPr>
                <w:rFonts w:hint="eastAsia" w:ascii="Times New Roman" w:hAnsi="Times New Roman" w:eastAsia="宋体" w:cs="Times New Roman"/>
                <w:b w:val="0"/>
                <w:bCs/>
                <w:color w:val="000000"/>
                <w:sz w:val="18"/>
                <w:szCs w:val="18"/>
                <w:highlight w:val="none"/>
                <w:lang w:val="en-US" w:eastAsia="zh-CN"/>
              </w:rPr>
              <w:t>2、石油类、LAS执行</w:t>
            </w:r>
            <w:r>
              <w:rPr>
                <w:rFonts w:hint="default" w:ascii="Times New Roman" w:hAnsi="Times New Roman" w:eastAsia="宋体" w:cs="Times New Roman"/>
                <w:color w:val="000000"/>
                <w:spacing w:val="0"/>
                <w:kern w:val="21"/>
                <w:position w:val="0"/>
                <w:sz w:val="18"/>
                <w:szCs w:val="18"/>
                <w:highlight w:val="none"/>
              </w:rPr>
              <w:t>《污水综合排放标准》（</w:t>
            </w:r>
            <w:r>
              <w:rPr>
                <w:rFonts w:hint="default" w:ascii="Times New Roman" w:hAnsi="Times New Roman" w:eastAsia="Times New Roman" w:cs="Times New Roman"/>
                <w:color w:val="000000"/>
                <w:spacing w:val="0"/>
                <w:kern w:val="21"/>
                <w:position w:val="0"/>
                <w:sz w:val="18"/>
                <w:szCs w:val="18"/>
                <w:highlight w:val="none"/>
              </w:rPr>
              <w:t>GB 8978-1996</w:t>
            </w:r>
            <w:r>
              <w:rPr>
                <w:rFonts w:hint="default" w:ascii="Times New Roman" w:hAnsi="Times New Roman" w:eastAsia="宋体" w:cs="Times New Roman"/>
                <w:color w:val="000000"/>
                <w:spacing w:val="0"/>
                <w:kern w:val="21"/>
                <w:position w:val="0"/>
                <w:sz w:val="18"/>
                <w:szCs w:val="18"/>
                <w:highlight w:val="none"/>
              </w:rPr>
              <w:t>）三级标准</w:t>
            </w:r>
            <w:r>
              <w:rPr>
                <w:rFonts w:hint="default" w:ascii="Times New Roman" w:hAnsi="Times New Roman" w:eastAsia="宋体" w:cs="Times New Roman"/>
                <w:b w:val="0"/>
                <w:bCs/>
                <w:color w:val="000000"/>
                <w:sz w:val="18"/>
                <w:szCs w:val="18"/>
                <w:highlight w:val="none"/>
              </w:rPr>
              <w:t>。</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近期排水方案为废水经园区现有管网进入泉坝污水处理厂处理达到《城镇污水处理厂污染物排放标准》（GB</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18918-2002）一级A标后，尾水排入南河；</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4"/>
                <w14:textFill>
                  <w14:solidFill>
                    <w14:schemeClr w14:val="tx1"/>
                  </w14:solidFill>
                </w14:textFill>
              </w:rPr>
              <w:t>排放方案为经过园区拟新建的园区污水处理厂</w:t>
            </w:r>
            <w:r>
              <w:rPr>
                <w:rFonts w:ascii="Times New Roman" w:hAnsi="Times New Roman" w:eastAsia="宋体" w:cs="Times New Roman"/>
                <w:bCs/>
                <w:color w:val="000000" w:themeColor="text1"/>
                <w:spacing w:val="0"/>
                <w:kern w:val="21"/>
                <w:position w:val="0"/>
                <w:sz w:val="24"/>
                <w14:textFill>
                  <w14:solidFill>
                    <w14:schemeClr w14:val="tx1"/>
                  </w14:solidFill>
                </w14:textFill>
              </w:rPr>
              <w:t>处理，废水出水达到《四川省岷江、沱江流域水污染物排放标准》（DB</w:t>
            </w:r>
            <w:r>
              <w:rPr>
                <w:rFonts w:hint="eastAsia" w:ascii="Times New Roman" w:hAnsi="Times New Roman" w:eastAsia="宋体" w:cs="Times New Roman"/>
                <w:bCs/>
                <w:color w:val="000000" w:themeColor="text1"/>
                <w:spacing w:val="0"/>
                <w:kern w:val="21"/>
                <w:position w:val="0"/>
                <w:sz w:val="24"/>
                <w:lang w:val="en-US" w:eastAsia="zh-CN"/>
                <w14:textFill>
                  <w14:solidFill>
                    <w14:schemeClr w14:val="tx1"/>
                  </w14:solidFill>
                </w14:textFill>
              </w:rPr>
              <w:t xml:space="preserve"> </w:t>
            </w:r>
            <w:r>
              <w:rPr>
                <w:rFonts w:ascii="Times New Roman" w:hAnsi="Times New Roman" w:eastAsia="宋体" w:cs="Times New Roman"/>
                <w:bCs/>
                <w:color w:val="000000" w:themeColor="text1"/>
                <w:spacing w:val="0"/>
                <w:kern w:val="21"/>
                <w:position w:val="0"/>
                <w:sz w:val="24"/>
                <w14:textFill>
                  <w14:solidFill>
                    <w14:schemeClr w14:val="tx1"/>
                  </w14:solidFill>
                </w14:textFill>
              </w:rPr>
              <w:t>51/2311-2016）“城镇污水处理厂”排放标准后，尾水排入沙河，最终</w:t>
            </w:r>
            <w:r>
              <w:rPr>
                <w:rFonts w:ascii="Times New Roman" w:hAnsi="Times New Roman" w:eastAsia="宋体" w:cs="Times New Roman"/>
                <w:color w:val="000000" w:themeColor="text1"/>
                <w:spacing w:val="0"/>
                <w:kern w:val="21"/>
                <w:position w:val="0"/>
                <w:sz w:val="24"/>
                <w14:textFill>
                  <w14:solidFill>
                    <w14:schemeClr w14:val="tx1"/>
                  </w14:solidFill>
                </w14:textFill>
              </w:rPr>
              <w:t>汇入长滩河。两种排水方案下，本项目运营期废水污染物最终排放情况如下表所示。</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运营期生产废水污染物最终排放情况一览表</w:t>
            </w:r>
          </w:p>
          <w:tbl>
            <w:tblPr>
              <w:tblStyle w:val="4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8"/>
              <w:gridCol w:w="203"/>
              <w:gridCol w:w="2037"/>
              <w:gridCol w:w="684"/>
              <w:gridCol w:w="684"/>
              <w:gridCol w:w="684"/>
              <w:gridCol w:w="684"/>
              <w:gridCol w:w="684"/>
              <w:gridCol w:w="685"/>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2102" w:type="pct"/>
                  <w:gridSpan w:val="3"/>
                  <w:vAlign w:val="center"/>
                </w:tcPr>
                <w:p>
                  <w:pPr>
                    <w:pageBreakBefore w:val="0"/>
                    <w:kinsoku/>
                    <w:overflowPunct/>
                    <w:autoSpaceDE/>
                    <w:autoSpaceDN/>
                    <w:bidi w:val="0"/>
                    <w:adjustRightInd w:val="0"/>
                    <w:snapToGrid w:val="0"/>
                    <w:spacing w:before="62" w:beforeLines="20" w:after="62" w:afterLines="20"/>
                    <w:jc w:val="left"/>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排放浓度</w:t>
                  </w:r>
                </w:p>
                <w:p>
                  <w:pPr>
                    <w:pageBreakBefore w:val="0"/>
                    <w:tabs>
                      <w:tab w:val="left" w:pos="4380"/>
                    </w:tabs>
                    <w:kinsoku/>
                    <w:overflowPunct/>
                    <w:autoSpaceDE/>
                    <w:autoSpaceDN/>
                    <w:bidi w:val="0"/>
                    <w:adjustRightInd w:val="0"/>
                    <w:snapToGrid w:val="0"/>
                    <w:spacing w:before="62" w:beforeLines="20" w:after="62" w:afterLines="20"/>
                    <w:jc w:val="right"/>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废水污染物</w:t>
                  </w:r>
                </w:p>
              </w:tc>
              <w:tc>
                <w:tcPr>
                  <w:tcW w:w="4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COD</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BOD</w:t>
                  </w:r>
                  <w:r>
                    <w:rPr>
                      <w:rFonts w:ascii="Times New Roman" w:hAnsi="Times New Roman" w:eastAsia="宋体" w:cs="Times New Roman"/>
                      <w:b/>
                      <w:bCs/>
                      <w:color w:val="000000" w:themeColor="text1"/>
                      <w:spacing w:val="0"/>
                      <w:kern w:val="21"/>
                      <w:position w:val="0"/>
                      <w:sz w:val="21"/>
                      <w:szCs w:val="21"/>
                      <w:vertAlign w:val="subscript"/>
                      <w14:textFill>
                        <w14:solidFill>
                          <w14:schemeClr w14:val="tx1"/>
                        </w14:solidFill>
                      </w14:textFill>
                    </w:rPr>
                    <w:t>5</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氨氮</w:t>
                  </w:r>
                </w:p>
              </w:tc>
              <w:tc>
                <w:tcPr>
                  <w:tcW w:w="43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SS</w:t>
                  </w:r>
                </w:p>
              </w:tc>
              <w:tc>
                <w:tcPr>
                  <w:tcW w:w="4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 w:val="21"/>
                      <w:szCs w:val="21"/>
                      <w14:textFill>
                        <w14:solidFill>
                          <w14:schemeClr w14:val="tx1"/>
                        </w14:solidFill>
                      </w14:textFill>
                    </w:rPr>
                    <w:t>总磷</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石油类</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1"/>
                      <w:szCs w:val="21"/>
                      <w:lang w:val="en-US" w:eastAsia="zh-CN"/>
                      <w14:textFill>
                        <w14:solidFill>
                          <w14:schemeClr w14:val="tx1"/>
                        </w14:solidFill>
                      </w14:textFill>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102" w:type="pct"/>
                  <w:gridSpan w:val="3"/>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厂区总排口废水排放浓度（mg/L）</w:t>
                  </w:r>
                </w:p>
              </w:tc>
              <w:tc>
                <w:tcPr>
                  <w:tcW w:w="407"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301.98</w:t>
                  </w:r>
                </w:p>
              </w:tc>
              <w:tc>
                <w:tcPr>
                  <w:tcW w:w="374"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241.60</w:t>
                  </w:r>
                </w:p>
              </w:tc>
              <w:tc>
                <w:tcPr>
                  <w:tcW w:w="374"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220.35</w:t>
                  </w:r>
                </w:p>
              </w:tc>
              <w:tc>
                <w:tcPr>
                  <w:tcW w:w="437" w:type="pct"/>
                  <w:shd w:val="clear" w:color="auto" w:fill="auto"/>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32.36</w:t>
                  </w:r>
                </w:p>
              </w:tc>
              <w:tc>
                <w:tcPr>
                  <w:tcW w:w="440"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3.71</w:t>
                  </w:r>
                </w:p>
              </w:tc>
              <w:tc>
                <w:tcPr>
                  <w:tcW w:w="431" w:type="pct"/>
                  <w:vAlign w:val="center"/>
                </w:tcPr>
                <w:p>
                  <w:pPr>
                    <w:pageBreakBefore w:val="0"/>
                    <w:widowControl/>
                    <w:kinsoku/>
                    <w:overflowPunct/>
                    <w:autoSpaceDE/>
                    <w:autoSpaceDN/>
                    <w:bidi w:val="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1.16</w:t>
                  </w:r>
                </w:p>
              </w:tc>
              <w:tc>
                <w:tcPr>
                  <w:tcW w:w="431" w:type="pct"/>
                  <w:vAlign w:val="center"/>
                </w:tcPr>
                <w:p>
                  <w:pPr>
                    <w:pageBreakBefore w:val="0"/>
                    <w:widowControl/>
                    <w:kinsoku/>
                    <w:overflowPunct/>
                    <w:autoSpaceDE/>
                    <w:autoSpaceDN/>
                    <w:bidi w:val="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102" w:type="pct"/>
                  <w:gridSpan w:val="3"/>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园区污水管网接管标准（mg/L）</w:t>
                  </w:r>
                </w:p>
              </w:tc>
              <w:tc>
                <w:tcPr>
                  <w:tcW w:w="4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500</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300</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40</w:t>
                  </w:r>
                </w:p>
              </w:tc>
              <w:tc>
                <w:tcPr>
                  <w:tcW w:w="43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400</w:t>
                  </w:r>
                </w:p>
              </w:tc>
              <w:tc>
                <w:tcPr>
                  <w:tcW w:w="4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8</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30</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污水厂排口</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（废水量</w:t>
                  </w:r>
                  <w:r>
                    <w:rPr>
                      <w:rFonts w:hint="eastAsia" w:ascii="Times New Roman" w:hAnsi="Times New Roman" w:eastAsia="宋体" w:cs="Times New Roman"/>
                      <w:color w:val="000000" w:themeColor="text1"/>
                      <w:spacing w:val="0"/>
                      <w:kern w:val="21"/>
                      <w:position w:val="0"/>
                      <w:sz w:val="21"/>
                      <w:szCs w:val="21"/>
                      <w14:textFill>
                        <w14:solidFill>
                          <w14:schemeClr w14:val="tx1"/>
                        </w14:solidFill>
                      </w14:textFill>
                    </w:rPr>
                    <w:t>4754.31</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m³/a）</w:t>
                  </w:r>
                </w:p>
              </w:tc>
              <w:tc>
                <w:tcPr>
                  <w:tcW w:w="130"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近期方案</w:t>
                  </w:r>
                </w:p>
              </w:tc>
              <w:tc>
                <w:tcPr>
                  <w:tcW w:w="121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《城镇污水处理厂污染物排放标准》（GB18918-2002）一级A标（mg/L）</w:t>
                  </w:r>
                </w:p>
              </w:tc>
              <w:tc>
                <w:tcPr>
                  <w:tcW w:w="4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50</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10</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5</w:t>
                  </w:r>
                </w:p>
              </w:tc>
              <w:tc>
                <w:tcPr>
                  <w:tcW w:w="43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10</w:t>
                  </w:r>
                </w:p>
              </w:tc>
              <w:tc>
                <w:tcPr>
                  <w:tcW w:w="4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0.5</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1</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130"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121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最终排入南河（t/a）</w:t>
                  </w:r>
                </w:p>
              </w:tc>
              <w:tc>
                <w:tcPr>
                  <w:tcW w:w="407"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0.2377</w:t>
                  </w:r>
                </w:p>
              </w:tc>
              <w:tc>
                <w:tcPr>
                  <w:tcW w:w="374"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0.0475</w:t>
                  </w:r>
                </w:p>
              </w:tc>
              <w:tc>
                <w:tcPr>
                  <w:tcW w:w="374"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0.0238</w:t>
                  </w:r>
                </w:p>
              </w:tc>
              <w:tc>
                <w:tcPr>
                  <w:tcW w:w="437"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0.0475</w:t>
                  </w:r>
                </w:p>
              </w:tc>
              <w:tc>
                <w:tcPr>
                  <w:tcW w:w="440" w:type="pct"/>
                  <w:vAlign w:val="center"/>
                </w:tcPr>
                <w:p>
                  <w:pPr>
                    <w:pageBreakBefore w:val="0"/>
                    <w:widowControl/>
                    <w:kinsoku/>
                    <w:overflowPunct/>
                    <w:autoSpaceDE/>
                    <w:autoSpaceDN/>
                    <w:bidi w:val="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0.0024</w:t>
                  </w:r>
                </w:p>
              </w:tc>
              <w:tc>
                <w:tcPr>
                  <w:tcW w:w="431" w:type="pct"/>
                  <w:vAlign w:val="center"/>
                </w:tcPr>
                <w:p>
                  <w:pPr>
                    <w:pageBreakBefore w:val="0"/>
                    <w:widowControl/>
                    <w:kinsoku/>
                    <w:overflowPunct/>
                    <w:autoSpaceDE/>
                    <w:autoSpaceDN/>
                    <w:bidi w:val="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0.0048</w:t>
                  </w:r>
                </w:p>
              </w:tc>
              <w:tc>
                <w:tcPr>
                  <w:tcW w:w="431" w:type="pct"/>
                  <w:vAlign w:val="center"/>
                </w:tcPr>
                <w:p>
                  <w:pPr>
                    <w:pageBreakBefore w:val="0"/>
                    <w:widowControl/>
                    <w:kinsoku/>
                    <w:overflowPunct/>
                    <w:autoSpaceDE/>
                    <w:autoSpaceDN/>
                    <w:bidi w:val="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75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130"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方案</w:t>
                  </w:r>
                </w:p>
              </w:tc>
              <w:tc>
                <w:tcPr>
                  <w:tcW w:w="121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《四川省岷江、沱江流域水污染物排放标准》（DB51/2311-2016）城镇污水处理厂（mg/L）</w:t>
                  </w:r>
                </w:p>
              </w:tc>
              <w:tc>
                <w:tcPr>
                  <w:tcW w:w="40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30</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6</w:t>
                  </w:r>
                </w:p>
              </w:tc>
              <w:tc>
                <w:tcPr>
                  <w:tcW w:w="37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1.5</w:t>
                  </w:r>
                </w:p>
              </w:tc>
              <w:tc>
                <w:tcPr>
                  <w:tcW w:w="43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10</w:t>
                  </w:r>
                </w:p>
              </w:tc>
              <w:tc>
                <w:tcPr>
                  <w:tcW w:w="4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0.2</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1</w:t>
                  </w:r>
                </w:p>
              </w:tc>
              <w:tc>
                <w:tcPr>
                  <w:tcW w:w="431"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130"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p>
              </w:tc>
              <w:tc>
                <w:tcPr>
                  <w:tcW w:w="121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最终排入长滩河（t/a）</w:t>
                  </w:r>
                </w:p>
              </w:tc>
              <w:tc>
                <w:tcPr>
                  <w:tcW w:w="407"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0.1262</w:t>
                  </w:r>
                </w:p>
              </w:tc>
              <w:tc>
                <w:tcPr>
                  <w:tcW w:w="37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0.0252</w:t>
                  </w:r>
                </w:p>
              </w:tc>
              <w:tc>
                <w:tcPr>
                  <w:tcW w:w="37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0.0063</w:t>
                  </w:r>
                </w:p>
              </w:tc>
              <w:tc>
                <w:tcPr>
                  <w:tcW w:w="437"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0.0421</w:t>
                  </w:r>
                </w:p>
              </w:tc>
              <w:tc>
                <w:tcPr>
                  <w:tcW w:w="440"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t>0.0008</w:t>
                  </w:r>
                </w:p>
              </w:tc>
              <w:tc>
                <w:tcPr>
                  <w:tcW w:w="431" w:type="pct"/>
                  <w:vAlign w:val="center"/>
                </w:tcPr>
                <w:p>
                  <w:pPr>
                    <w:pageBreakBefore w:val="0"/>
                    <w:widowControl/>
                    <w:kinsoku/>
                    <w:overflowPunct/>
                    <w:autoSpaceDE/>
                    <w:autoSpaceDN/>
                    <w:bidi w:val="0"/>
                    <w:jc w:val="center"/>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0.0048</w:t>
                  </w:r>
                </w:p>
              </w:tc>
              <w:tc>
                <w:tcPr>
                  <w:tcW w:w="431" w:type="pct"/>
                  <w:vAlign w:val="center"/>
                </w:tcPr>
                <w:p>
                  <w:pPr>
                    <w:pageBreakBefore w:val="0"/>
                    <w:widowControl/>
                    <w:kinsoku/>
                    <w:overflowPunct/>
                    <w:autoSpaceDE/>
                    <w:autoSpaceDN/>
                    <w:bidi w:val="0"/>
                    <w:jc w:val="center"/>
                    <w:textAlignment w:val="auto"/>
                    <w:rPr>
                      <w:rFonts w:ascii="Times New Roman" w:hAnsi="Times New Roman" w:eastAsia="宋体" w:cs="Times New Roman"/>
                      <w:color w:val="000000" w:themeColor="text1"/>
                      <w:spacing w:val="0"/>
                      <w:kern w:val="21"/>
                      <w:position w:val="0"/>
                      <w:sz w:val="21"/>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00" w:type="pct"/>
                  <w:gridSpan w:val="10"/>
                  <w:vAlign w:val="center"/>
                </w:tcPr>
                <w:p>
                  <w:pPr>
                    <w:pageBreakBefore w:val="0"/>
                    <w:kinsoku/>
                    <w:overflowPunct/>
                    <w:autoSpaceDE/>
                    <w:autoSpaceDN/>
                    <w:bidi w:val="0"/>
                    <w:adjustRightInd w:val="0"/>
                    <w:snapToGrid w:val="0"/>
                    <w:spacing w:before="62" w:beforeLines="20" w:after="62" w:afterLines="20"/>
                    <w:jc w:val="both"/>
                    <w:textAlignment w:val="auto"/>
                    <w:rPr>
                      <w:rFonts w:ascii="Times New Roman" w:hAnsi="Times New Roman" w:eastAsia="宋体" w:cs="Times New Roman"/>
                      <w:color w:val="000000" w:themeColor="text1"/>
                      <w:spacing w:val="0"/>
                      <w:kern w:val="21"/>
                      <w:position w:val="0"/>
                      <w:sz w:val="21"/>
                      <w:szCs w:val="21"/>
                      <w14:textFill>
                        <w14:solidFill>
                          <w14:schemeClr w14:val="tx1"/>
                        </w14:solidFill>
                      </w14:textFill>
                    </w:rPr>
                  </w:pP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注：根据规划环评要求，</w:t>
                  </w:r>
                  <w:r>
                    <w:rPr>
                      <w:rFonts w:hint="eastAsia" w:ascii="Times New Roman" w:hAnsi="Times New Roman" w:eastAsia="宋体" w:cs="Times New Roman"/>
                      <w:color w:val="000000" w:themeColor="text1"/>
                      <w:spacing w:val="0"/>
                      <w:kern w:val="21"/>
                      <w:position w:val="0"/>
                      <w:sz w:val="21"/>
                      <w:szCs w:val="21"/>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1"/>
                      <w:szCs w:val="21"/>
                      <w14:textFill>
                        <w14:solidFill>
                          <w14:schemeClr w14:val="tx1"/>
                        </w14:solidFill>
                      </w14:textFill>
                    </w:rPr>
                    <w:t>园区污水处理厂其余指标满足《城镇污水处理厂污染物排放标准》（GB18918-2002）一级A标准。</w:t>
                  </w:r>
                </w:p>
              </w:tc>
            </w:tr>
          </w:tbl>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2、废水治理措施可行性及环境影响减缓措施有效性分析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由工程分析可知，本项目运营期废水主要为生活污水、脱脂-硅烷化废水、</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循环废水。其中</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循环废水循环使用，定期作为危废更换处置，不外排，仅有脱脂-硅烷化废水排入污水处理站生化处理后外排至园区污水管网。</w:t>
            </w:r>
          </w:p>
          <w:p>
            <w:pPr>
              <w:pageBreakBefore w:val="0"/>
              <w:widowControl/>
              <w:numPr>
                <w:ilvl w:val="0"/>
                <w:numId w:val="36"/>
              </w:numPr>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生活污水处理设施可行性分析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w:t>
            </w:r>
            <w:r>
              <w:rPr>
                <w:rFonts w:ascii="Times New Roman" w:hAnsi="Times New Roman" w:eastAsia="宋体" w:cs="Times New Roman"/>
                <w:bCs/>
                <w:color w:val="000000" w:themeColor="text1"/>
                <w:spacing w:val="0"/>
                <w:kern w:val="21"/>
                <w:position w:val="0"/>
                <w:sz w:val="24"/>
                <w14:textFill>
                  <w14:solidFill>
                    <w14:schemeClr w14:val="tx1"/>
                  </w14:solidFill>
                </w14:textFill>
              </w:rPr>
              <w:t>生活污水经厂区自建的预处理池（30m</w:t>
            </w:r>
            <w:r>
              <w:rPr>
                <w:rFonts w:ascii="Times New Roman" w:hAnsi="Times New Roman" w:eastAsia="宋体" w:cs="Times New Roman"/>
                <w:bCs/>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bCs/>
                <w:color w:val="000000" w:themeColor="text1"/>
                <w:spacing w:val="0"/>
                <w:kern w:val="21"/>
                <w:position w:val="0"/>
                <w:sz w:val="24"/>
                <w14:textFill>
                  <w14:solidFill>
                    <w14:schemeClr w14:val="tx1"/>
                  </w14:solidFill>
                </w14:textFill>
              </w:rPr>
              <w:t>）处理后排入园区污</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水管网。本项目</w:t>
            </w:r>
            <w:r>
              <w:rPr>
                <w:rFonts w:ascii="Times New Roman" w:hAnsi="Times New Roman" w:eastAsia="宋体" w:cs="Times New Roman"/>
                <w:bCs/>
                <w:color w:val="000000" w:themeColor="text1"/>
                <w:spacing w:val="0"/>
                <w:kern w:val="21"/>
                <w:position w:val="0"/>
                <w:sz w:val="24"/>
                <w14:textFill>
                  <w14:solidFill>
                    <w14:schemeClr w14:val="tx1"/>
                  </w14:solidFill>
                </w14:textFill>
              </w:rPr>
              <w:t>生活污水</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产生量较少，污染物成分简单，预处理池处理能力能够接纳本项目产生的废水。</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（2）污水处理站</w:t>
            </w:r>
            <w:r>
              <w:rPr>
                <w:rFonts w:ascii="Times New Roman" w:hAnsi="Times New Roman" w:eastAsia="宋体" w:cs="Times New Roman"/>
                <w:b/>
                <w:bCs/>
                <w:color w:val="000000" w:themeColor="text1"/>
                <w:spacing w:val="0"/>
                <w:kern w:val="21"/>
                <w:position w:val="0"/>
                <w:sz w:val="24"/>
                <w14:textFill>
                  <w14:solidFill>
                    <w14:schemeClr w14:val="tx1"/>
                  </w14:solidFill>
                </w14:textFill>
              </w:rPr>
              <w:t>可行性分析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本项目厂区污水处理站设计工艺单元包括：</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隔油池、</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调</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节池、沉淀池等。</w:t>
            </w:r>
            <w:r>
              <w:rPr>
                <w:rFonts w:ascii="Times New Roman" w:hAnsi="Times New Roman" w:eastAsia="宋体" w:cs="Times New Roman"/>
                <w:bCs/>
                <w:color w:val="000000" w:themeColor="text1"/>
                <w:spacing w:val="0"/>
                <w:kern w:val="21"/>
                <w:position w:val="0"/>
                <w:sz w:val="24"/>
                <w14:textFill>
                  <w14:solidFill>
                    <w14:schemeClr w14:val="tx1"/>
                  </w14:solidFill>
                </w14:textFill>
              </w:rPr>
              <w:t>考虑到本项目的各方面情况和综合比较各类工艺的优缺点，经优化选型，决定采用</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一种成熟、易操作管理的处</w:t>
            </w:r>
            <w:r>
              <w:rPr>
                <w:rFonts w:ascii="Times New Roman" w:hAnsi="Times New Roman" w:eastAsia="宋体" w:cs="Times New Roman"/>
                <w:color w:val="000000" w:themeColor="text1"/>
                <w:spacing w:val="0"/>
                <w:kern w:val="21"/>
                <w:position w:val="0"/>
                <w:sz w:val="24"/>
                <w14:textFill>
                  <w14:solidFill>
                    <w14:schemeClr w14:val="tx1"/>
                  </w14:solidFill>
                </w14:textFill>
              </w:rPr>
              <w:t>理工艺</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以</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隔油+pH调节+混凝气浮+混凝沉淀</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作为本项目废水处理的</w:t>
            </w:r>
            <w:r>
              <w:rPr>
                <w:rFonts w:ascii="Times New Roman" w:hAnsi="Times New Roman" w:eastAsia="宋体" w:cs="Times New Roman"/>
                <w:color w:val="000000" w:themeColor="text1"/>
                <w:spacing w:val="0"/>
                <w:kern w:val="21"/>
                <w:position w:val="0"/>
                <w:sz w:val="24"/>
                <w14:textFill>
                  <w14:solidFill>
                    <w14:schemeClr w14:val="tx1"/>
                  </w14:solidFill>
                </w14:textFill>
              </w:rPr>
              <w:t>主体工艺。</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color w:val="000000" w:themeColor="text1"/>
                <w:kern w:val="21"/>
                <w:sz w:val="24"/>
                <w14:textFill>
                  <w14:solidFill>
                    <w14:schemeClr w14:val="tx1"/>
                  </w14:solidFill>
                </w14:textFill>
              </w:rPr>
              <w:t>污水处理工艺</w:t>
            </w:r>
            <w:r>
              <w:rPr>
                <w:rFonts w:hint="eastAsia"/>
                <w:color w:val="000000" w:themeColor="text1"/>
                <w:kern w:val="21"/>
                <w:sz w:val="24"/>
                <w:lang w:val="en-US" w:eastAsia="zh-CN"/>
                <w14:textFill>
                  <w14:solidFill>
                    <w14:schemeClr w14:val="tx1"/>
                  </w14:solidFill>
                </w14:textFill>
              </w:rPr>
              <w:t>见</w:t>
            </w:r>
            <w:r>
              <w:rPr>
                <w:color w:val="000000" w:themeColor="text1"/>
                <w:kern w:val="21"/>
                <w:sz w:val="24"/>
                <w14:textFill>
                  <w14:solidFill>
                    <w14:schemeClr w14:val="tx1"/>
                  </w14:solidFill>
                </w14:textFill>
              </w:rPr>
              <w:t>下图。</w:t>
            </w:r>
          </w:p>
          <w:p>
            <w:pPr>
              <w:keepNext w:val="0"/>
              <w:keepLines w:val="0"/>
              <w:pageBreakBefore w:val="0"/>
              <w:widowControl/>
              <w:kinsoku/>
              <w:wordWrap/>
              <w:overflowPunct/>
              <w:topLinePunct w:val="0"/>
              <w:autoSpaceDE/>
              <w:autoSpaceDN/>
              <w:bidi w:val="0"/>
              <w:snapToGrid w:val="0"/>
              <w:spacing w:before="63" w:beforeLines="20" w:after="63" w:afterLines="20" w:line="240" w:lineRule="auto"/>
              <w:ind w:left="0" w:firstLine="0" w:firstLineChars="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color w:val="000000" w:themeColor="text1"/>
                <w:kern w:val="21"/>
                <w14:textFill>
                  <w14:solidFill>
                    <w14:schemeClr w14:val="tx1"/>
                  </w14:solidFill>
                </w14:textFill>
              </w:rPr>
              <w:object>
                <v:shape id="_x0000_i1044" o:spt="75" type="#_x0000_t75" style="height:96.85pt;width:410.95pt;" o:ole="t" filled="f" o:preferrelative="t" stroked="f" coordsize="21600,21600">
                  <v:path/>
                  <v:fill on="f" focussize="0,0"/>
                  <v:stroke on="f"/>
                  <v:imagedata r:id="rId62" o:title=""/>
                  <o:lock v:ext="edit" aspectratio="t"/>
                  <w10:wrap type="none"/>
                  <w10:anchorlock/>
                </v:shape>
                <o:OLEObject Type="Embed" ProgID="Visio.Drawing.15" ShapeID="_x0000_i1044" DrawAspect="Content" ObjectID="_1468075744" r:id="rId61">
                  <o:LockedField>false</o:LockedField>
                </o:OLEObject>
              </w:object>
            </w:r>
          </w:p>
          <w:p>
            <w:pPr>
              <w:keepNext w:val="0"/>
              <w:keepLines w:val="0"/>
              <w:pageBreakBefore w:val="0"/>
              <w:widowControl/>
              <w:numPr>
                <w:ilvl w:val="0"/>
                <w:numId w:val="35"/>
              </w:numPr>
              <w:kinsoku/>
              <w:wordWrap/>
              <w:overflowPunct/>
              <w:topLinePunct w:val="0"/>
              <w:autoSpaceDE/>
              <w:autoSpaceDN/>
              <w:bidi w:val="0"/>
              <w:adjustRightInd w:val="0"/>
              <w:snapToGrid w:val="0"/>
              <w:spacing w:before="63" w:beforeLines="20" w:after="63" w:afterLines="20" w:line="240" w:lineRule="auto"/>
              <w:ind w:left="0" w:firstLine="0" w:firstLineChars="0"/>
              <w:jc w:val="center"/>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color w:val="000000" w:themeColor="text1"/>
                <w:spacing w:val="0"/>
                <w:kern w:val="21"/>
                <w:position w:val="0"/>
                <w:szCs w:val="21"/>
                <w:lang w:val="en-US" w:eastAsia="zh-CN"/>
                <w14:textFill>
                  <w14:solidFill>
                    <w14:schemeClr w14:val="tx1"/>
                  </w14:solidFill>
                </w14:textFill>
              </w:rPr>
              <w:t>废水处理工艺</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①隔油池：</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由于脱脂槽液中的石油类浓度较大，且不定期排放，因此设置隔油池进行隔油处理。隔油池具有隔油、沉渣的作用，同时去除部分COD和悬浮物。</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②调节池：</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脱脂废水、清洗废水一起流至调节池中，起到水质、水量均化的作用。</w:t>
            </w:r>
          </w:p>
          <w:p>
            <w:pPr>
              <w:pageBreakBefore w:val="0"/>
              <w:kinsoku/>
              <w:overflowPunct/>
              <w:autoSpaceDE/>
              <w:autoSpaceDN/>
              <w:bidi w:val="0"/>
              <w:spacing w:line="360" w:lineRule="auto"/>
              <w:ind w:firstLine="481" w:firstLineChars="200"/>
              <w:textAlignment w:val="auto"/>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③</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混凝反应：</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通过调整水体的pH值来促进</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混凝反应</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。投药过程中可通过液面处的pH监测装置查看pH值，然后开启阀门投加PAM作絮凝剂，利用絮凝剂的吸附架桥作用来快速去除废水中的污染物。</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④</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气浮</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废水</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进入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气浮机，空气通过泵送到气浮机的压力罐，在0.5mpa压力下，空气瞬间释放，被强制溶解在水中，形成大量</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致</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密的微气泡群，在水中缓慢上升过程中吸附水中悬浮物，使水中不溶解水的有机物，改变为溶于水的无机物，密度下降而上浮，达到去除悬浮物SS和COD、石油类等的目的。浮在水面的杂物通过刮板，刮到排渣口。</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⑤混凝</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沉淀：</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向污水中投加PAM絮凝剂，进一步絮凝沉淀污水中胶体及较大颗粒悬浮物，采用斜板沉淀。通过药剂或机械作用使水中悬浮微粒集聚变大，或形成絮团，从而加快粒子的聚沉，达到固-液分离的目的</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通过药剂或机械作用使水中原有胶体或溶解的有机物失稳，形成小颗粒，再进一步</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加药</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形成絮团，形成固相沉降，从而与水相分离。达到去除悬浮物SS和COD、石油类等的目的。沉淀下来的污泥经危废鉴定后根据鉴定结果处理。</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根据《有机化工废水处理新技术》</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乌锡康编</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用混凝-气浮法处理含油废水</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COD值15000mg/</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、pH值8~10</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氯化钠3%</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，在pH值为6</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回流比为30%、停留时间为40min，水气比为1:03时，COD的去除率可达80%</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。同时根据废水处理设备方提供资料以及类比同类企业，混凝气浮工艺COD、SS、石油类去除效率为60-80%。</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工程实例：</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江苏小牛自动化设备有限公司智能装备项目前处理工艺为预脱脂-脱脂-脱脂水洗-硅烷化-硅烷化水洗，污水处理设施进水为生产废水（预脱脂废水、脱脂废水、脱脂水洗废水、硅烷化废水、硅烷化水洗废水），污水处理设施工艺为“混凝气浮-混凝斜板沉淀-过滤”，出水满足《污水综合排放标准》（GB8978-1996）中的三级标准。</w:t>
            </w:r>
          </w:p>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根据《</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排污</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许可证申请与核发技术规范 家具制造工业</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（HJ 1027</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2019）</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中表5排污单位废水类别、污染物种类及污染防治设施一览表，金属家具前处理冲洗水的废水处理可行性技术有除油、沉淀、过滤、好氧、水解酸化-好氧、混凝沉淀等，因此本项目生产废水采用</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隔油+pH调节+混凝气浮+混凝沉淀</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属于可行技术，故本项目废水处理措施可行。</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3、污水处理措施依托可行性分析</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生产废水及生活污水经厂区污水处理站预处理之后进入园区污水管网，根据规划环评内容，园区拟建污水处理厂尚未投运，目前园区入驻企业废水均经过园区管网引入泉坝污水处理厂处理后达标排放。根据园区排水现状及规划，本项目污水排放方案分为近期及</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4"/>
                <w14:textFill>
                  <w14:solidFill>
                    <w14:schemeClr w14:val="tx1"/>
                  </w14:solidFill>
                </w14:textFill>
              </w:rPr>
              <w:t>方案，近期方案废水去向为：厂区排口→园区管网→泉坝污水处理厂→南河；</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4"/>
                <w14:textFill>
                  <w14:solidFill>
                    <w14:schemeClr w14:val="tx1"/>
                  </w14:solidFill>
                </w14:textFill>
              </w:rPr>
              <w:t>方案废水去向为：厂区排口→园区管网→园区污水处理厂→沙河→长滩河。</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泉坝污水处理厂位于四川省广元市昭化区元坝镇泉坝村，目前泉坝污水处理厂日处理能力在10000m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/d左右，按照日处理能力的30%处理工业污水，其共能容纳3000m</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/d工业污水，</w:t>
            </w:r>
            <w:r>
              <w:rPr>
                <w:rFonts w:ascii="Times New Roman" w:hAnsi="Times New Roman" w:eastAsia="宋体" w:cs="Times New Roman"/>
                <w:color w:val="000000" w:themeColor="text1"/>
                <w:spacing w:val="0"/>
                <w:kern w:val="21"/>
                <w:position w:val="0"/>
                <w:sz w:val="24"/>
                <w14:textFill>
                  <w14:solidFill>
                    <w14:schemeClr w14:val="tx1"/>
                  </w14:solidFill>
                </w14:textFill>
              </w:rPr>
              <w:t>污水处理工段名称为BAF生物曝气工艺，</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主要处理工艺为“进水口-粗格栅-提升泵-细格栅-沉砂池-沉淀池-厌氧池-超细格栅-曝气池-回流池-清水池-出水口”，尾水经处理达到《城镇污水处理厂污染物排放标准》（GB 18918-2002）的一级A标准后排入南河。</w:t>
            </w:r>
            <w:r>
              <w:rPr>
                <w:rFonts w:ascii="Times New Roman" w:hAnsi="Times New Roman" w:eastAsia="宋体" w:cs="Times New Roman"/>
                <w:color w:val="000000" w:themeColor="text1"/>
                <w:spacing w:val="0"/>
                <w:kern w:val="21"/>
                <w:position w:val="0"/>
                <w:sz w:val="24"/>
                <w14:textFill>
                  <w14:solidFill>
                    <w14:schemeClr w14:val="tx1"/>
                  </w14:solidFill>
                </w14:textFill>
              </w:rPr>
              <w:t>目前泉坝污水处理厂已容纳700m³/d工业污水，剩余工业污水容纳量控制在1500m³/d~2300m³/d。</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本项目生活污水经预处理池预处理达园区污水处理厂设计进水水质，</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脱脂-硅烷化废水</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经污水处理站处理后一并排入泉坝污水处理厂处理达到《城镇污水处理厂污染物排放标准》（GB 18918-2002）的一级A标准后外排南河，项目废水不涉及有毒有害特征污染物，不会对污水处理厂造成影响，废水能够做到稳定达标排放。因此，本项目废水处理可行，废水经园区污水管网排至泉坝污水处理厂，污水治理措施有效，可做到达标排放，污水排放去向合理。</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4、环境影响分析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本项目废水经处理达园区污水处理厂设计进水水质后，由工业园区污水管网</w:t>
            </w:r>
            <w:r>
              <w:rPr>
                <w:rFonts w:ascii="Times New Roman" w:hAnsi="Times New Roman" w:eastAsia="宋体" w:cs="Times New Roman"/>
                <w:b/>
                <w:bCs/>
                <w:color w:val="000000" w:themeColor="text1"/>
                <w:spacing w:val="0"/>
                <w:kern w:val="21"/>
                <w:position w:val="0"/>
                <w:sz w:val="24"/>
                <w14:textFill>
                  <w14:solidFill>
                    <w14:schemeClr w14:val="tx1"/>
                  </w14:solidFill>
                </w14:textFill>
              </w:rPr>
              <w:t>近期</w:t>
            </w:r>
            <w:r>
              <w:rPr>
                <w:rFonts w:ascii="Times New Roman" w:hAnsi="Times New Roman" w:eastAsia="宋体" w:cs="Times New Roman"/>
                <w:bCs/>
                <w:color w:val="000000" w:themeColor="text1"/>
                <w:spacing w:val="0"/>
                <w:kern w:val="21"/>
                <w:position w:val="0"/>
                <w:sz w:val="24"/>
                <w14:textFill>
                  <w14:solidFill>
                    <w14:schemeClr w14:val="tx1"/>
                  </w14:solidFill>
                </w14:textFill>
              </w:rPr>
              <w:t>排入泉坝污水处理厂处理达《城镇污水处理厂污染物排放标准》（GB18918-2002）一级A标准，尾水排入南河；</w:t>
            </w:r>
            <w:r>
              <w:rPr>
                <w:rFonts w:hint="eastAsia" w:ascii="Times New Roman" w:hAnsi="Times New Roman" w:eastAsia="宋体" w:cs="Times New Roman"/>
                <w:b/>
                <w:color w:val="000000" w:themeColor="text1"/>
                <w:spacing w:val="0"/>
                <w:kern w:val="21"/>
                <w:position w:val="0"/>
                <w:sz w:val="24"/>
                <w:lang w:eastAsia="zh-CN"/>
                <w14:textFill>
                  <w14:solidFill>
                    <w14:schemeClr w14:val="tx1"/>
                  </w14:solidFill>
                </w14:textFill>
              </w:rPr>
              <w:t>远期</w:t>
            </w:r>
            <w:r>
              <w:rPr>
                <w:rFonts w:ascii="Times New Roman" w:hAnsi="Times New Roman" w:eastAsia="宋体" w:cs="Times New Roman"/>
                <w:color w:val="000000" w:themeColor="text1"/>
                <w:spacing w:val="0"/>
                <w:kern w:val="21"/>
                <w:position w:val="0"/>
                <w:sz w:val="24"/>
                <w14:textFill>
                  <w14:solidFill>
                    <w14:schemeClr w14:val="tx1"/>
                  </w14:solidFill>
                </w14:textFill>
              </w:rPr>
              <w:t>通过管网进入园区拟新建的园区污水处理厂（启动区大坝污水处理厂）处理</w:t>
            </w:r>
            <w:r>
              <w:rPr>
                <w:rFonts w:ascii="Times New Roman" w:hAnsi="Times New Roman" w:eastAsia="宋体" w:cs="Times New Roman"/>
                <w:bCs/>
                <w:color w:val="000000" w:themeColor="text1"/>
                <w:spacing w:val="0"/>
                <w:kern w:val="21"/>
                <w:position w:val="0"/>
                <w:sz w:val="24"/>
                <w14:textFill>
                  <w14:solidFill>
                    <w14:schemeClr w14:val="tx1"/>
                  </w14:solidFill>
                </w14:textFill>
              </w:rPr>
              <w:t>达</w:t>
            </w:r>
            <w:r>
              <w:rPr>
                <w:rFonts w:ascii="Times New Roman" w:hAnsi="Times New Roman" w:eastAsia="宋体" w:cs="Times New Roman"/>
                <w:color w:val="000000" w:themeColor="text1"/>
                <w:spacing w:val="0"/>
                <w:kern w:val="21"/>
                <w:position w:val="0"/>
                <w:sz w:val="24"/>
                <w14:textFill>
                  <w14:solidFill>
                    <w14:schemeClr w14:val="tx1"/>
                  </w14:solidFill>
                </w14:textFill>
              </w:rPr>
              <w:t>《四川省岷江、沱江流域水污染物排放标准》（DB51/2311-2016）中“城镇污水处理厂”污染物浓度排放限值后尾水排入沙河</w:t>
            </w:r>
            <w:r>
              <w:rPr>
                <w:rFonts w:ascii="Times New Roman" w:hAnsi="Times New Roman" w:eastAsia="宋体" w:cs="Times New Roman"/>
                <w:bCs/>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本项目位于绿色家居产业城，项目所涉河流为后头河，汇流关系为后头河-长滩河-南河。根据广元市生态环境局于</w:t>
            </w:r>
            <w:r>
              <w:rPr>
                <w:rFonts w:ascii="Times New Roman" w:hAnsi="Times New Roman" w:eastAsia="宋体" w:cs="Times New Roman"/>
                <w:color w:val="000000" w:themeColor="text1"/>
                <w:spacing w:val="0"/>
                <w:kern w:val="21"/>
                <w:position w:val="0"/>
                <w:sz w:val="24"/>
                <w14:textFill>
                  <w14:solidFill>
                    <w14:schemeClr w14:val="tx1"/>
                  </w14:solidFill>
                </w14:textFill>
              </w:rPr>
              <w:t>2024年8月7日公布的《2024年7月广元市地表水水质状况》</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中南河断面水质监测结果，受纳水体南河满足规定的水质功能区划，具体情况见下表。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南河水质情况表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1615"/>
              <w:gridCol w:w="2125"/>
              <w:gridCol w:w="1710"/>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水系</w:t>
                  </w:r>
                </w:p>
              </w:tc>
              <w:tc>
                <w:tcPr>
                  <w:tcW w:w="9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河流</w:t>
                  </w:r>
                </w:p>
              </w:tc>
              <w:tc>
                <w:tcPr>
                  <w:tcW w:w="12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断面名称</w:t>
                  </w:r>
                </w:p>
              </w:tc>
              <w:tc>
                <w:tcPr>
                  <w:tcW w:w="100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河流划定类别</w:t>
                  </w:r>
                </w:p>
              </w:tc>
              <w:tc>
                <w:tcPr>
                  <w:tcW w:w="92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本月实测类别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61"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嘉陵江水系</w:t>
                  </w:r>
                </w:p>
              </w:tc>
              <w:tc>
                <w:tcPr>
                  <w:tcW w:w="952"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南河</w:t>
                  </w:r>
                </w:p>
              </w:tc>
              <w:tc>
                <w:tcPr>
                  <w:tcW w:w="12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荣山</w:t>
                  </w:r>
                </w:p>
              </w:tc>
              <w:tc>
                <w:tcPr>
                  <w:tcW w:w="1705" w:type="dxa"/>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Ⅲ类</w:t>
                  </w:r>
                </w:p>
              </w:tc>
              <w:tc>
                <w:tcPr>
                  <w:tcW w:w="1562" w:type="dxa"/>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font-size:10.5pt;" w:cs="Times New Roman"/>
                      <w:color w:val="000000" w:themeColor="text1"/>
                      <w:spacing w:val="0"/>
                      <w:kern w:val="21"/>
                      <w:position w:val="0"/>
                      <w:szCs w:val="21"/>
                      <w:shd w:val="clear" w:color="auto" w:fill="FFFFFF"/>
                      <w14:textFill>
                        <w14:solidFill>
                          <w14:schemeClr w14:val="tx1"/>
                        </w14:solidFill>
                      </w14:textFill>
                    </w:rPr>
                    <w:t>Ⅰ</w:t>
                  </w:r>
                  <w:r>
                    <w:rPr>
                      <w:rFonts w:ascii="Times New Roman" w:hAnsi="Times New Roman" w:eastAsia="宋体" w:cs="Times New Roman"/>
                      <w:color w:val="000000" w:themeColor="text1"/>
                      <w:spacing w:val="0"/>
                      <w:kern w:val="21"/>
                      <w:position w:val="0"/>
                      <w:szCs w:val="21"/>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61" w:type="pct"/>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p>
              </w:tc>
              <w:tc>
                <w:tcPr>
                  <w:tcW w:w="952" w:type="pct"/>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p>
              </w:tc>
              <w:tc>
                <w:tcPr>
                  <w:tcW w:w="12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南渡</w:t>
                  </w:r>
                </w:p>
              </w:tc>
              <w:tc>
                <w:tcPr>
                  <w:tcW w:w="1705" w:type="dxa"/>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Ⅲ类</w:t>
                  </w:r>
                </w:p>
              </w:tc>
              <w:tc>
                <w:tcPr>
                  <w:tcW w:w="1562" w:type="dxa"/>
                  <w:tcBorders>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仿宋" w:cs="Times New Roman"/>
                      <w:color w:val="000000" w:themeColor="text1"/>
                      <w:spacing w:val="0"/>
                      <w:kern w:val="21"/>
                      <w:position w:val="0"/>
                      <w:szCs w:val="21"/>
                      <w14:textFill>
                        <w14:solidFill>
                          <w14:schemeClr w14:val="tx1"/>
                        </w14:solidFill>
                      </w14:textFill>
                    </w:rPr>
                    <w:t>Ⅱ</w:t>
                  </w:r>
                  <w:r>
                    <w:rPr>
                      <w:rFonts w:ascii="Times New Roman" w:hAnsi="Times New Roman" w:eastAsia="宋体" w:cs="Times New Roman"/>
                      <w:color w:val="000000" w:themeColor="text1"/>
                      <w:spacing w:val="0"/>
                      <w:kern w:val="21"/>
                      <w:position w:val="0"/>
                      <w:szCs w:val="21"/>
                      <w14:textFill>
                        <w14:solidFill>
                          <w14:schemeClr w14:val="tx1"/>
                        </w14:solidFill>
                      </w14:textFill>
                    </w:rPr>
                    <w:t>类</w:t>
                  </w:r>
                </w:p>
              </w:tc>
            </w:tr>
          </w:tbl>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因此，项目所在地地表水达到了《地表水环境质量标准》（GB 3838-2002）中的</w:t>
            </w:r>
            <w:r>
              <w:rPr>
                <w:rFonts w:ascii="Times New Roman" w:hAnsi="Times New Roman" w:eastAsia="仿宋" w:cs="Times New Roman"/>
                <w:color w:val="000000" w:themeColor="text1"/>
                <w:spacing w:val="0"/>
                <w:kern w:val="21"/>
                <w:position w:val="0"/>
                <w:sz w:val="24"/>
                <w:lang w:bidi="ar"/>
                <w14:textFill>
                  <w14:solidFill>
                    <w14:schemeClr w14:val="tx1"/>
                  </w14:solidFill>
                </w14:textFill>
              </w:rPr>
              <w:t>Ⅲ</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类标准，地表水水质较好。</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综上所述，本项目地表水所产生的废水不会对项目所在地区域地表水造成环境影响。</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5、废水自行监测计划</w:t>
            </w:r>
          </w:p>
          <w:p>
            <w:pPr>
              <w:pageBreakBefore w:val="0"/>
              <w:widowControl/>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根据《排污单位自行监测技术指南 总则》（HJ 819-2017），</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参考《排污单位自行监测技术指南 涂装》（HJ 1086-2020），</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本项目监测要求及监测布点情况如下：</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废水环境管理与监测计划一览表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196"/>
              <w:gridCol w:w="1121"/>
              <w:gridCol w:w="2057"/>
              <w:gridCol w:w="1253"/>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类型</w:t>
                  </w:r>
                </w:p>
              </w:tc>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污染源</w:t>
                  </w:r>
                </w:p>
              </w:tc>
              <w:tc>
                <w:tcPr>
                  <w:tcW w:w="6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监测点位</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监测指标</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监测频次</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0"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废水</w:t>
                  </w:r>
                </w:p>
              </w:tc>
              <w:tc>
                <w:tcPr>
                  <w:tcW w:w="706"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生活污水、脱脂-硅烷化废水</w:t>
                  </w:r>
                </w:p>
              </w:tc>
              <w:tc>
                <w:tcPr>
                  <w:tcW w:w="661"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厂区废水</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总</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排放口</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COD、BOD</w:t>
                  </w:r>
                  <w:r>
                    <w:rPr>
                      <w:rFonts w:ascii="Times New Roman" w:hAnsi="Times New Roman" w:eastAsia="宋体" w:cs="Times New Roman"/>
                      <w:color w:val="000000" w:themeColor="text1"/>
                      <w:spacing w:val="0"/>
                      <w:kern w:val="21"/>
                      <w:position w:val="0"/>
                      <w:szCs w:val="21"/>
                      <w:vertAlign w:val="subscript"/>
                      <w:lang w:bidi="ar"/>
                      <w14:textFill>
                        <w14:solidFill>
                          <w14:schemeClr w14:val="tx1"/>
                        </w14:solidFill>
                      </w14:textFill>
                    </w:rPr>
                    <w:t>5</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、NH</w:t>
                  </w:r>
                  <w:r>
                    <w:rPr>
                      <w:rFonts w:ascii="Times New Roman" w:hAnsi="Times New Roman" w:eastAsia="宋体" w:cs="Times New Roman"/>
                      <w:color w:val="000000" w:themeColor="text1"/>
                      <w:spacing w:val="0"/>
                      <w:kern w:val="21"/>
                      <w:position w:val="0"/>
                      <w:szCs w:val="21"/>
                      <w:vertAlign w:val="subscript"/>
                      <w:lang w:bidi="ar"/>
                      <w14:textFill>
                        <w14:solidFill>
                          <w14:schemeClr w14:val="tx1"/>
                        </w14:solidFill>
                      </w14:textFill>
                    </w:rPr>
                    <w:t>3</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-N、TP、SS、流量、pH</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次/年</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园区污水处理厂设计进水水质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0" w:type="pct"/>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p>
              </w:tc>
              <w:tc>
                <w:tcPr>
                  <w:tcW w:w="706" w:type="pct"/>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61" w:type="pct"/>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石油类</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LAS</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次/年</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《污水综合排放标准》（</w:t>
                  </w:r>
                  <w:r>
                    <w:rPr>
                      <w:rFonts w:hint="default" w:ascii="Times New Roman" w:hAnsi="Times New Roman" w:eastAsia="Times New Roman" w:cs="Times New Roman"/>
                      <w:color w:val="000000" w:themeColor="text1"/>
                      <w:spacing w:val="0"/>
                      <w:kern w:val="21"/>
                      <w:position w:val="0"/>
                      <w:sz w:val="21"/>
                      <w:szCs w:val="21"/>
                      <w:highlight w:val="none"/>
                      <w14:textFill>
                        <w14:solidFill>
                          <w14:schemeClr w14:val="tx1"/>
                        </w14:solidFill>
                      </w14:textFill>
                    </w:rPr>
                    <w:t>GB 8978-1996</w:t>
                  </w:r>
                  <w:r>
                    <w:rPr>
                      <w:rFonts w:hint="default" w:ascii="Times New Roman" w:hAnsi="Times New Roman" w:cs="Times New Roman"/>
                      <w:color w:val="000000" w:themeColor="text1"/>
                      <w:spacing w:val="0"/>
                      <w:kern w:val="21"/>
                      <w:position w:val="0"/>
                      <w:sz w:val="21"/>
                      <w:szCs w:val="21"/>
                      <w:highlight w:val="none"/>
                      <w14:textFill>
                        <w14:solidFill>
                          <w14:schemeClr w14:val="tx1"/>
                        </w14:solidFill>
                      </w14:textFill>
                    </w:rPr>
                    <w:t>）三级标准</w:t>
                  </w:r>
                </w:p>
              </w:tc>
            </w:tr>
          </w:tbl>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三、噪声环境影响及保护措施</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1、噪声源及治理措施</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本项目厂房均为框架结构，项目运营期噪声源主要来自设备运行噪声，其主要噪声源强见下表。</w:t>
            </w: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1906" w:h="16838"/>
          <w:pgMar w:top="1134" w:right="1531" w:bottom="1134" w:left="1531" w:header="851" w:footer="850" w:gutter="0"/>
          <w:cols w:space="425" w:num="1"/>
          <w:docGrid w:type="lines"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3" w:hRule="atLeast"/>
          <w:jc w:val="center"/>
        </w:trPr>
        <w:tc>
          <w:tcPr>
            <w:tcW w:w="132"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运营期环境影响和保护措施</w:t>
            </w:r>
          </w:p>
        </w:tc>
        <w:tc>
          <w:tcPr>
            <w:tcW w:w="4867" w:type="pct"/>
          </w:tcPr>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室内噪声源产生、治理措施及处置效果 单位：dB（A）</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700"/>
              <w:gridCol w:w="2181"/>
              <w:gridCol w:w="1741"/>
              <w:gridCol w:w="1072"/>
              <w:gridCol w:w="1554"/>
              <w:gridCol w:w="868"/>
              <w:gridCol w:w="811"/>
              <w:gridCol w:w="570"/>
              <w:gridCol w:w="924"/>
              <w:gridCol w:w="658"/>
              <w:gridCol w:w="910"/>
              <w:gridCol w:w="749"/>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序号</w:t>
                  </w:r>
                </w:p>
              </w:tc>
              <w:tc>
                <w:tcPr>
                  <w:tcW w:w="247"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建筑物名称</w:t>
                  </w:r>
                </w:p>
              </w:tc>
              <w:tc>
                <w:tcPr>
                  <w:tcW w:w="770"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声源名称</w:t>
                  </w:r>
                </w:p>
              </w:tc>
              <w:tc>
                <w:tcPr>
                  <w:tcW w:w="614"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型号</w:t>
                  </w:r>
                </w:p>
              </w:tc>
              <w:tc>
                <w:tcPr>
                  <w:tcW w:w="378"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声功率级/dB（A）</w:t>
                  </w:r>
                </w:p>
              </w:tc>
              <w:tc>
                <w:tcPr>
                  <w:tcW w:w="548"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声源控制措施</w:t>
                  </w:r>
                </w:p>
              </w:tc>
              <w:tc>
                <w:tcPr>
                  <w:tcW w:w="794" w:type="pct"/>
                  <w:gridSpan w:val="3"/>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空间相对位置（m）</w:t>
                  </w:r>
                </w:p>
              </w:tc>
              <w:tc>
                <w:tcPr>
                  <w:tcW w:w="326"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距室内边界距离（m）</w:t>
                  </w:r>
                </w:p>
              </w:tc>
              <w:tc>
                <w:tcPr>
                  <w:tcW w:w="232"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运行时段</w:t>
                  </w:r>
                </w:p>
              </w:tc>
              <w:tc>
                <w:tcPr>
                  <w:tcW w:w="321"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建筑物插入损失/dB（A）</w:t>
                  </w:r>
                </w:p>
              </w:tc>
              <w:tc>
                <w:tcPr>
                  <w:tcW w:w="615" w:type="pct"/>
                  <w:gridSpan w:val="2"/>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51"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770"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614"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7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X</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Y</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Z</w:t>
                  </w:r>
                </w:p>
              </w:tc>
              <w:tc>
                <w:tcPr>
                  <w:tcW w:w="326"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32"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321"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tc>
              <w:tc>
                <w:tcPr>
                  <w:tcW w:w="264"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声压级/dB（A）</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1#木业车间</w:t>
                  </w: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断料机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选用低噪设备，设置基础减振、墙体对高噪声设备进行合理布局；</w:t>
                  </w:r>
                </w:p>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加强设备维护与保养，确保设备良好运转。</w:t>
                  </w: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52.93</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112.55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68.98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方木多片锯</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66.59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111.75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60.46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断料机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51.73</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99.3</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61.02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清边机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99.7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边皮机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80.24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110.94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多片锯开料机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79.44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99.7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65.46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干燥机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92.06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111.52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55.46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压缩机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92.39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98.77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57.96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合金磨齿机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52.45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85.35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半</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自动</w:t>
                  </w:r>
                  <w:r>
                    <w:rPr>
                      <w:rFonts w:ascii="Times New Roman" w:hAnsi="Times New Roman" w:eastAsia="宋体" w:cs="Times New Roman"/>
                      <w:color w:val="000000" w:themeColor="text1"/>
                      <w:spacing w:val="0"/>
                      <w:kern w:val="21"/>
                      <w:position w:val="0"/>
                      <w:szCs w:val="21"/>
                      <w14:textFill>
                        <w14:solidFill>
                          <w14:schemeClr w14:val="tx1"/>
                        </w14:solidFill>
                      </w14:textFill>
                    </w:rPr>
                    <w:t>磨锯机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66.55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86.02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65.46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液压带锯机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78.97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86.02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65.46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自动上料机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92.06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85.68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45.46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出料滚筒机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102.79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86.02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45.46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半自动合金磨齿机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52.45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71.92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62.96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2#实木板式车间</w:t>
                  </w: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万能磨刀机</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69.27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-20.04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裁皮机</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-20.34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缝皮机</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S-1800</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79.88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-30.04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涂胶机</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TR-1350</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79.58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-36.4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热压机</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BY214X9/16(3)HIRC</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79.88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-45.49</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精密推台锯</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KS-132</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94.43</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-95.8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下料机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南兴</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58.06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-20.34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CNC数控实木开料机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HW-CNC-2500A</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49.27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-20.95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前上料电子锯</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39.88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-20.64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59.44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自动封边机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NB7CJ南兴</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59.27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-45.19</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44.44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冷压机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-43.98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44.44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冷压机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40.49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-54.28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44.44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拼板机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-43.98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44.44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双头锯</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-20.64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59.44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五叠锯</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20.49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-27.61</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59.44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卧式双端榫槽机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MS3112</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18.97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-35.49</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38.98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单头直榫开榫机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MD2108RQ</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19.88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-41.55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38.98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立式单轴木工钻床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MZ511</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-48.22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43.98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立式单轴榫槽机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MS362</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-53.98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38.98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立卧式可调木工钻床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MZ9216</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19.88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-60.34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43.98 </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卧式多头钻</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19.27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立式单轴木工镂铣机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MXS5115A</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-71.86</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木工镂铣机（吊镂）</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MX5068</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20.79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-78.22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立式双轴木工铣床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MX5317</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20.79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-83.37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立式单轴木工铣床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MX5117B</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21.09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-89.74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38.98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镂机床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20.18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-95.8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液压带锯机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15.56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-20.27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45.92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断料锯</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15.15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-27.35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45.92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下轴纵锯机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MJ153D</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14.95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2.06</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45.92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自动双面木工压刨床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MB206L</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15.15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-36.21</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单面木工压刨床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MB105A</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14.95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-40.73</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40.92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木工平刨床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MB504A</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14.95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-44.87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35.92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指接机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14.76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-48.02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30.92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实木拼接机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15.35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-52.55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35.92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高频拼板机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CGPB-58PSZ-CM</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15.15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-57.67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16</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35.92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宽带砂光机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SR-RP1300</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25.08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-66.65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42.72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立带窜动式磨光机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MM2617</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25.66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-72.2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55.46</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磨光机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MM-J1</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25.66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-78.91</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42.72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立卧带式砂磨机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MM2420A</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25.66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-84.75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42.72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立式双头海绵轮磨光机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MM2115</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25.66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-92.64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42.72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单轴车床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13.98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-65.77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47.72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双轴车床</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15.15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-73.36</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47.72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双端制榫机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ST6</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-83.95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42.72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五轴加工中心</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HW-TC2+TC2-A</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12.82</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-91.34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13</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42.72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单相</w:t>
                  </w:r>
                  <w:r>
                    <w:rPr>
                      <w:rFonts w:ascii="Times New Roman" w:hAnsi="Times New Roman" w:eastAsia="宋体" w:cs="Times New Roman"/>
                      <w:color w:val="000000" w:themeColor="text1"/>
                      <w:spacing w:val="0"/>
                      <w:kern w:val="21"/>
                      <w:position w:val="0"/>
                      <w:szCs w:val="21"/>
                      <w14:textFill>
                        <w14:solidFill>
                          <w14:schemeClr w14:val="tx1"/>
                        </w14:solidFill>
                      </w14:textFill>
                    </w:rPr>
                    <w:t>高频压机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IS-050-150T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-1.19</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-21.31</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tabs>
                      <w:tab w:val="center" w:pos="856"/>
                      <w:tab w:val="right" w:pos="1593"/>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三相高频压机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IS-050-150T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-10.92</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-21.7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63.98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restar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3#金属软包车间</w:t>
                  </w: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烘干机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-73.94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-23.65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46.48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锥度机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-59.16</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-51.27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41.48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滚圆机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-58.77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-57.49</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41.48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缩管机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-58.71</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-61.72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36.48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金属车床</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-59.17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-65.81</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46.48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双弯管</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-59.17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-70.35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36.48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单弯管</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-59.17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-75.12</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36.48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铣床</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-59.85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-79.44</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41.48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钻床</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-59.17</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-83.75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41.48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刨槽机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-63.94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-51.28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51.94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剪板机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-63.71</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-59.68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41.94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固化烘箱</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-63.7</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0</w:t>
                  </w:r>
                </w:p>
              </w:tc>
              <w:tc>
                <w:tcPr>
                  <w:tcW w:w="286"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60.</w:t>
                  </w:r>
                  <w:r>
                    <w:rPr>
                      <w:rFonts w:ascii="Times New Roman" w:hAnsi="Times New Roman" w:eastAsia="宋体" w:cs="Times New Roman"/>
                      <w:color w:val="000000" w:themeColor="text1"/>
                      <w:spacing w:val="0"/>
                      <w:kern w:val="21"/>
                      <w:position w:val="0"/>
                      <w:szCs w:val="21"/>
                      <w14:textFill>
                        <w14:solidFill>
                          <w14:schemeClr w14:val="tx1"/>
                        </w14:solidFill>
                      </w14:textFill>
                    </w:rPr>
                    <w:t>68</w:t>
                  </w:r>
                </w:p>
              </w:tc>
              <w:tc>
                <w:tcPr>
                  <w:tcW w:w="201"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32"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41.94</w:t>
                  </w:r>
                </w:p>
              </w:tc>
              <w:tc>
                <w:tcPr>
                  <w:tcW w:w="351"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折弯机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-63.94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-65.13</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46.94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包边机</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-63.71</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-70.13</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36.94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冲床</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-63.94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-74.67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51.94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氩弧焊机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-81.75</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-54.86</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38.42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二保焊机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-81.52</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-66.29</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38.42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切管机</w:t>
                  </w:r>
                </w:p>
              </w:tc>
              <w:tc>
                <w:tcPr>
                  <w:tcW w:w="61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-81.52</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-76.13</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48.42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CNC单头带压辊加工中心</w:t>
                  </w:r>
                </w:p>
              </w:tc>
              <w:tc>
                <w:tcPr>
                  <w:tcW w:w="61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HW-G-1325-ATC1</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-73.98</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-86.65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56.02</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精密推台锯</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KS-132</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-100.73</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-54.17</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9.5</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56.94</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锁边机</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w:t>
                  </w:r>
                </w:p>
              </w:tc>
              <w:tc>
                <w:tcPr>
                  <w:tcW w:w="378" w:type="pct"/>
                  <w:shd w:val="clear" w:color="auto" w:fill="auto"/>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-71.92</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-62.18</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9.5</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26.48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绗棉机</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-77.64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-62.41</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9.5</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26.48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Align w:val="center"/>
                </w:tcPr>
                <w:p>
                  <w:pPr>
                    <w:pageBreakBefore w:val="0"/>
                    <w:numPr>
                      <w:ilvl w:val="0"/>
                      <w:numId w:val="37"/>
                    </w:numPr>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47"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70"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平车</w:t>
                  </w:r>
                </w:p>
              </w:tc>
              <w:tc>
                <w:tcPr>
                  <w:tcW w:w="614" w:type="pct"/>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szCs w:val="21"/>
                      <w14:textFill>
                        <w14:solidFill>
                          <w14:schemeClr w14:val="tx1"/>
                        </w14:solidFill>
                      </w14:textFill>
                    </w:rPr>
                    <w:t>/</w:t>
                  </w:r>
                </w:p>
              </w:tc>
              <w:tc>
                <w:tcPr>
                  <w:tcW w:w="378"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70</w:t>
                  </w:r>
                </w:p>
              </w:tc>
              <w:tc>
                <w:tcPr>
                  <w:tcW w:w="548" w:type="pct"/>
                  <w:vMerge w:val="continue"/>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0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-84.04</w:t>
                  </w:r>
                </w:p>
              </w:tc>
              <w:tc>
                <w:tcPr>
                  <w:tcW w:w="28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-61.95</w:t>
                  </w:r>
                </w:p>
              </w:tc>
              <w:tc>
                <w:tcPr>
                  <w:tcW w:w="20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9.5</w:t>
                  </w:r>
                </w:p>
              </w:tc>
              <w:tc>
                <w:tcPr>
                  <w:tcW w:w="326"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32"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昼夜</w:t>
                  </w:r>
                </w:p>
              </w:tc>
              <w:tc>
                <w:tcPr>
                  <w:tcW w:w="32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26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31.48</w:t>
                  </w:r>
                </w:p>
              </w:tc>
              <w:tc>
                <w:tcPr>
                  <w:tcW w:w="351" w:type="pct"/>
                  <w:vAlign w:val="center"/>
                </w:tcPr>
                <w:p>
                  <w:pPr>
                    <w:pageBreakBefore w:val="0"/>
                    <w:kinsoku/>
                    <w:overflowPunct/>
                    <w:topLine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本项目室外声源见下表</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室</w:t>
            </w:r>
            <w:r>
              <w:rPr>
                <w:rFonts w:hint="eastAsia" w:ascii="Times New Roman" w:hAnsi="Times New Roman" w:eastAsia="宋体" w:cs="Times New Roman"/>
                <w:b/>
                <w:bCs/>
                <w:color w:val="000000" w:themeColor="text1"/>
                <w:spacing w:val="0"/>
                <w:kern w:val="21"/>
                <w:position w:val="0"/>
                <w:szCs w:val="21"/>
                <w:lang w:val="en-US" w:eastAsia="zh-CN"/>
                <w14:textFill>
                  <w14:solidFill>
                    <w14:schemeClr w14:val="tx1"/>
                  </w14:solidFill>
                </w14:textFill>
              </w:rPr>
              <w:t>外</w:t>
            </w:r>
            <w:r>
              <w:rPr>
                <w:rFonts w:ascii="Times New Roman" w:hAnsi="Times New Roman" w:eastAsia="宋体" w:cs="Times New Roman"/>
                <w:b/>
                <w:bCs/>
                <w:color w:val="000000" w:themeColor="text1"/>
                <w:spacing w:val="0"/>
                <w:kern w:val="21"/>
                <w:position w:val="0"/>
                <w:szCs w:val="21"/>
                <w14:textFill>
                  <w14:solidFill>
                    <w14:schemeClr w14:val="tx1"/>
                  </w14:solidFill>
                </w14:textFill>
              </w:rPr>
              <w:t>噪声源产生、治理措施及处置效果单位：dB（A）</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870"/>
              <w:gridCol w:w="711"/>
              <w:gridCol w:w="1406"/>
              <w:gridCol w:w="1406"/>
              <w:gridCol w:w="1414"/>
              <w:gridCol w:w="1924"/>
              <w:gridCol w:w="353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序号</w:t>
                  </w:r>
                </w:p>
              </w:tc>
              <w:tc>
                <w:tcPr>
                  <w:tcW w:w="660"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声源名称</w:t>
                  </w:r>
                </w:p>
              </w:tc>
              <w:tc>
                <w:tcPr>
                  <w:tcW w:w="251"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型号</w:t>
                  </w:r>
                </w:p>
              </w:tc>
              <w:tc>
                <w:tcPr>
                  <w:tcW w:w="1491"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空间相对位置/m</w:t>
                  </w:r>
                </w:p>
              </w:tc>
              <w:tc>
                <w:tcPr>
                  <w:tcW w:w="679"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声功率级/dB（A）</w:t>
                  </w:r>
                </w:p>
              </w:tc>
              <w:tc>
                <w:tcPr>
                  <w:tcW w:w="1247"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声源控制措施</w:t>
                  </w:r>
                </w:p>
              </w:tc>
              <w:tc>
                <w:tcPr>
                  <w:tcW w:w="41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p>
              </w:tc>
              <w:tc>
                <w:tcPr>
                  <w:tcW w:w="66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p>
              </w:tc>
              <w:tc>
                <w:tcPr>
                  <w:tcW w:w="25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X</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Y</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t>Z</w:t>
                  </w:r>
                </w:p>
              </w:tc>
              <w:tc>
                <w:tcPr>
                  <w:tcW w:w="679"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p>
              </w:tc>
              <w:tc>
                <w:tcPr>
                  <w:tcW w:w="124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p>
              </w:tc>
              <w:tc>
                <w:tcPr>
                  <w:tcW w:w="41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b/>
                      <w:bCs/>
                      <w:color w:val="000000" w:themeColor="text1"/>
                      <w:spacing w:val="0"/>
                      <w:kern w:val="21"/>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风机（DA001）</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14.15</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121.74</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选低噪声设备、安装消声器、减震、定期保养设备</w:t>
                  </w: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eastAsia" w:ascii="Times New Roman" w:hAnsi="Times New Roman" w:cs="Times New Roman" w:eastAsiaTheme="minorEastAsia"/>
                      <w:color w:val="000000" w:themeColor="text1"/>
                      <w:spacing w:val="0"/>
                      <w:kern w:val="21"/>
                      <w:position w:val="0"/>
                      <w:sz w:val="21"/>
                      <w:szCs w:val="21"/>
                      <w:lang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风机（DA002）</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57.92</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-129.11</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continue"/>
                  <w:tcBorders>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风机（DA003）</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55.61</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-9.79</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continue"/>
                  <w:tcBorders>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风机（DA004）</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-22.7</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-100.55</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continue"/>
                  <w:tcBorders>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风机（DA005）</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-23.63</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-89.03</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continue"/>
                  <w:tcBorders>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w:t>
                  </w: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6</w:t>
                  </w: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-86.74</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-103.77</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continue"/>
                  <w:tcBorders>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w:t>
                  </w: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7</w:t>
                  </w: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-76.6</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-9.79</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continue"/>
                  <w:tcBorders>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风机（DA00</w:t>
                  </w: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8</w:t>
                  </w: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-63.71</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-9.79</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70</w:t>
                  </w:r>
                </w:p>
              </w:tc>
              <w:tc>
                <w:tcPr>
                  <w:tcW w:w="1247"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8"/>
                    </w:numPr>
                    <w:kinsoku/>
                    <w:wordWrap/>
                    <w:overflowPunct/>
                    <w:topLinePunct/>
                    <w:autoSpaceDE/>
                    <w:autoSpaceDN/>
                    <w:bidi w:val="0"/>
                    <w:adjustRightInd w:val="0"/>
                    <w:snapToGrid w:val="0"/>
                    <w:spacing w:before="63" w:beforeLines="20" w:after="63" w:afterLines="20" w:line="240" w:lineRule="auto"/>
                    <w:ind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p>
              </w:tc>
              <w:tc>
                <w:tcPr>
                  <w:tcW w:w="660"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水泵</w:t>
                  </w:r>
                </w:p>
              </w:tc>
              <w:tc>
                <w:tcPr>
                  <w:tcW w:w="25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eastAsiaTheme="minorEastAsia"/>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-44.36</w:t>
                  </w:r>
                </w:p>
              </w:tc>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eastAsiaTheme="minorEastAsia"/>
                      <w:color w:val="000000" w:themeColor="text1"/>
                      <w:spacing w:val="0"/>
                      <w:kern w:val="21"/>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-9.79</w:t>
                  </w:r>
                </w:p>
              </w:tc>
              <w:tc>
                <w:tcPr>
                  <w:tcW w:w="4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1</w:t>
                  </w:r>
                </w:p>
              </w:tc>
              <w:tc>
                <w:tcPr>
                  <w:tcW w:w="6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80</w:t>
                  </w:r>
                </w:p>
              </w:tc>
              <w:tc>
                <w:tcPr>
                  <w:tcW w:w="12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default" w:ascii="Times New Roman" w:hAnsi="Times New Roman" w:cs="Times New Roman"/>
                      <w:color w:val="000000" w:themeColor="text1"/>
                      <w:spacing w:val="0"/>
                      <w:kern w:val="21"/>
                      <w:position w:val="0"/>
                      <w:sz w:val="21"/>
                      <w:szCs w:val="21"/>
                      <w14:textFill>
                        <w14:solidFill>
                          <w14:schemeClr w14:val="tx1"/>
                        </w14:solidFill>
                      </w14:textFill>
                    </w:rPr>
                    <w:t>选低噪声设备、减震、定期保养设备</w:t>
                  </w:r>
                </w:p>
              </w:tc>
              <w:tc>
                <w:tcPr>
                  <w:tcW w:w="4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autoSpaceDE/>
                    <w:autoSpaceDN/>
                    <w:bidi w:val="0"/>
                    <w:adjustRightInd w:val="0"/>
                    <w:snapToGrid w:val="0"/>
                    <w:spacing w:before="63" w:beforeLines="20" w:after="63" w:afterLines="20" w:line="240" w:lineRule="auto"/>
                    <w:ind w:firstLine="0" w:firstLineChars="0"/>
                    <w:jc w:val="center"/>
                    <w:textAlignment w:val="auto"/>
                    <w:rPr>
                      <w:rFonts w:hint="default" w:ascii="Times New Roman" w:hAnsi="Times New Roman" w:cs="Times New Roman"/>
                      <w:color w:val="000000" w:themeColor="text1"/>
                      <w:spacing w:val="0"/>
                      <w:kern w:val="21"/>
                      <w:position w:val="0"/>
                      <w:sz w:val="21"/>
                      <w:szCs w:val="21"/>
                      <w14:textFill>
                        <w14:solidFill>
                          <w14:schemeClr w14:val="tx1"/>
                        </w14:solidFill>
                      </w14:textFill>
                    </w:rPr>
                  </w:pPr>
                  <w:r>
                    <w:rPr>
                      <w:rFonts w:hint="eastAsia" w:ascii="Times New Roman" w:hAnsi="Times New Roman" w:cs="Times New Roman"/>
                      <w:color w:val="000000" w:themeColor="text1"/>
                      <w:spacing w:val="0"/>
                      <w:kern w:val="21"/>
                      <w:position w:val="0"/>
                      <w:sz w:val="21"/>
                      <w:szCs w:val="21"/>
                      <w:lang w:val="en-US" w:eastAsia="zh-CN"/>
                      <w14:textFill>
                        <w14:solidFill>
                          <w14:schemeClr w14:val="tx1"/>
                        </w14:solidFill>
                      </w14:textFill>
                    </w:rPr>
                    <w:t>昼夜</w:t>
                  </w:r>
                </w:p>
              </w:tc>
            </w:tr>
          </w:tbl>
          <w:p>
            <w:pPr>
              <w:pStyle w:val="19"/>
              <w:pageBreakBefore w:val="0"/>
              <w:kinsoku/>
              <w:overflowPunct/>
              <w:autoSpaceDE/>
              <w:autoSpaceDN/>
              <w:bidi w:val="0"/>
              <w:textAlignment w:val="auto"/>
              <w:rPr>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注：表中坐标以厂界中心（105度58分25.312秒，32度15分55.573秒）为坐标原点，正东向为X轴正方向，正北向为Y轴正方向。</w:t>
            </w:r>
          </w:p>
        </w:tc>
      </w:tr>
    </w:tbl>
    <w:p>
      <w:pPr>
        <w:pStyle w:val="2"/>
        <w:pageBreakBefore w:val="0"/>
        <w:kinsoku/>
        <w:overflowPunct/>
        <w:autoSpaceDE/>
        <w:autoSpaceDN/>
        <w:bidi w:val="0"/>
        <w:textAlignment w:val="auto"/>
        <w:rPr>
          <w:color w:val="000000" w:themeColor="text1"/>
          <w:spacing w:val="0"/>
          <w:kern w:val="21"/>
          <w:position w:val="0"/>
          <w14:textFill>
            <w14:solidFill>
              <w14:schemeClr w14:val="tx1"/>
            </w14:solidFill>
          </w14:textFill>
        </w:rPr>
        <w:sectPr>
          <w:pgSz w:w="16838" w:h="11906" w:orient="landscape"/>
          <w:pgMar w:top="1531" w:right="1134" w:bottom="1531" w:left="1134" w:header="851" w:footer="1304" w:gutter="0"/>
          <w:cols w:space="425" w:num="1"/>
          <w:docGrid w:type="lines"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运营期环境影响和保护措施</w:t>
            </w:r>
          </w:p>
        </w:tc>
        <w:tc>
          <w:tcPr>
            <w:tcW w:w="4752" w:type="pct"/>
          </w:tcPr>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本次评价提出如下噪声治理措施：</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（1）采买设备时尽量选取低噪声设备，在设备基础上做隔震、减振措施；项目生产车间全封闭，主要产噪设备均布置于远离噪声敏感点处；</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2）选用低噪声的动力设备，安装局部隔声罩和部分吸声结构，以降低噪声传播的强度；排风处安装消声器；对集中布置的高噪声设备，采用隔声间；对分散布置的高噪声设备，采用隔声罩；降低风机、空气压缩机等设备传播的空气动力性噪声，在进、排气管路上采取消声措施；</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（3）按照《工业企业噪声控制设计规范》（GB/T50087-2013）对厂内主要噪声源合理布局。车间工艺设计时，高噪声工段与低噪声工段宜分开布置，高噪声设备宜集中布置；</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（4）确保降噪设施的有效运行，并加强对生产设备的保养、检修与润滑，保证设备处于良好的运转状态；</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（5）加强职工环保意识教育，提倡文明生产，防止人为噪声；对进出车辆加强管理，限制车速，禁鸣喇叭，优化车辆在厂区内的运输路线，尽量缩短车辆在厂区内的运输距离，合理安排运输时间；</w:t>
            </w:r>
          </w:p>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2"/>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（6）对于间断性的噪声，应</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合理</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安排和控制作业时间，尽量减少高噪声设备同时运转</w:t>
            </w:r>
            <w:r>
              <w:rPr>
                <w:rFonts w:hint="eastAsia" w:ascii="Times New Roman" w:hAnsi="Times New Roman" w:eastAsia="宋体" w:cs="Times New Roman"/>
                <w:color w:val="000000" w:themeColor="text1"/>
                <w:spacing w:val="0"/>
                <w:kern w:val="21"/>
                <w:position w:val="0"/>
                <w:sz w:val="24"/>
                <w:szCs w:val="22"/>
                <w:lang w:eastAsia="zh-CN" w:bidi="ar"/>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7</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针对风机、管子下料机等主要高噪声设备设置不同的</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减振</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措施，定期对设备进行保养、减少自身噪声，以降低对周围环境的影响</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2、评价与预测</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本项目为工业噪声源，根据《环境影响评价技术导则 声环境》（HJ 2.4-2021）要求，预测计算模式如下：</w:t>
            </w:r>
          </w:p>
          <w:p>
            <w:pPr>
              <w:pageBreakBefore w:val="0"/>
              <w:numPr>
                <w:ilvl w:val="0"/>
                <w:numId w:val="39"/>
              </w:numPr>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t>单个室外的点声源在预测点产生的声级计算基本公式</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某个声源在预测点的倍频带声压级的计算公式如下：</w:t>
            </w:r>
          </w:p>
          <w:p>
            <w:pPr>
              <w:pageBreakBefore w:val="0"/>
              <w:kinsoku/>
              <w:overflowPunct/>
              <w:autoSpaceDE/>
              <w:autoSpaceDN/>
              <w:bidi w:val="0"/>
              <w:spacing w:line="360" w:lineRule="auto"/>
              <w:ind w:firstLine="480" w:firstLineChars="200"/>
              <w:jc w:val="center"/>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m:oMath>
              <m:sSub>
                <m:sSubPr>
                  <m:ctrlPr>
                    <w:rPr>
                      <w:rFonts w:ascii="Cambria Math" w:hAnsi="Cambria Math" w:cs="Times New Roman"/>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p（r）</m:t>
                  </m:r>
                  <m:ctrlPr>
                    <w:rPr>
                      <w:rFonts w:ascii="Cambria Math" w:hAnsi="Cambria Math" w:cs="Times New Roman"/>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w</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D</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c</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A</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div</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A</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atm</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A</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gr</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A</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bar</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A</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misc</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oMath>
            <w:r>
              <w:rPr>
                <w:rFonts w:ascii="Times New Roman" w:hAnsi="Times New Roman" w:eastAsia="宋体" w:cs="Times New Roman"/>
                <w:color w:val="000000" w:themeColor="text1"/>
                <w:spacing w:val="0"/>
                <w:kern w:val="21"/>
                <w:position w:val="0"/>
                <w:sz w:val="24"/>
                <w:szCs w:val="20"/>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p（r）</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——预测点处声压级，dB；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w</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——由点声源产生的声功率级（A计权或倍频带），dB；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D</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C</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——指向性校正，它描述点声源的等效连续声压级与产生声功率级L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w</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的全向点声源在规划方向的声级的偏差成都，dB；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A</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div</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——几何发散引起的衰减，dB；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A</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atm</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——大气吸收引起的衰减，dB；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A</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gr</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——地面效应引起的衰减，dB；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A</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bar</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——障碍物引起的衰减，dB；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A</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misc</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——其他多方面效应引起的衰减，dB。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预测点的A声级L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A（r）</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，可利用8个倍频带的声压级按下式计算：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m:oMathPara>
              <m:oMath>
                <m:sSub>
                  <m:sSubPr>
                    <m:ctrlPr>
                      <w:rPr>
                        <w:rFonts w:ascii="Cambria Math" w:hAnsi="Cambria Math" w:cs="Times New Roman"/>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A（r）</m:t>
                    </m:r>
                    <m:ctrlPr>
                      <w:rPr>
                        <w:rFonts w:ascii="Cambria Math" w:hAnsi="Cambria Math" w:cs="Times New Roman"/>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=10lg</m:t>
                </m:r>
                <m:d>
                  <m:dPr>
                    <m:begChr m:val="{"/>
                    <m:endChr m:val="}"/>
                    <m:ctrlPr>
                      <w:rPr>
                        <w:rFonts w:ascii="Cambria Math" w:hAnsi="Cambria Math" w:cs="Times New Roman"/>
                        <w:i/>
                        <w:color w:val="000000" w:themeColor="text1"/>
                        <w:spacing w:val="0"/>
                        <w:kern w:val="21"/>
                        <w:position w:val="0"/>
                        <w:sz w:val="24"/>
                        <w:szCs w:val="20"/>
                        <w14:textFill>
                          <w14:solidFill>
                            <w14:schemeClr w14:val="tx1"/>
                          </w14:solidFill>
                        </w14:textFill>
                      </w:rPr>
                    </m:ctrlPr>
                  </m:dPr>
                  <m:e>
                    <m:nary>
                      <m:naryPr>
                        <m:chr m:val="∑"/>
                        <m:limLoc m:val="undOvr"/>
                        <m:ctrlPr>
                          <w:rPr>
                            <w:rFonts w:ascii="Cambria Math" w:hAnsi="Cambria Math" w:cs="Times New Roman"/>
                            <w:i/>
                            <w:color w:val="000000" w:themeColor="text1"/>
                            <w:spacing w:val="0"/>
                            <w:kern w:val="21"/>
                            <w:position w:val="0"/>
                            <w:sz w:val="24"/>
                            <w:szCs w:val="20"/>
                            <w14:textFill>
                              <w14:solidFill>
                                <w14:schemeClr w14:val="tx1"/>
                              </w14:solidFill>
                            </w14:textFill>
                          </w:rPr>
                        </m:ctrlPr>
                      </m:naryPr>
                      <m:sub>
                        <m:r>
                          <m:rPr/>
                          <w:rPr>
                            <w:rFonts w:ascii="Cambria Math" w:hAnsi="Cambria Math" w:cs="Times New Roman"/>
                            <w:color w:val="000000" w:themeColor="text1"/>
                            <w:spacing w:val="0"/>
                            <w:kern w:val="21"/>
                            <w:position w:val="0"/>
                            <w:sz w:val="24"/>
                            <w:szCs w:val="20"/>
                            <w14:textFill>
                              <w14:solidFill>
                                <w14:schemeClr w14:val="tx1"/>
                              </w14:solidFill>
                            </w14:textFill>
                          </w:rPr>
                          <m:t>i=1</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up>
                        <m:r>
                          <m:rPr/>
                          <w:rPr>
                            <w:rFonts w:ascii="Cambria Math" w:hAnsi="Cambria Math" w:cs="Times New Roman"/>
                            <w:color w:val="000000" w:themeColor="text1"/>
                            <w:spacing w:val="0"/>
                            <w:kern w:val="21"/>
                            <w:position w:val="0"/>
                            <w:sz w:val="24"/>
                            <w:szCs w:val="20"/>
                            <w14:textFill>
                              <w14:solidFill>
                                <w14:schemeClr w14:val="tx1"/>
                              </w14:solidFill>
                            </w14:textFill>
                          </w:rPr>
                          <m:t>8</m:t>
                        </m:r>
                        <m:ctrlPr>
                          <w:rPr>
                            <w:rFonts w:ascii="Cambria Math" w:hAnsi="Cambria Math" w:cs="Times New Roman"/>
                            <w:i/>
                            <w:color w:val="000000" w:themeColor="text1"/>
                            <w:spacing w:val="0"/>
                            <w:kern w:val="21"/>
                            <w:position w:val="0"/>
                            <w:sz w:val="24"/>
                            <w:szCs w:val="20"/>
                            <w14:textFill>
                              <w14:solidFill>
                                <w14:schemeClr w14:val="tx1"/>
                              </w14:solidFill>
                            </w14:textFill>
                          </w:rPr>
                        </m:ctrlPr>
                      </m:sup>
                      <m:e>
                        <m:sSup>
                          <m:sSupPr>
                            <m:ctrlPr>
                              <w:rPr>
                                <w:rFonts w:ascii="Cambria Math" w:hAnsi="Cambria Math" w:cs="Times New Roman"/>
                                <w:i/>
                                <w:color w:val="000000" w:themeColor="text1"/>
                                <w:spacing w:val="0"/>
                                <w:kern w:val="21"/>
                                <w:position w:val="0"/>
                                <w:sz w:val="24"/>
                                <w:szCs w:val="20"/>
                                <w14:textFill>
                                  <w14:solidFill>
                                    <w14:schemeClr w14:val="tx1"/>
                                  </w14:solidFill>
                                </w14:textFill>
                              </w:rPr>
                            </m:ctrlPr>
                          </m:sSupPr>
                          <m:e>
                            <m:r>
                              <m:rPr/>
                              <w:rPr>
                                <w:rFonts w:ascii="Cambria Math" w:hAnsi="Cambria Math" w:cs="Times New Roman"/>
                                <w:color w:val="000000" w:themeColor="text1"/>
                                <w:spacing w:val="0"/>
                                <w:kern w:val="21"/>
                                <w:position w:val="0"/>
                                <w:sz w:val="24"/>
                                <w:szCs w:val="20"/>
                                <w14:textFill>
                                  <w14:solidFill>
                                    <w14:schemeClr w14:val="tx1"/>
                                  </w14:solidFill>
                                </w14:textFill>
                              </w:rPr>
                              <m:t>10</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p>
                            <m:r>
                              <m:rPr/>
                              <w:rPr>
                                <w:rFonts w:ascii="Cambria Math" w:hAnsi="Cambria Math" w:cs="Times New Roman"/>
                                <w:color w:val="000000" w:themeColor="text1"/>
                                <w:spacing w:val="0"/>
                                <w:kern w:val="21"/>
                                <w:position w:val="0"/>
                                <w:sz w:val="24"/>
                                <w:szCs w:val="20"/>
                                <w14:textFill>
                                  <w14:solidFill>
                                    <w14:schemeClr w14:val="tx1"/>
                                  </w14:solidFill>
                                </w14:textFill>
                              </w:rPr>
                              <m:t>0.1</m:t>
                            </m:r>
                            <m:d>
                              <m:dPr>
                                <m:begChr m:val="["/>
                                <m:endChr m:val="]"/>
                                <m:ctrlPr>
                                  <w:rPr>
                                    <w:rFonts w:ascii="Cambria Math" w:hAnsi="Cambria Math" w:cs="Times New Roman"/>
                                    <w:i/>
                                    <w:color w:val="000000" w:themeColor="text1"/>
                                    <w:spacing w:val="0"/>
                                    <w:kern w:val="21"/>
                                    <w:position w:val="0"/>
                                    <w:sz w:val="24"/>
                                    <w:szCs w:val="20"/>
                                    <w14:textFill>
                                      <w14:solidFill>
                                        <w14:schemeClr w14:val="tx1"/>
                                      </w14:solidFill>
                                    </w14:textFill>
                                  </w:rPr>
                                </m:ctrlPr>
                              </m:dPr>
                              <m:e>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pi（r）−∆</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i</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ctrlPr>
                                  <w:rPr>
                                    <w:rFonts w:ascii="Cambria Math" w:hAnsi="Cambria Math" w:cs="Times New Roman"/>
                                    <w:i/>
                                    <w:color w:val="000000" w:themeColor="text1"/>
                                    <w:spacing w:val="0"/>
                                    <w:kern w:val="21"/>
                                    <w:position w:val="0"/>
                                    <w:sz w:val="24"/>
                                    <w:szCs w:val="20"/>
                                    <w14:textFill>
                                      <w14:solidFill>
                                        <w14:schemeClr w14:val="tx1"/>
                                      </w14:solidFill>
                                    </w14:textFill>
                                  </w:rPr>
                                </m:ctrlPr>
                              </m:e>
                            </m:d>
                            <m:ctrlPr>
                              <w:rPr>
                                <w:rFonts w:ascii="Cambria Math" w:hAnsi="Cambria Math" w:cs="Times New Roman"/>
                                <w:i/>
                                <w:color w:val="000000" w:themeColor="text1"/>
                                <w:spacing w:val="0"/>
                                <w:kern w:val="21"/>
                                <w:position w:val="0"/>
                                <w:sz w:val="24"/>
                                <w:szCs w:val="20"/>
                                <w14:textFill>
                                  <w14:solidFill>
                                    <w14:schemeClr w14:val="tx1"/>
                                  </w14:solidFill>
                                </w14:textFill>
                              </w:rPr>
                            </m:ctrlPr>
                          </m:sup>
                        </m:sSup>
                        <m:ctrlPr>
                          <w:rPr>
                            <w:rFonts w:ascii="Cambria Math" w:hAnsi="Cambria Math" w:cs="Times New Roman"/>
                            <w:i/>
                            <w:color w:val="000000" w:themeColor="text1"/>
                            <w:spacing w:val="0"/>
                            <w:kern w:val="21"/>
                            <w:position w:val="0"/>
                            <w:sz w:val="24"/>
                            <w:szCs w:val="20"/>
                            <w14:textFill>
                              <w14:solidFill>
                                <w14:schemeClr w14:val="tx1"/>
                              </w14:solidFill>
                            </w14:textFill>
                          </w:rPr>
                        </m:ctrlPr>
                      </m:e>
                    </m:nary>
                    <m:ctrlPr>
                      <w:rPr>
                        <w:rFonts w:ascii="Cambria Math" w:hAnsi="Cambria Math" w:cs="Times New Roman"/>
                        <w:i/>
                        <w:color w:val="000000" w:themeColor="text1"/>
                        <w:spacing w:val="0"/>
                        <w:kern w:val="21"/>
                        <w:position w:val="0"/>
                        <w:sz w:val="24"/>
                        <w:szCs w:val="20"/>
                        <w14:textFill>
                          <w14:solidFill>
                            <w14:schemeClr w14:val="tx1"/>
                          </w14:solidFill>
                        </w14:textFill>
                      </w:rPr>
                    </m:ctrlPr>
                  </m:e>
                </m:d>
              </m:oMath>
            </m:oMathPara>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A（r）</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——距声源r处的A声级，dB（A）；</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Pi（r）</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——预测点（r）处，第i倍频带声压级，dB；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i</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——第i倍频带的A计权网络修正值，dB。</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t>（2）室内声源等效室外声源声功率计算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本项目声源位于室内，本项目室内声源采用等效室外声源声功率级法进行计算。设靠近开口处（或窗户）室内、室外某倍频带的声压级分别为L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p1</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和L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p2</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。若声源所在室内声场为近似扩散声场，则室外的倍频带声压级可按以下公式近似求出：</w:t>
            </w:r>
          </w:p>
          <w:p>
            <w:pPr>
              <w:pageBreakBefore w:val="0"/>
              <w:kinsoku/>
              <w:overflowPunct/>
              <w:autoSpaceDE/>
              <w:autoSpaceDN/>
              <w:bidi w:val="0"/>
              <w:spacing w:line="360" w:lineRule="auto"/>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m:oMathPara>
              <m:oMath>
                <m:sSub>
                  <m:sSubPr>
                    <m:ctrlPr>
                      <w:rPr>
                        <w:rFonts w:ascii="Cambria Math" w:hAnsi="Cambria Math" w:cs="Times New Roman"/>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p2</m:t>
                    </m:r>
                    <m:ctrlPr>
                      <w:rPr>
                        <w:rFonts w:ascii="Cambria Math" w:hAnsi="Cambria Math" w:cs="Times New Roman"/>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p1</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−(TL+6)</m:t>
                </m:r>
              </m:oMath>
            </m:oMathPara>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pl</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——靠近开口处（或窗户）室内某倍频带的声压级或A声级，dB；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p2</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——靠近开口处（或窗户）室外某倍频带的声压级或A声级，dB；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TL——隔墙（或窗户）倍频带或A声级的隔声量。</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t>（3）噪声贡献值计算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设第i个室外声源在预测点产生的A声级为L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Ai</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，在T时间内该声源工作时间为t</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i</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；第j个等效室外声源在预测点产生的A声级为L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Aj</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，在T时间内该声源工作时间为t，在拟建工程声源对预测点产生的贡献值（L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eqg</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）为：</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m:oMathPara>
              <m:oMath>
                <m:sSub>
                  <m:sSubPr>
                    <m:ctrlPr>
                      <w:rPr>
                        <w:rFonts w:ascii="Cambria Math" w:hAnsi="Cambria Math" w:cs="Times New Roman"/>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A（r）</m:t>
                    </m:r>
                    <m:ctrlPr>
                      <w:rPr>
                        <w:rFonts w:ascii="Cambria Math" w:hAnsi="Cambria Math" w:cs="Times New Roman"/>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=10lg</m:t>
                </m:r>
                <m:d>
                  <m:dPr>
                    <m:begChr m:val="["/>
                    <m:endChr m:val="]"/>
                    <m:ctrlPr>
                      <w:rPr>
                        <w:rFonts w:ascii="Cambria Math" w:hAnsi="Cambria Math" w:cs="Times New Roman"/>
                        <w:i/>
                        <w:color w:val="000000" w:themeColor="text1"/>
                        <w:spacing w:val="0"/>
                        <w:kern w:val="21"/>
                        <w:position w:val="0"/>
                        <w:sz w:val="24"/>
                        <w:szCs w:val="20"/>
                        <w14:textFill>
                          <w14:solidFill>
                            <w14:schemeClr w14:val="tx1"/>
                          </w14:solidFill>
                        </w14:textFill>
                      </w:rPr>
                    </m:ctrlPr>
                  </m:dPr>
                  <m:e>
                    <m:f>
                      <m:fPr>
                        <m:ctrlPr>
                          <w:rPr>
                            <w:rFonts w:ascii="Cambria Math" w:hAnsi="Cambria Math" w:cs="Times New Roman"/>
                            <w:i/>
                            <w:color w:val="000000" w:themeColor="text1"/>
                            <w:spacing w:val="0"/>
                            <w:kern w:val="21"/>
                            <w:position w:val="0"/>
                            <w:sz w:val="24"/>
                            <w:szCs w:val="20"/>
                            <w14:textFill>
                              <w14:solidFill>
                                <w14:schemeClr w14:val="tx1"/>
                              </w14:solidFill>
                            </w14:textFill>
                          </w:rPr>
                        </m:ctrlPr>
                      </m:fPr>
                      <m:num>
                        <m:r>
                          <m:rPr/>
                          <w:rPr>
                            <w:rFonts w:ascii="Cambria Math" w:hAnsi="Cambria Math" w:cs="Times New Roman"/>
                            <w:color w:val="000000" w:themeColor="text1"/>
                            <w:spacing w:val="0"/>
                            <w:kern w:val="21"/>
                            <w:position w:val="0"/>
                            <w:sz w:val="24"/>
                            <w:szCs w:val="20"/>
                            <w14:textFill>
                              <w14:solidFill>
                                <w14:schemeClr w14:val="tx1"/>
                              </w14:solidFill>
                            </w14:textFill>
                          </w:rPr>
                          <m:t>1</m:t>
                        </m:r>
                        <m:ctrlPr>
                          <w:rPr>
                            <w:rFonts w:ascii="Cambria Math" w:hAnsi="Cambria Math" w:cs="Times New Roman"/>
                            <w:i/>
                            <w:color w:val="000000" w:themeColor="text1"/>
                            <w:spacing w:val="0"/>
                            <w:kern w:val="21"/>
                            <w:position w:val="0"/>
                            <w:sz w:val="24"/>
                            <w:szCs w:val="20"/>
                            <w14:textFill>
                              <w14:solidFill>
                                <w14:schemeClr w14:val="tx1"/>
                              </w14:solidFill>
                            </w14:textFill>
                          </w:rPr>
                        </m:ctrlPr>
                      </m:num>
                      <m:den>
                        <m:r>
                          <m:rPr/>
                          <w:rPr>
                            <w:rFonts w:ascii="Cambria Math" w:hAnsi="Cambria Math" w:cs="Times New Roman"/>
                            <w:color w:val="000000" w:themeColor="text1"/>
                            <w:spacing w:val="0"/>
                            <w:kern w:val="21"/>
                            <w:position w:val="0"/>
                            <w:sz w:val="24"/>
                            <w:szCs w:val="20"/>
                            <w14:textFill>
                              <w14:solidFill>
                                <w14:schemeClr w14:val="tx1"/>
                              </w14:solidFill>
                            </w14:textFill>
                          </w:rPr>
                          <m:t>T</m:t>
                        </m:r>
                        <m:ctrlPr>
                          <w:rPr>
                            <w:rFonts w:ascii="Cambria Math" w:hAnsi="Cambria Math" w:cs="Times New Roman"/>
                            <w:i/>
                            <w:color w:val="000000" w:themeColor="text1"/>
                            <w:spacing w:val="0"/>
                            <w:kern w:val="21"/>
                            <w:position w:val="0"/>
                            <w:sz w:val="24"/>
                            <w:szCs w:val="20"/>
                            <w14:textFill>
                              <w14:solidFill>
                                <w14:schemeClr w14:val="tx1"/>
                              </w14:solidFill>
                            </w14:textFill>
                          </w:rPr>
                        </m:ctrlPr>
                      </m:den>
                    </m:f>
                    <m:d>
                      <m:dPr>
                        <m:ctrlPr>
                          <w:rPr>
                            <w:rFonts w:ascii="Cambria Math" w:hAnsi="Cambria Math" w:cs="Times New Roman"/>
                            <w:i/>
                            <w:color w:val="000000" w:themeColor="text1"/>
                            <w:spacing w:val="0"/>
                            <w:kern w:val="21"/>
                            <w:position w:val="0"/>
                            <w:sz w:val="24"/>
                            <w:szCs w:val="20"/>
                            <w14:textFill>
                              <w14:solidFill>
                                <w14:schemeClr w14:val="tx1"/>
                              </w14:solidFill>
                            </w14:textFill>
                          </w:rPr>
                        </m:ctrlPr>
                      </m:dPr>
                      <m:e>
                        <m:nary>
                          <m:naryPr>
                            <m:chr m:val="∑"/>
                            <m:limLoc m:val="undOvr"/>
                            <m:ctrlPr>
                              <w:rPr>
                                <w:rFonts w:ascii="Cambria Math" w:hAnsi="Cambria Math" w:cs="Times New Roman"/>
                                <w:i/>
                                <w:color w:val="000000" w:themeColor="text1"/>
                                <w:spacing w:val="0"/>
                                <w:kern w:val="21"/>
                                <w:position w:val="0"/>
                                <w:sz w:val="24"/>
                                <w:szCs w:val="20"/>
                                <w14:textFill>
                                  <w14:solidFill>
                                    <w14:schemeClr w14:val="tx1"/>
                                  </w14:solidFill>
                                </w14:textFill>
                              </w:rPr>
                            </m:ctrlPr>
                          </m:naryPr>
                          <m:sub>
                            <m:r>
                              <m:rPr/>
                              <w:rPr>
                                <w:rFonts w:ascii="Cambria Math" w:hAnsi="Cambria Math" w:cs="Times New Roman"/>
                                <w:color w:val="000000" w:themeColor="text1"/>
                                <w:spacing w:val="0"/>
                                <w:kern w:val="21"/>
                                <w:position w:val="0"/>
                                <w:sz w:val="24"/>
                                <w:szCs w:val="20"/>
                                <w14:textFill>
                                  <w14:solidFill>
                                    <w14:schemeClr w14:val="tx1"/>
                                  </w14:solidFill>
                                </w14:textFill>
                              </w:rPr>
                              <m:t>i=1</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up>
                            <m:r>
                              <m:rPr/>
                              <w:rPr>
                                <w:rFonts w:ascii="Cambria Math" w:hAnsi="Cambria Math" w:cs="Times New Roman"/>
                                <w:color w:val="000000" w:themeColor="text1"/>
                                <w:spacing w:val="0"/>
                                <w:kern w:val="21"/>
                                <w:position w:val="0"/>
                                <w:sz w:val="24"/>
                                <w:szCs w:val="20"/>
                                <w14:textFill>
                                  <w14:solidFill>
                                    <w14:schemeClr w14:val="tx1"/>
                                  </w14:solidFill>
                                </w14:textFill>
                              </w:rPr>
                              <m:t>N</m:t>
                            </m:r>
                            <m:ctrlPr>
                              <w:rPr>
                                <w:rFonts w:ascii="Cambria Math" w:hAnsi="Cambria Math" w:cs="Times New Roman"/>
                                <w:i/>
                                <w:color w:val="000000" w:themeColor="text1"/>
                                <w:spacing w:val="0"/>
                                <w:kern w:val="21"/>
                                <w:position w:val="0"/>
                                <w:sz w:val="24"/>
                                <w:szCs w:val="20"/>
                                <w14:textFill>
                                  <w14:solidFill>
                                    <w14:schemeClr w14:val="tx1"/>
                                  </w14:solidFill>
                                </w14:textFill>
                              </w:rPr>
                            </m:ctrlPr>
                          </m:sup>
                          <m:e>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t</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i</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sSup>
                              <m:sSupPr>
                                <m:ctrlPr>
                                  <w:rPr>
                                    <w:rFonts w:ascii="Cambria Math" w:hAnsi="Cambria Math" w:cs="Times New Roman"/>
                                    <w:i/>
                                    <w:color w:val="000000" w:themeColor="text1"/>
                                    <w:spacing w:val="0"/>
                                    <w:kern w:val="21"/>
                                    <w:position w:val="0"/>
                                    <w:sz w:val="24"/>
                                    <w:szCs w:val="20"/>
                                    <w14:textFill>
                                      <w14:solidFill>
                                        <w14:schemeClr w14:val="tx1"/>
                                      </w14:solidFill>
                                    </w14:textFill>
                                  </w:rPr>
                                </m:ctrlPr>
                              </m:sSupPr>
                              <m:e>
                                <m:r>
                                  <m:rPr/>
                                  <w:rPr>
                                    <w:rFonts w:ascii="Cambria Math" w:hAnsi="Cambria Math" w:cs="Times New Roman"/>
                                    <w:color w:val="000000" w:themeColor="text1"/>
                                    <w:spacing w:val="0"/>
                                    <w:kern w:val="21"/>
                                    <w:position w:val="0"/>
                                    <w:sz w:val="24"/>
                                    <w:szCs w:val="20"/>
                                    <w14:textFill>
                                      <w14:solidFill>
                                        <w14:schemeClr w14:val="tx1"/>
                                      </w14:solidFill>
                                    </w14:textFill>
                                  </w:rPr>
                                  <m:t>10</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p>
                                <m:r>
                                  <m:rPr/>
                                  <w:rPr>
                                    <w:rFonts w:ascii="Cambria Math" w:hAnsi="Cambria Math" w:cs="Times New Roman"/>
                                    <w:color w:val="000000" w:themeColor="text1"/>
                                    <w:spacing w:val="0"/>
                                    <w:kern w:val="21"/>
                                    <w:position w:val="0"/>
                                    <w:sz w:val="24"/>
                                    <w:szCs w:val="20"/>
                                    <w14:textFill>
                                      <w14:solidFill>
                                        <w14:schemeClr w14:val="tx1"/>
                                      </w14:solidFill>
                                    </w14:textFill>
                                  </w:rPr>
                                  <m:t>0.1</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Ai</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ctrlPr>
                                  <w:rPr>
                                    <w:rFonts w:ascii="Cambria Math" w:hAnsi="Cambria Math" w:cs="Times New Roman"/>
                                    <w:i/>
                                    <w:color w:val="000000" w:themeColor="text1"/>
                                    <w:spacing w:val="0"/>
                                    <w:kern w:val="21"/>
                                    <w:position w:val="0"/>
                                    <w:sz w:val="24"/>
                                    <w:szCs w:val="20"/>
                                    <w14:textFill>
                                      <w14:solidFill>
                                        <w14:schemeClr w14:val="tx1"/>
                                      </w14:solidFill>
                                    </w14:textFill>
                                  </w:rPr>
                                </m:ctrlPr>
                              </m:sup>
                            </m:sSup>
                            <m:ctrlPr>
                              <w:rPr>
                                <w:rFonts w:ascii="Cambria Math" w:hAnsi="Cambria Math" w:cs="Times New Roman"/>
                                <w:i/>
                                <w:color w:val="000000" w:themeColor="text1"/>
                                <w:spacing w:val="0"/>
                                <w:kern w:val="21"/>
                                <w:position w:val="0"/>
                                <w:sz w:val="24"/>
                                <w:szCs w:val="20"/>
                                <w14:textFill>
                                  <w14:solidFill>
                                    <w14:schemeClr w14:val="tx1"/>
                                  </w14:solidFill>
                                </w14:textFill>
                              </w:rPr>
                            </m:ctrlPr>
                          </m:e>
                        </m:nary>
                        <m:r>
                          <m:rPr/>
                          <w:rPr>
                            <w:rFonts w:ascii="Cambria Math" w:hAnsi="Cambria Math" w:cs="Times New Roman"/>
                            <w:color w:val="000000" w:themeColor="text1"/>
                            <w:spacing w:val="0"/>
                            <w:kern w:val="21"/>
                            <w:position w:val="0"/>
                            <w:sz w:val="24"/>
                            <w:szCs w:val="20"/>
                            <w14:textFill>
                              <w14:solidFill>
                                <w14:schemeClr w14:val="tx1"/>
                              </w14:solidFill>
                            </w14:textFill>
                          </w:rPr>
                          <m:t>+</m:t>
                        </m:r>
                        <m:nary>
                          <m:naryPr>
                            <m:chr m:val="∑"/>
                            <m:limLoc m:val="undOvr"/>
                            <m:ctrlPr>
                              <w:rPr>
                                <w:rFonts w:ascii="Cambria Math" w:hAnsi="Cambria Math" w:cs="Times New Roman"/>
                                <w:i/>
                                <w:color w:val="000000" w:themeColor="text1"/>
                                <w:spacing w:val="0"/>
                                <w:kern w:val="21"/>
                                <w:position w:val="0"/>
                                <w:sz w:val="24"/>
                                <w:szCs w:val="20"/>
                                <w14:textFill>
                                  <w14:solidFill>
                                    <w14:schemeClr w14:val="tx1"/>
                                  </w14:solidFill>
                                </w14:textFill>
                              </w:rPr>
                            </m:ctrlPr>
                          </m:naryPr>
                          <m:sub>
                            <m:r>
                              <m:rPr/>
                              <w:rPr>
                                <w:rFonts w:ascii="Cambria Math" w:hAnsi="Cambria Math" w:cs="Times New Roman"/>
                                <w:color w:val="000000" w:themeColor="text1"/>
                                <w:spacing w:val="0"/>
                                <w:kern w:val="21"/>
                                <w:position w:val="0"/>
                                <w:sz w:val="24"/>
                                <w:szCs w:val="20"/>
                                <w14:textFill>
                                  <w14:solidFill>
                                    <w14:schemeClr w14:val="tx1"/>
                                  </w14:solidFill>
                                </w14:textFill>
                              </w:rPr>
                              <m:t>i=1</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up>
                            <m:r>
                              <m:rPr/>
                              <w:rPr>
                                <w:rFonts w:ascii="Cambria Math" w:hAnsi="Cambria Math" w:cs="Times New Roman"/>
                                <w:color w:val="000000" w:themeColor="text1"/>
                                <w:spacing w:val="0"/>
                                <w:kern w:val="21"/>
                                <w:position w:val="0"/>
                                <w:sz w:val="24"/>
                                <w:szCs w:val="20"/>
                                <w14:textFill>
                                  <w14:solidFill>
                                    <w14:schemeClr w14:val="tx1"/>
                                  </w14:solidFill>
                                </w14:textFill>
                              </w:rPr>
                              <m:t>M</m:t>
                            </m:r>
                            <m:ctrlPr>
                              <w:rPr>
                                <w:rFonts w:ascii="Cambria Math" w:hAnsi="Cambria Math" w:cs="Times New Roman"/>
                                <w:i/>
                                <w:color w:val="000000" w:themeColor="text1"/>
                                <w:spacing w:val="0"/>
                                <w:kern w:val="21"/>
                                <w:position w:val="0"/>
                                <w:sz w:val="24"/>
                                <w:szCs w:val="20"/>
                                <w14:textFill>
                                  <w14:solidFill>
                                    <w14:schemeClr w14:val="tx1"/>
                                  </w14:solidFill>
                                </w14:textFill>
                              </w:rPr>
                            </m:ctrlPr>
                          </m:sup>
                          <m:e>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t</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j</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sSup>
                              <m:sSupPr>
                                <m:ctrlPr>
                                  <w:rPr>
                                    <w:rFonts w:ascii="Cambria Math" w:hAnsi="Cambria Math" w:cs="Times New Roman"/>
                                    <w:i/>
                                    <w:color w:val="000000" w:themeColor="text1"/>
                                    <w:spacing w:val="0"/>
                                    <w:kern w:val="21"/>
                                    <w:position w:val="0"/>
                                    <w:sz w:val="24"/>
                                    <w:szCs w:val="20"/>
                                    <w14:textFill>
                                      <w14:solidFill>
                                        <w14:schemeClr w14:val="tx1"/>
                                      </w14:solidFill>
                                    </w14:textFill>
                                  </w:rPr>
                                </m:ctrlPr>
                              </m:sSupPr>
                              <m:e>
                                <m:r>
                                  <m:rPr/>
                                  <w:rPr>
                                    <w:rFonts w:ascii="Cambria Math" w:hAnsi="Cambria Math" w:cs="Times New Roman"/>
                                    <w:color w:val="000000" w:themeColor="text1"/>
                                    <w:spacing w:val="0"/>
                                    <w:kern w:val="21"/>
                                    <w:position w:val="0"/>
                                    <w:sz w:val="24"/>
                                    <w:szCs w:val="20"/>
                                    <w14:textFill>
                                      <w14:solidFill>
                                        <w14:schemeClr w14:val="tx1"/>
                                      </w14:solidFill>
                                    </w14:textFill>
                                  </w:rPr>
                                  <m:t>10</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p>
                                <m:r>
                                  <m:rPr/>
                                  <w:rPr>
                                    <w:rFonts w:ascii="Cambria Math" w:hAnsi="Cambria Math" w:cs="Times New Roman"/>
                                    <w:color w:val="000000" w:themeColor="text1"/>
                                    <w:spacing w:val="0"/>
                                    <w:kern w:val="21"/>
                                    <w:position w:val="0"/>
                                    <w:sz w:val="24"/>
                                    <w:szCs w:val="20"/>
                                    <w14:textFill>
                                      <w14:solidFill>
                                        <w14:schemeClr w14:val="tx1"/>
                                      </w14:solidFill>
                                    </w14:textFill>
                                  </w:rPr>
                                  <m:t>0.1</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Aj</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ctrlPr>
                                  <w:rPr>
                                    <w:rFonts w:ascii="Cambria Math" w:hAnsi="Cambria Math" w:cs="Times New Roman"/>
                                    <w:i/>
                                    <w:color w:val="000000" w:themeColor="text1"/>
                                    <w:spacing w:val="0"/>
                                    <w:kern w:val="21"/>
                                    <w:position w:val="0"/>
                                    <w:sz w:val="24"/>
                                    <w:szCs w:val="20"/>
                                    <w14:textFill>
                                      <w14:solidFill>
                                        <w14:schemeClr w14:val="tx1"/>
                                      </w14:solidFill>
                                    </w14:textFill>
                                  </w:rPr>
                                </m:ctrlPr>
                              </m:sup>
                            </m:sSup>
                            <m:ctrlPr>
                              <w:rPr>
                                <w:rFonts w:ascii="Cambria Math" w:hAnsi="Cambria Math" w:cs="Times New Roman"/>
                                <w:i/>
                                <w:color w:val="000000" w:themeColor="text1"/>
                                <w:spacing w:val="0"/>
                                <w:kern w:val="21"/>
                                <w:position w:val="0"/>
                                <w:sz w:val="24"/>
                                <w:szCs w:val="20"/>
                                <w14:textFill>
                                  <w14:solidFill>
                                    <w14:schemeClr w14:val="tx1"/>
                                  </w14:solidFill>
                                </w14:textFill>
                              </w:rPr>
                            </m:ctrlPr>
                          </m:e>
                        </m:nary>
                        <m:ctrlPr>
                          <w:rPr>
                            <w:rFonts w:ascii="Cambria Math" w:hAnsi="Cambria Math" w:cs="Times New Roman"/>
                            <w:i/>
                            <w:color w:val="000000" w:themeColor="text1"/>
                            <w:spacing w:val="0"/>
                            <w:kern w:val="21"/>
                            <w:position w:val="0"/>
                            <w:sz w:val="24"/>
                            <w:szCs w:val="20"/>
                            <w14:textFill>
                              <w14:solidFill>
                                <w14:schemeClr w14:val="tx1"/>
                              </w14:solidFill>
                            </w14:textFill>
                          </w:rPr>
                        </m:ctrlPr>
                      </m:e>
                    </m:d>
                    <m:ctrlPr>
                      <w:rPr>
                        <w:rFonts w:ascii="Cambria Math" w:hAnsi="Cambria Math" w:cs="Times New Roman"/>
                        <w:i/>
                        <w:color w:val="000000" w:themeColor="text1"/>
                        <w:spacing w:val="0"/>
                        <w:kern w:val="21"/>
                        <w:position w:val="0"/>
                        <w:sz w:val="24"/>
                        <w:szCs w:val="20"/>
                        <w14:textFill>
                          <w14:solidFill>
                            <w14:schemeClr w14:val="tx1"/>
                          </w14:solidFill>
                        </w14:textFill>
                      </w:rPr>
                    </m:ctrlPr>
                  </m:e>
                </m:d>
              </m:oMath>
            </m:oMathPara>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egq</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——建设项目声源在预测点产生的噪声贡献值，dB；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T——用于计算等效声级的时间，s；</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N——室外声源个数；</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t</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i</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——在T时间内i声源工作时间，s；</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t</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j</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——在T时间内j声源工作时间，s；</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M——等效室外声源个数。</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t>（4）预测值计算</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预测点的预测等效声级（L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eq</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）计算公式为：</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m:oMathPara>
              <m:oMath>
                <m:sSub>
                  <m:sSubPr>
                    <m:ctrlPr>
                      <w:rPr>
                        <w:rFonts w:ascii="Cambria Math" w:hAnsi="Cambria Math" w:cs="Times New Roman"/>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color w:val="000000" w:themeColor="text1"/>
                        <w:spacing w:val="0"/>
                        <w:kern w:val="21"/>
                        <w:position w:val="0"/>
                        <w:sz w:val="24"/>
                        <w:szCs w:val="20"/>
                        <w14:textFill>
                          <w14:solidFill>
                            <w14:schemeClr w14:val="tx1"/>
                          </w14:solidFill>
                        </w14:textFill>
                      </w:rPr>
                    </m:ctrlPr>
                  </m:e>
                  <m:sub>
                    <m:r>
                      <m:rPr>
                        <m:sty m:val="p"/>
                      </m:rPr>
                      <w:rPr>
                        <w:rFonts w:ascii="Cambria Math" w:hAnsi="Cambria Math" w:cs="Times New Roman"/>
                        <w:color w:val="000000" w:themeColor="text1"/>
                        <w:spacing w:val="0"/>
                        <w:kern w:val="21"/>
                        <w:position w:val="0"/>
                        <w:sz w:val="24"/>
                        <w:szCs w:val="20"/>
                        <w14:textFill>
                          <w14:solidFill>
                            <w14:schemeClr w14:val="tx1"/>
                          </w14:solidFill>
                        </w14:textFill>
                      </w:rPr>
                      <m:t>eq</m:t>
                    </m:r>
                    <m:ctrlPr>
                      <w:rPr>
                        <w:rFonts w:ascii="Cambria Math" w:hAnsi="Cambria Math" w:cs="Times New Roman"/>
                        <w:color w:val="000000" w:themeColor="text1"/>
                        <w:spacing w:val="0"/>
                        <w:kern w:val="21"/>
                        <w:position w:val="0"/>
                        <w:sz w:val="24"/>
                        <w:szCs w:val="20"/>
                        <w14:textFill>
                          <w14:solidFill>
                            <w14:schemeClr w14:val="tx1"/>
                          </w14:solidFill>
                        </w14:textFill>
                      </w:rPr>
                    </m:ctrlPr>
                  </m:sub>
                </m:sSub>
                <m:r>
                  <m:rPr/>
                  <w:rPr>
                    <w:rFonts w:ascii="Cambria Math" w:hAnsi="Cambria Math" w:cs="Times New Roman"/>
                    <w:color w:val="000000" w:themeColor="text1"/>
                    <w:spacing w:val="0"/>
                    <w:kern w:val="21"/>
                    <w:position w:val="0"/>
                    <w:sz w:val="24"/>
                    <w:szCs w:val="20"/>
                    <w14:textFill>
                      <w14:solidFill>
                        <w14:schemeClr w14:val="tx1"/>
                      </w14:solidFill>
                    </w14:textFill>
                  </w:rPr>
                  <m:t>=10lg(</m:t>
                </m:r>
                <m:sSup>
                  <m:sSupPr>
                    <m:ctrlPr>
                      <w:rPr>
                        <w:rFonts w:ascii="Cambria Math" w:hAnsi="Cambria Math" w:cs="Times New Roman"/>
                        <w:i/>
                        <w:color w:val="000000" w:themeColor="text1"/>
                        <w:spacing w:val="0"/>
                        <w:kern w:val="21"/>
                        <w:position w:val="0"/>
                        <w:sz w:val="24"/>
                        <w:szCs w:val="20"/>
                        <w14:textFill>
                          <w14:solidFill>
                            <w14:schemeClr w14:val="tx1"/>
                          </w14:solidFill>
                        </w14:textFill>
                      </w:rPr>
                    </m:ctrlPr>
                  </m:sSupPr>
                  <m:e>
                    <m:r>
                      <m:rPr/>
                      <w:rPr>
                        <w:rFonts w:ascii="Cambria Math" w:hAnsi="Cambria Math" w:cs="Times New Roman"/>
                        <w:color w:val="000000" w:themeColor="text1"/>
                        <w:spacing w:val="0"/>
                        <w:kern w:val="21"/>
                        <w:position w:val="0"/>
                        <w:sz w:val="24"/>
                        <w:szCs w:val="20"/>
                        <w14:textFill>
                          <w14:solidFill>
                            <w14:schemeClr w14:val="tx1"/>
                          </w14:solidFill>
                        </w14:textFill>
                      </w:rPr>
                      <m:t>10</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p>
                    <m:r>
                      <m:rPr/>
                      <w:rPr>
                        <w:rFonts w:ascii="Cambria Math" w:hAnsi="Cambria Math" w:cs="Times New Roman"/>
                        <w:color w:val="000000" w:themeColor="text1"/>
                        <w:spacing w:val="0"/>
                        <w:kern w:val="21"/>
                        <w:position w:val="0"/>
                        <w:sz w:val="24"/>
                        <w:szCs w:val="20"/>
                        <w14:textFill>
                          <w14:solidFill>
                            <w14:schemeClr w14:val="tx1"/>
                          </w14:solidFill>
                        </w14:textFill>
                      </w:rPr>
                      <m:t>0.1</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eqg</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ctrlPr>
                      <w:rPr>
                        <w:rFonts w:ascii="Cambria Math" w:hAnsi="Cambria Math" w:cs="Times New Roman"/>
                        <w:i/>
                        <w:color w:val="000000" w:themeColor="text1"/>
                        <w:spacing w:val="0"/>
                        <w:kern w:val="21"/>
                        <w:position w:val="0"/>
                        <w:sz w:val="24"/>
                        <w:szCs w:val="20"/>
                        <w14:textFill>
                          <w14:solidFill>
                            <w14:schemeClr w14:val="tx1"/>
                          </w14:solidFill>
                        </w14:textFill>
                      </w:rPr>
                    </m:ctrlPr>
                  </m:sup>
                </m:sSup>
                <m:r>
                  <m:rPr/>
                  <w:rPr>
                    <w:rFonts w:ascii="Cambria Math" w:hAnsi="Cambria Math" w:cs="Times New Roman"/>
                    <w:color w:val="000000" w:themeColor="text1"/>
                    <w:spacing w:val="0"/>
                    <w:kern w:val="21"/>
                    <w:position w:val="0"/>
                    <w:sz w:val="24"/>
                    <w:szCs w:val="20"/>
                    <w14:textFill>
                      <w14:solidFill>
                        <w14:schemeClr w14:val="tx1"/>
                      </w14:solidFill>
                    </w14:textFill>
                  </w:rPr>
                  <m:t>+</m:t>
                </m:r>
                <m:sSup>
                  <m:sSupPr>
                    <m:ctrlPr>
                      <w:rPr>
                        <w:rFonts w:ascii="Cambria Math" w:hAnsi="Cambria Math" w:cs="Times New Roman"/>
                        <w:i/>
                        <w:color w:val="000000" w:themeColor="text1"/>
                        <w:spacing w:val="0"/>
                        <w:kern w:val="21"/>
                        <w:position w:val="0"/>
                        <w:sz w:val="24"/>
                        <w:szCs w:val="20"/>
                        <w14:textFill>
                          <w14:solidFill>
                            <w14:schemeClr w14:val="tx1"/>
                          </w14:solidFill>
                        </w14:textFill>
                      </w:rPr>
                    </m:ctrlPr>
                  </m:sSupPr>
                  <m:e>
                    <m:r>
                      <m:rPr/>
                      <w:rPr>
                        <w:rFonts w:ascii="Cambria Math" w:hAnsi="Cambria Math" w:cs="Times New Roman"/>
                        <w:color w:val="000000" w:themeColor="text1"/>
                        <w:spacing w:val="0"/>
                        <w:kern w:val="21"/>
                        <w:position w:val="0"/>
                        <w:sz w:val="24"/>
                        <w:szCs w:val="20"/>
                        <w14:textFill>
                          <w14:solidFill>
                            <w14:schemeClr w14:val="tx1"/>
                          </w14:solidFill>
                        </w14:textFill>
                      </w:rPr>
                      <m:t>10</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p>
                    <m:r>
                      <m:rPr/>
                      <w:rPr>
                        <w:rFonts w:ascii="Cambria Math" w:hAnsi="Cambria Math" w:cs="Times New Roman"/>
                        <w:color w:val="000000" w:themeColor="text1"/>
                        <w:spacing w:val="0"/>
                        <w:kern w:val="21"/>
                        <w:position w:val="0"/>
                        <w:sz w:val="24"/>
                        <w:szCs w:val="20"/>
                        <w14:textFill>
                          <w14:solidFill>
                            <w14:schemeClr w14:val="tx1"/>
                          </w14:solidFill>
                        </w14:textFill>
                      </w:rPr>
                      <m:t>0.1</m:t>
                    </m:r>
                    <m:sSub>
                      <m:sSubPr>
                        <m:ctrlPr>
                          <w:rPr>
                            <w:rFonts w:ascii="Cambria Math" w:hAnsi="Cambria Math" w:cs="Times New Roman"/>
                            <w:i/>
                            <w:color w:val="000000" w:themeColor="text1"/>
                            <w:spacing w:val="0"/>
                            <w:kern w:val="21"/>
                            <w:position w:val="0"/>
                            <w:sz w:val="24"/>
                            <w:szCs w:val="20"/>
                            <w14:textFill>
                              <w14:solidFill>
                                <w14:schemeClr w14:val="tx1"/>
                              </w14:solidFill>
                            </w14:textFill>
                          </w:rPr>
                        </m:ctrlPr>
                      </m:sSubPr>
                      <m:e>
                        <m:r>
                          <m:rPr/>
                          <w:rPr>
                            <w:rFonts w:ascii="Cambria Math" w:hAnsi="Cambria Math" w:cs="Times New Roman"/>
                            <w:color w:val="000000" w:themeColor="text1"/>
                            <w:spacing w:val="0"/>
                            <w:kern w:val="21"/>
                            <w:position w:val="0"/>
                            <w:sz w:val="24"/>
                            <w:szCs w:val="20"/>
                            <w14:textFill>
                              <w14:solidFill>
                                <w14:schemeClr w14:val="tx1"/>
                              </w14:solidFill>
                            </w14:textFill>
                          </w:rPr>
                          <m:t>L</m:t>
                        </m:r>
                        <m:ctrlPr>
                          <w:rPr>
                            <w:rFonts w:ascii="Cambria Math" w:hAnsi="Cambria Math" w:cs="Times New Roman"/>
                            <w:i/>
                            <w:color w:val="000000" w:themeColor="text1"/>
                            <w:spacing w:val="0"/>
                            <w:kern w:val="21"/>
                            <w:position w:val="0"/>
                            <w:sz w:val="24"/>
                            <w:szCs w:val="20"/>
                            <w14:textFill>
                              <w14:solidFill>
                                <w14:schemeClr w14:val="tx1"/>
                              </w14:solidFill>
                            </w14:textFill>
                          </w:rPr>
                        </m:ctrlPr>
                      </m:e>
                      <m:sub>
                        <m:r>
                          <m:rPr/>
                          <w:rPr>
                            <w:rFonts w:ascii="Cambria Math" w:hAnsi="Cambria Math" w:cs="Times New Roman"/>
                            <w:color w:val="000000" w:themeColor="text1"/>
                            <w:spacing w:val="0"/>
                            <w:kern w:val="21"/>
                            <w:position w:val="0"/>
                            <w:sz w:val="24"/>
                            <w:szCs w:val="20"/>
                            <w14:textFill>
                              <w14:solidFill>
                                <w14:schemeClr w14:val="tx1"/>
                              </w14:solidFill>
                            </w14:textFill>
                          </w:rPr>
                          <m:t>eqb</m:t>
                        </m:r>
                        <m:ctrlPr>
                          <w:rPr>
                            <w:rFonts w:ascii="Cambria Math" w:hAnsi="Cambria Math" w:cs="Times New Roman"/>
                            <w:i/>
                            <w:color w:val="000000" w:themeColor="text1"/>
                            <w:spacing w:val="0"/>
                            <w:kern w:val="21"/>
                            <w:position w:val="0"/>
                            <w:sz w:val="24"/>
                            <w:szCs w:val="20"/>
                            <w14:textFill>
                              <w14:solidFill>
                                <w14:schemeClr w14:val="tx1"/>
                              </w14:solidFill>
                            </w14:textFill>
                          </w:rPr>
                        </m:ctrlPr>
                      </m:sub>
                    </m:sSub>
                    <m:ctrlPr>
                      <w:rPr>
                        <w:rFonts w:ascii="Cambria Math" w:hAnsi="Cambria Math" w:cs="Times New Roman"/>
                        <w:i/>
                        <w:color w:val="000000" w:themeColor="text1"/>
                        <w:spacing w:val="0"/>
                        <w:kern w:val="21"/>
                        <w:position w:val="0"/>
                        <w:sz w:val="24"/>
                        <w:szCs w:val="20"/>
                        <w14:textFill>
                          <w14:solidFill>
                            <w14:schemeClr w14:val="tx1"/>
                          </w14:solidFill>
                        </w14:textFill>
                      </w:rPr>
                    </m:ctrlPr>
                  </m:sup>
                </m:sSup>
                <m:r>
                  <m:rPr/>
                  <w:rPr>
                    <w:rFonts w:ascii="Cambria Math" w:hAnsi="Cambria Math" w:cs="Times New Roman"/>
                    <w:color w:val="000000" w:themeColor="text1"/>
                    <w:spacing w:val="0"/>
                    <w:kern w:val="21"/>
                    <w:position w:val="0"/>
                    <w:sz w:val="24"/>
                    <w:szCs w:val="20"/>
                    <w14:textFill>
                      <w14:solidFill>
                        <w14:schemeClr w14:val="tx1"/>
                      </w14:solidFill>
                    </w14:textFill>
                  </w:rPr>
                  <m:t>)</m:t>
                </m:r>
              </m:oMath>
            </m:oMathPara>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eq</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——预测点的噪声预测值，dB；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eqg</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——建设项目声源在预测点产生的噪声贡献值，dB；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L</w:t>
            </w:r>
            <w:r>
              <w:rPr>
                <w:rFonts w:ascii="Times New Roman" w:hAnsi="Times New Roman" w:eastAsia="宋体" w:cs="Times New Roman"/>
                <w:color w:val="000000" w:themeColor="text1"/>
                <w:spacing w:val="0"/>
                <w:kern w:val="21"/>
                <w:position w:val="0"/>
                <w:sz w:val="24"/>
                <w:szCs w:val="20"/>
                <w:vertAlign w:val="subscript"/>
                <w14:textFill>
                  <w14:solidFill>
                    <w14:schemeClr w14:val="tx1"/>
                  </w14:solidFill>
                </w14:textFill>
              </w:rPr>
              <w:t>eqb</w:t>
            </w:r>
            <w:r>
              <w:rPr>
                <w:rFonts w:ascii="Times New Roman" w:hAnsi="Times New Roman" w:eastAsia="宋体" w:cs="Times New Roman"/>
                <w:color w:val="000000" w:themeColor="text1"/>
                <w:spacing w:val="0"/>
                <w:kern w:val="21"/>
                <w:position w:val="0"/>
                <w:sz w:val="24"/>
                <w:szCs w:val="20"/>
                <w14:textFill>
                  <w14:solidFill>
                    <w14:schemeClr w14:val="tx1"/>
                  </w14:solidFill>
                </w14:textFill>
              </w:rPr>
              <w:t>——预测点的背景噪声值，dB。</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噪声</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贡献值等声级线图如下所示。</w:t>
            </w:r>
          </w:p>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4626610</wp:posOffset>
                  </wp:positionH>
                  <wp:positionV relativeFrom="paragraph">
                    <wp:posOffset>92710</wp:posOffset>
                  </wp:positionV>
                  <wp:extent cx="610235" cy="3322955"/>
                  <wp:effectExtent l="0" t="0" r="18415" b="10795"/>
                  <wp:wrapNone/>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63"/>
                          <a:stretch>
                            <a:fillRect/>
                          </a:stretch>
                        </pic:blipFill>
                        <pic:spPr>
                          <a:xfrm>
                            <a:off x="0" y="0"/>
                            <a:ext cx="610235" cy="3322955"/>
                          </a:xfrm>
                          <a:prstGeom prst="rect">
                            <a:avLst/>
                          </a:prstGeom>
                          <a:noFill/>
                          <a:ln>
                            <a:noFill/>
                          </a:ln>
                        </pic:spPr>
                      </pic:pic>
                    </a:graphicData>
                  </a:graphic>
                </wp:anchor>
              </w:drawing>
            </w:r>
            <w:r>
              <w:rPr>
                <w:color w:val="000000" w:themeColor="text1"/>
                <w:spacing w:val="0"/>
                <w:kern w:val="21"/>
                <w:position w:val="0"/>
                <w14:textFill>
                  <w14:solidFill>
                    <w14:schemeClr w14:val="tx1"/>
                  </w14:solidFill>
                </w14:textFill>
              </w:rPr>
              <w:drawing>
                <wp:inline distT="0" distB="0" distL="114300" distR="114300">
                  <wp:extent cx="5306695" cy="3512820"/>
                  <wp:effectExtent l="9525" t="9525" r="17780" b="2095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64"/>
                          <a:stretch>
                            <a:fillRect/>
                          </a:stretch>
                        </pic:blipFill>
                        <pic:spPr>
                          <a:xfrm>
                            <a:off x="0" y="0"/>
                            <a:ext cx="5306695" cy="3512820"/>
                          </a:xfrm>
                          <a:prstGeom prst="rect">
                            <a:avLst/>
                          </a:prstGeom>
                          <a:noFill/>
                          <a:ln>
                            <a:solidFill>
                              <a:schemeClr val="tx1"/>
                            </a:solidFill>
                          </a:ln>
                        </pic:spPr>
                      </pic:pic>
                    </a:graphicData>
                  </a:graphic>
                </wp:inline>
              </w:drawing>
            </w:r>
          </w:p>
          <w:p>
            <w:pPr>
              <w:pageBreakBefore w:val="0"/>
              <w:widowControl/>
              <w:numPr>
                <w:ilvl w:val="0"/>
                <w:numId w:val="35"/>
              </w:numPr>
              <w:kinsoku/>
              <w:overflowPunct/>
              <w:autoSpaceDE/>
              <w:autoSpaceDN/>
              <w:bidi w:val="0"/>
              <w:adjustRightInd w:val="0"/>
              <w:snapToGrid w:val="0"/>
              <w:spacing w:before="62" w:beforeLines="20" w:after="62" w:afterLines="20"/>
              <w:ind w:left="0" w:firstLine="0"/>
              <w:jc w:val="center"/>
              <w:textAlignment w:val="auto"/>
              <w:rPr>
                <w:rFonts w:ascii="Times New Roman" w:hAnsi="Times New Roman" w:eastAsia="宋体" w:cs="Times New Roman"/>
                <w:b/>
                <w:color w:val="000000" w:themeColor="text1"/>
                <w:spacing w:val="0"/>
                <w:kern w:val="21"/>
                <w:position w:val="0"/>
                <w:szCs w:val="20"/>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本项目噪声贡献值等值声级线图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项目运营期各厂界噪声贡献值见下表所示：</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项目噪声预测结果 单位dB（A）</w:t>
            </w:r>
          </w:p>
          <w:tbl>
            <w:tblPr>
              <w:tblStyle w:val="20"/>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2058"/>
              <w:gridCol w:w="1269"/>
              <w:gridCol w:w="1272"/>
              <w:gridCol w:w="1269"/>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项目</w:t>
                  </w:r>
                </w:p>
              </w:tc>
              <w:tc>
                <w:tcPr>
                  <w:tcW w:w="1228"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预测点</w:t>
                  </w:r>
                </w:p>
              </w:tc>
              <w:tc>
                <w:tcPr>
                  <w:tcW w:w="1516"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贡献值</w:t>
                  </w:r>
                </w:p>
              </w:tc>
              <w:tc>
                <w:tcPr>
                  <w:tcW w:w="1518" w:type="pct"/>
                  <w:gridSpan w:val="2"/>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厂界标准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36"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p>
              </w:tc>
              <w:tc>
                <w:tcPr>
                  <w:tcW w:w="1228" w:type="pct"/>
                  <w:vMerge w:val="continue"/>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p>
              </w:tc>
              <w:tc>
                <w:tcPr>
                  <w:tcW w:w="7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昼间</w:t>
                  </w:r>
                </w:p>
              </w:tc>
              <w:tc>
                <w:tcPr>
                  <w:tcW w:w="759"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夜间</w:t>
                  </w:r>
                </w:p>
              </w:tc>
              <w:tc>
                <w:tcPr>
                  <w:tcW w:w="7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昼间</w:t>
                  </w:r>
                </w:p>
              </w:tc>
              <w:tc>
                <w:tcPr>
                  <w:tcW w:w="761"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厂界</w:t>
                  </w:r>
                </w:p>
              </w:tc>
              <w:tc>
                <w:tcPr>
                  <w:tcW w:w="122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东侧厂界</w:t>
                  </w:r>
                </w:p>
              </w:tc>
              <w:tc>
                <w:tcPr>
                  <w:tcW w:w="7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53.96</w:t>
                  </w:r>
                </w:p>
              </w:tc>
              <w:tc>
                <w:tcPr>
                  <w:tcW w:w="759"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53.96</w:t>
                  </w:r>
                </w:p>
              </w:tc>
              <w:tc>
                <w:tcPr>
                  <w:tcW w:w="757"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65</w:t>
                  </w:r>
                </w:p>
              </w:tc>
              <w:tc>
                <w:tcPr>
                  <w:tcW w:w="761" w:type="pct"/>
                  <w:vMerge w:val="restar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2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南侧厂界</w:t>
                  </w:r>
                </w:p>
              </w:tc>
              <w:tc>
                <w:tcPr>
                  <w:tcW w:w="7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51.89</w:t>
                  </w:r>
                </w:p>
              </w:tc>
              <w:tc>
                <w:tcPr>
                  <w:tcW w:w="759"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51.89</w:t>
                  </w:r>
                </w:p>
              </w:tc>
              <w:tc>
                <w:tcPr>
                  <w:tcW w:w="75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6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2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西侧厂界</w:t>
                  </w:r>
                </w:p>
              </w:tc>
              <w:tc>
                <w:tcPr>
                  <w:tcW w:w="7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49.96</w:t>
                  </w:r>
                </w:p>
              </w:tc>
              <w:tc>
                <w:tcPr>
                  <w:tcW w:w="759"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49.96</w:t>
                  </w:r>
                </w:p>
              </w:tc>
              <w:tc>
                <w:tcPr>
                  <w:tcW w:w="75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6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228"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北侧厂界</w:t>
                  </w:r>
                </w:p>
              </w:tc>
              <w:tc>
                <w:tcPr>
                  <w:tcW w:w="75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46.75</w:t>
                  </w:r>
                </w:p>
              </w:tc>
              <w:tc>
                <w:tcPr>
                  <w:tcW w:w="759"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46.75</w:t>
                  </w:r>
                </w:p>
              </w:tc>
              <w:tc>
                <w:tcPr>
                  <w:tcW w:w="757"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761" w:type="pct"/>
                  <w:vMerge w:val="continue"/>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lang w:val="en-US" w:eastAsia="zh-CN"/>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由上表预测结果可知，本项目各厂界昼间、夜间噪声均能满足《工业企业厂界环境噪声排放标准》（</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GB12348</w:t>
            </w:r>
            <w:r>
              <w:rPr>
                <w:rFonts w:ascii="Times New Roman" w:hAnsi="Times New Roman" w:eastAsia="宋体" w:cs="Times New Roman"/>
                <w:bCs/>
                <w:color w:val="000000" w:themeColor="text1"/>
                <w:spacing w:val="0"/>
                <w:kern w:val="21"/>
                <w:position w:val="0"/>
                <w:sz w:val="24"/>
                <w14:textFill>
                  <w14:solidFill>
                    <w14:schemeClr w14:val="tx1"/>
                  </w14:solidFill>
                </w14:textFill>
              </w:rPr>
              <w:t>-2008）3类标准限值，噪声不会对周围声环境质量造成明显影响。</w:t>
            </w:r>
          </w:p>
          <w:p>
            <w:pPr>
              <w:pageBreakBefore w:val="0"/>
              <w:kinsoku/>
              <w:overflowPunct/>
              <w:autoSpaceDE/>
              <w:autoSpaceDN/>
              <w:bidi w:val="0"/>
              <w:adjustRightInd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14:textFill>
                  <w14:solidFill>
                    <w14:schemeClr w14:val="tx1"/>
                  </w14:solidFill>
                </w14:textFill>
              </w:rPr>
              <w:t>综上，</w:t>
            </w:r>
            <w:r>
              <w:rPr>
                <w:rFonts w:hint="eastAsia" w:ascii="Times New Roman" w:hAnsi="Times New Roman" w:eastAsia="宋体" w:cs="Times New Roman"/>
                <w:bCs/>
                <w:color w:val="000000" w:themeColor="text1"/>
                <w:spacing w:val="0"/>
                <w:kern w:val="21"/>
                <w:position w:val="0"/>
                <w:sz w:val="24"/>
                <w:lang w:val="en-US" w:eastAsia="zh-CN"/>
                <w14:textFill>
                  <w14:solidFill>
                    <w14:schemeClr w14:val="tx1"/>
                  </w14:solidFill>
                </w14:textFill>
              </w:rPr>
              <w:t>本项目厂界50m范围内无声环境保护目标，</w:t>
            </w:r>
            <w:r>
              <w:rPr>
                <w:rFonts w:ascii="Times New Roman" w:hAnsi="Times New Roman" w:eastAsia="宋体" w:cs="Times New Roman"/>
                <w:bCs/>
                <w:color w:val="000000" w:themeColor="text1"/>
                <w:spacing w:val="0"/>
                <w:kern w:val="21"/>
                <w:position w:val="0"/>
                <w:sz w:val="24"/>
                <w14:textFill>
                  <w14:solidFill>
                    <w14:schemeClr w14:val="tx1"/>
                  </w14:solidFill>
                </w14:textFill>
              </w:rPr>
              <w:t>在严格落实本次评价提出的噪声防治措施后，本项目生产不会对周围声环境质量造成明显影响。</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3、</w:t>
            </w: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噪声监测要求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参考《排污单位自行监测技术指南 总则》（HJ1088-2</w:t>
            </w:r>
            <w:r>
              <w:rPr>
                <w:rFonts w:ascii="Times New Roman" w:hAnsi="Times New Roman" w:eastAsia="宋体" w:cs="Times New Roman"/>
                <w:color w:val="000000" w:themeColor="text1"/>
                <w:spacing w:val="0"/>
                <w:kern w:val="21"/>
                <w:position w:val="0"/>
                <w:sz w:val="24"/>
                <w14:textFill>
                  <w14:solidFill>
                    <w14:schemeClr w14:val="tx1"/>
                  </w14:solidFill>
                </w14:textFill>
              </w:rPr>
              <w:t>020），</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参考《排污单位自行监测技术指南 涂装》（HJ 1086-2020），</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本项目噪声监测要求及监测</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布点情况如下：</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项目噪声监测计划一览表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0" w:type="dxa"/>
                <w:bottom w:w="0" w:type="dxa"/>
                <w:right w:w="0" w:type="dxa"/>
              </w:tblCellMar>
            </w:tblPr>
            <w:tblGrid>
              <w:gridCol w:w="652"/>
              <w:gridCol w:w="863"/>
              <w:gridCol w:w="1162"/>
              <w:gridCol w:w="1016"/>
              <w:gridCol w:w="1459"/>
              <w:gridCol w:w="322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102" w:hRule="atLeast"/>
                <w:jc w:val="center"/>
              </w:trPr>
              <w:tc>
                <w:tcPr>
                  <w:tcW w:w="389" w:type="pct"/>
                  <w:tcBorders>
                    <w:bottom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类型</w:t>
                  </w:r>
                </w:p>
              </w:tc>
              <w:tc>
                <w:tcPr>
                  <w:tcW w:w="515" w:type="pct"/>
                  <w:tcBorders>
                    <w:left w:val="single" w:color="auto" w:sz="8" w:space="0"/>
                    <w:bottom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污染源</w:t>
                  </w:r>
                </w:p>
              </w:tc>
              <w:tc>
                <w:tcPr>
                  <w:tcW w:w="693" w:type="pct"/>
                  <w:tcBorders>
                    <w:left w:val="single" w:color="auto" w:sz="8" w:space="0"/>
                    <w:bottom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监测点位</w:t>
                  </w:r>
                </w:p>
              </w:tc>
              <w:tc>
                <w:tcPr>
                  <w:tcW w:w="606" w:type="pct"/>
                  <w:tcBorders>
                    <w:left w:val="single" w:color="auto" w:sz="8" w:space="0"/>
                    <w:bottom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监测指标</w:t>
                  </w:r>
                </w:p>
              </w:tc>
              <w:tc>
                <w:tcPr>
                  <w:tcW w:w="870" w:type="pct"/>
                  <w:tcBorders>
                    <w:left w:val="single" w:color="auto" w:sz="8" w:space="0"/>
                    <w:bottom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监测频次</w:t>
                  </w:r>
                </w:p>
              </w:tc>
              <w:tc>
                <w:tcPr>
                  <w:tcW w:w="1925" w:type="pct"/>
                  <w:tcBorders>
                    <w:left w:val="single" w:color="auto" w:sz="8" w:space="0"/>
                    <w:bottom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132" w:hRule="atLeast"/>
                <w:jc w:val="center"/>
              </w:trPr>
              <w:tc>
                <w:tcPr>
                  <w:tcW w:w="389" w:type="pct"/>
                  <w:tcBorders>
                    <w:top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噪声</w:t>
                  </w:r>
                </w:p>
              </w:tc>
              <w:tc>
                <w:tcPr>
                  <w:tcW w:w="515" w:type="pct"/>
                  <w:tcBorders>
                    <w:top w:val="single" w:color="auto" w:sz="8" w:space="0"/>
                    <w:left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生产设备</w:t>
                  </w:r>
                </w:p>
              </w:tc>
              <w:tc>
                <w:tcPr>
                  <w:tcW w:w="693" w:type="pct"/>
                  <w:tcBorders>
                    <w:top w:val="single" w:color="auto" w:sz="8" w:space="0"/>
                    <w:left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厂界四周4个点</w:t>
                  </w:r>
                </w:p>
              </w:tc>
              <w:tc>
                <w:tcPr>
                  <w:tcW w:w="606" w:type="pct"/>
                  <w:tcBorders>
                    <w:top w:val="single" w:color="auto" w:sz="8" w:space="0"/>
                    <w:left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等效连续A声级</w:t>
                  </w:r>
                </w:p>
              </w:tc>
              <w:tc>
                <w:tcPr>
                  <w:tcW w:w="870" w:type="pct"/>
                  <w:tcBorders>
                    <w:top w:val="single" w:color="auto" w:sz="8" w:space="0"/>
                    <w:left w:val="single" w:color="auto" w:sz="8" w:space="0"/>
                    <w:righ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1次/季度</w:t>
                  </w:r>
                  <w:r>
                    <w:rPr>
                      <w:rFonts w:ascii="Times New Roman" w:hAnsi="Times New Roman" w:eastAsia="宋体" w:cs="Times New Roman"/>
                      <w:color w:val="000000" w:themeColor="text1"/>
                      <w:spacing w:val="0"/>
                      <w:kern w:val="21"/>
                      <w:position w:val="0"/>
                      <w14:textFill>
                        <w14:solidFill>
                          <w14:schemeClr w14:val="tx1"/>
                        </w14:solidFill>
                      </w14:textFill>
                    </w:rPr>
                    <w:t>，昼、夜间各1次</w:t>
                  </w:r>
                </w:p>
              </w:tc>
              <w:tc>
                <w:tcPr>
                  <w:tcW w:w="1925" w:type="pct"/>
                  <w:tcBorders>
                    <w:top w:val="single" w:color="auto" w:sz="8" w:space="0"/>
                    <w:left w:val="single" w:color="auto" w:sz="8"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《工业企业厂界环境噪声排放标准》（GB12348-2008）3类标准</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四、固体废物</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本项目固体废物包括一般工业固体废物、生活垃圾</w:t>
            </w:r>
            <w:r>
              <w:rPr>
                <w:rFonts w:hint="eastAsia" w:ascii="Times New Roman" w:hAnsi="Times New Roman" w:eastAsia="宋体" w:cs="Times New Roman"/>
                <w:color w:val="000000" w:themeColor="text1"/>
                <w:spacing w:val="0"/>
                <w:kern w:val="21"/>
                <w:position w:val="0"/>
                <w:sz w:val="24"/>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危险废物</w:t>
            </w:r>
            <w:r>
              <w:rPr>
                <w:rFonts w:hint="eastAsia" w:ascii="Times New Roman" w:hAnsi="Times New Roman" w:eastAsia="宋体" w:cs="Times New Roman"/>
                <w:color w:val="000000" w:themeColor="text1"/>
                <w:spacing w:val="0"/>
                <w:kern w:val="21"/>
                <w:position w:val="0"/>
                <w:sz w:val="24"/>
                <w:lang w:val="en-US" w:eastAsia="zh-CN" w:bidi="ar"/>
                <w14:textFill>
                  <w14:solidFill>
                    <w14:schemeClr w14:val="tx1"/>
                  </w14:solidFill>
                </w14:textFill>
              </w:rPr>
              <w:t>及待鉴别废物</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，一般工业固体废物主要包括</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废边角料</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、布袋收尘</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、废包装材料、金属加工粉尘、废催化剂；危险废物包括废漆料桶、废胶桶、</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废有机溶剂桶、漆料打磨收尘、</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漆渣、废机油、废油桶、含油手套及抹布、废切削液、废活性炭、废过滤棉、</w:t>
            </w:r>
            <w:r>
              <w:rPr>
                <w:rFonts w:hint="eastAsia" w:ascii="Times New Roman" w:hAnsi="Times New Roman" w:eastAsia="宋体" w:cs="Times New Roman"/>
                <w:color w:val="000000" w:themeColor="text1"/>
                <w:spacing w:val="0"/>
                <w:kern w:val="21"/>
                <w:position w:val="0"/>
                <w:sz w:val="24"/>
                <w:lang w:eastAsia="zh-CN" w:bidi="ar"/>
                <w14:textFill>
                  <w14:solidFill>
                    <w14:schemeClr w14:val="tx1"/>
                  </w14:solidFill>
                </w14:textFill>
              </w:rPr>
              <w:t>水旋柜废液</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、废水站污泥</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pageBreakBefore w:val="0"/>
              <w:kinsoku/>
              <w:overflowPunct/>
              <w:autoSpaceDE/>
              <w:autoSpaceDN/>
              <w:bidi w:val="0"/>
              <w:spacing w:line="360" w:lineRule="auto"/>
              <w:ind w:firstLine="482"/>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1、</w:t>
            </w: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一般工业固体废物</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布袋收尘：</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经计算，本项目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木料</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粉尘、</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金属加工粉尘</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等布袋收尘量为</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9.7276</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r>
              <w:rPr>
                <w:rFonts w:ascii="Times New Roman" w:hAnsi="Times New Roman" w:eastAsia="宋体" w:cs="Times New Roman"/>
                <w:color w:val="000000" w:themeColor="text1"/>
                <w:spacing w:val="0"/>
                <w:kern w:val="21"/>
                <w:position w:val="0"/>
                <w:sz w:val="24"/>
                <w14:textFill>
                  <w14:solidFill>
                    <w14:schemeClr w14:val="tx1"/>
                  </w14:solidFill>
                </w14:textFill>
              </w:rPr>
              <w:t>根据《一般固体废物分类及代码》（GB/T 39198-2020），布袋收尘属于“非特定行业生产过程中产生的工业粉尘”，固废类别为“非特定行业生产过程中产生的工业粉尘”，代码为900-999-66，属一般固废，经收集后</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外售废旧资源回收单位</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废包装材料：</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根据建设单位提供的资料，各类原辅材料的废包装袋产生量约0.5t/a，产品包装产生的废包装材料产生量约为2t/a，合计废包装材料产生量约2.5t/a。根据《一般固体废物分类与代码》（GB/T39198-2020），废包装材料属于“生产过程产生的报废复合包装物”，固废类别为“废复合包装”，代码为223-001-07，属一般固废，</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收集</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后外售废旧资源回收单位。</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废边角料：</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本项目废边角料包括</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木材边</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角料、金属边角料、海绵边角料、布皮边角料</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，根据物料平衡分析，本项目废边角料产生量为</w:t>
            </w:r>
            <w:r>
              <w:rPr>
                <w:rFonts w:hint="eastAsia" w:ascii="Times New Roman" w:hAnsi="Times New Roman" w:eastAsia="宋体" w:cs="Times New Roman"/>
                <w:bCs/>
                <w:color w:val="000000" w:themeColor="text1"/>
                <w:spacing w:val="0"/>
                <w:kern w:val="21"/>
                <w:position w:val="0"/>
                <w:sz w:val="24"/>
                <w:lang w:eastAsia="zh-CN" w:bidi="ar"/>
                <w14:textFill>
                  <w14:solidFill>
                    <w14:schemeClr w14:val="tx1"/>
                  </w14:solidFill>
                </w14:textFill>
              </w:rPr>
              <w:t>205.3745</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t/a。</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根据《一般固体废物分类与代码》（GB/T39198-2020），废边角料属一般固废，</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收集</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后外售废旧资源回收单位。</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废催化剂：</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所使用催化燃烧装置需定期更换催化剂，根据建设单位提供资料，每年需更换1t催化剂，其主要成分为铜、铁、钴、铂、钯等金属成分，根据《一般固体废物分类与代码》（GB/T39198-2020）可知，废催化剂为“Ⅰ废弃资源 10废有色金属-废气</w:t>
            </w:r>
            <w:r>
              <w:rPr>
                <w:rFonts w:ascii="Times New Roman" w:hAnsi="Times New Roman" w:eastAsia="宋体" w:cs="Times New Roman"/>
                <w:color w:val="000000" w:themeColor="text1"/>
                <w:spacing w:val="0"/>
                <w:kern w:val="21"/>
                <w:position w:val="0"/>
                <w:sz w:val="24"/>
                <w:szCs w:val="22"/>
                <w:lang w:eastAsia="zh-Hans"/>
                <w14:textFill>
                  <w14:solidFill>
                    <w14:schemeClr w14:val="tx1"/>
                  </w14:solidFill>
                </w14:textFill>
              </w:rPr>
              <w:t>环保治理行业</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”，类别代码为772-002-10。</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金属加工粉尘：</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为产品切割过程产生的细小金属颗粒物碎屑，或经人工打磨后沉降于地面</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未被</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收集的金属粉尘，</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产生量</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约为</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1.3596</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t/a，收集后进行外售处置。</w:t>
            </w:r>
          </w:p>
          <w:p>
            <w:pPr>
              <w:keepNext w:val="0"/>
              <w:keepLines w:val="0"/>
              <w:pageBreakBefore w:val="0"/>
              <w:widowControl/>
              <w:kinsoku/>
              <w:wordWrap/>
              <w:overflowPunct/>
              <w:topLinePunct w:val="0"/>
              <w:autoSpaceDE/>
              <w:autoSpaceDN/>
              <w:bidi w:val="0"/>
              <w:adjustRightInd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2、生活垃圾</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bCs/>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w:t>
            </w:r>
            <w:r>
              <w:rPr>
                <w:rFonts w:ascii="Times New Roman" w:hAnsi="Times New Roman" w:eastAsia="宋体" w:cs="Times New Roman"/>
                <w:iCs/>
                <w:snapToGrid w:val="0"/>
                <w:color w:val="000000" w:themeColor="text1"/>
                <w:spacing w:val="0"/>
                <w:kern w:val="21"/>
                <w:position w:val="0"/>
                <w:sz w:val="24"/>
                <w:lang w:bidi="ar"/>
                <w14:textFill>
                  <w14:solidFill>
                    <w14:schemeClr w14:val="tx1"/>
                  </w14:solidFill>
                </w14:textFill>
              </w:rPr>
              <w:t>劳动定员</w:t>
            </w:r>
            <w:r>
              <w:rPr>
                <w:rFonts w:hint="eastAsia" w:ascii="Times New Roman" w:hAnsi="Times New Roman" w:eastAsia="宋体" w:cs="Times New Roman"/>
                <w:iCs/>
                <w:snapToGrid w:val="0"/>
                <w:color w:val="000000" w:themeColor="text1"/>
                <w:spacing w:val="0"/>
                <w:kern w:val="21"/>
                <w:position w:val="0"/>
                <w:sz w:val="24"/>
                <w:lang w:bidi="ar"/>
                <w14:textFill>
                  <w14:solidFill>
                    <w14:schemeClr w14:val="tx1"/>
                  </w14:solidFill>
                </w14:textFill>
              </w:rPr>
              <w:t>3</w:t>
            </w:r>
            <w:r>
              <w:rPr>
                <w:rFonts w:ascii="Times New Roman" w:hAnsi="Times New Roman" w:eastAsia="宋体" w:cs="Times New Roman"/>
                <w:iCs/>
                <w:snapToGrid w:val="0"/>
                <w:color w:val="000000" w:themeColor="text1"/>
                <w:spacing w:val="0"/>
                <w:kern w:val="21"/>
                <w:position w:val="0"/>
                <w:sz w:val="24"/>
                <w:lang w:bidi="ar"/>
                <w14:textFill>
                  <w14:solidFill>
                    <w14:schemeClr w14:val="tx1"/>
                  </w14:solidFill>
                </w14:textFill>
              </w:rPr>
              <w:t>00人</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，年工作330天。生活垃圾产生量以0.5kg/d·人计，则项目运营期间员工生活垃圾产生量为</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49.5</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t/a。员工产生的生活垃圾经垃圾桶收集后，由环卫部门统一清运处理。</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3、危险废物</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（1）废漆料桶</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本项目水性漆用量</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19.98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t/a，合计约</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1000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桶（20kg/桶），空桶重量约1.5kg/个，产生废漆料桶约</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1.5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属于《国家危险废物名录（2021年版）》中的“含有或沾染毒性、感染性危险废物的废弃包装物、容器、过滤吸附介质”，废物类别为HW49，废物代码为900-041-49，暂存于危废暂存间，并定期</w:t>
            </w:r>
            <w:r>
              <w:rPr>
                <w:rFonts w:ascii="Times New Roman" w:hAnsi="Times New Roman" w:eastAsia="宋体" w:cs="Times New Roman"/>
                <w:color w:val="000000" w:themeColor="text1"/>
                <w:spacing w:val="0"/>
                <w:kern w:val="21"/>
                <w:position w:val="0"/>
                <w:sz w:val="24"/>
                <w14:textFill>
                  <w14:solidFill>
                    <w14:schemeClr w14:val="tx1"/>
                  </w14:solidFill>
                </w14:textFill>
              </w:rPr>
              <w:t>交由有危废处理资质的单位进行处置</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（2）废胶桶</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本项目水基</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木材拼</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板胶、</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水基环保粘合剂用量</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7.7</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t/a，合计约</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389</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桶（20kg/桶），空桶重量约1.5kg/个，产生废胶桶约</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0.5835</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属于《国家危险废物名录（2021年版）》中的“含有或沾染毒性、感染性危险废物的废弃包装物、容器、过滤吸附介质”，废物类别为HW49，废物代码为900-041-49，暂存于危废暂存间，并定期</w:t>
            </w:r>
            <w:r>
              <w:rPr>
                <w:rFonts w:ascii="Times New Roman" w:hAnsi="Times New Roman" w:eastAsia="宋体" w:cs="Times New Roman"/>
                <w:color w:val="000000" w:themeColor="text1"/>
                <w:spacing w:val="0"/>
                <w:kern w:val="21"/>
                <w:position w:val="0"/>
                <w:sz w:val="24"/>
                <w14:textFill>
                  <w14:solidFill>
                    <w14:schemeClr w14:val="tx1"/>
                  </w14:solidFill>
                </w14:textFill>
              </w:rPr>
              <w:t>交由有危废处理资质的单位进行处置</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（3）废有机溶剂桶</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本项目有机硅烷水溶液用量5t/a，合计约10桶（500kg/桶）</w:t>
            </w:r>
            <w:r>
              <w:rPr>
                <w:rFonts w:ascii="Times New Roman" w:hAnsi="Times New Roman" w:eastAsia="宋体" w:cs="Times New Roman"/>
                <w:bCs/>
                <w:color w:val="000000" w:themeColor="text1"/>
                <w:spacing w:val="0"/>
                <w:kern w:val="21"/>
                <w:position w:val="0"/>
                <w:sz w:val="24"/>
                <w14:textFill>
                  <w14:solidFill>
                    <w14:schemeClr w14:val="tx1"/>
                  </w14:solidFill>
                </w14:textFill>
              </w:rPr>
              <w:t>，桶重约5kg/个，</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废有机溶剂桶产生量约为0.05t/a，属于《国家危险废物名录（2021年版）》中的“含有或沾染毒性、感染性危险废物的废弃包装物、容器、过滤吸附介质”，废物类别为HW49，废物代码为900-041-49。暂存于危废暂存间，并定期</w:t>
            </w:r>
            <w:r>
              <w:rPr>
                <w:rFonts w:ascii="Times New Roman" w:hAnsi="Times New Roman" w:eastAsia="宋体" w:cs="Times New Roman"/>
                <w:color w:val="000000" w:themeColor="text1"/>
                <w:spacing w:val="0"/>
                <w:kern w:val="21"/>
                <w:position w:val="0"/>
                <w:sz w:val="24"/>
                <w14:textFill>
                  <w14:solidFill>
                    <w14:schemeClr w14:val="tx1"/>
                  </w14:solidFill>
                </w14:textFill>
              </w:rPr>
              <w:t>交由有危废处理资质的单位进行处置</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4</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）废机油</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建设单位提供的资料，本项目废机油产生量约0.08t/a。根据《国家危险废物名录（2021年版）》，废矿物油属于危险废物，危废类别为HW08类“废矿物油与含矿物油废物”，废物代码为900-249-08。暂存于厂区危废暂存间内，定期交由具有相应危废处理资质的专业单位处置。</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w:t>
            </w:r>
            <w:r>
              <w:rPr>
                <w:rFonts w:hint="eastAsia" w:ascii="Times New Roman" w:hAnsi="Times New Roman" w:eastAsia="宋体" w:cs="Times New Roman"/>
                <w:b/>
                <w:color w:val="000000" w:themeColor="text1"/>
                <w:spacing w:val="0"/>
                <w:kern w:val="21"/>
                <w:position w:val="0"/>
                <w:sz w:val="24"/>
                <w:lang w:val="en-US" w:eastAsia="zh-CN" w:bidi="ar"/>
                <w14:textFill>
                  <w14:solidFill>
                    <w14:schemeClr w14:val="tx1"/>
                  </w14:solidFill>
                </w14:textFill>
              </w:rPr>
              <w:t>5</w:t>
            </w: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）废油桶、含油手套及抹布</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根据建设单位提供的资料，</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本项目废油桶产生量约14个/a</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桶重约</w:t>
            </w:r>
            <w:r>
              <w:rPr>
                <w:rFonts w:ascii="Times New Roman" w:hAnsi="Times New Roman" w:eastAsia="宋体" w:cs="Times New Roman"/>
                <w:bCs/>
                <w:color w:val="000000" w:themeColor="text1"/>
                <w:spacing w:val="0"/>
                <w:kern w:val="21"/>
                <w:position w:val="0"/>
                <w:sz w:val="24"/>
                <w14:textFill>
                  <w14:solidFill>
                    <w14:schemeClr w14:val="tx1"/>
                  </w14:solidFill>
                </w14:textFill>
              </w:rPr>
              <w:t>0.5kg/个，共产生废油桶7kg/a，废油桶</w:t>
            </w:r>
            <w:r>
              <w:rPr>
                <w:rFonts w:ascii="Times New Roman" w:hAnsi="Times New Roman" w:eastAsia="宋体" w:cs="Times New Roman"/>
                <w:color w:val="000000" w:themeColor="text1"/>
                <w:spacing w:val="0"/>
                <w:kern w:val="21"/>
                <w:position w:val="0"/>
                <w:sz w:val="24"/>
                <w14:textFill>
                  <w14:solidFill>
                    <w14:schemeClr w14:val="tx1"/>
                  </w14:solidFill>
                </w14:textFill>
              </w:rPr>
              <w:t>属于“其他生产、销售、使用过程中产生的废矿物油及沾染矿物油的废弃包装物”，废物类别为HW08，废物代码为900-249-08，暂存于危废暂存间，定期</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交由</w:t>
            </w:r>
            <w:r>
              <w:rPr>
                <w:rFonts w:ascii="Times New Roman" w:hAnsi="Times New Roman" w:eastAsia="宋体" w:cs="Times New Roman"/>
                <w:color w:val="000000" w:themeColor="text1"/>
                <w:spacing w:val="0"/>
                <w:kern w:val="21"/>
                <w:position w:val="0"/>
                <w:sz w:val="24"/>
                <w14:textFill>
                  <w14:solidFill>
                    <w14:schemeClr w14:val="tx1"/>
                  </w14:solidFill>
                </w14:textFill>
              </w:rPr>
              <w:t>相应危废处置资质单位处置。含油手套及抹布产生量约为0.05t/a，属于“含有或沾染毒性、感染性危险废物的废弃包装物、容器、过滤吸附介质”，废物类别为HW49，废物代码900-041-49，暂存于危废暂存间，定期交有相应危废处置资质单位处置。</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w:t>
            </w:r>
            <w:r>
              <w:rPr>
                <w:rFonts w:hint="eastAsia" w:ascii="Times New Roman" w:hAnsi="Times New Roman" w:eastAsia="宋体" w:cs="Times New Roman"/>
                <w:b/>
                <w:color w:val="000000" w:themeColor="text1"/>
                <w:spacing w:val="0"/>
                <w:kern w:val="21"/>
                <w:position w:val="0"/>
                <w:sz w:val="24"/>
                <w:lang w:val="en-US" w:eastAsia="zh-CN" w:bidi="ar"/>
                <w14:textFill>
                  <w14:solidFill>
                    <w14:schemeClr w14:val="tx1"/>
                  </w14:solidFill>
                </w14:textFill>
              </w:rPr>
              <w:t>6</w:t>
            </w: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）废活性炭</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根据前文分析，</w:t>
            </w:r>
            <w:r>
              <w:rPr>
                <w:rFonts w:ascii="Times New Roman" w:hAnsi="Times New Roman" w:eastAsia="宋体" w:cs="Times New Roman"/>
                <w:color w:val="000000" w:themeColor="text1"/>
                <w:spacing w:val="0"/>
                <w:kern w:val="21"/>
                <w:position w:val="0"/>
                <w:sz w:val="24"/>
                <w14:textFill>
                  <w14:solidFill>
                    <w14:schemeClr w14:val="tx1"/>
                  </w14:solidFill>
                </w14:textFill>
              </w:rPr>
              <w:t>本项目</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封边废气、贴棉废气</w:t>
            </w:r>
            <w:r>
              <w:rPr>
                <w:rFonts w:ascii="Times New Roman" w:hAnsi="Times New Roman" w:eastAsia="宋体" w:cs="Times New Roman"/>
                <w:color w:val="000000" w:themeColor="text1"/>
                <w:spacing w:val="0"/>
                <w:kern w:val="21"/>
                <w:position w:val="0"/>
                <w:sz w:val="24"/>
                <w14:textFill>
                  <w14:solidFill>
                    <w14:schemeClr w14:val="tx1"/>
                  </w14:solidFill>
                </w14:textFill>
              </w:rPr>
              <w:t>废活性炭</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产生量</w:t>
            </w:r>
            <w:r>
              <w:rPr>
                <w:rFonts w:ascii="Times New Roman" w:hAnsi="Times New Roman" w:eastAsia="宋体" w:cs="Times New Roman"/>
                <w:color w:val="000000" w:themeColor="text1"/>
                <w:spacing w:val="0"/>
                <w:kern w:val="21"/>
                <w:position w:val="0"/>
                <w:sz w:val="24"/>
                <w14:textFill>
                  <w14:solidFill>
                    <w14:schemeClr w14:val="tx1"/>
                  </w14:solidFill>
                </w14:textFill>
              </w:rPr>
              <w:t>约为</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3.0056</w:t>
            </w:r>
            <w:r>
              <w:rPr>
                <w:rFonts w:ascii="Times New Roman" w:hAnsi="Times New Roman" w:eastAsia="宋体" w:cs="Times New Roman"/>
                <w:color w:val="000000" w:themeColor="text1"/>
                <w:spacing w:val="0"/>
                <w:kern w:val="21"/>
                <w:position w:val="0"/>
                <w:sz w:val="24"/>
                <w14:textFill>
                  <w14:solidFill>
                    <w14:schemeClr w14:val="tx1"/>
                  </w14:solidFill>
                </w14:textFill>
              </w:rPr>
              <w:t>t/a</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活性炭吸附脱附装置废活性炭每年更换一次，更换量为13.5t/a，则废活性炭总量为16.5056t/a</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bCs/>
                <w:color w:val="000000" w:themeColor="text1"/>
                <w:spacing w:val="0"/>
                <w:kern w:val="21"/>
                <w:position w:val="0"/>
                <w:sz w:val="24"/>
                <w14:textFill>
                  <w14:solidFill>
                    <w14:schemeClr w14:val="tx1"/>
                  </w14:solidFill>
                </w14:textFill>
              </w:rPr>
              <w:t>根据《国家危险废物名录（2021年版）》，废活性炭</w:t>
            </w:r>
            <w:r>
              <w:rPr>
                <w:rFonts w:ascii="Times New Roman" w:hAnsi="Times New Roman" w:eastAsia="宋体" w:cs="Times New Roman"/>
                <w:color w:val="000000" w:themeColor="text1"/>
                <w:spacing w:val="0"/>
                <w:kern w:val="21"/>
                <w:position w:val="0"/>
                <w:sz w:val="24"/>
                <w14:textFill>
                  <w14:solidFill>
                    <w14:schemeClr w14:val="tx1"/>
                  </w14:solidFill>
                </w14:textFill>
              </w:rPr>
              <w:t>属于危险废物（HW49），废物代码为900-039-49，主要成分为炭，暂存于危险废物暂存间，定期交由有资质单位处理。同时</w:t>
            </w:r>
            <w:r>
              <w:rPr>
                <w:rFonts w:ascii="Times New Roman" w:hAnsi="Times New Roman" w:eastAsia="宋体" w:cs="Times New Roman"/>
                <w:bCs/>
                <w:color w:val="000000" w:themeColor="text1"/>
                <w:spacing w:val="0"/>
                <w:kern w:val="21"/>
                <w:position w:val="0"/>
                <w:sz w:val="24"/>
                <w14:textFill>
                  <w14:solidFill>
                    <w14:schemeClr w14:val="tx1"/>
                  </w14:solidFill>
                </w14:textFill>
              </w:rPr>
              <w:t>本次环评要求建设单位应当建立活性炭更换台账，包括活性炭管理要求、更换情况、处置情况等。</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7</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）废切削液</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根据前文分析，本项目产生废切削液0.9t/a，根据《国家危险废物名录（2021</w:t>
            </w:r>
            <w:r>
              <w:rPr>
                <w:rFonts w:ascii="Times New Roman" w:hAnsi="Times New Roman" w:eastAsia="宋体" w:cs="Times New Roman"/>
                <w:color w:val="000000" w:themeColor="text1"/>
                <w:spacing w:val="0"/>
                <w:kern w:val="21"/>
                <w:position w:val="0"/>
                <w:sz w:val="24"/>
                <w14:textFill>
                  <w14:solidFill>
                    <w14:schemeClr w14:val="tx1"/>
                  </w14:solidFill>
                </w14:textFill>
              </w:rPr>
              <w:t>年版）》，废切削液属于HW09中“900-006-09”，“使用切削油或切削液进行机械加工过程中产生的油/水、烃/水混合物或乳化液”。暂存于危险废物暂存间，定期交由有资质单位处理。</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8</w:t>
            </w:r>
            <w:r>
              <w:rPr>
                <w:rFonts w:ascii="Times New Roman" w:hAnsi="Times New Roman" w:eastAsia="宋体" w:cs="Times New Roman"/>
                <w:b/>
                <w:bCs/>
                <w:color w:val="000000" w:themeColor="text1"/>
                <w:spacing w:val="0"/>
                <w:kern w:val="21"/>
                <w:position w:val="0"/>
                <w:sz w:val="24"/>
                <w14:textFill>
                  <w14:solidFill>
                    <w14:schemeClr w14:val="tx1"/>
                  </w14:solidFill>
                </w14:textFill>
              </w:rPr>
              <w:t>）废滤渣</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设置的脱脂槽、清洗槽、硅烷化槽需定期清渣，废滤渣，属于危险废物，废物类别为HW17类“金属或塑料表面酸（碱）洗、除油、除锈、洗涤、磷化、出光、化抛工艺产生的废腐蚀液、废洗涤液、废槽液、槽渣和废水处理污泥（不包括：铝、镁材（板）表面酸（碱）洗、粗化、硫酸阳极处理、磷酸</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化学拋光</w:t>
            </w:r>
            <w:r>
              <w:rPr>
                <w:rFonts w:ascii="Times New Roman" w:hAnsi="Times New Roman" w:eastAsia="宋体" w:cs="Times New Roman"/>
                <w:color w:val="000000" w:themeColor="text1"/>
                <w:spacing w:val="0"/>
                <w:kern w:val="21"/>
                <w:position w:val="0"/>
                <w:sz w:val="24"/>
                <w14:textFill>
                  <w14:solidFill>
                    <w14:schemeClr w14:val="tx1"/>
                  </w14:solidFill>
                </w14:textFill>
              </w:rPr>
              <w:t>废水处理污泥，铝电解电容器用铝电极箔化学腐蚀、非硼酸系化成液化成废水处理污泥，铝材挤压加工模具碱洗（煲模）废水处理污泥，碳钢酸洗除锈废水处理污泥）”，废物代码为336-064-17。废滤渣产生量约为0.5t/a。暂存于危险废物暂存间，定期交由有资质单位处理。</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color w:val="000000" w:themeColor="text1"/>
                <w:spacing w:val="0"/>
                <w:kern w:val="21"/>
                <w:position w:val="0"/>
                <w:sz w:val="24"/>
                <w:lang w:val="en-US" w:eastAsia="zh-CN"/>
                <w14:textFill>
                  <w14:solidFill>
                    <w14:schemeClr w14:val="tx1"/>
                  </w14:solidFill>
                </w14:textFill>
              </w:rPr>
              <w:t>9</w:t>
            </w:r>
            <w:r>
              <w:rPr>
                <w:rFonts w:ascii="Times New Roman" w:hAnsi="Times New Roman" w:eastAsia="宋体" w:cs="Times New Roman"/>
                <w:b/>
                <w:color w:val="000000" w:themeColor="text1"/>
                <w:spacing w:val="0"/>
                <w:kern w:val="21"/>
                <w:position w:val="0"/>
                <w:sz w:val="24"/>
                <w14:textFill>
                  <w14:solidFill>
                    <w14:schemeClr w14:val="tx1"/>
                  </w14:solidFill>
                </w14:textFill>
              </w:rPr>
              <w:t>）废过滤棉</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本项目设置的干式过滤装置需定期更换过滤棉，废过滤棉，属于危险废物，废物类别为HW49类“含有或沾染毒性、感染性危险废物的废弃包装物、容器、过滤吸附介质”，废物代码为900-041-49。废过滤棉产生量约为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1.8</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14:textFill>
                  <w14:solidFill>
                    <w14:schemeClr w14:val="tx1"/>
                  </w14:solidFill>
                </w14:textFill>
              </w:rPr>
              <w:t>（1</w:t>
            </w:r>
            <w:r>
              <w:rPr>
                <w:rFonts w:hint="eastAsia" w:ascii="Times New Roman" w:hAnsi="Times New Roman" w:eastAsia="宋体" w:cs="Times New Roman"/>
                <w:b/>
                <w:color w:val="000000" w:themeColor="text1"/>
                <w:spacing w:val="0"/>
                <w:kern w:val="21"/>
                <w:position w:val="0"/>
                <w:sz w:val="24"/>
                <w:lang w:val="en-US" w:eastAsia="zh-CN"/>
                <w14:textFill>
                  <w14:solidFill>
                    <w14:schemeClr w14:val="tx1"/>
                  </w14:solidFill>
                </w14:textFill>
              </w:rPr>
              <w:t>0</w:t>
            </w:r>
            <w:r>
              <w:rPr>
                <w:rFonts w:ascii="Times New Roman" w:hAnsi="Times New Roman" w:eastAsia="宋体" w:cs="Times New Roman"/>
                <w:b/>
                <w:color w:val="000000" w:themeColor="text1"/>
                <w:spacing w:val="0"/>
                <w:kern w:val="21"/>
                <w:position w:val="0"/>
                <w:sz w:val="24"/>
                <w14:textFill>
                  <w14:solidFill>
                    <w14:schemeClr w14:val="tx1"/>
                  </w14:solidFill>
                </w14:textFill>
              </w:rPr>
              <w:t>）废水站污泥</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设置的废水处理站污泥需定期清理底泥，废水站污泥，属于危险废物，废物类别为HW17类“金属或塑料表面酸（碱）洗、除油、除锈、洗涤、磷化、出光、化抛工艺产生的废腐蚀液、废洗涤液、废槽液、槽渣和废水处理污泥（不包括：铝、镁材（板）表面酸（碱）洗、粗化、硫酸阳极处理、磷酸</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化学拋光</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废水处理污泥，铝电解电容器用铝电极箔化学腐蚀、非硼酸系化成液化成废水处理污泥，铝材挤压加工模具碱洗（煲模）废水处理污泥，碳钢酸洗除锈废水处理污泥）”，废物代码为336-064-17。废水站污泥产生量约为1.5t/a。</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4、待鉴别废物</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1</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）漆渣</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本项目漆雾产生量约</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2.493</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t/a，喷漆废气经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（对颗粒物处理效率为80%）处理后，与调漆、晾干产生的有机废气负压收集（收集效率95%），按被净化的漆雾全部转化为漆渣计算，漆渣产生量约</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1.9944</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t/a。根据《国家危险废物名录》（2021年版），水性漆漆渣不属于危险废物，</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本项目漆渣</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应先委托有资质的单位</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按照《危险废物鉴别标准》（GB5085</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2007）进行</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鉴别</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属于危险废物，则</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交</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由有资质的危废处置单位进行集中处置；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鉴别</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污泥不</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属于危险废物</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，则按照一般固体废物</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进行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处置</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在鉴别结果未出具前，应按照危废管理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2</w:t>
            </w:r>
            <w:r>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t>）漆料打磨收尘</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经计算，本项目漆料打磨收尘产生量</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0.5482</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t/a，根据《国家危险废物名录》（2021年版），水性漆</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漆料打磨粉尘</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不属于危险废物，</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w:t>
            </w:r>
            <w:r>
              <w:rPr>
                <w:rFonts w:hint="eastAsia" w:ascii="Times New Roman" w:hAnsi="Times New Roman" w:eastAsia="宋体" w:cs="Times New Roman"/>
                <w:b w:val="0"/>
                <w:bCs w:val="0"/>
                <w:color w:val="000000" w:themeColor="text1"/>
                <w:spacing w:val="0"/>
                <w:kern w:val="21"/>
                <w:position w:val="0"/>
                <w:sz w:val="24"/>
                <w:szCs w:val="22"/>
                <w:lang w:val="en-US" w:eastAsia="zh-CN"/>
                <w14:textFill>
                  <w14:solidFill>
                    <w14:schemeClr w14:val="tx1"/>
                  </w14:solidFill>
                </w14:textFill>
              </w:rPr>
              <w:t>目</w:t>
            </w:r>
            <w:r>
              <w:rPr>
                <w:rFonts w:ascii="Times New Roman" w:hAnsi="Times New Roman" w:eastAsia="宋体" w:cs="Times New Roman"/>
                <w:b w:val="0"/>
                <w:bCs w:val="0"/>
                <w:color w:val="000000" w:themeColor="text1"/>
                <w:spacing w:val="0"/>
                <w:kern w:val="21"/>
                <w:position w:val="0"/>
                <w:sz w:val="24"/>
                <w:szCs w:val="22"/>
                <w14:textFill>
                  <w14:solidFill>
                    <w14:schemeClr w14:val="tx1"/>
                  </w14:solidFill>
                </w14:textFill>
              </w:rPr>
              <w:t>漆料打磨收尘</w:t>
            </w:r>
            <w:r>
              <w:rPr>
                <w:rFonts w:hint="eastAsia" w:ascii="Times New Roman" w:hAnsi="Times New Roman" w:eastAsia="宋体" w:cs="Times New Roman"/>
                <w:b w:val="0"/>
                <w:bCs w:val="0"/>
                <w:color w:val="000000" w:themeColor="text1"/>
                <w:spacing w:val="0"/>
                <w:kern w:val="21"/>
                <w:position w:val="0"/>
                <w:sz w:val="24"/>
                <w:szCs w:val="22"/>
                <w14:textFill>
                  <w14:solidFill>
                    <w14:schemeClr w14:val="tx1"/>
                  </w14:solidFill>
                </w14:textFill>
              </w:rPr>
              <w:t>应先</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委托有资质的单位</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按照《危险废物鉴别标准》（GB5085</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2007）进行</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鉴别</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属于危险废物，则</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交</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由有资质的危废处置单位进行集中处置；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鉴别</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污泥不</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属于危险废物</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，则按照一般固体废物</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进行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处置</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在鉴别结果未出具前，应按照危废管理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firstLine="481" w:firstLineChars="200"/>
              <w:textAlignment w:val="auto"/>
              <w:rPr>
                <w:rFonts w:hint="eastAsia" w:ascii="Times New Roman" w:hAnsi="Times New Roman" w:eastAsia="宋体" w:cs="Times New Roman"/>
                <w:b/>
                <w:bCs/>
                <w:color w:val="000000" w:themeColor="text1"/>
                <w:spacing w:val="0"/>
                <w:kern w:val="21"/>
                <w:position w:val="0"/>
                <w:sz w:val="24"/>
                <w:lang w:eastAsia="zh-CN"/>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lang w:val="en-US" w:eastAsia="zh-CN"/>
                <w14:textFill>
                  <w14:solidFill>
                    <w14:schemeClr w14:val="tx1"/>
                  </w14:solidFill>
                </w14:textFill>
              </w:rPr>
              <w:t>3</w:t>
            </w:r>
            <w:r>
              <w:rPr>
                <w:rFonts w:ascii="Times New Roman" w:hAnsi="Times New Roman" w:eastAsia="宋体" w:cs="Times New Roman"/>
                <w:b/>
                <w:bCs/>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lang w:eastAsia="zh-CN"/>
                <w14:textFill>
                  <w14:solidFill>
                    <w14:schemeClr w14:val="tx1"/>
                  </w14:solidFill>
                </w14:textFill>
              </w:rPr>
              <w:t>水旋柜废液</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本项目喷漆房</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水旋柜</w:t>
            </w:r>
            <w:r>
              <w:rPr>
                <w:rFonts w:ascii="Times New Roman" w:hAnsi="Times New Roman" w:eastAsia="宋体" w:cs="Times New Roman"/>
                <w:color w:val="000000" w:themeColor="text1"/>
                <w:spacing w:val="0"/>
                <w:kern w:val="21"/>
                <w:position w:val="0"/>
                <w:sz w:val="24"/>
                <w14:textFill>
                  <w14:solidFill>
                    <w14:schemeClr w14:val="tx1"/>
                  </w14:solidFill>
                </w14:textFill>
              </w:rPr>
              <w:t>内的溶液在循环使用一段时间后变质，需进行更换，每年更换一次（可根据实际使用情况进行调整），更换水量为12.96m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本项</w:t>
            </w:r>
            <w:r>
              <w:rPr>
                <w:rFonts w:hint="eastAsia" w:ascii="Times New Roman" w:hAnsi="Times New Roman" w:eastAsia="宋体" w:cs="Times New Roman"/>
                <w:b w:val="0"/>
                <w:bCs w:val="0"/>
                <w:color w:val="000000" w:themeColor="text1"/>
                <w:spacing w:val="0"/>
                <w:kern w:val="21"/>
                <w:position w:val="0"/>
                <w:sz w:val="24"/>
                <w:szCs w:val="22"/>
                <w:lang w:val="en-US" w:eastAsia="zh-CN"/>
                <w14:textFill>
                  <w14:solidFill>
                    <w14:schemeClr w14:val="tx1"/>
                  </w14:solidFill>
                </w14:textFill>
              </w:rPr>
              <w:t>目水旋柜废液</w:t>
            </w:r>
            <w:r>
              <w:rPr>
                <w:rFonts w:hint="eastAsia" w:ascii="Times New Roman" w:hAnsi="Times New Roman" w:eastAsia="宋体" w:cs="Times New Roman"/>
                <w:b w:val="0"/>
                <w:bCs w:val="0"/>
                <w:color w:val="000000" w:themeColor="text1"/>
                <w:spacing w:val="0"/>
                <w:kern w:val="21"/>
                <w:position w:val="0"/>
                <w:sz w:val="24"/>
                <w:szCs w:val="22"/>
                <w14:textFill>
                  <w14:solidFill>
                    <w14:schemeClr w14:val="tx1"/>
                  </w14:solidFill>
                </w14:textFill>
              </w:rPr>
              <w:t>应先</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委托有资质的单位</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按照《危险废物鉴别标准》（GB5085</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2007）进行</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鉴别</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属于危险废物，则</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交</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由有资质的危废处置单位进行集中处置；</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若</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经</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鉴别</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污泥不</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属于危险废物</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，则按照一般固体废物</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进行</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处置</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在鉴别结果未出具前，应按照危废管理</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本项目危险废物污染防治措施情况详见下表。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危险废物产生及处置情况汇总表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933"/>
              <w:gridCol w:w="759"/>
              <w:gridCol w:w="1263"/>
              <w:gridCol w:w="961"/>
              <w:gridCol w:w="566"/>
              <w:gridCol w:w="535"/>
              <w:gridCol w:w="911"/>
              <w:gridCol w:w="578"/>
              <w:gridCol w:w="61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序号</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危险废物名称</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危险废物类别</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危险废物代码</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产生量（t/a）</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产生工序</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形态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有害成分</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产废周期</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危险特性</w:t>
                  </w:r>
                </w:p>
              </w:tc>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
                      <w:color w:val="000000" w:themeColor="text1"/>
                      <w:spacing w:val="0"/>
                      <w:kern w:val="21"/>
                      <w:position w:val="0"/>
                      <w:sz w:val="18"/>
                      <w:szCs w:val="18"/>
                      <w:lang w:bidi="ar"/>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1</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废漆料桶</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HW49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900-041-49</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1.5525</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喷漆</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1月</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T/In</w:t>
                  </w:r>
                </w:p>
              </w:tc>
              <w:tc>
                <w:tcPr>
                  <w:tcW w:w="521"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密闭容器收集，分类暂存于危废暂存间后委托有危废处理资质的单位处理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2</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废胶桶</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HW49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900-041-49</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14:textFill>
                        <w14:solidFill>
                          <w14:schemeClr w14:val="tx1"/>
                        </w14:solidFill>
                      </w14:textFill>
                    </w:rPr>
                    <w:t>0.5835</w:t>
                  </w:r>
                </w:p>
              </w:tc>
              <w:tc>
                <w:tcPr>
                  <w:tcW w:w="371" w:type="pct"/>
                  <w:tcBorders>
                    <w:top w:val="single" w:color="auto" w:sz="4" w:space="0"/>
                    <w:left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涂胶</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1月</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T/In</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3</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废有机溶剂桶</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HW49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t>900-041-49</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0.05</w:t>
                  </w:r>
                </w:p>
              </w:tc>
              <w:tc>
                <w:tcPr>
                  <w:tcW w:w="371"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表面处理</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1月</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T/In</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4</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废机油</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HW08</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900-249-08</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0.08</w:t>
                  </w:r>
                </w:p>
              </w:tc>
              <w:tc>
                <w:tcPr>
                  <w:tcW w:w="371" w:type="pct"/>
                  <w:vMerge w:val="restar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设备维护</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液体</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矿物油</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一年</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T</w:t>
                  </w:r>
                  <w:r>
                    <w:rPr>
                      <w:rFonts w:hint="eastAsia" w:ascii="Times New Roman" w:hAnsi="Times New Roman" w:eastAsia="宋体" w:cs="Times New Roman"/>
                      <w:color w:val="000000" w:themeColor="text1"/>
                      <w:spacing w:val="0"/>
                      <w:kern w:val="21"/>
                      <w:position w:val="0"/>
                      <w:sz w:val="18"/>
                      <w:szCs w:val="18"/>
                      <w:lang w:eastAsia="zh-CN" w:bidi="ar"/>
                      <w14:textFill>
                        <w14:solidFill>
                          <w14:schemeClr w14:val="tx1"/>
                        </w14:solidFill>
                      </w14:textFill>
                    </w:rPr>
                    <w:t>,</w:t>
                  </w: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I</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5</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废油桶、含油手套及抹布</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HW08</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900-249-08</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0.0507</w:t>
                  </w:r>
                </w:p>
              </w:tc>
              <w:tc>
                <w:tcPr>
                  <w:tcW w:w="37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矿物油</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一年</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T/In</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6</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废活性炭</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HW49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900-039-49</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eastAsia="zh-CN"/>
                      <w14:textFill>
                        <w14:solidFill>
                          <w14:schemeClr w14:val="tx1"/>
                        </w14:solidFill>
                      </w14:textFill>
                    </w:rPr>
                    <w:t>16.5056</w:t>
                  </w:r>
                </w:p>
              </w:tc>
              <w:tc>
                <w:tcPr>
                  <w:tcW w:w="371"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废气处理</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一年</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T</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7</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废切削液</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HW09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900-006-09</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0.9</w:t>
                  </w:r>
                </w:p>
              </w:tc>
              <w:tc>
                <w:tcPr>
                  <w:tcW w:w="371"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设备维护</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液体</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一年</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T</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8</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废滤渣</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HW17</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336-064-17</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0.5</w:t>
                  </w:r>
                </w:p>
              </w:tc>
              <w:tc>
                <w:tcPr>
                  <w:tcW w:w="371"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表面处理</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1月</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T/C</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18"/>
                      <w:szCs w:val="18"/>
                      <w:lang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9</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废过滤棉</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HW49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900-041-49</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0.2</w:t>
                  </w:r>
                </w:p>
              </w:tc>
              <w:tc>
                <w:tcPr>
                  <w:tcW w:w="371"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废气处理</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1月</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T/In</w:t>
                  </w:r>
                </w:p>
              </w:tc>
              <w:tc>
                <w:tcPr>
                  <w:tcW w:w="521"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bidi="ar"/>
                      <w14:textFill>
                        <w14:solidFill>
                          <w14:schemeClr w14:val="tx1"/>
                        </w14:solidFill>
                      </w14:textFill>
                    </w:rPr>
                    <w:t>10</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废水站污泥</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HW17</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336-064-17</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1.5</w:t>
                  </w:r>
                </w:p>
              </w:tc>
              <w:tc>
                <w:tcPr>
                  <w:tcW w:w="371"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废水处理</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固态</w:t>
                  </w:r>
                </w:p>
              </w:tc>
              <w:tc>
                <w:tcPr>
                  <w:tcW w:w="57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t>有机物</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18"/>
                      <w:szCs w:val="18"/>
                      <w:lang w:val="en-US" w:eastAsia="zh-CN"/>
                      <w14:textFill>
                        <w14:solidFill>
                          <w14:schemeClr w14:val="tx1"/>
                        </w14:solidFill>
                      </w14:textFill>
                    </w:rPr>
                    <w:t>1月</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r>
                    <w:rPr>
                      <w:rFonts w:ascii="Times New Roman" w:hAnsi="Times New Roman" w:eastAsia="宋体" w:cs="Times New Roman"/>
                      <w:color w:val="000000" w:themeColor="text1"/>
                      <w:spacing w:val="0"/>
                      <w:kern w:val="21"/>
                      <w:position w:val="0"/>
                      <w:sz w:val="18"/>
                      <w:szCs w:val="18"/>
                      <w14:textFill>
                        <w14:solidFill>
                          <w14:schemeClr w14:val="tx1"/>
                        </w14:solidFill>
                      </w14:textFill>
                    </w:rPr>
                    <w:t>T/C</w:t>
                  </w:r>
                </w:p>
              </w:tc>
              <w:tc>
                <w:tcPr>
                  <w:tcW w:w="521" w:type="pct"/>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18"/>
                      <w:szCs w:val="18"/>
                      <w14:textFill>
                        <w14:solidFill>
                          <w14:schemeClr w14:val="tx1"/>
                        </w14:solidFill>
                      </w14:textFill>
                    </w:rPr>
                  </w:pPr>
                </w:p>
              </w:tc>
            </w:tr>
          </w:tbl>
          <w:p>
            <w:pPr>
              <w:pageBreakBefore w:val="0"/>
              <w:kinsoku/>
              <w:overflowPunct/>
              <w:autoSpaceDE/>
              <w:autoSpaceDN/>
              <w:bidi w:val="0"/>
              <w:spacing w:line="360" w:lineRule="auto"/>
              <w:ind w:firstLine="482"/>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1）危废暂存间建设要求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建设单位于厂内设置1个危废暂存间（72m</w:t>
            </w:r>
            <w:r>
              <w:rPr>
                <w:rFonts w:ascii="Times New Roman" w:hAnsi="Times New Roman" w:eastAsia="宋体" w:cs="Times New Roman"/>
                <w:bCs/>
                <w:color w:val="000000" w:themeColor="text1"/>
                <w:spacing w:val="0"/>
                <w:kern w:val="21"/>
                <w:position w:val="0"/>
                <w:sz w:val="24"/>
                <w:vertAlign w:val="superscript"/>
                <w:lang w:bidi="ar"/>
                <w14:textFill>
                  <w14:solidFill>
                    <w14:schemeClr w14:val="tx1"/>
                  </w14:solidFill>
                </w14:textFill>
              </w:rPr>
              <w:t>2</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危废暂存间内要设置裙脚，地面与裙脚要用坚固、防渗的材料建造，建筑材料必须与危险废物相容。地面与裙脚所围建的容积不低于堵截最大容器的最大储量或总储量的1/5。危废暂存间要做好防渗措施，同时做好</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防风、防晒、防雨、防漏、防渗</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六</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防”措施，地面防渗层为抗渗混凝土+环氧树脂膜。等效防渗系数K≤1×10</w:t>
            </w:r>
            <w:r>
              <w:rPr>
                <w:rFonts w:ascii="Times New Roman" w:hAnsi="Times New Roman" w:eastAsia="宋体" w:cs="Times New Roman"/>
                <w:color w:val="000000" w:themeColor="text1"/>
                <w:spacing w:val="0"/>
                <w:kern w:val="21"/>
                <w:position w:val="0"/>
                <w:sz w:val="24"/>
                <w:vertAlign w:val="superscript"/>
                <w:lang w:bidi="ar"/>
                <w14:textFill>
                  <w14:solidFill>
                    <w14:schemeClr w14:val="tx1"/>
                  </w14:solidFill>
                </w14:textFill>
              </w:rPr>
              <w:t>-10</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cm/s。</w:t>
            </w:r>
          </w:p>
          <w:p>
            <w:pPr>
              <w:pageBreakBefore w:val="0"/>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2）危废暂存间管理要求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危废暂存间应根据《危险</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废物</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识别标志设置技术规范》（HJ 1276-2022）设置明显的警示标识，规范示意图如下。</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危险废物识别标志设置示意表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701"/>
              <w:gridCol w:w="2834"/>
              <w:gridCol w:w="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项目</w:t>
                  </w:r>
                </w:p>
              </w:tc>
              <w:tc>
                <w:tcPr>
                  <w:tcW w:w="16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示图</w:t>
                  </w:r>
                </w:p>
              </w:tc>
              <w:tc>
                <w:tcPr>
                  <w:tcW w:w="24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危险废物标签</w:t>
                  </w:r>
                </w:p>
              </w:tc>
              <w:tc>
                <w:tcPr>
                  <w:tcW w:w="16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1518920" cy="1518920"/>
                        <wp:effectExtent l="0" t="0" r="5080" b="5080"/>
                        <wp:docPr id="6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IMG_256"/>
                                <pic:cNvPicPr>
                                  <a:picLocks noChangeAspect="1"/>
                                </pic:cNvPicPr>
                              </pic:nvPicPr>
                              <pic:blipFill>
                                <a:blip r:embed="rId65"/>
                                <a:stretch>
                                  <a:fillRect/>
                                </a:stretch>
                              </pic:blipFill>
                              <pic:spPr>
                                <a:xfrm>
                                  <a:off x="0" y="0"/>
                                  <a:ext cx="1518920" cy="1518920"/>
                                </a:xfrm>
                                <a:prstGeom prst="rect">
                                  <a:avLst/>
                                </a:prstGeom>
                                <a:noFill/>
                                <a:ln>
                                  <a:noFill/>
                                </a:ln>
                              </pic:spPr>
                            </pic:pic>
                          </a:graphicData>
                        </a:graphic>
                      </wp:inline>
                    </w:drawing>
                  </w:r>
                </w:p>
              </w:tc>
              <w:tc>
                <w:tcPr>
                  <w:tcW w:w="24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危险废物标签背景色应采用醒目的橘黄色，RGB颜色值为（255,150,0）。标签边框和字体颜色为黑色，RGB颜色值为（0,0,0）。</w:t>
                  </w:r>
                </w:p>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危险废物标签字体宜采用黑体字，其中“危险废物”字样应加粗放大。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41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危险废物贮存设施标志</w:t>
                  </w:r>
                </w:p>
              </w:tc>
              <w:tc>
                <w:tcPr>
                  <w:tcW w:w="16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1632585" cy="1031875"/>
                        <wp:effectExtent l="0" t="0" r="5715" b="15875"/>
                        <wp:docPr id="2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56"/>
                                <pic:cNvPicPr>
                                  <a:picLocks noChangeAspect="1"/>
                                </pic:cNvPicPr>
                              </pic:nvPicPr>
                              <pic:blipFill>
                                <a:blip r:embed="rId66"/>
                                <a:stretch>
                                  <a:fillRect/>
                                </a:stretch>
                              </pic:blipFill>
                              <pic:spPr>
                                <a:xfrm>
                                  <a:off x="0" y="0"/>
                                  <a:ext cx="1632585" cy="1031875"/>
                                </a:xfrm>
                                <a:prstGeom prst="rect">
                                  <a:avLst/>
                                </a:prstGeom>
                                <a:noFill/>
                                <a:ln>
                                  <a:noFill/>
                                </a:ln>
                              </pic:spPr>
                            </pic:pic>
                          </a:graphicData>
                        </a:graphic>
                      </wp:inline>
                    </w:drawing>
                  </w:r>
                </w:p>
              </w:tc>
              <w:tc>
                <w:tcPr>
                  <w:tcW w:w="24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危险废物贮存、利用、处置设施标志应包含三角形警告性图形标志和文字性辅助标志，其中三角形警告性图形标志应符合GB15562.2中的要求。</w:t>
                  </w:r>
                </w:p>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危险废物贮存、利用、处置设施标志应以醒目的文字标注危险废物设施的类型。</w:t>
                  </w:r>
                </w:p>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危险废物贮存、利用、处置设施标志还应包含危险废物设施所属的单位名称、设施编码、负责人及联系方式。</w:t>
                  </w:r>
                </w:p>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危险废物贮存、利用、处置设施标志宜设置二维码，对设施使用情况进行信息化管理。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危险废物贮存分区标志</w:t>
                  </w:r>
                </w:p>
              </w:tc>
              <w:tc>
                <w:tcPr>
                  <w:tcW w:w="28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drawing>
                      <wp:inline distT="0" distB="0" distL="114300" distR="114300">
                        <wp:extent cx="1440180" cy="1440180"/>
                        <wp:effectExtent l="0" t="0" r="7620" b="7620"/>
                        <wp:docPr id="3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IMG_256"/>
                                <pic:cNvPicPr>
                                  <a:picLocks noChangeAspect="1"/>
                                </pic:cNvPicPr>
                              </pic:nvPicPr>
                              <pic:blipFill>
                                <a:blip r:embed="rId67"/>
                                <a:stretch>
                                  <a:fillRect/>
                                </a:stretch>
                              </pic:blipFill>
                              <pic:spPr>
                                <a:xfrm>
                                  <a:off x="0" y="0"/>
                                  <a:ext cx="1440180" cy="1440180"/>
                                </a:xfrm>
                                <a:prstGeom prst="rect">
                                  <a:avLst/>
                                </a:prstGeom>
                                <a:noFill/>
                                <a:ln w="9525">
                                  <a:noFill/>
                                </a:ln>
                              </pic:spPr>
                            </pic:pic>
                          </a:graphicData>
                        </a:graphic>
                      </wp:inline>
                    </w:drawing>
                  </w:r>
                </w:p>
              </w:tc>
              <w:tc>
                <w:tcPr>
                  <w:tcW w:w="417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危险废物贮存分区标志的图形和文字应清晰、完整，保证在足够的观察距离条件下不影响阅读。“危险废物贮存分区标志”字样与其他信息宜加黑色分界线区分，分界线的宽度不小于2mm。</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正常情况下，危险废物产生、收集过程不会对环境造成影响。为了避免产生、收集过程中产生的影响，</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建设单位</w:t>
            </w:r>
            <w:r>
              <w:rPr>
                <w:rFonts w:ascii="Times New Roman" w:hAnsi="Times New Roman" w:eastAsia="宋体" w:cs="Times New Roman"/>
                <w:color w:val="000000" w:themeColor="text1"/>
                <w:spacing w:val="0"/>
                <w:kern w:val="21"/>
                <w:position w:val="0"/>
                <w:sz w:val="24"/>
                <w14:textFill>
                  <w14:solidFill>
                    <w14:schemeClr w14:val="tx1"/>
                  </w14:solidFill>
                </w14:textFill>
              </w:rPr>
              <w:t>应检查危险废物包装物的完整性，收集时避免危废散落、泄漏，尤其对于液态、液-固态的危废，确保密闭桶装收集，且包装桶外形完好、满足贮存条件。同时，定期对厂区危废间进行检查，并记录各类危废的贮存情况。</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在常温常压下易爆、易燃及排出有毒气体的危险废物必须进行预处理，使之稳定后贮存，否则，按易爆、易燃危险品贮存；在常温常压下不水解、不挥发的固体危险废物可在贮存设施内分别堆放，其余的危险废物必须将危险废物装入容器内；禁止将不相容（相互反应）的危险废物在同一容器内混装；无法装入常用容器的危险废物可用防漏胶袋等盛装；装载液体、半固体危险废物的容器内须留足够空间，容器顶部与液体表面之间保留100</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mm</w:t>
            </w:r>
            <w:r>
              <w:rPr>
                <w:rFonts w:ascii="Times New Roman" w:hAnsi="Times New Roman" w:eastAsia="宋体" w:cs="Times New Roman"/>
                <w:color w:val="000000" w:themeColor="text1"/>
                <w:spacing w:val="0"/>
                <w:kern w:val="21"/>
                <w:position w:val="0"/>
                <w:sz w:val="24"/>
                <w14:textFill>
                  <w14:solidFill>
                    <w14:schemeClr w14:val="tx1"/>
                  </w14:solidFill>
                </w14:textFill>
              </w:rPr>
              <w:t>以上的空间；盛装危险废物的容器上必须粘贴符合本标准附录A所示的标签；危险废物贮存设施的安全防护与监测危险废物贮存设施都必须按GB15562.2的规定设置警示标志。危险废物贮存设施周围应设置围墙或其它防护栅栏。危险废物贮存设施应配备通讯设备、照明设施、安全防护服装及工具，并设有应急防护设施。危险废物贮存设施内清理出来的泄漏物，一律按危险废物处理。</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危废在本项目危废暂存间暂存周期为一个月，</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暂存的危险废物定期交由有相应资质的单位进行清</w:t>
            </w:r>
            <w:r>
              <w:rPr>
                <w:rFonts w:ascii="Times New Roman" w:hAnsi="Times New Roman" w:eastAsia="宋体" w:cs="Times New Roman"/>
                <w:color w:val="000000" w:themeColor="text1"/>
                <w:spacing w:val="0"/>
                <w:kern w:val="21"/>
                <w:position w:val="0"/>
                <w:sz w:val="24"/>
                <w14:textFill>
                  <w14:solidFill>
                    <w14:schemeClr w14:val="tx1"/>
                  </w14:solidFill>
                </w14:textFill>
              </w:rPr>
              <w:t>运，不做大量堆积，由专人对危废进行管理，危废物品要单独设置台账，按每工作日记录危废的产生、堆积、清运量，做</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到产销有记录，按责任制管理，同时危险废物的移交严格执行危废联单制度，存储期间严格按照《危险废物贮存污染控制标准》（GB18597-2023）执行。</w:t>
            </w:r>
          </w:p>
          <w:p>
            <w:pPr>
              <w:pageBreakBefore w:val="0"/>
              <w:widowControl/>
              <w:numPr>
                <w:ilvl w:val="0"/>
                <w:numId w:val="40"/>
              </w:numPr>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危险废物的交接、转运、处置要求</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①交接</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a.废物转运</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应当</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依照《中华人民共和国固体废物污染环境防治法》的规定，执行危险废物转移管理制度。</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应当</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对危险废物进行登记，登记内容应当包括危险废物的来源、种类、重量或者数量、交接时间、处置方法、最终去向以及经办人签名等项目。保存时间为5年；</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b.每车每次</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运送</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的</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危险</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废物采用《危险废物运送登记卡》管理，一车一卡，由危险废物管理人员交接时填写并签字。当危险废物运至处置单位时，处置厂接收人员确认该登记卡上填写的危险废物数量真实、准确后签收。</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②转运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a.本项目危险废物由</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处置单位专用车辆定期运送到相应处置单位。危险废物转运车应符合相关要求；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b.运送路线应尽量避开人口</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密集区域和交通拥堵道路。驾驶室与货箱完全隔开，以保证驾驶人员的安全；</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c.车厢应经防渗处理，在装载货物时，即使车厢内部有液体，也不会渗漏到厢体和外部环境中；车厢底部应设置具有良好气密性的排水孔，在清洗车厢内部时，能够有效收集和排出污水，不可使清洗污水直接漫流到外部环境中；正常运输使用时应具有良好气密性；</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d.危险废物运送前，处置单位必须对每辆运送车的车况进行检查，确保车况良好后方可出车。危险废物</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运送</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车辆不得搭乘其他无关人员，不得装载或混装其他货物和动植物。车辆行驶时应锁闭车厢门，确保安全，不得丢失、遗撒和打开包装取出危险废物；</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e.危险废物转运车应在明显部位固定产品标牌；应在车辆的前、</w:t>
            </w:r>
            <w:r>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t>后部及车厢两侧喷涂警示标志；驾驶室两侧标明危险废物处置转运单位名称。</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③处置及其他要求</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a.应当制定与危险废物安全处置有关的规章制度和在发生意外事故时的应急方案；设置监控部门或者专（兼）职人员，负责检查、督促、落实本项目危险废物的管理工作；</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b.应当对本项目</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从事</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危险废物收集、运送、贮存、处置等工作的人员和管理人员，进行相关法律和专业技术、安全防护以及紧急处理等知识的培训；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c.禁止任何单位和个人转让、买卖危险废物。禁止在运送过程中丢弃危险废物；禁止在非贮存地点倾倒、堆放危险废物或者将危险废物混入其他废物和生活垃圾；</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d.禁止邮寄危险废物。禁止通过铁路、航空运输危险废物。有陆路通道的，禁止通过水路运输危险废物；没有陆路通道必须经水路运输危险废物的，应当经设区的市级以上人民政府环境保护行政主管部门批准，并采取严格的环境保护措施后，方可通过水路运输。禁止将危险废物与旅客在同一运输工具上载运。禁止在饮用水源保护区的水体上运输危险废物。</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4、小结</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本项目固体废弃物的产生、</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排放</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情况及处理方式见下表。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项目固体废弃物产生、处置情况一览表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597"/>
              <w:gridCol w:w="1219"/>
              <w:gridCol w:w="622"/>
              <w:gridCol w:w="1438"/>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序号</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名称</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产生量（t/a）</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性质</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固废类别</w:t>
                  </w:r>
                </w:p>
              </w:tc>
              <w:tc>
                <w:tcPr>
                  <w:tcW w:w="183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拟采取的处理方式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布袋收尘</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9.7276</w:t>
                  </w:r>
                </w:p>
              </w:tc>
              <w:tc>
                <w:tcPr>
                  <w:tcW w:w="409"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一般固废</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900-999-66</w:t>
                  </w:r>
                </w:p>
              </w:tc>
              <w:tc>
                <w:tcPr>
                  <w:tcW w:w="183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收集后外售废旧资源回收单位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废包装材料</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c>
                <w:tcPr>
                  <w:tcW w:w="409" w:type="pct"/>
                  <w:vMerge w:val="continue"/>
                  <w:tcBorders>
                    <w:left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223-001-07</w:t>
                  </w:r>
                </w:p>
              </w:tc>
              <w:tc>
                <w:tcPr>
                  <w:tcW w:w="183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收集后外售废旧资源回收单位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废边角料</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205.3745</w:t>
                  </w:r>
                </w:p>
              </w:tc>
              <w:tc>
                <w:tcPr>
                  <w:tcW w:w="409" w:type="pct"/>
                  <w:vMerge w:val="continue"/>
                  <w:tcBorders>
                    <w:left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265-002-05</w:t>
                  </w:r>
                </w:p>
              </w:tc>
              <w:tc>
                <w:tcPr>
                  <w:tcW w:w="183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收集后外售废旧资源回收单位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废催化剂</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409" w:type="pct"/>
                  <w:vMerge w:val="continue"/>
                  <w:tcBorders>
                    <w:left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772-002-10</w:t>
                  </w:r>
                </w:p>
              </w:tc>
              <w:tc>
                <w:tcPr>
                  <w:tcW w:w="183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收集后外售废旧资源回收单位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金属粉尘</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1.3596</w:t>
                  </w:r>
                </w:p>
              </w:tc>
              <w:tc>
                <w:tcPr>
                  <w:tcW w:w="409" w:type="pct"/>
                  <w:vMerge w:val="continue"/>
                  <w:tcBorders>
                    <w:left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265-003-05</w:t>
                  </w:r>
                </w:p>
              </w:tc>
              <w:tc>
                <w:tcPr>
                  <w:tcW w:w="183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收集后外售废旧资源回收单位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生活垃圾</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49.5</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183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由厂区内垃圾桶收集后定期由环卫部门清运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7</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废漆料桶</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1.5525</w:t>
                  </w:r>
                </w:p>
              </w:tc>
              <w:tc>
                <w:tcPr>
                  <w:tcW w:w="409" w:type="pct"/>
                  <w:vMerge w:val="restart"/>
                  <w:tcBorders>
                    <w:left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900-041-49</w:t>
                  </w:r>
                </w:p>
              </w:tc>
              <w:tc>
                <w:tcPr>
                  <w:tcW w:w="1838"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暂存于危废暂存间，定期交有危废处理资质的单位处置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8</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废胶桶</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0.5835</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900-041-49</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9</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废有机溶剂桶</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14:textFill>
                        <w14:solidFill>
                          <w14:schemeClr w14:val="tx1"/>
                        </w14:solidFill>
                      </w14:textFill>
                    </w:rPr>
                  </w:pPr>
                  <w:r>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t>900-041-49</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10</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废机油</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0.08</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900-249-08</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1</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废油桶、含油手套及抹布</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0.0507</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900-249-08</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12</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废活性炭</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16.5</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056</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900-039-49</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13</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废切削液</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0.9</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900-006-09</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14</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废滤渣</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336-064-17</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15</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废过滤棉</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1.8</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900-041-49</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16</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废水站污泥</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336-064-17</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17</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漆渣</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1.9944</w:t>
                  </w:r>
                </w:p>
              </w:tc>
              <w:tc>
                <w:tcPr>
                  <w:tcW w:w="409" w:type="pct"/>
                  <w:vMerge w:val="restart"/>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t>待鉴别废物</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21"/>
                      <w:szCs w:val="21"/>
                      <w:lang w:val="en-US" w:eastAsia="zh-CN" w:bidi="ar"/>
                      <w14:textFill>
                        <w14:solidFill>
                          <w14:schemeClr w14:val="tx1"/>
                        </w14:solidFill>
                      </w14:textFill>
                    </w:rPr>
                    <w:t>/</w:t>
                  </w:r>
                </w:p>
              </w:tc>
              <w:tc>
                <w:tcPr>
                  <w:tcW w:w="1838" w:type="pct"/>
                  <w:vMerge w:val="restart"/>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根据鉴定结果判别，在鉴定前暂按危废管理</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8</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漆料打磨收尘</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0.5482</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21"/>
                      <w:szCs w:val="21"/>
                      <w:lang w:val="en-US" w:eastAsia="zh-CN" w:bidi="ar"/>
                      <w14:textFill>
                        <w14:solidFill>
                          <w14:schemeClr w14:val="tx1"/>
                        </w14:solidFill>
                      </w14:textFill>
                    </w:rPr>
                    <w:t>/</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9</w:t>
                  </w:r>
                </w:p>
              </w:tc>
              <w:tc>
                <w:tcPr>
                  <w:tcW w:w="100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水旋柜废液</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12.96</w:t>
                  </w:r>
                </w:p>
              </w:tc>
              <w:tc>
                <w:tcPr>
                  <w:tcW w:w="409"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pP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Cs/>
                      <w:color w:val="000000" w:themeColor="text1"/>
                      <w:spacing w:val="0"/>
                      <w:kern w:val="21"/>
                      <w:positio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21"/>
                      <w:szCs w:val="21"/>
                      <w:lang w:val="en-US" w:eastAsia="zh-CN" w:bidi="ar"/>
                      <w14:textFill>
                        <w14:solidFill>
                          <w14:schemeClr w14:val="tx1"/>
                        </w14:solidFill>
                      </w14:textFill>
                    </w:rPr>
                    <w:t>/</w:t>
                  </w:r>
                </w:p>
              </w:tc>
              <w:tc>
                <w:tcPr>
                  <w:tcW w:w="1838" w:type="pct"/>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综上，本项目各类固体废物均采取了上述处理安全、合理、卫生的处理和处置措施，不对外排放，对周围环境影响较小。</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五、地下水、土壤环境影响及保护措施</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1、污染途径分析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本项目属于污染影响型建设项目，正常情况下不会对区域地下水和土壤造成污染影响。本项目可能对地下水和土壤造成污染的途径为地面防渗措施不到位，车间、危废暂存间</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、化学品仓</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等发生事故泄漏时的化学原料或废液可能直接渗入到泄漏区域附近的土壤中，进而污染地下水。</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2、防护措施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地下水污染防治措施应坚持“源头控制、</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末端</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防治、污染监控、应急响应相结合”的原则，即采取主动控制和被动控制相结合的措施。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项目应采取较为有效的防渗、密封等</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工程</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控制措施和污染防范措施，防止泄漏物污染厂区内土壤和地下水。具体</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措施</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如下：</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（1）源头控制</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项目应根据国家</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现行</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相关规范加强环境管理，采取防止和降低污染物跑、冒、滴、漏的措施。正常生产过程中应加强巡检，及时预防、发现并处理污染物跑、冒、滴、漏等事故发生。同时加强对防渗工程的检查，防渗工程设计使用年限不应低于设备、管线及建、构筑物的设计使用年限，对可能泄漏有害介质和污染物的设备和管道敷设尽量做到“可视化”，即管道尽可能地上敷设，做到污染物“早发现、早处理”，以减少由于埋地管道泄漏而可能造成的污染。厂区危险废物暂存间等车间采用封闭、地面防渗处理；同时建设单位应定期检查废气处理设施，保障废气各污染物达标排放。</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（2）分区防控</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为有效规避地下水、土壤环境污染的风险，本项目采取分区防治措施，将厂内按各功能单元所处的位置划分为重点防渗区、一般防渗区、简单防渗区。</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重点防渗区：</w:t>
            </w:r>
            <w:r>
              <w:rPr>
                <w:rFonts w:ascii="Times New Roman" w:hAnsi="Times New Roman" w:eastAsia="宋体" w:cs="Times New Roman"/>
                <w:color w:val="000000" w:themeColor="text1"/>
                <w:spacing w:val="0"/>
                <w:kern w:val="21"/>
                <w:position w:val="0"/>
                <w:sz w:val="24"/>
                <w14:textFill>
                  <w14:solidFill>
                    <w14:schemeClr w14:val="tx1"/>
                  </w14:solidFill>
                </w14:textFill>
              </w:rPr>
              <w:t>危废暂存间、喷漆房、喷塑区、化学品仓</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、废水收集池、污水处</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理站</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事故水池</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设置</w:t>
            </w:r>
            <w:r>
              <w:rPr>
                <w:rFonts w:ascii="Times New Roman" w:hAnsi="Times New Roman" w:eastAsia="宋体" w:cs="Times New Roman"/>
                <w:color w:val="000000" w:themeColor="text1"/>
                <w:spacing w:val="0"/>
                <w:kern w:val="21"/>
                <w:position w:val="0"/>
                <w:sz w:val="24"/>
                <w:szCs w:val="22"/>
                <w:lang w:val="zh-CN"/>
                <w14:textFill>
                  <w14:solidFill>
                    <w14:schemeClr w14:val="tx1"/>
                  </w14:solidFill>
                </w14:textFill>
              </w:rPr>
              <w:t>防渗层</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为20cmP8等级抗渗</w:t>
            </w:r>
            <w:r>
              <w:rPr>
                <w:rFonts w:ascii="Times New Roman" w:hAnsi="Times New Roman" w:eastAsia="宋体" w:cs="Times New Roman"/>
                <w:color w:val="000000" w:themeColor="text1"/>
                <w:spacing w:val="0"/>
                <w:kern w:val="21"/>
                <w:position w:val="0"/>
                <w:sz w:val="24"/>
                <w:lang w:val="zh-CN" w:bidi="ar"/>
                <w14:textFill>
                  <w14:solidFill>
                    <w14:schemeClr w14:val="tx1"/>
                  </w14:solidFill>
                </w14:textFill>
              </w:rPr>
              <w:t>混凝土</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+2mm高分子湿铺型防水卷材+1.3mm聚合物水泥防水粘结材料</w:t>
            </w:r>
            <w:r>
              <w:rPr>
                <w:rFonts w:ascii="Times New Roman" w:hAnsi="Times New Roman" w:eastAsia="宋体" w:cs="Times New Roman"/>
                <w:color w:val="000000" w:themeColor="text1"/>
                <w:spacing w:val="0"/>
                <w:kern w:val="21"/>
                <w:position w:val="0"/>
                <w:sz w:val="24"/>
                <w:lang w:val="zh-CN"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危废暂存间、化学品仓增加不锈钢金属托盘，各重点防渗区应满足</w:t>
            </w:r>
            <w:r>
              <w:rPr>
                <w:rFonts w:ascii="Times New Roman" w:hAnsi="Times New Roman" w:eastAsia="宋体" w:cs="Times New Roman"/>
                <w:color w:val="000000" w:themeColor="text1"/>
                <w:spacing w:val="0"/>
                <w:kern w:val="21"/>
                <w:position w:val="0"/>
                <w:sz w:val="24"/>
                <w14:textFill>
                  <w14:solidFill>
                    <w14:schemeClr w14:val="tx1"/>
                  </w14:solidFill>
                </w14:textFill>
              </w:rPr>
              <w:t>Mb≥6.0m、K≤</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1×</w:t>
            </w:r>
            <w:r>
              <w:rPr>
                <w:rFonts w:ascii="Times New Roman" w:hAnsi="Times New Roman" w:eastAsia="宋体" w:cs="Times New Roman"/>
                <w:color w:val="000000" w:themeColor="text1"/>
                <w:spacing w:val="0"/>
                <w:kern w:val="21"/>
                <w:position w:val="0"/>
                <w:sz w:val="24"/>
                <w14:textFill>
                  <w14:solidFill>
                    <w14:schemeClr w14:val="tx1"/>
                  </w14:solidFill>
                </w14:textFill>
              </w:rPr>
              <w:t>10</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-7</w:t>
            </w:r>
            <w:r>
              <w:rPr>
                <w:rFonts w:ascii="Times New Roman" w:hAnsi="Times New Roman" w:eastAsia="宋体" w:cs="Times New Roman"/>
                <w:color w:val="000000" w:themeColor="text1"/>
                <w:spacing w:val="0"/>
                <w:kern w:val="21"/>
                <w:position w:val="0"/>
                <w:sz w:val="24"/>
                <w14:textFill>
                  <w14:solidFill>
                    <w14:schemeClr w14:val="tx1"/>
                  </w14:solidFill>
                </w14:textFill>
              </w:rPr>
              <w:t>cm/s的要求，其中危废暂存间、化学品仓</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等效防渗系数K≤1×10</w:t>
            </w:r>
            <w:r>
              <w:rPr>
                <w:rFonts w:ascii="Times New Roman" w:hAnsi="Times New Roman" w:eastAsia="宋体" w:cs="Times New Roman"/>
                <w:color w:val="000000" w:themeColor="text1"/>
                <w:spacing w:val="0"/>
                <w:kern w:val="21"/>
                <w:position w:val="0"/>
                <w:sz w:val="24"/>
                <w:vertAlign w:val="superscript"/>
                <w:lang w:val="zh-CN"/>
                <w14:textFill>
                  <w14:solidFill>
                    <w14:schemeClr w14:val="tx1"/>
                  </w14:solidFill>
                </w14:textFill>
              </w:rPr>
              <w:t>-10</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cm/s。</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一般防渗区</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木材加工区、</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实木车间、板式车间、金属</w:t>
            </w:r>
            <w:r>
              <w:rPr>
                <w:rFonts w:hint="eastAsia"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车间</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、软包车间、打样定制区</w:t>
            </w:r>
            <w:r>
              <w:rPr>
                <w:rFonts w:hint="eastAsia"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、机修检测房、化粪池</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等</w:t>
            </w:r>
            <w:r>
              <w:rPr>
                <w:rFonts w:ascii="Times New Roman" w:hAnsi="Times New Roman" w:eastAsia="宋体" w:cs="Times New Roman"/>
                <w:color w:val="000000" w:themeColor="text1"/>
                <w:spacing w:val="0"/>
                <w:kern w:val="21"/>
                <w:position w:val="0"/>
                <w:sz w:val="24"/>
                <w:szCs w:val="22"/>
                <w:lang w:val="zh-CN"/>
                <w14:textFill>
                  <w14:solidFill>
                    <w14:schemeClr w14:val="tx1"/>
                  </w14:solidFill>
                </w14:textFill>
              </w:rPr>
              <w:t>地面防渗层</w:t>
            </w:r>
            <w:r>
              <w:rPr>
                <w:rFonts w:ascii="Times New Roman" w:hAnsi="Times New Roman" w:eastAsia="宋体" w:cs="Times New Roman"/>
                <w:color w:val="000000" w:themeColor="text1"/>
                <w:spacing w:val="0"/>
                <w:kern w:val="21"/>
                <w:position w:val="0"/>
                <w:sz w:val="24"/>
                <w:lang w:val="zh-CN" w:bidi="ar"/>
                <w14:textFill>
                  <w14:solidFill>
                    <w14:schemeClr w14:val="tx1"/>
                  </w14:solidFill>
                </w14:textFill>
              </w:rPr>
              <w:t>为</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18</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cmP8等级防渗混凝</w:t>
            </w:r>
            <w:r>
              <w:rPr>
                <w:rFonts w:ascii="Times New Roman" w:hAnsi="Times New Roman" w:eastAsia="宋体" w:cs="Times New Roman"/>
                <w:snapToGrid w:val="0"/>
                <w:color w:val="000000" w:themeColor="text1"/>
                <w:spacing w:val="0"/>
                <w:kern w:val="21"/>
                <w:position w:val="0"/>
                <w:sz w:val="24"/>
                <w:szCs w:val="22"/>
                <w:lang w:val="zh-CN" w:bidi="ar"/>
                <w14:textFill>
                  <w14:solidFill>
                    <w14:schemeClr w14:val="tx1"/>
                  </w14:solidFill>
                </w14:textFill>
              </w:rPr>
              <w:t>土</w:t>
            </w:r>
            <w:r>
              <w:rPr>
                <w:rFonts w:ascii="Times New Roman" w:hAnsi="Times New Roman" w:eastAsia="宋体" w:cs="Times New Roman"/>
                <w:color w:val="000000" w:themeColor="text1"/>
                <w:spacing w:val="0"/>
                <w:kern w:val="21"/>
                <w:position w:val="0"/>
                <w:sz w:val="24"/>
                <w:lang w:val="zh-CN" w:bidi="ar"/>
                <w14:textFill>
                  <w14:solidFill>
                    <w14:schemeClr w14:val="tx1"/>
                  </w14:solidFill>
                </w14:textFill>
              </w:rPr>
              <w:t>，保证</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等效</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渗透系数K≤1×10</w:t>
            </w:r>
            <w:r>
              <w:rPr>
                <w:rFonts w:ascii="Times New Roman" w:hAnsi="Times New Roman" w:eastAsia="宋体" w:cs="Times New Roman"/>
                <w:color w:val="000000" w:themeColor="text1"/>
                <w:spacing w:val="0"/>
                <w:kern w:val="21"/>
                <w:position w:val="0"/>
                <w:sz w:val="24"/>
                <w:vertAlign w:val="superscript"/>
                <w:lang w:val="zh-CN"/>
                <w14:textFill>
                  <w14:solidFill>
                    <w14:schemeClr w14:val="tx1"/>
                  </w14:solidFill>
                </w14:textFill>
              </w:rPr>
              <w:t>-7</w:t>
            </w:r>
            <w:r>
              <w:rPr>
                <w:rFonts w:ascii="Times New Roman" w:hAnsi="Times New Roman" w:eastAsia="宋体" w:cs="Times New Roman"/>
                <w:color w:val="000000" w:themeColor="text1"/>
                <w:spacing w:val="0"/>
                <w:kern w:val="21"/>
                <w:position w:val="0"/>
                <w:sz w:val="24"/>
                <w:lang w:val="zh-CN"/>
                <w14:textFill>
                  <w14:solidFill>
                    <w14:schemeClr w14:val="tx1"/>
                  </w14:solidFill>
                </w14:textFill>
              </w:rPr>
              <w:t>cm/s。</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简单防渗区：</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办公区域及厂内其他区域水泥地面防渗。</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分区防渗要求及治理措施</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1316"/>
              <w:gridCol w:w="1998"/>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区域名称</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分区类别</w:t>
                  </w:r>
                </w:p>
              </w:tc>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防渗技术要求</w:t>
                  </w:r>
                </w:p>
              </w:tc>
              <w:tc>
                <w:tcPr>
                  <w:tcW w:w="171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危废暂存间、喷漆房、喷塑区、化学品仓</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、废水收集池、污水处理站</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事故水池</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重点防渗区</w:t>
                  </w:r>
                </w:p>
              </w:tc>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等效黏土防渗层Mb≥6.0m，k≤1×10</w:t>
                  </w:r>
                  <w:r>
                    <w:rPr>
                      <w:rFonts w:ascii="Times New Roman" w:hAnsi="Times New Roman" w:eastAsia="宋体" w:cs="Times New Roman"/>
                      <w:color w:val="000000" w:themeColor="text1"/>
                      <w:spacing w:val="0"/>
                      <w:kern w:val="21"/>
                      <w:position w:val="0"/>
                      <w:szCs w:val="21"/>
                      <w:vertAlign w:val="superscript"/>
                      <w:lang w:bidi="ar"/>
                      <w14:textFill>
                        <w14:solidFill>
                          <w14:schemeClr w14:val="tx1"/>
                        </w14:solidFill>
                      </w14:textFill>
                    </w:rPr>
                    <w:t>-7</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cm/s；或参照GB18598执行</w:t>
                  </w:r>
                </w:p>
              </w:tc>
              <w:tc>
                <w:tcPr>
                  <w:tcW w:w="171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防渗层为20cmP8等级抗渗混凝土+2mm高分子湿铺型防水卷材+1.3mm聚合物水泥防水粘结材料，</w:t>
                  </w: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危废暂存间、化学品仓增加</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不锈钢金属托盘，Mb≥6.0m、K≤10</w:t>
                  </w:r>
                  <w:r>
                    <w:rPr>
                      <w:rFonts w:ascii="Times New Roman" w:hAnsi="Times New Roman" w:eastAsia="宋体" w:cs="Times New Roman"/>
                      <w:color w:val="000000" w:themeColor="text1"/>
                      <w:spacing w:val="0"/>
                      <w:kern w:val="21"/>
                      <w:position w:val="0"/>
                      <w:szCs w:val="21"/>
                      <w:vertAlign w:val="superscript"/>
                      <w:lang w:bidi="ar"/>
                      <w14:textFill>
                        <w14:solidFill>
                          <w14:schemeClr w14:val="tx1"/>
                        </w14:solidFill>
                      </w14:textFill>
                    </w:rPr>
                    <w:t>-7</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cm/s（其中危废暂存间、化学品仓渗透系数K≤10</w:t>
                  </w:r>
                  <w:r>
                    <w:rPr>
                      <w:rFonts w:ascii="Times New Roman" w:hAnsi="Times New Roman" w:eastAsia="宋体" w:cs="Times New Roman"/>
                      <w:color w:val="000000" w:themeColor="text1"/>
                      <w:spacing w:val="0"/>
                      <w:kern w:val="21"/>
                      <w:position w:val="0"/>
                      <w:szCs w:val="21"/>
                      <w:vertAlign w:val="superscript"/>
                      <w:lang w:bidi="ar"/>
                      <w14:textFill>
                        <w14:solidFill>
                          <w14:schemeClr w14:val="tx1"/>
                        </w14:solidFill>
                      </w14:textFill>
                    </w:rPr>
                    <w:t>-10</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cm/s）的要求。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木材加工区、</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实木车间、板式车间、金属</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车间</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、软包车间、打样定制区</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、机修检测房、化粪池</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一般防渗区</w:t>
                  </w:r>
                </w:p>
              </w:tc>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等效黏土防渗层Mb≥1.5m，k≤1×10</w:t>
                  </w:r>
                  <w:r>
                    <w:rPr>
                      <w:rFonts w:ascii="Times New Roman" w:hAnsi="Times New Roman" w:eastAsia="宋体" w:cs="Times New Roman"/>
                      <w:color w:val="000000" w:themeColor="text1"/>
                      <w:spacing w:val="0"/>
                      <w:kern w:val="21"/>
                      <w:position w:val="0"/>
                      <w:szCs w:val="21"/>
                      <w:vertAlign w:val="superscript"/>
                      <w:lang w:bidi="ar"/>
                      <w14:textFill>
                        <w14:solidFill>
                          <w14:schemeClr w14:val="tx1"/>
                        </w14:solidFill>
                      </w14:textFill>
                    </w:rPr>
                    <w:t>-7</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cm/s；或参照GB16889执行</w:t>
                  </w:r>
                </w:p>
              </w:tc>
              <w:tc>
                <w:tcPr>
                  <w:tcW w:w="171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18cm</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P8等级</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抗渗混凝土，Mb≥1.5m，k≤1×10</w:t>
                  </w:r>
                  <w:r>
                    <w:rPr>
                      <w:rFonts w:ascii="Times New Roman" w:hAnsi="Times New Roman" w:eastAsia="宋体" w:cs="Times New Roman"/>
                      <w:color w:val="000000" w:themeColor="text1"/>
                      <w:spacing w:val="0"/>
                      <w:kern w:val="21"/>
                      <w:position w:val="0"/>
                      <w:szCs w:val="21"/>
                      <w:vertAlign w:val="superscript"/>
                      <w:lang w:bidi="ar"/>
                      <w14:textFill>
                        <w14:solidFill>
                          <w14:schemeClr w14:val="tx1"/>
                        </w14:solidFill>
                      </w14:textFill>
                    </w:rPr>
                    <w:t>-7</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cm/s的防渗要求。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办公区等其他区域</w:t>
                  </w:r>
                </w:p>
              </w:tc>
              <w:tc>
                <w:tcPr>
                  <w:tcW w:w="78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简单防渗区</w:t>
                  </w:r>
                </w:p>
              </w:tc>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一般场地硬化</w:t>
                  </w:r>
                </w:p>
              </w:tc>
              <w:tc>
                <w:tcPr>
                  <w:tcW w:w="171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 w:val="24"/>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一般</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水泥硬化</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综上所述，</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建设单位</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采取</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以上防控措施后，可有效防止项目污染物渗漏污染地下水和土壤，</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对区域地下水和土壤环境不会造成明显影响。</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六、生态环境影响及保护措施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w:t>
            </w:r>
            <w:r>
              <w:rPr>
                <w:rFonts w:ascii="Times New Roman" w:hAnsi="Times New Roman" w:eastAsia="宋体" w:cs="Times New Roman"/>
                <w:color w:val="000000" w:themeColor="text1"/>
                <w:spacing w:val="0"/>
                <w:kern w:val="21"/>
                <w:position w:val="0"/>
                <w:sz w:val="24"/>
                <w14:textFill>
                  <w14:solidFill>
                    <w14:schemeClr w14:val="tx1"/>
                  </w14:solidFill>
                </w14:textFill>
              </w:rPr>
              <w:t>位于昭化绿色产业园内，项</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目</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用地性质属于园区工业用地，受人为影响较深，项目运营期不涉及生态破坏，水土流失等生态影响，</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不属于产业园区外建设项目新增用地且用地范围内含有生态环境保护目标的项目。</w:t>
            </w:r>
          </w:p>
          <w:p>
            <w:pPr>
              <w:pageBreakBefore w:val="0"/>
              <w:kinsoku/>
              <w:overflowPunct/>
              <w:autoSpaceDE/>
              <w:autoSpaceDN/>
              <w:bidi w:val="0"/>
              <w:spacing w:line="360" w:lineRule="auto"/>
              <w:ind w:firstLine="482"/>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七、环境风险影响及防范措施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按照《建设项目环境风险评价技术导则》（HJ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169-2018）的要求，环境风险评价应以突发性事故导致的危险物质环境急性损害防控为</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目标</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，对建设项目的环境风险进行分析、预测和评估，提出环境风险预防、控制、减缓措施，明确环境风险监控及应急建议要求，为建设项目环境风险防控提供科学依据。</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1、</w:t>
            </w: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建设项目风险源调查</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本项目拟建设一个</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化学品仓用于存放水性底漆、水性面漆、脱脂剂</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、有机硅烷水溶液</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等化学品</w:t>
            </w:r>
            <w:r>
              <w:rPr>
                <w:rFonts w:hint="eastAsia" w:ascii="Times New Roman" w:hAnsi="Times New Roman" w:eastAsia="宋体" w:cs="Times New Roman"/>
                <w:color w:val="000000" w:themeColor="text1"/>
                <w:spacing w:val="0"/>
                <w:kern w:val="21"/>
                <w:position w:val="0"/>
                <w:sz w:val="24"/>
                <w:szCs w:val="22"/>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化学品在生产期间可能发生泄漏，以有毒化学品泄漏产生的影响为主要特征。</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2、风险识别</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根据《建设项目环境风险评价技术导则》（HJ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169-2018），风险识别主要包括物质危险性识别、生产系统危险性识别和危险物质向环境转移的途径识别。</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（1）物质危险性识别</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根据《建设项目环境风险评价技术导则》（HJ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169-2018）附录B，确定本项目</w:t>
            </w:r>
            <w:r>
              <w:rPr>
                <w:rFonts w:hint="eastAsia"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机修检测室</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中机油、液压油</w:t>
            </w:r>
            <w:r>
              <w:rPr>
                <w:rFonts w:hint="eastAsia"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、切削液等油类物质，</w:t>
            </w:r>
            <w:r>
              <w:rPr>
                <w:rFonts w:hint="eastAsia" w:ascii="Times New Roman" w:hAnsi="Times New Roman" w:eastAsia="宋体" w:cs="Times New Roman"/>
                <w:snapToGrid w:val="0"/>
                <w:color w:val="000000" w:themeColor="text1"/>
                <w:spacing w:val="0"/>
                <w:kern w:val="21"/>
                <w:position w:val="0"/>
                <w:sz w:val="24"/>
                <w:szCs w:val="22"/>
                <w:lang w:val="en-US" w:eastAsia="zh-CN" w:bidi="ar"/>
                <w14:textFill>
                  <w14:solidFill>
                    <w14:schemeClr w14:val="tx1"/>
                  </w14:solidFill>
                </w14:textFill>
              </w:rPr>
              <w:t>危废间</w:t>
            </w:r>
            <w:r>
              <w:rPr>
                <w:rFonts w:hint="eastAsia"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中</w:t>
            </w:r>
            <w:r>
              <w:rPr>
                <w:rFonts w:hint="eastAsia" w:ascii="Times New Roman" w:hAnsi="Times New Roman" w:eastAsia="宋体" w:cs="Times New Roman"/>
                <w:snapToGrid w:val="0"/>
                <w:color w:val="000000" w:themeColor="text1"/>
                <w:spacing w:val="0"/>
                <w:kern w:val="21"/>
                <w:position w:val="0"/>
                <w:sz w:val="24"/>
                <w:szCs w:val="22"/>
                <w:lang w:val="en-US" w:eastAsia="zh-CN" w:bidi="ar"/>
                <w14:textFill>
                  <w14:solidFill>
                    <w14:schemeClr w14:val="tx1"/>
                  </w14:solidFill>
                </w14:textFill>
              </w:rPr>
              <w:t>废机油、废切削液</w:t>
            </w:r>
            <w:r>
              <w:rPr>
                <w:rFonts w:hint="eastAsia"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等</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属</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于重点关注的危险物质。</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（2）生产系统危险性识别</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生产系统危险性识别包括主要</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生产</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装置、储运设施、公用工程和辅助生产设施，以及环境保护设施等。</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生产系统危险性识别</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13"/>
              <w:gridCol w:w="945"/>
              <w:gridCol w:w="1430"/>
              <w:gridCol w:w="1054"/>
              <w:gridCol w:w="3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危险单元</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风险源</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主要危险物质</w:t>
                  </w:r>
                </w:p>
              </w:tc>
              <w:tc>
                <w:tcPr>
                  <w:tcW w:w="6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环境风险类型</w:t>
                  </w:r>
                </w:p>
              </w:tc>
              <w:tc>
                <w:tcPr>
                  <w:tcW w:w="227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风险源判断原因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426" w:type="pc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生产车间</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机修间</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机油、液压油、切削液</w:t>
                  </w:r>
                </w:p>
              </w:tc>
              <w:tc>
                <w:tcPr>
                  <w:tcW w:w="6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泄露、火灾、爆炸</w:t>
                  </w:r>
                </w:p>
              </w:tc>
              <w:tc>
                <w:tcPr>
                  <w:tcW w:w="227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原料桶体、密封点产生破损，由于设备、材质缺陷导致管线阀门松动或破裂；易燃物料泄漏遇明火引发燃爆事故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426" w:type="pct"/>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default" w:ascii="Times New Roman" w:hAnsi="Times New Roman" w:eastAsia="宋体" w:cs="Times New Roman"/>
                      <w:b w:val="0"/>
                      <w:bCs w:val="0"/>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pacing w:val="0"/>
                      <w:kern w:val="21"/>
                      <w:position w:val="0"/>
                      <w:szCs w:val="21"/>
                      <w:lang w:val="en-US" w:eastAsia="zh-CN" w:bidi="ar"/>
                      <w14:textFill>
                        <w14:solidFill>
                          <w14:schemeClr w14:val="tx1"/>
                        </w14:solidFill>
                      </w14:textFill>
                    </w:rPr>
                    <w:t>化学品仓</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化学品仓</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有机原料</w:t>
                  </w:r>
                </w:p>
              </w:tc>
              <w:tc>
                <w:tcPr>
                  <w:tcW w:w="6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泄露、火灾、爆炸、中毒</w:t>
                  </w:r>
                </w:p>
              </w:tc>
              <w:tc>
                <w:tcPr>
                  <w:tcW w:w="227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由于生产车间容器设备和管线较多，物料易发生破裂泄漏，且部分反应过程为高温操作，一旦温度失去控制，反应器存在爆炸危险。爆炸产生危害物质外泄，遇明火、高热能引起燃烧爆炸。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426" w:type="pct"/>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b w:val="0"/>
                      <w:bCs w:val="0"/>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pacing w:val="0"/>
                      <w:kern w:val="21"/>
                      <w:position w:val="0"/>
                      <w:szCs w:val="21"/>
                      <w:lang w:val="en-US" w:eastAsia="zh-CN" w:bidi="ar"/>
                      <w14:textFill>
                        <w14:solidFill>
                          <w14:schemeClr w14:val="tx1"/>
                        </w14:solidFill>
                      </w14:textFill>
                    </w:rPr>
                    <w:t>危废间</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危废暂存间</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有机废液</w:t>
                  </w:r>
                </w:p>
              </w:tc>
              <w:tc>
                <w:tcPr>
                  <w:tcW w:w="62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泄露</w:t>
                  </w:r>
                </w:p>
              </w:tc>
              <w:tc>
                <w:tcPr>
                  <w:tcW w:w="227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原料桶体、密封点产生破损</w:t>
                  </w:r>
                </w:p>
              </w:tc>
            </w:tr>
          </w:tbl>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（3）</w:t>
            </w:r>
            <w:r>
              <w:rPr>
                <w:rFonts w:ascii="Times New Roman" w:hAnsi="Times New Roman" w:eastAsia="宋体" w:cs="Times New Roman"/>
                <w:b/>
                <w:bCs/>
                <w:color w:val="000000" w:themeColor="text1"/>
                <w:spacing w:val="0"/>
                <w:kern w:val="21"/>
                <w:position w:val="0"/>
                <w:sz w:val="24"/>
                <w14:textFill>
                  <w14:solidFill>
                    <w14:schemeClr w14:val="tx1"/>
                  </w14:solidFill>
                </w14:textFill>
              </w:rPr>
              <w:t>贮运系统危险性识别</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①化学品仓的建筑设施若不符合要求，造成库房内温度过高，通风不良，湿度过大，使化学品达不到安全储存的要求而引发火灾、爆炸事故。</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②库房内的化学品容器的包装损坏，会因泄漏而引起火灾事故，还可能因作业人员未采取防护措施而导致中毒事故。</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③在化学品储存过程中若对火源控制不严，如库房周围的明火作业，或由于内部设备不良、操作不当引起的电火花、撞击火花等，若电气设备不防爆或防爆等级不够，装卸作业使用铁质工具撞击打火等，都有可能导致火灾、爆炸事故的发生。</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④若仓库建筑条件差，不适应所储存物品的要求，又未采取隔热降温措施，使物品受热；因仓储养护管理不善，仓库漏雨进水，使化学品受潮；盛装的容器破损，使物品接触空气等，均可能引起着火或爆炸事故。必须有良好的防水、防潮设施，并专库存放，仓库应设置围堰。</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此外，若化学品仓库存放物料品种多，物料化学性质、容器类型、消防要求等不尽相同，以下危险因素也可能导致发生火灾爆炸、灼烫、中毒等事故：</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①未按化学品性能进行分区、分类、分库储存，尤其是存在禁忌物料混合储存；</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②未按照化学品的分类、分项、容器类型、储存方式和消防要求安排储存和限制储存量；</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③储存场所、区域范围内存在点火源（引燃源）；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④无有效的避雷装置；储存场所通风不良、电气、照明设施不防爆等；</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⑤未设置有效的安全装置（如仓库的自然通风、机械排风、事故通风系统和温、湿度调节系统、水喷淋冷却系统等）；</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⑥未按规定配备足够的消防设施。</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t>3、危险物质向环境转移途径识别</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（1）原辅料储运生产系统</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生产中使用的主要原辅料在正常运输和储存过程中无废水、废气排放，环境风险较低。但如果运输和储存不当，可能发生火灾等危险事故，发生不完全燃烧导致有害气体和烟尘释放，污染周围大气环境。如果运输和储存不当，可能会有泄漏风险，从而对周边的水体造成污染。</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生产过程中使用的原辅材料中含有易燃易爆液体，一旦泄漏非常容易大量挥发造成大气污染，一旦车间内浓度达到燃烧和爆炸极限，遇火星即造成燃烧甚至爆炸事故，从而可能对周边生产设施造成破坏性影响，并造成二次污染事件。</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本次评价建议建设单位</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加强</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对化学品仓的管理，做好各项防护措施，降低事故发生的风险。</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（2）环保设施系统</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①废气事故排放风险分析</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A.风险来源</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本项目废气污染物潜在的风险主要为排放的有机废气可能对生产过程和废气净化过程产生</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不良</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影响，并在事故地点产生一定损害。但由于本项目废气排放强度较低，将不会对厂区以外的环境造成明显污染。</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B.风险出现诱因、概率及危害</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废气风险出现概率，与废气净化系统事故率相同，导致废气事故排放风险的主要因素包括生产中废气排出状况</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波动</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异常；净化系统出现泄漏现象；员工在生产过程中操作不当或未根据环境状况的改变及时对工艺参数进行调整；未按规程和设备状况进行净化系统再生。</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②危险废物环境污染事故分析</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本项目生产过程中产生的危险废物在送至危险废物处理单位之前将由建设单位自行收集并在危废暂</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存</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间进行存放，在其产生、收集和存放过程中均存在泄漏进入周围环境的风险。</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危险废物</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如果不按要求进行安全处置，而是随一般固体废物进行卫生处理，其中的危险物质将随着垃圾渗滤液的排出，进而污染土壤和水体，并在水体下游的生物中富集，经过食物链转移到人体，造成人体重金属含量超标，影响健康，甚至发生某些严重的区域性疾病。</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因此，本次评价要求建设单位对危险废物存放进行严格管理，对收集操作人员进行相关收集操作要求、存放要求等知识培训，并制定相关制度，让员工充分认识到危险性的存在，培养员工在发生危险时的应对能力。</w:t>
            </w:r>
          </w:p>
          <w:p>
            <w:pPr>
              <w:pageBreakBefore w:val="0"/>
              <w:kinsoku/>
              <w:overflowPunct/>
              <w:autoSpaceDE/>
              <w:autoSpaceDN/>
              <w:bidi w:val="0"/>
              <w:spacing w:line="360" w:lineRule="auto"/>
              <w:ind w:firstLine="481" w:firstLineChars="200"/>
              <w:textAlignment w:val="auto"/>
              <w:rPr>
                <w:rFonts w:hint="default"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3</w:t>
            </w:r>
            <w:r>
              <w:rPr>
                <w:rFonts w:hint="eastAsia" w:ascii="Times New Roman" w:hAnsi="Times New Roman" w:eastAsia="宋体" w:cs="Times New Roman"/>
                <w:b/>
                <w:bCs/>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b/>
                <w:bCs/>
                <w:color w:val="000000" w:themeColor="text1"/>
                <w:spacing w:val="0"/>
                <w:kern w:val="21"/>
                <w:position w:val="0"/>
                <w:sz w:val="24"/>
                <w:szCs w:val="22"/>
                <w:lang w:val="en-US" w:eastAsia="zh-CN"/>
                <w14:textFill>
                  <w14:solidFill>
                    <w14:schemeClr w14:val="tx1"/>
                  </w14:solidFill>
                </w14:textFill>
              </w:rPr>
              <w:t>火灾、爆炸等</w:t>
            </w:r>
          </w:p>
          <w:p>
            <w:pPr>
              <w:pageBreakBefore w:val="0"/>
              <w:kinsoku/>
              <w:overflowPunct/>
              <w:autoSpaceDE/>
              <w:autoSpaceDN/>
              <w:bidi w:val="0"/>
              <w:spacing w:line="360" w:lineRule="auto"/>
              <w:ind w:firstLine="480" w:firstLineChars="200"/>
              <w:textAlignment w:val="auto"/>
              <w:rPr>
                <w:rFonts w:hint="default"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本项目生产所使用的原料具有潜在的危害</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在贮存</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、运输和生产过程中可能发生泄漏和火灾爆炸，部分化学品在泄漏和火灾爆炸过程中遇水、热或其它化学品等会产生伴生和次生</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的</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危害。</w:t>
            </w:r>
          </w:p>
          <w:p>
            <w:pPr>
              <w:pageBreakBefore w:val="0"/>
              <w:widowControl/>
              <w:kinsoku/>
              <w:overflowPunct/>
              <w:autoSpaceDE/>
              <w:autoSpaceDN/>
              <w:bidi w:val="0"/>
              <w:spacing w:line="360" w:lineRule="auto"/>
              <w:ind w:firstLine="482"/>
              <w:jc w:val="left"/>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4、风险潜势初判</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根据《建设项目环境风险评价技术导则》（HJ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169-2018），建设项目环境风险潜势划分为Ⅰ、Ⅱ、Ⅲ、Ⅳ/Ⅳ+级。根据建设项目涉及的物质和工艺系统的危险性及其所在地的环境敏感程度，结合事故情形下环境影响途径，对建设项目潜在环境危害程度进行概化分析，确定环境风险潜势。</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根据《建设项目环境风险评价技术导则》（HJ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169-2018）附录B确定危险物质的临界量（数据来源于《企业突发环境事件风险分级方法》（HJ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941-2018）附录A）。定量分析危险物质数量与临界量的比值（Q）和所属行业及生产工艺特点（M），按附录C对危险物质及工艺系统危险性（P）等级进行判断。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本项目化学品物料最大贮存量见下表。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项目主要风险物质最大储存情况表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756"/>
              <w:gridCol w:w="1734"/>
              <w:gridCol w:w="1885"/>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18"/>
                      <w14:textFill>
                        <w14:solidFill>
                          <w14:schemeClr w14:val="tx1"/>
                        </w14:solidFill>
                      </w14:textFill>
                    </w:rPr>
                    <w:t>物质名称</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最大存在量（t）</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主要风险物质</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主要风险物质（折纯后）最大存在量（t）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机油</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0.1</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机油</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液压油</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0.08</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液压油</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废机油</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0.08</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废机油</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0.08</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根据《建设项目环境风险评价技术导则》（HJ</w:t>
            </w:r>
            <w:r>
              <w:rPr>
                <w:rFonts w:hint="eastAsia" w:ascii="Times New Roman" w:hAnsi="Times New Roman" w:eastAsia="宋体" w:cs="Times New Roman"/>
                <w:color w:val="000000" w:themeColor="text1"/>
                <w:spacing w:val="0"/>
                <w:kern w:val="21"/>
                <w:position w:val="0"/>
                <w:sz w:val="24"/>
                <w:szCs w:val="22"/>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169-2018）当存在多种危险物质时，则按以下公式计算物质总量与其临界量比值（Q）：</w:t>
            </w:r>
          </w:p>
          <w:p>
            <w:pPr>
              <w:pageBreakBefore w:val="0"/>
              <w:widowControl/>
              <w:kinsoku/>
              <w:overflowPunct/>
              <w:autoSpaceDE/>
              <w:autoSpaceDN/>
              <w:bidi w:val="0"/>
              <w:spacing w:line="360" w:lineRule="auto"/>
              <w:jc w:val="center"/>
              <w:textAlignment w:val="auto"/>
              <w:rPr>
                <w:rFonts w:ascii="Times New Roman" w:hAnsi="Times New Roman" w:eastAsia="宋体" w:cs="Times New Roman"/>
                <w:i/>
                <w:i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object>
                <v:shape id="_x0000_i1045" o:spt="75" type="#_x0000_t75" style="height:34.5pt;width:109.5pt;" o:ole="t" filled="f" o:preferrelative="t" stroked="f" coordsize="21600,21600">
                  <v:path/>
                  <v:fill on="f" focussize="0,0"/>
                  <v:stroke on="f" joinstyle="miter"/>
                  <v:imagedata r:id="rId69" o:title=""/>
                  <o:lock v:ext="edit" aspectratio="t"/>
                  <w10:wrap type="none"/>
                  <w10:anchorlock/>
                </v:shape>
                <o:OLEObject Type="Embed" ProgID="Equation.3" ShapeID="_x0000_i1045" DrawAspect="Content" ObjectID="_1468075745" r:id="rId68">
                  <o:LockedField>false</o:LockedField>
                </o:OLEObject>
              </w:objec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i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式中：</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i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
                <w:color w:val="000000" w:themeColor="text1"/>
                <w:spacing w:val="0"/>
                <w:kern w:val="21"/>
                <w:position w:val="0"/>
                <w:sz w:val="24"/>
                <w:szCs w:val="22"/>
                <w:vertAlign w:val="subscript"/>
                <w:lang w:bidi="ar"/>
                <w14:textFill>
                  <w14:solidFill>
                    <w14:schemeClr w14:val="tx1"/>
                  </w14:solidFill>
                </w14:textFill>
              </w:rPr>
              <w:t>1</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
                <w:color w:val="000000" w:themeColor="text1"/>
                <w:spacing w:val="0"/>
                <w:kern w:val="21"/>
                <w:position w:val="0"/>
                <w:sz w:val="24"/>
                <w:szCs w:val="22"/>
                <w:vertAlign w:val="subscript"/>
                <w:lang w:bidi="ar"/>
                <w14:textFill>
                  <w14:solidFill>
                    <w14:schemeClr w14:val="tx1"/>
                  </w14:solidFill>
                </w14:textFill>
              </w:rPr>
              <w:t>2</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
                <w:color w:val="000000" w:themeColor="text1"/>
                <w:spacing w:val="0"/>
                <w:kern w:val="21"/>
                <w:position w:val="0"/>
                <w:sz w:val="24"/>
                <w:szCs w:val="22"/>
                <w:vertAlign w:val="subscript"/>
                <w:lang w:bidi="ar"/>
                <w14:textFill>
                  <w14:solidFill>
                    <w14:schemeClr w14:val="tx1"/>
                  </w14:solidFill>
                </w14:textFill>
              </w:rPr>
              <w:t>n</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——每种危险物质的最大存在总量，t；</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i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
                <w:color w:val="000000" w:themeColor="text1"/>
                <w:spacing w:val="0"/>
                <w:kern w:val="21"/>
                <w:position w:val="0"/>
                <w:sz w:val="24"/>
                <w:szCs w:val="22"/>
                <w:vertAlign w:val="subscript"/>
                <w:lang w:bidi="ar"/>
                <w14:textFill>
                  <w14:solidFill>
                    <w14:schemeClr w14:val="tx1"/>
                  </w14:solidFill>
                </w14:textFill>
              </w:rPr>
              <w:t>1</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
                <w:color w:val="000000" w:themeColor="text1"/>
                <w:spacing w:val="0"/>
                <w:kern w:val="21"/>
                <w:position w:val="0"/>
                <w:sz w:val="24"/>
                <w:szCs w:val="22"/>
                <w:vertAlign w:val="subscript"/>
                <w:lang w:bidi="ar"/>
                <w14:textFill>
                  <w14:solidFill>
                    <w14:schemeClr w14:val="tx1"/>
                  </w14:solidFill>
                </w14:textFill>
              </w:rPr>
              <w:t>2</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
                <w:color w:val="000000" w:themeColor="text1"/>
                <w:spacing w:val="0"/>
                <w:kern w:val="21"/>
                <w:position w:val="0"/>
                <w:sz w:val="24"/>
                <w:szCs w:val="22"/>
                <w:vertAlign w:val="subscript"/>
                <w:lang w:bidi="ar"/>
                <w14:textFill>
                  <w14:solidFill>
                    <w14:schemeClr w14:val="tx1"/>
                  </w14:solidFill>
                </w14:textFill>
              </w:rPr>
              <w:t>n</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——每种危险物质相对应的临界量，t；</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i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计算出</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值后，当</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Q＜1</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时，该项目环境风险潜势为Ⅰ。</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i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当</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Q≥1</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时，将</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值划分为：（1）</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1≤Q＜10</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；（2）</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10≤Q＜100</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；（3）</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Q≥100</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bCs/>
                <w:color w:val="000000" w:themeColor="text1"/>
                <w:spacing w:val="0"/>
                <w:kern w:val="21"/>
                <w:position w:val="0"/>
                <w:sz w:val="24"/>
                <w14:textFill>
                  <w14:solidFill>
                    <w14:schemeClr w14:val="tx1"/>
                  </w14:solidFill>
                </w14:textFill>
              </w:rPr>
            </w:pP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本项目的比值</w:t>
            </w:r>
            <w:r>
              <w:rPr>
                <w:rFonts w:ascii="Times New Roman" w:hAnsi="Times New Roman" w:eastAsia="宋体" w:cs="Times New Roman"/>
                <w:i/>
                <w:color w:val="000000" w:themeColor="text1"/>
                <w:spacing w:val="0"/>
                <w:kern w:val="21"/>
                <w:position w:val="0"/>
                <w:sz w:val="24"/>
                <w:szCs w:val="22"/>
                <w:lang w:bidi="ar"/>
                <w14:textFill>
                  <w14:solidFill>
                    <w14:schemeClr w14:val="tx1"/>
                  </w14:solidFill>
                </w14:textFill>
              </w:rPr>
              <w:t>Q</w:t>
            </w:r>
            <w:r>
              <w:rPr>
                <w:rFonts w:ascii="Times New Roman" w:hAnsi="Times New Roman" w:eastAsia="宋体" w:cs="Times New Roman"/>
                <w:iCs/>
                <w:color w:val="000000" w:themeColor="text1"/>
                <w:spacing w:val="0"/>
                <w:kern w:val="21"/>
                <w:position w:val="0"/>
                <w:sz w:val="24"/>
                <w:szCs w:val="22"/>
                <w:lang w:bidi="ar"/>
                <w14:textFill>
                  <w14:solidFill>
                    <w14:schemeClr w14:val="tx1"/>
                  </w14:solidFill>
                </w14:textFill>
              </w:rPr>
              <w:t>计算结果见下表。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项目主要风险物质判定表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300"/>
              <w:gridCol w:w="1143"/>
              <w:gridCol w:w="1760"/>
              <w:gridCol w:w="1234"/>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137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危险物质名称</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CAS号</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最大存在总量（t）</w:t>
                  </w:r>
                </w:p>
              </w:tc>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临界量（t）</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137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机油</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shd w:val="clear" w:color="auto" w:fill="FFFFFF"/>
                    <w:kinsoku/>
                    <w:overflowPunct/>
                    <w:autoSpaceDE/>
                    <w:autoSpaceDN/>
                    <w:bidi w:val="0"/>
                    <w:snapToGrid w:val="0"/>
                    <w:spacing w:before="62" w:beforeLines="20" w:after="62" w:afterLines="20"/>
                    <w:jc w:val="center"/>
                    <w:textAlignment w:val="auto"/>
                    <w:outlineLvl w:val="2"/>
                    <w:rPr>
                      <w:rFonts w:ascii="Times New Roman" w:hAnsi="Times New Roman" w:eastAsia="宋体" w:cs="Times New Roman"/>
                      <w:color w:val="000000" w:themeColor="text1"/>
                      <w:spacing w:val="0"/>
                      <w:kern w:val="21"/>
                      <w:position w:val="0"/>
                      <w:szCs w:val="21"/>
                      <w:shd w:val="clear" w:color="auto" w:fill="FFFFFF"/>
                      <w14:textFill>
                        <w14:solidFill>
                          <w14:schemeClr w14:val="tx1"/>
                        </w14:solidFill>
                      </w14:textFill>
                    </w:rPr>
                  </w:pPr>
                  <w:r>
                    <w:rPr>
                      <w:rFonts w:ascii="Times New Roman" w:hAnsi="Times New Roman" w:eastAsia="宋体" w:cs="Times New Roman"/>
                      <w:color w:val="000000" w:themeColor="text1"/>
                      <w:spacing w:val="0"/>
                      <w:kern w:val="21"/>
                      <w:position w:val="0"/>
                      <w:szCs w:val="21"/>
                      <w:shd w:val="clear" w:color="auto" w:fill="FFFFFF"/>
                      <w14:textFill>
                        <w14:solidFill>
                          <w14:schemeClr w14:val="tx1"/>
                        </w14:solidFill>
                      </w14:textFill>
                    </w:rPr>
                    <w:t>/</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0.1</w:t>
                  </w:r>
                </w:p>
              </w:tc>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2500</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jc w:val="center"/>
              </w:trPr>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137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液压油</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shd w:val="clear" w:color="auto" w:fill="FFFFFF"/>
                    <w:kinsoku/>
                    <w:overflowPunct/>
                    <w:autoSpaceDE/>
                    <w:autoSpaceDN/>
                    <w:bidi w:val="0"/>
                    <w:snapToGrid w:val="0"/>
                    <w:spacing w:before="62" w:beforeLines="20" w:after="62" w:afterLines="20"/>
                    <w:jc w:val="center"/>
                    <w:textAlignment w:val="auto"/>
                    <w:outlineLvl w:val="2"/>
                    <w:rPr>
                      <w:rFonts w:ascii="Times New Roman" w:hAnsi="Times New Roman" w:eastAsia="宋体" w:cs="Times New Roman"/>
                      <w:color w:val="000000" w:themeColor="text1"/>
                      <w:spacing w:val="0"/>
                      <w:kern w:val="21"/>
                      <w:position w:val="0"/>
                      <w:szCs w:val="21"/>
                      <w:shd w:val="clear" w:color="auto" w:fill="FFFFFF"/>
                      <w14:textFill>
                        <w14:solidFill>
                          <w14:schemeClr w14:val="tx1"/>
                        </w14:solidFill>
                      </w14:textFill>
                    </w:rPr>
                  </w:pPr>
                  <w:r>
                    <w:rPr>
                      <w:rFonts w:ascii="Times New Roman" w:hAnsi="Times New Roman" w:eastAsia="宋体" w:cs="Times New Roman"/>
                      <w:color w:val="000000" w:themeColor="text1"/>
                      <w:spacing w:val="0"/>
                      <w:kern w:val="21"/>
                      <w:position w:val="0"/>
                      <w:szCs w:val="21"/>
                      <w:shd w:val="clear" w:color="auto" w:fill="FFFFFF"/>
                      <w14:textFill>
                        <w14:solidFill>
                          <w14:schemeClr w14:val="tx1"/>
                        </w14:solidFill>
                      </w14:textFill>
                    </w:rPr>
                    <w:t>/</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0.08</w:t>
                  </w:r>
                </w:p>
              </w:tc>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2500</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137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废机油</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shd w:val="clear" w:color="auto" w:fill="FFFFFF"/>
                    <w:kinsoku/>
                    <w:overflowPunct/>
                    <w:autoSpaceDE/>
                    <w:autoSpaceDN/>
                    <w:bidi w:val="0"/>
                    <w:snapToGrid w:val="0"/>
                    <w:spacing w:before="62" w:beforeLines="20" w:after="62" w:afterLines="20"/>
                    <w:jc w:val="center"/>
                    <w:textAlignment w:val="auto"/>
                    <w:outlineLvl w:val="2"/>
                    <w:rPr>
                      <w:rFonts w:ascii="Times New Roman" w:hAnsi="Times New Roman" w:eastAsia="宋体" w:cs="Times New Roman"/>
                      <w:color w:val="000000" w:themeColor="text1"/>
                      <w:spacing w:val="0"/>
                      <w:kern w:val="21"/>
                      <w:position w:val="0"/>
                      <w:szCs w:val="21"/>
                      <w:shd w:val="clear" w:color="auto" w:fill="FFFFFF"/>
                      <w14:textFill>
                        <w14:solidFill>
                          <w14:schemeClr w14:val="tx1"/>
                        </w14:solidFill>
                      </w14:textFill>
                    </w:rPr>
                  </w:pPr>
                  <w:r>
                    <w:rPr>
                      <w:rFonts w:ascii="Times New Roman" w:hAnsi="Times New Roman" w:eastAsia="宋体" w:cs="Times New Roman"/>
                      <w:color w:val="000000" w:themeColor="text1"/>
                      <w:spacing w:val="0"/>
                      <w:kern w:val="21"/>
                      <w:position w:val="0"/>
                      <w:szCs w:val="21"/>
                      <w:shd w:val="clear" w:color="auto" w:fill="FFFFFF"/>
                      <w14:textFill>
                        <w14:solidFill>
                          <w14:schemeClr w14:val="tx1"/>
                        </w14:solidFill>
                      </w14:textFill>
                    </w:rPr>
                    <w:t>/</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0.08</w:t>
                  </w:r>
                </w:p>
              </w:tc>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2500</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 w:hRule="atLeast"/>
                <w:jc w:val="center"/>
              </w:trPr>
              <w:tc>
                <w:tcPr>
                  <w:tcW w:w="4282" w:type="pct"/>
                  <w:gridSpan w:val="5"/>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总和</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0.000104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注：</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风险物质临界量参照《建设项目环境风险评价技术导则》（HJ</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169-2018）附录B和生态环境部门的相关答复。</w:t>
                  </w:r>
                </w:p>
              </w:tc>
            </w:tr>
          </w:tbl>
          <w:p>
            <w:pPr>
              <w:pageBreakBefore w:val="0"/>
              <w:kinsoku/>
              <w:overflowPunct/>
              <w:autoSpaceDE/>
              <w:autoSpaceDN/>
              <w:bidi w:val="0"/>
              <w:spacing w:line="360" w:lineRule="auto"/>
              <w:ind w:firstLine="482"/>
              <w:textAlignment w:val="auto"/>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u w:val="single"/>
                <w:lang w:bidi="ar"/>
                <w14:textFill>
                  <w14:solidFill>
                    <w14:schemeClr w14:val="tx1"/>
                  </w14:solidFill>
                </w14:textFill>
              </w:rPr>
              <w:t>经计算项目</w:t>
            </w:r>
            <w:r>
              <w:rPr>
                <w:rFonts w:ascii="Times New Roman" w:hAnsi="Times New Roman" w:eastAsia="宋体" w:cs="Times New Roman"/>
                <w:i/>
                <w:iCs/>
                <w:color w:val="000000" w:themeColor="text1"/>
                <w:spacing w:val="0"/>
                <w:kern w:val="21"/>
                <w:position w:val="0"/>
                <w:sz w:val="24"/>
                <w:szCs w:val="22"/>
                <w:u w:val="single"/>
                <w:lang w:bidi="ar"/>
                <w14:textFill>
                  <w14:solidFill>
                    <w14:schemeClr w14:val="tx1"/>
                  </w14:solidFill>
                </w14:textFill>
              </w:rPr>
              <w:t>Q＜1</w:t>
            </w:r>
            <w:r>
              <w:rPr>
                <w:rFonts w:ascii="Times New Roman" w:hAnsi="Times New Roman" w:eastAsia="宋体" w:cs="Times New Roman"/>
                <w:color w:val="000000" w:themeColor="text1"/>
                <w:spacing w:val="0"/>
                <w:kern w:val="21"/>
                <w:position w:val="0"/>
                <w:sz w:val="24"/>
                <w:szCs w:val="22"/>
                <w:u w:val="single"/>
                <w:lang w:bidi="ar"/>
                <w14:textFill>
                  <w14:solidFill>
                    <w14:schemeClr w14:val="tx1"/>
                  </w14:solidFill>
                </w14:textFill>
              </w:rPr>
              <w:t>，环境风险潜势为I，无需进行专项评价。</w:t>
            </w:r>
          </w:p>
          <w:p>
            <w:pPr>
              <w:pageBreakBefore w:val="0"/>
              <w:kinsoku/>
              <w:overflowPunct/>
              <w:autoSpaceDE/>
              <w:autoSpaceDN/>
              <w:bidi w:val="0"/>
              <w:spacing w:line="360" w:lineRule="auto"/>
              <w:ind w:firstLine="482"/>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lang w:bidi="ar"/>
                <w14:textFill>
                  <w14:solidFill>
                    <w14:schemeClr w14:val="tx1"/>
                  </w14:solidFill>
                </w14:textFill>
              </w:rPr>
              <w:t>5、环境风险防范措施</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t>（1）生产过程风险防范措施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生产操作过程中，必须加强安全管理，提高事故防范措施。做好突发性环境污染事故的预防，提高对突发事故性污染事故的应急处理和处置能力。对突发性污染事故的防治对策应从以下几点严格控制和管理，加强事故措施和事故应急处理的技能，懂得紧急救援的知识。“预防为主，安全第一”是减少事故发生、降低污染事故或损害的主要保障，建议做好以下几方面的工作。</w:t>
            </w:r>
          </w:p>
          <w:p>
            <w:pPr>
              <w:pageBreakBefore w:val="0"/>
              <w:numPr>
                <w:ilvl w:val="0"/>
                <w:numId w:val="41"/>
              </w:numPr>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t>严格把好工程设计、施工关</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①厂房内设备布置严格执行国家有关防火防爆的规范、规定，设备之间保证有足够的安全间距，并按要求设置消防通道；</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②尽量采用技术先进和安全可靠的设备，并按国家有关规定在车间内设置必要的安全卫生设施；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③设备、管道、管件等均采用可靠的密封技术，使反应、储存和输送过程都在密闭的情况下进行，防止易燃易爆及有毒有害物料泄漏；</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④压力容器严格按照《压力容器安全技术监察规程》的有关规定进行设计，并按规定装设安全阀，防止超压后的危害；</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⑤按区域分类有关规范在厂房内划分危险区。危险区内安装的电气设备应按相应的区域等级采用防爆级，所有的电气设备均应接地；</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⑥在厂房内可能有可燃气体泄漏或聚集危险的关键地点装设可燃气体检测器。在有可能着火的设施附近，设置感温感烟火灾报警器，报警信号送到控制室和消防部门；</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⑦对爆炸、火灾危害场所内可能产生静电危害的物体采取工业静电防范措施；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⑧在中央控制室和消防值班室设有火警专线电话，以确保紧急情况下通讯畅通；</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⑨在生产岗位设置事故柜和急救器材、救生器、防护面罩、衣、护目镜、胶皮手套、耳塞等防护、急救用具、用品；</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⑩在装置易发生毒物污染的部位，设置急救冲洗设备，洗眼器和安全淋浴喷头等设施。</w:t>
            </w:r>
          </w:p>
          <w:p>
            <w:pPr>
              <w:pageBreakBefore w:val="0"/>
              <w:numPr>
                <w:ilvl w:val="0"/>
                <w:numId w:val="41"/>
              </w:numPr>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t>提高认识，完善制度，严格检查</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企业领导应提高对突发性事故的警觉和认识，做到警钟长鸣。建议企业建立安全与环保科，并由企业领导直接领导，全力支持。安全环保科主要负责、检查和监督全厂的安全生产和环保设施的正常运转情况。对安全和环保应建立严格的防范措施，制定严格的管理规章、制度。并开列出潜在危险的工艺、原料、设备等清单，严格执行设备检验和报废制度。</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24"/>
                <w:szCs w:val="22"/>
                <w:lang w:bidi="ar"/>
                <w14:textFill>
                  <w14:solidFill>
                    <w14:schemeClr w14:val="tx1"/>
                  </w14:solidFill>
                </w14:textFill>
              </w:rPr>
              <w:t>3）加强技术培训，增强安全意识</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企业应对具有高危害设备设置保险措施对危险车间或工段可设置消防装置等必备的应急措施。并制定厂内的应急计划、定期进行安全环保宣传教育以及紧急事态模拟演习，配备必要和适当的通讯工具和应急设施。</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（2）</w:t>
            </w:r>
            <w:r>
              <w:rPr>
                <w:rFonts w:ascii="Times New Roman" w:hAnsi="Times New Roman" w:eastAsia="宋体" w:cs="Times New Roman"/>
                <w:b/>
                <w:bCs/>
                <w:color w:val="000000" w:themeColor="text1"/>
                <w:spacing w:val="0"/>
                <w:kern w:val="21"/>
                <w:position w:val="0"/>
                <w:sz w:val="24"/>
                <w14:textFill>
                  <w14:solidFill>
                    <w14:schemeClr w14:val="tx1"/>
                  </w14:solidFill>
                </w14:textFill>
              </w:rPr>
              <w:t>运输过程风险防范措施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运输过程风险防范包括交通事故预防、运输过程设备故障性泄漏防范以及事故发生后的应急处理等。</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①委托具有道路危险货物运输资质的企业承运。专用车辆应当按照国家标准《道路运输危险货物车辆标志》（GB</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13392</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-2023</w:t>
            </w:r>
            <w:r>
              <w:rPr>
                <w:rFonts w:ascii="Times New Roman" w:hAnsi="Times New Roman" w:eastAsia="宋体" w:cs="Times New Roman"/>
                <w:color w:val="000000" w:themeColor="text1"/>
                <w:spacing w:val="0"/>
                <w:kern w:val="21"/>
                <w:position w:val="0"/>
                <w:sz w:val="24"/>
                <w14:textFill>
                  <w14:solidFill>
                    <w14:schemeClr w14:val="tx1"/>
                  </w14:solidFill>
                </w14:textFill>
              </w:rPr>
              <w:t>）的要求悬挂标志。运输过程应执行《危险货物运输包装通用技术条件》（GB12463-2009）和《危险货物</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道路</w:t>
            </w:r>
            <w:r>
              <w:rPr>
                <w:rFonts w:ascii="Times New Roman" w:hAnsi="Times New Roman" w:eastAsia="宋体" w:cs="Times New Roman"/>
                <w:color w:val="000000" w:themeColor="text1"/>
                <w:spacing w:val="0"/>
                <w:kern w:val="21"/>
                <w:position w:val="0"/>
                <w:sz w:val="24"/>
                <w14:textFill>
                  <w14:solidFill>
                    <w14:schemeClr w14:val="tx1"/>
                  </w14:solidFill>
                </w14:textFill>
              </w:rPr>
              <w:t>运输规则》。</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②包装过程要求包装材料与危险物相适应、包装封口与危险物相适应；包装标志执行《危险货物包装标志》（GB</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 w:val="24"/>
                <w14:textFill>
                  <w14:solidFill>
                    <w14:schemeClr w14:val="tx1"/>
                  </w14:solidFill>
                </w14:textFill>
              </w:rPr>
              <w:t>190-2009）和</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《道路运输危险货物车辆标志》（GB 13392-2023）</w:t>
            </w:r>
            <w:r>
              <w:rPr>
                <w:rFonts w:ascii="Times New Roman" w:hAnsi="Times New Roman" w:eastAsia="宋体" w:cs="Times New Roman"/>
                <w:color w:val="000000" w:themeColor="text1"/>
                <w:spacing w:val="0"/>
                <w:kern w:val="21"/>
                <w:position w:val="0"/>
                <w:sz w:val="24"/>
                <w14:textFill>
                  <w14:solidFill>
                    <w14:schemeClr w14:val="tx1"/>
                  </w14:solidFill>
                </w14:textFill>
              </w:rPr>
              <w:t>。并向承运人说明危险货物的品名、数量、危害、应急措施等情况。需要添加抑制剂或者稳定剂的，托运人应当按照规定添加，并告知承运人相关注意事项。</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③危险货物运输企业或者单位应当要求驾驶人员和押运人员在运输危险货物时，严格遵守有关部门关于危险货物运输线路、时间、速度方面的有关规定，并遵守有关部门关于剧毒、爆炸危险品道路运输车辆在重大节假日通行高速公路的相关规定。遇有泥泞、颠簸、狭窄及山崖等路段时，应低速缓慢行驶，防止车辆侧滑、打滑及危险货物剧烈震荡等，确保运输安全。</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④危险货物运输从业人员必须熟悉有关安全生产的法规、技术标准和安全生产规章制度、安全操作规程，了解所装运危险货物的性质、危害特性、包装物或者容器的使用要求和发生意外事故时的处置措施，并严格执行《危险货物</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道路</w:t>
            </w:r>
            <w:r>
              <w:rPr>
                <w:rFonts w:ascii="Times New Roman" w:hAnsi="Times New Roman" w:eastAsia="宋体" w:cs="Times New Roman"/>
                <w:color w:val="000000" w:themeColor="text1"/>
                <w:spacing w:val="0"/>
                <w:kern w:val="21"/>
                <w:position w:val="0"/>
                <w:sz w:val="24"/>
                <w14:textFill>
                  <w14:solidFill>
                    <w14:schemeClr w14:val="tx1"/>
                  </w14:solidFill>
                </w14:textFill>
              </w:rPr>
              <w:t>运输规则》等标准，不得违章作业。装卸过程要求防震、防撞、防倾斜；断火源、禁火种；通风和降温。</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（3）</w:t>
            </w:r>
            <w:r>
              <w:rPr>
                <w:rFonts w:ascii="Times New Roman" w:hAnsi="Times New Roman" w:eastAsia="宋体" w:cs="Times New Roman"/>
                <w:b/>
                <w:bCs/>
                <w:color w:val="000000" w:themeColor="text1"/>
                <w:spacing w:val="0"/>
                <w:kern w:val="21"/>
                <w:position w:val="0"/>
                <w:sz w:val="24"/>
                <w14:textFill>
                  <w14:solidFill>
                    <w14:schemeClr w14:val="tx1"/>
                  </w14:solidFill>
                </w14:textFill>
              </w:rPr>
              <w:t>化学品贮存过程风险防范措施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①各类有机物应按有关规范分类储存。根据物料的用量、使用频率设置合适的仓储量和仓储室大小。</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②易燃、易爆物料贮存：危险性生产区域有烟雾报警器，以便及时采取措施，消除事故隐患。</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③各化学品按相关要求贮存，明确贮存注意事项，专人负责看管。</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④在危废的处理处置过程中，应严格执行环保相关规定及要求，其它危废交由有资质的危废处理单位统一收集处置。</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本项目原料理化特性及生产储量要求，设置了一个化学品仓暂存原辅料。库房建筑物耐火等级二级，设置良好通风及防腐防潮措施。化学品仓采用防爆电器，设置可燃气体检测报警仪，防火分区采用防火墙分隔，对原料等进行分类分开储存。各库房物品应严格按国家相关法规要求进行堆放，采用隔离、隔开方式进行储存，各库房设专人管理。化学品仓地面应硬化防腐，车间及仓库四周设</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围堰、</w:t>
            </w:r>
            <w:r>
              <w:rPr>
                <w:rFonts w:ascii="Times New Roman" w:hAnsi="Times New Roman" w:eastAsia="宋体" w:cs="Times New Roman"/>
                <w:color w:val="000000" w:themeColor="text1"/>
                <w:spacing w:val="0"/>
                <w:kern w:val="21"/>
                <w:position w:val="0"/>
                <w:sz w:val="24"/>
                <w14:textFill>
                  <w14:solidFill>
                    <w14:schemeClr w14:val="tx1"/>
                  </w14:solidFill>
                </w14:textFill>
              </w:rPr>
              <w:t>排水沟并防腐硬化。根据车间及仓库中存储的化学品的性质准备好相应的灭火器材及职工防护设施，一旦发生泄漏或者火灾事故，及时灭火以减少产生的废气、噪声。</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（4）废气事故排放应急措施</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从大气环境影响分析部分可知，项目废气如果发生事故性排放，将会对周围环境产生一定的影响。因此建设单位应认真做好设备保养、定期维护及保修工作，使处理设施能够达到预期效果。为确保不发生事故性废气排放，建设单位必须采取一定的事故性防范保护措施：</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a.</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各生产环节严格执行生产管理的有关规定，加强设备的检修及保养，提高管理人员素质，并设置机器事故应急措施及管理制度，确保设备长期处于良好状态，使设备达到预期的处理效果；</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b.</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对设备进行定期检查，并派专人巡视，遇不良工作状况应立即停止车间相关作业，维修正常后再开始作业。</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废气等末端治理措施必须确保正常运行，如发现人为原因不开启废气治理设施，责任人应受行政和经济处罚，并承担事故排放责任及相应的法律责任。若末端治理设施因故不能运行，则生产必须停止。</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建设单位应优化废气输送管路的设计，管路中设置单向输送阀、阻火器等防回火装置；在管路中增设金属导线等防静电集聚设施，有条件时采用不锈钢等金属材质管路；平时加强管路维护，确保相关设施处于正常有效状态。为确保处理效率，在车间设备检修期间，末端处理系统也应同时进行检修，日常应有专人负责进行维护。</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由于项目废气涉及多种敏感物料，一旦发生事故性排放将造成重大影响，因此要求建设单位切实加强生产管理，制订详细的生产操作和废气操作规程，防止事故性排放情况的出现，确保不出现敏感污染物的事故性排放和敏感保护目标的环境质量超标，防范</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大气污染物</w:t>
            </w:r>
            <w:r>
              <w:rPr>
                <w:rFonts w:ascii="Times New Roman" w:hAnsi="Times New Roman" w:eastAsia="宋体" w:cs="Times New Roman"/>
                <w:color w:val="000000" w:themeColor="text1"/>
                <w:spacing w:val="0"/>
                <w:kern w:val="21"/>
                <w:position w:val="0"/>
                <w:sz w:val="24"/>
                <w14:textFill>
                  <w14:solidFill>
                    <w14:schemeClr w14:val="tx1"/>
                  </w14:solidFill>
                </w14:textFill>
              </w:rPr>
              <w:t>影响。</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（5）贮存区、生产车间物料泄露的应急措施</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1）化学品泄漏事故及处置措施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①进入泄漏现场进行处理时，应注意安全防护进入现场救援人员必须配备必要的个人防护器具。如果泄漏物是易燃易爆的，事故中心区应严禁火种、切断电源、禁止车辆进入、立即根据化学品的泄漏量和浓度的大小，确定控制范围，在边界设置警戒线。根据事故情况和事故发展，确定事故波及区人员的撤离。如果泄漏物是有毒的，应使用专用防护服、隔绝式空气面具和肢体防护具。为了在现场上能正确使用和适应，平时应进行严格的适应训练。立即在事故中心区边界设置警戒线。根据事故情况和事故发展，确定事故波及区人员的撤离。应急处理时严禁单独行动，要有监护人，必要时用水枪、水炮掩护。</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②泄漏源控制：停止作业或改变工艺流程、物料走副线、局部停车、打循环、减负荷运行等。拧紧桶盖堵漏，采用木塞堵住泄漏处。如堵漏困难，则应考虑更换容器。</w:t>
            </w:r>
          </w:p>
          <w:p>
            <w:pPr>
              <w:pageBreakBefore w:val="0"/>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2）化学品仓库、危废临时贮存场所物料泄漏应急措施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稀释与覆盖：向有害物蒸气云喷射雾状水，加速气体向高空扩散。对于可燃物，也可以在现场释放大量水蒸气或氮气，破坏燃烧条件。对于液体泄漏，为降低物料向大气中的蒸发速度，可用泡沫或其他覆盖物品覆盖外泄的物料，在其表面形成覆盖层，抑制其蒸发。</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收容（集）：对于大型泄漏，可选择用隔爆泵将泄漏出的物料抽入容器内或槽车内；当泄漏量小时，可用沙子、吸附材料、中和材料等吸收中和。</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废弃：将收集的泄漏物运至废物处理场所处置。用消防水冲洗剩下的少量物料，冲洗水回收集中处理。</w:t>
            </w:r>
          </w:p>
          <w:p>
            <w:pPr>
              <w:pageBreakBefore w:val="0"/>
              <w:widowControl/>
              <w:kinsoku/>
              <w:overflowPunct/>
              <w:autoSpaceDE/>
              <w:autoSpaceDN/>
              <w:bidi w:val="0"/>
              <w:adjustRightInd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14:textFill>
                  <w14:solidFill>
                    <w14:schemeClr w14:val="tx1"/>
                  </w14:solidFill>
                </w14:textFill>
              </w:rPr>
            </w:pPr>
            <w:r>
              <w:rPr>
                <w:rFonts w:ascii="Times New Roman" w:hAnsi="Times New Roman" w:eastAsia="宋体" w:cs="Times New Roman"/>
                <w:b/>
                <w:bCs/>
                <w:color w:val="000000" w:themeColor="text1"/>
                <w:spacing w:val="0"/>
                <w:kern w:val="21"/>
                <w:position w:val="0"/>
                <w:sz w:val="24"/>
                <w14:textFill>
                  <w14:solidFill>
                    <w14:schemeClr w14:val="tx1"/>
                  </w14:solidFill>
                </w14:textFill>
              </w:rPr>
              <w:t>（6）事故水池应急措施</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根据《建设项目环境风险评价技术导则》（HJ</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 xml:space="preserve"> 1</w:t>
            </w:r>
            <w:r>
              <w:rPr>
                <w:rFonts w:ascii="Times New Roman" w:hAnsi="Times New Roman" w:eastAsia="宋体" w:cs="Times New Roman"/>
                <w:color w:val="000000" w:themeColor="text1"/>
                <w:spacing w:val="0"/>
                <w:kern w:val="21"/>
                <w:position w:val="0"/>
                <w:sz w:val="24"/>
                <w14:textFill>
                  <w14:solidFill>
                    <w14:schemeClr w14:val="tx1"/>
                  </w14:solidFill>
                </w14:textFill>
              </w:rPr>
              <w:t>69-2018），结合规划环评要求，入驻企业应设置装置环境安全保障系统，要求生产装置区要求设立围堰（防火堤）和排水沟，发生事故的生产装置区的事故污水、泄漏物料、消防废水等由围堰和排水沟汇流至集水井，经集水井切换至企业事故池待处理。同时围堰可以存留事故泄漏的危险物质，以防止火灾蔓延而引起二次事故。以此构筑生产过程中环境安全的第一层防控网，防止事故产生的有毒有害物质泄漏进入环境。</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参考</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《化工建设项目环境保护设计规范》（GB50483-2009）应急事故池的设置标准，应急事故水池应考虑多种因素确定。</w:t>
            </w:r>
          </w:p>
          <w:p>
            <w:pPr>
              <w:pageBreakBefore w:val="0"/>
              <w:kinsoku/>
              <w:overflowPunct/>
              <w:autoSpaceDE/>
              <w:autoSpaceDN/>
              <w:bidi w:val="0"/>
              <w:spacing w:line="360" w:lineRule="auto"/>
              <w:jc w:val="center"/>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object>
                <v:shape id="_x0000_i1046" o:spt="75" type="#_x0000_t75" style="height:20pt;width:145pt;" o:ole="t" filled="f" o:preferrelative="t" stroked="f" coordsize="21600,21600">
                  <v:path/>
                  <v:fill on="f" focussize="0,0"/>
                  <v:stroke on="f" joinstyle="miter"/>
                  <v:imagedata r:id="rId71" o:title=""/>
                  <o:lock v:ext="edit" aspectratio="t"/>
                  <w10:wrap type="none"/>
                  <w10:anchorlock/>
                </v:shape>
                <o:OLEObject Type="Embed" ProgID="Equation.KSEE3" ShapeID="_x0000_i1046" DrawAspect="Content" ObjectID="_1468075746" r:id="rId70">
                  <o:LockedField>false</o:LockedField>
                </o:OLEObject>
              </w:objec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式中：</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1</w:t>
            </w:r>
            <w:r>
              <w:rPr>
                <w:rFonts w:ascii="Times New Roman" w:hAnsi="Times New Roman" w:eastAsia="宋体" w:cs="Times New Roman"/>
                <w:color w:val="000000" w:themeColor="text1"/>
                <w:spacing w:val="0"/>
                <w:kern w:val="21"/>
                <w:position w:val="0"/>
                <w:sz w:val="24"/>
                <w14:textFill>
                  <w14:solidFill>
                    <w14:schemeClr w14:val="tx1"/>
                  </w14:solidFill>
                </w14:textFill>
              </w:rPr>
              <w:t>——收集范围内发生事故的一个罐组物料量。储存相同物料的罐组按一个最大储罐计，按照拟建项目各液体原辅料最大暂存量计</w:t>
            </w:r>
            <w:r>
              <w:rPr>
                <w:rFonts w:hint="eastAsia" w:ascii="Times New Roman" w:hAnsi="Times New Roman" w:eastAsia="宋体" w:cs="Times New Roman"/>
                <w:color w:val="000000" w:themeColor="text1"/>
                <w:spacing w:val="0"/>
                <w:kern w:val="21"/>
                <w:position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本项目不设置储罐</w:t>
            </w:r>
            <w:r>
              <w:rPr>
                <w:rFonts w:ascii="Times New Roman" w:hAnsi="Times New Roman" w:eastAsia="宋体" w:cs="Times New Roman"/>
                <w:color w:val="000000" w:themeColor="text1"/>
                <w:spacing w:val="0"/>
                <w:kern w:val="21"/>
                <w:position w:val="0"/>
                <w:sz w:val="24"/>
                <w14:textFill>
                  <w14:solidFill>
                    <w14:schemeClr w14:val="tx1"/>
                  </w14:solidFill>
                </w14:textFill>
              </w:rPr>
              <w:t>，V</w:t>
            </w:r>
            <w:r>
              <w:rPr>
                <w:rFonts w:hint="eastAsia" w:ascii="Times New Roman" w:hAnsi="Times New Roman" w:eastAsia="宋体" w:cs="Times New Roman"/>
                <w:color w:val="000000" w:themeColor="text1"/>
                <w:spacing w:val="0"/>
                <w:kern w:val="21"/>
                <w:position w:val="0"/>
                <w:sz w:val="24"/>
                <w:vertAlign w:val="subscript"/>
                <w:lang w:val="en-US" w:eastAsia="zh-CN"/>
                <w14:textFill>
                  <w14:solidFill>
                    <w14:schemeClr w14:val="tx1"/>
                  </w14:solidFill>
                </w14:textFill>
              </w:rPr>
              <w:t>1</w:t>
            </w:r>
            <w:r>
              <w:rPr>
                <w:rFonts w:ascii="Times New Roman" w:hAnsi="Times New Roman" w:eastAsia="宋体" w:cs="Times New Roman"/>
                <w:color w:val="000000" w:themeColor="text1"/>
                <w:spacing w:val="0"/>
                <w:kern w:val="21"/>
                <w:position w:val="0"/>
                <w:sz w:val="24"/>
                <w14:textFill>
                  <w14:solidFill>
                    <w14:schemeClr w14:val="tx1"/>
                  </w14:solidFill>
                </w14:textFill>
              </w:rPr>
              <w:t>=0；</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——发生事故的储罐或装置的消防水量，m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，参考《石油化工企业设计防火规范》（GB50160-1992）第8.5.6规定，全厂按同时一次着火考虑。消防给水系统消防用水量按</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20</w:t>
            </w:r>
            <w:r>
              <w:rPr>
                <w:rFonts w:ascii="Times New Roman" w:hAnsi="Times New Roman" w:eastAsia="宋体" w:cs="Times New Roman"/>
                <w:color w:val="000000" w:themeColor="text1"/>
                <w:spacing w:val="0"/>
                <w:kern w:val="21"/>
                <w:position w:val="0"/>
                <w:sz w:val="24"/>
                <w14:textFill>
                  <w14:solidFill>
                    <w14:schemeClr w14:val="tx1"/>
                  </w14:solidFill>
                </w14:textFill>
              </w:rPr>
              <w:t>L/s考虑，厂区的消防用水延续时间为</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1</w:t>
            </w:r>
            <w:r>
              <w:rPr>
                <w:rFonts w:ascii="Times New Roman" w:hAnsi="Times New Roman" w:eastAsia="宋体" w:cs="Times New Roman"/>
                <w:color w:val="000000" w:themeColor="text1"/>
                <w:spacing w:val="0"/>
                <w:kern w:val="21"/>
                <w:position w:val="0"/>
                <w:sz w:val="24"/>
                <w14:textFill>
                  <w14:solidFill>
                    <w14:schemeClr w14:val="tx1"/>
                  </w14:solidFill>
                </w14:textFill>
              </w:rPr>
              <w:t>小时，总消防水量V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2</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72</w:t>
            </w:r>
            <w:r>
              <w:rPr>
                <w:rFonts w:ascii="Times New Roman" w:hAnsi="Times New Roman" w:eastAsia="宋体" w:cs="Times New Roman"/>
                <w:color w:val="000000" w:themeColor="text1"/>
                <w:spacing w:val="0"/>
                <w:kern w:val="21"/>
                <w:position w:val="0"/>
                <w:sz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事故时可以转输到其它储存或处理设施的物料量，m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主要为</w:t>
            </w:r>
            <w:r>
              <w:rPr>
                <w:rFonts w:hint="eastAsia" w:ascii="Times New Roman" w:hAnsi="Times New Roman" w:eastAsia="宋体" w:cs="Times New Roman"/>
                <w:color w:val="000000" w:themeColor="text1"/>
                <w:spacing w:val="0"/>
                <w:kern w:val="21"/>
                <w:position w:val="0"/>
                <w:sz w:val="24"/>
                <w:szCs w:val="22"/>
                <w:lang w:val="en-US" w:eastAsia="zh-CN"/>
                <w14:textFill>
                  <w14:solidFill>
                    <w14:schemeClr w14:val="tx1"/>
                  </w14:solidFill>
                </w14:textFill>
              </w:rPr>
              <w:t>废水收集池</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，本项目</w:t>
            </w:r>
            <w:r>
              <w:rPr>
                <w:rFonts w:ascii="Times New Roman" w:hAnsi="Times New Roman" w:eastAsia="宋体" w:cs="Times New Roman"/>
                <w:color w:val="000000" w:themeColor="text1"/>
                <w:spacing w:val="0"/>
                <w:kern w:val="21"/>
                <w:position w:val="0"/>
                <w:sz w:val="24"/>
                <w14:textFill>
                  <w14:solidFill>
                    <w14:schemeClr w14:val="tx1"/>
                  </w14:solidFill>
                </w14:textFill>
              </w:rPr>
              <w:t>厂内各储存桶无备用桶，V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20</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m</w:t>
            </w:r>
            <w:r>
              <w:rPr>
                <w:rFonts w:ascii="Times New Roman" w:hAnsi="Times New Roman" w:eastAsia="宋体" w:cs="Times New Roman"/>
                <w:color w:val="000000" w:themeColor="text1"/>
                <w:spacing w:val="0"/>
                <w:kern w:val="21"/>
                <w:position w:val="0"/>
                <w:sz w:val="24"/>
                <w:szCs w:val="22"/>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4</w:t>
            </w:r>
            <w:r>
              <w:rPr>
                <w:rFonts w:ascii="Times New Roman" w:hAnsi="Times New Roman" w:eastAsia="宋体" w:cs="Times New Roman"/>
                <w:color w:val="000000" w:themeColor="text1"/>
                <w:spacing w:val="0"/>
                <w:kern w:val="21"/>
                <w:position w:val="0"/>
                <w:sz w:val="24"/>
                <w14:textFill>
                  <w14:solidFill>
                    <w14:schemeClr w14:val="tx1"/>
                  </w14:solidFill>
                </w14:textFill>
              </w:rPr>
              <w:t>——发生事故时仍必须进入该收集系统的生产废水量，本项目生产废水</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均有各自对应处理设施</w:t>
            </w:r>
            <w:r>
              <w:rPr>
                <w:rFonts w:ascii="Times New Roman" w:hAnsi="Times New Roman" w:eastAsia="宋体" w:cs="Times New Roman"/>
                <w:color w:val="000000" w:themeColor="text1"/>
                <w:spacing w:val="0"/>
                <w:kern w:val="21"/>
                <w:position w:val="0"/>
                <w:sz w:val="24"/>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4</w:t>
            </w:r>
            <w:r>
              <w:rPr>
                <w:rFonts w:ascii="Times New Roman" w:hAnsi="Times New Roman" w:eastAsia="宋体" w:cs="Times New Roman"/>
                <w:color w:val="000000" w:themeColor="text1"/>
                <w:spacing w:val="0"/>
                <w:kern w:val="21"/>
                <w:position w:val="0"/>
                <w:sz w:val="24"/>
                <w14:textFill>
                  <w14:solidFill>
                    <w14:schemeClr w14:val="tx1"/>
                  </w14:solidFill>
                </w14:textFill>
              </w:rPr>
              <w:t>=0；</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5</w:t>
            </w:r>
            <w:r>
              <w:rPr>
                <w:rFonts w:ascii="Times New Roman" w:hAnsi="Times New Roman" w:eastAsia="宋体" w:cs="Times New Roman"/>
                <w:color w:val="000000" w:themeColor="text1"/>
                <w:spacing w:val="0"/>
                <w:kern w:val="21"/>
                <w:position w:val="0"/>
                <w:sz w:val="24"/>
                <w14:textFill>
                  <w14:solidFill>
                    <w14:schemeClr w14:val="tx1"/>
                  </w14:solidFill>
                </w14:textFill>
              </w:rPr>
              <w:t>——发生事故时可能进入该收集系统的降雨量，m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，项目各原辅料、危险废物暂存场地均设置在库房内，不露天设置，V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5</w:t>
            </w:r>
            <w:r>
              <w:rPr>
                <w:rFonts w:ascii="Times New Roman" w:hAnsi="Times New Roman" w:eastAsia="宋体" w:cs="Times New Roman"/>
                <w:color w:val="000000" w:themeColor="text1"/>
                <w:spacing w:val="0"/>
                <w:kern w:val="21"/>
                <w:position w:val="0"/>
                <w:sz w:val="24"/>
                <w14:textFill>
                  <w14:solidFill>
                    <w14:schemeClr w14:val="tx1"/>
                  </w14:solidFill>
                </w14:textFill>
              </w:rPr>
              <w:t>=0；</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综上，V</w:t>
            </w:r>
            <w:r>
              <w:rPr>
                <w:rFonts w:ascii="Times New Roman" w:hAnsi="Times New Roman" w:eastAsia="宋体" w:cs="Times New Roman"/>
                <w:color w:val="000000" w:themeColor="text1"/>
                <w:spacing w:val="0"/>
                <w:kern w:val="21"/>
                <w:position w:val="0"/>
                <w:sz w:val="24"/>
                <w:vertAlign w:val="subscript"/>
                <w14:textFill>
                  <w14:solidFill>
                    <w14:schemeClr w14:val="tx1"/>
                  </w14:solidFill>
                </w14:textFill>
              </w:rPr>
              <w:t>总</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52</w:t>
            </w:r>
            <w:r>
              <w:rPr>
                <w:rFonts w:ascii="Times New Roman" w:hAnsi="Times New Roman" w:eastAsia="宋体" w:cs="Times New Roman"/>
                <w:color w:val="000000" w:themeColor="text1"/>
                <w:spacing w:val="0"/>
                <w:kern w:val="21"/>
                <w:position w:val="0"/>
                <w:sz w:val="24"/>
                <w14:textFill>
                  <w14:solidFill>
                    <w14:schemeClr w14:val="tx1"/>
                  </w14:solidFill>
                </w14:textFill>
              </w:rPr>
              <w:t>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考虑预留部分容量，</w:t>
            </w:r>
            <w:r>
              <w:rPr>
                <w:rFonts w:ascii="Times New Roman" w:hAnsi="Times New Roman" w:eastAsia="宋体" w:cs="Times New Roman"/>
                <w:color w:val="000000" w:themeColor="text1"/>
                <w:spacing w:val="0"/>
                <w:kern w:val="21"/>
                <w:position w:val="0"/>
                <w:sz w:val="24"/>
                <w14:textFill>
                  <w14:solidFill>
                    <w14:schemeClr w14:val="tx1"/>
                  </w14:solidFill>
                </w14:textFill>
              </w:rPr>
              <w:t>则</w:t>
            </w:r>
            <w:r>
              <w:rPr>
                <w:rFonts w:hint="eastAsia" w:ascii="Times New Roman" w:hAnsi="Times New Roman" w:eastAsia="宋体" w:cs="Times New Roman"/>
                <w:color w:val="000000" w:themeColor="text1"/>
                <w:spacing w:val="0"/>
                <w:kern w:val="21"/>
                <w:position w:val="0"/>
                <w:sz w:val="24"/>
                <w14:textFill>
                  <w14:solidFill>
                    <w14:schemeClr w14:val="tx1"/>
                  </w14:solidFill>
                </w14:textFill>
              </w:rPr>
              <w:t>事故</w:t>
            </w:r>
            <w:r>
              <w:rPr>
                <w:rFonts w:ascii="Times New Roman" w:hAnsi="Times New Roman" w:eastAsia="宋体" w:cs="Times New Roman"/>
                <w:color w:val="000000" w:themeColor="text1"/>
                <w:spacing w:val="0"/>
                <w:kern w:val="21"/>
                <w:position w:val="0"/>
                <w:sz w:val="24"/>
                <w14:textFill>
                  <w14:solidFill>
                    <w14:schemeClr w14:val="tx1"/>
                  </w14:solidFill>
                </w14:textFill>
              </w:rPr>
              <w:t>水池容积</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设置</w:t>
            </w:r>
            <w:r>
              <w:rPr>
                <w:rFonts w:ascii="Times New Roman" w:hAnsi="Times New Roman" w:eastAsia="宋体" w:cs="Times New Roman"/>
                <w:color w:val="000000" w:themeColor="text1"/>
                <w:spacing w:val="0"/>
                <w:kern w:val="21"/>
                <w:position w:val="0"/>
                <w:sz w:val="24"/>
                <w14:textFill>
                  <w14:solidFill>
                    <w14:schemeClr w14:val="tx1"/>
                  </w14:solidFill>
                </w14:textFill>
              </w:rPr>
              <w:t>为</w:t>
            </w:r>
            <w:r>
              <w:rPr>
                <w:rFonts w:hint="eastAsia" w:ascii="Times New Roman" w:hAnsi="Times New Roman" w:eastAsia="宋体" w:cs="Times New Roman"/>
                <w:color w:val="000000" w:themeColor="text1"/>
                <w:spacing w:val="0"/>
                <w:kern w:val="21"/>
                <w:position w:val="0"/>
                <w:sz w:val="24"/>
                <w:lang w:val="en-US" w:eastAsia="zh-CN"/>
                <w14:textFill>
                  <w14:solidFill>
                    <w14:schemeClr w14:val="tx1"/>
                  </w14:solidFill>
                </w14:textFill>
              </w:rPr>
              <w:t>7</w:t>
            </w:r>
            <w:r>
              <w:rPr>
                <w:rFonts w:ascii="Times New Roman" w:hAnsi="Times New Roman" w:eastAsia="宋体" w:cs="Times New Roman"/>
                <w:color w:val="000000" w:themeColor="text1"/>
                <w:spacing w:val="0"/>
                <w:kern w:val="21"/>
                <w:position w:val="0"/>
                <w:sz w:val="24"/>
                <w14:textFill>
                  <w14:solidFill>
                    <w14:schemeClr w14:val="tx1"/>
                  </w14:solidFill>
                </w14:textFill>
              </w:rPr>
              <w:t>0m</w:t>
            </w:r>
            <w:r>
              <w:rPr>
                <w:rFonts w:ascii="Times New Roman" w:hAnsi="Times New Roman" w:eastAsia="宋体" w:cs="Times New Roman"/>
                <w:color w:val="000000" w:themeColor="text1"/>
                <w:spacing w:val="0"/>
                <w:kern w:val="21"/>
                <w:position w:val="0"/>
                <w:sz w:val="24"/>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 w:val="24"/>
                <w14:textFill>
                  <w14:solidFill>
                    <w14:schemeClr w14:val="tx1"/>
                  </w14:solidFill>
                </w14:textFill>
              </w:rPr>
              <w:t>，配</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套建设地下消防管网，管网全部采用防渗防腐材质</w:t>
            </w:r>
            <w:r>
              <w:rPr>
                <w:rFonts w:hint="eastAsia" w:ascii="Times New Roman" w:hAnsi="Times New Roman" w:eastAsia="宋体" w:cs="Times New Roman"/>
                <w:color w:val="000000" w:themeColor="text1"/>
                <w:spacing w:val="0"/>
                <w:kern w:val="21"/>
                <w:position w:val="0"/>
                <w:sz w:val="24"/>
                <w:szCs w:val="22"/>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可以满足项目事故状况下消防污水及其它排水等的收集需要。事故池应设排水设施，及时排除池内雨水，保持事故池始终处于空置状态，同时与厂区污水处理站连通，确保事故状态下所有废水收集处理后排放。事故池设置在地势较低的低洼处，事故池高程较装置区低，厂区事故废水能够通过导流渠自流进入。消防及物料泄漏冲洗水收集进入事故池后，委外处置。</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14:textFill>
                  <w14:solidFill>
                    <w14:schemeClr w14:val="tx1"/>
                  </w14:solidFill>
                </w14:textFill>
              </w:rPr>
              <w:t>通过以上措施能够有效收集事故情况下泄露的物料以及火灾时的消防废水，防止对地表水体产生污染。</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（7）危废间事故排放预防措施</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本项目生产过程中产生的危险废物在送至危险废物处理单位之前将由建设单位自行收集并在危废暂存间进行存放，在其产生、收集和存放过程中均存在泄漏进入周围环境的风险。</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企业应建立危险废物台账，如实记载产生危险废物的种类、数量、流向、贮存、利用处置等信息；制定专门的危险废物转移路线，遵循危险货物运输管理规定，按照危险废物的特性分类运输。</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危险废物储存过程的风险防范措施如下：</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a.</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根据危险废物的性状明确包装方式，门口处设置缓坡；</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b.</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定期检查修复危废间防腐环氧树脂涂层，以达到防腐防渗要求；</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c.</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建立档案制度，详细记录入场的固体废物的种类和数量等信息，长期保存，供随时查阅；</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d.</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落实固废处置方案，签订协议，尽可能及时外运，避免长期堆存；</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e.</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危废仓库设置一定量的消防沙、吸附棉等物资；</w:t>
            </w:r>
          </w:p>
          <w:p>
            <w:pPr>
              <w:pageBreakBefore w:val="0"/>
              <w:widowControl/>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i/>
                <w:iCs/>
                <w:color w:val="000000" w:themeColor="text1"/>
                <w:spacing w:val="0"/>
                <w:kern w:val="21"/>
                <w:position w:val="0"/>
                <w:sz w:val="24"/>
                <w:szCs w:val="22"/>
                <w:lang w:bidi="ar"/>
                <w14:textFill>
                  <w14:solidFill>
                    <w14:schemeClr w14:val="tx1"/>
                  </w14:solidFill>
                </w14:textFill>
              </w:rPr>
              <w:t>f.</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泄漏危废全部委托有危废处置资质的单位进行处理，建设单位不得私自处置。</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（8）应急预案</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对于重大或不可接受的风险（主要是物料严重泄漏、火灾爆炸造成重大人员伤害等），建设单位应制定出详细的、内容翔实、可操作性强的应急预案。当事件一旦发生时可迅速加以控制，使危害和损失降低到尽可能低的程度，并在实际生产运行当中，不断完善应急预案的内容。建设单位应按照以下要求进行应急处理：</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lang w:bidi="ar"/>
                <w14:textFill>
                  <w14:solidFill>
                    <w14:schemeClr w14:val="tx1"/>
                  </w14:solidFill>
                </w14:textFill>
              </w:rPr>
              <w:t>风险事故应急预案的主要内容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2134"/>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序号</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项目</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危险源概况</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化学品仓、生产区存在火灾、泄漏风险；危废间</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、化学品仓、机修检测房</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存在泄漏风险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应急计划区</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生产装置区、原料库区、邻近区域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3</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应急组织机构、人员</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工厂：工厂成立事故应急救援指挥领导小组，下设应急救援办公室；地区应急组织机构：成立事故应急救援指挥部，负责工厂附近地区全面指挥、救援、管制、疏散；专业救援人员：成立专业救援队伍，负责事故控制、救援、善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4</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预案分级响应条件</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根据事故的严重程度制定相应级别的应急预案，以及适合相应情况的处理措施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应急救援保障</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针对危险目标，事先将抢险抢修、个体防护、医疗救援、通讯联络等装备器材配备齐全。平时要专人维护、保管、检验，确保器材始终处于完好状态，保证能有效使用。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6</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报警、通讯联络方式</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根据公司突发环境污染事故“公司应急指挥中心”组成以及政府、社会各外部救援单位的主要联系电话，印发“突发事故应急通讯名录”并定期更新。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7</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事故应急救援关闭程序与恢复措施</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应急终止的程序：</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①现场应急救援指挥中心确认终止时机。</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②应急救援指挥中心向应急救援队伍下达终止命令。</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③继续进行环境监测和评价工作，直至其他补救措施无需继续进行为止。</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恢复生产的条件：</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④事故现场清理、洗刷、消毒完毕，不存在危险源；</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⑤防止事故再次发生的安全防范措施已落实到位，受伤人员得到治疗，情况基本稳定；</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⑥设备设施检测符合生产要求，可恢复生产。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8</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应急培训计划</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根据公司的风险防范措施及事故应急计划，制定相应的培训计划，对公司应急小组成员及一般员工进行定期培训。对于环保管理人员和有关操作人员应建立“先培训、后上岗”、“定期培训安全和环保法规、知识以及突发性事故应急处理技术”的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9</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公众教育和信息</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对工厂邻近地区开展公众教育、培训和发布有关信息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10</w:t>
                  </w:r>
                </w:p>
              </w:tc>
              <w:tc>
                <w:tcPr>
                  <w:tcW w:w="127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记录和报告</w:t>
                  </w:r>
                </w:p>
              </w:tc>
              <w:tc>
                <w:tcPr>
                  <w:tcW w:w="343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设置应急事故记录，建档和报告制度，设专门部门负责管理</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本项目存在火灾、泄露风险、废气非正常排放等风险，建设单位在采取上述有效风险措施后，能够有效降低上述风险发生的概率或者减少风险造成的损失和对周边环境的影响，从风险角度分析，项目建设是可行的。</w:t>
            </w:r>
          </w:p>
          <w:p>
            <w:pPr>
              <w:pageBreakBefore w:val="0"/>
              <w:widowControl/>
              <w:kinsoku/>
              <w:overflowPunct/>
              <w:autoSpaceDE/>
              <w:autoSpaceDN/>
              <w:bidi w:val="0"/>
              <w:spacing w:line="360" w:lineRule="auto"/>
              <w:ind w:firstLine="481" w:firstLineChars="200"/>
              <w:textAlignment w:val="auto"/>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b/>
                <w:bCs/>
                <w:color w:val="000000" w:themeColor="text1"/>
                <w:spacing w:val="0"/>
                <w:kern w:val="21"/>
                <w:position w:val="0"/>
                <w:sz w:val="24"/>
                <w:szCs w:val="22"/>
                <w:lang w:bidi="ar"/>
                <w14:textFill>
                  <w14:solidFill>
                    <w14:schemeClr w14:val="tx1"/>
                  </w14:solidFill>
                </w14:textFill>
              </w:rPr>
              <w:t>（8）结论</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本项目环境风险简单分析内容表如下：</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建设项目环境风险简单分析内容表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785"/>
              <w:gridCol w:w="1850"/>
              <w:gridCol w:w="1001"/>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建设项目名称</w:t>
                  </w:r>
                </w:p>
              </w:tc>
              <w:tc>
                <w:tcPr>
                  <w:tcW w:w="4085" w:type="pct"/>
                  <w:gridSpan w:val="4"/>
                  <w:tcBorders>
                    <w:tl2br w:val="nil"/>
                    <w:tr2bl w:val="nil"/>
                  </w:tcBorders>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年产100万套智能家居加工制造项目（一期）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建设地点</w:t>
                  </w:r>
                </w:p>
              </w:tc>
              <w:tc>
                <w:tcPr>
                  <w:tcW w:w="506"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w:t>
                  </w:r>
                </w:p>
              </w:tc>
              <w:tc>
                <w:tcPr>
                  <w:tcW w:w="95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广元市</w:t>
                  </w:r>
                </w:p>
              </w:tc>
              <w:tc>
                <w:tcPr>
                  <w:tcW w:w="635"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昭化区</w:t>
                  </w:r>
                </w:p>
              </w:tc>
              <w:tc>
                <w:tcPr>
                  <w:tcW w:w="1988"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绿色家居产业城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地理坐标</w:t>
                  </w:r>
                </w:p>
              </w:tc>
              <w:tc>
                <w:tcPr>
                  <w:tcW w:w="506"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经度</w:t>
                  </w:r>
                </w:p>
              </w:tc>
              <w:tc>
                <w:tcPr>
                  <w:tcW w:w="95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105°58′25.312″</w:t>
                  </w:r>
                </w:p>
              </w:tc>
              <w:tc>
                <w:tcPr>
                  <w:tcW w:w="635"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纬度</w:t>
                  </w:r>
                </w:p>
              </w:tc>
              <w:tc>
                <w:tcPr>
                  <w:tcW w:w="1988"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32°15′55.573″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1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主要危险物质及分布</w:t>
                  </w:r>
                </w:p>
              </w:tc>
              <w:tc>
                <w:tcPr>
                  <w:tcW w:w="4085" w:type="pct"/>
                  <w:gridSpan w:val="4"/>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化学品</w:t>
                  </w: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贮存于车间的化学品仓库内</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危险废物暂存于危险废物仓库内。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环境影响途径及危害后果（大气、地表水、地下水等）</w:t>
                  </w:r>
                </w:p>
              </w:tc>
              <w:tc>
                <w:tcPr>
                  <w:tcW w:w="4085" w:type="pct"/>
                  <w:gridSpan w:val="4"/>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（1）废气处理设施故障造成废气未经处理直接排放到环境空气中；还可能通过地面径流经厂区内雨水管网外排至厂外地表水体中，影响地表水环境，对水生生物产生一定程度的影响；</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危险废物暂存间、化学品仓没有做好防雨、防渗、防腐措施，导致发生泄露进入周围环境具有腐蚀性或遇水具有渗透性的泄漏物通过地面径流经厂区内雨水管网外排至厂外地表水体中，影响地表水环境，对水生生物产生一定程度的影响；</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（3）当项目厂区内部发生火灾事故时，灭火过程中产生的消防废水未截留在厂区内，可能会随着地面径流进入雨水管网，直接进入外部水体环境中，污染地表水环境。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风险防范措施要求</w:t>
                  </w:r>
                </w:p>
              </w:tc>
              <w:tc>
                <w:tcPr>
                  <w:tcW w:w="4085" w:type="pct"/>
                  <w:gridSpan w:val="4"/>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1、制定完善的应急预案，加强设备、管道巡查与维护，尽量避免发生火灾事故</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设置事故应急池</w:t>
                  </w:r>
                  <w:r>
                    <w:rPr>
                      <w:rFonts w:ascii="Times New Roman" w:hAnsi="Times New Roman" w:eastAsia="宋体" w:cs="Times New Roman"/>
                      <w:color w:val="000000" w:themeColor="text1"/>
                      <w:spacing w:val="0"/>
                      <w:kern w:val="21"/>
                      <w:position w:val="0"/>
                      <w:szCs w:val="21"/>
                      <w14:textFill>
                        <w14:solidFill>
                          <w14:schemeClr w14:val="tx1"/>
                        </w14:solidFill>
                      </w14:textFill>
                    </w:rPr>
                    <w:t>；</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2、加强废气处理设施和废水处理设施的维护，定期检测、检验并及时维修；</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3、企业需建立健全安全操作规程及值勤制度，设置通讯、报警装置；</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4、针对运营中可能发生的异常现象和存在的安全隐患，设置合理可行的技术措施，制定严格的操作规程。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填表说明（列出项目相关信息及评价说明）</w:t>
                  </w:r>
                </w:p>
              </w:tc>
              <w:tc>
                <w:tcPr>
                  <w:tcW w:w="4085" w:type="pct"/>
                  <w:gridSpan w:val="4"/>
                  <w:tcBorders>
                    <w:tl2br w:val="nil"/>
                    <w:tr2bl w:val="nil"/>
                  </w:tcBorders>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依据《建设项目环境风险评价技术导则》（HJ</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Cs w:val="21"/>
                      <w14:textFill>
                        <w14:solidFill>
                          <w14:schemeClr w14:val="tx1"/>
                        </w14:solidFill>
                      </w14:textFill>
                    </w:rPr>
                    <w:t>169-2018）附录C与附录B，本项目物质总量与临界值比值Q＜1，当Q＜1时，该项目风险潜势为I，评价工作等级为简单分析，因此本项目风险评价等级I，故开展简单分析即可。</w:t>
                  </w:r>
                </w:p>
              </w:tc>
            </w:tr>
          </w:tbl>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color w:val="000000" w:themeColor="text1"/>
                <w:spacing w:val="0"/>
                <w:kern w:val="21"/>
                <w:position w:val="0"/>
                <w:sz w:val="24"/>
                <w14:textFill>
                  <w14:solidFill>
                    <w14:schemeClr w14:val="tx1"/>
                  </w14:solidFill>
                </w14:textFill>
              </w:rPr>
              <w:t>本项目存在火灾、泄露风险、废气非正常排放等风险，建设单位在采取上述有效风险措施后，能够有效降低上述风险发生的概率或者减少风险造成的损失和对周边环境的影响，从风险角度分析，项目建设是可行的。</w:t>
            </w:r>
          </w:p>
          <w:p>
            <w:pPr>
              <w:pageBreakBefore w:val="0"/>
              <w:kinsoku/>
              <w:overflowPunct/>
              <w:autoSpaceDE/>
              <w:autoSpaceDN/>
              <w:bidi w:val="0"/>
              <w:spacing w:line="360" w:lineRule="auto"/>
              <w:ind w:firstLine="482"/>
              <w:textAlignment w:val="auto"/>
              <w:rPr>
                <w:rFonts w:ascii="Times New Roman" w:hAnsi="Times New Roman" w:eastAsia="宋体" w:cs="Times New Roman"/>
                <w:b/>
                <w:color w:val="000000" w:themeColor="text1"/>
                <w:spacing w:val="0"/>
                <w:kern w:val="21"/>
                <w:position w:val="0"/>
                <w:sz w:val="24"/>
                <w14:textFill>
                  <w14:solidFill>
                    <w14:schemeClr w14:val="tx1"/>
                  </w14:solidFill>
                </w14:textFill>
              </w:rPr>
            </w:pPr>
            <w:r>
              <w:rPr>
                <w:rFonts w:ascii="Times New Roman" w:hAnsi="Times New Roman" w:eastAsia="宋体" w:cs="Times New Roman"/>
                <w:b/>
                <w:color w:val="000000" w:themeColor="text1"/>
                <w:spacing w:val="0"/>
                <w:kern w:val="21"/>
                <w:position w:val="0"/>
                <w:sz w:val="24"/>
                <w:lang w:bidi="ar"/>
                <w14:textFill>
                  <w14:solidFill>
                    <w14:schemeClr w14:val="tx1"/>
                  </w14:solidFill>
                </w14:textFill>
              </w:rPr>
              <w:t>八、环保投资</w:t>
            </w:r>
          </w:p>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color w:val="000000" w:themeColor="text1"/>
                <w:spacing w:val="0"/>
                <w:kern w:val="21"/>
                <w:position w:val="0"/>
                <w:sz w:val="24"/>
                <w:szCs w:val="20"/>
                <w14:textFill>
                  <w14:solidFill>
                    <w14:schemeClr w14:val="tx1"/>
                  </w14:solidFill>
                </w14:textFill>
              </w:rPr>
            </w:pP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本项目总投资15000万元，环保投资1</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84</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.5万元，占总投资的</w:t>
            </w:r>
            <w:r>
              <w:rPr>
                <w:rFonts w:hint="eastAsia" w:ascii="Times New Roman" w:hAnsi="Times New Roman" w:eastAsia="宋体" w:cs="Times New Roman"/>
                <w:color w:val="000000" w:themeColor="text1"/>
                <w:spacing w:val="0"/>
                <w:kern w:val="21"/>
                <w:position w:val="0"/>
                <w:sz w:val="24"/>
                <w:lang w:bidi="ar"/>
                <w14:textFill>
                  <w14:solidFill>
                    <w14:schemeClr w14:val="tx1"/>
                  </w14:solidFill>
                </w14:textFill>
              </w:rPr>
              <w:t>1.23</w:t>
            </w:r>
            <w:r>
              <w:rPr>
                <w:rFonts w:ascii="Times New Roman" w:hAnsi="Times New Roman" w:eastAsia="宋体" w:cs="Times New Roman"/>
                <w:color w:val="000000" w:themeColor="text1"/>
                <w:spacing w:val="0"/>
                <w:kern w:val="21"/>
                <w:position w:val="0"/>
                <w:sz w:val="24"/>
                <w:lang w:bidi="ar"/>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2"/>
                <w:lang w:bidi="ar"/>
                <w14:textFill>
                  <w14:solidFill>
                    <w14:schemeClr w14:val="tx1"/>
                  </w14:solidFill>
                </w14:textFill>
              </w:rPr>
              <w:t>，项目环保设施及措施见下表。</w:t>
            </w:r>
          </w:p>
          <w:p>
            <w:pPr>
              <w:pageBreakBefore w:val="0"/>
              <w:widowControl/>
              <w:numPr>
                <w:ilvl w:val="0"/>
                <w:numId w:val="34"/>
              </w:numPr>
              <w:tabs>
                <w:tab w:val="left" w:pos="960"/>
              </w:tabs>
              <w:kinsoku/>
              <w:overflowPunct/>
              <w:autoSpaceDE/>
              <w:autoSpaceDN/>
              <w:bidi w:val="0"/>
              <w:adjustRightInd w:val="0"/>
              <w:snapToGrid w:val="0"/>
              <w:spacing w:before="62" w:beforeLines="20" w:after="62" w:afterLines="20"/>
              <w:ind w:left="0" w:leftChars="0" w:firstLine="0" w:firstLineChars="0"/>
              <w:jc w:val="center"/>
              <w:textAlignment w:val="auto"/>
              <w:rPr>
                <w:rFonts w:ascii="Times New Roman" w:hAnsi="Times New Roman" w:eastAsia="宋体" w:cs="Times New Roman"/>
                <w:b/>
                <w:color w:val="000000" w:themeColor="text1"/>
                <w:spacing w:val="0"/>
                <w:kern w:val="21"/>
                <w:position w:val="0"/>
                <w:szCs w:val="21"/>
                <w14:textFill>
                  <w14:solidFill>
                    <w14:schemeClr w14:val="tx1"/>
                  </w14:solidFill>
                </w14:textFill>
              </w:rPr>
            </w:pPr>
            <w:r>
              <w:rPr>
                <w:rFonts w:ascii="Times New Roman" w:hAnsi="Times New Roman" w:eastAsia="宋体" w:cs="Times New Roman"/>
                <w:b/>
                <w:color w:val="000000" w:themeColor="text1"/>
                <w:spacing w:val="0"/>
                <w:kern w:val="21"/>
                <w:position w:val="0"/>
                <w:szCs w:val="21"/>
                <w14:textFill>
                  <w14:solidFill>
                    <w14:schemeClr w14:val="tx1"/>
                  </w14:solidFill>
                </w14:textFill>
              </w:rPr>
              <w:t>本项目环保投资一览表</w:t>
            </w: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单位：万元</w:t>
            </w:r>
          </w:p>
          <w:tbl>
            <w:tblPr>
              <w:tblStyle w:val="20"/>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651"/>
              <w:gridCol w:w="1345"/>
              <w:gridCol w:w="4403"/>
              <w:gridCol w:w="818"/>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时序</w:t>
                  </w:r>
                </w:p>
              </w:tc>
              <w:tc>
                <w:tcPr>
                  <w:tcW w:w="20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污染物</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环保治理措施</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投资</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施工期</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废水治理</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生活污水</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经预处理池处置</w:t>
                  </w:r>
                  <w:r>
                    <w:rPr>
                      <w:rFonts w:ascii="Times New Roman" w:hAnsi="Times New Roman" w:eastAsia="宋体" w:cs="Times New Roman"/>
                      <w:color w:val="000000" w:themeColor="text1"/>
                      <w:spacing w:val="0"/>
                      <w:kern w:val="21"/>
                      <w:position w:val="0"/>
                      <w:szCs w:val="21"/>
                      <w14:textFill>
                        <w14:solidFill>
                          <w14:schemeClr w14:val="tx1"/>
                        </w14:solidFill>
                      </w14:textFill>
                    </w:rPr>
                    <w:t>后外排至园区污水管网。</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废气治理</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施工扬尘</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定期洒水降尘</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装修废气</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选用环保型装修材料；加强通风</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0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噪声治理</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选用低噪声设备，设置隔声屏障</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0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固体废物</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生活垃圾收集后交由当地环卫部门统一清运</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0.5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营运期</w:t>
                  </w:r>
                </w:p>
              </w:tc>
              <w:tc>
                <w:tcPr>
                  <w:tcW w:w="659" w:type="dxa"/>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废水治理</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经预处理池处置后外排至园区污水管网。</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restart"/>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废气治理</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木料粉尘</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集气管收集+中央除尘器处理+20m排气筒（DA001、DA00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封边</w:t>
                  </w:r>
                  <w:r>
                    <w:rPr>
                      <w:rFonts w:ascii="Times New Roman" w:hAnsi="Times New Roman" w:eastAsia="宋体" w:cs="Times New Roman"/>
                      <w:color w:val="000000" w:themeColor="text1"/>
                      <w:spacing w:val="0"/>
                      <w:kern w:val="21"/>
                      <w:position w:val="0"/>
                      <w:szCs w:val="21"/>
                      <w14:textFill>
                        <w14:solidFill>
                          <w14:schemeClr w14:val="tx1"/>
                        </w14:solidFill>
                      </w14:textFill>
                    </w:rPr>
                    <w:t>废气</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喷漆废气</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100</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漆料打磨废气</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密闭负压收集+脉冲布袋除尘+20m排气筒（DA00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金属加工粉尘</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经集气</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罩</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收集，布袋除尘器处理后经20m排气筒（DA006）达标排放。</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焊接烟尘</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集气罩收集+焊烟净化器处理+20m排气筒（DA00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喷塑粉尘</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密闭负压收集+高效旋风分离器+全聚酯滤芯二级回收处理+20m排气筒（</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固化、贴棉废气</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经</w:t>
                  </w: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0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噪声治理</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选用低噪设备，加强日常维护、减振、隔声、消声、密闭等措施</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固废治理</w:t>
                  </w:r>
                </w:p>
              </w:tc>
              <w:tc>
                <w:tcPr>
                  <w:tcW w:w="1370" w:type="dxa"/>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生活垃圾</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场内收集，交由环卫部门清运。</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top w:val="single" w:color="auto" w:sz="4" w:space="0"/>
                    <w:left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布袋收尘、废边角料、废包装材料、废催化剂、金属加工粉尘</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收集后外售废旧资源回收单位。</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危险废物</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经收集后暂存于危废暂存间（72m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），定期交有危废处置资质的单位处理。</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15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59" w:type="dxa"/>
                  <w:vMerge w:val="continue"/>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370" w:type="dxa"/>
                  <w:tcBorders>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待鉴别废物</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hint="eastAsia" w:ascii="Times New Roman" w:hAnsi="Times New Roman" w:cs="Times New Roman" w:eastAsiaTheme="minorEastAsia"/>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t>定期开展鉴别，</w:t>
                  </w:r>
                  <w:r>
                    <w:rPr>
                      <w:rFonts w:cs="Times New Roman"/>
                      <w:color w:val="000000" w:themeColor="text1"/>
                      <w:spacing w:val="0"/>
                      <w:kern w:val="21"/>
                      <w:position w:val="0"/>
                      <w:szCs w:val="24"/>
                      <w14:textFill>
                        <w14:solidFill>
                          <w14:schemeClr w14:val="tx1"/>
                        </w14:solidFill>
                      </w14:textFill>
                    </w:rPr>
                    <w:t>确定其是否属于危险废物，若属于危险废物应交由有资质单位进行处理，若不属于危险废物则</w:t>
                  </w:r>
                  <w:r>
                    <w:rPr>
                      <w:rFonts w:hint="eastAsia" w:cs="Times New Roman"/>
                      <w:color w:val="000000" w:themeColor="text1"/>
                      <w:spacing w:val="0"/>
                      <w:kern w:val="21"/>
                      <w:position w:val="0"/>
                      <w:szCs w:val="24"/>
                      <w14:textFill>
                        <w14:solidFill>
                          <w14:schemeClr w14:val="tx1"/>
                        </w14:solidFill>
                      </w14:textFill>
                    </w:rPr>
                    <w:t>外运进行处置，鉴别</w:t>
                  </w:r>
                  <w:r>
                    <w:rPr>
                      <w:rFonts w:cs="Times New Roman"/>
                      <w:color w:val="000000" w:themeColor="text1"/>
                      <w:spacing w:val="0"/>
                      <w:kern w:val="21"/>
                      <w:position w:val="0"/>
                      <w:szCs w:val="24"/>
                      <w14:textFill>
                        <w14:solidFill>
                          <w14:schemeClr w14:val="tx1"/>
                        </w14:solidFill>
                      </w14:textFill>
                    </w:rPr>
                    <w:t>结果出具前应按照危险废物进行管理</w:t>
                  </w:r>
                  <w:r>
                    <w:rPr>
                      <w:rFonts w:hint="eastAsia" w:cs="Times New Roman"/>
                      <w:color w:val="000000" w:themeColor="text1"/>
                      <w:spacing w:val="0"/>
                      <w:kern w:val="21"/>
                      <w:position w:val="0"/>
                      <w:szCs w:val="24"/>
                      <w:lang w:eastAsia="zh-CN"/>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0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地下水、土壤防护</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重点防渗区：</w:t>
                  </w: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危废暂存间、喷漆房、喷塑区、化学品仓</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、废水收集池、污水处理站</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事故水池</w:t>
                  </w:r>
                  <w:r>
                    <w:rPr>
                      <w:rFonts w:ascii="Times New Roman" w:hAnsi="Times New Roman" w:eastAsia="宋体" w:cs="Times New Roman"/>
                      <w:color w:val="000000" w:themeColor="text1"/>
                      <w:spacing w:val="0"/>
                      <w:kern w:val="21"/>
                      <w:position w:val="0"/>
                      <w:szCs w:val="21"/>
                      <w14:textFill>
                        <w14:solidFill>
                          <w14:schemeClr w14:val="tx1"/>
                        </w14:solidFill>
                      </w14:textFill>
                    </w:rPr>
                    <w:t>设置</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防渗层为20cmP8等级抗渗混凝土+2mm高分子湿铺型防水卷材+1.3mm聚合物水泥防水粘结材料，</w:t>
                  </w: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危废暂存间、化学品仓增加</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不锈钢金属托盘。各重点防渗区应满足</w:t>
                  </w:r>
                  <w:r>
                    <w:rPr>
                      <w:rFonts w:ascii="Times New Roman" w:hAnsi="Times New Roman" w:eastAsia="宋体" w:cs="Times New Roman"/>
                      <w:color w:val="000000" w:themeColor="text1"/>
                      <w:spacing w:val="0"/>
                      <w:kern w:val="21"/>
                      <w:position w:val="0"/>
                      <w:szCs w:val="21"/>
                      <w14:textFill>
                        <w14:solidFill>
                          <w14:schemeClr w14:val="tx1"/>
                        </w14:solidFill>
                      </w14:textFill>
                    </w:rPr>
                    <w:t>Mb≥6.0m、K≤</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10</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cm/s的要求，其中危废暂存间、化学品仓</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等效防渗系数K≤1×10</w:t>
                  </w:r>
                  <w:r>
                    <w:rPr>
                      <w:rFonts w:ascii="Times New Roman" w:hAnsi="Times New Roman" w:eastAsia="宋体" w:cs="Times New Roman"/>
                      <w:color w:val="000000" w:themeColor="text1"/>
                      <w:spacing w:val="0"/>
                      <w:kern w:val="21"/>
                      <w:position w:val="0"/>
                      <w:szCs w:val="21"/>
                      <w:vertAlign w:val="superscript"/>
                      <w:lang w:val="zh-CN"/>
                      <w14:textFill>
                        <w14:solidFill>
                          <w14:schemeClr w14:val="tx1"/>
                        </w14:solidFill>
                      </w14:textFill>
                    </w:rPr>
                    <w:t>-10</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cm/s。</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一般防渗区：</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木材加工区、</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实木车间、板式车间、金属</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车间</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、软包车间、打样定制区</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、机修检测房、化粪池</w:t>
                  </w:r>
                  <w:r>
                    <w:rPr>
                      <w:rFonts w:ascii="Times New Roman" w:hAnsi="Times New Roman" w:eastAsia="宋体" w:cs="Times New Roman"/>
                      <w:color w:val="000000" w:themeColor="text1"/>
                      <w:spacing w:val="0"/>
                      <w:kern w:val="21"/>
                      <w:position w:val="0"/>
                      <w:szCs w:val="21"/>
                      <w14:textFill>
                        <w14:solidFill>
                          <w14:schemeClr w14:val="tx1"/>
                        </w14:solidFill>
                      </w14:textFill>
                    </w:rPr>
                    <w:t>等</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地面防渗层为20cm防渗混凝土，保证</w:t>
                  </w:r>
                  <w:r>
                    <w:rPr>
                      <w:rFonts w:ascii="Times New Roman" w:hAnsi="Times New Roman" w:eastAsia="宋体" w:cs="Times New Roman"/>
                      <w:color w:val="000000" w:themeColor="text1"/>
                      <w:spacing w:val="0"/>
                      <w:kern w:val="21"/>
                      <w:position w:val="0"/>
                      <w:szCs w:val="21"/>
                      <w14:textFill>
                        <w14:solidFill>
                          <w14:schemeClr w14:val="tx1"/>
                        </w14:solidFill>
                      </w14:textFill>
                    </w:rPr>
                    <w:t>等效</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渗透系数K≤1×10</w:t>
                  </w:r>
                  <w:r>
                    <w:rPr>
                      <w:rFonts w:ascii="Times New Roman" w:hAnsi="Times New Roman" w:eastAsia="宋体" w:cs="Times New Roman"/>
                      <w:color w:val="000000" w:themeColor="text1"/>
                      <w:spacing w:val="0"/>
                      <w:kern w:val="21"/>
                      <w:position w:val="0"/>
                      <w:szCs w:val="21"/>
                      <w:vertAlign w:val="superscript"/>
                      <w:lang w:val="zh-CN"/>
                      <w14:textFill>
                        <w14:solidFill>
                          <w14:schemeClr w14:val="tx1"/>
                        </w14:solidFill>
                      </w14:textFill>
                    </w:rPr>
                    <w:t>-7</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cm/s。</w:t>
                  </w:r>
                </w:p>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简单防渗区：</w:t>
                  </w:r>
                  <w:r>
                    <w:rPr>
                      <w:rFonts w:ascii="Times New Roman" w:hAnsi="Times New Roman" w:eastAsia="宋体" w:cs="Times New Roman"/>
                      <w:color w:val="000000" w:themeColor="text1"/>
                      <w:spacing w:val="0"/>
                      <w:kern w:val="21"/>
                      <w:position w:val="0"/>
                      <w:szCs w:val="21"/>
                      <w14:textFill>
                        <w14:solidFill>
                          <w14:schemeClr w14:val="tx1"/>
                        </w14:solidFill>
                      </w14:textFill>
                    </w:rPr>
                    <w:t>办公区域及</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厂内其他区域水泥地面防渗。</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20</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0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环境风险防范措施</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强化安全管理和风险意识，规范设置消防系统，配置灭火、器材等防范物资，制定环境风险应急预案等。</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20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环境监测</w:t>
                  </w:r>
                </w:p>
              </w:tc>
              <w:tc>
                <w:tcPr>
                  <w:tcW w:w="448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制定自行监测方案，定期开展污染源监测。</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01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合计</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84</w:t>
                  </w:r>
                  <w:r>
                    <w:rPr>
                      <w:rFonts w:ascii="Times New Roman" w:hAnsi="Times New Roman" w:eastAsia="宋体" w:cs="Times New Roman"/>
                      <w:color w:val="000000" w:themeColor="text1"/>
                      <w:spacing w:val="0"/>
                      <w:kern w:val="21"/>
                      <w:position w:val="0"/>
                      <w:szCs w:val="21"/>
                      <w14:textFill>
                        <w14:solidFill>
                          <w14:schemeClr w14:val="tx1"/>
                        </w14:solidFill>
                      </w14:textFill>
                    </w:rPr>
                    <w:t>.5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bl>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1906" w:h="16838"/>
          <w:pgMar w:top="1134" w:right="1531" w:bottom="1134" w:left="1531" w:header="851" w:footer="850" w:gutter="0"/>
          <w:cols w:space="425" w:num="1"/>
          <w:docGrid w:type="lines" w:linePitch="312" w:charSpace="0"/>
        </w:sectPr>
      </w:pPr>
    </w:p>
    <w:p>
      <w:pPr>
        <w:pageBreakBefore w:val="0"/>
        <w:widowControl/>
        <w:kinsoku/>
        <w:overflowPunct/>
        <w:autoSpaceDE/>
        <w:autoSpaceDN/>
        <w:bidi w:val="0"/>
        <w:snapToGrid w:val="0"/>
        <w:spacing w:before="62" w:beforeLines="20" w:after="62" w:afterLines="20"/>
        <w:jc w:val="center"/>
        <w:textAlignment w:val="auto"/>
        <w:outlineLvl w:val="0"/>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pPr>
      <w:r>
        <w:rPr>
          <w:rFonts w:ascii="Times New Roman" w:hAnsi="Times New Roman" w:eastAsia="黑体" w:cs="Times New Roman"/>
          <w:snapToGrid w:val="0"/>
          <w:color w:val="000000" w:themeColor="text1"/>
          <w:spacing w:val="0"/>
          <w:kern w:val="21"/>
          <w:position w:val="0"/>
          <w:sz w:val="30"/>
          <w:szCs w:val="30"/>
          <w14:textFill>
            <w14:solidFill>
              <w14:schemeClr w14:val="tx1"/>
            </w14:solidFill>
          </w14:textFill>
        </w:rPr>
        <w:t>五、环境保护措施监督检查清单</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233"/>
        <w:gridCol w:w="1482"/>
        <w:gridCol w:w="2700"/>
        <w:gridCol w:w="25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94" w:type="pct"/>
            <w:tcBorders>
              <w:tl2br w:val="single" w:color="auto" w:sz="4" w:space="0"/>
            </w:tcBorders>
          </w:tcPr>
          <w:p>
            <w:pPr>
              <w:pageBreakBefore w:val="0"/>
              <w:kinsoku/>
              <w:overflowPunct/>
              <w:autoSpaceDE/>
              <w:autoSpaceDN/>
              <w:bidi w:val="0"/>
              <w:adjustRightInd w:val="0"/>
              <w:snapToGrid w:val="0"/>
              <w:spacing w:before="62" w:beforeLines="20" w:after="62" w:afterLines="20"/>
              <w:jc w:val="right"/>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内容</w:t>
            </w:r>
          </w:p>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p>
          <w:p>
            <w:pPr>
              <w:pageBreakBefore w:val="0"/>
              <w:kinsoku/>
              <w:overflowPunct/>
              <w:autoSpaceDE/>
              <w:autoSpaceDN/>
              <w:bidi w:val="0"/>
              <w:adjustRightInd w:val="0"/>
              <w:snapToGrid w:val="0"/>
              <w:spacing w:before="62" w:beforeLines="20" w:after="62" w:afterLines="20"/>
              <w:jc w:val="left"/>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要素</w:t>
            </w: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排放口（编号、名称）/污染源</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污染物项目</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环境保护措施</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大气环境</w:t>
            </w: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木料粉尘</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集气管收集+中央除尘器处理+20m排气筒（DA001、DA00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《大气污染物综合排放标准》（GB 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封边废气</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1490"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喷漆废气</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1490"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水旋柜</w:t>
            </w: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+密闭负压收集+干式过滤+</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活性炭吸附脱附</w:t>
            </w:r>
            <w:r>
              <w:rPr>
                <w:rFonts w:ascii="Times New Roman" w:hAnsi="Times New Roman" w:eastAsia="宋体" w:cs="Times New Roman"/>
                <w:color w:val="000000" w:themeColor="text1"/>
                <w:spacing w:val="0"/>
                <w:kern w:val="21"/>
                <w:position w:val="0"/>
                <w:szCs w:val="21"/>
                <w14:textFill>
                  <w14:solidFill>
                    <w14:schemeClr w14:val="tx1"/>
                  </w14:solidFill>
                </w14:textFill>
              </w:rPr>
              <w:t>+催化燃烧+20m排气筒（DA00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4</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《大气污染物综合排放标准》（GB 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1490"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漆料打磨废气</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密闭负压收集+脉冲布袋除尘+20m排气筒（DA00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5</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《大气污染物综合排放标准》（GB 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焊接烟尘</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集气罩收集+焊烟净化器处理+20m排气筒（DA00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《大气污染物综合排放标准》（GB 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金属加工粉尘</w:t>
            </w:r>
          </w:p>
        </w:tc>
        <w:tc>
          <w:tcPr>
            <w:tcW w:w="81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1490"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集气管道</w:t>
            </w:r>
            <w:r>
              <w:rPr>
                <w:rFonts w:ascii="Times New Roman" w:hAnsi="Times New Roman" w:eastAsia="宋体" w:cs="Times New Roman"/>
                <w:color w:val="000000" w:themeColor="text1"/>
                <w:spacing w:val="0"/>
                <w:kern w:val="21"/>
                <w:position w:val="0"/>
                <w:szCs w:val="21"/>
                <w14:textFill>
                  <w14:solidFill>
                    <w14:schemeClr w14:val="tx1"/>
                  </w14:solidFill>
                </w14:textFill>
              </w:rPr>
              <w:t>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布袋除尘器</w:t>
            </w:r>
            <w:r>
              <w:rPr>
                <w:rFonts w:ascii="Times New Roman" w:hAnsi="Times New Roman" w:eastAsia="宋体" w:cs="Times New Roman"/>
                <w:color w:val="000000" w:themeColor="text1"/>
                <w:spacing w:val="0"/>
                <w:kern w:val="21"/>
                <w:position w:val="0"/>
                <w:szCs w:val="21"/>
                <w14:textFill>
                  <w14:solidFill>
                    <w14:schemeClr w14:val="tx1"/>
                  </w14:solidFill>
                </w14:textFill>
              </w:rPr>
              <w:t>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6</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cs="Times New Roman"/>
                <w:color w:val="000000" w:themeColor="text1"/>
                <w:spacing w:val="0"/>
                <w:kern w:val="21"/>
                <w:position w:val="0"/>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《大气污染物综合排放标准》（GB 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喷塑粉尘</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颗粒物</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密闭负压收集+高效旋风分离器+全聚酯滤芯二级回收处理+20m排气筒（</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DA00</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8</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cs="Times New Roman"/>
                <w:color w:val="000000" w:themeColor="text1"/>
                <w:spacing w:val="0"/>
                <w:kern w:val="21"/>
                <w:position w:val="0"/>
                <w14:textFill>
                  <w14:solidFill>
                    <w14:schemeClr w14:val="tx1"/>
                  </w14:solidFill>
                </w14:textFill>
              </w:rPr>
              <w:t>《大气污染物综合排放标准》（GB 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固化废气</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贴棉废气</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VOCs</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集气罩收集</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#二级活性炭处理+20m排气筒（DA00</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）达标排放</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94"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地表水环境</w:t>
            </w: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生活污水</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14:textFill>
                  <w14:solidFill>
                    <w14:schemeClr w14:val="tx1"/>
                  </w14:solidFill>
                </w14:textFill>
              </w:rPr>
              <w:t>BOD</w:t>
            </w:r>
            <w:r>
              <w:rPr>
                <w:rFonts w:ascii="Times New Roman" w:hAnsi="Times New Roman" w:eastAsia="宋体" w:cs="Times New Roman"/>
                <w:color w:val="000000" w:themeColor="text1"/>
                <w:spacing w:val="0"/>
                <w:kern w:val="21"/>
                <w:position w:val="0"/>
                <w:vertAlign w:val="subscript"/>
                <w14:textFill>
                  <w14:solidFill>
                    <w14:schemeClr w14:val="tx1"/>
                  </w14:solidFill>
                </w14:textFill>
              </w:rPr>
              <w:t>5</w:t>
            </w:r>
            <w:r>
              <w:rPr>
                <w:rFonts w:ascii="Times New Roman" w:hAnsi="Times New Roman" w:eastAsia="宋体" w:cs="Times New Roman"/>
                <w:color w:val="000000" w:themeColor="text1"/>
                <w:spacing w:val="0"/>
                <w:kern w:val="21"/>
                <w:position w:val="0"/>
                <w14:textFill>
                  <w14:solidFill>
                    <w14:schemeClr w14:val="tx1"/>
                  </w14:solidFill>
                </w14:textFill>
              </w:rPr>
              <w:t>、COD、SS、NH</w:t>
            </w:r>
            <w:r>
              <w:rPr>
                <w:rFonts w:ascii="Times New Roman" w:hAnsi="Times New Roman" w:eastAsia="宋体" w:cs="Times New Roman"/>
                <w:color w:val="000000" w:themeColor="text1"/>
                <w:spacing w:val="0"/>
                <w:kern w:val="21"/>
                <w:position w:val="0"/>
                <w:vertAlign w:val="subscript"/>
                <w14:textFill>
                  <w14:solidFill>
                    <w14:schemeClr w14:val="tx1"/>
                  </w14:solidFill>
                </w14:textFill>
              </w:rPr>
              <w:t>3</w:t>
            </w:r>
            <w:r>
              <w:rPr>
                <w:rFonts w:ascii="Times New Roman" w:hAnsi="Times New Roman" w:eastAsia="宋体" w:cs="Times New Roman"/>
                <w:color w:val="000000" w:themeColor="text1"/>
                <w:spacing w:val="0"/>
                <w:kern w:val="21"/>
                <w:position w:val="0"/>
                <w14:textFill>
                  <w14:solidFill>
                    <w14:schemeClr w14:val="tx1"/>
                  </w14:solidFill>
                </w14:textFill>
              </w:rPr>
              <w:t>-N、TP</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厂区预处理池（</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0m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3</w:t>
            </w:r>
            <w:r>
              <w:rPr>
                <w:rFonts w:ascii="Times New Roman" w:hAnsi="Times New Roman" w:eastAsia="宋体" w:cs="Times New Roman"/>
                <w:color w:val="000000" w:themeColor="text1"/>
                <w:spacing w:val="0"/>
                <w:kern w:val="21"/>
                <w:position w:val="0"/>
                <w:szCs w:val="21"/>
                <w14:textFill>
                  <w14:solidFill>
                    <w14:schemeClr w14:val="tx1"/>
                  </w14:solidFill>
                </w14:textFill>
              </w:rPr>
              <w:t>）预处理后排入园区污水管网</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园区污水处理厂设计进水水质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脱脂-硅烷化废水</w:t>
            </w:r>
          </w:p>
        </w:tc>
        <w:tc>
          <w:tcPr>
            <w:tcW w:w="81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14:textFill>
                  <w14:solidFill>
                    <w14:schemeClr w14:val="tx1"/>
                  </w14:solidFill>
                </w14:textFill>
              </w:rPr>
            </w:pPr>
            <w:r>
              <w:rPr>
                <w:rFonts w:ascii="Times New Roman" w:hAnsi="Times New Roman" w:eastAsia="宋体" w:cs="Times New Roman"/>
                <w:color w:val="000000" w:themeColor="text1"/>
                <w:spacing w:val="0"/>
                <w:kern w:val="21"/>
                <w:position w:val="0"/>
                <w14:textFill>
                  <w14:solidFill>
                    <w14:schemeClr w14:val="tx1"/>
                  </w14:solidFill>
                </w14:textFill>
              </w:rPr>
              <w:t>COD、SS</w:t>
            </w:r>
            <w:r>
              <w:rPr>
                <w:rFonts w:hint="eastAsia" w:ascii="Times New Roman" w:hAnsi="Times New Roman" w:eastAsia="宋体" w:cs="Times New Roman"/>
                <w:color w:val="000000" w:themeColor="text1"/>
                <w:spacing w:val="0"/>
                <w:kern w:val="21"/>
                <w:position w:val="0"/>
                <w14:textFill>
                  <w14:solidFill>
                    <w14:schemeClr w14:val="tx1"/>
                  </w14:solidFill>
                </w14:textFill>
              </w:rPr>
              <w:t>、石油类</w:t>
            </w:r>
          </w:p>
        </w:tc>
        <w:tc>
          <w:tcPr>
            <w:tcW w:w="1490"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厂区污水站处理后排入园区污水管网</w:t>
            </w:r>
          </w:p>
        </w:tc>
        <w:tc>
          <w:tcPr>
            <w:tcW w:w="1417" w:type="pct"/>
            <w:shd w:val="clear" w:color="auto" w:fill="auto"/>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园区污水处理厂设计进水水质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声环境</w:t>
            </w: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生产车间</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设备噪声</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选用低噪设备、厂房隔声、合理布局、设备基础减振</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《工业企业厂界环境噪声排放标准》（GB12348-2008）</w:t>
            </w:r>
            <w:r>
              <w:rPr>
                <w:rFonts w:ascii="Times New Roman" w:hAnsi="Times New Roman" w:eastAsia="宋体" w:cs="Times New Roman"/>
                <w:color w:val="000000" w:themeColor="text1"/>
                <w:spacing w:val="0"/>
                <w:kern w:val="21"/>
                <w:position w:val="0"/>
                <w14:textFill>
                  <w14:solidFill>
                    <w14:schemeClr w14:val="tx1"/>
                  </w14:solidFill>
                </w14:textFill>
              </w:rPr>
              <w:t>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电磁辐射</w:t>
            </w: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固体废物</w:t>
            </w: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生活垃圾</w:t>
            </w:r>
          </w:p>
        </w:tc>
        <w:tc>
          <w:tcPr>
            <w:tcW w:w="8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生活垃圾</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经厂区垃圾桶收集后委托环卫部门定期清运</w:t>
            </w:r>
          </w:p>
        </w:tc>
        <w:tc>
          <w:tcPr>
            <w:tcW w:w="1417"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一般工业固废</w:t>
            </w:r>
          </w:p>
        </w:tc>
        <w:tc>
          <w:tcPr>
            <w:tcW w:w="817"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布袋收尘、废边角料、废包装材料、废催化剂、金属加工粉尘</w:t>
            </w:r>
          </w:p>
        </w:tc>
        <w:tc>
          <w:tcPr>
            <w:tcW w:w="149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收集后外售废旧资源回收单位</w:t>
            </w:r>
          </w:p>
        </w:tc>
        <w:tc>
          <w:tcPr>
            <w:tcW w:w="1417"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危险废物</w:t>
            </w:r>
          </w:p>
        </w:tc>
        <w:tc>
          <w:tcPr>
            <w:tcW w:w="81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废漆料桶、废胶桶、</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废有机溶剂桶、</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废机油、废油桶、含油手套及抹布、废切削液、废活性炭、废过滤棉、</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废水站污泥</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暂存于危废暂存间（72m</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2</w:t>
            </w:r>
            <w:r>
              <w:rPr>
                <w:rFonts w:ascii="Times New Roman" w:hAnsi="Times New Roman" w:eastAsia="宋体" w:cs="Times New Roman"/>
                <w:color w:val="000000" w:themeColor="text1"/>
                <w:spacing w:val="0"/>
                <w:kern w:val="21"/>
                <w:position w:val="0"/>
                <w:szCs w:val="21"/>
                <w14:textFill>
                  <w14:solidFill>
                    <w14:schemeClr w14:val="tx1"/>
                  </w14:solidFill>
                </w14:textFill>
              </w:rPr>
              <w:t>），定期交由有危废处理资质的单位处置</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6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default"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待鉴别废物</w:t>
            </w:r>
          </w:p>
        </w:tc>
        <w:tc>
          <w:tcPr>
            <w:tcW w:w="817" w:type="pct"/>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漆料打磨收尘、</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漆渣、</w:t>
            </w:r>
            <w:r>
              <w:rPr>
                <w:rFonts w:hint="eastAsia" w:ascii="Times New Roman" w:hAnsi="Times New Roman" w:eastAsia="宋体" w:cs="Times New Roman"/>
                <w:color w:val="000000" w:themeColor="text1"/>
                <w:spacing w:val="0"/>
                <w:kern w:val="21"/>
                <w:position w:val="0"/>
                <w:szCs w:val="21"/>
                <w:lang w:eastAsia="zh-CN" w:bidi="ar"/>
                <w14:textFill>
                  <w14:solidFill>
                    <w14:schemeClr w14:val="tx1"/>
                  </w14:solidFill>
                </w14:textFill>
              </w:rPr>
              <w:t>水旋柜废液</w:t>
            </w:r>
          </w:p>
        </w:tc>
        <w:tc>
          <w:tcPr>
            <w:tcW w:w="149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 w:val="21"/>
                <w:szCs w:val="21"/>
                <w:lang w:val="en-US" w:eastAsia="zh-CN" w:bidi="ar-SA"/>
                <w14:textFill>
                  <w14:solidFill>
                    <w14:schemeClr w14:val="tx1"/>
                  </w14:solidFill>
                </w14:textFill>
              </w:rPr>
              <w:t>定期开展鉴别，</w:t>
            </w:r>
            <w:r>
              <w:rPr>
                <w:rFonts w:cs="Times New Roman"/>
                <w:color w:val="000000" w:themeColor="text1"/>
                <w:spacing w:val="0"/>
                <w:kern w:val="21"/>
                <w:position w:val="0"/>
                <w:szCs w:val="24"/>
                <w14:textFill>
                  <w14:solidFill>
                    <w14:schemeClr w14:val="tx1"/>
                  </w14:solidFill>
                </w14:textFill>
              </w:rPr>
              <w:t>确定其是否属于危险废物，若属于危险废物应交由有资质单位进行处理，若不属于危险废物则</w:t>
            </w:r>
            <w:r>
              <w:rPr>
                <w:rFonts w:hint="eastAsia" w:cs="Times New Roman"/>
                <w:color w:val="000000" w:themeColor="text1"/>
                <w:spacing w:val="0"/>
                <w:kern w:val="21"/>
                <w:position w:val="0"/>
                <w:szCs w:val="24"/>
                <w14:textFill>
                  <w14:solidFill>
                    <w14:schemeClr w14:val="tx1"/>
                  </w14:solidFill>
                </w14:textFill>
              </w:rPr>
              <w:t>外运进行处置，鉴别</w:t>
            </w:r>
            <w:r>
              <w:rPr>
                <w:rFonts w:cs="Times New Roman"/>
                <w:color w:val="000000" w:themeColor="text1"/>
                <w:spacing w:val="0"/>
                <w:kern w:val="21"/>
                <w:position w:val="0"/>
                <w:szCs w:val="24"/>
                <w14:textFill>
                  <w14:solidFill>
                    <w14:schemeClr w14:val="tx1"/>
                  </w14:solidFill>
                </w14:textFill>
              </w:rPr>
              <w:t>结果出具前应按照危险废物进行管理</w:t>
            </w:r>
          </w:p>
        </w:tc>
        <w:tc>
          <w:tcPr>
            <w:tcW w:w="1417" w:type="pct"/>
            <w:vAlign w:val="center"/>
          </w:tcPr>
          <w:p>
            <w:pPr>
              <w:pageBreakBefore w:val="0"/>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土壤及地下水污染防治措施</w:t>
            </w:r>
          </w:p>
        </w:tc>
        <w:tc>
          <w:tcPr>
            <w:tcW w:w="4405" w:type="pct"/>
            <w:gridSpan w:val="4"/>
            <w:vAlign w:val="center"/>
          </w:tcPr>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重点防渗区：</w:t>
            </w: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危废暂存间、喷漆房、喷塑区、化学品仓</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、废水收集池、污水处理站</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val="en-US" w:eastAsia="zh-CN"/>
                <w14:textFill>
                  <w14:solidFill>
                    <w14:schemeClr w14:val="tx1"/>
                  </w14:solidFill>
                </w14:textFill>
              </w:rPr>
              <w:t>事故水池</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为20cmP8等级抗渗混凝土+2mm高分子湿铺型防水卷材+1.3mm聚合物水泥防水粘结材料，</w:t>
            </w:r>
            <w:r>
              <w:rPr>
                <w:rFonts w:ascii="Times New Roman" w:hAnsi="Times New Roman" w:eastAsia="宋体" w:cs="Times New Roman"/>
                <w:color w:val="000000" w:themeColor="text1"/>
                <w:spacing w:val="0"/>
                <w:kern w:val="21"/>
                <w:position w:val="0"/>
                <w:szCs w:val="21"/>
                <w14:textFill>
                  <w14:solidFill>
                    <w14:schemeClr w14:val="tx1"/>
                  </w14:solidFill>
                </w14:textFill>
              </w:rPr>
              <w:t>危废暂存间、化学品仓增加</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不锈钢金属托盘。各重点防渗区应满足</w:t>
            </w:r>
            <w:r>
              <w:rPr>
                <w:rFonts w:ascii="Times New Roman" w:hAnsi="Times New Roman" w:eastAsia="宋体" w:cs="Times New Roman"/>
                <w:color w:val="000000" w:themeColor="text1"/>
                <w:spacing w:val="0"/>
                <w:kern w:val="21"/>
                <w:position w:val="0"/>
                <w:szCs w:val="21"/>
                <w14:textFill>
                  <w14:solidFill>
                    <w14:schemeClr w14:val="tx1"/>
                  </w14:solidFill>
                </w14:textFill>
              </w:rPr>
              <w:t>Mb≥6.0m、K≤</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1×</w:t>
            </w:r>
            <w:r>
              <w:rPr>
                <w:rFonts w:ascii="Times New Roman" w:hAnsi="Times New Roman" w:eastAsia="宋体" w:cs="Times New Roman"/>
                <w:color w:val="000000" w:themeColor="text1"/>
                <w:spacing w:val="0"/>
                <w:kern w:val="21"/>
                <w:position w:val="0"/>
                <w:szCs w:val="21"/>
                <w14:textFill>
                  <w14:solidFill>
                    <w14:schemeClr w14:val="tx1"/>
                  </w14:solidFill>
                </w14:textFill>
              </w:rPr>
              <w:t>10</w:t>
            </w:r>
            <w:r>
              <w:rPr>
                <w:rFonts w:ascii="Times New Roman" w:hAnsi="Times New Roman" w:eastAsia="宋体" w:cs="Times New Roman"/>
                <w:color w:val="000000" w:themeColor="text1"/>
                <w:spacing w:val="0"/>
                <w:kern w:val="21"/>
                <w:position w:val="0"/>
                <w:szCs w:val="21"/>
                <w:vertAlign w:val="superscript"/>
                <w14:textFill>
                  <w14:solidFill>
                    <w14:schemeClr w14:val="tx1"/>
                  </w14:solidFill>
                </w14:textFill>
              </w:rPr>
              <w:t>-7</w:t>
            </w:r>
            <w:r>
              <w:rPr>
                <w:rFonts w:ascii="Times New Roman" w:hAnsi="Times New Roman" w:eastAsia="宋体" w:cs="Times New Roman"/>
                <w:color w:val="000000" w:themeColor="text1"/>
                <w:spacing w:val="0"/>
                <w:kern w:val="21"/>
                <w:position w:val="0"/>
                <w:szCs w:val="21"/>
                <w14:textFill>
                  <w14:solidFill>
                    <w14:schemeClr w14:val="tx1"/>
                  </w14:solidFill>
                </w14:textFill>
              </w:rPr>
              <w:t>cm/s的要求，其中危废暂存间、化学品仓</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等效防渗系数K≤1×10</w:t>
            </w:r>
            <w:r>
              <w:rPr>
                <w:rFonts w:ascii="Times New Roman" w:hAnsi="Times New Roman" w:eastAsia="宋体" w:cs="Times New Roman"/>
                <w:color w:val="000000" w:themeColor="text1"/>
                <w:spacing w:val="0"/>
                <w:kern w:val="21"/>
                <w:position w:val="0"/>
                <w:szCs w:val="21"/>
                <w:vertAlign w:val="superscript"/>
                <w:lang w:val="zh-CN"/>
                <w14:textFill>
                  <w14:solidFill>
                    <w14:schemeClr w14:val="tx1"/>
                  </w14:solidFill>
                </w14:textFill>
              </w:rPr>
              <w:t>-10</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cm/s。</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一般防渗区：</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木材加工区、</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实木车间、板式车间、金属</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车间</w:t>
            </w:r>
            <w:r>
              <w:rPr>
                <w:rFonts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、软包车间、打样定制区</w:t>
            </w:r>
            <w:r>
              <w:rPr>
                <w:rFonts w:hint="eastAsia" w:ascii="Times New Roman" w:hAnsi="Times New Roman" w:eastAsia="宋体" w:cs="Times New Roman"/>
                <w:snapToGrid w:val="0"/>
                <w:color w:val="000000" w:themeColor="text1"/>
                <w:spacing w:val="0"/>
                <w:kern w:val="21"/>
                <w:position w:val="0"/>
                <w:szCs w:val="20"/>
                <w:lang w:bidi="ar"/>
                <w14:textFill>
                  <w14:solidFill>
                    <w14:schemeClr w14:val="tx1"/>
                  </w14:solidFill>
                </w14:textFill>
              </w:rPr>
              <w:t>、机修检测房、化粪池</w:t>
            </w:r>
            <w:r>
              <w:rPr>
                <w:rFonts w:ascii="Times New Roman" w:hAnsi="Times New Roman" w:eastAsia="宋体" w:cs="Times New Roman"/>
                <w:color w:val="000000" w:themeColor="text1"/>
                <w:spacing w:val="0"/>
                <w:kern w:val="21"/>
                <w:position w:val="0"/>
                <w:szCs w:val="21"/>
                <w14:textFill>
                  <w14:solidFill>
                    <w14:schemeClr w14:val="tx1"/>
                  </w14:solidFill>
                </w14:textFill>
              </w:rPr>
              <w:t>等</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地面防渗层为</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18</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cm防渗混凝土，保证</w:t>
            </w:r>
            <w:r>
              <w:rPr>
                <w:rFonts w:ascii="Times New Roman" w:hAnsi="Times New Roman" w:eastAsia="宋体" w:cs="Times New Roman"/>
                <w:color w:val="000000" w:themeColor="text1"/>
                <w:spacing w:val="0"/>
                <w:kern w:val="21"/>
                <w:position w:val="0"/>
                <w:szCs w:val="21"/>
                <w14:textFill>
                  <w14:solidFill>
                    <w14:schemeClr w14:val="tx1"/>
                  </w14:solidFill>
                </w14:textFill>
              </w:rPr>
              <w:t>等效</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渗透系数K≤1×10</w:t>
            </w:r>
            <w:r>
              <w:rPr>
                <w:rFonts w:ascii="Times New Roman" w:hAnsi="Times New Roman" w:eastAsia="宋体" w:cs="Times New Roman"/>
                <w:color w:val="000000" w:themeColor="text1"/>
                <w:spacing w:val="0"/>
                <w:kern w:val="21"/>
                <w:position w:val="0"/>
                <w:szCs w:val="21"/>
                <w:vertAlign w:val="superscript"/>
                <w:lang w:val="zh-CN"/>
                <w14:textFill>
                  <w14:solidFill>
                    <w14:schemeClr w14:val="tx1"/>
                  </w14:solidFill>
                </w14:textFill>
              </w:rPr>
              <w:t>-7</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cm/s。</w:t>
            </w:r>
          </w:p>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color w:val="000000" w:themeColor="text1"/>
                <w:spacing w:val="0"/>
                <w:kern w:val="21"/>
                <w:position w:val="0"/>
                <w:szCs w:val="21"/>
                <w14:textFill>
                  <w14:solidFill>
                    <w14:schemeClr w14:val="tx1"/>
                  </w14:solidFill>
                </w14:textFill>
              </w:rPr>
              <w:t>简单防渗区：</w:t>
            </w:r>
            <w:r>
              <w:rPr>
                <w:rFonts w:ascii="Times New Roman" w:hAnsi="Times New Roman" w:eastAsia="宋体" w:cs="Times New Roman"/>
                <w:color w:val="000000" w:themeColor="text1"/>
                <w:spacing w:val="0"/>
                <w:kern w:val="21"/>
                <w:position w:val="0"/>
                <w:szCs w:val="21"/>
                <w14:textFill>
                  <w14:solidFill>
                    <w14:schemeClr w14:val="tx1"/>
                  </w14:solidFill>
                </w14:textFill>
              </w:rPr>
              <w:t>办公区域及</w:t>
            </w:r>
            <w:r>
              <w:rPr>
                <w:rFonts w:ascii="Times New Roman" w:hAnsi="Times New Roman" w:eastAsia="宋体" w:cs="Times New Roman"/>
                <w:color w:val="000000" w:themeColor="text1"/>
                <w:spacing w:val="0"/>
                <w:kern w:val="21"/>
                <w:position w:val="0"/>
                <w:szCs w:val="21"/>
                <w:lang w:val="zh-CN"/>
                <w14:textFill>
                  <w14:solidFill>
                    <w14:schemeClr w14:val="tx1"/>
                  </w14:solidFill>
                </w14:textFill>
              </w:rPr>
              <w:t>厂内其他区域水泥地面防渗。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生态保护措施</w:t>
            </w:r>
          </w:p>
        </w:tc>
        <w:tc>
          <w:tcPr>
            <w:tcW w:w="4405" w:type="pct"/>
            <w:gridSpan w:val="4"/>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环境风险防范措施</w:t>
            </w:r>
          </w:p>
        </w:tc>
        <w:tc>
          <w:tcPr>
            <w:tcW w:w="4405" w:type="pct"/>
            <w:gridSpan w:val="4"/>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（1）原辅材料分类存放，按需购买，加强管理；</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（2）废气事故排放风险防范及风险管理；</w:t>
            </w:r>
          </w:p>
          <w:p>
            <w:pPr>
              <w:pageBreakBefore w:val="0"/>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（3）车间地面做好防渗措施，配备消防器材，如灭火器等，定期检查消防设施的有效性及备用状态，当发生泄漏和火灾爆炸时可及时控制不利影响；</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（4）对员工进行消防培训，掌握安全技能，提高对事故的应急处理能力。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其他环境管理要求</w:t>
            </w:r>
          </w:p>
        </w:tc>
        <w:tc>
          <w:tcPr>
            <w:tcW w:w="4405" w:type="pct"/>
            <w:gridSpan w:val="4"/>
            <w:vAlign w:val="center"/>
          </w:tcPr>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（1）环境管理与监测计划：根据《</w:t>
            </w:r>
            <w:bookmarkStart w:id="31" w:name="OLE_LINK23"/>
            <w:r>
              <w:rPr>
                <w:rFonts w:ascii="Times New Roman" w:hAnsi="Times New Roman" w:eastAsia="宋体" w:cs="Times New Roman"/>
                <w:color w:val="000000" w:themeColor="text1"/>
                <w:spacing w:val="0"/>
                <w:kern w:val="21"/>
                <w:position w:val="0"/>
                <w:szCs w:val="21"/>
                <w14:textFill>
                  <w14:solidFill>
                    <w14:schemeClr w14:val="tx1"/>
                  </w14:solidFill>
                </w14:textFill>
              </w:rPr>
              <w:t>排污单位自行监测技术指南 总则</w:t>
            </w:r>
            <w:bookmarkEnd w:id="31"/>
            <w:r>
              <w:rPr>
                <w:rFonts w:ascii="Times New Roman" w:hAnsi="Times New Roman" w:eastAsia="宋体" w:cs="Times New Roman"/>
                <w:color w:val="000000" w:themeColor="text1"/>
                <w:spacing w:val="0"/>
                <w:kern w:val="21"/>
                <w:position w:val="0"/>
                <w:szCs w:val="21"/>
                <w14:textFill>
                  <w14:solidFill>
                    <w14:schemeClr w14:val="tx1"/>
                  </w14:solidFill>
                </w14:textFill>
              </w:rPr>
              <w:t>》（HJ</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Cs w:val="21"/>
                <w14:textFill>
                  <w14:solidFill>
                    <w14:schemeClr w14:val="tx1"/>
                  </w14:solidFill>
                </w14:textFill>
              </w:rPr>
              <w:t>819-2017），</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参考《排污单位自行监测技术指南 涂装》（HJ 1086-2020）</w:t>
            </w:r>
            <w:r>
              <w:rPr>
                <w:rFonts w:ascii="Times New Roman" w:hAnsi="Times New Roman" w:eastAsia="宋体" w:cs="Times New Roman"/>
                <w:color w:val="000000" w:themeColor="text1"/>
                <w:spacing w:val="0"/>
                <w:kern w:val="21"/>
                <w:position w:val="0"/>
                <w:szCs w:val="21"/>
                <w14:textFill>
                  <w14:solidFill>
                    <w14:schemeClr w14:val="tx1"/>
                  </w14:solidFill>
                </w14:textFill>
              </w:rPr>
              <w:t>自行监测或委托专业监测机构对各项污染物排放口进行定期监测，同时建设单位在项目建设过程中废气排气筒要预留专门监测口，方便后期监测管理；</w:t>
            </w:r>
          </w:p>
          <w:p>
            <w:pPr>
              <w:pageBreakBefore w:val="0"/>
              <w:tabs>
                <w:tab w:val="left" w:pos="2768"/>
              </w:tabs>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（2）项目需严格控制VOCs无组织废气排放，VOCs物料储存、转移和输送、控制、记录等环节需符合《挥发性有机物无组织排放控制标准》（GB</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 xml:space="preserve"> </w:t>
            </w:r>
            <w:r>
              <w:rPr>
                <w:rFonts w:ascii="Times New Roman" w:hAnsi="Times New Roman" w:eastAsia="宋体" w:cs="Times New Roman"/>
                <w:color w:val="000000" w:themeColor="text1"/>
                <w:spacing w:val="0"/>
                <w:kern w:val="21"/>
                <w:position w:val="0"/>
                <w:szCs w:val="21"/>
                <w14:textFill>
                  <w14:solidFill>
                    <w14:schemeClr w14:val="tx1"/>
                  </w14:solidFill>
                </w14:textFill>
              </w:rPr>
              <w:t>37822-2019）的要求；</w:t>
            </w:r>
          </w:p>
          <w:p>
            <w:pPr>
              <w:pageBreakBefore w:val="0"/>
              <w:tabs>
                <w:tab w:val="left" w:pos="2768"/>
              </w:tabs>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（3）项目需建立工业固体废物管理台账，如实记录产生工业固体废物的种类、数量、流向、贮存、利用、处置等信息；</w:t>
            </w:r>
          </w:p>
          <w:p>
            <w:pPr>
              <w:pageBreakBefore w:val="0"/>
              <w:tabs>
                <w:tab w:val="left" w:pos="2768"/>
              </w:tabs>
              <w:kinsoku/>
              <w:overflowPunct/>
              <w:autoSpaceDE/>
              <w:autoSpaceDN/>
              <w:bidi w:val="0"/>
              <w:adjustRightInd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（4）建立健全一套完善的环境管理制度，并严格</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按照</w:t>
            </w:r>
            <w:r>
              <w:rPr>
                <w:rFonts w:ascii="Times New Roman" w:hAnsi="Times New Roman" w:eastAsia="宋体" w:cs="Times New Roman"/>
                <w:color w:val="000000" w:themeColor="text1"/>
                <w:spacing w:val="0"/>
                <w:kern w:val="21"/>
                <w:position w:val="0"/>
                <w:szCs w:val="21"/>
                <w14:textFill>
                  <w14:solidFill>
                    <w14:schemeClr w14:val="tx1"/>
                  </w14:solidFill>
                </w14:textFill>
              </w:rPr>
              <w:t>管理制度执行；</w:t>
            </w:r>
          </w:p>
          <w:p>
            <w:pPr>
              <w:pageBreakBefore w:val="0"/>
              <w:widowControl/>
              <w:kinsoku/>
              <w:overflowPunct/>
              <w:autoSpaceDE/>
              <w:autoSpaceDN/>
              <w:bidi w:val="0"/>
              <w:snapToGrid w:val="0"/>
              <w:spacing w:before="62" w:beforeLines="20" w:after="62" w:afterLines="20"/>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（5）建设单位应严格按照国家“三同时”政策做好有关工作，在其配套建设的环境保护设施经验收合格后，方可投入生产或者使用。</w:t>
            </w: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1906" w:h="16838"/>
          <w:pgMar w:top="1134" w:right="1531" w:bottom="1134" w:left="1531" w:header="851" w:footer="850" w:gutter="0"/>
          <w:cols w:space="425" w:num="1"/>
          <w:docGrid w:type="lines" w:linePitch="312" w:charSpace="0"/>
        </w:sectPr>
      </w:pPr>
    </w:p>
    <w:p>
      <w:pPr>
        <w:pageBreakBefore w:val="0"/>
        <w:widowControl/>
        <w:kinsoku/>
        <w:overflowPunct/>
        <w:autoSpaceDE/>
        <w:autoSpaceDN/>
        <w:bidi w:val="0"/>
        <w:adjustRightInd w:val="0"/>
        <w:snapToGrid w:val="0"/>
        <w:spacing w:before="62" w:beforeLines="20" w:after="62" w:afterLines="20"/>
        <w:jc w:val="center"/>
        <w:textAlignment w:val="auto"/>
        <w:outlineLvl w:val="0"/>
        <w:rPr>
          <w:rFonts w:ascii="Times New Roman" w:hAnsi="Times New Roman" w:eastAsia="黑体" w:cs="Times New Roman"/>
          <w:b/>
          <w:bCs/>
          <w:snapToGrid w:val="0"/>
          <w:color w:val="000000" w:themeColor="text1"/>
          <w:spacing w:val="0"/>
          <w:kern w:val="21"/>
          <w:position w:val="0"/>
          <w:sz w:val="30"/>
          <w:szCs w:val="30"/>
          <w14:textFill>
            <w14:solidFill>
              <w14:schemeClr w14:val="tx1"/>
            </w14:solidFill>
          </w14:textFill>
        </w:rPr>
      </w:pPr>
      <w:r>
        <w:rPr>
          <w:rFonts w:ascii="Times New Roman" w:hAnsi="Times New Roman" w:eastAsia="黑体" w:cs="Times New Roman"/>
          <w:b/>
          <w:bCs/>
          <w:snapToGrid w:val="0"/>
          <w:color w:val="000000" w:themeColor="text1"/>
          <w:spacing w:val="0"/>
          <w:kern w:val="21"/>
          <w:position w:val="0"/>
          <w:sz w:val="30"/>
          <w:szCs w:val="30"/>
          <w14:textFill>
            <w14:solidFill>
              <w14:schemeClr w14:val="tx1"/>
            </w14:solidFill>
          </w14:textFill>
        </w:rPr>
        <w:t>六、结论</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Borders>
              <w:top w:val="single" w:color="auto" w:sz="8" w:space="0"/>
              <w:left w:val="single" w:color="auto" w:sz="8" w:space="0"/>
              <w:bottom w:val="single" w:color="auto" w:sz="8" w:space="0"/>
              <w:right w:val="single" w:color="auto" w:sz="8" w:space="0"/>
            </w:tcBorders>
            <w:shd w:val="clear" w:color="auto" w:fill="auto"/>
          </w:tcPr>
          <w:p>
            <w:pPr>
              <w:pageBreakBefore w:val="0"/>
              <w:kinsoku/>
              <w:overflowPunct/>
              <w:autoSpaceDE/>
              <w:autoSpaceDN/>
              <w:bidi w:val="0"/>
              <w:spacing w:line="360" w:lineRule="auto"/>
              <w:ind w:firstLine="480" w:firstLineChars="200"/>
              <w:textAlignment w:val="auto"/>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pP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本项目符合国家产业政策和园区规划，建设地与周边环境相容，总平面布置合理。在采取有效的污染防治措施的前提下，能够做到污染物达标排放，不会对周围环境造成污染影响。因此，只要严格落实环评报告中提出的环保措施，严格执行“三同时”制度，在确保项目产生的污染物达标排放并满足总量控制要</w:t>
            </w:r>
            <w:r>
              <w:rPr>
                <w:rFonts w:hint="eastAsia" w:ascii="Times New Roman" w:hAnsi="Times New Roman" w:eastAsia="宋体" w:cs="Times New Roman"/>
                <w:snapToGrid w:val="0"/>
                <w:color w:val="000000" w:themeColor="text1"/>
                <w:spacing w:val="0"/>
                <w:kern w:val="21"/>
                <w:position w:val="0"/>
                <w:sz w:val="24"/>
                <w:szCs w:val="22"/>
                <w:lang w:eastAsia="zh-CN" w:bidi="ar"/>
                <w14:textFill>
                  <w14:solidFill>
                    <w14:schemeClr w14:val="tx1"/>
                  </w14:solidFill>
                </w14:textFill>
              </w:rPr>
              <w:t>求的</w:t>
            </w:r>
            <w:r>
              <w:rPr>
                <w:rFonts w:ascii="Times New Roman" w:hAnsi="Times New Roman" w:eastAsia="宋体" w:cs="Times New Roman"/>
                <w:snapToGrid w:val="0"/>
                <w:color w:val="000000" w:themeColor="text1"/>
                <w:spacing w:val="0"/>
                <w:kern w:val="21"/>
                <w:position w:val="0"/>
                <w:sz w:val="24"/>
                <w:szCs w:val="22"/>
                <w:lang w:bidi="ar"/>
                <w14:textFill>
                  <w14:solidFill>
                    <w14:schemeClr w14:val="tx1"/>
                  </w14:solidFill>
                </w14:textFill>
              </w:rPr>
              <w:t>前提下，本项目的建设从环保角度是可行的。</w:t>
            </w:r>
          </w:p>
          <w:p>
            <w:pPr>
              <w:pageBreakBefore w:val="0"/>
              <w:kinsoku/>
              <w:overflowPunct/>
              <w:autoSpaceDE/>
              <w:autoSpaceDN/>
              <w:bidi w:val="0"/>
              <w:spacing w:line="360" w:lineRule="auto"/>
              <w:textAlignment w:val="auto"/>
              <w:rPr>
                <w:rFonts w:ascii="Times New Roman" w:hAnsi="Times New Roman" w:eastAsia="宋体" w:cs="Times New Roman"/>
                <w:color w:val="000000" w:themeColor="text1"/>
                <w:spacing w:val="0"/>
                <w:kern w:val="21"/>
                <w:position w:val="0"/>
                <w:sz w:val="24"/>
                <w14:textFill>
                  <w14:solidFill>
                    <w14:schemeClr w14:val="tx1"/>
                  </w14:solidFill>
                </w14:textFill>
              </w:rPr>
            </w:pPr>
          </w:p>
        </w:tc>
      </w:tr>
    </w:tbl>
    <w:p>
      <w:pPr>
        <w:pageBreakBefore w:val="0"/>
        <w:kinsoku/>
        <w:overflowPunct/>
        <w:autoSpaceDE/>
        <w:autoSpaceDN/>
        <w:bidi w:val="0"/>
        <w:textAlignment w:val="auto"/>
        <w:rPr>
          <w:rFonts w:ascii="Times New Roman" w:hAnsi="Times New Roman" w:cs="Times New Roman"/>
          <w:color w:val="000000" w:themeColor="text1"/>
          <w:spacing w:val="0"/>
          <w:kern w:val="21"/>
          <w:position w:val="0"/>
          <w14:textFill>
            <w14:solidFill>
              <w14:schemeClr w14:val="tx1"/>
            </w14:solidFill>
          </w14:textFill>
        </w:rPr>
        <w:sectPr>
          <w:pgSz w:w="11906" w:h="16838"/>
          <w:pgMar w:top="1134" w:right="1531" w:bottom="1134" w:left="1531" w:header="851" w:footer="850" w:gutter="0"/>
          <w:cols w:space="425" w:num="1"/>
          <w:docGrid w:type="lines" w:linePitch="312" w:charSpace="0"/>
        </w:sectPr>
      </w:pPr>
    </w:p>
    <w:p>
      <w:pPr>
        <w:pageBreakBefore w:val="0"/>
        <w:widowControl/>
        <w:kinsoku/>
        <w:overflowPunct/>
        <w:autoSpaceDE/>
        <w:autoSpaceDN/>
        <w:bidi w:val="0"/>
        <w:adjustRightInd w:val="0"/>
        <w:snapToGrid w:val="0"/>
        <w:spacing w:line="360" w:lineRule="auto"/>
        <w:jc w:val="left"/>
        <w:textAlignment w:val="auto"/>
        <w:outlineLvl w:val="0"/>
        <w:rPr>
          <w:rFonts w:ascii="Times New Roman" w:hAnsi="Times New Roman" w:eastAsia="宋体" w:cs="Times New Roman"/>
          <w:b/>
          <w:bCs/>
          <w:snapToGrid w:val="0"/>
          <w:color w:val="000000" w:themeColor="text1"/>
          <w:spacing w:val="0"/>
          <w:kern w:val="21"/>
          <w:position w:val="0"/>
          <w:sz w:val="32"/>
          <w:szCs w:val="32"/>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32"/>
          <w:szCs w:val="32"/>
          <w14:textFill>
            <w14:solidFill>
              <w14:schemeClr w14:val="tx1"/>
            </w14:solidFill>
          </w14:textFill>
        </w:rPr>
        <w:t>附表</w:t>
      </w:r>
    </w:p>
    <w:p>
      <w:pPr>
        <w:pageBreakBefore w:val="0"/>
        <w:widowControl/>
        <w:kinsoku/>
        <w:overflowPunct/>
        <w:autoSpaceDE/>
        <w:autoSpaceDN/>
        <w:bidi w:val="0"/>
        <w:adjustRightInd w:val="0"/>
        <w:snapToGrid w:val="0"/>
        <w:spacing w:before="62" w:beforeLines="20" w:after="62" w:afterLines="20"/>
        <w:jc w:val="center"/>
        <w:textAlignment w:val="auto"/>
        <w:outlineLvl w:val="0"/>
        <w:rPr>
          <w:rFonts w:ascii="Times New Roman" w:hAnsi="Times New Roman" w:eastAsia="宋体" w:cs="Times New Roman"/>
          <w:b/>
          <w:bCs/>
          <w:snapToGrid w:val="0"/>
          <w:color w:val="000000" w:themeColor="text1"/>
          <w:spacing w:val="0"/>
          <w:kern w:val="21"/>
          <w:position w:val="0"/>
          <w:sz w:val="38"/>
          <w:szCs w:val="38"/>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 w:val="38"/>
          <w:szCs w:val="38"/>
          <w14:textFill>
            <w14:solidFill>
              <w14:schemeClr w14:val="tx1"/>
            </w14:solidFill>
          </w14:textFill>
        </w:rPr>
        <w:t>建设项目污染物排放量汇总表</w:t>
      </w:r>
    </w:p>
    <w:tbl>
      <w:tblPr>
        <w:tblStyle w:val="20"/>
        <w:tblW w:w="49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661"/>
        <w:gridCol w:w="1837"/>
        <w:gridCol w:w="1121"/>
        <w:gridCol w:w="1854"/>
        <w:gridCol w:w="1822"/>
        <w:gridCol w:w="1802"/>
        <w:gridCol w:w="1904"/>
        <w:gridCol w:w="13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426" w:type="pct"/>
            <w:tcBorders>
              <w:tl2br w:val="single" w:color="auto" w:sz="4" w:space="0"/>
            </w:tcBorders>
            <w:tcMar>
              <w:left w:w="28" w:type="dxa"/>
              <w:right w:w="28" w:type="dxa"/>
            </w:tcMar>
            <w:vAlign w:val="center"/>
          </w:tcPr>
          <w:p>
            <w:pPr>
              <w:pageBreakBefore w:val="0"/>
              <w:kinsoku/>
              <w:overflowPunct/>
              <w:autoSpaceDE/>
              <w:autoSpaceDN/>
              <w:bidi w:val="0"/>
              <w:adjustRightInd w:val="0"/>
              <w:snapToGrid w:val="0"/>
              <w:spacing w:before="62" w:beforeLines="20" w:after="62" w:afterLines="20"/>
              <w:jc w:val="right"/>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 xml:space="preserve">   项目</w:t>
            </w:r>
          </w:p>
          <w:p>
            <w:pPr>
              <w:pageBreakBefore w:val="0"/>
              <w:kinsoku/>
              <w:overflowPunct/>
              <w:autoSpaceDE/>
              <w:autoSpaceDN/>
              <w:bidi w:val="0"/>
              <w:adjustRightInd w:val="0"/>
              <w:snapToGrid w:val="0"/>
              <w:spacing w:before="62" w:beforeLines="20" w:after="62" w:afterLines="20"/>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分类</w:t>
            </w:r>
          </w:p>
        </w:tc>
        <w:tc>
          <w:tcPr>
            <w:tcW w:w="580"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污染物名称</w:t>
            </w:r>
          </w:p>
        </w:tc>
        <w:tc>
          <w:tcPr>
            <w:tcW w:w="640"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现有工程排放量（固体废物产生量）</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begin"/>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instrText xml:space="preserve"> = 1 \* GB3 \* MERGEFORMAT </w:instrTex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separate"/>
            </w:r>
            <w:r>
              <w:rPr>
                <w:rFonts w:ascii="Times New Roman" w:hAnsi="Times New Roman" w:eastAsia="宋体" w:cs="Times New Roman"/>
                <w:b/>
                <w:bCs/>
                <w:color w:val="000000" w:themeColor="text1"/>
                <w:spacing w:val="0"/>
                <w:kern w:val="21"/>
                <w:position w:val="0"/>
                <w:szCs w:val="21"/>
                <w14:textFill>
                  <w14:solidFill>
                    <w14:schemeClr w14:val="tx1"/>
                  </w14:solidFill>
                </w14:textFill>
              </w:rPr>
              <w:t>①</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end"/>
            </w:r>
          </w:p>
        </w:tc>
        <w:tc>
          <w:tcPr>
            <w:tcW w:w="395"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现有工程许可排放量</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begin"/>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instrText xml:space="preserve"> = 2 \* GB3 \* MERGEFORMAT </w:instrTex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separate"/>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②</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end"/>
            </w:r>
          </w:p>
        </w:tc>
        <w:tc>
          <w:tcPr>
            <w:tcW w:w="646"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在建工程排放量（固体废物产生量）</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begin"/>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instrText xml:space="preserve"> = 3 \* GB3 \* MERGEFORMAT </w:instrTex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separate"/>
            </w:r>
            <w:r>
              <w:rPr>
                <w:rFonts w:ascii="Times New Roman" w:hAnsi="Times New Roman" w:eastAsia="宋体" w:cs="Times New Roman"/>
                <w:b/>
                <w:bCs/>
                <w:color w:val="000000" w:themeColor="text1"/>
                <w:spacing w:val="0"/>
                <w:kern w:val="21"/>
                <w:position w:val="0"/>
                <w:szCs w:val="21"/>
                <w14:textFill>
                  <w14:solidFill>
                    <w14:schemeClr w14:val="tx1"/>
                  </w14:solidFill>
                </w14:textFill>
              </w:rPr>
              <w:t>③</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end"/>
            </w:r>
          </w:p>
        </w:tc>
        <w:tc>
          <w:tcPr>
            <w:tcW w:w="635"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本项目排放量（固体废物产生量）</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begin"/>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instrText xml:space="preserve"> = 4 \* GB3 \* MERGEFORMAT </w:instrTex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separate"/>
            </w:r>
            <w:r>
              <w:rPr>
                <w:rFonts w:ascii="Times New Roman" w:hAnsi="Times New Roman" w:eastAsia="宋体" w:cs="Times New Roman"/>
                <w:b/>
                <w:bCs/>
                <w:color w:val="000000" w:themeColor="text1"/>
                <w:spacing w:val="0"/>
                <w:kern w:val="21"/>
                <w:position w:val="0"/>
                <w:szCs w:val="21"/>
                <w14:textFill>
                  <w14:solidFill>
                    <w14:schemeClr w14:val="tx1"/>
                  </w14:solidFill>
                </w14:textFill>
              </w:rPr>
              <w:t>④</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end"/>
            </w:r>
          </w:p>
        </w:tc>
        <w:tc>
          <w:tcPr>
            <w:tcW w:w="628"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以新带老削减量（新建项目不填）</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begin"/>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instrText xml:space="preserve"> = 5 \* GB3 \* MERGEFORMAT </w:instrTex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separate"/>
            </w:r>
            <w:r>
              <w:rPr>
                <w:rFonts w:ascii="Times New Roman" w:hAnsi="Times New Roman" w:eastAsia="宋体" w:cs="Times New Roman"/>
                <w:b/>
                <w:bCs/>
                <w:color w:val="000000" w:themeColor="text1"/>
                <w:spacing w:val="0"/>
                <w:kern w:val="21"/>
                <w:position w:val="0"/>
                <w:szCs w:val="21"/>
                <w14:textFill>
                  <w14:solidFill>
                    <w14:schemeClr w14:val="tx1"/>
                  </w14:solidFill>
                </w14:textFill>
              </w:rPr>
              <w:t>⑤</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end"/>
            </w:r>
          </w:p>
        </w:tc>
        <w:tc>
          <w:tcPr>
            <w:tcW w:w="663"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本项目建成后全厂排放量（固体废物产生量）</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begin"/>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instrText xml:space="preserve"> = 6 \* GB3 \* MERGEFORMAT </w:instrTex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separate"/>
            </w:r>
            <w:r>
              <w:rPr>
                <w:rFonts w:ascii="Times New Roman" w:hAnsi="Times New Roman" w:eastAsia="宋体" w:cs="Times New Roman"/>
                <w:b/>
                <w:bCs/>
                <w:color w:val="000000" w:themeColor="text1"/>
                <w:spacing w:val="0"/>
                <w:kern w:val="21"/>
                <w:position w:val="0"/>
                <w:szCs w:val="21"/>
                <w14:textFill>
                  <w14:solidFill>
                    <w14:schemeClr w14:val="tx1"/>
                  </w14:solidFill>
                </w14:textFill>
              </w:rPr>
              <w:t>⑥</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end"/>
            </w:r>
          </w:p>
        </w:tc>
        <w:tc>
          <w:tcPr>
            <w:tcW w:w="384" w:type="pct"/>
            <w:tcMar>
              <w:left w:w="28" w:type="dxa"/>
              <w:right w:w="28" w:type="dxa"/>
            </w:tcMar>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t>变化量</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begin"/>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instrText xml:space="preserve"> = 7 \* GB3 \* MERGEFORMAT </w:instrTex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separate"/>
            </w:r>
            <w:r>
              <w:rPr>
                <w:rFonts w:ascii="Times New Roman" w:hAnsi="Times New Roman" w:eastAsia="宋体" w:cs="Times New Roman"/>
                <w:b/>
                <w:bCs/>
                <w:color w:val="000000" w:themeColor="text1"/>
                <w:spacing w:val="0"/>
                <w:kern w:val="21"/>
                <w:position w:val="0"/>
                <w:szCs w:val="21"/>
                <w14:textFill>
                  <w14:solidFill>
                    <w14:schemeClr w14:val="tx1"/>
                  </w14:solidFill>
                </w14:textFill>
              </w:rPr>
              <w:t>⑦</w:t>
            </w:r>
            <w:r>
              <w:rPr>
                <w:rFonts w:ascii="Times New Roman" w:hAnsi="Times New Roman" w:eastAsia="宋体" w:cs="Times New Roman"/>
                <w:b/>
                <w:bCs/>
                <w:snapToGrid w:val="0"/>
                <w:color w:val="000000" w:themeColor="text1"/>
                <w:spacing w:val="0"/>
                <w:kern w:val="21"/>
                <w:position w:val="0"/>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废气</w:t>
            </w:r>
          </w:p>
        </w:tc>
        <w:tc>
          <w:tcPr>
            <w:tcW w:w="58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b/>
                <w:bCs/>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颗粒物</w:t>
            </w:r>
          </w:p>
        </w:tc>
        <w:tc>
          <w:tcPr>
            <w:tcW w:w="64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0.8518</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0.8518</w:t>
            </w:r>
          </w:p>
        </w:tc>
        <w:tc>
          <w:tcPr>
            <w:tcW w:w="38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0.8518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VOCs</w:t>
            </w:r>
          </w:p>
        </w:tc>
        <w:tc>
          <w:tcPr>
            <w:tcW w:w="640"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0.4338</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0.4338</w:t>
            </w:r>
          </w:p>
        </w:tc>
        <w:tc>
          <w:tcPr>
            <w:tcW w:w="384" w:type="pct"/>
            <w:vAlign w:val="center"/>
          </w:tcPr>
          <w:p>
            <w:pPr>
              <w:pageBreakBefore w:val="0"/>
              <w:widowControl/>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0.4338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26"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废水</w:t>
            </w:r>
          </w:p>
        </w:tc>
        <w:tc>
          <w:tcPr>
            <w:tcW w:w="5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COD</w:t>
            </w:r>
          </w:p>
        </w:tc>
        <w:tc>
          <w:tcPr>
            <w:tcW w:w="6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1.4357</w:t>
            </w:r>
          </w:p>
        </w:tc>
        <w:tc>
          <w:tcPr>
            <w:tcW w:w="628"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1.4357</w:t>
            </w:r>
          </w:p>
        </w:tc>
        <w:tc>
          <w:tcPr>
            <w:tcW w:w="38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1.4357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NH</w:t>
            </w:r>
            <w:r>
              <w:rPr>
                <w:rFonts w:ascii="Times New Roman" w:hAnsi="Times New Roman" w:eastAsia="宋体" w:cs="Times New Roman"/>
                <w:snapToGrid w:val="0"/>
                <w:color w:val="000000" w:themeColor="text1"/>
                <w:spacing w:val="0"/>
                <w:kern w:val="21"/>
                <w:position w:val="0"/>
                <w:szCs w:val="21"/>
                <w:vertAlign w:val="subscript"/>
                <w14:textFill>
                  <w14:solidFill>
                    <w14:schemeClr w14:val="tx1"/>
                  </w14:solidFill>
                </w14:textFill>
              </w:rPr>
              <w:t>3</w:t>
            </w: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-N</w:t>
            </w:r>
          </w:p>
        </w:tc>
        <w:tc>
          <w:tcPr>
            <w:tcW w:w="640"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0.1539</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0.1539</w:t>
            </w:r>
          </w:p>
        </w:tc>
        <w:tc>
          <w:tcPr>
            <w:tcW w:w="384"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0.1539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一般工业固体废物</w:t>
            </w:r>
          </w:p>
        </w:tc>
        <w:tc>
          <w:tcPr>
            <w:tcW w:w="580"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布袋收尘</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9.7276</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9.7276</w:t>
            </w:r>
          </w:p>
        </w:tc>
        <w:tc>
          <w:tcPr>
            <w:tcW w:w="384"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9.7276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废包装材料</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c>
          <w:tcPr>
            <w:tcW w:w="384"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废边角料</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205.3745</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205.3745</w:t>
            </w:r>
          </w:p>
        </w:tc>
        <w:tc>
          <w:tcPr>
            <w:tcW w:w="384"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205.3745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废催化剂</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c>
          <w:tcPr>
            <w:tcW w:w="384"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lang w:bidi="ar"/>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金属粉尘</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1.3596</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1.3596</w:t>
            </w:r>
          </w:p>
        </w:tc>
        <w:tc>
          <w:tcPr>
            <w:tcW w:w="384"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1.3596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Align w:val="center"/>
          </w:tcPr>
          <w:p>
            <w:pPr>
              <w:pageBreakBefore w:val="0"/>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生活垃圾</w:t>
            </w:r>
          </w:p>
        </w:tc>
        <w:tc>
          <w:tcPr>
            <w:tcW w:w="580"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生活垃圾</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49.5</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49.5</w:t>
            </w:r>
          </w:p>
        </w:tc>
        <w:tc>
          <w:tcPr>
            <w:tcW w:w="384" w:type="pct"/>
            <w:shd w:val="clear" w:color="auto" w:fill="auto"/>
            <w:vAlign w:val="center"/>
          </w:tcPr>
          <w:p>
            <w:pPr>
              <w:pageBreakBefore w:val="0"/>
              <w:widowControl/>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bidi="ar"/>
                <w14:textFill>
                  <w14:solidFill>
                    <w14:schemeClr w14:val="tx1"/>
                  </w14:solidFill>
                </w14:textFill>
              </w:rPr>
              <w:t>49.5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restar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t>危险废物</w:t>
            </w: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废漆料桶</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1.5525</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1.5525</w:t>
            </w:r>
          </w:p>
        </w:tc>
        <w:tc>
          <w:tcPr>
            <w:tcW w:w="384" w:type="pct"/>
            <w:shd w:val="clear" w:color="auto" w:fill="auto"/>
            <w:vAlign w:val="center"/>
          </w:tcPr>
          <w:p>
            <w:pPr>
              <w:pageBreakBefore w:val="0"/>
              <w:widowControl/>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1.5525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废胶桶</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0.5835</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0.5835</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14:textFill>
                  <w14:solidFill>
                    <w14:schemeClr w14:val="tx1"/>
                  </w14:solidFill>
                </w14:textFill>
              </w:rPr>
              <w:t>0.5835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废有机溶剂桶</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漆渣</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1.9944</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1.9944</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1.9944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漆料打磨收尘</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0.5482</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0.5482</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0.5482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废机油</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0.08</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0.08</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废油桶、含油手套及抹布</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0.0507</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0.0507</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+0.0507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废活性炭</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16.5056</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16.5056</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w:t>
            </w: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16.5056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废切削液</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0.9</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0.9</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废滤渣</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废过滤棉</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21"/>
                <w:position w:val="0"/>
                <w:szCs w:val="21"/>
                <w:lang w:eastAsia="zh-CN"/>
                <w14:textFill>
                  <w14:solidFill>
                    <w14:schemeClr w14:val="tx1"/>
                  </w14:solidFill>
                </w14:textFill>
              </w:rPr>
              <w:t>水旋柜废液</w:t>
            </w:r>
          </w:p>
        </w:tc>
        <w:tc>
          <w:tcPr>
            <w:tcW w:w="640" w:type="pct"/>
            <w:vAlign w:val="center"/>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395"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46"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35"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12.96</w:t>
            </w:r>
          </w:p>
        </w:tc>
        <w:tc>
          <w:tcPr>
            <w:tcW w:w="628" w:type="pct"/>
            <w:vAlign w:val="center"/>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663"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12.96</w:t>
            </w:r>
          </w:p>
        </w:tc>
        <w:tc>
          <w:tcPr>
            <w:tcW w:w="384"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+12.96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580" w:type="pct"/>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废水站污泥</w:t>
            </w:r>
          </w:p>
        </w:tc>
        <w:tc>
          <w:tcPr>
            <w:tcW w:w="0" w:type="auto"/>
          </w:tcPr>
          <w:p>
            <w:pPr>
              <w:pageBreakBefore w:val="0"/>
              <w:tabs>
                <w:tab w:val="left" w:pos="7290"/>
              </w:tabs>
              <w:kinsoku/>
              <w:overflowPunct/>
              <w:autoSpaceDE/>
              <w:autoSpaceDN/>
              <w:bidi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p>
        </w:tc>
        <w:tc>
          <w:tcPr>
            <w:tcW w:w="0" w:type="auto"/>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0" w:type="auto"/>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0" w:type="auto"/>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0" w:type="auto"/>
          </w:tcPr>
          <w:p>
            <w:pPr>
              <w:pageBreakBefore w:val="0"/>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snapToGrid w:val="0"/>
                <w:color w:val="000000" w:themeColor="text1"/>
                <w:spacing w:val="0"/>
                <w:kern w:val="21"/>
                <w:position w:val="0"/>
                <w:szCs w:val="21"/>
                <w14:textFill>
                  <w14:solidFill>
                    <w14:schemeClr w14:val="tx1"/>
                  </w14:solidFill>
                </w14:textFill>
              </w:rPr>
            </w:pPr>
          </w:p>
        </w:tc>
        <w:tc>
          <w:tcPr>
            <w:tcW w:w="0" w:type="auto"/>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c>
          <w:tcPr>
            <w:tcW w:w="0" w:type="auto"/>
            <w:shd w:val="clear" w:color="auto" w:fill="auto"/>
            <w:vAlign w:val="center"/>
          </w:tcPr>
          <w:p>
            <w:pPr>
              <w:pageBreakBefore w:val="0"/>
              <w:widowControl/>
              <w:kinsoku/>
              <w:overflowPunct/>
              <w:autoSpaceDE/>
              <w:autoSpaceDN/>
              <w:bidi w:val="0"/>
              <w:adjustRightInd w:val="0"/>
              <w:snapToGrid w:val="0"/>
              <w:spacing w:before="62" w:beforeLines="20" w:after="62" w:afterLines="20"/>
              <w:jc w:val="center"/>
              <w:textAlignment w:val="auto"/>
              <w:rPr>
                <w:rFonts w:ascii="Times New Roman" w:hAnsi="Times New Roman" w:eastAsia="宋体" w:cs="Times New Roman"/>
                <w:color w:val="000000" w:themeColor="text1"/>
                <w:spacing w:val="0"/>
                <w:kern w:val="21"/>
                <w:position w:val="0"/>
                <w:szCs w:val="21"/>
                <w14:textFill>
                  <w14:solidFill>
                    <w14:schemeClr w14:val="tx1"/>
                  </w14:solidFill>
                </w14:textFill>
              </w:rPr>
            </w:pPr>
            <w:r>
              <w:rPr>
                <w:rFonts w:ascii="Times New Roman" w:hAnsi="Times New Roman" w:eastAsia="宋体" w:cs="Times New Roman"/>
                <w:color w:val="000000" w:themeColor="text1"/>
                <w:spacing w:val="0"/>
                <w:kern w:val="21"/>
                <w:position w:val="0"/>
                <w:szCs w:val="21"/>
                <w14:textFill>
                  <w14:solidFill>
                    <w14:schemeClr w14:val="tx1"/>
                  </w14:solidFill>
                </w14:textFill>
              </w:rPr>
              <w:t>+1.5</w:t>
            </w:r>
          </w:p>
        </w:tc>
      </w:tr>
    </w:tbl>
    <w:p>
      <w:pPr>
        <w:pageBreakBefore w:val="0"/>
        <w:kinsoku/>
        <w:overflowPunct/>
        <w:autoSpaceDE/>
        <w:autoSpaceDN/>
        <w:bidi w:val="0"/>
        <w:adjustRightInd w:val="0"/>
        <w:snapToGrid w:val="0"/>
        <w:spacing w:before="62" w:beforeLines="20" w:after="62" w:afterLines="20"/>
        <w:textAlignment w:val="auto"/>
        <w:rPr>
          <w:rFonts w:ascii="Times New Roman" w:hAnsi="Times New Roman" w:cs="Times New Roman"/>
          <w:color w:val="000000" w:themeColor="text1"/>
          <w:spacing w:val="0"/>
          <w:kern w:val="21"/>
          <w:position w:val="0"/>
          <w14:textFill>
            <w14:solidFill>
              <w14:schemeClr w14:val="tx1"/>
            </w14:solidFill>
          </w14:textFill>
        </w:rPr>
      </w:pP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注：</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6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⑥</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1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①</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3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③</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4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④</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5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⑤</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7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⑦</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6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⑥</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begin"/>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instrText xml:space="preserve"> = 1 \* GB3 \* MERGEFORMAT </w:instrTex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separate"/>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t>①</w:t>
      </w:r>
      <w:r>
        <w:rPr>
          <w:rFonts w:ascii="Times New Roman" w:hAnsi="Times New Roman" w:eastAsia="宋体" w:cs="Times New Roman"/>
          <w:color w:val="000000" w:themeColor="text1"/>
          <w:spacing w:val="0"/>
          <w:kern w:val="21"/>
          <w:position w:val="0"/>
          <w:szCs w:val="21"/>
          <w:lang w:bidi="ar"/>
          <w14:textFill>
            <w14:solidFill>
              <w14:schemeClr w14:val="tx1"/>
            </w14:solidFill>
          </w14:textFill>
        </w:rPr>
        <w:fldChar w:fldCharType="end"/>
      </w:r>
      <w:r>
        <w:rPr>
          <w:rFonts w:ascii="Times New Roman" w:hAnsi="Times New Roman" w:eastAsia="宋体" w:cs="Times New Roman"/>
          <w:snapToGrid w:val="0"/>
          <w:color w:val="000000" w:themeColor="text1"/>
          <w:spacing w:val="0"/>
          <w:kern w:val="21"/>
          <w:position w:val="0"/>
          <w:szCs w:val="21"/>
          <w:lang w:bidi="ar"/>
          <w14:textFill>
            <w14:solidFill>
              <w14:schemeClr w14:val="tx1"/>
            </w14:solidFill>
          </w14:textFill>
        </w:rPr>
        <w:t>；单位：t/a</w:t>
      </w:r>
    </w:p>
    <w:sectPr>
      <w:pgSz w:w="16838" w:h="11906" w:orient="landscape"/>
      <w:pgMar w:top="1531" w:right="1134" w:bottom="1531" w:left="113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libri Light">
    <w:altName w:val="DejaVu Sans"/>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0000000000000000000"/>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DejaVu Sans"/>
    <w:panose1 w:val="020B0604020202020204"/>
    <w:charset w:val="00"/>
    <w:family w:val="swiss"/>
    <w:pitch w:val="default"/>
    <w:sig w:usb0="00000000" w:usb1="00000000" w:usb2="00000000" w:usb3="00000000" w:csb0="00000001"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font-size:10.5pt;">
    <w:altName w:val="文泉驿微米黑"/>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Heiti SC Light">
    <w:altName w:val="文泉驿微米黑"/>
    <w:panose1 w:val="00000000000000000000"/>
    <w:charset w:val="86"/>
    <w:family w:val="auto"/>
    <w:pitch w:val="default"/>
    <w:sig w:usb0="00000000" w:usb1="00000000" w:usb2="00000000" w:usb3="00000000" w:csb0="203E0000" w:csb1="00000000"/>
  </w:font>
  <w:font w:name="HYShuSongErKW">
    <w:altName w:val="文泉驿微米黑"/>
    <w:panose1 w:val="00000000000000000000"/>
    <w:charset w:val="00"/>
    <w:family w:val="auto"/>
    <w:pitch w:val="default"/>
    <w:sig w:usb0="00000000" w:usb1="00000000" w:usb2="00000000" w:usb3="00000000" w:csb0="00000000" w:csb1="00000000"/>
  </w:font>
  <w:font w:name="Cambria Math">
    <w:altName w:val="DejaVu Math TeX Gyre"/>
    <w:panose1 w:val="02040503050406030204"/>
    <w:charset w:val="00"/>
    <w:family w:val="roman"/>
    <w:pitch w:val="default"/>
    <w:sig w:usb0="00000000" w:usb1="00000000" w:usb2="00000000" w:usb3="00000000" w:csb0="2000009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360" w:firstLine="360"/>
      <w:jc w:val="center"/>
      <w:rPr>
        <w:rFonts w:ascii="Times New Roman" w:hAnsi="Times New Roman" w:eastAsia="宋体" w:cs="Times New Roman"/>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360" w:firstLine="360"/>
      <w:jc w:val="center"/>
      <w:rPr>
        <w:rFonts w:ascii="Times New Roman" w:hAnsi="Times New Roman" w:eastAsia="宋体" w:cs="Times New Roman"/>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360" w:firstLine="360"/>
      <w:jc w:val="center"/>
      <w:rPr>
        <w:rFonts w:ascii="Times New Roman" w:hAnsi="Times New Roman" w:eastAsia="宋体" w:cs="Times New Roman"/>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141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kIRMKwIAAFc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wCRMKNFMoeOX798uP35dfn4lOINAjfVzxO0sIkP71rQIHs49DiPvtnQqfsGIwA95&#10;z1d5RRsIj5dm09lsDBeHb9gAP3u8bp0P74RRJBo5dehfkpWdtj50oUNIzKbNppYy9VBq0uT05vWb&#10;cbpw9QBcauSIJLpioxXafdsz25viDGLOdLPhLd/USL5lPjwwh2FAwXgu4R5LKQ2SmN6ipDLuy7/O&#10;Yzx6BC8lDYYrpxpviRL5XqN3AAyD4QZjPxj6qO4MphXtQC3JxAUX5GCWzqjPeEOrmAMupjky5TQM&#10;5l3oBhxvkIvVKgVh2iwLW72zPEJH8bxdHQMETLpGUToleq0wb6kz/duIA/3nPkU9/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BQAAAAIAIdO4kCKFGY80QAAAJQBAAALAAAAAAAAAAEAIAAA&#10;ALADAABfcmVscy8ucmVsc1BLAQIUAAoAAAAAAIdO4kAAAAAAAAAAAAAAAAAGAAAAAAAAAAAAEAAA&#10;AIwDAABfcmVscy9QSwECFAAKAAAAAACHTuJAAAAAAAAAAAAAAAAABAAAAAAAAAAAABAAAAAWAAAA&#10;ZHJzL1BLAQIUABQAAAAIAIdO4kBikIRMKwIAAFcEAAAOAAAAAAAAAAEAIAAAADUBAABkcnMvZTJv&#10;RG9jLnhtbFBLAQIUABQAAAAIAIdO4kCzSVju0AAAAAUBAAAPAAAAAAAAAAEAIAAAADgAAABkcnMv&#10;ZG93bnJldi54bWxQSwUGAAAAAAYABgBZAQAA0gUAAAAA&#10;">
              <v:fill on="f" focussize="0,0"/>
              <v:stroke on="f" weight="0.5pt"/>
              <v:imagedata o:title=""/>
              <o:lock v:ext="edit" aspectratio="f"/>
              <v:textbox inset="0mm,0mm,0mm,0mm" style="mso-fit-shape-to-text:t;">
                <w:txbx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141</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FBC4C"/>
    <w:multiLevelType w:val="singleLevel"/>
    <w:tmpl w:val="836FBC4C"/>
    <w:lvl w:ilvl="0" w:tentative="0">
      <w:start w:val="1"/>
      <w:numFmt w:val="chineseCounting"/>
      <w:suff w:val="nothing"/>
      <w:lvlText w:val="%1、"/>
      <w:lvlJc w:val="left"/>
      <w:pPr>
        <w:ind w:left="-482"/>
      </w:pPr>
      <w:rPr>
        <w:rFonts w:hint="eastAsia"/>
        <w:b/>
        <w:bCs/>
        <w:i w:val="0"/>
        <w:iCs w:val="0"/>
        <w:sz w:val="24"/>
        <w:szCs w:val="24"/>
      </w:rPr>
    </w:lvl>
  </w:abstractNum>
  <w:abstractNum w:abstractNumId="1">
    <w:nsid w:val="96DFBEC2"/>
    <w:multiLevelType w:val="singleLevel"/>
    <w:tmpl w:val="96DFBEC2"/>
    <w:lvl w:ilvl="0" w:tentative="0">
      <w:start w:val="1"/>
      <w:numFmt w:val="chineseCounting"/>
      <w:suff w:val="nothing"/>
      <w:lvlText w:val="%1、"/>
      <w:lvlJc w:val="left"/>
      <w:rPr>
        <w:rFonts w:hint="eastAsia"/>
        <w:b/>
        <w:bCs/>
        <w:sz w:val="24"/>
        <w:szCs w:val="24"/>
      </w:rPr>
    </w:lvl>
  </w:abstractNum>
  <w:abstractNum w:abstractNumId="2">
    <w:nsid w:val="96E4FFD7"/>
    <w:multiLevelType w:val="singleLevel"/>
    <w:tmpl w:val="96E4FFD7"/>
    <w:lvl w:ilvl="0" w:tentative="0">
      <w:start w:val="1"/>
      <w:numFmt w:val="decimal"/>
      <w:suff w:val="nothing"/>
      <w:lvlText w:val="%1、"/>
      <w:lvlJc w:val="left"/>
    </w:lvl>
  </w:abstractNum>
  <w:abstractNum w:abstractNumId="3">
    <w:nsid w:val="98B799AC"/>
    <w:multiLevelType w:val="singleLevel"/>
    <w:tmpl w:val="98B799AC"/>
    <w:lvl w:ilvl="0" w:tentative="0">
      <w:start w:val="1"/>
      <w:numFmt w:val="decimal"/>
      <w:suff w:val="nothing"/>
      <w:lvlText w:val="（%1）"/>
      <w:lvlJc w:val="left"/>
    </w:lvl>
  </w:abstractNum>
  <w:abstractNum w:abstractNumId="4">
    <w:nsid w:val="9DA891EC"/>
    <w:multiLevelType w:val="singleLevel"/>
    <w:tmpl w:val="9DA891EC"/>
    <w:lvl w:ilvl="0" w:tentative="0">
      <w:start w:val="1"/>
      <w:numFmt w:val="decimal"/>
      <w:suff w:val="nothing"/>
      <w:lvlText w:val="%1、"/>
      <w:lvlJc w:val="left"/>
    </w:lvl>
  </w:abstractNum>
  <w:abstractNum w:abstractNumId="5">
    <w:nsid w:val="A8EEDEA1"/>
    <w:multiLevelType w:val="singleLevel"/>
    <w:tmpl w:val="A8EEDEA1"/>
    <w:lvl w:ilvl="0" w:tentative="0">
      <w:start w:val="1"/>
      <w:numFmt w:val="decimal"/>
      <w:suff w:val="nothing"/>
      <w:lvlText w:val="%1、"/>
      <w:lvlJc w:val="left"/>
      <w:rPr>
        <w:rFonts w:hint="default"/>
        <w:color w:val="000000"/>
        <w:sz w:val="18"/>
        <w:szCs w:val="18"/>
      </w:rPr>
    </w:lvl>
  </w:abstractNum>
  <w:abstractNum w:abstractNumId="6">
    <w:nsid w:val="AB9BA96A"/>
    <w:multiLevelType w:val="multilevel"/>
    <w:tmpl w:val="AB9BA96A"/>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BE13A7E2"/>
    <w:multiLevelType w:val="singleLevel"/>
    <w:tmpl w:val="BE13A7E2"/>
    <w:lvl w:ilvl="0" w:tentative="0">
      <w:start w:val="1"/>
      <w:numFmt w:val="chineseCounting"/>
      <w:suff w:val="nothing"/>
      <w:lvlText w:val="%1、"/>
      <w:lvlJc w:val="left"/>
      <w:rPr>
        <w:rFonts w:hint="eastAsia"/>
        <w:sz w:val="24"/>
        <w:szCs w:val="24"/>
      </w:rPr>
    </w:lvl>
  </w:abstractNum>
  <w:abstractNum w:abstractNumId="8">
    <w:nsid w:val="C787A8CE"/>
    <w:multiLevelType w:val="singleLevel"/>
    <w:tmpl w:val="C787A8CE"/>
    <w:lvl w:ilvl="0" w:tentative="0">
      <w:start w:val="1"/>
      <w:numFmt w:val="decimal"/>
      <w:suff w:val="nothing"/>
      <w:lvlText w:val="%1"/>
      <w:lvlJc w:val="left"/>
      <w:pPr>
        <w:tabs>
          <w:tab w:val="left" w:pos="0"/>
        </w:tabs>
      </w:pPr>
      <w:rPr>
        <w:rFonts w:hint="default" w:ascii="Times New Roman" w:hAnsi="Times New Roman" w:eastAsia="宋体" w:cs="宋体"/>
        <w:szCs w:val="21"/>
      </w:rPr>
    </w:lvl>
  </w:abstractNum>
  <w:abstractNum w:abstractNumId="9">
    <w:nsid w:val="CA02F3CA"/>
    <w:multiLevelType w:val="singleLevel"/>
    <w:tmpl w:val="CA02F3CA"/>
    <w:lvl w:ilvl="0" w:tentative="0">
      <w:start w:val="1"/>
      <w:numFmt w:val="chineseCounting"/>
      <w:suff w:val="nothing"/>
      <w:lvlText w:val="%1、"/>
      <w:lvlJc w:val="left"/>
      <w:rPr>
        <w:rFonts w:hint="eastAsia"/>
      </w:rPr>
    </w:lvl>
  </w:abstractNum>
  <w:abstractNum w:abstractNumId="10">
    <w:nsid w:val="CEDAF04C"/>
    <w:multiLevelType w:val="singleLevel"/>
    <w:tmpl w:val="CEDAF04C"/>
    <w:lvl w:ilvl="0" w:tentative="0">
      <w:start w:val="1"/>
      <w:numFmt w:val="decimal"/>
      <w:suff w:val="nothing"/>
      <w:lvlText w:val="%1、"/>
      <w:lvlJc w:val="left"/>
    </w:lvl>
  </w:abstractNum>
  <w:abstractNum w:abstractNumId="11">
    <w:nsid w:val="D2B0C5C7"/>
    <w:multiLevelType w:val="singleLevel"/>
    <w:tmpl w:val="D2B0C5C7"/>
    <w:lvl w:ilvl="0" w:tentative="0">
      <w:start w:val="1"/>
      <w:numFmt w:val="decimal"/>
      <w:lvlText w:val="表1-%1"/>
      <w:lvlJc w:val="left"/>
      <w:pPr>
        <w:ind w:left="845" w:hanging="425"/>
      </w:pPr>
      <w:rPr>
        <w:rFonts w:hint="default" w:ascii="Times New Roman" w:hAnsi="Times New Roman" w:eastAsia="宋体" w:cs="宋体"/>
        <w:b/>
        <w:bCs/>
        <w:sz w:val="21"/>
        <w:szCs w:val="21"/>
        <w:vertAlign w:val="baseline"/>
      </w:rPr>
    </w:lvl>
  </w:abstractNum>
  <w:abstractNum w:abstractNumId="12">
    <w:nsid w:val="D4825D71"/>
    <w:multiLevelType w:val="singleLevel"/>
    <w:tmpl w:val="D4825D71"/>
    <w:lvl w:ilvl="0" w:tentative="0">
      <w:start w:val="1"/>
      <w:numFmt w:val="decimal"/>
      <w:suff w:val="nothing"/>
      <w:lvlText w:val="（%1）"/>
      <w:lvlJc w:val="left"/>
    </w:lvl>
  </w:abstractNum>
  <w:abstractNum w:abstractNumId="13">
    <w:nsid w:val="E15B8697"/>
    <w:multiLevelType w:val="singleLevel"/>
    <w:tmpl w:val="E15B8697"/>
    <w:lvl w:ilvl="0" w:tentative="0">
      <w:start w:val="1"/>
      <w:numFmt w:val="decimal"/>
      <w:suff w:val="nothing"/>
      <w:lvlText w:val="（%1）"/>
      <w:lvlJc w:val="left"/>
    </w:lvl>
  </w:abstractNum>
  <w:abstractNum w:abstractNumId="14">
    <w:nsid w:val="E36D1B62"/>
    <w:multiLevelType w:val="singleLevel"/>
    <w:tmpl w:val="E36D1B62"/>
    <w:lvl w:ilvl="0" w:tentative="0">
      <w:start w:val="1"/>
      <w:numFmt w:val="decimal"/>
      <w:suff w:val="nothing"/>
      <w:lvlText w:val="%1、"/>
      <w:lvlJc w:val="left"/>
    </w:lvl>
  </w:abstractNum>
  <w:abstractNum w:abstractNumId="15">
    <w:nsid w:val="EC7D8B72"/>
    <w:multiLevelType w:val="singleLevel"/>
    <w:tmpl w:val="EC7D8B72"/>
    <w:lvl w:ilvl="0" w:tentative="0">
      <w:start w:val="3"/>
      <w:numFmt w:val="decimal"/>
      <w:suff w:val="nothing"/>
      <w:lvlText w:val="%1）"/>
      <w:lvlJc w:val="left"/>
    </w:lvl>
  </w:abstractNum>
  <w:abstractNum w:abstractNumId="16">
    <w:nsid w:val="EFD79CF6"/>
    <w:multiLevelType w:val="singleLevel"/>
    <w:tmpl w:val="EFD79CF6"/>
    <w:lvl w:ilvl="0" w:tentative="0">
      <w:start w:val="1"/>
      <w:numFmt w:val="decimal"/>
      <w:suff w:val="nothing"/>
      <w:lvlText w:val="%1、"/>
      <w:lvlJc w:val="left"/>
    </w:lvl>
  </w:abstractNum>
  <w:abstractNum w:abstractNumId="17">
    <w:nsid w:val="F3804D40"/>
    <w:multiLevelType w:val="singleLevel"/>
    <w:tmpl w:val="F3804D40"/>
    <w:lvl w:ilvl="0" w:tentative="0">
      <w:start w:val="1"/>
      <w:numFmt w:val="decimal"/>
      <w:suff w:val="nothing"/>
      <w:lvlText w:val="%1）"/>
      <w:lvlJc w:val="left"/>
    </w:lvl>
  </w:abstractNum>
  <w:abstractNum w:abstractNumId="18">
    <w:nsid w:val="FDB8F495"/>
    <w:multiLevelType w:val="singleLevel"/>
    <w:tmpl w:val="FDB8F495"/>
    <w:lvl w:ilvl="0" w:tentative="0">
      <w:start w:val="1"/>
      <w:numFmt w:val="chineseCounting"/>
      <w:suff w:val="nothing"/>
      <w:lvlText w:val="%1、"/>
      <w:lvlJc w:val="left"/>
      <w:rPr>
        <w:rFonts w:hint="eastAsia"/>
        <w:b/>
        <w:bCs/>
        <w:sz w:val="24"/>
        <w:szCs w:val="24"/>
      </w:rPr>
    </w:lvl>
  </w:abstractNum>
  <w:abstractNum w:abstractNumId="19">
    <w:nsid w:val="01EC6C9B"/>
    <w:multiLevelType w:val="multilevel"/>
    <w:tmpl w:val="01EC6C9B"/>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0">
    <w:nsid w:val="0DCC0AFC"/>
    <w:multiLevelType w:val="singleLevel"/>
    <w:tmpl w:val="0DCC0AFC"/>
    <w:lvl w:ilvl="0" w:tentative="0">
      <w:start w:val="1"/>
      <w:numFmt w:val="decimal"/>
      <w:suff w:val="nothing"/>
      <w:lvlText w:val="%1"/>
      <w:lvlJc w:val="left"/>
      <w:pPr>
        <w:tabs>
          <w:tab w:val="left" w:pos="0"/>
        </w:tabs>
        <w:ind w:left="0" w:firstLine="0"/>
      </w:pPr>
      <w:rPr>
        <w:rFonts w:hint="default" w:ascii="Times New Roman" w:hAnsi="Times New Roman" w:eastAsia="宋体" w:cs="宋体"/>
        <w:szCs w:val="21"/>
      </w:rPr>
    </w:lvl>
  </w:abstractNum>
  <w:abstractNum w:abstractNumId="21">
    <w:nsid w:val="0FD3715C"/>
    <w:multiLevelType w:val="singleLevel"/>
    <w:tmpl w:val="0FD3715C"/>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2">
    <w:nsid w:val="11202CAB"/>
    <w:multiLevelType w:val="multilevel"/>
    <w:tmpl w:val="11202CAB"/>
    <w:lvl w:ilvl="0" w:tentative="0">
      <w:start w:val="1"/>
      <w:numFmt w:val="decimal"/>
      <w:suff w:val="space"/>
      <w:lvlText w:val="图4-%1"/>
      <w:lvlJc w:val="left"/>
      <w:pPr>
        <w:ind w:left="840" w:hanging="420"/>
      </w:pPr>
      <w:rPr>
        <w:rFonts w:hint="default" w:ascii="Times New Roman" w:hAnsi="Times New Roman" w:eastAsia="宋体"/>
        <w:b/>
        <w:i w:val="0"/>
        <w:color w:val="000000"/>
        <w:sz w:val="21"/>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16F90367"/>
    <w:multiLevelType w:val="singleLevel"/>
    <w:tmpl w:val="16F90367"/>
    <w:lvl w:ilvl="0" w:tentative="0">
      <w:start w:val="1"/>
      <w:numFmt w:val="decimal"/>
      <w:suff w:val="nothing"/>
      <w:lvlText w:val="（%1）"/>
      <w:lvlJc w:val="left"/>
      <w:rPr>
        <w:rFonts w:hint="default" w:ascii="Times New Roman" w:hAnsi="Times New Roman" w:cs="Times New Roman"/>
      </w:rPr>
    </w:lvl>
  </w:abstractNum>
  <w:abstractNum w:abstractNumId="24">
    <w:nsid w:val="2BF15A0B"/>
    <w:multiLevelType w:val="singleLevel"/>
    <w:tmpl w:val="2BF15A0B"/>
    <w:lvl w:ilvl="0" w:tentative="0">
      <w:start w:val="1"/>
      <w:numFmt w:val="chineseCounting"/>
      <w:suff w:val="nothing"/>
      <w:lvlText w:val="%1、"/>
      <w:lvlJc w:val="left"/>
      <w:rPr>
        <w:rFonts w:hint="eastAsia"/>
        <w:b/>
        <w:bCs/>
        <w:sz w:val="24"/>
        <w:szCs w:val="24"/>
      </w:rPr>
    </w:lvl>
  </w:abstractNum>
  <w:abstractNum w:abstractNumId="25">
    <w:nsid w:val="40ACF157"/>
    <w:multiLevelType w:val="singleLevel"/>
    <w:tmpl w:val="40ACF157"/>
    <w:lvl w:ilvl="0" w:tentative="0">
      <w:start w:val="1"/>
      <w:numFmt w:val="decimal"/>
      <w:suff w:val="nothing"/>
      <w:lvlText w:val="%1、"/>
      <w:lvlJc w:val="left"/>
    </w:lvl>
  </w:abstractNum>
  <w:abstractNum w:abstractNumId="26">
    <w:nsid w:val="4690F118"/>
    <w:multiLevelType w:val="singleLevel"/>
    <w:tmpl w:val="4690F118"/>
    <w:lvl w:ilvl="0" w:tentative="0">
      <w:start w:val="1"/>
      <w:numFmt w:val="decimal"/>
      <w:suff w:val="nothing"/>
      <w:lvlText w:val="%1、"/>
      <w:lvlJc w:val="left"/>
    </w:lvl>
  </w:abstractNum>
  <w:abstractNum w:abstractNumId="27">
    <w:nsid w:val="4F4F5D18"/>
    <w:multiLevelType w:val="multilevel"/>
    <w:tmpl w:val="4F4F5D18"/>
    <w:lvl w:ilvl="0" w:tentative="0">
      <w:start w:val="1"/>
      <w:numFmt w:val="decimal"/>
      <w:lvlText w:val="表4-%1"/>
      <w:lvlJc w:val="left"/>
      <w:pPr>
        <w:ind w:left="0" w:firstLine="0"/>
      </w:pPr>
      <w:rPr>
        <w:rFonts w:hint="default" w:ascii="Times New Roman" w:hAnsi="Times New Roman" w:eastAsia="宋体" w:cs="宋体"/>
        <w:b/>
        <w:bCs/>
        <w:color w:val="auto"/>
        <w:sz w:val="21"/>
        <w:szCs w:val="21"/>
        <w:vertAlign w:val="baseline"/>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50773224"/>
    <w:multiLevelType w:val="singleLevel"/>
    <w:tmpl w:val="50773224"/>
    <w:lvl w:ilvl="0" w:tentative="0">
      <w:start w:val="1"/>
      <w:numFmt w:val="chineseCounting"/>
      <w:suff w:val="nothing"/>
      <w:lvlText w:val="%1、"/>
      <w:lvlJc w:val="left"/>
      <w:rPr>
        <w:rFonts w:hint="eastAsia"/>
      </w:rPr>
    </w:lvl>
  </w:abstractNum>
  <w:abstractNum w:abstractNumId="29">
    <w:nsid w:val="53441F30"/>
    <w:multiLevelType w:val="singleLevel"/>
    <w:tmpl w:val="53441F30"/>
    <w:lvl w:ilvl="0" w:tentative="0">
      <w:start w:val="1"/>
      <w:numFmt w:val="decimal"/>
      <w:lvlText w:val="图1-%1"/>
      <w:lvlJc w:val="left"/>
      <w:pPr>
        <w:ind w:left="845" w:hanging="425"/>
      </w:pPr>
      <w:rPr>
        <w:rFonts w:hint="default" w:ascii="Times New Roman" w:hAnsi="Times New Roman" w:eastAsia="宋体" w:cs="Times New Roman"/>
        <w:b/>
        <w:bCs/>
        <w:sz w:val="21"/>
        <w:szCs w:val="21"/>
        <w:vertAlign w:val="baseline"/>
      </w:rPr>
    </w:lvl>
  </w:abstractNum>
  <w:abstractNum w:abstractNumId="30">
    <w:nsid w:val="5DE18273"/>
    <w:multiLevelType w:val="singleLevel"/>
    <w:tmpl w:val="5DE18273"/>
    <w:lvl w:ilvl="0" w:tentative="0">
      <w:start w:val="2"/>
      <w:numFmt w:val="decimal"/>
      <w:suff w:val="nothing"/>
      <w:lvlText w:val="%1、"/>
      <w:lvlJc w:val="left"/>
      <w:rPr>
        <w:rFonts w:hint="default"/>
        <w:b/>
        <w:bCs/>
        <w:sz w:val="24"/>
        <w:szCs w:val="24"/>
      </w:rPr>
    </w:lvl>
  </w:abstractNum>
  <w:abstractNum w:abstractNumId="31">
    <w:nsid w:val="64062B63"/>
    <w:multiLevelType w:val="singleLevel"/>
    <w:tmpl w:val="64062B63"/>
    <w:lvl w:ilvl="0" w:tentative="0">
      <w:start w:val="1"/>
      <w:numFmt w:val="decimal"/>
      <w:suff w:val="nothing"/>
      <w:lvlText w:val="%1、"/>
      <w:lvlJc w:val="left"/>
    </w:lvl>
  </w:abstractNum>
  <w:abstractNum w:abstractNumId="32">
    <w:nsid w:val="67E61443"/>
    <w:multiLevelType w:val="singleLevel"/>
    <w:tmpl w:val="67E61443"/>
    <w:lvl w:ilvl="0" w:tentative="0">
      <w:start w:val="1"/>
      <w:numFmt w:val="decimal"/>
      <w:pStyle w:val="11"/>
      <w:lvlText w:val="%1."/>
      <w:lvlJc w:val="left"/>
      <w:pPr>
        <w:tabs>
          <w:tab w:val="left" w:pos="2040"/>
        </w:tabs>
        <w:ind w:left="2040" w:hanging="360"/>
      </w:pPr>
    </w:lvl>
  </w:abstractNum>
  <w:abstractNum w:abstractNumId="33">
    <w:nsid w:val="681F49CB"/>
    <w:multiLevelType w:val="multilevel"/>
    <w:tmpl w:val="681F49CB"/>
    <w:lvl w:ilvl="0" w:tentative="0">
      <w:start w:val="1"/>
      <w:numFmt w:val="decimal"/>
      <w:lvlText w:val="图2-%1"/>
      <w:lvlJc w:val="left"/>
      <w:pPr>
        <w:ind w:left="420" w:hanging="420"/>
      </w:pPr>
      <w:rPr>
        <w:rFonts w:hint="default" w:ascii="Times New Roman" w:hAnsi="Times New Roman" w:cs="Times New Roman"/>
        <w:b/>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8B50E6C"/>
    <w:multiLevelType w:val="singleLevel"/>
    <w:tmpl w:val="68B50E6C"/>
    <w:lvl w:ilvl="0" w:tentative="0">
      <w:start w:val="1"/>
      <w:numFmt w:val="decimal"/>
      <w:suff w:val="nothing"/>
      <w:lvlText w:val="%1"/>
      <w:lvlJc w:val="left"/>
      <w:pPr>
        <w:tabs>
          <w:tab w:val="left" w:pos="0"/>
        </w:tabs>
      </w:pPr>
      <w:rPr>
        <w:rFonts w:hint="default" w:ascii="Times New Roman" w:hAnsi="Times New Roman" w:eastAsia="宋体" w:cs="宋体"/>
        <w:sz w:val="21"/>
        <w:szCs w:val="21"/>
      </w:rPr>
    </w:lvl>
  </w:abstractNum>
  <w:abstractNum w:abstractNumId="35">
    <w:nsid w:val="6BCBD898"/>
    <w:multiLevelType w:val="singleLevel"/>
    <w:tmpl w:val="6BCBD898"/>
    <w:lvl w:ilvl="0" w:tentative="0">
      <w:start w:val="3"/>
      <w:numFmt w:val="chineseCounting"/>
      <w:suff w:val="nothing"/>
      <w:lvlText w:val="（%1）"/>
      <w:lvlJc w:val="left"/>
      <w:rPr>
        <w:rFonts w:hint="eastAsia"/>
      </w:rPr>
    </w:lvl>
  </w:abstractNum>
  <w:abstractNum w:abstractNumId="36">
    <w:nsid w:val="70B54FC3"/>
    <w:multiLevelType w:val="singleLevel"/>
    <w:tmpl w:val="70B54FC3"/>
    <w:lvl w:ilvl="0" w:tentative="0">
      <w:start w:val="1"/>
      <w:numFmt w:val="decimal"/>
      <w:suff w:val="nothing"/>
      <w:lvlText w:val="%1、"/>
      <w:lvlJc w:val="left"/>
    </w:lvl>
  </w:abstractNum>
  <w:abstractNum w:abstractNumId="37">
    <w:nsid w:val="71BB7631"/>
    <w:multiLevelType w:val="multilevel"/>
    <w:tmpl w:val="71BB7631"/>
    <w:lvl w:ilvl="0" w:tentative="0">
      <w:start w:val="1"/>
      <w:numFmt w:val="decimal"/>
      <w:lvlText w:val="表3-%1"/>
      <w:lvlJc w:val="left"/>
      <w:pPr>
        <w:ind w:left="0" w:firstLine="0"/>
      </w:pPr>
      <w:rPr>
        <w:rFonts w:hint="default"/>
        <w:b/>
        <w:bCs/>
        <w:sz w:val="21"/>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6723FFC"/>
    <w:multiLevelType w:val="multilevel"/>
    <w:tmpl w:val="76723FFC"/>
    <w:lvl w:ilvl="0" w:tentative="0">
      <w:start w:val="5"/>
      <w:numFmt w:val="decimal"/>
      <w:lvlText w:val="表1-%1"/>
      <w:lvlJc w:val="left"/>
      <w:pPr>
        <w:ind w:left="420" w:hanging="420"/>
      </w:pPr>
      <w:rPr>
        <w:rFonts w:hint="default" w:ascii="Times New Roman" w:hAnsi="Times New Roman" w:eastAsia="宋体" w:cs="宋体"/>
        <w:b/>
        <w:bCs/>
        <w:sz w:val="21"/>
        <w:szCs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78AA7403"/>
    <w:multiLevelType w:val="multilevel"/>
    <w:tmpl w:val="78AA7403"/>
    <w:lvl w:ilvl="0" w:tentative="0">
      <w:start w:val="1"/>
      <w:numFmt w:val="decimal"/>
      <w:lvlText w:val="表2-%1"/>
      <w:lvlJc w:val="left"/>
      <w:pPr>
        <w:ind w:left="420" w:hanging="420"/>
      </w:pPr>
      <w:rPr>
        <w:rFonts w:hint="default" w:ascii="Times New Roman" w:hAnsi="Times New Roman" w:eastAsia="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7E49FB01"/>
    <w:multiLevelType w:val="singleLevel"/>
    <w:tmpl w:val="7E49FB01"/>
    <w:lvl w:ilvl="0" w:tentative="0">
      <w:start w:val="1"/>
      <w:numFmt w:val="decimal"/>
      <w:suff w:val="nothing"/>
      <w:lvlText w:val="（%1）"/>
      <w:lvlJc w:val="left"/>
    </w:lvl>
  </w:abstractNum>
  <w:num w:numId="1">
    <w:abstractNumId w:val="6"/>
  </w:num>
  <w:num w:numId="2">
    <w:abstractNumId w:val="32"/>
  </w:num>
  <w:num w:numId="3">
    <w:abstractNumId w:val="21"/>
  </w:num>
  <w:num w:numId="4">
    <w:abstractNumId w:val="24"/>
  </w:num>
  <w:num w:numId="5">
    <w:abstractNumId w:val="11"/>
  </w:num>
  <w:num w:numId="6">
    <w:abstractNumId w:val="1"/>
  </w:num>
  <w:num w:numId="7">
    <w:abstractNumId w:val="29"/>
  </w:num>
  <w:num w:numId="8">
    <w:abstractNumId w:val="26"/>
  </w:num>
  <w:num w:numId="9">
    <w:abstractNumId w:val="4"/>
  </w:num>
  <w:num w:numId="10">
    <w:abstractNumId w:val="2"/>
  </w:num>
  <w:num w:numId="11">
    <w:abstractNumId w:val="5"/>
  </w:num>
  <w:num w:numId="12">
    <w:abstractNumId w:val="31"/>
  </w:num>
  <w:num w:numId="13">
    <w:abstractNumId w:val="36"/>
  </w:num>
  <w:num w:numId="14">
    <w:abstractNumId w:val="25"/>
  </w:num>
  <w:num w:numId="15">
    <w:abstractNumId w:val="14"/>
  </w:num>
  <w:num w:numId="16">
    <w:abstractNumId w:val="19"/>
  </w:num>
  <w:num w:numId="17">
    <w:abstractNumId w:val="38"/>
  </w:num>
  <w:num w:numId="18">
    <w:abstractNumId w:val="23"/>
  </w:num>
  <w:num w:numId="19">
    <w:abstractNumId w:val="12"/>
  </w:num>
  <w:num w:numId="20">
    <w:abstractNumId w:val="35"/>
  </w:num>
  <w:num w:numId="21">
    <w:abstractNumId w:val="40"/>
  </w:num>
  <w:num w:numId="22">
    <w:abstractNumId w:val="18"/>
  </w:num>
  <w:num w:numId="23">
    <w:abstractNumId w:val="39"/>
  </w:num>
  <w:num w:numId="24">
    <w:abstractNumId w:val="34"/>
  </w:num>
  <w:num w:numId="25">
    <w:abstractNumId w:val="33"/>
  </w:num>
  <w:num w:numId="26">
    <w:abstractNumId w:val="0"/>
  </w:num>
  <w:num w:numId="27">
    <w:abstractNumId w:val="16"/>
  </w:num>
  <w:num w:numId="28">
    <w:abstractNumId w:val="7"/>
  </w:num>
  <w:num w:numId="29">
    <w:abstractNumId w:val="37"/>
  </w:num>
  <w:num w:numId="30">
    <w:abstractNumId w:val="30"/>
  </w:num>
  <w:num w:numId="31">
    <w:abstractNumId w:val="28"/>
  </w:num>
  <w:num w:numId="32">
    <w:abstractNumId w:val="9"/>
  </w:num>
  <w:num w:numId="33">
    <w:abstractNumId w:val="10"/>
  </w:num>
  <w:num w:numId="34">
    <w:abstractNumId w:val="27"/>
  </w:num>
  <w:num w:numId="35">
    <w:abstractNumId w:val="22"/>
  </w:num>
  <w:num w:numId="36">
    <w:abstractNumId w:val="13"/>
  </w:num>
  <w:num w:numId="37">
    <w:abstractNumId w:val="8"/>
  </w:num>
  <w:num w:numId="38">
    <w:abstractNumId w:val="20"/>
  </w:num>
  <w:num w:numId="39">
    <w:abstractNumId w:val="3"/>
  </w:num>
  <w:num w:numId="40">
    <w:abstractNumId w:val="1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1NmVjYjQwN2M1Mzc1Y2IzZmE2MWZhZmUxMWFjMjQifQ=="/>
  </w:docVars>
  <w:rsids>
    <w:rsidRoot w:val="7F0164B9"/>
    <w:rsid w:val="00040C42"/>
    <w:rsid w:val="000B46CE"/>
    <w:rsid w:val="000C2F3B"/>
    <w:rsid w:val="001670E3"/>
    <w:rsid w:val="001A44F0"/>
    <w:rsid w:val="00214817"/>
    <w:rsid w:val="00294039"/>
    <w:rsid w:val="00327004"/>
    <w:rsid w:val="00361840"/>
    <w:rsid w:val="0037648D"/>
    <w:rsid w:val="00477E82"/>
    <w:rsid w:val="00493D54"/>
    <w:rsid w:val="005024CE"/>
    <w:rsid w:val="00516791"/>
    <w:rsid w:val="0058365A"/>
    <w:rsid w:val="00696615"/>
    <w:rsid w:val="0070536B"/>
    <w:rsid w:val="007378CD"/>
    <w:rsid w:val="007C39E2"/>
    <w:rsid w:val="007E4796"/>
    <w:rsid w:val="0080291B"/>
    <w:rsid w:val="00816DEC"/>
    <w:rsid w:val="00854B54"/>
    <w:rsid w:val="0088194D"/>
    <w:rsid w:val="008A1014"/>
    <w:rsid w:val="009D211A"/>
    <w:rsid w:val="009F0E18"/>
    <w:rsid w:val="00A114D2"/>
    <w:rsid w:val="00A62C65"/>
    <w:rsid w:val="00A754B2"/>
    <w:rsid w:val="00A900AB"/>
    <w:rsid w:val="00AE75E6"/>
    <w:rsid w:val="00B2724A"/>
    <w:rsid w:val="00B608D9"/>
    <w:rsid w:val="00BC29A6"/>
    <w:rsid w:val="00CC3A50"/>
    <w:rsid w:val="00DF5335"/>
    <w:rsid w:val="00EC5F5F"/>
    <w:rsid w:val="00EE3676"/>
    <w:rsid w:val="00F06E68"/>
    <w:rsid w:val="00F9513F"/>
    <w:rsid w:val="00FB03D7"/>
    <w:rsid w:val="00FC08B9"/>
    <w:rsid w:val="00FD2E12"/>
    <w:rsid w:val="0947674F"/>
    <w:rsid w:val="0ED62150"/>
    <w:rsid w:val="0EDC4F0B"/>
    <w:rsid w:val="0F1F6EE1"/>
    <w:rsid w:val="0F722636"/>
    <w:rsid w:val="1447046E"/>
    <w:rsid w:val="163634D4"/>
    <w:rsid w:val="17690F3A"/>
    <w:rsid w:val="22B20386"/>
    <w:rsid w:val="23F542FF"/>
    <w:rsid w:val="2C9A25B7"/>
    <w:rsid w:val="2E8170D9"/>
    <w:rsid w:val="37FC353A"/>
    <w:rsid w:val="385E093C"/>
    <w:rsid w:val="397F4FA5"/>
    <w:rsid w:val="406500E2"/>
    <w:rsid w:val="46734AF8"/>
    <w:rsid w:val="48927A1F"/>
    <w:rsid w:val="4C31118F"/>
    <w:rsid w:val="4C411BD0"/>
    <w:rsid w:val="4D8E7176"/>
    <w:rsid w:val="50966E45"/>
    <w:rsid w:val="512012AF"/>
    <w:rsid w:val="52DD39F8"/>
    <w:rsid w:val="56976F53"/>
    <w:rsid w:val="591F15CA"/>
    <w:rsid w:val="5B7A4125"/>
    <w:rsid w:val="5C4176DE"/>
    <w:rsid w:val="5C8A5185"/>
    <w:rsid w:val="5EC46E9C"/>
    <w:rsid w:val="65817895"/>
    <w:rsid w:val="6A563204"/>
    <w:rsid w:val="6A8674D8"/>
    <w:rsid w:val="71881FAB"/>
    <w:rsid w:val="738467A2"/>
    <w:rsid w:val="77F17064"/>
    <w:rsid w:val="78747CA5"/>
    <w:rsid w:val="7C587546"/>
    <w:rsid w:val="7D5A18EC"/>
    <w:rsid w:val="7D660DBC"/>
    <w:rsid w:val="7DF84444"/>
    <w:rsid w:val="7F0164B9"/>
    <w:rsid w:val="8C8F0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2"/>
    <w:qFormat/>
    <w:uiPriority w:val="0"/>
    <w:pPr>
      <w:keepNext/>
      <w:keepLines/>
      <w:numPr>
        <w:ilvl w:val="0"/>
        <w:numId w:val="1"/>
      </w:numPr>
      <w:ind w:left="0" w:firstLine="0"/>
      <w:outlineLvl w:val="0"/>
    </w:pPr>
    <w:rPr>
      <w:rFonts w:ascii="Times New Roman" w:hAnsi="Times New Roman" w:eastAsia="宋体"/>
      <w:b/>
      <w:bCs/>
      <w:kern w:val="44"/>
      <w:sz w:val="36"/>
      <w:szCs w:val="44"/>
    </w:rPr>
  </w:style>
  <w:style w:type="paragraph" w:styleId="4">
    <w:name w:val="heading 2"/>
    <w:basedOn w:val="1"/>
    <w:next w:val="1"/>
    <w:link w:val="33"/>
    <w:semiHidden/>
    <w:unhideWhenUsed/>
    <w:qFormat/>
    <w:uiPriority w:val="0"/>
    <w:pPr>
      <w:keepNext/>
      <w:keepLines/>
      <w:outlineLvl w:val="1"/>
    </w:pPr>
    <w:rPr>
      <w:rFonts w:ascii="Times New Roman" w:hAnsi="Times New Roman" w:eastAsia="宋体" w:cstheme="majorBidi"/>
      <w:b/>
      <w:sz w:val="32"/>
      <w:szCs w:val="40"/>
    </w:rPr>
  </w:style>
  <w:style w:type="paragraph" w:styleId="5">
    <w:name w:val="heading 3"/>
    <w:basedOn w:val="1"/>
    <w:next w:val="1"/>
    <w:link w:val="34"/>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napToGrid w:val="0"/>
      <w:spacing w:before="60" w:after="160" w:line="259" w:lineRule="auto"/>
      <w:ind w:right="113"/>
      <w:jc w:val="left"/>
    </w:pPr>
    <w:rPr>
      <w:rFonts w:ascii="Times New Roman" w:hAnsi="Times New Roman" w:cs="Times New Roman"/>
      <w:kern w:val="0"/>
      <w:sz w:val="18"/>
      <w:szCs w:val="18"/>
    </w:rPr>
  </w:style>
  <w:style w:type="paragraph" w:styleId="6">
    <w:name w:val="toa heading"/>
    <w:basedOn w:val="1"/>
    <w:next w:val="1"/>
    <w:unhideWhenUsed/>
    <w:qFormat/>
    <w:uiPriority w:val="99"/>
    <w:pPr>
      <w:spacing w:before="120"/>
    </w:pPr>
    <w:rPr>
      <w:rFonts w:ascii="Calibri Light" w:hAnsi="Calibri Light" w:cs="Times New Roman"/>
    </w:rPr>
  </w:style>
  <w:style w:type="paragraph" w:styleId="7">
    <w:name w:val="annotation text"/>
    <w:basedOn w:val="1"/>
    <w:link w:val="56"/>
    <w:qFormat/>
    <w:uiPriority w:val="0"/>
    <w:pPr>
      <w:jc w:val="left"/>
    </w:pPr>
  </w:style>
  <w:style w:type="paragraph" w:styleId="8">
    <w:name w:val="Body Text Indent"/>
    <w:basedOn w:val="1"/>
    <w:qFormat/>
    <w:uiPriority w:val="0"/>
    <w:pPr>
      <w:spacing w:after="120"/>
      <w:ind w:left="420" w:leftChars="200"/>
    </w:pPr>
    <w:rPr>
      <w:kern w:val="0"/>
      <w:szCs w:val="20"/>
    </w:rPr>
  </w:style>
  <w:style w:type="paragraph" w:styleId="9">
    <w:name w:val="Block Text"/>
    <w:qFormat/>
    <w:uiPriority w:val="0"/>
    <w:pPr>
      <w:widowControl w:val="0"/>
      <w:tabs>
        <w:tab w:val="left" w:pos="492"/>
      </w:tabs>
      <w:spacing w:line="480" w:lineRule="exact"/>
      <w:ind w:left="-31" w:leftChars="-15" w:right="-113" w:firstLine="560" w:firstLineChars="200"/>
    </w:pPr>
    <w:rPr>
      <w:rFonts w:ascii="Times New Roman" w:hAnsi="Times New Roman" w:eastAsia="宋体" w:cs="Times New Roman"/>
      <w:kern w:val="2"/>
      <w:sz w:val="28"/>
      <w:lang w:val="en-US" w:eastAsia="zh-CN" w:bidi="ar-SA"/>
    </w:rPr>
  </w:style>
  <w:style w:type="paragraph" w:styleId="10">
    <w:name w:val="Plain Text"/>
    <w:next w:val="11"/>
    <w:qFormat/>
    <w:uiPriority w:val="0"/>
    <w:pPr>
      <w:widowControl w:val="0"/>
      <w:jc w:val="both"/>
    </w:pPr>
    <w:rPr>
      <w:rFonts w:ascii="Times New Roman" w:hAnsi="Times New Roman" w:eastAsia="宋体" w:cs="Times New Roman"/>
      <w:color w:val="000000"/>
      <w:kern w:val="0"/>
      <w:sz w:val="28"/>
      <w:szCs w:val="20"/>
      <w:lang w:val="en-US" w:eastAsia="zh-CN" w:bidi="ar-SA"/>
    </w:rPr>
  </w:style>
  <w:style w:type="paragraph" w:styleId="11">
    <w:name w:val="List Number 5"/>
    <w:basedOn w:val="1"/>
    <w:qFormat/>
    <w:uiPriority w:val="0"/>
    <w:pPr>
      <w:numPr>
        <w:ilvl w:val="0"/>
        <w:numId w:val="2"/>
      </w:numPr>
    </w:pPr>
  </w:style>
  <w:style w:type="paragraph" w:styleId="12">
    <w:name w:val="List Bullet 5"/>
    <w:basedOn w:val="1"/>
    <w:qFormat/>
    <w:uiPriority w:val="0"/>
    <w:pPr>
      <w:numPr>
        <w:ilvl w:val="0"/>
        <w:numId w:val="3"/>
      </w:numPr>
    </w:pPr>
  </w:style>
  <w:style w:type="paragraph" w:styleId="13">
    <w:name w:val="Balloon Text"/>
    <w:basedOn w:val="1"/>
    <w:link w:val="58"/>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annotation subject"/>
    <w:basedOn w:val="7"/>
    <w:next w:val="7"/>
    <w:link w:val="57"/>
    <w:qFormat/>
    <w:uiPriority w:val="0"/>
    <w:rPr>
      <w:b/>
      <w:bCs/>
    </w:rPr>
  </w:style>
  <w:style w:type="paragraph" w:styleId="18">
    <w:name w:val="Body Text First Indent"/>
    <w:basedOn w:val="2"/>
    <w:next w:val="1"/>
    <w:unhideWhenUsed/>
    <w:qFormat/>
    <w:uiPriority w:val="99"/>
    <w:pPr>
      <w:ind w:firstLine="420"/>
    </w:pPr>
    <w:rPr>
      <w:szCs w:val="24"/>
    </w:rPr>
  </w:style>
  <w:style w:type="paragraph" w:styleId="19">
    <w:name w:val="Body Text First Indent 2"/>
    <w:basedOn w:val="1"/>
    <w:next w:val="10"/>
    <w:qFormat/>
    <w:uiPriority w:val="0"/>
    <w:pPr>
      <w:ind w:firstLine="420" w:firstLineChars="200"/>
    </w:pPr>
    <w:rPr>
      <w:sz w:val="20"/>
    </w:rPr>
  </w:style>
  <w:style w:type="table" w:styleId="21">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3">
    <w:name w:val="Strong"/>
    <w:basedOn w:val="22"/>
    <w:qFormat/>
    <w:uiPriority w:val="0"/>
    <w:rPr>
      <w:b/>
    </w:rPr>
  </w:style>
  <w:style w:type="character" w:styleId="24">
    <w:name w:val="Emphasis"/>
    <w:basedOn w:val="22"/>
    <w:qFormat/>
    <w:uiPriority w:val="0"/>
    <w:rPr>
      <w:i/>
    </w:rPr>
  </w:style>
  <w:style w:type="character" w:styleId="25">
    <w:name w:val="Hyperlink"/>
    <w:basedOn w:val="22"/>
    <w:qFormat/>
    <w:uiPriority w:val="0"/>
    <w:rPr>
      <w:color w:val="0000FF"/>
      <w:u w:val="single"/>
    </w:rPr>
  </w:style>
  <w:style w:type="character" w:styleId="26">
    <w:name w:val="annotation reference"/>
    <w:semiHidden/>
    <w:qFormat/>
    <w:uiPriority w:val="0"/>
    <w:rPr>
      <w:sz w:val="21"/>
    </w:rPr>
  </w:style>
  <w:style w:type="paragraph" w:customStyle="1" w:styleId="27">
    <w:name w:val="Default"/>
    <w:basedOn w:val="28"/>
    <w:next w:val="29"/>
    <w:qFormat/>
    <w:uiPriority w:val="0"/>
    <w:pPr>
      <w:autoSpaceDE w:val="0"/>
      <w:autoSpaceDN w:val="0"/>
    </w:pPr>
    <w:rPr>
      <w:rFonts w:hAnsi="宋体"/>
      <w:color w:val="000000"/>
      <w:sz w:val="24"/>
      <w:szCs w:val="24"/>
    </w:rPr>
  </w:style>
  <w:style w:type="paragraph" w:customStyle="1" w:styleId="28">
    <w:name w:val="纯文本1"/>
    <w:qFormat/>
    <w:uiPriority w:val="0"/>
    <w:pPr>
      <w:widowControl w:val="0"/>
      <w:adjustRightInd w:val="0"/>
      <w:jc w:val="both"/>
    </w:pPr>
    <w:rPr>
      <w:rFonts w:ascii="宋体" w:hAnsi="Courier New" w:eastAsia="宋体" w:cs="Times New Roman"/>
      <w:kern w:val="2"/>
      <w:sz w:val="21"/>
      <w:lang w:val="en-US" w:eastAsia="zh-CN" w:bidi="ar-SA"/>
    </w:rPr>
  </w:style>
  <w:style w:type="paragraph" w:customStyle="1" w:styleId="29">
    <w:name w:val="正文首行缩进 21"/>
    <w:basedOn w:val="30"/>
    <w:next w:val="1"/>
    <w:qFormat/>
    <w:uiPriority w:val="0"/>
    <w:pPr>
      <w:spacing w:after="120" w:line="240" w:lineRule="auto"/>
      <w:ind w:left="420" w:leftChars="200" w:firstLine="420"/>
    </w:pPr>
    <w:rPr>
      <w:rFonts w:ascii="Times New Roman" w:hAnsi="Times New Roman"/>
      <w:sz w:val="21"/>
    </w:rPr>
  </w:style>
  <w:style w:type="paragraph" w:customStyle="1" w:styleId="30">
    <w:name w:val="正文文本缩进1"/>
    <w:next w:val="31"/>
    <w:qFormat/>
    <w:uiPriority w:val="0"/>
    <w:pPr>
      <w:widowControl w:val="0"/>
      <w:spacing w:line="360" w:lineRule="auto"/>
      <w:ind w:firstLine="560" w:firstLineChars="200"/>
      <w:jc w:val="both"/>
    </w:pPr>
    <w:rPr>
      <w:rFonts w:ascii="宋体" w:hAnsi="宋体" w:eastAsia="宋体" w:cs="Times New Roman"/>
      <w:kern w:val="2"/>
      <w:sz w:val="28"/>
      <w:szCs w:val="24"/>
      <w:lang w:val="en-US" w:eastAsia="zh-CN" w:bidi="ar-SA"/>
    </w:rPr>
  </w:style>
  <w:style w:type="paragraph" w:customStyle="1" w:styleId="31">
    <w:name w:val="正文首行缩进1"/>
    <w:basedOn w:val="2"/>
    <w:next w:val="1"/>
    <w:qFormat/>
    <w:uiPriority w:val="0"/>
    <w:pPr>
      <w:ind w:firstLine="420" w:firstLineChars="100"/>
      <w:jc w:val="both"/>
    </w:pPr>
    <w:rPr>
      <w:rFonts w:eastAsia="宋体"/>
      <w:szCs w:val="20"/>
    </w:rPr>
  </w:style>
  <w:style w:type="character" w:customStyle="1" w:styleId="32">
    <w:name w:val="标题 1 Char"/>
    <w:basedOn w:val="22"/>
    <w:link w:val="3"/>
    <w:qFormat/>
    <w:uiPriority w:val="9"/>
    <w:rPr>
      <w:rFonts w:ascii="Times New Roman" w:hAnsi="Times New Roman" w:eastAsia="宋体"/>
      <w:b/>
      <w:bCs/>
      <w:kern w:val="44"/>
      <w:sz w:val="36"/>
      <w:szCs w:val="44"/>
    </w:rPr>
  </w:style>
  <w:style w:type="character" w:customStyle="1" w:styleId="33">
    <w:name w:val="标题 2 Char"/>
    <w:basedOn w:val="22"/>
    <w:link w:val="4"/>
    <w:qFormat/>
    <w:uiPriority w:val="9"/>
    <w:rPr>
      <w:rFonts w:ascii="Times New Roman" w:hAnsi="Times New Roman" w:eastAsia="宋体" w:cstheme="majorBidi"/>
      <w:b/>
      <w:sz w:val="32"/>
      <w:szCs w:val="40"/>
    </w:rPr>
  </w:style>
  <w:style w:type="character" w:customStyle="1" w:styleId="34">
    <w:name w:val="标题 3 Char"/>
    <w:basedOn w:val="22"/>
    <w:link w:val="5"/>
    <w:qFormat/>
    <w:uiPriority w:val="9"/>
    <w:rPr>
      <w:rFonts w:eastAsia="宋体" w:asciiTheme="majorHAnsi" w:hAnsiTheme="majorHAnsi" w:cstheme="majorBidi"/>
      <w:b/>
      <w:sz w:val="28"/>
      <w:szCs w:val="32"/>
    </w:rPr>
  </w:style>
  <w:style w:type="paragraph" w:customStyle="1" w:styleId="3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
    <w:name w:val="Table Grid_0"/>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38">
    <w:name w:val="表内字"/>
    <w:basedOn w:val="1"/>
    <w:next w:val="1"/>
    <w:qFormat/>
    <w:uiPriority w:val="0"/>
    <w:pPr>
      <w:widowControl/>
      <w:jc w:val="center"/>
      <w:textAlignment w:val="center"/>
    </w:pPr>
    <w:rPr>
      <w:b/>
      <w:color w:val="000000"/>
      <w:kern w:val="0"/>
      <w:szCs w:val="20"/>
    </w:rPr>
  </w:style>
  <w:style w:type="table" w:customStyle="1" w:styleId="39">
    <w:name w:val="样式1"/>
    <w:qFormat/>
    <w:uiPriority w:val="99"/>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b/>
      </w:rPr>
    </w:tblStylePr>
  </w:style>
  <w:style w:type="table" w:customStyle="1" w:styleId="40">
    <w:name w:val="表环评格式11"/>
    <w:qFormat/>
    <w:uiPriority w:val="59"/>
    <w:pPr>
      <w:adjustRightInd w:val="0"/>
      <w:snapToGrid w:val="0"/>
      <w:spacing w:beforeLines="20" w:afterLines="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41">
    <w:name w:val="A正文"/>
    <w:qFormat/>
    <w:uiPriority w:val="0"/>
    <w:pPr>
      <w:widowControl w:val="0"/>
      <w:adjustRightInd w:val="0"/>
      <w:snapToGrid w:val="0"/>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42">
    <w:name w:val="表格正文1"/>
    <w:basedOn w:val="1"/>
    <w:next w:val="1"/>
    <w:qFormat/>
    <w:uiPriority w:val="0"/>
    <w:pPr>
      <w:keepNext/>
      <w:keepLines/>
      <w:widowControl/>
      <w:tabs>
        <w:tab w:val="left" w:pos="2976"/>
        <w:tab w:val="left" w:pos="8820"/>
        <w:tab w:val="left" w:pos="9000"/>
      </w:tabs>
      <w:adjustRightInd w:val="0"/>
      <w:snapToGrid w:val="0"/>
      <w:jc w:val="center"/>
      <w:textAlignment w:val="baseline"/>
      <w:outlineLvl w:val="4"/>
    </w:pPr>
    <w:rPr>
      <w:rFonts w:ascii="Times New Roman" w:hAnsi="Times New Roman" w:eastAsia="宋体" w:cs="Times New Roman"/>
      <w:color w:val="000000"/>
      <w:kern w:val="0"/>
      <w:szCs w:val="20"/>
    </w:rPr>
  </w:style>
  <w:style w:type="table" w:customStyle="1" w:styleId="43">
    <w:name w:val="样式11"/>
    <w:basedOn w:val="20"/>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44">
    <w:name w:val="表格内容 Char Char"/>
    <w:qFormat/>
    <w:uiPriority w:val="0"/>
    <w:rPr>
      <w:kern w:val="2"/>
      <w:sz w:val="21"/>
      <w:szCs w:val="21"/>
    </w:rPr>
  </w:style>
  <w:style w:type="paragraph" w:customStyle="1" w:styleId="45">
    <w:name w:val="表格1"/>
    <w:basedOn w:val="1"/>
    <w:qFormat/>
    <w:uiPriority w:val="0"/>
    <w:pPr>
      <w:spacing w:line="20" w:lineRule="atLeast"/>
      <w:jc w:val="center"/>
      <w:textAlignment w:val="center"/>
    </w:pPr>
  </w:style>
  <w:style w:type="table" w:customStyle="1" w:styleId="46">
    <w:name w:val="Table Normal"/>
    <w:semiHidden/>
    <w:unhideWhenUsed/>
    <w:qFormat/>
    <w:uiPriority w:val="0"/>
    <w:tblPr>
      <w:tblCellMar>
        <w:top w:w="0" w:type="dxa"/>
        <w:left w:w="0" w:type="dxa"/>
        <w:bottom w:w="0" w:type="dxa"/>
        <w:right w:w="0" w:type="dxa"/>
      </w:tblCellMar>
    </w:tblPr>
  </w:style>
  <w:style w:type="paragraph" w:styleId="47">
    <w:name w:val="List Paragraph"/>
    <w:basedOn w:val="1"/>
    <w:qFormat/>
    <w:uiPriority w:val="99"/>
    <w:pPr>
      <w:ind w:firstLine="420"/>
    </w:pPr>
    <w:rPr>
      <w:rFonts w:ascii="Calibri" w:hAnsi="Calibri"/>
      <w:szCs w:val="22"/>
    </w:rPr>
  </w:style>
  <w:style w:type="paragraph" w:customStyle="1" w:styleId="48">
    <w:name w:val="报告表格标题首行"/>
    <w:qFormat/>
    <w:uiPriority w:val="0"/>
    <w:pPr>
      <w:widowControl w:val="0"/>
      <w:autoSpaceDE w:val="0"/>
      <w:autoSpaceDN w:val="0"/>
      <w:adjustRightInd w:val="0"/>
      <w:spacing w:line="360" w:lineRule="auto"/>
      <w:ind w:firstLine="720" w:firstLineChars="200"/>
      <w:jc w:val="center"/>
    </w:pPr>
    <w:rPr>
      <w:rFonts w:ascii="Times New Roman" w:hAnsi="Times New Roman" w:eastAsia="宋体" w:cs="Times New Roman"/>
      <w:b/>
      <w:sz w:val="24"/>
      <w:lang w:val="en-US" w:eastAsia="zh-CN" w:bidi="ar-SA"/>
    </w:rPr>
  </w:style>
  <w:style w:type="paragraph" w:styleId="49">
    <w:name w:val="No Spacing"/>
    <w:basedOn w:val="1"/>
    <w:qFormat/>
    <w:uiPriority w:val="1"/>
    <w:pPr>
      <w:widowControl/>
      <w:spacing w:line="360" w:lineRule="exact"/>
      <w:jc w:val="center"/>
    </w:pPr>
    <w:rPr>
      <w:kern w:val="0"/>
      <w:szCs w:val="20"/>
    </w:rPr>
  </w:style>
  <w:style w:type="paragraph" w:customStyle="1" w:styleId="50">
    <w:name w:val="表格内容"/>
    <w:basedOn w:val="51"/>
    <w:next w:val="1"/>
    <w:qFormat/>
    <w:uiPriority w:val="0"/>
    <w:pPr>
      <w:adjustRightInd w:val="0"/>
      <w:snapToGrid w:val="0"/>
      <w:jc w:val="center"/>
    </w:pPr>
    <w:rPr>
      <w:rFonts w:ascii="Times New Roman" w:hAnsi="Times New Roman" w:cs="宋体"/>
      <w:bCs/>
      <w:szCs w:val="21"/>
    </w:rPr>
  </w:style>
  <w:style w:type="paragraph" w:customStyle="1" w:styleId="51">
    <w:name w:val="我的正文"/>
    <w:basedOn w:val="1"/>
    <w:qFormat/>
    <w:uiPriority w:val="0"/>
    <w:pPr>
      <w:widowControl/>
      <w:overflowPunct w:val="0"/>
      <w:autoSpaceDE w:val="0"/>
      <w:autoSpaceDN w:val="0"/>
    </w:pPr>
  </w:style>
  <w:style w:type="table" w:customStyle="1" w:styleId="52">
    <w:name w:val="网格型11"/>
    <w:basedOn w:val="20"/>
    <w:qFormat/>
    <w:uiPriority w:val="0"/>
    <w:pPr>
      <w:jc w:val="center"/>
    </w:pPr>
    <w:rPr>
      <w:rFonts w:ascii="Calibri" w:hAnsi="Calibri" w:cs="Calibri"/>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ascii="Times New Roman" w:hAnsi="Times New Roman" w:eastAsia="黑体"/>
        <w:b w:val="0"/>
        <w:i w:val="0"/>
        <w:sz w:val="21"/>
      </w:rPr>
    </w:tblStylePr>
  </w:style>
  <w:style w:type="character" w:customStyle="1" w:styleId="53">
    <w:name w:val="markedcontent"/>
    <w:basedOn w:val="22"/>
    <w:qFormat/>
    <w:uiPriority w:val="0"/>
  </w:style>
  <w:style w:type="table" w:customStyle="1" w:styleId="54">
    <w:name w:val="TT设计院"/>
    <w:basedOn w:val="20"/>
    <w:qFormat/>
    <w:uiPriority w:val="0"/>
    <w:pPr>
      <w:jc w:val="center"/>
    </w:pPr>
    <w:tblPr>
      <w:tblBorders>
        <w:top w:val="single" w:color="auto" w:sz="18" w:space="0"/>
        <w:bottom w:val="single" w:color="auto" w:sz="18"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55">
    <w:name w:val="报告表格"/>
    <w:basedOn w:val="1"/>
    <w:qFormat/>
    <w:uiPriority w:val="0"/>
    <w:pPr>
      <w:autoSpaceDE w:val="0"/>
      <w:autoSpaceDN w:val="0"/>
      <w:adjustRightInd w:val="0"/>
      <w:spacing w:before="40" w:after="40"/>
      <w:jc w:val="center"/>
      <w:textAlignment w:val="baseline"/>
    </w:pPr>
    <w:rPr>
      <w:kern w:val="0"/>
      <w:szCs w:val="20"/>
    </w:rPr>
  </w:style>
  <w:style w:type="character" w:customStyle="1" w:styleId="56">
    <w:name w:val="批注文字 Char"/>
    <w:basedOn w:val="22"/>
    <w:link w:val="7"/>
    <w:qFormat/>
    <w:uiPriority w:val="0"/>
    <w:rPr>
      <w:rFonts w:asciiTheme="minorHAnsi" w:hAnsiTheme="minorHAnsi" w:eastAsiaTheme="minorEastAsia" w:cstheme="minorBidi"/>
      <w:kern w:val="2"/>
      <w:sz w:val="21"/>
      <w:szCs w:val="24"/>
    </w:rPr>
  </w:style>
  <w:style w:type="character" w:customStyle="1" w:styleId="57">
    <w:name w:val="批注主题 Char"/>
    <w:basedOn w:val="56"/>
    <w:link w:val="17"/>
    <w:qFormat/>
    <w:uiPriority w:val="0"/>
    <w:rPr>
      <w:rFonts w:asciiTheme="minorHAnsi" w:hAnsiTheme="minorHAnsi" w:eastAsiaTheme="minorEastAsia" w:cstheme="minorBidi"/>
      <w:b/>
      <w:bCs/>
      <w:kern w:val="2"/>
      <w:sz w:val="21"/>
      <w:szCs w:val="24"/>
    </w:rPr>
  </w:style>
  <w:style w:type="character" w:customStyle="1" w:styleId="58">
    <w:name w:val="批注框文本 Char"/>
    <w:basedOn w:val="22"/>
    <w:link w:val="1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43.wmf"/><Relationship Id="rId70" Type="http://schemas.openxmlformats.org/officeDocument/2006/relationships/oleObject" Target="embeddings/oleObject21.bin"/><Relationship Id="rId7" Type="http://schemas.openxmlformats.org/officeDocument/2006/relationships/image" Target="media/image1.png"/><Relationship Id="rId69" Type="http://schemas.openxmlformats.org/officeDocument/2006/relationships/image" Target="media/image42.wmf"/><Relationship Id="rId68" Type="http://schemas.openxmlformats.org/officeDocument/2006/relationships/oleObject" Target="embeddings/oleObject20.bin"/><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jpe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emf"/><Relationship Id="rId61" Type="http://schemas.openxmlformats.org/officeDocument/2006/relationships/oleObject" Target="embeddings/oleObject19.bin"/><Relationship Id="rId60" Type="http://schemas.openxmlformats.org/officeDocument/2006/relationships/image" Target="media/image35.wmf"/><Relationship Id="rId6" Type="http://schemas.openxmlformats.org/officeDocument/2006/relationships/theme" Target="theme/theme1.xml"/><Relationship Id="rId59" Type="http://schemas.openxmlformats.org/officeDocument/2006/relationships/oleObject" Target="embeddings/oleObject18.bin"/><Relationship Id="rId58" Type="http://schemas.openxmlformats.org/officeDocument/2006/relationships/image" Target="media/image34.wmf"/><Relationship Id="rId57" Type="http://schemas.openxmlformats.org/officeDocument/2006/relationships/oleObject" Target="embeddings/oleObject17.bin"/><Relationship Id="rId56" Type="http://schemas.openxmlformats.org/officeDocument/2006/relationships/oleObject" Target="embeddings/oleObject16.bin"/><Relationship Id="rId55" Type="http://schemas.openxmlformats.org/officeDocument/2006/relationships/oleObject" Target="embeddings/oleObject15.bin"/><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wmf"/><Relationship Id="rId51" Type="http://schemas.openxmlformats.org/officeDocument/2006/relationships/oleObject" Target="embeddings/oleObject14.bin"/><Relationship Id="rId50" Type="http://schemas.openxmlformats.org/officeDocument/2006/relationships/image" Target="media/image30.wmf"/><Relationship Id="rId5" Type="http://schemas.openxmlformats.org/officeDocument/2006/relationships/footer" Target="footer3.xml"/><Relationship Id="rId49" Type="http://schemas.openxmlformats.org/officeDocument/2006/relationships/oleObject" Target="embeddings/oleObject13.bin"/><Relationship Id="rId48" Type="http://schemas.openxmlformats.org/officeDocument/2006/relationships/image" Target="media/image29.png"/><Relationship Id="rId47" Type="http://schemas.openxmlformats.org/officeDocument/2006/relationships/image" Target="media/image28.wmf"/><Relationship Id="rId46" Type="http://schemas.openxmlformats.org/officeDocument/2006/relationships/oleObject" Target="embeddings/oleObject12.bin"/><Relationship Id="rId45" Type="http://schemas.openxmlformats.org/officeDocument/2006/relationships/image" Target="media/image27.wmf"/><Relationship Id="rId44" Type="http://schemas.openxmlformats.org/officeDocument/2006/relationships/oleObject" Target="embeddings/oleObject11.bin"/><Relationship Id="rId43" Type="http://schemas.openxmlformats.org/officeDocument/2006/relationships/image" Target="media/image26.emf"/><Relationship Id="rId42" Type="http://schemas.openxmlformats.org/officeDocument/2006/relationships/oleObject" Target="embeddings/oleObject10.bin"/><Relationship Id="rId41" Type="http://schemas.openxmlformats.org/officeDocument/2006/relationships/image" Target="media/image25.emf"/><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image" Target="media/image24.emf"/><Relationship Id="rId38" Type="http://schemas.openxmlformats.org/officeDocument/2006/relationships/oleObject" Target="embeddings/oleObject8.bin"/><Relationship Id="rId37" Type="http://schemas.openxmlformats.org/officeDocument/2006/relationships/image" Target="media/image23.emf"/><Relationship Id="rId36" Type="http://schemas.openxmlformats.org/officeDocument/2006/relationships/oleObject" Target="embeddings/oleObject7.bin"/><Relationship Id="rId35" Type="http://schemas.openxmlformats.org/officeDocument/2006/relationships/image" Target="media/image22.emf"/><Relationship Id="rId34" Type="http://schemas.openxmlformats.org/officeDocument/2006/relationships/oleObject" Target="embeddings/Microsoft_Visio_2003-2010___1.vsd"/><Relationship Id="rId33" Type="http://schemas.openxmlformats.org/officeDocument/2006/relationships/image" Target="media/image21.emf"/><Relationship Id="rId32" Type="http://schemas.openxmlformats.org/officeDocument/2006/relationships/oleObject" Target="embeddings/oleObject6.bin"/><Relationship Id="rId31" Type="http://schemas.openxmlformats.org/officeDocument/2006/relationships/image" Target="media/image20.e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9.emf"/><Relationship Id="rId28" Type="http://schemas.openxmlformats.org/officeDocument/2006/relationships/oleObject" Target="embeddings/oleObject4.bin"/><Relationship Id="rId27" Type="http://schemas.openxmlformats.org/officeDocument/2006/relationships/image" Target="media/image18.emf"/><Relationship Id="rId26" Type="http://schemas.openxmlformats.org/officeDocument/2006/relationships/oleObject" Target="embeddings/oleObject3.bin"/><Relationship Id="rId25" Type="http://schemas.openxmlformats.org/officeDocument/2006/relationships/image" Target="media/image17.wmf"/><Relationship Id="rId24" Type="http://schemas.openxmlformats.org/officeDocument/2006/relationships/oleObject" Target="embeddings/oleObject2.bin"/><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154</Pages>
  <Words>6116</Words>
  <Characters>6409</Characters>
  <Lines>868</Lines>
  <Paragraphs>244</Paragraphs>
  <TotalTime>24</TotalTime>
  <ScaleCrop>false</ScaleCrop>
  <LinksUpToDate>false</LinksUpToDate>
  <CharactersWithSpaces>6494</CharactersWithSpaces>
  <Application>WPS Office_11.8.2.11763_F1E327BC-269C-435d-A152-05C5408002CA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2024-08-15T09:57:00Z</dcterms:created>
  <dc:creator>wyd1077</dc:creator>
  <cp:lastModifiedBy>mee</cp:lastModifiedBy>
  <dcterms:modified xsi:type="dcterms:W3CDTF">2024-12-09T16:08:07Z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2052-11.8.2.11763</vt:lpwstr>
  </property>
  <property fmtid="{D5CDD505-2E9C-101B-9397-08002B2CF9AE}" pid="3" name="ICV">
    <vt:lpwstr>6BAB0272C15542D6944517ABADA6EAA1_13</vt:lpwstr>
  </property>
</Properties>
</file>