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55BE61">
      <w:pPr>
        <w:spacing w:line="240" w:lineRule="auto"/>
        <w:jc w:val="distribute"/>
        <w:rPr>
          <w:rFonts w:ascii="Times New Roman" w:hAnsi="Times New Roman" w:eastAsia="方正小标宋简体" w:cs="Times New Roman"/>
          <w:color w:val="FF0000"/>
          <w:spacing w:val="-20"/>
          <w:w w:val="85"/>
          <w:kern w:val="2"/>
          <w:sz w:val="100"/>
          <w:szCs w:val="100"/>
          <w:lang w:eastAsia="zh-CN"/>
        </w:rPr>
      </w:pPr>
      <w:r>
        <w:rPr>
          <w:rFonts w:ascii="Times New Roman" w:hAnsi="Times New Roman" w:eastAsia="方正小标宋简体" w:cs="Times New Roman"/>
          <w:color w:val="FF0000"/>
          <w:spacing w:val="-20"/>
          <w:w w:val="85"/>
          <w:kern w:val="2"/>
          <w:sz w:val="100"/>
          <w:szCs w:val="100"/>
          <w:lang w:eastAsia="zh-CN"/>
        </w:rPr>
        <mc:AlternateContent>
          <mc:Choice Requires="wps">
            <w:drawing>
              <wp:anchor distT="0" distB="0" distL="114300" distR="114300" simplePos="0" relativeHeight="251659264" behindDoc="0" locked="0" layoutInCell="1" allowOverlap="1">
                <wp:simplePos x="0" y="0"/>
                <wp:positionH relativeFrom="column">
                  <wp:posOffset>-41275</wp:posOffset>
                </wp:positionH>
                <wp:positionV relativeFrom="paragraph">
                  <wp:posOffset>891540</wp:posOffset>
                </wp:positionV>
                <wp:extent cx="5660390" cy="635"/>
                <wp:effectExtent l="0" t="25400" r="16510" b="31115"/>
                <wp:wrapNone/>
                <wp:docPr id="1" name="直接连接符 1"/>
                <wp:cNvGraphicFramePr/>
                <a:graphic xmlns:a="http://schemas.openxmlformats.org/drawingml/2006/main">
                  <a:graphicData uri="http://schemas.microsoft.com/office/word/2010/wordprocessingShape">
                    <wps:wsp>
                      <wps:cNvCnPr/>
                      <wps:spPr>
                        <a:xfrm>
                          <a:off x="0" y="0"/>
                          <a:ext cx="5660390" cy="635"/>
                        </a:xfrm>
                        <a:prstGeom prst="line">
                          <a:avLst/>
                        </a:prstGeom>
                        <a:ln w="5080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25pt;margin-top:70.2pt;height:0.05pt;width:445.7pt;z-index:251659264;mso-width-relative:page;mso-height-relative:page;" filled="f" stroked="t" coordsize="21600,21600" o:gfxdata="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Q8IBs2wAAAAoBAAAPAAAAAAAAAAEAIAAAACIAAABkcnMvZG93bnJl&#10;di54bWxQSwECFAAUAAAACACHTuJAZe9DbPoBAADtAwAADgAAAAAAAAABACAAAAAqAQAAZHJzL2Uy&#10;b0RvYy54bWxQSwUGAAAAAAYABgBZAQAAlgUAAAAA&#10;">
                <v:fill on="f" focussize="0,0"/>
                <v:stroke weight="4pt" color="#FF0000" linestyle="thickThin" joinstyle="round"/>
                <v:imagedata o:title=""/>
                <o:lock v:ext="edit" aspectratio="f"/>
              </v:line>
            </w:pict>
          </mc:Fallback>
        </mc:AlternateContent>
      </w:r>
      <w:r>
        <w:rPr>
          <w:rFonts w:ascii="Times New Roman" w:hAnsi="Times New Roman" w:eastAsia="方正小标宋简体" w:cs="Times New Roman"/>
          <w:color w:val="FF0000"/>
          <w:spacing w:val="-20"/>
          <w:w w:val="85"/>
          <w:kern w:val="2"/>
          <w:sz w:val="100"/>
          <w:szCs w:val="100"/>
          <w:lang w:eastAsia="zh-CN"/>
        </w:rPr>
        <w:t>广元市昭化生态环境局</w:t>
      </w:r>
    </w:p>
    <w:p w14:paraId="0837AE8C">
      <w:pPr>
        <w:jc w:val="right"/>
        <w:rPr>
          <w:rFonts w:ascii="Times New Roman" w:hAnsi="Times New Roman" w:cs="Times New Roman"/>
          <w:szCs w:val="32"/>
          <w:lang w:eastAsia="zh-CN"/>
        </w:rPr>
      </w:pPr>
      <w:r>
        <w:rPr>
          <w:rFonts w:ascii="Times New Roman" w:hAnsi="Times New Roman" w:cs="Times New Roman"/>
          <w:szCs w:val="32"/>
          <w:lang w:eastAsia="zh-CN"/>
        </w:rPr>
        <w:t>昭环办函〔202</w:t>
      </w:r>
      <w:r>
        <w:rPr>
          <w:rFonts w:hint="eastAsia" w:ascii="Times New Roman" w:hAnsi="Times New Roman" w:cs="Times New Roman"/>
          <w:szCs w:val="32"/>
          <w:lang w:val="en-US" w:eastAsia="zh-CN"/>
        </w:rPr>
        <w:t>5</w:t>
      </w:r>
      <w:r>
        <w:rPr>
          <w:rFonts w:ascii="Times New Roman" w:hAnsi="Times New Roman" w:cs="Times New Roman"/>
          <w:szCs w:val="32"/>
          <w:lang w:eastAsia="zh-CN"/>
        </w:rPr>
        <w:t>〕</w:t>
      </w:r>
      <w:r>
        <w:rPr>
          <w:rFonts w:hint="eastAsia" w:ascii="Times New Roman" w:hAnsi="Times New Roman" w:cs="Times New Roman"/>
          <w:szCs w:val="32"/>
          <w:lang w:val="en-US" w:eastAsia="zh-CN"/>
        </w:rPr>
        <w:t>3</w:t>
      </w:r>
      <w:r>
        <w:rPr>
          <w:rFonts w:ascii="Times New Roman" w:hAnsi="Times New Roman" w:cs="Times New Roman"/>
          <w:szCs w:val="32"/>
          <w:lang w:eastAsia="zh-CN"/>
        </w:rPr>
        <w:t>号</w:t>
      </w:r>
    </w:p>
    <w:p w14:paraId="2AA34AB1">
      <w:pPr>
        <w:pStyle w:val="6"/>
        <w:ind w:firstLine="0"/>
        <w:rPr>
          <w:rFonts w:ascii="Times New Roman" w:hAnsi="Times New Roman" w:cs="Times New Roman"/>
          <w:lang w:eastAsia="zh-CN"/>
        </w:rPr>
      </w:pPr>
    </w:p>
    <w:p w14:paraId="697257DF">
      <w:pPr>
        <w:spacing w:line="700" w:lineRule="exact"/>
        <w:jc w:val="center"/>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bCs/>
          <w:spacing w:val="-20"/>
          <w:sz w:val="44"/>
          <w:szCs w:val="44"/>
          <w:lang w:eastAsia="zh-CN"/>
        </w:rPr>
        <w:t>广元市昭化生态环境局</w:t>
      </w:r>
    </w:p>
    <w:p w14:paraId="72637D3B">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color w:val="auto"/>
          <w:spacing w:val="6"/>
          <w:w w:val="100"/>
          <w:sz w:val="44"/>
          <w:lang w:val="en-US" w:eastAsia="zh-CN"/>
        </w:rPr>
        <w:t>关于广元市昭化区人民医院门诊内科综合楼建设项目</w:t>
      </w:r>
      <w:r>
        <w:rPr>
          <w:rFonts w:hint="eastAsia" w:ascii="方正小标宋简体" w:hAnsi="方正小标宋简体" w:eastAsia="方正小标宋简体" w:cs="方正小标宋简体"/>
          <w:color w:val="auto"/>
          <w:spacing w:val="0"/>
          <w:w w:val="100"/>
          <w:kern w:val="0"/>
          <w:sz w:val="44"/>
          <w:lang w:val="en-US" w:eastAsia="zh-CN"/>
        </w:rPr>
        <w:t>环境影响报告表的批复</w:t>
      </w:r>
    </w:p>
    <w:p w14:paraId="11FFCCA4">
      <w:pPr>
        <w:spacing w:line="400" w:lineRule="exact"/>
        <w:rPr>
          <w:rFonts w:hint="eastAsia" w:ascii="宋体" w:hAnsi="宋体" w:eastAsia="宋体" w:cs="宋体"/>
          <w:szCs w:val="32"/>
          <w:lang w:eastAsia="zh-CN"/>
        </w:rPr>
      </w:pPr>
    </w:p>
    <w:p w14:paraId="2F7DDD14">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jc w:val="both"/>
        <w:textAlignment w:val="auto"/>
        <w:outlineLvl w:val="9"/>
        <w:rPr>
          <w:rFonts w:hint="eastAsia" w:ascii="仿宋_GB2312" w:hAnsi="仿宋_GB2312" w:eastAsia="仿宋_GB2312" w:cs="仿宋_GB2312"/>
          <w:bCs/>
          <w:snapToGrid w:val="0"/>
          <w:color w:val="auto"/>
          <w:spacing w:val="0"/>
          <w:kern w:val="0"/>
          <w:sz w:val="32"/>
          <w:szCs w:val="32"/>
          <w:lang w:val="en-US" w:eastAsia="zh-CN"/>
        </w:rPr>
      </w:pPr>
      <w:r>
        <w:rPr>
          <w:rFonts w:hint="eastAsia" w:ascii="仿宋_GB2312" w:hAnsi="仿宋_GB2312" w:cs="仿宋_GB2312"/>
          <w:bCs/>
          <w:snapToGrid w:val="0"/>
          <w:color w:val="auto"/>
          <w:spacing w:val="0"/>
          <w:kern w:val="0"/>
          <w:sz w:val="32"/>
          <w:szCs w:val="32"/>
          <w:lang w:val="en-US" w:eastAsia="zh-CN"/>
        </w:rPr>
        <w:t>广元市昭化区人民医院</w:t>
      </w:r>
      <w:r>
        <w:rPr>
          <w:rFonts w:hint="eastAsia" w:ascii="仿宋_GB2312" w:hAnsi="仿宋_GB2312" w:eastAsia="仿宋_GB2312" w:cs="仿宋_GB2312"/>
          <w:bCs/>
          <w:snapToGrid w:val="0"/>
          <w:color w:val="auto"/>
          <w:spacing w:val="0"/>
          <w:kern w:val="0"/>
          <w:sz w:val="32"/>
          <w:szCs w:val="32"/>
          <w:lang w:val="en-US" w:eastAsia="zh-CN"/>
        </w:rPr>
        <w:t>：</w:t>
      </w:r>
    </w:p>
    <w:p w14:paraId="5B6F86AA">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eastAsia" w:ascii="仿宋_GB2312" w:hAnsi="仿宋_GB2312" w:eastAsia="仿宋_GB2312" w:cs="仿宋_GB2312"/>
          <w:bCs/>
          <w:color w:val="auto"/>
          <w:spacing w:val="0"/>
          <w:kern w:val="0"/>
          <w:sz w:val="32"/>
          <w:szCs w:val="32"/>
          <w:lang w:val="en-US" w:eastAsia="zh-CN"/>
        </w:rPr>
      </w:pPr>
      <w:r>
        <w:rPr>
          <w:rFonts w:hint="eastAsia" w:ascii="仿宋_GB2312" w:hAnsi="仿宋_GB2312" w:cs="仿宋_GB2312"/>
          <w:bCs/>
          <w:snapToGrid w:val="0"/>
          <w:color w:val="auto"/>
          <w:spacing w:val="0"/>
          <w:kern w:val="0"/>
          <w:sz w:val="32"/>
          <w:szCs w:val="32"/>
          <w:lang w:val="en-US" w:eastAsia="zh-CN"/>
        </w:rPr>
        <w:t>你单位报送的</w:t>
      </w:r>
      <w:r>
        <w:rPr>
          <w:rFonts w:hint="eastAsia" w:ascii="仿宋_GB2312" w:hAnsi="仿宋_GB2312" w:eastAsia="仿宋_GB2312" w:cs="仿宋_GB2312"/>
          <w:bCs/>
          <w:snapToGrid w:val="0"/>
          <w:color w:val="auto"/>
          <w:spacing w:val="0"/>
          <w:kern w:val="0"/>
          <w:sz w:val="32"/>
          <w:szCs w:val="32"/>
          <w:lang w:val="en-US" w:eastAsia="zh-CN"/>
        </w:rPr>
        <w:t>《</w:t>
      </w:r>
      <w:r>
        <w:rPr>
          <w:rFonts w:hint="eastAsia" w:ascii="仿宋_GB2312" w:hAnsi="仿宋_GB2312" w:cs="仿宋_GB2312"/>
          <w:bCs/>
          <w:snapToGrid w:val="0"/>
          <w:color w:val="auto"/>
          <w:spacing w:val="0"/>
          <w:kern w:val="0"/>
          <w:sz w:val="32"/>
          <w:szCs w:val="32"/>
          <w:lang w:val="en-US" w:eastAsia="zh-CN"/>
        </w:rPr>
        <w:t>广元市昭化区人民医院门诊内科综合楼建设项目</w:t>
      </w:r>
      <w:r>
        <w:rPr>
          <w:rFonts w:hint="eastAsia" w:ascii="仿宋_GB2312" w:hAnsi="仿宋_GB2312" w:eastAsia="仿宋_GB2312" w:cs="仿宋_GB2312"/>
          <w:bCs/>
          <w:snapToGrid w:val="0"/>
          <w:color w:val="auto"/>
          <w:spacing w:val="0"/>
          <w:kern w:val="0"/>
          <w:sz w:val="32"/>
          <w:szCs w:val="32"/>
          <w:lang w:val="en-US" w:eastAsia="zh-CN"/>
        </w:rPr>
        <w:t>环境影响</w:t>
      </w:r>
      <w:r>
        <w:rPr>
          <w:rFonts w:hint="default" w:ascii="仿宋_GB2312" w:hAnsi="仿宋_GB2312" w:eastAsia="仿宋_GB2312" w:cs="仿宋_GB2312"/>
          <w:bCs/>
          <w:snapToGrid w:val="0"/>
          <w:color w:val="auto"/>
          <w:spacing w:val="0"/>
          <w:kern w:val="0"/>
          <w:sz w:val="32"/>
          <w:szCs w:val="32"/>
          <w:lang w:val="en-US" w:eastAsia="zh-CN"/>
        </w:rPr>
        <w:t>报告</w:t>
      </w:r>
      <w:r>
        <w:rPr>
          <w:rFonts w:hint="eastAsia" w:ascii="仿宋_GB2312" w:hAnsi="仿宋_GB2312" w:cs="仿宋_GB2312"/>
          <w:bCs/>
          <w:snapToGrid w:val="0"/>
          <w:color w:val="auto"/>
          <w:spacing w:val="0"/>
          <w:kern w:val="0"/>
          <w:sz w:val="32"/>
          <w:szCs w:val="32"/>
          <w:lang w:val="en-US" w:eastAsia="zh-CN"/>
        </w:rPr>
        <w:t>表</w:t>
      </w:r>
      <w:r>
        <w:rPr>
          <w:rFonts w:hint="eastAsia" w:ascii="仿宋_GB2312" w:hAnsi="仿宋_GB2312" w:eastAsia="仿宋_GB2312" w:cs="仿宋_GB2312"/>
          <w:bCs/>
          <w:snapToGrid w:val="0"/>
          <w:color w:val="auto"/>
          <w:spacing w:val="0"/>
          <w:kern w:val="0"/>
          <w:sz w:val="32"/>
          <w:szCs w:val="32"/>
          <w:lang w:val="en-US" w:eastAsia="zh-CN"/>
        </w:rPr>
        <w:t>》（以下简称</w:t>
      </w:r>
      <w:r>
        <w:rPr>
          <w:rFonts w:hint="default" w:ascii="仿宋_GB2312" w:hAnsi="仿宋_GB2312" w:eastAsia="仿宋_GB2312" w:cs="仿宋_GB2312"/>
          <w:bCs/>
          <w:snapToGrid w:val="0"/>
          <w:color w:val="auto"/>
          <w:spacing w:val="0"/>
          <w:kern w:val="0"/>
          <w:sz w:val="32"/>
          <w:szCs w:val="32"/>
          <w:lang w:val="en-US" w:eastAsia="zh-CN"/>
        </w:rPr>
        <w:t>报告</w:t>
      </w:r>
      <w:r>
        <w:rPr>
          <w:rFonts w:hint="eastAsia" w:ascii="仿宋_GB2312" w:hAnsi="仿宋_GB2312" w:cs="仿宋_GB2312"/>
          <w:bCs/>
          <w:snapToGrid w:val="0"/>
          <w:color w:val="auto"/>
          <w:spacing w:val="0"/>
          <w:kern w:val="0"/>
          <w:sz w:val="32"/>
          <w:szCs w:val="32"/>
          <w:lang w:val="en-US" w:eastAsia="zh-CN"/>
        </w:rPr>
        <w:t>表</w:t>
      </w:r>
      <w:r>
        <w:rPr>
          <w:rFonts w:hint="eastAsia" w:ascii="仿宋_GB2312" w:hAnsi="仿宋_GB2312" w:eastAsia="仿宋_GB2312" w:cs="仿宋_GB2312"/>
          <w:bCs/>
          <w:snapToGrid w:val="0"/>
          <w:color w:val="auto"/>
          <w:spacing w:val="0"/>
          <w:kern w:val="0"/>
          <w:sz w:val="32"/>
          <w:szCs w:val="32"/>
          <w:lang w:val="en-US" w:eastAsia="zh-CN"/>
        </w:rPr>
        <w:t>）收悉</w:t>
      </w:r>
      <w:r>
        <w:rPr>
          <w:rFonts w:hint="default" w:ascii="仿宋_GB2312" w:hAnsi="仿宋_GB2312" w:cs="仿宋_GB2312"/>
          <w:bCs/>
          <w:snapToGrid w:val="0"/>
          <w:color w:val="auto"/>
          <w:spacing w:val="0"/>
          <w:kern w:val="0"/>
          <w:sz w:val="32"/>
          <w:szCs w:val="32"/>
          <w:lang w:eastAsia="zh-CN"/>
        </w:rPr>
        <w:t>。</w:t>
      </w:r>
      <w:r>
        <w:rPr>
          <w:rFonts w:hint="eastAsia" w:ascii="仿宋_GB2312" w:hAnsi="仿宋_GB2312" w:eastAsia="仿宋_GB2312" w:cs="仿宋_GB2312"/>
          <w:bCs/>
          <w:snapToGrid w:val="0"/>
          <w:color w:val="auto"/>
          <w:spacing w:val="0"/>
          <w:kern w:val="0"/>
          <w:sz w:val="32"/>
          <w:szCs w:val="32"/>
          <w:lang w:val="en-US" w:eastAsia="zh-CN"/>
        </w:rPr>
        <w:t>经研究，批复如下。</w:t>
      </w:r>
    </w:p>
    <w:p w14:paraId="612CF362">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eastAsia" w:ascii="黑体" w:hAnsi="黑体" w:eastAsia="黑体" w:cs="黑体"/>
          <w:bCs/>
          <w:spacing w:val="0"/>
          <w:kern w:val="0"/>
          <w:sz w:val="32"/>
          <w:szCs w:val="32"/>
          <w:lang w:val="en-US" w:eastAsia="zh-CN"/>
        </w:rPr>
      </w:pPr>
      <w:r>
        <w:rPr>
          <w:rFonts w:hint="eastAsia" w:ascii="黑体" w:hAnsi="黑体" w:eastAsia="黑体" w:cs="黑体"/>
          <w:bCs/>
          <w:spacing w:val="0"/>
          <w:kern w:val="0"/>
          <w:sz w:val="32"/>
          <w:szCs w:val="32"/>
          <w:lang w:eastAsia="zh-CN"/>
        </w:rPr>
        <w:t>一、</w:t>
      </w:r>
      <w:r>
        <w:rPr>
          <w:rFonts w:hint="eastAsia" w:ascii="黑体" w:hAnsi="黑体" w:eastAsia="黑体" w:cs="黑体"/>
          <w:bCs/>
          <w:spacing w:val="0"/>
          <w:kern w:val="0"/>
          <w:sz w:val="32"/>
          <w:szCs w:val="32"/>
          <w:lang w:val="en-US" w:eastAsia="zh-CN"/>
        </w:rPr>
        <w:t>基本情况和总体要求</w:t>
      </w:r>
    </w:p>
    <w:p w14:paraId="231B2F07">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column">
                  <wp:posOffset>4918710</wp:posOffset>
                </wp:positionH>
                <wp:positionV relativeFrom="paragraph">
                  <wp:posOffset>3331845</wp:posOffset>
                </wp:positionV>
                <wp:extent cx="812800" cy="287655"/>
                <wp:effectExtent l="6350" t="6350" r="19050" b="10795"/>
                <wp:wrapNone/>
                <wp:docPr id="4" name="矩形 4"/>
                <wp:cNvGraphicFramePr/>
                <a:graphic xmlns:a="http://schemas.openxmlformats.org/drawingml/2006/main">
                  <a:graphicData uri="http://schemas.microsoft.com/office/word/2010/wordprocessingShape">
                    <wps:wsp>
                      <wps:cNvSpPr/>
                      <wps:spPr>
                        <a:xfrm>
                          <a:off x="5926455" y="9802495"/>
                          <a:ext cx="812800" cy="287655"/>
                        </a:xfrm>
                        <a:prstGeom prst="rect">
                          <a:avLst/>
                        </a:prstGeom>
                        <a:solidFill>
                          <a:schemeClr val="bg1"/>
                        </a:solidFill>
                        <a:ln>
                          <a:solidFill>
                            <a:schemeClr val="bg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87.3pt;margin-top:262.35pt;height:22.65pt;width:64pt;z-index:251661312;v-text-anchor:middle;mso-width-relative:page;mso-height-relative:page;" fillcolor="#FFFFFF [3212]" filled="t" stroked="t" coordsize="21600,21600" o:gfxdata="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R3GnHdkAAAALAQAADwAAAAAAAAABACAAAAAiAAAAZHJz&#10;L2Rvd25yZXYueG1sUEsBAhQAFAAAAAgAh07iQA91UkN1AgAA/wQAAA4AAAAAAAAAAQAgAAAAKAEA&#10;AGRycy9lMm9Eb2MueG1sUEsFBgAAAAAGAAYAWQEAAA8GAAAAAA==&#10;">
                <v:fill on="t" focussize="0,0"/>
                <v:stroke weight="1pt" color="#FFFFFF [3212]" miterlimit="8" joinstyle="miter"/>
                <v:imagedata o:title=""/>
                <o:lock v:ext="edit" aspectratio="f"/>
              </v:rect>
            </w:pict>
          </mc:Fallback>
        </mc:AlternateContent>
      </w:r>
      <w:r>
        <w:rPr>
          <w:rFonts w:hint="default" w:ascii="Times New Roman" w:hAnsi="Times New Roman" w:eastAsia="仿宋_GB2312" w:cs="Times New Roman"/>
          <w:sz w:val="32"/>
          <w:szCs w:val="32"/>
          <w:highlight w:val="none"/>
          <w:lang w:eastAsia="zh-CN"/>
        </w:rPr>
        <mc:AlternateContent>
          <mc:Choice Requires="wps">
            <w:drawing>
              <wp:anchor distT="0" distB="0" distL="114300" distR="114300" simplePos="0" relativeHeight="251660288" behindDoc="0" locked="0" layoutInCell="1" allowOverlap="1">
                <wp:simplePos x="0" y="0"/>
                <wp:positionH relativeFrom="column">
                  <wp:posOffset>-53340</wp:posOffset>
                </wp:positionH>
                <wp:positionV relativeFrom="page">
                  <wp:posOffset>9580880</wp:posOffset>
                </wp:positionV>
                <wp:extent cx="5721985" cy="635"/>
                <wp:effectExtent l="0" t="25400" r="8255" b="34925"/>
                <wp:wrapNone/>
                <wp:docPr id="3" name="直接连接符 3"/>
                <wp:cNvGraphicFramePr/>
                <a:graphic xmlns:a="http://schemas.openxmlformats.org/drawingml/2006/main">
                  <a:graphicData uri="http://schemas.microsoft.com/office/word/2010/wordprocessingShape">
                    <wps:wsp>
                      <wps:cNvCnPr/>
                      <wps:spPr>
                        <a:xfrm>
                          <a:off x="0" y="0"/>
                          <a:ext cx="5721985" cy="635"/>
                        </a:xfrm>
                        <a:prstGeom prst="line">
                          <a:avLst/>
                        </a:prstGeom>
                        <a:ln w="50800" cap="flat" cmpd="thinThick">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2pt;margin-top:754.4pt;height:0.05pt;width:450.55pt;mso-position-vertical-relative:page;z-index:251660288;mso-width-relative:page;mso-height-relative:page;" filled="f" stroked="t" coordsize="21600,21600" o:gfxdata="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9ks+x9gAAAAMAQAADwAAAAAAAAABACAAAAAiAAAAZHJzL2Rvd25y&#10;ZXYueG1sUEsBAhQAFAAAAAgAh07iQAiMzQ7+AQAA7QMAAA4AAAAAAAAAAQAgAAAAJwEAAGRycy9l&#10;Mm9Eb2MueG1sUEsFBgAAAAAGAAYAWQEAAJcFAAAAAA==&#10;">
                <v:fill on="f" focussize="0,0"/>
                <v:stroke weight="4pt" color="#FF0000" linestyle="thinThick" joinstyle="round"/>
                <v:imagedata o:title=""/>
                <o:lock v:ext="edit" aspectratio="f"/>
              </v:line>
            </w:pict>
          </mc:Fallback>
        </mc:AlternateContent>
      </w:r>
      <w:r>
        <w:rPr>
          <w:rFonts w:hint="eastAsia" w:ascii="仿宋_GB2312" w:hAnsi="仿宋_GB2312" w:cs="仿宋_GB2312"/>
          <w:bCs/>
          <w:snapToGrid w:val="0"/>
          <w:color w:val="auto"/>
          <w:spacing w:val="0"/>
          <w:kern w:val="0"/>
          <w:sz w:val="32"/>
          <w:szCs w:val="32"/>
          <w:lang w:val="en-US" w:eastAsia="zh-CN"/>
        </w:rPr>
        <w:t>项目位于四川省广元市元坝镇杏林街</w:t>
      </w:r>
      <w:r>
        <w:rPr>
          <w:rFonts w:hint="eastAsia" w:ascii="Times New Roman" w:hAnsi="Times New Roman" w:eastAsia="仿宋_GB2312" w:cs="Times New Roman"/>
          <w:bCs/>
          <w:color w:val="auto"/>
          <w:spacing w:val="0"/>
          <w:w w:val="100"/>
          <w:kern w:val="0"/>
          <w:sz w:val="32"/>
          <w:szCs w:val="32"/>
          <w:lang w:val="en-US" w:eastAsia="zh-CN" w:bidi="ar-SA"/>
        </w:rPr>
        <w:t>32</w:t>
      </w:r>
      <w:r>
        <w:rPr>
          <w:rFonts w:hint="eastAsia" w:ascii="仿宋_GB2312" w:hAnsi="仿宋_GB2312" w:cs="仿宋_GB2312"/>
          <w:bCs/>
          <w:snapToGrid w:val="0"/>
          <w:color w:val="auto"/>
          <w:spacing w:val="0"/>
          <w:kern w:val="0"/>
          <w:sz w:val="32"/>
          <w:szCs w:val="32"/>
          <w:lang w:val="en-US" w:eastAsia="zh-CN"/>
        </w:rPr>
        <w:t>号，将昭化区林业局办公楼进行拆除后，建设昭化区人民医院门诊内科综合楼。门诊内科综合楼总建筑面积</w:t>
      </w:r>
      <w:r>
        <w:rPr>
          <w:rFonts w:hint="eastAsia" w:ascii="Times New Roman" w:hAnsi="Times New Roman" w:eastAsia="仿宋_GB2312" w:cs="Times New Roman"/>
          <w:bCs/>
          <w:color w:val="auto"/>
          <w:spacing w:val="0"/>
          <w:w w:val="100"/>
          <w:kern w:val="0"/>
          <w:sz w:val="32"/>
          <w:szCs w:val="32"/>
          <w:lang w:val="en-US" w:eastAsia="zh-CN" w:bidi="ar-SA"/>
        </w:rPr>
        <w:t>26000m</w:t>
      </w:r>
      <w:r>
        <w:rPr>
          <w:rFonts w:hint="eastAsia" w:ascii="Times New Roman" w:hAnsi="Times New Roman" w:eastAsia="仿宋_GB2312" w:cs="Times New Roman"/>
          <w:bCs/>
          <w:color w:val="auto"/>
          <w:spacing w:val="0"/>
          <w:w w:val="100"/>
          <w:kern w:val="0"/>
          <w:sz w:val="32"/>
          <w:szCs w:val="32"/>
          <w:vertAlign w:val="superscript"/>
          <w:lang w:val="en-US" w:eastAsia="zh-CN" w:bidi="ar-SA"/>
        </w:rPr>
        <w:t>2</w:t>
      </w:r>
      <w:r>
        <w:rPr>
          <w:rFonts w:hint="eastAsia" w:ascii="仿宋_GB2312" w:hAnsi="仿宋_GB2312" w:cs="仿宋_GB2312"/>
          <w:bCs/>
          <w:snapToGrid w:val="0"/>
          <w:color w:val="auto"/>
          <w:spacing w:val="0"/>
          <w:kern w:val="0"/>
          <w:sz w:val="32"/>
          <w:szCs w:val="32"/>
          <w:lang w:val="en-US" w:eastAsia="zh-CN"/>
        </w:rPr>
        <w:t>，其中地上建筑面积</w:t>
      </w:r>
      <w:r>
        <w:rPr>
          <w:rFonts w:hint="eastAsia" w:ascii="Times New Roman" w:hAnsi="Times New Roman" w:eastAsia="仿宋_GB2312" w:cs="Times New Roman"/>
          <w:bCs/>
          <w:color w:val="auto"/>
          <w:spacing w:val="0"/>
          <w:w w:val="100"/>
          <w:kern w:val="0"/>
          <w:sz w:val="32"/>
          <w:szCs w:val="32"/>
          <w:lang w:val="en-US" w:eastAsia="zh-CN" w:bidi="ar-SA"/>
        </w:rPr>
        <w:t>19133.8m</w:t>
      </w:r>
      <w:r>
        <w:rPr>
          <w:rFonts w:hint="eastAsia" w:ascii="Times New Roman" w:hAnsi="Times New Roman" w:eastAsia="仿宋_GB2312" w:cs="Times New Roman"/>
          <w:bCs/>
          <w:color w:val="auto"/>
          <w:spacing w:val="0"/>
          <w:w w:val="100"/>
          <w:kern w:val="0"/>
          <w:sz w:val="32"/>
          <w:szCs w:val="32"/>
          <w:vertAlign w:val="superscript"/>
          <w:lang w:val="en-US" w:eastAsia="zh-CN" w:bidi="ar-SA"/>
        </w:rPr>
        <w:t>2</w:t>
      </w:r>
      <w:r>
        <w:rPr>
          <w:rFonts w:hint="eastAsia" w:ascii="仿宋_GB2312" w:hAnsi="仿宋_GB2312" w:cs="仿宋_GB2312"/>
          <w:bCs/>
          <w:snapToGrid w:val="0"/>
          <w:color w:val="auto"/>
          <w:spacing w:val="0"/>
          <w:kern w:val="0"/>
          <w:sz w:val="32"/>
          <w:szCs w:val="32"/>
          <w:lang w:val="en-US" w:eastAsia="zh-CN"/>
        </w:rPr>
        <w:t>，地下建筑面积</w:t>
      </w:r>
      <w:r>
        <w:rPr>
          <w:rFonts w:hint="eastAsia" w:ascii="Times New Roman" w:hAnsi="Times New Roman" w:eastAsia="仿宋_GB2312" w:cs="Times New Roman"/>
          <w:bCs/>
          <w:color w:val="auto"/>
          <w:spacing w:val="0"/>
          <w:w w:val="100"/>
          <w:kern w:val="0"/>
          <w:sz w:val="32"/>
          <w:szCs w:val="32"/>
          <w:lang w:val="en-US" w:eastAsia="zh-CN" w:bidi="ar-SA"/>
        </w:rPr>
        <w:t>6866.2m</w:t>
      </w:r>
      <w:r>
        <w:rPr>
          <w:rFonts w:hint="eastAsia" w:ascii="Times New Roman" w:hAnsi="Times New Roman" w:eastAsia="仿宋_GB2312" w:cs="Times New Roman"/>
          <w:bCs/>
          <w:color w:val="auto"/>
          <w:spacing w:val="0"/>
          <w:w w:val="100"/>
          <w:kern w:val="0"/>
          <w:sz w:val="32"/>
          <w:szCs w:val="32"/>
          <w:vertAlign w:val="superscript"/>
          <w:lang w:val="en-US" w:eastAsia="zh-CN" w:bidi="ar-SA"/>
        </w:rPr>
        <w:t>2</w:t>
      </w:r>
      <w:r>
        <w:rPr>
          <w:rFonts w:hint="eastAsia" w:ascii="Times New Roman" w:hAnsi="Times New Roman" w:cs="Times New Roman"/>
          <w:bCs/>
          <w:color w:val="auto"/>
          <w:spacing w:val="0"/>
          <w:w w:val="100"/>
          <w:kern w:val="0"/>
          <w:sz w:val="32"/>
          <w:szCs w:val="32"/>
          <w:vertAlign w:val="baseline"/>
          <w:lang w:val="en-US" w:eastAsia="zh-CN" w:bidi="ar-SA"/>
        </w:rPr>
        <w:t>。</w:t>
      </w:r>
      <w:r>
        <w:rPr>
          <w:rFonts w:hint="eastAsia" w:ascii="仿宋_GB2312" w:hAnsi="仿宋_GB2312" w:cs="仿宋_GB2312"/>
          <w:bCs/>
          <w:snapToGrid w:val="0"/>
          <w:color w:val="auto"/>
          <w:spacing w:val="0"/>
          <w:kern w:val="0"/>
          <w:sz w:val="32"/>
          <w:szCs w:val="32"/>
          <w:lang w:val="en-US" w:eastAsia="zh-CN"/>
        </w:rPr>
        <w:t>本次新增门诊内科综合楼病床</w:t>
      </w:r>
      <w:r>
        <w:rPr>
          <w:rFonts w:hint="eastAsia" w:ascii="Times New Roman" w:hAnsi="Times New Roman" w:eastAsia="仿宋_GB2312" w:cs="Times New Roman"/>
          <w:bCs/>
          <w:color w:val="auto"/>
          <w:spacing w:val="0"/>
          <w:w w:val="100"/>
          <w:kern w:val="0"/>
          <w:sz w:val="32"/>
          <w:szCs w:val="32"/>
          <w:lang w:val="en-US" w:eastAsia="zh-CN" w:bidi="ar-SA"/>
        </w:rPr>
        <w:t>200</w:t>
      </w:r>
      <w:r>
        <w:rPr>
          <w:rFonts w:hint="eastAsia" w:ascii="仿宋_GB2312" w:hAnsi="仿宋_GB2312" w:cs="仿宋_GB2312"/>
          <w:bCs/>
          <w:snapToGrid w:val="0"/>
          <w:color w:val="auto"/>
          <w:spacing w:val="0"/>
          <w:kern w:val="0"/>
          <w:sz w:val="32"/>
          <w:szCs w:val="32"/>
          <w:lang w:val="en-US" w:eastAsia="zh-CN"/>
        </w:rPr>
        <w:t>张，门诊内科综合楼内主要设置门诊部及住院部，共</w:t>
      </w:r>
      <w:r>
        <w:rPr>
          <w:rFonts w:hint="eastAsia" w:ascii="Times New Roman" w:hAnsi="Times New Roman" w:eastAsia="仿宋_GB2312" w:cs="Times New Roman"/>
          <w:bCs/>
          <w:color w:val="auto"/>
          <w:spacing w:val="0"/>
          <w:w w:val="100"/>
          <w:kern w:val="0"/>
          <w:sz w:val="32"/>
          <w:szCs w:val="32"/>
          <w:lang w:val="en-US" w:eastAsia="zh-CN" w:bidi="ar-SA"/>
        </w:rPr>
        <w:t>11</w:t>
      </w:r>
      <w:r>
        <w:rPr>
          <w:rFonts w:hint="eastAsia" w:ascii="仿宋_GB2312" w:hAnsi="仿宋_GB2312" w:cs="仿宋_GB2312"/>
          <w:bCs/>
          <w:snapToGrid w:val="0"/>
          <w:color w:val="auto"/>
          <w:spacing w:val="0"/>
          <w:kern w:val="0"/>
          <w:sz w:val="32"/>
          <w:szCs w:val="32"/>
          <w:lang w:val="en-US" w:eastAsia="zh-CN"/>
        </w:rPr>
        <w:t>层，其中一层设置急诊室、注射室、抢救室、控制室、门诊大厅等，二层设置中医科诊室、外科诊室、检查室、肛肠科诊室、内科诊室等，三层设置胃病科、耳鼻喉科、口腔科、手术室等，四层设置更衣室、试剂冷库、心电室、检验大厅等，五至十一层均设置病房。项目总投资</w:t>
      </w:r>
      <w:r>
        <w:rPr>
          <w:rFonts w:hint="eastAsia" w:ascii="Times New Roman" w:hAnsi="Times New Roman" w:eastAsia="仿宋_GB2312" w:cs="Times New Roman"/>
          <w:bCs/>
          <w:color w:val="auto"/>
          <w:spacing w:val="0"/>
          <w:w w:val="100"/>
          <w:kern w:val="0"/>
          <w:sz w:val="32"/>
          <w:szCs w:val="32"/>
          <w:lang w:val="en-US" w:eastAsia="zh-CN" w:bidi="ar-SA"/>
        </w:rPr>
        <w:t>24500万元</w:t>
      </w:r>
      <w:r>
        <w:rPr>
          <w:rFonts w:hint="eastAsia" w:ascii="仿宋_GB2312" w:hAnsi="仿宋_GB2312" w:cs="仿宋_GB2312"/>
          <w:bCs/>
          <w:snapToGrid w:val="0"/>
          <w:color w:val="auto"/>
          <w:spacing w:val="0"/>
          <w:kern w:val="0"/>
          <w:sz w:val="32"/>
          <w:szCs w:val="32"/>
          <w:lang w:val="en-US" w:eastAsia="zh-CN"/>
        </w:rPr>
        <w:t>，其中环保投资</w:t>
      </w:r>
      <w:r>
        <w:rPr>
          <w:rFonts w:hint="eastAsia" w:ascii="Times New Roman" w:hAnsi="Times New Roman" w:eastAsia="仿宋_GB2312" w:cs="Times New Roman"/>
          <w:bCs/>
          <w:color w:val="auto"/>
          <w:spacing w:val="0"/>
          <w:w w:val="100"/>
          <w:kern w:val="0"/>
          <w:sz w:val="32"/>
          <w:szCs w:val="32"/>
          <w:lang w:val="en-US" w:eastAsia="zh-CN" w:bidi="ar-SA"/>
        </w:rPr>
        <w:t>81</w:t>
      </w:r>
      <w:r>
        <w:rPr>
          <w:rFonts w:hint="eastAsia" w:ascii="仿宋_GB2312" w:hAnsi="仿宋_GB2312" w:cs="仿宋_GB2312"/>
          <w:bCs/>
          <w:snapToGrid w:val="0"/>
          <w:color w:val="auto"/>
          <w:spacing w:val="0"/>
          <w:kern w:val="0"/>
          <w:sz w:val="32"/>
          <w:szCs w:val="32"/>
          <w:lang w:val="en-US" w:eastAsia="zh-CN"/>
        </w:rPr>
        <w:t>万元。</w:t>
      </w:r>
    </w:p>
    <w:p w14:paraId="2EA72434">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仿宋_GB2312" w:hAnsi="仿宋_GB2312" w:eastAsia="仿宋_GB2312" w:cs="仿宋_GB2312"/>
          <w:bCs/>
          <w:snapToGrid w:val="0"/>
          <w:color w:val="auto"/>
          <w:spacing w:val="0"/>
          <w:kern w:val="0"/>
          <w:sz w:val="32"/>
          <w:szCs w:val="32"/>
          <w:lang w:val="en-US" w:eastAsia="zh-CN"/>
        </w:rPr>
        <w:t>项目符合国家产业政策、相关规划、生态环境分区管控要求。在全面落实报告表提出的各项生态环境保护措施的前提下，项目建设的不利生态环境影响可得到减缓和控制。我局原则同意报告表的环境影响评价总体结论和拟采取的各项生态环境保护措施。</w:t>
      </w:r>
    </w:p>
    <w:p w14:paraId="7C1BA08B">
      <w:pPr>
        <w:keepNext w:val="0"/>
        <w:keepLines w:val="0"/>
        <w:pageBreakBefore w:val="0"/>
        <w:widowControl w:val="0"/>
        <w:kinsoku/>
        <w:wordWrap/>
        <w:overflowPunct/>
        <w:topLinePunct w:val="0"/>
        <w:autoSpaceDE/>
        <w:autoSpaceDN/>
        <w:bidi w:val="0"/>
        <w:adjustRightInd w:val="0"/>
        <w:snapToGrid w:val="0"/>
        <w:spacing w:line="576" w:lineRule="exact"/>
        <w:ind w:right="0" w:firstLine="640" w:firstLineChars="200"/>
        <w:jc w:val="both"/>
        <w:textAlignment w:val="auto"/>
        <w:rPr>
          <w:rFonts w:hint="eastAsia" w:ascii="黑体" w:hAnsi="黑体" w:eastAsia="黑体" w:cs="黑体"/>
          <w:bCs/>
          <w:spacing w:val="0"/>
          <w:kern w:val="0"/>
          <w:sz w:val="32"/>
          <w:szCs w:val="32"/>
        </w:rPr>
      </w:pPr>
      <w:r>
        <w:rPr>
          <w:rFonts w:hint="eastAsia" w:ascii="黑体" w:hAnsi="黑体" w:eastAsia="黑体" w:cs="黑体"/>
          <w:bCs/>
          <w:spacing w:val="0"/>
          <w:kern w:val="0"/>
          <w:sz w:val="32"/>
          <w:szCs w:val="32"/>
        </w:rPr>
        <w:t>二、项目</w:t>
      </w:r>
      <w:r>
        <w:rPr>
          <w:rFonts w:hint="default" w:ascii="黑体" w:hAnsi="黑体" w:eastAsia="黑体" w:cs="黑体"/>
          <w:bCs/>
          <w:spacing w:val="0"/>
          <w:kern w:val="0"/>
          <w:sz w:val="32"/>
          <w:szCs w:val="32"/>
        </w:rPr>
        <w:t>建设和</w:t>
      </w:r>
      <w:r>
        <w:rPr>
          <w:rFonts w:hint="eastAsia" w:ascii="黑体" w:hAnsi="黑体" w:eastAsia="黑体" w:cs="黑体"/>
          <w:bCs/>
          <w:spacing w:val="0"/>
          <w:kern w:val="0"/>
          <w:sz w:val="32"/>
          <w:szCs w:val="32"/>
        </w:rPr>
        <w:t>运行</w:t>
      </w:r>
      <w:r>
        <w:rPr>
          <w:rFonts w:hint="eastAsia" w:ascii="黑体" w:hAnsi="黑体" w:eastAsia="黑体" w:cs="黑体"/>
          <w:bCs/>
          <w:spacing w:val="0"/>
          <w:kern w:val="0"/>
          <w:sz w:val="32"/>
          <w:szCs w:val="32"/>
          <w:lang w:val="en-US" w:eastAsia="zh-CN"/>
        </w:rPr>
        <w:t>管理</w:t>
      </w:r>
      <w:r>
        <w:rPr>
          <w:rFonts w:hint="eastAsia" w:ascii="黑体" w:hAnsi="黑体" w:eastAsia="黑体" w:cs="黑体"/>
          <w:bCs/>
          <w:spacing w:val="0"/>
          <w:kern w:val="0"/>
          <w:sz w:val="32"/>
          <w:szCs w:val="32"/>
        </w:rPr>
        <w:t>中应重点做好</w:t>
      </w:r>
      <w:r>
        <w:rPr>
          <w:rFonts w:hint="eastAsia" w:ascii="黑体" w:hAnsi="黑体" w:eastAsia="黑体" w:cs="黑体"/>
          <w:bCs/>
          <w:spacing w:val="0"/>
          <w:kern w:val="0"/>
          <w:sz w:val="32"/>
          <w:szCs w:val="32"/>
          <w:lang w:val="en-US" w:eastAsia="zh-CN"/>
        </w:rPr>
        <w:t>的</w:t>
      </w:r>
      <w:r>
        <w:rPr>
          <w:rFonts w:hint="eastAsia" w:ascii="黑体" w:hAnsi="黑体" w:eastAsia="黑体" w:cs="黑体"/>
          <w:bCs/>
          <w:spacing w:val="0"/>
          <w:kern w:val="0"/>
          <w:sz w:val="32"/>
          <w:szCs w:val="32"/>
        </w:rPr>
        <w:t>工作</w:t>
      </w:r>
    </w:p>
    <w:p w14:paraId="1C0CACE7">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eastAsia" w:ascii="方正楷体_GB2312" w:hAnsi="方正楷体_GB2312" w:eastAsia="方正楷体_GB2312" w:cs="方正楷体_GB2312"/>
          <w:bCs/>
          <w:snapToGrid w:val="0"/>
          <w:color w:val="auto"/>
          <w:spacing w:val="0"/>
          <w:kern w:val="0"/>
          <w:sz w:val="32"/>
          <w:szCs w:val="32"/>
          <w:lang w:val="en-US" w:eastAsia="zh-CN"/>
        </w:rPr>
        <w:t>（一）</w:t>
      </w:r>
      <w:r>
        <w:rPr>
          <w:rFonts w:hint="default" w:ascii="仿宋_GB2312" w:hAnsi="仿宋_GB2312" w:eastAsia="仿宋_GB2312" w:cs="仿宋_GB2312"/>
          <w:bCs/>
          <w:snapToGrid w:val="0"/>
          <w:color w:val="auto"/>
          <w:spacing w:val="0"/>
          <w:kern w:val="0"/>
          <w:sz w:val="32"/>
          <w:szCs w:val="32"/>
          <w:lang w:val="en-US" w:eastAsia="zh-CN"/>
        </w:rPr>
        <w:t>严格按照报告</w:t>
      </w:r>
      <w:r>
        <w:rPr>
          <w:rFonts w:hint="eastAsia" w:ascii="仿宋_GB2312" w:hAnsi="仿宋_GB2312" w:cs="仿宋_GB2312"/>
          <w:bCs/>
          <w:snapToGrid w:val="0"/>
          <w:color w:val="auto"/>
          <w:spacing w:val="0"/>
          <w:kern w:val="0"/>
          <w:sz w:val="32"/>
          <w:szCs w:val="32"/>
          <w:lang w:val="en-US" w:eastAsia="zh-CN"/>
        </w:rPr>
        <w:t>表</w:t>
      </w:r>
      <w:r>
        <w:rPr>
          <w:rFonts w:hint="default" w:ascii="仿宋_GB2312" w:hAnsi="仿宋_GB2312" w:eastAsia="仿宋_GB2312" w:cs="仿宋_GB2312"/>
          <w:bCs/>
          <w:snapToGrid w:val="0"/>
          <w:color w:val="auto"/>
          <w:spacing w:val="0"/>
          <w:kern w:val="0"/>
          <w:sz w:val="32"/>
          <w:szCs w:val="32"/>
          <w:lang w:val="en-US" w:eastAsia="zh-CN"/>
        </w:rPr>
        <w:t>要求加强各项污染治理设施的建设和运行管理，优化和完善相关工艺及参数</w:t>
      </w:r>
      <w:r>
        <w:rPr>
          <w:rFonts w:hint="eastAsia" w:ascii="仿宋_GB2312" w:hAnsi="仿宋_GB2312" w:eastAsia="仿宋_GB2312" w:cs="仿宋_GB2312"/>
          <w:bCs/>
          <w:snapToGrid w:val="0"/>
          <w:color w:val="auto"/>
          <w:spacing w:val="0"/>
          <w:kern w:val="0"/>
          <w:sz w:val="32"/>
          <w:szCs w:val="32"/>
          <w:lang w:val="en-US" w:eastAsia="zh-CN"/>
        </w:rPr>
        <w:t>。加强</w:t>
      </w:r>
      <w:r>
        <w:rPr>
          <w:rFonts w:hint="default" w:ascii="仿宋_GB2312" w:hAnsi="仿宋_GB2312" w:eastAsia="仿宋_GB2312" w:cs="仿宋_GB2312"/>
          <w:bCs/>
          <w:snapToGrid w:val="0"/>
          <w:color w:val="auto"/>
          <w:spacing w:val="0"/>
          <w:kern w:val="0"/>
          <w:sz w:val="32"/>
          <w:szCs w:val="32"/>
          <w:lang w:val="en-US" w:eastAsia="zh-CN"/>
        </w:rPr>
        <w:t>企业清洁生产管理，减少污染物的产生和排放。</w:t>
      </w:r>
    </w:p>
    <w:p w14:paraId="1121A463">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（二）严格按照报告表要求，加强施工期管理。</w:t>
      </w:r>
      <w:r>
        <w:rPr>
          <w:rFonts w:hint="default" w:ascii="仿宋_GB2312" w:hAnsi="仿宋_GB2312" w:eastAsia="仿宋_GB2312" w:cs="仿宋_GB2312"/>
          <w:bCs/>
          <w:snapToGrid w:val="0"/>
          <w:color w:val="auto"/>
          <w:spacing w:val="0"/>
          <w:kern w:val="0"/>
          <w:sz w:val="32"/>
          <w:szCs w:val="32"/>
          <w:lang w:val="en-US" w:eastAsia="zh-CN"/>
        </w:rPr>
        <w:t>合理安排施工时段和施工场地布设，落实施工期各项环境保护措施，有效控制和减少施工期废水、噪声、废渣、扬尘等对周围环境的影响。</w:t>
      </w:r>
    </w:p>
    <w:p w14:paraId="2718B25A">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（三）严格按照报告表要求</w:t>
      </w:r>
      <w:r>
        <w:rPr>
          <w:rFonts w:hint="eastAsia" w:ascii="方正楷体_GB2312" w:hAnsi="方正楷体_GB2312" w:eastAsia="方正楷体_GB2312" w:cs="方正楷体_GB2312"/>
          <w:bCs/>
          <w:snapToGrid w:val="0"/>
          <w:color w:val="auto"/>
          <w:spacing w:val="0"/>
          <w:kern w:val="0"/>
          <w:sz w:val="32"/>
          <w:szCs w:val="32"/>
          <w:lang w:val="en-US" w:eastAsia="zh-CN"/>
        </w:rPr>
        <w:t>，</w:t>
      </w:r>
      <w:r>
        <w:rPr>
          <w:rFonts w:hint="default" w:ascii="方正楷体_GB2312" w:hAnsi="方正楷体_GB2312" w:eastAsia="方正楷体_GB2312" w:cs="方正楷体_GB2312"/>
          <w:bCs/>
          <w:snapToGrid w:val="0"/>
          <w:color w:val="auto"/>
          <w:spacing w:val="0"/>
          <w:kern w:val="0"/>
          <w:sz w:val="32"/>
          <w:szCs w:val="32"/>
          <w:lang w:val="en-US" w:eastAsia="zh-CN"/>
        </w:rPr>
        <w:t>落实并优化大气污染防治措施。</w:t>
      </w:r>
      <w:r>
        <w:rPr>
          <w:rFonts w:hint="default" w:ascii="仿宋_GB2312" w:hAnsi="仿宋_GB2312" w:eastAsia="仿宋_GB2312" w:cs="仿宋_GB2312"/>
          <w:bCs/>
          <w:snapToGrid w:val="0"/>
          <w:color w:val="auto"/>
          <w:spacing w:val="0"/>
          <w:kern w:val="0"/>
          <w:sz w:val="32"/>
          <w:szCs w:val="32"/>
          <w:lang w:val="en-US" w:eastAsia="zh-CN"/>
        </w:rPr>
        <w:t>加强各类废气收集和处理设施的运行管理，优化废气处理工艺和参数，确保各类大气污染物稳定达标排放。手术室、住院病房设置洁净空调系统，</w:t>
      </w:r>
      <w:r>
        <w:rPr>
          <w:rFonts w:hint="eastAsia" w:ascii="仿宋_GB2312" w:hAnsi="仿宋_GB2312" w:cs="仿宋_GB2312"/>
          <w:bCs/>
          <w:snapToGrid w:val="0"/>
          <w:color w:val="auto"/>
          <w:spacing w:val="0"/>
          <w:kern w:val="0"/>
          <w:sz w:val="32"/>
          <w:szCs w:val="32"/>
          <w:lang w:val="en-US" w:eastAsia="zh-CN"/>
        </w:rPr>
        <w:t>带菌废气</w:t>
      </w:r>
      <w:r>
        <w:rPr>
          <w:rFonts w:hint="default" w:ascii="仿宋_GB2312" w:hAnsi="仿宋_GB2312" w:eastAsia="仿宋_GB2312" w:cs="仿宋_GB2312"/>
          <w:bCs/>
          <w:snapToGrid w:val="0"/>
          <w:color w:val="auto"/>
          <w:spacing w:val="0"/>
          <w:kern w:val="0"/>
          <w:sz w:val="32"/>
          <w:szCs w:val="32"/>
          <w:lang w:val="en-US" w:eastAsia="zh-CN"/>
        </w:rPr>
        <w:t>经紫外线灯消毒杀菌处理后引至门诊内科综合楼楼顶高空排放。医院</w:t>
      </w:r>
      <w:r>
        <w:rPr>
          <w:rFonts w:hint="eastAsia" w:ascii="仿宋_GB2312" w:hAnsi="仿宋_GB2312" w:cs="仿宋_GB2312"/>
          <w:bCs/>
          <w:snapToGrid w:val="0"/>
          <w:color w:val="auto"/>
          <w:spacing w:val="0"/>
          <w:kern w:val="0"/>
          <w:sz w:val="32"/>
          <w:szCs w:val="32"/>
          <w:lang w:val="en-US" w:eastAsia="zh-CN"/>
        </w:rPr>
        <w:t>带菌</w:t>
      </w:r>
      <w:r>
        <w:rPr>
          <w:rFonts w:hint="default" w:ascii="仿宋_GB2312" w:hAnsi="仿宋_GB2312" w:eastAsia="仿宋_GB2312" w:cs="仿宋_GB2312"/>
          <w:bCs/>
          <w:snapToGrid w:val="0"/>
          <w:color w:val="auto"/>
          <w:spacing w:val="0"/>
          <w:kern w:val="0"/>
          <w:sz w:val="32"/>
          <w:szCs w:val="32"/>
          <w:lang w:val="en-US" w:eastAsia="zh-CN"/>
        </w:rPr>
        <w:t>废气通过机械通风、紫外消毒灯方式降低空气中的含菌量，分区设置独立的净化空调系统，各排风口设置初效、中效、亚高效过滤器对带病病原微生物气溶胶进行处理后，再经排风井引至门诊内科综合楼楼顶排放。检验室产生废气环节均在通风橱内完成，收集的废气经通风橱收集后通过管道引至门诊内科综合楼楼顶排放。实验室废气经由负压式生物安全柜的</w:t>
      </w:r>
      <w:r>
        <w:rPr>
          <w:rFonts w:hint="default" w:ascii="Times New Roman" w:hAnsi="Times New Roman" w:eastAsia="仿宋_GB2312" w:cs="Times New Roman"/>
          <w:bCs/>
          <w:color w:val="auto"/>
          <w:spacing w:val="0"/>
          <w:w w:val="100"/>
          <w:kern w:val="0"/>
          <w:sz w:val="32"/>
          <w:szCs w:val="32"/>
          <w:lang w:val="en-US" w:eastAsia="zh-CN" w:bidi="ar-SA"/>
        </w:rPr>
        <w:t>HEPA</w:t>
      </w:r>
      <w:r>
        <w:rPr>
          <w:rFonts w:hint="default" w:ascii="仿宋_GB2312" w:hAnsi="仿宋_GB2312" w:eastAsia="仿宋_GB2312" w:cs="仿宋_GB2312"/>
          <w:bCs/>
          <w:snapToGrid w:val="0"/>
          <w:color w:val="auto"/>
          <w:spacing w:val="0"/>
          <w:kern w:val="0"/>
          <w:sz w:val="32"/>
          <w:szCs w:val="32"/>
          <w:lang w:val="en-US" w:eastAsia="zh-CN"/>
        </w:rPr>
        <w:t>高效过滤器过滤，可排到房间再经实验室新风系统处理后排至专用排气管道引至门诊内科综合楼楼顶排放。医疗废物暂存间设置抽排风系统，收集的医疗废物废气于所在建筑楼顶排放</w:t>
      </w:r>
      <w:r>
        <w:rPr>
          <w:rFonts w:hint="eastAsia" w:ascii="仿宋_GB2312" w:hAnsi="仿宋_GB2312" w:cs="仿宋_GB2312"/>
          <w:bCs/>
          <w:snapToGrid w:val="0"/>
          <w:color w:val="auto"/>
          <w:spacing w:val="0"/>
          <w:kern w:val="0"/>
          <w:sz w:val="32"/>
          <w:szCs w:val="32"/>
          <w:lang w:val="en-US" w:eastAsia="zh-CN"/>
        </w:rPr>
        <w:t>。发电机尾气通过自带的消烟除尘器处理，燃烧废气经排风系统收集后自然扩散。地下车库汽车尾气需加强管理，经自然扩散。污水处理站为地埋式封闭污水处理系统，上方及四周设置有绿化植被，喷洒除臭剂。食堂油烟依托已建油烟净化器处理后引至楼顶排放。</w:t>
      </w:r>
    </w:p>
    <w:p w14:paraId="1621FC85">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eastAsia" w:ascii="方正楷体_GB2312" w:hAnsi="方正楷体_GB2312" w:eastAsia="方正楷体_GB2312" w:cs="方正楷体_GB2312"/>
          <w:bCs/>
          <w:snapToGrid w:val="0"/>
          <w:color w:val="auto"/>
          <w:spacing w:val="0"/>
          <w:kern w:val="0"/>
          <w:sz w:val="32"/>
          <w:szCs w:val="32"/>
          <w:lang w:val="en-US" w:eastAsia="zh-CN"/>
        </w:rPr>
        <w:t>四</w:t>
      </w:r>
      <w:r>
        <w:rPr>
          <w:rFonts w:hint="default" w:ascii="方正楷体_GB2312" w:hAnsi="方正楷体_GB2312" w:eastAsia="方正楷体_GB2312" w:cs="方正楷体_GB2312"/>
          <w:bCs/>
          <w:snapToGrid w:val="0"/>
          <w:color w:val="auto"/>
          <w:spacing w:val="0"/>
          <w:kern w:val="0"/>
          <w:sz w:val="32"/>
          <w:szCs w:val="32"/>
          <w:lang w:val="en-US" w:eastAsia="zh-CN"/>
        </w:rPr>
        <w:t>）严格按照报告表要求</w:t>
      </w:r>
      <w:r>
        <w:rPr>
          <w:rFonts w:hint="eastAsia" w:ascii="方正楷体_GB2312" w:hAnsi="方正楷体_GB2312" w:eastAsia="方正楷体_GB2312" w:cs="方正楷体_GB2312"/>
          <w:bCs/>
          <w:snapToGrid w:val="0"/>
          <w:color w:val="auto"/>
          <w:spacing w:val="0"/>
          <w:kern w:val="0"/>
          <w:sz w:val="32"/>
          <w:szCs w:val="32"/>
          <w:lang w:val="en-US" w:eastAsia="zh-CN"/>
        </w:rPr>
        <w:t>，</w:t>
      </w:r>
      <w:r>
        <w:rPr>
          <w:rFonts w:hint="default" w:ascii="方正楷体_GB2312" w:hAnsi="方正楷体_GB2312" w:eastAsia="方正楷体_GB2312" w:cs="方正楷体_GB2312"/>
          <w:bCs/>
          <w:snapToGrid w:val="0"/>
          <w:color w:val="auto"/>
          <w:spacing w:val="0"/>
          <w:kern w:val="0"/>
          <w:sz w:val="32"/>
          <w:szCs w:val="32"/>
          <w:lang w:val="en-US" w:eastAsia="zh-CN"/>
        </w:rPr>
        <w:t>切实落实水环境污染防治措施。</w:t>
      </w:r>
      <w:r>
        <w:rPr>
          <w:rFonts w:hint="default" w:ascii="仿宋_GB2312" w:hAnsi="仿宋_GB2312" w:eastAsia="仿宋_GB2312" w:cs="仿宋_GB2312"/>
          <w:bCs/>
          <w:snapToGrid w:val="0"/>
          <w:color w:val="auto"/>
          <w:spacing w:val="0"/>
          <w:kern w:val="0"/>
          <w:sz w:val="32"/>
          <w:szCs w:val="32"/>
          <w:lang w:val="en-US" w:eastAsia="zh-CN"/>
        </w:rPr>
        <w:t>完善</w:t>
      </w:r>
      <w:r>
        <w:rPr>
          <w:rFonts w:hint="eastAsia" w:ascii="仿宋_GB2312" w:hAnsi="仿宋_GB2312" w:cs="仿宋_GB2312"/>
          <w:bCs/>
          <w:snapToGrid w:val="0"/>
          <w:color w:val="auto"/>
          <w:spacing w:val="0"/>
          <w:kern w:val="0"/>
          <w:sz w:val="32"/>
          <w:szCs w:val="32"/>
          <w:lang w:val="en-US" w:eastAsia="zh-CN"/>
        </w:rPr>
        <w:t>院</w:t>
      </w:r>
      <w:r>
        <w:rPr>
          <w:rFonts w:hint="default" w:ascii="仿宋_GB2312" w:hAnsi="仿宋_GB2312" w:eastAsia="仿宋_GB2312" w:cs="仿宋_GB2312"/>
          <w:bCs/>
          <w:snapToGrid w:val="0"/>
          <w:color w:val="auto"/>
          <w:spacing w:val="0"/>
          <w:kern w:val="0"/>
          <w:sz w:val="32"/>
          <w:szCs w:val="32"/>
          <w:lang w:val="en-US" w:eastAsia="zh-CN"/>
        </w:rPr>
        <w:t>区雨污分流系统，特殊废水经酸碱中和预处理槽</w:t>
      </w:r>
      <w:r>
        <w:rPr>
          <w:rFonts w:hint="default" w:ascii="Times New Roman" w:hAnsi="Times New Roman" w:eastAsia="仿宋_GB2312" w:cs="Times New Roman"/>
          <w:bCs/>
          <w:color w:val="auto"/>
          <w:spacing w:val="0"/>
          <w:w w:val="100"/>
          <w:kern w:val="0"/>
          <w:sz w:val="32"/>
          <w:szCs w:val="32"/>
          <w:lang w:val="en-US" w:eastAsia="zh-CN" w:bidi="ar-SA"/>
        </w:rPr>
        <w:t>（1m</w:t>
      </w:r>
      <w:r>
        <w:rPr>
          <w:rFonts w:hint="default" w:ascii="Times New Roman" w:hAnsi="Times New Roman" w:eastAsia="仿宋_GB2312" w:cs="Times New Roman"/>
          <w:bCs/>
          <w:color w:val="auto"/>
          <w:spacing w:val="0"/>
          <w:w w:val="100"/>
          <w:kern w:val="0"/>
          <w:sz w:val="32"/>
          <w:szCs w:val="32"/>
          <w:vertAlign w:val="superscript"/>
          <w:lang w:val="en-US" w:eastAsia="zh-CN" w:bidi="ar-SA"/>
        </w:rPr>
        <w:t>3</w:t>
      </w:r>
      <w:r>
        <w:rPr>
          <w:rFonts w:hint="default" w:ascii="Times New Roman" w:hAnsi="Times New Roman" w:eastAsia="仿宋_GB2312" w:cs="Times New Roman"/>
          <w:bCs/>
          <w:color w:val="auto"/>
          <w:spacing w:val="0"/>
          <w:w w:val="100"/>
          <w:kern w:val="0"/>
          <w:sz w:val="32"/>
          <w:szCs w:val="32"/>
          <w:lang w:val="en-US" w:eastAsia="zh-CN" w:bidi="ar-SA"/>
        </w:rPr>
        <w:t>）</w:t>
      </w:r>
      <w:r>
        <w:rPr>
          <w:rFonts w:hint="default" w:ascii="仿宋_GB2312" w:hAnsi="仿宋_GB2312" w:eastAsia="仿宋_GB2312" w:cs="仿宋_GB2312"/>
          <w:bCs/>
          <w:snapToGrid w:val="0"/>
          <w:color w:val="auto"/>
          <w:spacing w:val="0"/>
          <w:kern w:val="0"/>
          <w:sz w:val="32"/>
          <w:szCs w:val="32"/>
          <w:lang w:val="en-US" w:eastAsia="zh-CN"/>
        </w:rPr>
        <w:t>预处理后进入化粪池与生活废水、其他废水一起进入已建污水处理站</w:t>
      </w:r>
      <w:r>
        <w:rPr>
          <w:rFonts w:hint="eastAsia" w:ascii="仿宋_GB2312" w:hAnsi="仿宋_GB2312" w:cs="仿宋_GB2312"/>
          <w:bCs/>
          <w:snapToGrid w:val="0"/>
          <w:color w:val="auto"/>
          <w:spacing w:val="0"/>
          <w:kern w:val="0"/>
          <w:sz w:val="32"/>
          <w:szCs w:val="32"/>
          <w:lang w:val="en-US" w:eastAsia="zh-CN"/>
        </w:rPr>
        <w:t>（</w:t>
      </w:r>
      <w:r>
        <w:rPr>
          <w:rFonts w:hint="eastAsia" w:ascii="仿宋_GB2312" w:hAnsi="仿宋_GB2312" w:eastAsia="仿宋_GB2312" w:cs="仿宋_GB2312"/>
          <w:bCs/>
          <w:spacing w:val="-6"/>
          <w:sz w:val="32"/>
          <w:szCs w:val="32"/>
        </w:rPr>
        <w:t>设计规模为</w:t>
      </w:r>
      <w:r>
        <w:rPr>
          <w:rFonts w:hint="eastAsia" w:ascii="Times New Roman" w:hAnsi="Times New Roman" w:eastAsia="仿宋_GB2312" w:cs="Times New Roman"/>
          <w:bCs/>
          <w:color w:val="auto"/>
          <w:spacing w:val="0"/>
          <w:w w:val="100"/>
          <w:kern w:val="0"/>
          <w:sz w:val="32"/>
          <w:szCs w:val="32"/>
          <w:lang w:val="en-US" w:eastAsia="zh-CN" w:bidi="ar-SA"/>
        </w:rPr>
        <w:t>2</w:t>
      </w:r>
      <w:r>
        <w:rPr>
          <w:rFonts w:hint="default" w:ascii="Times New Roman" w:hAnsi="Times New Roman" w:eastAsia="仿宋_GB2312" w:cs="Times New Roman"/>
          <w:bCs/>
          <w:color w:val="auto"/>
          <w:spacing w:val="0"/>
          <w:w w:val="100"/>
          <w:kern w:val="0"/>
          <w:sz w:val="32"/>
          <w:szCs w:val="32"/>
          <w:lang w:val="en-US" w:eastAsia="zh-CN" w:bidi="ar-SA"/>
        </w:rPr>
        <w:t>0</w:t>
      </w:r>
      <w:r>
        <w:rPr>
          <w:rFonts w:hint="eastAsia" w:ascii="Times New Roman" w:hAnsi="Times New Roman" w:eastAsia="仿宋_GB2312" w:cs="Times New Roman"/>
          <w:bCs/>
          <w:color w:val="auto"/>
          <w:spacing w:val="0"/>
          <w:w w:val="100"/>
          <w:kern w:val="0"/>
          <w:sz w:val="32"/>
          <w:szCs w:val="32"/>
          <w:lang w:val="en-US" w:eastAsia="zh-CN" w:bidi="ar-SA"/>
        </w:rPr>
        <w:t>0m</w:t>
      </w:r>
      <w:r>
        <w:rPr>
          <w:rFonts w:hint="eastAsia" w:ascii="Times New Roman" w:hAnsi="Times New Roman" w:eastAsia="仿宋_GB2312" w:cs="Times New Roman"/>
          <w:bCs/>
          <w:color w:val="auto"/>
          <w:spacing w:val="0"/>
          <w:w w:val="100"/>
          <w:kern w:val="0"/>
          <w:sz w:val="32"/>
          <w:szCs w:val="32"/>
          <w:vertAlign w:val="superscript"/>
          <w:lang w:val="en-US" w:eastAsia="zh-CN" w:bidi="ar-SA"/>
        </w:rPr>
        <w:t>3</w:t>
      </w:r>
      <w:r>
        <w:rPr>
          <w:rFonts w:hint="eastAsia" w:ascii="Times New Roman" w:hAnsi="Times New Roman" w:eastAsia="仿宋_GB2312" w:cs="Times New Roman"/>
          <w:bCs/>
          <w:color w:val="auto"/>
          <w:spacing w:val="0"/>
          <w:w w:val="100"/>
          <w:kern w:val="0"/>
          <w:sz w:val="32"/>
          <w:szCs w:val="32"/>
          <w:lang w:val="en-US" w:eastAsia="zh-CN" w:bidi="ar-SA"/>
        </w:rPr>
        <w:t>/d</w:t>
      </w:r>
      <w:r>
        <w:rPr>
          <w:rFonts w:hint="default" w:ascii="仿宋_GB2312" w:hAnsi="仿宋_GB2312" w:cs="仿宋_GB2312"/>
          <w:bCs/>
          <w:snapToGrid w:val="0"/>
          <w:color w:val="auto"/>
          <w:spacing w:val="0"/>
          <w:kern w:val="0"/>
          <w:sz w:val="32"/>
          <w:szCs w:val="32"/>
          <w:lang w:eastAsia="zh-CN"/>
        </w:rPr>
        <w:t>，采用“二级处理+二氧化氯消毒”工艺</w:t>
      </w:r>
      <w:r>
        <w:rPr>
          <w:rFonts w:hint="eastAsia" w:ascii="仿宋_GB2312" w:hAnsi="仿宋_GB2312" w:cs="仿宋_GB2312"/>
          <w:bCs/>
          <w:snapToGrid w:val="0"/>
          <w:color w:val="auto"/>
          <w:spacing w:val="0"/>
          <w:kern w:val="0"/>
          <w:sz w:val="32"/>
          <w:szCs w:val="32"/>
          <w:lang w:val="en-US" w:eastAsia="zh-CN"/>
        </w:rPr>
        <w:t>）</w:t>
      </w:r>
      <w:r>
        <w:rPr>
          <w:rFonts w:hint="eastAsia" w:ascii="仿宋_GB2312" w:hAnsi="仿宋_GB2312" w:eastAsia="仿宋_GB2312" w:cs="仿宋_GB2312"/>
          <w:bCs/>
          <w:snapToGrid w:val="0"/>
          <w:color w:val="auto"/>
          <w:spacing w:val="0"/>
          <w:kern w:val="0"/>
          <w:sz w:val="32"/>
          <w:szCs w:val="32"/>
          <w:lang w:val="en-US" w:eastAsia="zh-CN"/>
        </w:rPr>
        <w:t>处理</w:t>
      </w:r>
      <w:r>
        <w:rPr>
          <w:bCs/>
          <w:spacing w:val="-6"/>
          <w:sz w:val="32"/>
          <w:szCs w:val="32"/>
        </w:rPr>
        <w:t>达</w:t>
      </w:r>
      <w:r>
        <w:rPr>
          <w:rFonts w:hint="eastAsia"/>
          <w:bCs/>
          <w:spacing w:val="-6"/>
          <w:sz w:val="32"/>
          <w:szCs w:val="32"/>
        </w:rPr>
        <w:t>《医疗机构水污染物排放标准》（GB18466-2005）表</w:t>
      </w:r>
      <w:r>
        <w:rPr>
          <w:rFonts w:hint="eastAsia" w:ascii="Times New Roman" w:hAnsi="Times New Roman" w:eastAsia="仿宋_GB2312" w:cs="Times New Roman"/>
          <w:bCs/>
          <w:color w:val="auto"/>
          <w:spacing w:val="0"/>
          <w:w w:val="100"/>
          <w:kern w:val="0"/>
          <w:sz w:val="32"/>
          <w:szCs w:val="32"/>
          <w:lang w:val="en-US" w:eastAsia="zh-CN" w:bidi="ar-SA"/>
        </w:rPr>
        <w:t>2</w:t>
      </w:r>
      <w:r>
        <w:rPr>
          <w:rFonts w:hint="eastAsia"/>
          <w:bCs/>
          <w:spacing w:val="-6"/>
          <w:sz w:val="32"/>
          <w:szCs w:val="32"/>
        </w:rPr>
        <w:t>中预处理标准后进入市政污水管网，然后进入泉坝污水处理厂处理达《城镇污水厂污染物排放标准》（GB18918-2002）一级A标后排入南河。</w:t>
      </w:r>
    </w:p>
    <w:p w14:paraId="11CB80BD">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eastAsia" w:ascii="方正楷体_GB2312" w:hAnsi="方正楷体_GB2312" w:eastAsia="方正楷体_GB2312" w:cs="方正楷体_GB2312"/>
          <w:bCs/>
          <w:snapToGrid w:val="0"/>
          <w:color w:val="auto"/>
          <w:spacing w:val="0"/>
          <w:kern w:val="0"/>
          <w:sz w:val="32"/>
          <w:szCs w:val="32"/>
          <w:lang w:val="en-US" w:eastAsia="zh-CN"/>
        </w:rPr>
        <w:t>五</w:t>
      </w:r>
      <w:r>
        <w:rPr>
          <w:rFonts w:hint="default" w:ascii="方正楷体_GB2312" w:hAnsi="方正楷体_GB2312" w:eastAsia="方正楷体_GB2312" w:cs="方正楷体_GB2312"/>
          <w:bCs/>
          <w:snapToGrid w:val="0"/>
          <w:color w:val="auto"/>
          <w:spacing w:val="0"/>
          <w:kern w:val="0"/>
          <w:sz w:val="32"/>
          <w:szCs w:val="32"/>
          <w:lang w:val="en-US" w:eastAsia="zh-CN"/>
        </w:rPr>
        <w:t>）严格</w:t>
      </w:r>
      <w:r>
        <w:rPr>
          <w:rFonts w:hint="eastAsia" w:ascii="方正楷体_GB2312" w:hAnsi="方正楷体_GB2312" w:eastAsia="方正楷体_GB2312" w:cs="方正楷体_GB2312"/>
          <w:bCs/>
          <w:snapToGrid w:val="0"/>
          <w:color w:val="auto"/>
          <w:spacing w:val="0"/>
          <w:kern w:val="0"/>
          <w:sz w:val="32"/>
          <w:szCs w:val="32"/>
          <w:lang w:val="en-US" w:eastAsia="zh-CN"/>
        </w:rPr>
        <w:t>按照报告表要求，优化布局，强化声环境保护措施。</w:t>
      </w:r>
      <w:r>
        <w:rPr>
          <w:rFonts w:hint="eastAsia" w:ascii="仿宋_GB2312" w:hAnsi="仿宋_GB2312" w:cs="仿宋_GB2312"/>
          <w:bCs/>
          <w:snapToGrid w:val="0"/>
          <w:color w:val="auto"/>
          <w:spacing w:val="0"/>
          <w:kern w:val="0"/>
          <w:sz w:val="32"/>
          <w:szCs w:val="32"/>
          <w:lang w:val="en-US" w:eastAsia="zh-CN"/>
        </w:rPr>
        <w:t>柴油发电机设置于地下室</w:t>
      </w:r>
      <w:r>
        <w:rPr>
          <w:rFonts w:hint="eastAsia" w:ascii="Times New Roman" w:hAnsi="Times New Roman" w:eastAsia="仿宋_GB2312" w:cs="Times New Roman"/>
          <w:bCs/>
          <w:color w:val="auto"/>
          <w:spacing w:val="0"/>
          <w:w w:val="100"/>
          <w:kern w:val="0"/>
          <w:sz w:val="32"/>
          <w:szCs w:val="32"/>
          <w:lang w:val="en-US" w:eastAsia="zh-CN" w:bidi="ar-SA"/>
        </w:rPr>
        <w:t>-1F</w:t>
      </w:r>
      <w:r>
        <w:rPr>
          <w:rFonts w:hint="eastAsia" w:ascii="仿宋_GB2312" w:hAnsi="仿宋_GB2312" w:cs="仿宋_GB2312"/>
          <w:bCs/>
          <w:snapToGrid w:val="0"/>
          <w:color w:val="auto"/>
          <w:spacing w:val="0"/>
          <w:kern w:val="0"/>
          <w:sz w:val="32"/>
          <w:szCs w:val="32"/>
          <w:lang w:val="en-US" w:eastAsia="zh-CN"/>
        </w:rPr>
        <w:t>，采用低噪声设备，对发电机组采用基础减振，设置机房进行建筑隔声等降噪措施，出风口设消声器；风机进、排风口设置进、排风（烟）消声器（道）；基础减振；水泵设置于负一楼水泵房内，采用低噪声设备、基础减振。泵房围护结构采取隔声处理，设隔声门、隔声窗；室内做吸声处理，根据声源噪声特性和设备工艺要求，设计吸声顶棚或吸声墙面。空压机设置于地下室</w:t>
      </w:r>
      <w:r>
        <w:rPr>
          <w:rFonts w:hint="eastAsia" w:ascii="Times New Roman" w:hAnsi="Times New Roman" w:eastAsia="仿宋_GB2312" w:cs="Times New Roman"/>
          <w:bCs/>
          <w:color w:val="auto"/>
          <w:spacing w:val="0"/>
          <w:w w:val="100"/>
          <w:kern w:val="0"/>
          <w:sz w:val="32"/>
          <w:szCs w:val="32"/>
          <w:lang w:val="en-US" w:eastAsia="zh-CN" w:bidi="ar-SA"/>
        </w:rPr>
        <w:t>-1F</w:t>
      </w:r>
      <w:r>
        <w:rPr>
          <w:rFonts w:hint="eastAsia" w:ascii="仿宋_GB2312" w:hAnsi="仿宋_GB2312" w:cs="仿宋_GB2312"/>
          <w:bCs/>
          <w:snapToGrid w:val="0"/>
          <w:color w:val="auto"/>
          <w:spacing w:val="0"/>
          <w:kern w:val="0"/>
          <w:sz w:val="32"/>
          <w:szCs w:val="32"/>
          <w:lang w:val="en-US" w:eastAsia="zh-CN"/>
        </w:rPr>
        <w:t>，位于单独密闭空压机机房内进行建筑隔声，基础减振</w:t>
      </w:r>
      <w:r>
        <w:rPr>
          <w:rFonts w:hint="default" w:ascii="仿宋_GB2312" w:hAnsi="仿宋_GB2312" w:eastAsia="仿宋_GB2312" w:cs="仿宋_GB2312"/>
          <w:bCs/>
          <w:snapToGrid w:val="0"/>
          <w:color w:val="auto"/>
          <w:spacing w:val="0"/>
          <w:kern w:val="0"/>
          <w:sz w:val="32"/>
          <w:szCs w:val="32"/>
          <w:lang w:val="en-US" w:eastAsia="zh-CN"/>
        </w:rPr>
        <w:t>，加强日常维护，控制和减少对周围环境的影响，确保厂界噪声达标。</w:t>
      </w:r>
    </w:p>
    <w:p w14:paraId="0811C7FC">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eastAsia" w:ascii="方正楷体_GB2312" w:hAnsi="方正楷体_GB2312" w:eastAsia="方正楷体_GB2312" w:cs="方正楷体_GB2312"/>
          <w:bCs/>
          <w:snapToGrid w:val="0"/>
          <w:color w:val="auto"/>
          <w:spacing w:val="0"/>
          <w:kern w:val="0"/>
          <w:sz w:val="32"/>
          <w:szCs w:val="32"/>
          <w:lang w:val="en-US" w:eastAsia="zh-CN"/>
        </w:rPr>
        <w:t>六</w:t>
      </w:r>
      <w:r>
        <w:rPr>
          <w:rFonts w:hint="default" w:ascii="方正楷体_GB2312" w:hAnsi="方正楷体_GB2312" w:eastAsia="方正楷体_GB2312" w:cs="方正楷体_GB2312"/>
          <w:bCs/>
          <w:snapToGrid w:val="0"/>
          <w:color w:val="auto"/>
          <w:spacing w:val="0"/>
          <w:kern w:val="0"/>
          <w:sz w:val="32"/>
          <w:szCs w:val="32"/>
          <w:lang w:val="en-US" w:eastAsia="zh-CN"/>
        </w:rPr>
        <w:t>）严格</w:t>
      </w:r>
      <w:r>
        <w:rPr>
          <w:rFonts w:hint="eastAsia" w:ascii="方正楷体_GB2312" w:hAnsi="方正楷体_GB2312" w:eastAsia="方正楷体_GB2312" w:cs="方正楷体_GB2312"/>
          <w:bCs/>
          <w:snapToGrid w:val="0"/>
          <w:color w:val="auto"/>
          <w:spacing w:val="0"/>
          <w:kern w:val="0"/>
          <w:sz w:val="32"/>
          <w:szCs w:val="32"/>
          <w:lang w:val="en-US" w:eastAsia="zh-CN"/>
        </w:rPr>
        <w:t>按照报告表要求，</w:t>
      </w:r>
      <w:r>
        <w:rPr>
          <w:rFonts w:hint="default" w:ascii="方正楷体_GB2312" w:hAnsi="方正楷体_GB2312" w:eastAsia="方正楷体_GB2312" w:cs="方正楷体_GB2312"/>
          <w:bCs/>
          <w:snapToGrid w:val="0"/>
          <w:color w:val="auto"/>
          <w:spacing w:val="0"/>
          <w:kern w:val="0"/>
          <w:sz w:val="32"/>
          <w:szCs w:val="32"/>
          <w:lang w:val="en-US" w:eastAsia="zh-CN"/>
        </w:rPr>
        <w:t>落实并优化固体废物污染防治措施。</w:t>
      </w:r>
      <w:r>
        <w:rPr>
          <w:rFonts w:hint="default" w:ascii="仿宋_GB2312" w:hAnsi="仿宋_GB2312" w:eastAsia="仿宋_GB2312" w:cs="仿宋_GB2312"/>
          <w:bCs/>
          <w:snapToGrid w:val="0"/>
          <w:color w:val="auto"/>
          <w:spacing w:val="0"/>
          <w:kern w:val="0"/>
          <w:sz w:val="32"/>
          <w:szCs w:val="32"/>
          <w:lang w:val="en-US" w:eastAsia="zh-CN"/>
        </w:rPr>
        <w:t>建立健全固体废物产生、收集、贮存、运输、利用、处置全过程的污染环境防治责任制度，严格按有关技术规范和规定落实各项防范措施，避免二次污染。生活垃圾暂存在生活垃圾暂存间</w:t>
      </w:r>
      <w:r>
        <w:rPr>
          <w:rFonts w:hint="default" w:ascii="Times New Roman" w:hAnsi="Times New Roman" w:eastAsia="仿宋_GB2312" w:cs="Times New Roman"/>
          <w:bCs/>
          <w:color w:val="auto"/>
          <w:spacing w:val="0"/>
          <w:w w:val="100"/>
          <w:kern w:val="0"/>
          <w:sz w:val="32"/>
          <w:szCs w:val="32"/>
          <w:lang w:val="en-US" w:eastAsia="zh-CN" w:bidi="ar-SA"/>
        </w:rPr>
        <w:t>（10m</w:t>
      </w:r>
      <w:r>
        <w:rPr>
          <w:rFonts w:hint="default" w:ascii="Times New Roman" w:hAnsi="Times New Roman" w:eastAsia="仿宋_GB2312" w:cs="Times New Roman"/>
          <w:bCs/>
          <w:color w:val="auto"/>
          <w:spacing w:val="0"/>
          <w:w w:val="100"/>
          <w:kern w:val="0"/>
          <w:sz w:val="32"/>
          <w:szCs w:val="32"/>
          <w:vertAlign w:val="superscript"/>
          <w:lang w:val="en-US" w:eastAsia="zh-CN" w:bidi="ar-SA"/>
        </w:rPr>
        <w:t>2</w:t>
      </w:r>
      <w:r>
        <w:rPr>
          <w:rFonts w:hint="default" w:ascii="Times New Roman" w:hAnsi="Times New Roman" w:eastAsia="仿宋_GB2312" w:cs="Times New Roman"/>
          <w:bCs/>
          <w:color w:val="auto"/>
          <w:spacing w:val="0"/>
          <w:w w:val="100"/>
          <w:kern w:val="0"/>
          <w:sz w:val="32"/>
          <w:szCs w:val="32"/>
          <w:lang w:val="en-US" w:eastAsia="zh-CN" w:bidi="ar-SA"/>
        </w:rPr>
        <w:t>）</w:t>
      </w:r>
      <w:r>
        <w:rPr>
          <w:rFonts w:hint="default" w:ascii="仿宋_GB2312" w:hAnsi="仿宋_GB2312" w:eastAsia="仿宋_GB2312" w:cs="仿宋_GB2312"/>
          <w:bCs/>
          <w:snapToGrid w:val="0"/>
          <w:color w:val="auto"/>
          <w:spacing w:val="0"/>
          <w:kern w:val="0"/>
          <w:sz w:val="32"/>
          <w:szCs w:val="32"/>
          <w:lang w:val="en-US" w:eastAsia="zh-CN"/>
        </w:rPr>
        <w:t>，由环卫部门统一清运；纯水制备反渗透膜由厂家回收利用；未沾染的包装袋交有关单位回收利用，不得用于原用途。医疗废物、实验室废物、特殊废液暂存于医疗废物暂存间</w:t>
      </w:r>
      <w:r>
        <w:rPr>
          <w:rFonts w:hint="default" w:ascii="Times New Roman" w:hAnsi="Times New Roman" w:eastAsia="仿宋_GB2312" w:cs="Times New Roman"/>
          <w:bCs/>
          <w:color w:val="auto"/>
          <w:spacing w:val="0"/>
          <w:w w:val="100"/>
          <w:kern w:val="0"/>
          <w:sz w:val="32"/>
          <w:szCs w:val="32"/>
          <w:lang w:val="en-US" w:eastAsia="zh-CN" w:bidi="ar-SA"/>
        </w:rPr>
        <w:t>（29m</w:t>
      </w:r>
      <w:r>
        <w:rPr>
          <w:rFonts w:hint="default" w:ascii="Times New Roman" w:hAnsi="Times New Roman" w:eastAsia="仿宋_GB2312" w:cs="Times New Roman"/>
          <w:bCs/>
          <w:color w:val="auto"/>
          <w:spacing w:val="0"/>
          <w:w w:val="100"/>
          <w:kern w:val="0"/>
          <w:sz w:val="32"/>
          <w:szCs w:val="32"/>
          <w:vertAlign w:val="superscript"/>
          <w:lang w:val="en-US" w:eastAsia="zh-CN" w:bidi="ar-SA"/>
        </w:rPr>
        <w:t>2</w:t>
      </w:r>
      <w:r>
        <w:rPr>
          <w:rFonts w:hint="default" w:ascii="Times New Roman" w:hAnsi="Times New Roman" w:eastAsia="仿宋_GB2312" w:cs="Times New Roman"/>
          <w:bCs/>
          <w:color w:val="auto"/>
          <w:spacing w:val="0"/>
          <w:w w:val="100"/>
          <w:kern w:val="0"/>
          <w:sz w:val="32"/>
          <w:szCs w:val="32"/>
          <w:lang w:val="en-US" w:eastAsia="zh-CN" w:bidi="ar-SA"/>
        </w:rPr>
        <w:t>）</w:t>
      </w:r>
      <w:r>
        <w:rPr>
          <w:rFonts w:hint="default" w:ascii="仿宋_GB2312" w:hAnsi="仿宋_GB2312" w:eastAsia="仿宋_GB2312" w:cs="仿宋_GB2312"/>
          <w:bCs/>
          <w:snapToGrid w:val="0"/>
          <w:color w:val="auto"/>
          <w:spacing w:val="0"/>
          <w:kern w:val="0"/>
          <w:sz w:val="32"/>
          <w:szCs w:val="32"/>
          <w:lang w:val="en-US" w:eastAsia="zh-CN"/>
        </w:rPr>
        <w:t>，空调系统废滤芯、废紫外灯管暂存于危险废物暂存间</w:t>
      </w:r>
      <w:r>
        <w:rPr>
          <w:rFonts w:hint="default" w:ascii="Times New Roman" w:hAnsi="Times New Roman" w:eastAsia="仿宋_GB2312" w:cs="Times New Roman"/>
          <w:bCs/>
          <w:color w:val="auto"/>
          <w:spacing w:val="0"/>
          <w:w w:val="100"/>
          <w:kern w:val="0"/>
          <w:sz w:val="32"/>
          <w:szCs w:val="32"/>
          <w:lang w:val="en-US" w:eastAsia="zh-CN" w:bidi="ar-SA"/>
        </w:rPr>
        <w:t>（29m</w:t>
      </w:r>
      <w:r>
        <w:rPr>
          <w:rFonts w:hint="default" w:ascii="Times New Roman" w:hAnsi="Times New Roman" w:eastAsia="仿宋_GB2312" w:cs="Times New Roman"/>
          <w:bCs/>
          <w:color w:val="auto"/>
          <w:spacing w:val="0"/>
          <w:w w:val="100"/>
          <w:kern w:val="0"/>
          <w:sz w:val="32"/>
          <w:szCs w:val="32"/>
          <w:vertAlign w:val="superscript"/>
          <w:lang w:val="en-US" w:eastAsia="zh-CN" w:bidi="ar-SA"/>
        </w:rPr>
        <w:t>2</w:t>
      </w:r>
      <w:r>
        <w:rPr>
          <w:rFonts w:hint="default" w:ascii="Times New Roman" w:hAnsi="Times New Roman" w:eastAsia="仿宋_GB2312" w:cs="Times New Roman"/>
          <w:bCs/>
          <w:color w:val="auto"/>
          <w:spacing w:val="0"/>
          <w:w w:val="100"/>
          <w:kern w:val="0"/>
          <w:sz w:val="32"/>
          <w:szCs w:val="32"/>
          <w:lang w:val="en-US" w:eastAsia="zh-CN" w:bidi="ar-SA"/>
        </w:rPr>
        <w:t>），</w:t>
      </w:r>
      <w:r>
        <w:rPr>
          <w:rFonts w:hint="default" w:ascii="仿宋_GB2312" w:hAnsi="仿宋_GB2312" w:eastAsia="仿宋_GB2312" w:cs="仿宋_GB2312"/>
          <w:bCs/>
          <w:snapToGrid w:val="0"/>
          <w:color w:val="auto"/>
          <w:spacing w:val="0"/>
          <w:kern w:val="0"/>
          <w:sz w:val="32"/>
          <w:szCs w:val="32"/>
          <w:lang w:val="en-US" w:eastAsia="zh-CN"/>
        </w:rPr>
        <w:t>定期交由资质单位处置。污水处理污泥清掏后及时外运处置，不在院内暂存；废分子筛由设备厂家更换时带走处置，不在院内暂存堆放与处置。</w:t>
      </w:r>
    </w:p>
    <w:p w14:paraId="43827839">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cs="仿宋_GB2312"/>
          <w:bCs/>
          <w:snapToGrid w:val="0"/>
          <w:color w:val="auto"/>
          <w:spacing w:val="0"/>
          <w:kern w:val="0"/>
          <w:sz w:val="32"/>
          <w:szCs w:val="32"/>
          <w:lang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eastAsia" w:ascii="方正楷体_GB2312" w:hAnsi="方正楷体_GB2312" w:eastAsia="方正楷体_GB2312" w:cs="方正楷体_GB2312"/>
          <w:bCs/>
          <w:snapToGrid w:val="0"/>
          <w:color w:val="auto"/>
          <w:spacing w:val="0"/>
          <w:kern w:val="0"/>
          <w:sz w:val="32"/>
          <w:szCs w:val="32"/>
          <w:lang w:val="en-US" w:eastAsia="zh-CN"/>
        </w:rPr>
        <w:t>七</w:t>
      </w:r>
      <w:r>
        <w:rPr>
          <w:rFonts w:hint="default" w:ascii="方正楷体_GB2312" w:hAnsi="方正楷体_GB2312" w:eastAsia="方正楷体_GB2312" w:cs="方正楷体_GB2312"/>
          <w:bCs/>
          <w:snapToGrid w:val="0"/>
          <w:color w:val="auto"/>
          <w:spacing w:val="0"/>
          <w:kern w:val="0"/>
          <w:sz w:val="32"/>
          <w:szCs w:val="32"/>
          <w:lang w:val="en-US" w:eastAsia="zh-CN"/>
        </w:rPr>
        <w:t>）严格按照报告表要求落实并优化地下水污染防控措施。</w:t>
      </w:r>
      <w:r>
        <w:rPr>
          <w:rFonts w:hint="default" w:ascii="仿宋_GB2312" w:hAnsi="仿宋_GB2312" w:cs="仿宋_GB2312"/>
          <w:bCs/>
          <w:snapToGrid w:val="0"/>
          <w:color w:val="auto"/>
          <w:spacing w:val="0"/>
          <w:kern w:val="0"/>
          <w:sz w:val="32"/>
          <w:szCs w:val="32"/>
          <w:lang w:eastAsia="zh-CN"/>
        </w:rPr>
        <w:t>落实重点污染防治区</w:t>
      </w:r>
      <w:r>
        <w:rPr>
          <w:rFonts w:hint="eastAsia" w:ascii="仿宋_GB2312" w:hAnsi="仿宋_GB2312" w:cs="仿宋_GB2312"/>
          <w:bCs/>
          <w:snapToGrid w:val="0"/>
          <w:color w:val="auto"/>
          <w:spacing w:val="0"/>
          <w:kern w:val="0"/>
          <w:sz w:val="32"/>
          <w:szCs w:val="32"/>
          <w:lang w:eastAsia="zh-CN"/>
        </w:rPr>
        <w:t>（</w:t>
      </w:r>
      <w:r>
        <w:rPr>
          <w:rFonts w:hint="eastAsia" w:ascii="仿宋_GB2312" w:hAnsi="仿宋_GB2312" w:cs="仿宋_GB2312"/>
          <w:bCs/>
          <w:snapToGrid w:val="0"/>
          <w:color w:val="auto"/>
          <w:spacing w:val="0"/>
          <w:kern w:val="0"/>
          <w:sz w:val="32"/>
          <w:szCs w:val="32"/>
          <w:lang w:val="en-US" w:eastAsia="zh-CN"/>
        </w:rPr>
        <w:t>医疗废物暂存间、</w:t>
      </w:r>
      <w:r>
        <w:rPr>
          <w:rFonts w:hint="default" w:ascii="仿宋_GB2312" w:hAnsi="仿宋_GB2312" w:cs="仿宋_GB2312"/>
          <w:bCs/>
          <w:snapToGrid w:val="0"/>
          <w:color w:val="auto"/>
          <w:spacing w:val="0"/>
          <w:kern w:val="0"/>
          <w:sz w:val="32"/>
          <w:szCs w:val="32"/>
          <w:lang w:eastAsia="zh-CN"/>
        </w:rPr>
        <w:t>危废暂存间、污水处理站、</w:t>
      </w:r>
      <w:r>
        <w:rPr>
          <w:rFonts w:hint="eastAsia" w:ascii="仿宋_GB2312" w:hAnsi="仿宋_GB2312" w:cs="仿宋_GB2312"/>
          <w:bCs/>
          <w:snapToGrid w:val="0"/>
          <w:color w:val="auto"/>
          <w:spacing w:val="0"/>
          <w:kern w:val="0"/>
          <w:sz w:val="32"/>
          <w:szCs w:val="32"/>
          <w:lang w:val="en-US" w:eastAsia="zh-CN"/>
        </w:rPr>
        <w:t>化粪池、发电机房）</w:t>
      </w:r>
      <w:r>
        <w:rPr>
          <w:rFonts w:hint="default" w:ascii="仿宋_GB2312" w:hAnsi="仿宋_GB2312" w:cs="仿宋_GB2312"/>
          <w:bCs/>
          <w:snapToGrid w:val="0"/>
          <w:color w:val="auto"/>
          <w:spacing w:val="0"/>
          <w:kern w:val="0"/>
          <w:sz w:val="32"/>
          <w:szCs w:val="32"/>
          <w:lang w:eastAsia="zh-CN"/>
        </w:rPr>
        <w:t>、一般污染防治区</w:t>
      </w:r>
      <w:r>
        <w:rPr>
          <w:rFonts w:hint="eastAsia" w:ascii="仿宋_GB2312" w:hAnsi="仿宋_GB2312" w:cs="仿宋_GB2312"/>
          <w:bCs/>
          <w:snapToGrid w:val="0"/>
          <w:color w:val="auto"/>
          <w:spacing w:val="0"/>
          <w:kern w:val="0"/>
          <w:sz w:val="32"/>
          <w:szCs w:val="32"/>
          <w:lang w:eastAsia="zh-CN"/>
        </w:rPr>
        <w:t>（</w:t>
      </w:r>
      <w:r>
        <w:rPr>
          <w:rFonts w:hint="eastAsia" w:ascii="仿宋_GB2312" w:hAnsi="仿宋_GB2312" w:cs="仿宋_GB2312"/>
          <w:bCs/>
          <w:snapToGrid w:val="0"/>
          <w:color w:val="auto"/>
          <w:spacing w:val="0"/>
          <w:kern w:val="0"/>
          <w:sz w:val="32"/>
          <w:szCs w:val="32"/>
          <w:lang w:val="en-US" w:eastAsia="zh-CN"/>
        </w:rPr>
        <w:t>生活垃圾暂存间）</w:t>
      </w:r>
      <w:r>
        <w:rPr>
          <w:rFonts w:hint="default" w:ascii="仿宋_GB2312" w:hAnsi="仿宋_GB2312" w:cs="仿宋_GB2312"/>
          <w:bCs/>
          <w:snapToGrid w:val="0"/>
          <w:color w:val="auto"/>
          <w:spacing w:val="0"/>
          <w:kern w:val="0"/>
          <w:sz w:val="32"/>
          <w:szCs w:val="32"/>
          <w:lang w:eastAsia="zh-CN"/>
        </w:rPr>
        <w:t>、简单防渗区</w:t>
      </w:r>
      <w:r>
        <w:rPr>
          <w:rFonts w:hint="eastAsia" w:ascii="仿宋_GB2312" w:hAnsi="仿宋_GB2312" w:cs="仿宋_GB2312"/>
          <w:bCs/>
          <w:snapToGrid w:val="0"/>
          <w:color w:val="auto"/>
          <w:spacing w:val="0"/>
          <w:kern w:val="0"/>
          <w:sz w:val="32"/>
          <w:szCs w:val="32"/>
          <w:lang w:eastAsia="zh-CN"/>
        </w:rPr>
        <w:t>（</w:t>
      </w:r>
      <w:r>
        <w:rPr>
          <w:rFonts w:hint="eastAsia" w:ascii="仿宋_GB2312" w:hAnsi="仿宋_GB2312" w:cs="仿宋_GB2312"/>
          <w:bCs/>
          <w:snapToGrid w:val="0"/>
          <w:color w:val="auto"/>
          <w:spacing w:val="0"/>
          <w:kern w:val="0"/>
          <w:sz w:val="32"/>
          <w:szCs w:val="32"/>
          <w:lang w:val="en-US" w:eastAsia="zh-CN"/>
        </w:rPr>
        <w:t>门诊内科综合楼其他区域）</w:t>
      </w:r>
      <w:r>
        <w:rPr>
          <w:rFonts w:hint="default" w:ascii="仿宋_GB2312" w:hAnsi="仿宋_GB2312" w:cs="仿宋_GB2312"/>
          <w:bCs/>
          <w:snapToGrid w:val="0"/>
          <w:color w:val="auto"/>
          <w:spacing w:val="0"/>
          <w:kern w:val="0"/>
          <w:sz w:val="32"/>
          <w:szCs w:val="32"/>
          <w:lang w:eastAsia="zh-CN"/>
        </w:rPr>
        <w:t>分区防渗措施。加强防渗设施的日常维护，对出现损害的防渗设施应及时修复和加固，确保防渗设施牢固安全。</w:t>
      </w:r>
    </w:p>
    <w:p w14:paraId="78377200">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cs="仿宋_GB2312"/>
          <w:bCs/>
          <w:snapToGrid w:val="0"/>
          <w:color w:val="auto"/>
          <w:spacing w:val="0"/>
          <w:kern w:val="0"/>
          <w:sz w:val="32"/>
          <w:szCs w:val="32"/>
          <w:lang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eastAsia" w:ascii="方正楷体_GB2312" w:hAnsi="方正楷体_GB2312" w:eastAsia="方正楷体_GB2312" w:cs="方正楷体_GB2312"/>
          <w:bCs/>
          <w:snapToGrid w:val="0"/>
          <w:color w:val="auto"/>
          <w:spacing w:val="0"/>
          <w:kern w:val="0"/>
          <w:sz w:val="32"/>
          <w:szCs w:val="32"/>
          <w:lang w:val="en-US" w:eastAsia="zh-CN"/>
        </w:rPr>
        <w:t>八</w:t>
      </w:r>
      <w:r>
        <w:rPr>
          <w:rFonts w:hint="default" w:ascii="方正楷体_GB2312" w:hAnsi="方正楷体_GB2312" w:eastAsia="方正楷体_GB2312" w:cs="方正楷体_GB2312"/>
          <w:bCs/>
          <w:snapToGrid w:val="0"/>
          <w:color w:val="auto"/>
          <w:spacing w:val="0"/>
          <w:kern w:val="0"/>
          <w:sz w:val="32"/>
          <w:szCs w:val="32"/>
          <w:lang w:val="en-US" w:eastAsia="zh-CN"/>
        </w:rPr>
        <w:t>）全面落实报告表提出的各项环境风险防范措施。</w:t>
      </w:r>
      <w:r>
        <w:rPr>
          <w:rFonts w:hint="default" w:ascii="仿宋_GB2312" w:hAnsi="仿宋_GB2312" w:cs="仿宋_GB2312"/>
          <w:bCs/>
          <w:snapToGrid w:val="0"/>
          <w:color w:val="auto"/>
          <w:spacing w:val="0"/>
          <w:kern w:val="0"/>
          <w:sz w:val="32"/>
          <w:szCs w:val="32"/>
          <w:lang w:eastAsia="zh-CN"/>
        </w:rPr>
        <w:t>高度重视并不断强化环境风险防控工作，按要求制定突发环境事件应急预案，建立与政府、</w:t>
      </w:r>
      <w:r>
        <w:rPr>
          <w:rFonts w:hint="eastAsia" w:ascii="仿宋_GB2312" w:hAnsi="仿宋_GB2312" w:cs="仿宋_GB2312"/>
          <w:bCs/>
          <w:snapToGrid w:val="0"/>
          <w:color w:val="auto"/>
          <w:spacing w:val="0"/>
          <w:kern w:val="0"/>
          <w:sz w:val="32"/>
          <w:szCs w:val="32"/>
          <w:lang w:val="en-US" w:eastAsia="zh-CN"/>
        </w:rPr>
        <w:t>街道、</w:t>
      </w:r>
      <w:r>
        <w:rPr>
          <w:rFonts w:hint="default" w:ascii="仿宋_GB2312" w:hAnsi="仿宋_GB2312" w:cs="仿宋_GB2312"/>
          <w:bCs/>
          <w:snapToGrid w:val="0"/>
          <w:color w:val="auto"/>
          <w:spacing w:val="0"/>
          <w:kern w:val="0"/>
          <w:sz w:val="32"/>
          <w:szCs w:val="32"/>
          <w:lang w:eastAsia="zh-CN"/>
        </w:rPr>
        <w:t>相关单位间的环境风险联防联控机制，组织开展环境风险评估、培训和应急演练，储备相应的环境应急物资及装备</w:t>
      </w:r>
      <w:r>
        <w:rPr>
          <w:rFonts w:hint="eastAsia" w:ascii="仿宋_GB2312" w:hAnsi="仿宋_GB2312" w:cs="仿宋_GB2312"/>
          <w:bCs/>
          <w:snapToGrid w:val="0"/>
          <w:color w:val="auto"/>
          <w:spacing w:val="0"/>
          <w:kern w:val="0"/>
          <w:sz w:val="32"/>
          <w:szCs w:val="32"/>
          <w:lang w:eastAsia="zh-CN"/>
        </w:rPr>
        <w:t>，</w:t>
      </w:r>
      <w:r>
        <w:rPr>
          <w:rFonts w:hint="default" w:ascii="仿宋_GB2312" w:hAnsi="仿宋_GB2312" w:cs="仿宋_GB2312"/>
          <w:bCs/>
          <w:snapToGrid w:val="0"/>
          <w:color w:val="auto"/>
          <w:spacing w:val="0"/>
          <w:kern w:val="0"/>
          <w:sz w:val="32"/>
          <w:szCs w:val="32"/>
          <w:lang w:eastAsia="zh-CN"/>
        </w:rPr>
        <w:t>切实有效防范环境风险</w:t>
      </w:r>
      <w:r>
        <w:rPr>
          <w:rFonts w:hint="eastAsia" w:ascii="仿宋_GB2312" w:hAnsi="仿宋_GB2312" w:cs="仿宋_GB2312"/>
          <w:bCs/>
          <w:snapToGrid w:val="0"/>
          <w:color w:val="auto"/>
          <w:spacing w:val="0"/>
          <w:kern w:val="0"/>
          <w:sz w:val="32"/>
          <w:szCs w:val="32"/>
          <w:lang w:eastAsia="zh-CN"/>
        </w:rPr>
        <w:t>，</w:t>
      </w:r>
      <w:r>
        <w:rPr>
          <w:rFonts w:hint="default" w:ascii="仿宋_GB2312" w:hAnsi="仿宋_GB2312" w:cs="仿宋_GB2312"/>
          <w:bCs/>
          <w:snapToGrid w:val="0"/>
          <w:color w:val="auto"/>
          <w:spacing w:val="0"/>
          <w:kern w:val="0"/>
          <w:sz w:val="32"/>
          <w:szCs w:val="32"/>
          <w:lang w:eastAsia="zh-CN"/>
        </w:rPr>
        <w:t>避免事故次生突发环境事件，确保环境安全。</w:t>
      </w:r>
    </w:p>
    <w:p w14:paraId="216796C3">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snapToGrid w:val="0"/>
          <w:color w:val="auto"/>
          <w:spacing w:val="0"/>
          <w:kern w:val="0"/>
          <w:sz w:val="32"/>
          <w:szCs w:val="32"/>
          <w:lang w:val="en-US" w:eastAsia="zh-CN"/>
        </w:rPr>
      </w:pP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eastAsia" w:ascii="方正楷体_GB2312" w:hAnsi="方正楷体_GB2312" w:eastAsia="方正楷体_GB2312" w:cs="方正楷体_GB2312"/>
          <w:bCs/>
          <w:snapToGrid w:val="0"/>
          <w:color w:val="auto"/>
          <w:spacing w:val="0"/>
          <w:kern w:val="0"/>
          <w:sz w:val="32"/>
          <w:szCs w:val="32"/>
          <w:lang w:val="en-US" w:eastAsia="zh-CN"/>
        </w:rPr>
        <w:t>九</w:t>
      </w:r>
      <w:r>
        <w:rPr>
          <w:rFonts w:hint="default" w:ascii="方正楷体_GB2312" w:hAnsi="方正楷体_GB2312" w:eastAsia="方正楷体_GB2312" w:cs="方正楷体_GB2312"/>
          <w:bCs/>
          <w:snapToGrid w:val="0"/>
          <w:color w:val="auto"/>
          <w:spacing w:val="0"/>
          <w:kern w:val="0"/>
          <w:sz w:val="32"/>
          <w:szCs w:val="32"/>
          <w:lang w:val="en-US" w:eastAsia="zh-CN"/>
        </w:rPr>
        <w:t>）</w:t>
      </w:r>
      <w:r>
        <w:rPr>
          <w:rFonts w:hint="default" w:ascii="仿宋_GB2312" w:hAnsi="仿宋_GB2312" w:eastAsia="仿宋_GB2312" w:cs="仿宋_GB2312"/>
          <w:bCs/>
          <w:snapToGrid w:val="0"/>
          <w:color w:val="auto"/>
          <w:spacing w:val="0"/>
          <w:kern w:val="0"/>
          <w:sz w:val="32"/>
          <w:szCs w:val="32"/>
          <w:lang w:val="en-US" w:eastAsia="zh-CN"/>
        </w:rPr>
        <w:t>按照排污单位自行监测技术指南以及报告</w:t>
      </w:r>
      <w:r>
        <w:rPr>
          <w:rFonts w:hint="eastAsia" w:ascii="仿宋_GB2312" w:hAnsi="仿宋_GB2312" w:cs="仿宋_GB2312"/>
          <w:bCs/>
          <w:snapToGrid w:val="0"/>
          <w:color w:val="auto"/>
          <w:spacing w:val="0"/>
          <w:kern w:val="0"/>
          <w:sz w:val="32"/>
          <w:szCs w:val="32"/>
          <w:lang w:val="en-US" w:eastAsia="zh-CN"/>
        </w:rPr>
        <w:t>表</w:t>
      </w:r>
      <w:r>
        <w:rPr>
          <w:rFonts w:hint="default" w:ascii="仿宋_GB2312" w:hAnsi="仿宋_GB2312" w:eastAsia="仿宋_GB2312" w:cs="仿宋_GB2312"/>
          <w:bCs/>
          <w:snapToGrid w:val="0"/>
          <w:color w:val="auto"/>
          <w:spacing w:val="0"/>
          <w:kern w:val="0"/>
          <w:sz w:val="32"/>
          <w:szCs w:val="32"/>
          <w:lang w:val="en-US" w:eastAsia="zh-CN"/>
        </w:rPr>
        <w:t>提出的环境管理和监测计划，制定项目污染物排放和周边环境质量自行监测方案。按国家有关规定规范设置各类排污口，开展相关环境管理和监测工作。做好项目环境信息公开工作，定期向社会公布运行基本情况，公示污染物排放数据，接受公众监督。</w:t>
      </w:r>
    </w:p>
    <w:p w14:paraId="1B620A3E">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color w:val="auto"/>
          <w:spacing w:val="0"/>
          <w:kern w:val="0"/>
          <w:sz w:val="32"/>
          <w:szCs w:val="32"/>
          <w:lang w:val="en-US" w:eastAsia="zh-CN"/>
        </w:rPr>
      </w:pPr>
      <w:r>
        <w:rPr>
          <w:rFonts w:hint="eastAsia" w:ascii="黑体" w:hAnsi="黑体" w:eastAsia="黑体" w:cs="黑体"/>
          <w:bCs/>
          <w:color w:val="auto"/>
          <w:spacing w:val="0"/>
          <w:kern w:val="0"/>
          <w:sz w:val="32"/>
          <w:szCs w:val="32"/>
          <w:lang w:val="en-US" w:eastAsia="zh-CN"/>
        </w:rPr>
        <w:t>三、</w:t>
      </w:r>
      <w:r>
        <w:rPr>
          <w:rFonts w:hint="eastAsia" w:ascii="仿宋_GB2312" w:hAnsi="仿宋_GB2312" w:eastAsia="仿宋_GB2312" w:cs="仿宋_GB2312"/>
          <w:bCs/>
          <w:color w:val="auto"/>
          <w:spacing w:val="0"/>
          <w:kern w:val="0"/>
          <w:sz w:val="32"/>
          <w:szCs w:val="32"/>
          <w:lang w:val="en-US" w:eastAsia="zh-CN"/>
        </w:rPr>
        <w:t>报告</w:t>
      </w:r>
      <w:r>
        <w:rPr>
          <w:rFonts w:hint="eastAsia" w:ascii="仿宋_GB2312" w:hAnsi="仿宋_GB2312" w:cs="仿宋_GB2312"/>
          <w:bCs/>
          <w:color w:val="auto"/>
          <w:spacing w:val="0"/>
          <w:kern w:val="0"/>
          <w:sz w:val="32"/>
          <w:szCs w:val="32"/>
          <w:lang w:val="en-US" w:eastAsia="zh-CN"/>
        </w:rPr>
        <w:t>表</w:t>
      </w:r>
      <w:r>
        <w:rPr>
          <w:rFonts w:hint="default" w:ascii="Times New Roman" w:hAnsi="Times New Roman" w:cs="Times New Roman"/>
          <w:bCs/>
          <w:spacing w:val="-6"/>
          <w:sz w:val="32"/>
          <w:szCs w:val="32"/>
          <w:lang w:val="en-US" w:eastAsia="zh-CN"/>
        </w:rPr>
        <w:t>预测本项目</w:t>
      </w:r>
      <w:r>
        <w:rPr>
          <w:rFonts w:hint="eastAsia" w:ascii="仿宋_GB2312" w:hAnsi="仿宋_GB2312" w:cs="仿宋_GB2312"/>
          <w:bCs/>
          <w:color w:val="auto"/>
          <w:spacing w:val="0"/>
          <w:kern w:val="0"/>
          <w:sz w:val="32"/>
          <w:szCs w:val="32"/>
          <w:lang w:val="en-US" w:eastAsia="zh-CN"/>
        </w:rPr>
        <w:t>废水排放口</w:t>
      </w:r>
      <w:r>
        <w:rPr>
          <w:rFonts w:hint="default" w:ascii="Times New Roman" w:hAnsi="Times New Roman" w:cs="Times New Roman"/>
          <w:bCs/>
          <w:color w:val="auto"/>
          <w:spacing w:val="-6"/>
          <w:sz w:val="32"/>
          <w:szCs w:val="32"/>
          <w:lang w:val="en-US" w:eastAsia="zh-CN"/>
        </w:rPr>
        <w:t>污染物排放总量：</w:t>
      </w:r>
      <w:r>
        <w:rPr>
          <w:rFonts w:hint="eastAsia" w:ascii="Times New Roman" w:hAnsi="Times New Roman" w:cs="Times New Roman"/>
          <w:bCs/>
          <w:color w:val="auto"/>
          <w:spacing w:val="-6"/>
          <w:sz w:val="32"/>
          <w:szCs w:val="32"/>
          <w:lang w:val="en-US" w:eastAsia="zh-CN"/>
        </w:rPr>
        <w:t>COD1.739t/a，氨氮0.174t/a</w:t>
      </w:r>
      <w:r>
        <w:rPr>
          <w:rFonts w:hint="default" w:ascii="仿宋_GB2312" w:hAnsi="仿宋_GB2312" w:eastAsia="仿宋_GB2312" w:cs="仿宋_GB2312"/>
          <w:bCs/>
          <w:color w:val="auto"/>
          <w:spacing w:val="0"/>
          <w:kern w:val="0"/>
          <w:sz w:val="32"/>
          <w:szCs w:val="32"/>
          <w:lang w:val="en-US" w:eastAsia="zh-CN"/>
        </w:rPr>
        <w:t>。</w:t>
      </w:r>
      <w:r>
        <w:rPr>
          <w:rFonts w:hint="eastAsia" w:ascii="Times New Roman" w:hAnsi="Times New Roman" w:cs="Times New Roman"/>
          <w:bCs/>
          <w:spacing w:val="-6"/>
          <w:sz w:val="32"/>
          <w:szCs w:val="32"/>
          <w:lang w:val="en-US" w:eastAsia="zh-CN"/>
        </w:rPr>
        <w:t>本项目主要污染物排放总量需在排污许可证核发时予以确认</w:t>
      </w:r>
      <w:r>
        <w:rPr>
          <w:rFonts w:hint="default" w:ascii="仿宋_GB2312" w:hAnsi="仿宋_GB2312" w:eastAsia="仿宋_GB2312" w:cs="仿宋_GB2312"/>
          <w:bCs/>
          <w:color w:val="auto"/>
          <w:spacing w:val="0"/>
          <w:kern w:val="0"/>
          <w:sz w:val="32"/>
          <w:szCs w:val="32"/>
          <w:lang w:val="en-US" w:eastAsia="zh-CN"/>
        </w:rPr>
        <w:t>。</w:t>
      </w:r>
    </w:p>
    <w:p w14:paraId="28014B7F">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eastAsia" w:ascii="仿宋_GB2312" w:hAnsi="仿宋_GB2312" w:eastAsia="仿宋_GB2312" w:cs="仿宋_GB2312"/>
          <w:bCs/>
          <w:snapToGrid w:val="0"/>
          <w:color w:val="auto"/>
          <w:spacing w:val="0"/>
          <w:kern w:val="0"/>
          <w:sz w:val="32"/>
          <w:szCs w:val="32"/>
          <w:lang w:val="en-US" w:eastAsia="zh-CN"/>
        </w:rPr>
      </w:pPr>
      <w:r>
        <w:rPr>
          <w:rFonts w:hint="eastAsia" w:ascii="黑体" w:hAnsi="黑体" w:eastAsia="黑体" w:cs="黑体"/>
          <w:bCs/>
          <w:color w:val="auto"/>
          <w:spacing w:val="0"/>
          <w:kern w:val="0"/>
          <w:sz w:val="32"/>
          <w:szCs w:val="32"/>
          <w:lang w:val="en-US" w:eastAsia="zh-CN"/>
        </w:rPr>
        <w:t>四、</w:t>
      </w:r>
      <w:r>
        <w:rPr>
          <w:rFonts w:hint="default" w:ascii="Times New Roman" w:hAnsi="Times New Roman" w:cs="Times New Roman"/>
          <w:bCs/>
          <w:spacing w:val="-6"/>
          <w:sz w:val="32"/>
          <w:szCs w:val="32"/>
          <w:lang w:val="en-US" w:eastAsia="zh-CN"/>
        </w:rPr>
        <w:t>建设项目必须严格执行配套建设的环境保护设施与主体工程同时设计、同时施工、同时投产使用的环境保护“三同时”制度。项目的初步设计，应当按照环境保护设计规范的要求，编制环境保护篇章，落实防治环境污染和生态破坏的措施以及环境保护设施投资概算，应当将环境保护设施建设纳入施工合同，保证环境保护设施建设进度和资金。本项目调试排污前必须依法申领排污许可证，并在调试及投运后按证排污，未取得排污许可证的，不得排放污染物。项目竣工后，你</w:t>
      </w:r>
      <w:r>
        <w:rPr>
          <w:rFonts w:hint="eastAsia" w:ascii="Times New Roman" w:hAnsi="Times New Roman" w:cs="Times New Roman"/>
          <w:bCs/>
          <w:spacing w:val="-6"/>
          <w:sz w:val="32"/>
          <w:szCs w:val="32"/>
          <w:lang w:val="en-US" w:eastAsia="zh-CN"/>
        </w:rPr>
        <w:t>单位</w:t>
      </w:r>
      <w:r>
        <w:rPr>
          <w:rFonts w:hint="default" w:ascii="Times New Roman" w:hAnsi="Times New Roman" w:cs="Times New Roman"/>
          <w:bCs/>
          <w:spacing w:val="-6"/>
          <w:sz w:val="32"/>
          <w:szCs w:val="32"/>
          <w:lang w:val="en-US" w:eastAsia="zh-CN"/>
        </w:rPr>
        <w:t>是建设项目竣工环境保护验收的责任主体，应当按照规定的程序和标准，组织对配套建设的环境保护设施进行验收，编制验收报告，公开相关信息，接受社会监督</w:t>
      </w:r>
      <w:r>
        <w:rPr>
          <w:rFonts w:hint="default" w:ascii="仿宋_GB2312" w:hAnsi="仿宋_GB2312" w:eastAsia="仿宋_GB2312" w:cs="仿宋_GB2312"/>
          <w:bCs/>
          <w:snapToGrid w:val="0"/>
          <w:color w:val="auto"/>
          <w:spacing w:val="0"/>
          <w:kern w:val="0"/>
          <w:sz w:val="32"/>
          <w:szCs w:val="32"/>
          <w:lang w:val="en-US" w:eastAsia="zh-CN"/>
        </w:rPr>
        <w:t>。</w:t>
      </w:r>
    </w:p>
    <w:p w14:paraId="034619A2">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default" w:ascii="仿宋_GB2312" w:hAnsi="仿宋_GB2312" w:eastAsia="仿宋_GB2312" w:cs="仿宋_GB2312"/>
          <w:bCs/>
          <w:color w:val="auto"/>
          <w:spacing w:val="0"/>
          <w:kern w:val="0"/>
          <w:sz w:val="32"/>
          <w:szCs w:val="32"/>
          <w:lang w:val="en-US" w:eastAsia="zh-CN"/>
        </w:rPr>
      </w:pPr>
      <w:r>
        <w:rPr>
          <w:rFonts w:hint="default" w:ascii="仿宋_GB2312" w:hAnsi="仿宋_GB2312" w:eastAsia="仿宋_GB2312" w:cs="仿宋_GB2312"/>
          <w:bCs/>
          <w:snapToGrid w:val="0"/>
          <w:color w:val="auto"/>
          <w:spacing w:val="0"/>
          <w:kern w:val="0"/>
          <w:sz w:val="32"/>
          <w:szCs w:val="32"/>
          <w:lang w:val="en-US" w:eastAsia="zh-CN"/>
        </w:rPr>
        <w:t>项目环境影响评价文件经批准后，如工程的性质、规模和地点或者防治污染、防止生态破坏的措施发生重大变化的，你公司应当重新报批环境影响评价文件，否则不得实施。自环评文件批复之日起，如工程超过</w:t>
      </w:r>
      <w:r>
        <w:rPr>
          <w:rFonts w:hint="eastAsia" w:ascii="Times New Roman" w:hAnsi="Times New Roman" w:eastAsia="仿宋_GB2312" w:cs="Times New Roman"/>
          <w:bCs/>
          <w:color w:val="auto"/>
          <w:spacing w:val="0"/>
          <w:w w:val="100"/>
          <w:kern w:val="0"/>
          <w:sz w:val="32"/>
          <w:szCs w:val="32"/>
          <w:lang w:val="en-US" w:eastAsia="zh-CN" w:bidi="ar-SA"/>
        </w:rPr>
        <w:t>5</w:t>
      </w:r>
      <w:r>
        <w:rPr>
          <w:rFonts w:hint="default" w:ascii="仿宋_GB2312" w:hAnsi="仿宋_GB2312" w:eastAsia="仿宋_GB2312" w:cs="仿宋_GB2312"/>
          <w:bCs/>
          <w:snapToGrid w:val="0"/>
          <w:color w:val="auto"/>
          <w:spacing w:val="0"/>
          <w:kern w:val="0"/>
          <w:sz w:val="32"/>
          <w:szCs w:val="32"/>
          <w:lang w:val="en-US" w:eastAsia="zh-CN"/>
        </w:rPr>
        <w:t>年未开工建设，环境影响评价文件应当报我局重新审核。</w:t>
      </w:r>
    </w:p>
    <w:p w14:paraId="402DDCA5">
      <w:pPr>
        <w:keepNext w:val="0"/>
        <w:keepLines w:val="0"/>
        <w:pageBreakBefore w:val="0"/>
        <w:widowControl w:val="0"/>
        <w:suppressAutoHyphens/>
        <w:kinsoku/>
        <w:wordWrap/>
        <w:overflowPunct/>
        <w:topLinePunct w:val="0"/>
        <w:autoSpaceDE/>
        <w:autoSpaceDN/>
        <w:bidi w:val="0"/>
        <w:adjustRightInd w:val="0"/>
        <w:snapToGrid w:val="0"/>
        <w:spacing w:line="576" w:lineRule="exact"/>
        <w:ind w:right="0" w:firstLine="640" w:firstLineChars="200"/>
        <w:jc w:val="both"/>
        <w:textAlignment w:val="auto"/>
        <w:outlineLvl w:val="9"/>
        <w:rPr>
          <w:rFonts w:hint="eastAsia" w:ascii="仿宋_GB2312" w:hAnsi="仿宋_GB2312" w:eastAsia="仿宋_GB2312" w:cs="仿宋_GB2312"/>
          <w:bCs/>
          <w:color w:val="auto"/>
          <w:spacing w:val="0"/>
          <w:kern w:val="0"/>
          <w:sz w:val="32"/>
          <w:szCs w:val="32"/>
          <w:lang w:val="en-US" w:eastAsia="zh-CN"/>
        </w:rPr>
      </w:pPr>
      <w:r>
        <w:rPr>
          <w:rFonts w:hint="eastAsia" w:ascii="黑体" w:hAnsi="黑体" w:eastAsia="黑体" w:cs="黑体"/>
          <w:bCs/>
          <w:color w:val="auto"/>
          <w:spacing w:val="0"/>
          <w:kern w:val="0"/>
          <w:sz w:val="32"/>
          <w:szCs w:val="32"/>
          <w:lang w:val="en-US" w:eastAsia="zh-CN"/>
        </w:rPr>
        <w:t>五、</w:t>
      </w:r>
      <w:r>
        <w:rPr>
          <w:rFonts w:hint="eastAsia" w:ascii="仿宋_GB2312" w:hAnsi="仿宋_GB2312" w:eastAsia="仿宋_GB2312" w:cs="仿宋_GB2312"/>
          <w:bCs/>
          <w:color w:val="auto"/>
          <w:spacing w:val="0"/>
          <w:kern w:val="0"/>
          <w:sz w:val="32"/>
          <w:szCs w:val="32"/>
          <w:lang w:val="en-US" w:eastAsia="zh-CN"/>
        </w:rPr>
        <w:t>昭化生态环境保护综合行政执法大队</w:t>
      </w:r>
      <w:r>
        <w:rPr>
          <w:rFonts w:hint="default" w:ascii="仿宋_GB2312" w:hAnsi="仿宋_GB2312" w:eastAsia="仿宋_GB2312" w:cs="仿宋_GB2312"/>
          <w:bCs/>
          <w:color w:val="auto"/>
          <w:spacing w:val="0"/>
          <w:kern w:val="0"/>
          <w:sz w:val="32"/>
          <w:szCs w:val="32"/>
          <w:lang w:val="en-US" w:eastAsia="zh-CN"/>
        </w:rPr>
        <w:t>要切实承担事中事后监管主要责任，履行属地监管职责，按照《关于进一步完善建设项目环境保护</w:t>
      </w:r>
      <w:r>
        <w:rPr>
          <w:rFonts w:hint="eastAsia" w:ascii="仿宋_GB2312" w:hAnsi="仿宋_GB2312" w:eastAsia="仿宋_GB2312" w:cs="仿宋_GB2312"/>
          <w:bCs/>
          <w:color w:val="auto"/>
          <w:spacing w:val="0"/>
          <w:kern w:val="0"/>
          <w:sz w:val="32"/>
          <w:szCs w:val="32"/>
          <w:lang w:val="en-US" w:eastAsia="zh-CN"/>
        </w:rPr>
        <w:t>“</w:t>
      </w:r>
      <w:r>
        <w:rPr>
          <w:rFonts w:hint="default" w:ascii="仿宋_GB2312" w:hAnsi="仿宋_GB2312" w:eastAsia="仿宋_GB2312" w:cs="仿宋_GB2312"/>
          <w:bCs/>
          <w:color w:val="auto"/>
          <w:spacing w:val="0"/>
          <w:kern w:val="0"/>
          <w:sz w:val="32"/>
          <w:szCs w:val="32"/>
          <w:lang w:val="en-US" w:eastAsia="zh-CN"/>
        </w:rPr>
        <w:t>三同时”及竣工环境保护自主验收监管工作机制的意见》（环执法</w:t>
      </w:r>
      <w:r>
        <w:rPr>
          <w:rFonts w:hint="default" w:ascii="Times New Roman" w:hAnsi="Times New Roman" w:eastAsia="仿宋_GB2312" w:cs="Times New Roman"/>
          <w:bCs/>
          <w:color w:val="auto"/>
          <w:spacing w:val="0"/>
          <w:w w:val="100"/>
          <w:kern w:val="0"/>
          <w:sz w:val="32"/>
          <w:szCs w:val="32"/>
          <w:lang w:val="en-US" w:eastAsia="zh-CN" w:bidi="ar-SA"/>
        </w:rPr>
        <w:t>〔2021〕70号）</w:t>
      </w:r>
      <w:r>
        <w:rPr>
          <w:rFonts w:hint="default" w:ascii="仿宋_GB2312" w:hAnsi="仿宋_GB2312" w:eastAsia="仿宋_GB2312" w:cs="仿宋_GB2312"/>
          <w:bCs/>
          <w:color w:val="auto"/>
          <w:spacing w:val="0"/>
          <w:kern w:val="0"/>
          <w:sz w:val="32"/>
          <w:szCs w:val="32"/>
          <w:lang w:val="en-US" w:eastAsia="zh-CN"/>
        </w:rPr>
        <w:t>要求，加强对该项目环境保护“三同时”及自主验收监管</w:t>
      </w:r>
      <w:r>
        <w:rPr>
          <w:rFonts w:hint="eastAsia" w:ascii="仿宋_GB2312" w:hAnsi="仿宋_GB2312" w:eastAsia="仿宋_GB2312" w:cs="仿宋_GB2312"/>
          <w:bCs/>
          <w:color w:val="auto"/>
          <w:spacing w:val="0"/>
          <w:kern w:val="0"/>
          <w:sz w:val="32"/>
          <w:szCs w:val="32"/>
          <w:lang w:val="en-US" w:eastAsia="zh-CN"/>
        </w:rPr>
        <w:t>。</w:t>
      </w:r>
    </w:p>
    <w:p w14:paraId="113E99C5">
      <w:pPr>
        <w:keepNext w:val="0"/>
        <w:keepLines w:val="0"/>
        <w:pageBreakBefore w:val="0"/>
        <w:widowControl w:val="0"/>
        <w:kinsoku/>
        <w:wordWrap/>
        <w:overflowPunct/>
        <w:topLinePunct w:val="0"/>
        <w:autoSpaceDE/>
        <w:autoSpaceDN/>
        <w:bidi w:val="0"/>
        <w:adjustRightInd w:val="0"/>
        <w:snapToGrid w:val="0"/>
        <w:spacing w:line="576" w:lineRule="exact"/>
        <w:ind w:right="0" w:firstLine="640" w:firstLineChars="200"/>
        <w:jc w:val="both"/>
        <w:textAlignment w:val="auto"/>
        <w:rPr>
          <w:rFonts w:hint="eastAsia" w:ascii="仿宋_GB2312" w:hAnsi="仿宋_GB2312" w:eastAsia="仿宋_GB2312" w:cs="仿宋_GB2312"/>
          <w:bCs/>
          <w:spacing w:val="0"/>
          <w:kern w:val="0"/>
          <w:sz w:val="32"/>
          <w:szCs w:val="32"/>
        </w:rPr>
      </w:pPr>
    </w:p>
    <w:p w14:paraId="2E64F282">
      <w:pPr>
        <w:keepNext w:val="0"/>
        <w:keepLines w:val="0"/>
        <w:pageBreakBefore w:val="0"/>
        <w:widowControl w:val="0"/>
        <w:kinsoku/>
        <w:wordWrap/>
        <w:overflowPunct/>
        <w:topLinePunct w:val="0"/>
        <w:autoSpaceDE/>
        <w:autoSpaceDN/>
        <w:bidi w:val="0"/>
        <w:adjustRightInd w:val="0"/>
        <w:snapToGrid w:val="0"/>
        <w:spacing w:line="576" w:lineRule="exact"/>
        <w:ind w:right="0" w:firstLine="640" w:firstLineChars="200"/>
        <w:jc w:val="both"/>
        <w:textAlignment w:val="auto"/>
        <w:rPr>
          <w:rFonts w:hint="eastAsia" w:ascii="仿宋_GB2312" w:hAnsi="仿宋_GB2312" w:eastAsia="仿宋_GB2312" w:cs="仿宋_GB2312"/>
          <w:bCs/>
          <w:spacing w:val="0"/>
          <w:kern w:val="0"/>
          <w:sz w:val="32"/>
          <w:szCs w:val="32"/>
        </w:rPr>
      </w:pPr>
    </w:p>
    <w:p w14:paraId="16D1CFA3">
      <w:pPr>
        <w:keepNext w:val="0"/>
        <w:keepLines w:val="0"/>
        <w:pageBreakBefore w:val="0"/>
        <w:widowControl w:val="0"/>
        <w:kinsoku/>
        <w:wordWrap w:val="0"/>
        <w:overflowPunct/>
        <w:topLinePunct w:val="0"/>
        <w:autoSpaceDE/>
        <w:autoSpaceDN/>
        <w:bidi w:val="0"/>
        <w:adjustRightInd w:val="0"/>
        <w:snapToGrid w:val="0"/>
        <w:spacing w:line="576" w:lineRule="exact"/>
        <w:ind w:right="0" w:firstLine="640" w:firstLineChars="200"/>
        <w:jc w:val="right"/>
        <w:textAlignment w:val="auto"/>
        <w:rPr>
          <w:rFonts w:hint="eastAsia" w:ascii="仿宋_GB2312" w:hAnsi="仿宋_GB2312" w:eastAsia="仿宋_GB2312" w:cs="仿宋_GB2312"/>
          <w:bCs/>
          <w:spacing w:val="0"/>
          <w:kern w:val="0"/>
          <w:sz w:val="32"/>
          <w:szCs w:val="32"/>
        </w:rPr>
      </w:pPr>
      <w:r>
        <w:rPr>
          <w:rFonts w:hint="eastAsia" w:ascii="仿宋_GB2312" w:hAnsi="仿宋_GB2312" w:eastAsia="仿宋_GB2312" w:cs="仿宋_GB2312"/>
          <w:bCs/>
          <w:spacing w:val="0"/>
          <w:kern w:val="0"/>
          <w:sz w:val="32"/>
          <w:szCs w:val="32"/>
        </w:rPr>
        <w:t>广元市</w:t>
      </w:r>
      <w:r>
        <w:rPr>
          <w:rFonts w:hint="eastAsia" w:ascii="仿宋_GB2312" w:hAnsi="仿宋_GB2312" w:cs="仿宋_GB2312"/>
          <w:bCs/>
          <w:spacing w:val="0"/>
          <w:kern w:val="0"/>
          <w:sz w:val="32"/>
          <w:szCs w:val="32"/>
          <w:lang w:val="en-US" w:eastAsia="zh-CN"/>
        </w:rPr>
        <w:t>昭化</w:t>
      </w:r>
      <w:r>
        <w:rPr>
          <w:rFonts w:hint="eastAsia" w:ascii="仿宋_GB2312" w:hAnsi="仿宋_GB2312" w:eastAsia="仿宋_GB2312" w:cs="仿宋_GB2312"/>
          <w:bCs/>
          <w:spacing w:val="0"/>
          <w:kern w:val="0"/>
          <w:sz w:val="32"/>
          <w:szCs w:val="32"/>
        </w:rPr>
        <w:t>生态环境局</w:t>
      </w:r>
    </w:p>
    <w:p w14:paraId="1F65C657">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仿宋_GB2312" w:cs="Times New Roman"/>
          <w:bCs/>
          <w:spacing w:val="0"/>
          <w:kern w:val="0"/>
          <w:sz w:val="32"/>
          <w:szCs w:val="32"/>
        </w:rPr>
      </w:pPr>
      <w:r>
        <w:rPr>
          <w:rFonts w:hint="eastAsia" w:ascii="Times New Roman" w:hAnsi="Times New Roman" w:cs="Times New Roman"/>
          <w:bCs/>
          <w:color w:val="auto"/>
          <w:spacing w:val="0"/>
          <w:w w:val="100"/>
          <w:kern w:val="0"/>
          <w:sz w:val="32"/>
          <w:szCs w:val="32"/>
          <w:lang w:val="en-US" w:eastAsia="zh-CN" w:bidi="ar-SA"/>
        </w:rPr>
        <w:t xml:space="preserve">                               </w:t>
      </w:r>
      <w:r>
        <w:rPr>
          <w:rFonts w:hint="default" w:ascii="Times New Roman" w:hAnsi="Times New Roman" w:eastAsia="仿宋_GB2312" w:cs="Times New Roman"/>
          <w:bCs/>
          <w:color w:val="auto"/>
          <w:spacing w:val="0"/>
          <w:w w:val="100"/>
          <w:kern w:val="0"/>
          <w:sz w:val="32"/>
          <w:szCs w:val="32"/>
          <w:lang w:val="en-US" w:eastAsia="zh-CN" w:bidi="ar-SA"/>
        </w:rPr>
        <w:t>202</w:t>
      </w:r>
      <w:r>
        <w:rPr>
          <w:rFonts w:hint="default" w:ascii="Times New Roman" w:hAnsi="Times New Roman" w:cs="Times New Roman"/>
          <w:bCs/>
          <w:color w:val="auto"/>
          <w:spacing w:val="0"/>
          <w:w w:val="100"/>
          <w:kern w:val="0"/>
          <w:sz w:val="32"/>
          <w:szCs w:val="32"/>
          <w:lang w:val="en-US" w:eastAsia="zh-CN" w:bidi="ar-SA"/>
        </w:rPr>
        <w:t>5</w:t>
      </w:r>
      <w:r>
        <w:rPr>
          <w:rFonts w:hint="default" w:ascii="Times New Roman" w:hAnsi="Times New Roman" w:eastAsia="仿宋_GB2312" w:cs="Times New Roman"/>
          <w:bCs/>
          <w:spacing w:val="0"/>
          <w:kern w:val="0"/>
          <w:sz w:val="32"/>
          <w:szCs w:val="32"/>
        </w:rPr>
        <w:t>年</w:t>
      </w:r>
      <w:r>
        <w:rPr>
          <w:rFonts w:hint="default" w:ascii="Times New Roman" w:hAnsi="Times New Roman" w:cs="Times New Roman"/>
          <w:bCs/>
          <w:spacing w:val="0"/>
          <w:kern w:val="0"/>
          <w:sz w:val="32"/>
          <w:szCs w:val="32"/>
          <w:lang w:val="en-US" w:eastAsia="zh-CN"/>
        </w:rPr>
        <w:t>1</w:t>
      </w:r>
      <w:r>
        <w:rPr>
          <w:rFonts w:hint="default" w:ascii="Times New Roman" w:hAnsi="Times New Roman" w:eastAsia="仿宋_GB2312" w:cs="Times New Roman"/>
          <w:bCs/>
          <w:spacing w:val="0"/>
          <w:kern w:val="0"/>
          <w:sz w:val="32"/>
          <w:szCs w:val="32"/>
        </w:rPr>
        <w:t>月</w:t>
      </w:r>
      <w:r>
        <w:rPr>
          <w:rFonts w:hint="eastAsia" w:ascii="Times New Roman" w:hAnsi="Times New Roman" w:cs="Times New Roman"/>
          <w:bCs/>
          <w:spacing w:val="0"/>
          <w:kern w:val="0"/>
          <w:sz w:val="32"/>
          <w:szCs w:val="32"/>
          <w:lang w:val="en-US" w:eastAsia="zh-CN"/>
        </w:rPr>
        <w:t>22</w:t>
      </w:r>
      <w:r>
        <w:rPr>
          <w:rFonts w:hint="default" w:ascii="Times New Roman" w:hAnsi="Times New Roman" w:eastAsia="仿宋_GB2312" w:cs="Times New Roman"/>
          <w:bCs/>
          <w:spacing w:val="0"/>
          <w:kern w:val="0"/>
          <w:sz w:val="32"/>
          <w:szCs w:val="32"/>
        </w:rPr>
        <w:t>日</w:t>
      </w:r>
    </w:p>
    <w:p w14:paraId="0E33E42A">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7EA2DE46">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0717FBC">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3944C1F0">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01296087">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3C45F79">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r>
        <w:rPr>
          <w:rFonts w:hint="default" w:ascii="Times New Roman" w:hAnsi="Times New Roman" w:cs="Times New Roman"/>
          <w:color w:val="000000"/>
          <w:sz w:val="28"/>
          <w:szCs w:val="28"/>
        </w:rPr>
        <mc:AlternateContent>
          <mc:Choice Requires="wps">
            <w:drawing>
              <wp:anchor distT="0" distB="0" distL="114300" distR="114300" simplePos="0" relativeHeight="251666432" behindDoc="1" locked="0" layoutInCell="1" allowOverlap="1">
                <wp:simplePos x="0" y="0"/>
                <wp:positionH relativeFrom="column">
                  <wp:posOffset>0</wp:posOffset>
                </wp:positionH>
                <wp:positionV relativeFrom="paragraph">
                  <wp:posOffset>255270</wp:posOffset>
                </wp:positionV>
                <wp:extent cx="5600700" cy="0"/>
                <wp:effectExtent l="0" t="4445" r="0" b="5080"/>
                <wp:wrapNone/>
                <wp:docPr id="1031" name="直接连接符 1031"/>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round/>
                          <a:headEnd type="none" w="med" len="med"/>
                          <a:tailEnd type="none" w="med" len="med"/>
                        </a:ln>
                        <a:effectLst/>
                      </wps:spPr>
                      <wps:bodyPr/>
                    </wps:wsp>
                  </a:graphicData>
                </a:graphic>
              </wp:anchor>
            </w:drawing>
          </mc:Choice>
          <mc:Fallback>
            <w:pict>
              <v:line id="_x0000_s1026" o:spid="_x0000_s1026" o:spt="20" style="position:absolute;left:0pt;margin-left:0pt;margin-top:20.1pt;height:0pt;width:441pt;z-index:-251650048;mso-width-relative:page;mso-height-relative:page;" filled="f" stroked="t" coordsize="21600,21600" o:gfxdata="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iV4930wAAAAYBAAAPAAAAAAAAAAEAIAAAACIAAABkcnMvZG93bnJldi54bWxQSwEC&#10;FAAUAAAACACHTuJAw2L6xvkBAAD2AwAADgAAAAAAAAABACAAAAAiAQAAZHJzL2Uyb0RvYy54bWxQ&#10;SwUGAAAAAAYABgBZAQAAjQUAAAAA&#10;">
                <v:fill on="f" focussize="0,0"/>
                <v:stroke color="#000000" joinstyle="round"/>
                <v:imagedata o:title=""/>
                <o:lock v:ext="edit" aspectratio="f"/>
              </v:line>
            </w:pict>
          </mc:Fallback>
        </mc:AlternateContent>
      </w:r>
    </w:p>
    <w:p w14:paraId="2AC7E19B">
      <w:pPr>
        <w:keepNext w:val="0"/>
        <w:keepLines w:val="0"/>
        <w:pageBreakBefore w:val="0"/>
        <w:widowControl w:val="0"/>
        <w:kinsoku/>
        <w:wordWrap/>
        <w:overflowPunct/>
        <w:topLinePunct w:val="0"/>
        <w:autoSpaceDE/>
        <w:autoSpaceDN/>
        <w:bidi w:val="0"/>
        <w:adjustRightInd w:val="0"/>
        <w:snapToGrid w:val="0"/>
        <w:spacing w:line="420" w:lineRule="exact"/>
        <w:ind w:right="0"/>
        <w:jc w:val="center"/>
        <w:textAlignment w:val="auto"/>
        <w:rPr>
          <w:rFonts w:hint="default" w:ascii="Times New Roman" w:hAnsi="Times New Roman" w:eastAsia="仿宋_GB2312" w:cs="Times New Roman"/>
          <w:color w:val="000000"/>
          <w:sz w:val="28"/>
          <w:szCs w:val="28"/>
          <w:lang w:eastAsia="zh-CN"/>
        </w:rPr>
      </w:pPr>
      <w:r>
        <w:rPr>
          <w:rFonts w:hint="eastAsia" w:ascii="Times New Roman" w:hAnsi="Times New Roman" w:eastAsia="仿宋_GB2312" w:cs="Times New Roman"/>
          <w:color w:val="000000"/>
          <w:sz w:val="28"/>
          <w:szCs w:val="28"/>
          <w:lang w:val="en-US" w:eastAsia="zh-CN"/>
        </w:rPr>
        <w:t xml:space="preserve"> </w:t>
      </w:r>
      <w:r>
        <w:rPr>
          <w:rFonts w:hint="default" w:ascii="Times New Roman" w:hAnsi="Times New Roman" w:eastAsia="仿宋_GB2312" w:cs="Times New Roman"/>
          <w:color w:val="000000"/>
          <w:sz w:val="28"/>
          <w:szCs w:val="28"/>
          <w:lang w:eastAsia="zh-CN"/>
        </w:rPr>
        <w:t xml:space="preserve">广元市昭化生态环境局办公室 </w:t>
      </w:r>
      <w:r>
        <w:rPr>
          <w:rFonts w:hint="default" w:ascii="Times New Roman" w:hAnsi="Times New Roman" w:eastAsia="仿宋_GB2312" w:cs="Times New Roman"/>
          <w:color w:val="000000"/>
          <w:sz w:val="28"/>
          <w:szCs w:val="28"/>
          <w:lang w:val="en-US" w:eastAsia="zh-CN"/>
        </w:rPr>
        <w:t xml:space="preserve">   </w:t>
      </w:r>
      <w:r>
        <w:rPr>
          <w:rFonts w:hint="eastAsia" w:ascii="Times New Roman" w:hAnsi="Times New Roman" w:eastAsia="仿宋_GB2312" w:cs="Times New Roman"/>
          <w:color w:val="000000"/>
          <w:sz w:val="28"/>
          <w:szCs w:val="28"/>
          <w:lang w:val="en-US" w:eastAsia="zh-CN"/>
        </w:rPr>
        <w:t xml:space="preserve">       </w:t>
      </w:r>
      <w:r>
        <w:rPr>
          <w:rFonts w:hint="default" w:ascii="Times New Roman" w:hAnsi="Times New Roman" w:eastAsia="仿宋_GB2312" w:cs="Times New Roman"/>
          <w:color w:val="000000"/>
          <w:sz w:val="28"/>
          <w:szCs w:val="28"/>
          <w:lang w:val="en-US" w:eastAsia="zh-CN"/>
        </w:rPr>
        <w:t xml:space="preserve"> </w:t>
      </w:r>
      <w:r>
        <w:rPr>
          <w:rFonts w:hint="default" w:ascii="Times New Roman" w:hAnsi="Times New Roman" w:eastAsia="仿宋_GB2312" w:cs="Times New Roman"/>
          <w:color w:val="000000"/>
          <w:sz w:val="28"/>
          <w:szCs w:val="28"/>
          <w:lang w:eastAsia="zh-CN"/>
        </w:rPr>
        <w:t xml:space="preserve">    202</w:t>
      </w:r>
      <w:r>
        <w:rPr>
          <w:rFonts w:hint="default" w:ascii="Times New Roman" w:hAnsi="Times New Roman" w:eastAsia="仿宋_GB2312" w:cs="Times New Roman"/>
          <w:color w:val="000000"/>
          <w:sz w:val="28"/>
          <w:szCs w:val="28"/>
          <w:lang w:val="en-US" w:eastAsia="zh-CN"/>
        </w:rPr>
        <w:t>5</w:t>
      </w:r>
      <w:r>
        <w:rPr>
          <w:rFonts w:hint="default" w:ascii="Times New Roman" w:hAnsi="Times New Roman" w:eastAsia="仿宋_GB2312" w:cs="Times New Roman"/>
          <w:color w:val="000000"/>
          <w:sz w:val="28"/>
          <w:szCs w:val="28"/>
          <w:lang w:eastAsia="zh-CN"/>
        </w:rPr>
        <w:t>年</w:t>
      </w:r>
      <w:r>
        <w:rPr>
          <w:rFonts w:hint="default" w:ascii="Times New Roman" w:hAnsi="Times New Roman" w:eastAsia="仿宋_GB2312" w:cs="Times New Roman"/>
          <w:color w:val="000000"/>
          <w:sz w:val="28"/>
          <w:szCs w:val="28"/>
          <w:lang w:val="en-US" w:eastAsia="zh-CN"/>
        </w:rPr>
        <w:t>1</w:t>
      </w:r>
      <w:r>
        <w:rPr>
          <w:rFonts w:hint="default" w:ascii="Times New Roman" w:hAnsi="Times New Roman" w:eastAsia="仿宋_GB2312" w:cs="Times New Roman"/>
          <w:color w:val="000000"/>
          <w:sz w:val="28"/>
          <w:szCs w:val="28"/>
          <w:lang w:eastAsia="zh-CN"/>
        </w:rPr>
        <w:t>月</w:t>
      </w:r>
      <w:r>
        <w:rPr>
          <w:rFonts w:hint="eastAsia" w:ascii="Times New Roman" w:hAnsi="Times New Roman" w:eastAsia="仿宋_GB2312" w:cs="Times New Roman"/>
          <w:color w:val="000000"/>
          <w:sz w:val="28"/>
          <w:szCs w:val="28"/>
          <w:lang w:val="en-US" w:eastAsia="zh-CN"/>
        </w:rPr>
        <w:t>2</w:t>
      </w:r>
      <w:r>
        <w:rPr>
          <w:rFonts w:hint="eastAsia" w:ascii="Times New Roman" w:hAnsi="Times New Roman" w:cs="Times New Roman"/>
          <w:color w:val="000000"/>
          <w:sz w:val="28"/>
          <w:szCs w:val="28"/>
          <w:lang w:val="en-US" w:eastAsia="zh-CN"/>
        </w:rPr>
        <w:t>2</w:t>
      </w:r>
      <w:r>
        <w:rPr>
          <w:rFonts w:hint="default" w:ascii="Times New Roman" w:hAnsi="Times New Roman" w:eastAsia="仿宋_GB2312" w:cs="Times New Roman"/>
          <w:color w:val="000000"/>
          <w:sz w:val="28"/>
          <w:szCs w:val="28"/>
          <w:lang w:eastAsia="zh-CN"/>
        </w:rPr>
        <w:t>日 印</w:t>
      </w:r>
    </w:p>
    <w:p w14:paraId="1EEF2513">
      <w:pPr>
        <w:keepNext w:val="0"/>
        <w:keepLines w:val="0"/>
        <w:pageBreakBefore w:val="0"/>
        <w:widowControl w:val="0"/>
        <w:kinsoku/>
        <w:wordWrap/>
        <w:overflowPunct/>
        <w:topLinePunct w:val="0"/>
        <w:autoSpaceDE/>
        <w:autoSpaceDN/>
        <w:bidi w:val="0"/>
        <w:spacing w:line="420" w:lineRule="exact"/>
        <w:ind w:right="0" w:firstLine="560" w:firstLineChars="200"/>
        <w:textAlignment w:val="auto"/>
        <w:rPr>
          <w:rFonts w:hint="default" w:asciiTheme="minorHAnsi" w:hAnsiTheme="minorHAnsi" w:eastAsiaTheme="minorEastAsia" w:cstheme="minorBidi"/>
          <w:kern w:val="2"/>
          <w:sz w:val="21"/>
          <w:szCs w:val="22"/>
          <w:lang w:val="en-US" w:eastAsia="zh-CN" w:bidi="ar-SA"/>
        </w:rPr>
      </w:pPr>
      <w:r>
        <w:rPr>
          <w:rFonts w:hint="default" w:ascii="Times New Roman" w:hAnsi="Times New Roman" w:cs="Times New Roman"/>
          <w:color w:val="000000"/>
          <w:sz w:val="28"/>
          <w:szCs w:val="28"/>
        </w:rPr>
        <mc:AlternateContent>
          <mc:Choice Requires="wps">
            <w:drawing>
              <wp:anchor distT="0" distB="0" distL="114300" distR="114300" simplePos="0" relativeHeight="251665408" behindDoc="1" locked="0" layoutInCell="1" allowOverlap="1">
                <wp:simplePos x="0" y="0"/>
                <wp:positionH relativeFrom="column">
                  <wp:posOffset>0</wp:posOffset>
                </wp:positionH>
                <wp:positionV relativeFrom="paragraph">
                  <wp:posOffset>74295</wp:posOffset>
                </wp:positionV>
                <wp:extent cx="5600700" cy="0"/>
                <wp:effectExtent l="0" t="4445" r="0" b="5080"/>
                <wp:wrapNone/>
                <wp:docPr id="1032" name="直接连接符 103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round/>
                          <a:headEnd type="none" w="med" len="med"/>
                          <a:tailEnd type="none" w="med" len="med"/>
                        </a:ln>
                        <a:effectLst/>
                      </wps:spPr>
                      <wps:bodyPr/>
                    </wps:wsp>
                  </a:graphicData>
                </a:graphic>
              </wp:anchor>
            </w:drawing>
          </mc:Choice>
          <mc:Fallback>
            <w:pict>
              <v:line id="_x0000_s1026" o:spid="_x0000_s1026" o:spt="20" style="position:absolute;left:0pt;margin-left:0pt;margin-top:5.85pt;height:0pt;width:441pt;z-index:-251651072;mso-width-relative:page;mso-height-relative:page;" filled="f" stroked="t" coordsize="21600,21600" o:gfxdata="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9qVrSAAAABgEAAA8AAAAAAAAAAQAgAAAAIgAAAGRycy9kb3ducmV2LnhtbFBLAQIU&#10;ABQAAAAIAIdO4kC63Z1X+QEAAPYDAAAOAAAAAAAAAAEAIAAAACEBAABkcnMvZTJvRG9jLnhtbFBL&#10;BQYAAAAABgAGAFkBAACMBQAAAAA=&#10;">
                <v:fill on="f" focussize="0,0"/>
                <v:stroke color="#000000" joinstyle="round"/>
                <v:imagedata o:title=""/>
                <o:lock v:ext="edit" aspectratio="f"/>
              </v:line>
            </w:pict>
          </mc:Fallback>
        </mc:AlternateContent>
      </w:r>
      <w:r>
        <w:rPr>
          <w:rFonts w:hint="default" w:ascii="Times New Roman" w:hAnsi="Times New Roman" w:eastAsia="黑体" w:cs="Times New Roman"/>
          <w:sz w:val="44"/>
          <w:szCs w:val="44"/>
        </w:rPr>
        <w:t xml:space="preserve">    </w:t>
      </w:r>
      <w:bookmarkStart w:id="0" w:name="_GoBack"/>
      <w:bookmarkEnd w:id="0"/>
    </w:p>
    <w:p w14:paraId="7C3C4A39">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仿宋_GB2312" w:cs="Times New Roman"/>
          <w:bCs/>
          <w:spacing w:val="0"/>
          <w:kern w:val="0"/>
          <w:sz w:val="32"/>
          <w:szCs w:val="32"/>
          <w:lang w:val="en-US" w:eastAsia="zh-CN"/>
        </w:rPr>
      </w:pPr>
    </w:p>
    <w:sectPr>
      <w:footerReference r:id="rId5" w:type="default"/>
      <w:pgSz w:w="11906" w:h="16838"/>
      <w:pgMar w:top="2098" w:right="1474" w:bottom="1984" w:left="1531"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方正楷体_GB2312">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E89629">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0B0981">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450B0981">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1NmVjYjQwN2M1Mzc1Y2IzZmE2MWZhZmUxMWFjMjQifQ=="/>
  </w:docVars>
  <w:rsids>
    <w:rsidRoot w:val="00000000"/>
    <w:rsid w:val="01B40E0C"/>
    <w:rsid w:val="055827F1"/>
    <w:rsid w:val="086223E6"/>
    <w:rsid w:val="098B3F8E"/>
    <w:rsid w:val="0A2212BB"/>
    <w:rsid w:val="0A932835"/>
    <w:rsid w:val="0DE21F4E"/>
    <w:rsid w:val="0F0846CA"/>
    <w:rsid w:val="0F6949B3"/>
    <w:rsid w:val="11AB0C44"/>
    <w:rsid w:val="12AE5347"/>
    <w:rsid w:val="22B91715"/>
    <w:rsid w:val="23D42CAA"/>
    <w:rsid w:val="28377363"/>
    <w:rsid w:val="28D17E71"/>
    <w:rsid w:val="292C49EE"/>
    <w:rsid w:val="2E082011"/>
    <w:rsid w:val="30913CD1"/>
    <w:rsid w:val="31E25969"/>
    <w:rsid w:val="39E8238A"/>
    <w:rsid w:val="40D4008C"/>
    <w:rsid w:val="42162288"/>
    <w:rsid w:val="42B06D43"/>
    <w:rsid w:val="43BF235B"/>
    <w:rsid w:val="47D8176D"/>
    <w:rsid w:val="4B8323A0"/>
    <w:rsid w:val="4CA02E7A"/>
    <w:rsid w:val="4DEB3C84"/>
    <w:rsid w:val="52C141FE"/>
    <w:rsid w:val="5ACC6005"/>
    <w:rsid w:val="5B371B91"/>
    <w:rsid w:val="5BD448EE"/>
    <w:rsid w:val="62FF4D34"/>
    <w:rsid w:val="660D4C01"/>
    <w:rsid w:val="6A2C68A1"/>
    <w:rsid w:val="6B2C35A2"/>
    <w:rsid w:val="793C47B8"/>
    <w:rsid w:val="7A32659D"/>
    <w:rsid w:val="7C6879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576" w:lineRule="exact"/>
    </w:pPr>
    <w:rPr>
      <w:rFonts w:ascii="等线" w:hAnsi="等线" w:eastAsia="仿宋_GB2312" w:cs="等线"/>
      <w:sz w:val="32"/>
      <w:szCs w:val="22"/>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240" w:lineRule="auto"/>
      <w:jc w:val="center"/>
      <w:outlineLvl w:val="0"/>
    </w:pPr>
    <w:rPr>
      <w:rFonts w:eastAsia="宋体"/>
      <w:b/>
      <w:kern w:val="44"/>
      <w:sz w:val="44"/>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Body Text"/>
    <w:basedOn w:val="1"/>
    <w:next w:val="4"/>
    <w:autoRedefine/>
    <w:qFormat/>
    <w:uiPriority w:val="0"/>
    <w:pPr>
      <w:widowControl/>
      <w:spacing w:line="360" w:lineRule="auto"/>
    </w:pPr>
    <w:rPr>
      <w:color w:val="FF0000"/>
    </w:rPr>
  </w:style>
  <w:style w:type="paragraph" w:styleId="4">
    <w:name w:val="Body Text First Indent"/>
    <w:basedOn w:val="3"/>
    <w:next w:val="1"/>
    <w:qFormat/>
    <w:uiPriority w:val="0"/>
    <w:pPr>
      <w:widowControl w:val="0"/>
      <w:snapToGrid/>
      <w:spacing w:before="0" w:after="120" w:line="240" w:lineRule="auto"/>
      <w:ind w:right="0" w:firstLine="420" w:firstLineChars="100"/>
    </w:pPr>
    <w:rPr>
      <w:kern w:val="2"/>
      <w:sz w:val="21"/>
    </w:rPr>
  </w:style>
  <w:style w:type="paragraph" w:styleId="5">
    <w:name w:val="Plain Text"/>
    <w:basedOn w:val="1"/>
    <w:autoRedefine/>
    <w:qFormat/>
    <w:uiPriority w:val="0"/>
    <w:rPr>
      <w:rFonts w:ascii="宋体" w:hAnsi="Courier New" w:cs="Times New Roman"/>
      <w:szCs w:val="22"/>
    </w:rPr>
  </w:style>
  <w:style w:type="paragraph" w:styleId="6">
    <w:name w:val="Body Text Indent 2"/>
    <w:basedOn w:val="1"/>
    <w:autoRedefine/>
    <w:qFormat/>
    <w:uiPriority w:val="0"/>
    <w:pPr>
      <w:ind w:firstLine="555"/>
    </w:pPr>
    <w:rPr>
      <w:rFonts w:eastAsia="仿宋_GB2312"/>
      <w:sz w:val="28"/>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customStyle="1" w:styleId="12">
    <w:name w:val="段"/>
    <w:autoRedefine/>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13">
    <w:name w:val="Default"/>
    <w:autoRedefine/>
    <w:qFormat/>
    <w:uiPriority w:val="0"/>
    <w:pPr>
      <w:widowControl w:val="0"/>
      <w:autoSpaceDE w:val="0"/>
      <w:autoSpaceDN w:val="0"/>
      <w:adjustRightInd w:val="0"/>
      <w:spacing w:line="440" w:lineRule="exact"/>
      <w:jc w:val="both"/>
    </w:pPr>
    <w:rPr>
      <w:rFonts w:ascii="华文中宋" w:hAnsi="Times New Roman" w:eastAsia="华文中宋" w:cs="华文中宋"/>
      <w:color w:val="000000"/>
      <w:sz w:val="24"/>
      <w:szCs w:val="24"/>
      <w:lang w:val="en-US" w:eastAsia="zh-CN" w:bidi="ar-SA"/>
    </w:rPr>
  </w:style>
  <w:style w:type="paragraph" w:styleId="14">
    <w:name w:val="List Paragraph"/>
    <w:basedOn w:val="1"/>
    <w:autoRedefine/>
    <w:qFormat/>
    <w:uiPriority w:val="99"/>
    <w:pPr>
      <w:spacing w:line="360" w:lineRule="auto"/>
      <w:ind w:firstLine="420" w:firstLineChars="200"/>
    </w:pPr>
    <w:rPr>
      <w:rFonts w:cs="宋体"/>
      <w:color w:val="000000"/>
      <w:sz w:val="24"/>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2946</Words>
  <Characters>3050</Characters>
  <Lines>0</Lines>
  <Paragraphs>0</Paragraphs>
  <TotalTime>53</TotalTime>
  <ScaleCrop>false</ScaleCrop>
  <LinksUpToDate>false</LinksUpToDate>
  <CharactersWithSpaces>3081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yjl</dc:creator>
  <cp:lastModifiedBy>石桐</cp:lastModifiedBy>
  <cp:lastPrinted>2025-01-22T07:37:47Z</cp:lastPrinted>
  <dcterms:modified xsi:type="dcterms:W3CDTF">2025-01-22T08:36:18Z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2D3BBDB86DC7463D9159B42BC0E80746_13</vt:lpwstr>
  </property>
  <property fmtid="{D5CDD505-2E9C-101B-9397-08002B2CF9AE}" pid="4" name="KSOTemplateDocerSaveRecord">
    <vt:lpwstr>eyJoZGlkIjoiMTk4MGViNDY3YThkZGMyOTgxMjJlZjZlNjdiMWMxZGEiLCJ1c2VySWQiOiIyNjUzOTIwOTkifQ==</vt:lpwstr>
  </property>
</Properties>
</file>