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C2BF7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both"/>
        <w:rPr>
          <w:rFonts w:hint="default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  <w:lang w:eastAsia="zh-CN"/>
        </w:rPr>
        <w:t>202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  <w:lang w:eastAsia="zh-CN"/>
        </w:rPr>
        <w:t>年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</w:rPr>
        <w:t>第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  <w:lang w:val="en-US" w:eastAsia="zh-CN"/>
        </w:rPr>
        <w:t>一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</w:rPr>
        <w:t>季度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  <w:lang w:val="en-US" w:eastAsia="zh-CN"/>
        </w:rPr>
        <w:t>昭化区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</w:rPr>
        <w:t>环境质量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48"/>
          <w:szCs w:val="48"/>
          <w:shd w:val="clear" w:fill="FFFFFF"/>
          <w:lang w:val="en-US" w:eastAsia="zh-CN"/>
        </w:rPr>
        <w:t>报告</w:t>
      </w:r>
    </w:p>
    <w:p w14:paraId="43E125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2520" w:firstLineChars="900"/>
        <w:textAlignment w:val="auto"/>
        <w:rPr>
          <w:rFonts w:hint="eastAsia" w:eastAsia="黑体"/>
          <w:sz w:val="28"/>
          <w:szCs w:val="28"/>
          <w:lang w:val="en-US" w:eastAsia="zh-CN"/>
        </w:rPr>
      </w:pPr>
    </w:p>
    <w:p w14:paraId="7B32B8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2520" w:firstLineChars="900"/>
        <w:textAlignment w:val="auto"/>
        <w:rPr>
          <w:rFonts w:hint="eastAsia" w:eastAsia="黑体"/>
          <w:sz w:val="28"/>
          <w:szCs w:val="28"/>
          <w:lang w:val="en-US" w:eastAsia="zh-CN"/>
        </w:rPr>
      </w:pPr>
      <w:r>
        <w:rPr>
          <w:rFonts w:hint="eastAsia" w:eastAsia="黑体"/>
          <w:sz w:val="28"/>
          <w:szCs w:val="28"/>
          <w:lang w:val="en-US" w:eastAsia="zh-CN"/>
        </w:rPr>
        <w:t>第一节    环境空气质量</w:t>
      </w:r>
    </w:p>
    <w:p w14:paraId="739B8B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eastAsia="黑体"/>
          <w:sz w:val="28"/>
          <w:szCs w:val="28"/>
        </w:rPr>
      </w:pPr>
      <w:r>
        <w:rPr>
          <w:rFonts w:hint="eastAsia" w:eastAsia="黑体"/>
          <w:sz w:val="28"/>
          <w:szCs w:val="28"/>
          <w:lang w:val="en-US" w:eastAsia="zh-CN"/>
        </w:rPr>
        <w:t>1. 监测概况</w:t>
      </w:r>
    </w:p>
    <w:p w14:paraId="1FB951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default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</w:pP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2025年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1季度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，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昭化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生态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环境监测站按照《环境空气质量自动监测技术规范》要求对昭化区城区环境空气质量进行自动连续监测，监测项目为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可吸入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颗粒物（PM10）、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细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颗粒物（PM</w:t>
      </w:r>
      <w:r>
        <w:rPr>
          <w:rFonts w:hint="default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2.5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）、二氧化硫（SO</w:t>
      </w:r>
      <w:r>
        <w:rPr>
          <w:rFonts w:hint="default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2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）、二氧化氮（NO</w:t>
      </w:r>
      <w:r>
        <w:rPr>
          <w:rFonts w:hint="default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2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）、一氧化碳（CO）、臭氧（O</w:t>
      </w:r>
      <w:r>
        <w:rPr>
          <w:rFonts w:hint="default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3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）共六个项目。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一季度实际监测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90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天，有效监测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89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天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（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1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月份31天、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2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月份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28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天、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3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月份3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0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天）</w:t>
      </w:r>
      <w:r>
        <w:rPr>
          <w:rFonts w:hint="eastAsia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，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监测统计结果见表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3、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表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4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。</w:t>
      </w:r>
    </w:p>
    <w:p w14:paraId="2CC8A87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eastAsia="黑体"/>
          <w:sz w:val="28"/>
          <w:szCs w:val="28"/>
          <w:lang w:val="en-US" w:eastAsia="zh-CN"/>
        </w:rPr>
      </w:pPr>
      <w:r>
        <w:rPr>
          <w:rFonts w:hint="eastAsia" w:eastAsia="黑体"/>
          <w:sz w:val="28"/>
          <w:szCs w:val="28"/>
          <w:lang w:val="en-US" w:eastAsia="zh-CN"/>
        </w:rPr>
        <w:t>执行标准</w:t>
      </w:r>
    </w:p>
    <w:p w14:paraId="2F1BABDD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eastAsia="楷体_GB2312" w:cs="Times New Roman"/>
          <w:szCs w:val="28"/>
        </w:rPr>
      </w:pPr>
      <w:r>
        <w:rPr>
          <w:rFonts w:hint="eastAsia" w:eastAsia="楷体_GB2312" w:cs="Times New Roman"/>
          <w:szCs w:val="28"/>
          <w:lang w:val="en-US" w:eastAsia="zh-CN"/>
        </w:rPr>
        <w:t>2.1</w:t>
      </w:r>
      <w:r>
        <w:rPr>
          <w:rFonts w:eastAsia="楷体_GB2312" w:cs="Times New Roman"/>
          <w:szCs w:val="28"/>
        </w:rPr>
        <w:t>评价标准</w:t>
      </w:r>
    </w:p>
    <w:p w14:paraId="52053567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default"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</w:pP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按照《环境空气质量评价技术规范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（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试行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）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》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（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HJ663-2013</w:t>
      </w:r>
      <w:r>
        <w:rPr>
          <w:rFonts w:hint="eastAsia" w:eastAsia="仿宋_GB2312" w:cs="Times New Roman"/>
          <w:kern w:val="2"/>
          <w:sz w:val="28"/>
          <w:szCs w:val="28"/>
          <w:lang w:val="en-US" w:eastAsia="zh-CN" w:bidi="ar-SA"/>
        </w:rPr>
        <w:t>）</w:t>
      </w:r>
      <w:r>
        <w:rPr>
          <w:rFonts w:eastAsia="仿宋_GB2312" w:cs="Times New Roman" w:asciiTheme="minorHAnsi" w:hAnsiTheme="minorHAnsi"/>
          <w:kern w:val="2"/>
          <w:sz w:val="28"/>
          <w:szCs w:val="28"/>
          <w:lang w:val="en-US" w:eastAsia="zh-CN" w:bidi="ar-SA"/>
        </w:rPr>
        <w:t>技术要求对监测结果进行评价，执行《环境空气质量标准》（GB3095－2012）二级标准。</w:t>
      </w:r>
    </w:p>
    <w:p w14:paraId="53DD6256">
      <w:pPr>
        <w:jc w:val="center"/>
        <w:rPr>
          <w:rFonts w:eastAsia="仿宋_GB2312"/>
          <w:b/>
          <w:spacing w:val="-4"/>
          <w:sz w:val="28"/>
          <w:szCs w:val="28"/>
        </w:rPr>
      </w:pPr>
      <w:r>
        <w:rPr>
          <w:rFonts w:eastAsia="仿宋_GB2312"/>
          <w:b/>
          <w:spacing w:val="-4"/>
          <w:sz w:val="28"/>
          <w:szCs w:val="28"/>
        </w:rPr>
        <w:t>表</w:t>
      </w:r>
      <w:r>
        <w:rPr>
          <w:rFonts w:hint="eastAsia" w:eastAsia="仿宋_GB2312"/>
          <w:b/>
          <w:spacing w:val="-4"/>
          <w:sz w:val="28"/>
          <w:szCs w:val="28"/>
          <w:lang w:val="en-US" w:eastAsia="zh-CN"/>
        </w:rPr>
        <w:t>1</w:t>
      </w:r>
      <w:r>
        <w:rPr>
          <w:rFonts w:eastAsia="仿宋_GB2312"/>
          <w:b/>
          <w:spacing w:val="-4"/>
          <w:sz w:val="28"/>
          <w:szCs w:val="28"/>
        </w:rPr>
        <w:t xml:space="preserve"> 环境空气质量标准</w:t>
      </w:r>
    </w:p>
    <w:tbl>
      <w:tblPr>
        <w:tblStyle w:val="6"/>
        <w:tblW w:w="9705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3"/>
        <w:gridCol w:w="2002"/>
        <w:gridCol w:w="2231"/>
        <w:gridCol w:w="1118"/>
        <w:gridCol w:w="1118"/>
        <w:gridCol w:w="911"/>
        <w:gridCol w:w="2142"/>
      </w:tblGrid>
      <w:tr w14:paraId="6EBDB95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97" w:hRule="atLeast"/>
          <w:jc w:val="center"/>
        </w:trPr>
        <w:tc>
          <w:tcPr>
            <w:tcW w:w="200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36AB87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  <w:t>监测项目</w:t>
            </w:r>
          </w:p>
        </w:tc>
        <w:tc>
          <w:tcPr>
            <w:tcW w:w="2231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000262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  <w:t>取值时间</w:t>
            </w:r>
          </w:p>
        </w:tc>
        <w:tc>
          <w:tcPr>
            <w:tcW w:w="3147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27996C4">
            <w:pPr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  <w:t>浓度限值</w:t>
            </w:r>
          </w:p>
        </w:tc>
        <w:tc>
          <w:tcPr>
            <w:tcW w:w="214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AE7E25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  <w:t>标准名称及编号</w:t>
            </w:r>
          </w:p>
        </w:tc>
      </w:tr>
      <w:tr w14:paraId="48FBE6E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75" w:hRule="atLeast"/>
          <w:jc w:val="center"/>
        </w:trPr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2CA852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</w:pPr>
          </w:p>
        </w:tc>
        <w:tc>
          <w:tcPr>
            <w:tcW w:w="2231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E2363B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</w:pP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FC1787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  <w:t>一级标准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8486B2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  <w:t>二级标准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67B713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  <w:t>单位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762B56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4"/>
              </w:rPr>
            </w:pPr>
          </w:p>
        </w:tc>
      </w:tr>
      <w:tr w14:paraId="53C901C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391" w:hRule="atLeast"/>
          <w:jc w:val="center"/>
        </w:trPr>
        <w:tc>
          <w:tcPr>
            <w:tcW w:w="200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6F54D61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二氧化硫</w:t>
            </w: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9650912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24小时平均值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0EEC15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50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962ABC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150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E1F4301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776F037">
            <w:pPr>
              <w:jc w:val="center"/>
              <w:rPr>
                <w:rFonts w:hint="eastAsia" w:asciiTheme="minorEastAsia" w:hAnsiTheme="minorEastAsia" w:eastAsiaTheme="minorEastAsia" w:cstheme="minorEastAsia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  <w:t>《环境空气质量标准》（GB3095－2012）表1</w:t>
            </w:r>
          </w:p>
        </w:tc>
      </w:tr>
      <w:tr w14:paraId="1B130503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391" w:hRule="atLeast"/>
          <w:jc w:val="center"/>
        </w:trPr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66EBA96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24EB7D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年平均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BCFC817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20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10A4ECF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60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F4D045B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85A512B">
            <w:pPr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</w:pPr>
          </w:p>
        </w:tc>
      </w:tr>
      <w:tr w14:paraId="3D75043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391" w:hRule="atLeast"/>
          <w:jc w:val="center"/>
        </w:trPr>
        <w:tc>
          <w:tcPr>
            <w:tcW w:w="200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66D585B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二氧化氮</w:t>
            </w: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8977CC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24小时平均值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99D921A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80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F0731A6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80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AD287C3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4451D39">
            <w:pPr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</w:pPr>
          </w:p>
        </w:tc>
      </w:tr>
      <w:tr w14:paraId="4A857B17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391" w:hRule="atLeast"/>
          <w:jc w:val="center"/>
        </w:trPr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DC299E0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D6B0D78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年平均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E9ACF7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40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AFD3031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40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3B45D33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24E44B6">
            <w:pPr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</w:rPr>
            </w:pPr>
          </w:p>
        </w:tc>
      </w:tr>
      <w:tr w14:paraId="507A2354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391" w:hRule="atLeast"/>
          <w:jc w:val="center"/>
        </w:trPr>
        <w:tc>
          <w:tcPr>
            <w:tcW w:w="200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458712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可吸入颗粒物</w:t>
            </w: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82880A1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24小时平均值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13E69A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50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82384D3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150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A8862C2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1CCE40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</w:tr>
      <w:tr w14:paraId="33250147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391" w:hRule="atLeast"/>
          <w:jc w:val="center"/>
        </w:trPr>
        <w:tc>
          <w:tcPr>
            <w:tcW w:w="200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849054A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AC89598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年平均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09F1DE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40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9FC7693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70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E0EBD5A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26E5A5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</w:tr>
      <w:tr w14:paraId="5EBA1F9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391" w:hRule="atLeast"/>
          <w:jc w:val="center"/>
        </w:trPr>
        <w:tc>
          <w:tcPr>
            <w:tcW w:w="200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F4221E4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一氧化碳</w:t>
            </w: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820C8E4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24小时平均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D08106D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4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FF17420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4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D6C411B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mg/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8BD5392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</w:tr>
      <w:tr w14:paraId="668AF13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83" w:type="dxa"/>
          <w:trHeight w:val="391" w:hRule="atLeast"/>
          <w:jc w:val="center"/>
        </w:trPr>
        <w:tc>
          <w:tcPr>
            <w:tcW w:w="200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7A7813B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臭氧</w:t>
            </w: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798A9B3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日最大8小时平均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8E79053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100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60C37A1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160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9BDB609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257DB9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</w:tr>
      <w:tr w14:paraId="6DB4EE3E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2185" w:type="dxa"/>
            <w:gridSpan w:val="2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63063A6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细颗粒物</w:t>
            </w: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515988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24小时平均值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E1B7E9C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35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D1C30B7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75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6AF0D6F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4B2FEE1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</w:tr>
      <w:tr w14:paraId="17466254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2185" w:type="dxa"/>
            <w:gridSpan w:val="2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E9AB627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23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DB4A839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年均值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95608E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15</w:t>
            </w:r>
          </w:p>
        </w:tc>
        <w:tc>
          <w:tcPr>
            <w:tcW w:w="111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50132FC"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35</w:t>
            </w:r>
          </w:p>
        </w:tc>
        <w:tc>
          <w:tcPr>
            <w:tcW w:w="9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699B0F7">
            <w:pPr>
              <w:jc w:val="center"/>
              <w:rPr>
                <w:rFonts w:hint="default" w:ascii="Times New Roman" w:hAnsi="Times New Roman" w:cs="Times New Roman" w:eastAsiaTheme="minorEastAsia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</w:rPr>
              <w:t>μg/</w:t>
            </w:r>
            <w:r>
              <w:rPr>
                <w:rFonts w:hint="default" w:ascii="Times New Roman" w:hAnsi="Times New Roman" w:cs="Times New Roman"/>
                <w:lang w:eastAsia="zh-CN"/>
              </w:rPr>
              <w:t>m³</w:t>
            </w:r>
          </w:p>
        </w:tc>
        <w:tc>
          <w:tcPr>
            <w:tcW w:w="214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F1AB08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</w:tr>
    </w:tbl>
    <w:p w14:paraId="44496BCF">
      <w:pPr>
        <w:pStyle w:val="10"/>
        <w:spacing w:line="560" w:lineRule="exact"/>
        <w:ind w:firstLine="560" w:firstLineChars="200"/>
        <w:rPr>
          <w:rFonts w:eastAsia="楷体_GB2312" w:cs="Times New Roman"/>
          <w:szCs w:val="28"/>
        </w:rPr>
      </w:pPr>
      <w:r>
        <w:rPr>
          <w:rFonts w:hint="eastAsia" w:eastAsia="楷体_GB2312" w:cs="Times New Roman"/>
          <w:szCs w:val="28"/>
          <w:lang w:val="en-US" w:eastAsia="zh-CN"/>
        </w:rPr>
        <w:t>2.2</w:t>
      </w:r>
      <w:r>
        <w:rPr>
          <w:rFonts w:eastAsia="楷体_GB2312" w:cs="Times New Roman"/>
          <w:szCs w:val="28"/>
        </w:rPr>
        <w:t>评价方法</w:t>
      </w:r>
    </w:p>
    <w:p w14:paraId="1BA7C7DB">
      <w:pPr>
        <w:pStyle w:val="10"/>
        <w:spacing w:line="560" w:lineRule="exact"/>
        <w:ind w:firstLine="560" w:firstLineChars="200"/>
        <w:rPr>
          <w:rFonts w:eastAsia="仿宋_GB2312" w:cs="Times New Roman"/>
          <w:szCs w:val="28"/>
        </w:rPr>
      </w:pPr>
      <w:r>
        <w:rPr>
          <w:rFonts w:eastAsia="仿宋_GB2312" w:cs="Times New Roman"/>
          <w:szCs w:val="28"/>
        </w:rPr>
        <w:t>选取二氧化硫、二氧化氮、可吸入颗粒物、臭氧8小时平均、一氧化碳、细颗粒物六个项目作为评价参数，采用空气质量指数AQI进行分析评价，并按照《环境空气质量评价技术规范</w:t>
      </w:r>
      <w:r>
        <w:rPr>
          <w:rFonts w:hint="eastAsia" w:eastAsia="仿宋_GB2312" w:cs="Times New Roman"/>
          <w:szCs w:val="28"/>
          <w:lang w:eastAsia="zh-CN"/>
        </w:rPr>
        <w:t>（</w:t>
      </w:r>
      <w:r>
        <w:rPr>
          <w:rFonts w:eastAsia="仿宋_GB2312" w:cs="Times New Roman"/>
          <w:szCs w:val="28"/>
        </w:rPr>
        <w:t>试行</w:t>
      </w:r>
      <w:r>
        <w:rPr>
          <w:rFonts w:hint="eastAsia" w:eastAsia="仿宋_GB2312" w:cs="Times New Roman"/>
          <w:szCs w:val="28"/>
          <w:lang w:eastAsia="zh-CN"/>
        </w:rPr>
        <w:t>）</w:t>
      </w:r>
      <w:r>
        <w:rPr>
          <w:rFonts w:eastAsia="仿宋_GB2312" w:cs="Times New Roman"/>
          <w:szCs w:val="28"/>
        </w:rPr>
        <w:t>》规定对单项指标24小时平均相对应的百分位数进行评价。</w:t>
      </w:r>
    </w:p>
    <w:p w14:paraId="31553E3A">
      <w:pPr>
        <w:pStyle w:val="10"/>
        <w:spacing w:line="560" w:lineRule="exact"/>
        <w:ind w:firstLine="560" w:firstLineChars="200"/>
        <w:rPr>
          <w:rFonts w:eastAsia="楷体_GB2312" w:cs="Times New Roman"/>
          <w:szCs w:val="28"/>
        </w:rPr>
      </w:pPr>
      <w:r>
        <w:rPr>
          <w:rFonts w:hint="eastAsia" w:eastAsia="楷体_GB2312" w:cs="Times New Roman"/>
          <w:szCs w:val="28"/>
          <w:lang w:val="en-US" w:eastAsia="zh-CN"/>
        </w:rPr>
        <w:t>2.3</w:t>
      </w:r>
      <w:r>
        <w:rPr>
          <w:rFonts w:eastAsia="楷体_GB2312" w:cs="Times New Roman"/>
          <w:szCs w:val="28"/>
        </w:rPr>
        <w:t>分级标准</w:t>
      </w:r>
    </w:p>
    <w:p w14:paraId="3D2A50DA">
      <w:pPr>
        <w:jc w:val="center"/>
        <w:rPr>
          <w:rFonts w:eastAsia="仿宋_GB2312"/>
          <w:b/>
          <w:sz w:val="28"/>
          <w:szCs w:val="28"/>
        </w:rPr>
      </w:pPr>
      <w:r>
        <w:rPr>
          <w:rFonts w:eastAsia="仿宋_GB2312"/>
          <w:b/>
          <w:sz w:val="28"/>
          <w:szCs w:val="28"/>
        </w:rPr>
        <w:t>表</w:t>
      </w:r>
      <w:r>
        <w:rPr>
          <w:rFonts w:hint="eastAsia" w:eastAsia="仿宋_GB2312"/>
          <w:b/>
          <w:sz w:val="28"/>
          <w:szCs w:val="28"/>
          <w:lang w:val="en-US" w:eastAsia="zh-CN"/>
        </w:rPr>
        <w:t>2</w:t>
      </w:r>
      <w:r>
        <w:rPr>
          <w:rFonts w:eastAsia="仿宋_GB2312"/>
          <w:b/>
          <w:sz w:val="28"/>
          <w:szCs w:val="28"/>
        </w:rPr>
        <w:t xml:space="preserve">   空气环境质量评价分级标准</w:t>
      </w:r>
    </w:p>
    <w:tbl>
      <w:tblPr>
        <w:tblStyle w:val="6"/>
        <w:tblW w:w="9829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14"/>
        <w:gridCol w:w="1130"/>
        <w:gridCol w:w="1277"/>
        <w:gridCol w:w="1277"/>
        <w:gridCol w:w="1277"/>
        <w:gridCol w:w="1277"/>
        <w:gridCol w:w="1277"/>
      </w:tblGrid>
      <w:tr w14:paraId="5DA6786F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4" w:hRule="atLeast"/>
          <w:jc w:val="center"/>
        </w:trPr>
        <w:tc>
          <w:tcPr>
            <w:tcW w:w="2314" w:type="dxa"/>
            <w:tcBorders>
              <w:tl2br w:val="nil"/>
              <w:tr2bl w:val="nil"/>
            </w:tcBorders>
            <w:vAlign w:val="center"/>
          </w:tcPr>
          <w:p w14:paraId="74E7447B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AQI值</w:t>
            </w:r>
          </w:p>
        </w:tc>
        <w:tc>
          <w:tcPr>
            <w:tcW w:w="1130" w:type="dxa"/>
            <w:tcBorders>
              <w:tl2br w:val="nil"/>
              <w:tr2bl w:val="nil"/>
            </w:tcBorders>
            <w:vAlign w:val="center"/>
          </w:tcPr>
          <w:p w14:paraId="66651CC4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</w:t>
            </w:r>
            <w:r>
              <w:rPr>
                <w:rFonts w:hint="eastAsia" w:ascii="Times New Roman" w:hAnsi="Times New Roman"/>
                <w:szCs w:val="24"/>
                <w:lang w:eastAsia="zh-CN"/>
              </w:rPr>
              <w:t>~</w:t>
            </w:r>
            <w:r>
              <w:rPr>
                <w:rFonts w:ascii="Times New Roman" w:hAnsi="Times New Roman"/>
                <w:szCs w:val="24"/>
              </w:rPr>
              <w:t>50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749FC2E7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51</w:t>
            </w:r>
            <w:r>
              <w:rPr>
                <w:rFonts w:hint="eastAsia" w:ascii="Times New Roman" w:hAnsi="Times New Roman"/>
                <w:szCs w:val="24"/>
                <w:lang w:eastAsia="zh-CN"/>
              </w:rPr>
              <w:t>~</w:t>
            </w:r>
            <w:r>
              <w:rPr>
                <w:rFonts w:ascii="Times New Roman" w:hAnsi="Times New Roman"/>
                <w:szCs w:val="24"/>
              </w:rPr>
              <w:t>100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4DBA41B6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101</w:t>
            </w:r>
            <w:r>
              <w:rPr>
                <w:rFonts w:hint="eastAsia" w:ascii="Times New Roman" w:hAnsi="Times New Roman"/>
                <w:szCs w:val="24"/>
                <w:lang w:eastAsia="zh-CN"/>
              </w:rPr>
              <w:t>~</w:t>
            </w:r>
            <w:r>
              <w:rPr>
                <w:rFonts w:ascii="Times New Roman" w:hAnsi="Times New Roman"/>
                <w:szCs w:val="24"/>
              </w:rPr>
              <w:t>150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74660053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151~200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6A5C4B2C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201</w:t>
            </w:r>
            <w:r>
              <w:rPr>
                <w:rFonts w:hint="eastAsia" w:ascii="Times New Roman" w:hAnsi="Times New Roman"/>
                <w:szCs w:val="24"/>
                <w:lang w:eastAsia="zh-CN"/>
              </w:rPr>
              <w:t>~</w:t>
            </w:r>
            <w:r>
              <w:rPr>
                <w:rFonts w:ascii="Times New Roman" w:hAnsi="Times New Roman"/>
                <w:szCs w:val="24"/>
              </w:rPr>
              <w:t>300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3C7141DB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&gt;300</w:t>
            </w:r>
          </w:p>
        </w:tc>
      </w:tr>
      <w:tr w14:paraId="2D7D1207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6" w:hRule="atLeast"/>
          <w:jc w:val="center"/>
        </w:trPr>
        <w:tc>
          <w:tcPr>
            <w:tcW w:w="2314" w:type="dxa"/>
            <w:tcBorders>
              <w:tl2br w:val="nil"/>
              <w:tr2bl w:val="nil"/>
            </w:tcBorders>
            <w:vAlign w:val="center"/>
          </w:tcPr>
          <w:p w14:paraId="1E78CCAB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空气质量级别</w:t>
            </w:r>
          </w:p>
        </w:tc>
        <w:tc>
          <w:tcPr>
            <w:tcW w:w="1130" w:type="dxa"/>
            <w:tcBorders>
              <w:tl2br w:val="nil"/>
              <w:tr2bl w:val="nil"/>
            </w:tcBorders>
            <w:vAlign w:val="center"/>
          </w:tcPr>
          <w:p w14:paraId="36017EEA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一级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7E5738CE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二级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0D5FD6BE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三级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50267477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四级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1F15FEA5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五级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1B86AA29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六级</w:t>
            </w:r>
          </w:p>
        </w:tc>
      </w:tr>
      <w:tr w14:paraId="1DC50A39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4" w:hRule="atLeast"/>
          <w:jc w:val="center"/>
        </w:trPr>
        <w:tc>
          <w:tcPr>
            <w:tcW w:w="2314" w:type="dxa"/>
            <w:tcBorders>
              <w:tl2br w:val="nil"/>
              <w:tr2bl w:val="nil"/>
            </w:tcBorders>
            <w:vAlign w:val="center"/>
          </w:tcPr>
          <w:p w14:paraId="4073BA23">
            <w:pPr>
              <w:pStyle w:val="4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空气质量状况</w:t>
            </w:r>
          </w:p>
        </w:tc>
        <w:tc>
          <w:tcPr>
            <w:tcW w:w="1130" w:type="dxa"/>
            <w:tcBorders>
              <w:tl2br w:val="nil"/>
              <w:tr2bl w:val="nil"/>
            </w:tcBorders>
            <w:vAlign w:val="center"/>
          </w:tcPr>
          <w:p w14:paraId="76F1C98F">
            <w:pPr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优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36F43698">
            <w:pPr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良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790CBF2A">
            <w:pPr>
              <w:adjustRightInd w:val="0"/>
              <w:snapToGri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轻微污染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2FD36345">
            <w:pPr>
              <w:adjustRightInd w:val="0"/>
              <w:snapToGri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轻度污染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67CC45DA">
            <w:pPr>
              <w:adjustRightInd w:val="0"/>
              <w:snapToGri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中度污染</w:t>
            </w:r>
          </w:p>
        </w:tc>
        <w:tc>
          <w:tcPr>
            <w:tcW w:w="1277" w:type="dxa"/>
            <w:tcBorders>
              <w:tl2br w:val="nil"/>
              <w:tr2bl w:val="nil"/>
            </w:tcBorders>
            <w:vAlign w:val="center"/>
          </w:tcPr>
          <w:p w14:paraId="7B80BE36">
            <w:pPr>
              <w:adjustRightInd w:val="0"/>
              <w:snapToGri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重污染</w:t>
            </w:r>
          </w:p>
        </w:tc>
      </w:tr>
    </w:tbl>
    <w:p w14:paraId="79D23FCA">
      <w:pPr>
        <w:numPr>
          <w:ilvl w:val="0"/>
          <w:numId w:val="2"/>
        </w:numPr>
        <w:rPr>
          <w:rFonts w:eastAsia="黑体"/>
          <w:sz w:val="28"/>
          <w:szCs w:val="28"/>
        </w:rPr>
      </w:pPr>
      <w:r>
        <w:rPr>
          <w:rFonts w:hint="eastAsia" w:eastAsia="黑体"/>
          <w:sz w:val="28"/>
          <w:szCs w:val="28"/>
          <w:lang w:val="en-US" w:eastAsia="zh-CN"/>
        </w:rPr>
        <w:t xml:space="preserve"> </w:t>
      </w:r>
      <w:r>
        <w:rPr>
          <w:rFonts w:eastAsia="黑体"/>
          <w:sz w:val="28"/>
          <w:szCs w:val="28"/>
        </w:rPr>
        <w:t>监测结果</w:t>
      </w:r>
    </w:p>
    <w:p w14:paraId="425F0584">
      <w:pPr>
        <w:autoSpaceDE w:val="0"/>
        <w:autoSpaceDN w:val="0"/>
        <w:adjustRightInd w:val="0"/>
        <w:ind w:firstLine="1405" w:firstLineChars="500"/>
        <w:rPr>
          <w:rFonts w:eastAsia="仿宋_GB2312"/>
          <w:b/>
          <w:kern w:val="0"/>
          <w:sz w:val="28"/>
          <w:szCs w:val="28"/>
        </w:rPr>
      </w:pPr>
      <w:r>
        <w:rPr>
          <w:rFonts w:eastAsia="仿宋_GB2312"/>
          <w:b/>
          <w:kern w:val="0"/>
          <w:sz w:val="28"/>
          <w:szCs w:val="28"/>
        </w:rPr>
        <w:t xml:space="preserve">表3  </w:t>
      </w:r>
      <w:r>
        <w:rPr>
          <w:rFonts w:hint="eastAsia" w:eastAsia="仿宋_GB2312"/>
          <w:b/>
          <w:kern w:val="0"/>
          <w:sz w:val="28"/>
          <w:szCs w:val="28"/>
          <w:lang w:eastAsia="zh-CN"/>
        </w:rPr>
        <w:t>202</w:t>
      </w: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>5</w:t>
      </w:r>
      <w:r>
        <w:rPr>
          <w:rFonts w:hint="eastAsia" w:eastAsia="仿宋_GB2312"/>
          <w:b/>
          <w:kern w:val="0"/>
          <w:sz w:val="28"/>
          <w:szCs w:val="28"/>
          <w:lang w:eastAsia="zh-CN"/>
        </w:rPr>
        <w:t>年1季度</w:t>
      </w:r>
      <w:r>
        <w:rPr>
          <w:rFonts w:eastAsia="仿宋_GB2312"/>
          <w:b/>
          <w:kern w:val="0"/>
          <w:sz w:val="28"/>
          <w:szCs w:val="28"/>
        </w:rPr>
        <w:t>环境空气质量监测结果表</w:t>
      </w:r>
    </w:p>
    <w:p w14:paraId="262BA32D">
      <w:pPr>
        <w:autoSpaceDE w:val="0"/>
        <w:autoSpaceDN w:val="0"/>
        <w:adjustRightInd w:val="0"/>
        <w:ind w:firstLine="6000" w:firstLineChars="2500"/>
        <w:rPr>
          <w:rFonts w:hint="eastAsia" w:eastAsia="仿宋_GB2312"/>
          <w:b/>
          <w:kern w:val="0"/>
          <w:sz w:val="28"/>
          <w:szCs w:val="28"/>
          <w:lang w:eastAsia="zh-CN"/>
        </w:rPr>
      </w:pPr>
      <w:r>
        <w:rPr>
          <w:rFonts w:eastAsia="仿宋_GB2312"/>
          <w:sz w:val="24"/>
        </w:rPr>
        <w:t>（</w:t>
      </w:r>
      <w:r>
        <w:rPr>
          <w:rStyle w:val="11"/>
          <w:rFonts w:hint="default" w:ascii="Times New Roman" w:hAnsi="Times New Roman" w:eastAsia="仿宋_GB2312" w:cs="Times New Roman"/>
        </w:rPr>
        <w:t>单位：</w:t>
      </w:r>
      <w:r>
        <w:rPr>
          <w:rStyle w:val="12"/>
          <w:rFonts w:ascii="Times New Roman" w:hAnsi="Times New Roman" w:eastAsia="仿宋_GB2312" w:cs="Times New Roman"/>
        </w:rPr>
        <w:t>ug/</w:t>
      </w:r>
      <w:r>
        <w:rPr>
          <w:rStyle w:val="12"/>
          <w:rFonts w:hint="eastAsia" w:ascii="Times New Roman" w:hAnsi="Times New Roman" w:eastAsia="仿宋_GB2312" w:cs="Times New Roman"/>
          <w:lang w:eastAsia="zh-CN"/>
        </w:rPr>
        <w:t>m³</w:t>
      </w:r>
      <w:r>
        <w:rPr>
          <w:rStyle w:val="12"/>
          <w:rFonts w:ascii="Times New Roman" w:hAnsi="Times New Roman" w:eastAsia="仿宋_GB2312" w:cs="Times New Roman"/>
        </w:rPr>
        <w:t>,CO:mg/</w:t>
      </w:r>
      <w:r>
        <w:rPr>
          <w:rStyle w:val="12"/>
          <w:rFonts w:hint="eastAsia" w:ascii="Times New Roman" w:hAnsi="Times New Roman" w:eastAsia="仿宋_GB2312" w:cs="Times New Roman"/>
          <w:lang w:eastAsia="zh-CN"/>
        </w:rPr>
        <w:t>m³</w:t>
      </w:r>
      <w:r>
        <w:rPr>
          <w:rFonts w:eastAsia="仿宋_GB2312"/>
          <w:sz w:val="24"/>
        </w:rPr>
        <w:t>）</w:t>
      </w:r>
    </w:p>
    <w:tbl>
      <w:tblPr>
        <w:tblStyle w:val="6"/>
        <w:tblpPr w:leftFromText="180" w:rightFromText="180" w:vertAnchor="text" w:horzAnchor="page" w:tblpXSpec="center" w:tblpY="126"/>
        <w:tblOverlap w:val="never"/>
        <w:tblW w:w="9779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81"/>
        <w:gridCol w:w="1333"/>
        <w:gridCol w:w="1219"/>
        <w:gridCol w:w="1210"/>
        <w:gridCol w:w="1585"/>
        <w:gridCol w:w="1316"/>
        <w:gridCol w:w="1335"/>
      </w:tblGrid>
      <w:tr w14:paraId="5D198B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781" w:type="dxa"/>
            <w:vMerge w:val="restart"/>
            <w:tcBorders>
              <w:tl2br w:val="nil"/>
              <w:tr2bl w:val="nil"/>
            </w:tcBorders>
            <w:vAlign w:val="center"/>
          </w:tcPr>
          <w:p w14:paraId="7926EADA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评价指标</w:t>
            </w:r>
          </w:p>
        </w:tc>
        <w:tc>
          <w:tcPr>
            <w:tcW w:w="7998" w:type="dxa"/>
            <w:gridSpan w:val="6"/>
            <w:tcBorders>
              <w:tl2br w:val="nil"/>
              <w:tr2bl w:val="nil"/>
            </w:tcBorders>
            <w:vAlign w:val="center"/>
          </w:tcPr>
          <w:p w14:paraId="2C660A86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监测项目</w:t>
            </w:r>
          </w:p>
        </w:tc>
      </w:tr>
      <w:tr w14:paraId="443E2D7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781" w:type="dxa"/>
            <w:vMerge w:val="continue"/>
            <w:tcBorders>
              <w:tl2br w:val="nil"/>
              <w:tr2bl w:val="nil"/>
            </w:tcBorders>
            <w:vAlign w:val="center"/>
          </w:tcPr>
          <w:p w14:paraId="611C81AE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</w:pPr>
          </w:p>
        </w:tc>
        <w:tc>
          <w:tcPr>
            <w:tcW w:w="1333" w:type="dxa"/>
            <w:tcBorders>
              <w:tl2br w:val="nil"/>
              <w:tr2bl w:val="nil"/>
            </w:tcBorders>
            <w:vAlign w:val="center"/>
          </w:tcPr>
          <w:p w14:paraId="48438DE0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  <w:t>二氧化硫</w:t>
            </w:r>
          </w:p>
        </w:tc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 w14:paraId="038B5F2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  <w:t>二氧化氮</w:t>
            </w:r>
          </w:p>
        </w:tc>
        <w:tc>
          <w:tcPr>
            <w:tcW w:w="1210" w:type="dxa"/>
            <w:tcBorders>
              <w:tl2br w:val="nil"/>
              <w:tr2bl w:val="nil"/>
            </w:tcBorders>
            <w:vAlign w:val="center"/>
          </w:tcPr>
          <w:p w14:paraId="73B57FBE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  <w:t>臭氧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 w14:paraId="544E2BC8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  <w:t>可吸入颗粒物</w:t>
            </w:r>
          </w:p>
        </w:tc>
        <w:tc>
          <w:tcPr>
            <w:tcW w:w="1316" w:type="dxa"/>
            <w:tcBorders>
              <w:tl2br w:val="nil"/>
              <w:tr2bl w:val="nil"/>
            </w:tcBorders>
            <w:vAlign w:val="center"/>
          </w:tcPr>
          <w:p w14:paraId="45BC0D6B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  <w:t>细颗粒物</w:t>
            </w:r>
          </w:p>
        </w:tc>
        <w:tc>
          <w:tcPr>
            <w:tcW w:w="1335" w:type="dxa"/>
            <w:tcBorders>
              <w:tl2br w:val="nil"/>
              <w:tr2bl w:val="nil"/>
            </w:tcBorders>
            <w:vAlign w:val="center"/>
          </w:tcPr>
          <w:p w14:paraId="6217457C">
            <w:pPr>
              <w:widowControl/>
              <w:jc w:val="center"/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4"/>
                <w:lang w:val="en-US" w:eastAsia="zh-CN"/>
              </w:rPr>
              <w:t>一氧化碳</w:t>
            </w:r>
          </w:p>
        </w:tc>
      </w:tr>
      <w:tr w14:paraId="30CA3A8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1" w:hRule="atLeast"/>
          <w:jc w:val="center"/>
        </w:trPr>
        <w:tc>
          <w:tcPr>
            <w:tcW w:w="1781" w:type="dxa"/>
            <w:tcBorders>
              <w:tl2br w:val="nil"/>
              <w:tr2bl w:val="nil"/>
            </w:tcBorders>
            <w:vAlign w:val="bottom"/>
          </w:tcPr>
          <w:p w14:paraId="0069D8C8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1月份均值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vAlign w:val="center"/>
          </w:tcPr>
          <w:p w14:paraId="37C93476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 w14:paraId="1EFC83CA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25</w:t>
            </w:r>
          </w:p>
        </w:tc>
        <w:tc>
          <w:tcPr>
            <w:tcW w:w="1210" w:type="dxa"/>
            <w:tcBorders>
              <w:tl2br w:val="nil"/>
              <w:tr2bl w:val="nil"/>
            </w:tcBorders>
            <w:vAlign w:val="center"/>
          </w:tcPr>
          <w:p w14:paraId="563F8492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 w14:paraId="22AAD3EA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73</w:t>
            </w:r>
          </w:p>
        </w:tc>
        <w:tc>
          <w:tcPr>
            <w:tcW w:w="1316" w:type="dxa"/>
            <w:tcBorders>
              <w:tl2br w:val="nil"/>
              <w:tr2bl w:val="nil"/>
            </w:tcBorders>
            <w:vAlign w:val="center"/>
          </w:tcPr>
          <w:p w14:paraId="335DD1B3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46</w:t>
            </w:r>
          </w:p>
        </w:tc>
        <w:tc>
          <w:tcPr>
            <w:tcW w:w="1335" w:type="dxa"/>
            <w:tcBorders>
              <w:tl2br w:val="nil"/>
              <w:tr2bl w:val="nil"/>
            </w:tcBorders>
            <w:vAlign w:val="center"/>
          </w:tcPr>
          <w:p w14:paraId="113883E5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1.0</w:t>
            </w:r>
          </w:p>
        </w:tc>
      </w:tr>
      <w:tr w14:paraId="354A70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1" w:hRule="atLeast"/>
          <w:jc w:val="center"/>
        </w:trPr>
        <w:tc>
          <w:tcPr>
            <w:tcW w:w="1781" w:type="dxa"/>
            <w:tcBorders>
              <w:tl2br w:val="nil"/>
              <w:tr2bl w:val="nil"/>
            </w:tcBorders>
            <w:vAlign w:val="bottom"/>
          </w:tcPr>
          <w:p w14:paraId="17AF202C">
            <w:pPr>
              <w:widowControl/>
              <w:jc w:val="center"/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2月份均值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vAlign w:val="center"/>
          </w:tcPr>
          <w:p w14:paraId="1A48C891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 w14:paraId="588F455C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17</w:t>
            </w:r>
          </w:p>
        </w:tc>
        <w:tc>
          <w:tcPr>
            <w:tcW w:w="1210" w:type="dxa"/>
            <w:tcBorders>
              <w:tl2br w:val="nil"/>
              <w:tr2bl w:val="nil"/>
            </w:tcBorders>
            <w:vAlign w:val="center"/>
          </w:tcPr>
          <w:p w14:paraId="2837BFF3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 w14:paraId="6780FE37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49</w:t>
            </w:r>
          </w:p>
        </w:tc>
        <w:tc>
          <w:tcPr>
            <w:tcW w:w="1316" w:type="dxa"/>
            <w:tcBorders>
              <w:tl2br w:val="nil"/>
              <w:tr2bl w:val="nil"/>
            </w:tcBorders>
            <w:vAlign w:val="center"/>
          </w:tcPr>
          <w:p w14:paraId="56BA0F20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30</w:t>
            </w:r>
          </w:p>
        </w:tc>
        <w:tc>
          <w:tcPr>
            <w:tcW w:w="1335" w:type="dxa"/>
            <w:tcBorders>
              <w:tl2br w:val="nil"/>
              <w:tr2bl w:val="nil"/>
            </w:tcBorders>
            <w:vAlign w:val="center"/>
          </w:tcPr>
          <w:p w14:paraId="1CE577B5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0.7</w:t>
            </w:r>
          </w:p>
        </w:tc>
      </w:tr>
      <w:tr w14:paraId="245AF5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1" w:hRule="atLeast"/>
          <w:jc w:val="center"/>
        </w:trPr>
        <w:tc>
          <w:tcPr>
            <w:tcW w:w="1781" w:type="dxa"/>
            <w:tcBorders>
              <w:tl2br w:val="nil"/>
              <w:tr2bl w:val="nil"/>
            </w:tcBorders>
            <w:vAlign w:val="bottom"/>
          </w:tcPr>
          <w:p w14:paraId="473B4FB4">
            <w:pPr>
              <w:widowControl/>
              <w:jc w:val="center"/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3月份均值</w:t>
            </w:r>
          </w:p>
        </w:tc>
        <w:tc>
          <w:tcPr>
            <w:tcW w:w="1333" w:type="dxa"/>
            <w:tcBorders>
              <w:tl2br w:val="nil"/>
              <w:tr2bl w:val="nil"/>
            </w:tcBorders>
            <w:vAlign w:val="center"/>
          </w:tcPr>
          <w:p w14:paraId="7203A710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219" w:type="dxa"/>
            <w:tcBorders>
              <w:tl2br w:val="nil"/>
              <w:tr2bl w:val="nil"/>
            </w:tcBorders>
            <w:vAlign w:val="center"/>
          </w:tcPr>
          <w:p w14:paraId="3D2729A7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17</w:t>
            </w:r>
          </w:p>
        </w:tc>
        <w:tc>
          <w:tcPr>
            <w:tcW w:w="1210" w:type="dxa"/>
            <w:tcBorders>
              <w:tl2br w:val="nil"/>
              <w:tr2bl w:val="nil"/>
            </w:tcBorders>
            <w:vAlign w:val="center"/>
          </w:tcPr>
          <w:p w14:paraId="3CCC7F3D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115</w:t>
            </w:r>
          </w:p>
        </w:tc>
        <w:tc>
          <w:tcPr>
            <w:tcW w:w="1585" w:type="dxa"/>
            <w:tcBorders>
              <w:tl2br w:val="nil"/>
              <w:tr2bl w:val="nil"/>
            </w:tcBorders>
            <w:vAlign w:val="center"/>
          </w:tcPr>
          <w:p w14:paraId="4955CF5F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65</w:t>
            </w:r>
          </w:p>
        </w:tc>
        <w:tc>
          <w:tcPr>
            <w:tcW w:w="1316" w:type="dxa"/>
            <w:tcBorders>
              <w:tl2br w:val="nil"/>
              <w:tr2bl w:val="nil"/>
            </w:tcBorders>
            <w:vAlign w:val="center"/>
          </w:tcPr>
          <w:p w14:paraId="0595C6FB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25</w:t>
            </w:r>
          </w:p>
        </w:tc>
        <w:tc>
          <w:tcPr>
            <w:tcW w:w="1335" w:type="dxa"/>
            <w:tcBorders>
              <w:tl2br w:val="nil"/>
              <w:tr2bl w:val="nil"/>
            </w:tcBorders>
            <w:vAlign w:val="center"/>
          </w:tcPr>
          <w:p w14:paraId="36218D7B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0.6</w:t>
            </w:r>
          </w:p>
        </w:tc>
      </w:tr>
      <w:tr w14:paraId="4BDA0D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1" w:hRule="atLeast"/>
          <w:jc w:val="center"/>
        </w:trPr>
        <w:tc>
          <w:tcPr>
            <w:tcW w:w="1781" w:type="dxa"/>
            <w:tcBorders>
              <w:bottom w:val="single" w:color="auto" w:sz="4" w:space="0"/>
              <w:tl2br w:val="nil"/>
              <w:tr2bl w:val="nil"/>
            </w:tcBorders>
            <w:vAlign w:val="bottom"/>
          </w:tcPr>
          <w:p w14:paraId="6D628083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一季度均值</w:t>
            </w:r>
          </w:p>
        </w:tc>
        <w:tc>
          <w:tcPr>
            <w:tcW w:w="1333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7C711C5D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219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00BFD50B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210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1D20CA49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87</w:t>
            </w:r>
          </w:p>
        </w:tc>
        <w:tc>
          <w:tcPr>
            <w:tcW w:w="1585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434AAD41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63</w:t>
            </w:r>
          </w:p>
        </w:tc>
        <w:tc>
          <w:tcPr>
            <w:tcW w:w="1316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451D6578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34</w:t>
            </w:r>
          </w:p>
        </w:tc>
        <w:tc>
          <w:tcPr>
            <w:tcW w:w="1335" w:type="dxa"/>
            <w:tcBorders>
              <w:bottom w:val="single" w:color="auto" w:sz="4" w:space="0"/>
              <w:tl2br w:val="nil"/>
              <w:tr2bl w:val="nil"/>
            </w:tcBorders>
            <w:vAlign w:val="center"/>
          </w:tcPr>
          <w:p w14:paraId="2CDA613A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  <w:t>0.9</w:t>
            </w:r>
          </w:p>
        </w:tc>
      </w:tr>
      <w:tr w14:paraId="55C2A1D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  <w:jc w:val="center"/>
        </w:trPr>
        <w:tc>
          <w:tcPr>
            <w:tcW w:w="9779" w:type="dxa"/>
            <w:gridSpan w:val="7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bottom"/>
          </w:tcPr>
          <w:p w14:paraId="72393F6A">
            <w:pPr>
              <w:widowControl/>
              <w:jc w:val="left"/>
              <w:rPr>
                <w:rFonts w:hint="default" w:asciiTheme="minorEastAsia" w:hAnsiTheme="minorEastAsia" w:cstheme="minorEastAsia"/>
                <w:spacing w:val="-6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注：未扣除受沙尘天气过程影响数据。</w:t>
            </w:r>
          </w:p>
        </w:tc>
      </w:tr>
    </w:tbl>
    <w:p w14:paraId="5723624E">
      <w:pPr>
        <w:ind w:firstLine="1687" w:firstLineChars="600"/>
        <w:jc w:val="both"/>
        <w:rPr>
          <w:rFonts w:eastAsia="仿宋_GB2312"/>
          <w:b/>
          <w:kern w:val="0"/>
          <w:sz w:val="28"/>
          <w:szCs w:val="28"/>
        </w:rPr>
      </w:pPr>
      <w:r>
        <w:rPr>
          <w:rFonts w:eastAsia="仿宋_GB2312"/>
          <w:b/>
          <w:kern w:val="0"/>
          <w:sz w:val="28"/>
          <w:szCs w:val="28"/>
        </w:rPr>
        <w:t>表</w:t>
      </w: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>4</w:t>
      </w:r>
      <w:r>
        <w:rPr>
          <w:rFonts w:eastAsia="仿宋_GB2312"/>
          <w:b/>
          <w:kern w:val="0"/>
          <w:sz w:val="28"/>
          <w:szCs w:val="28"/>
        </w:rPr>
        <w:t xml:space="preserve">  </w:t>
      </w:r>
      <w:r>
        <w:rPr>
          <w:rFonts w:hint="eastAsia" w:eastAsia="仿宋_GB2312"/>
          <w:b/>
          <w:kern w:val="0"/>
          <w:sz w:val="28"/>
          <w:szCs w:val="28"/>
          <w:lang w:eastAsia="zh-CN"/>
        </w:rPr>
        <w:t>202</w:t>
      </w: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>5</w:t>
      </w:r>
      <w:r>
        <w:rPr>
          <w:rFonts w:hint="eastAsia" w:eastAsia="仿宋_GB2312"/>
          <w:b/>
          <w:kern w:val="0"/>
          <w:sz w:val="28"/>
          <w:szCs w:val="28"/>
          <w:lang w:eastAsia="zh-CN"/>
        </w:rPr>
        <w:t>年1季度</w:t>
      </w:r>
      <w:r>
        <w:rPr>
          <w:rFonts w:eastAsia="仿宋_GB2312"/>
          <w:b/>
          <w:kern w:val="0"/>
          <w:sz w:val="28"/>
          <w:szCs w:val="28"/>
        </w:rPr>
        <w:t>环境空气日报统计表</w:t>
      </w:r>
    </w:p>
    <w:tbl>
      <w:tblPr>
        <w:tblStyle w:val="6"/>
        <w:tblW w:w="9802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9"/>
        <w:gridCol w:w="655"/>
        <w:gridCol w:w="656"/>
        <w:gridCol w:w="656"/>
        <w:gridCol w:w="655"/>
        <w:gridCol w:w="656"/>
        <w:gridCol w:w="656"/>
        <w:gridCol w:w="656"/>
        <w:gridCol w:w="655"/>
        <w:gridCol w:w="656"/>
        <w:gridCol w:w="656"/>
        <w:gridCol w:w="655"/>
        <w:gridCol w:w="656"/>
        <w:gridCol w:w="656"/>
        <w:gridCol w:w="819"/>
      </w:tblGrid>
      <w:tr w14:paraId="0FAA380C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459" w:type="dxa"/>
            <w:vMerge w:val="restart"/>
            <w:tcBorders>
              <w:tl2br w:val="nil"/>
              <w:tr2bl w:val="nil"/>
            </w:tcBorders>
            <w:vAlign w:val="center"/>
          </w:tcPr>
          <w:p w14:paraId="0819DB9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年度</w:t>
            </w:r>
          </w:p>
        </w:tc>
        <w:tc>
          <w:tcPr>
            <w:tcW w:w="1311" w:type="dxa"/>
            <w:gridSpan w:val="2"/>
            <w:tcBorders>
              <w:tl2br w:val="nil"/>
              <w:tr2bl w:val="nil"/>
            </w:tcBorders>
            <w:vAlign w:val="center"/>
          </w:tcPr>
          <w:p w14:paraId="52387F4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一级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优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1311" w:type="dxa"/>
            <w:gridSpan w:val="2"/>
            <w:tcBorders>
              <w:tl2br w:val="nil"/>
              <w:tr2bl w:val="nil"/>
            </w:tcBorders>
            <w:vAlign w:val="center"/>
          </w:tcPr>
          <w:p w14:paraId="284C235B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二级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良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1312" w:type="dxa"/>
            <w:gridSpan w:val="2"/>
            <w:tcBorders>
              <w:tl2br w:val="nil"/>
              <w:tr2bl w:val="nil"/>
            </w:tcBorders>
            <w:vAlign w:val="center"/>
          </w:tcPr>
          <w:p w14:paraId="12B5DD99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三级</w:t>
            </w:r>
          </w:p>
          <w:p w14:paraId="7D1E375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轻度污染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1311" w:type="dxa"/>
            <w:gridSpan w:val="2"/>
            <w:tcBorders>
              <w:tl2br w:val="nil"/>
              <w:tr2bl w:val="nil"/>
            </w:tcBorders>
            <w:vAlign w:val="center"/>
          </w:tcPr>
          <w:p w14:paraId="3901288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四级</w:t>
            </w:r>
          </w:p>
          <w:p w14:paraId="1E8F478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中度污染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1312" w:type="dxa"/>
            <w:gridSpan w:val="2"/>
            <w:tcBorders>
              <w:tl2br w:val="nil"/>
              <w:tr2bl w:val="nil"/>
            </w:tcBorders>
            <w:vAlign w:val="center"/>
          </w:tcPr>
          <w:p w14:paraId="6C6C45D9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五级</w:t>
            </w:r>
          </w:p>
          <w:p w14:paraId="6382CAB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重度污染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1311" w:type="dxa"/>
            <w:gridSpan w:val="2"/>
            <w:tcBorders>
              <w:tl2br w:val="nil"/>
              <w:tr2bl w:val="nil"/>
            </w:tcBorders>
            <w:vAlign w:val="center"/>
          </w:tcPr>
          <w:p w14:paraId="31CF893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六级</w:t>
            </w:r>
          </w:p>
          <w:p w14:paraId="49491BF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严重污染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1475" w:type="dxa"/>
            <w:gridSpan w:val="2"/>
            <w:tcBorders>
              <w:tl2br w:val="nil"/>
              <w:tr2bl w:val="nil"/>
            </w:tcBorders>
            <w:vAlign w:val="center"/>
          </w:tcPr>
          <w:p w14:paraId="0B8706F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环境空气质量达标情况</w:t>
            </w:r>
          </w:p>
        </w:tc>
      </w:tr>
      <w:tr w14:paraId="55FCD845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  <w:jc w:val="center"/>
        </w:trPr>
        <w:tc>
          <w:tcPr>
            <w:tcW w:w="459" w:type="dxa"/>
            <w:vMerge w:val="continue"/>
            <w:tcBorders>
              <w:tl2br w:val="nil"/>
              <w:tr2bl w:val="nil"/>
            </w:tcBorders>
          </w:tcPr>
          <w:p w14:paraId="26D3683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55" w:type="dxa"/>
            <w:tcBorders>
              <w:tl2br w:val="nil"/>
              <w:tr2bl w:val="nil"/>
            </w:tcBorders>
            <w:vAlign w:val="center"/>
          </w:tcPr>
          <w:p w14:paraId="721060D2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天数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7FE6A87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比例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%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568B98EF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天数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5" w:type="dxa"/>
            <w:tcBorders>
              <w:tl2br w:val="nil"/>
              <w:tr2bl w:val="nil"/>
            </w:tcBorders>
            <w:vAlign w:val="center"/>
          </w:tcPr>
          <w:p w14:paraId="29F1E7C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比例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%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4BF10CD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天数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2836435B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比例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%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1F4D4A6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天数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5" w:type="dxa"/>
            <w:tcBorders>
              <w:tl2br w:val="nil"/>
              <w:tr2bl w:val="nil"/>
            </w:tcBorders>
            <w:vAlign w:val="center"/>
          </w:tcPr>
          <w:p w14:paraId="4E883631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比例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%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6920839B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天数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15AA3699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比例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%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5" w:type="dxa"/>
            <w:tcBorders>
              <w:tl2br w:val="nil"/>
              <w:tr2bl w:val="nil"/>
            </w:tcBorders>
            <w:vAlign w:val="center"/>
          </w:tcPr>
          <w:p w14:paraId="7D11223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天数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642BA311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比例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%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656" w:type="dxa"/>
            <w:tcBorders>
              <w:tl2br w:val="nil"/>
              <w:tr2bl w:val="nil"/>
            </w:tcBorders>
            <w:tcMar>
              <w:left w:w="0" w:type="dxa"/>
              <w:right w:w="0" w:type="dxa"/>
            </w:tcMar>
            <w:vAlign w:val="center"/>
          </w:tcPr>
          <w:p w14:paraId="5832D08C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达标天数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天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819" w:type="dxa"/>
            <w:tcBorders>
              <w:tl2br w:val="nil"/>
              <w:tr2bl w:val="nil"/>
            </w:tcBorders>
            <w:vAlign w:val="center"/>
          </w:tcPr>
          <w:p w14:paraId="4FA966E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达标率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%</w:t>
            </w: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</w:tr>
      <w:tr w14:paraId="3ED0CCF3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jc w:val="center"/>
        </w:trPr>
        <w:tc>
          <w:tcPr>
            <w:tcW w:w="459" w:type="dxa"/>
            <w:tcBorders>
              <w:tl2br w:val="nil"/>
              <w:tr2bl w:val="nil"/>
            </w:tcBorders>
            <w:tcMar>
              <w:left w:w="0" w:type="dxa"/>
              <w:right w:w="0" w:type="dxa"/>
            </w:tcMar>
            <w:vAlign w:val="center"/>
          </w:tcPr>
          <w:p w14:paraId="0B1D203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2025年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1季度</w:t>
            </w:r>
          </w:p>
        </w:tc>
        <w:tc>
          <w:tcPr>
            <w:tcW w:w="655" w:type="dxa"/>
            <w:tcBorders>
              <w:tl2br w:val="nil"/>
              <w:tr2bl w:val="nil"/>
            </w:tcBorders>
            <w:vAlign w:val="center"/>
          </w:tcPr>
          <w:p w14:paraId="18C8DE8C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33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2915DC87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37.1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0FC89428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52</w:t>
            </w:r>
          </w:p>
        </w:tc>
        <w:tc>
          <w:tcPr>
            <w:tcW w:w="655" w:type="dxa"/>
            <w:tcBorders>
              <w:tl2br w:val="nil"/>
              <w:tr2bl w:val="nil"/>
            </w:tcBorders>
            <w:vAlign w:val="center"/>
          </w:tcPr>
          <w:p w14:paraId="14E2033C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58.4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6854B999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7C97379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2.2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228AF348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655" w:type="dxa"/>
            <w:tcBorders>
              <w:tl2br w:val="nil"/>
              <w:tr2bl w:val="nil"/>
            </w:tcBorders>
            <w:vAlign w:val="center"/>
          </w:tcPr>
          <w:p w14:paraId="2C6E84D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1.1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78C1123B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6FC4233D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1.1</w:t>
            </w:r>
          </w:p>
        </w:tc>
        <w:tc>
          <w:tcPr>
            <w:tcW w:w="655" w:type="dxa"/>
            <w:tcBorders>
              <w:tl2br w:val="nil"/>
              <w:tr2bl w:val="nil"/>
            </w:tcBorders>
            <w:vAlign w:val="center"/>
          </w:tcPr>
          <w:p w14:paraId="00AF9726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2A958456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656" w:type="dxa"/>
            <w:tcBorders>
              <w:tl2br w:val="nil"/>
              <w:tr2bl w:val="nil"/>
            </w:tcBorders>
            <w:vAlign w:val="center"/>
          </w:tcPr>
          <w:p w14:paraId="7EDC149F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85</w:t>
            </w:r>
          </w:p>
        </w:tc>
        <w:tc>
          <w:tcPr>
            <w:tcW w:w="819" w:type="dxa"/>
            <w:tcBorders>
              <w:tl2br w:val="nil"/>
              <w:tr2bl w:val="nil"/>
            </w:tcBorders>
            <w:vAlign w:val="center"/>
          </w:tcPr>
          <w:p w14:paraId="6FA83188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95.5</w:t>
            </w:r>
          </w:p>
        </w:tc>
      </w:tr>
    </w:tbl>
    <w:p w14:paraId="4681F02E">
      <w:pPr>
        <w:numPr>
          <w:ilvl w:val="0"/>
          <w:numId w:val="3"/>
        </w:numPr>
        <w:ind w:firstLine="2520" w:firstLineChars="900"/>
        <w:rPr>
          <w:rFonts w:hint="eastAsia" w:eastAsia="黑体"/>
          <w:color w:val="auto"/>
          <w:sz w:val="28"/>
          <w:szCs w:val="28"/>
          <w:lang w:val="en-US" w:eastAsia="zh-CN"/>
        </w:rPr>
      </w:pPr>
      <w:r>
        <w:rPr>
          <w:rFonts w:hint="eastAsia" w:eastAsia="黑体"/>
          <w:color w:val="auto"/>
          <w:sz w:val="28"/>
          <w:szCs w:val="28"/>
          <w:lang w:val="en-US" w:eastAsia="zh-CN"/>
        </w:rPr>
        <w:t xml:space="preserve">  水环境质量</w:t>
      </w:r>
    </w:p>
    <w:p w14:paraId="574E6DA6">
      <w:pPr>
        <w:numPr>
          <w:ilvl w:val="0"/>
          <w:numId w:val="4"/>
        </w:numPr>
        <w:ind w:left="420" w:leftChars="0" w:firstLine="0" w:firstLineChars="0"/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default" w:eastAsia="黑体"/>
          <w:sz w:val="28"/>
          <w:szCs w:val="28"/>
          <w:lang w:val="en-US" w:eastAsia="zh-CN"/>
        </w:rPr>
        <w:t>监测概况</w:t>
      </w:r>
    </w:p>
    <w:p w14:paraId="054D2430"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2025年第一季度昭化区</w:t>
      </w:r>
      <w:r>
        <w:rPr>
          <w:rFonts w:hint="default" w:eastAsia="仿宋_GB2312" w:cs="Times New Roman"/>
          <w:color w:val="auto"/>
          <w:kern w:val="2"/>
          <w:sz w:val="28"/>
          <w:szCs w:val="28"/>
          <w:lang w:val="en-US" w:eastAsia="zh-CN" w:bidi="ar-SA"/>
        </w:rPr>
        <w:t>水环境监测内容主要有：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农村万人千吨饮用水水源地水质监测、市级河长制河流水质监测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。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农村万人千吨饮用水水源地水质监测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时间为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2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月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6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日；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市级河长制河流水质监测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时间为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3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月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4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日。 </w:t>
      </w:r>
    </w:p>
    <w:p w14:paraId="6CA3B9A7">
      <w:pPr>
        <w:pStyle w:val="5"/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30" w:lineRule="atLeast"/>
        <w:ind w:left="420" w:leftChars="0" w:right="0" w:rightChars="0" w:firstLine="0" w:firstLineChars="0"/>
        <w:rPr>
          <w:rFonts w:hint="default" w:eastAsia="黑体" w:asciiTheme="minorHAnsi" w:hAnsiTheme="minorHAnsi" w:cstheme="minorBid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黑体" w:asciiTheme="minorHAnsi" w:hAnsiTheme="minorHAnsi" w:cstheme="minorBidi"/>
          <w:color w:val="auto"/>
          <w:kern w:val="2"/>
          <w:sz w:val="28"/>
          <w:szCs w:val="28"/>
          <w:lang w:val="en-US" w:eastAsia="zh-CN" w:bidi="ar-SA"/>
        </w:rPr>
        <w:t>农村万人千吨饮用水水源地水质监测</w:t>
      </w:r>
    </w:p>
    <w:p w14:paraId="03695A16">
      <w:pPr>
        <w:widowControl/>
        <w:spacing w:line="253" w:lineRule="atLeast"/>
        <w:ind w:firstLine="560" w:firstLineChars="200"/>
        <w:jc w:val="left"/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楷体_GB2312" w:cs="Times New Roman"/>
          <w:color w:val="auto"/>
          <w:kern w:val="2"/>
          <w:sz w:val="28"/>
          <w:szCs w:val="28"/>
          <w:lang w:val="en-US" w:eastAsia="zh-CN" w:bidi="ar-SA"/>
        </w:rPr>
        <w:t>2</w:t>
      </w:r>
      <w:r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.1监测项目：</w:t>
      </w:r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《地表水环境质量标准》（GB3838-2002）表1中除化学需氧量外的基本项目23项、表2的补充项目5项共计28项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指标</w:t>
      </w:r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。</w:t>
      </w:r>
    </w:p>
    <w:p w14:paraId="10268B9A">
      <w:pPr>
        <w:widowControl/>
        <w:spacing w:line="253" w:lineRule="atLeast"/>
        <w:ind w:firstLine="560" w:firstLineChars="200"/>
        <w:jc w:val="left"/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楷体_GB2312" w:cs="Times New Roman"/>
          <w:color w:val="auto"/>
          <w:kern w:val="2"/>
          <w:sz w:val="28"/>
          <w:szCs w:val="28"/>
          <w:lang w:val="en-US" w:eastAsia="zh-CN" w:bidi="ar-SA"/>
        </w:rPr>
        <w:t>2</w:t>
      </w:r>
      <w:r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.2评价标准：</w:t>
      </w:r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执行《地表水环境质量标准》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（</w:t>
      </w:r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GB3838-2002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）</w:t>
      </w:r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表1的Ⅲ类标准和表2对应的标准限值。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其中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水温、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总氮、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粪大肠菌群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不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参与</w:t>
      </w:r>
      <w:r>
        <w:rPr>
          <w:rFonts w:hint="eastAsia" w:eastAsia="仿宋_GB2312" w:cs="Times New Roman"/>
          <w:color w:val="auto"/>
          <w:kern w:val="2"/>
          <w:sz w:val="28"/>
          <w:szCs w:val="28"/>
          <w:lang w:val="en-US" w:eastAsia="zh-CN" w:bidi="ar-SA"/>
        </w:rPr>
        <w:t>总体</w:t>
      </w:r>
      <w:r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评价，作为参考指标单独评价</w:t>
      </w:r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。</w:t>
      </w:r>
    </w:p>
    <w:p w14:paraId="5FFAE5A7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30" w:lineRule="atLeast"/>
        <w:ind w:left="420" w:leftChars="0" w:right="0" w:rightChars="0"/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2.3评价结果：</w:t>
      </w:r>
    </w:p>
    <w:p w14:paraId="3277DB3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jc w:val="center"/>
        <w:textAlignment w:val="auto"/>
        <w:rPr>
          <w:rFonts w:hint="default" w:eastAsia="仿宋_GB2312"/>
          <w:b/>
          <w:kern w:val="0"/>
          <w:sz w:val="28"/>
          <w:szCs w:val="28"/>
          <w:lang w:val="en-US" w:eastAsia="zh-CN"/>
        </w:rPr>
      </w:pP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 xml:space="preserve">表5  </w:t>
      </w:r>
      <w:r>
        <w:rPr>
          <w:rFonts w:hint="eastAsia" w:eastAsia="仿宋_GB2312"/>
          <w:b/>
          <w:kern w:val="0"/>
          <w:sz w:val="28"/>
          <w:szCs w:val="28"/>
          <w:lang w:eastAsia="zh-CN"/>
        </w:rPr>
        <w:t>202</w:t>
      </w: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>5</w:t>
      </w:r>
      <w:r>
        <w:rPr>
          <w:rFonts w:hint="eastAsia" w:eastAsia="仿宋_GB2312"/>
          <w:b/>
          <w:kern w:val="0"/>
          <w:sz w:val="28"/>
          <w:szCs w:val="28"/>
          <w:lang w:eastAsia="zh-CN"/>
        </w:rPr>
        <w:t>年1季度</w:t>
      </w:r>
      <w:r>
        <w:rPr>
          <w:rFonts w:hint="default" w:eastAsia="仿宋_GB2312"/>
          <w:b/>
          <w:kern w:val="0"/>
          <w:sz w:val="28"/>
          <w:szCs w:val="28"/>
          <w:lang w:eastAsia="zh-CN"/>
        </w:rPr>
        <w:t>昭化</w:t>
      </w: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>农村万人千吨</w:t>
      </w:r>
      <w:r>
        <w:rPr>
          <w:rFonts w:hint="default" w:eastAsia="仿宋_GB2312"/>
          <w:b/>
          <w:kern w:val="0"/>
          <w:sz w:val="28"/>
          <w:szCs w:val="28"/>
          <w:lang w:eastAsia="zh-CN"/>
        </w:rPr>
        <w:t>饮用水水源地监测</w:t>
      </w: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>结果评价表</w:t>
      </w:r>
    </w:p>
    <w:tbl>
      <w:tblPr>
        <w:tblStyle w:val="7"/>
        <w:tblW w:w="9419" w:type="dxa"/>
        <w:tblInd w:w="-1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1582"/>
        <w:gridCol w:w="1582"/>
        <w:gridCol w:w="1096"/>
        <w:gridCol w:w="1091"/>
        <w:gridCol w:w="1248"/>
        <w:gridCol w:w="1320"/>
      </w:tblGrid>
      <w:tr w14:paraId="624D6B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1500" w:type="dxa"/>
            <w:tcBorders>
              <w:top w:val="single" w:color="auto" w:sz="12" w:space="0"/>
              <w:left w:val="nil"/>
            </w:tcBorders>
            <w:noWrap w:val="0"/>
            <w:vAlign w:val="center"/>
          </w:tcPr>
          <w:p w14:paraId="34281B7D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监测时间</w:t>
            </w:r>
          </w:p>
        </w:tc>
        <w:tc>
          <w:tcPr>
            <w:tcW w:w="1582" w:type="dxa"/>
            <w:tcBorders>
              <w:top w:val="single" w:color="auto" w:sz="12" w:space="0"/>
            </w:tcBorders>
            <w:noWrap w:val="0"/>
            <w:vAlign w:val="center"/>
          </w:tcPr>
          <w:p w14:paraId="7DCE5A2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监测点位</w:t>
            </w:r>
          </w:p>
        </w:tc>
        <w:tc>
          <w:tcPr>
            <w:tcW w:w="1582" w:type="dxa"/>
            <w:tcBorders>
              <w:top w:val="single" w:color="auto" w:sz="12" w:space="0"/>
            </w:tcBorders>
            <w:noWrap w:val="0"/>
            <w:vAlign w:val="center"/>
          </w:tcPr>
          <w:p w14:paraId="60AF59BC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水源地</w:t>
            </w:r>
          </w:p>
          <w:p w14:paraId="1BAF72FA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断面名称</w:t>
            </w:r>
          </w:p>
        </w:tc>
        <w:tc>
          <w:tcPr>
            <w:tcW w:w="1096" w:type="dxa"/>
            <w:tcBorders>
              <w:top w:val="single" w:color="auto" w:sz="12" w:space="0"/>
            </w:tcBorders>
            <w:noWrap w:val="0"/>
            <w:vAlign w:val="center"/>
          </w:tcPr>
          <w:p w14:paraId="453645C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水源地</w:t>
            </w:r>
          </w:p>
          <w:p w14:paraId="055FAF33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类型</w:t>
            </w:r>
          </w:p>
        </w:tc>
        <w:tc>
          <w:tcPr>
            <w:tcW w:w="1091" w:type="dxa"/>
            <w:tcBorders>
              <w:top w:val="single" w:color="auto" w:sz="12" w:space="0"/>
            </w:tcBorders>
            <w:noWrap w:val="0"/>
            <w:vAlign w:val="center"/>
          </w:tcPr>
          <w:p w14:paraId="2792DEF2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水质</w:t>
            </w:r>
          </w:p>
          <w:p w14:paraId="0B0985E3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类别</w:t>
            </w:r>
          </w:p>
        </w:tc>
        <w:tc>
          <w:tcPr>
            <w:tcW w:w="1248" w:type="dxa"/>
            <w:tcBorders>
              <w:top w:val="single" w:color="auto" w:sz="12" w:space="0"/>
            </w:tcBorders>
            <w:noWrap w:val="0"/>
            <w:vAlign w:val="center"/>
          </w:tcPr>
          <w:p w14:paraId="28EBF0E0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是否达标</w:t>
            </w:r>
          </w:p>
        </w:tc>
        <w:tc>
          <w:tcPr>
            <w:tcW w:w="1320" w:type="dxa"/>
            <w:tcBorders>
              <w:top w:val="single" w:color="auto" w:sz="12" w:space="0"/>
              <w:right w:val="nil"/>
            </w:tcBorders>
            <w:noWrap w:val="0"/>
            <w:vAlign w:val="center"/>
          </w:tcPr>
          <w:p w14:paraId="36763B46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主要污染指标/超标倍数</w:t>
            </w:r>
          </w:p>
        </w:tc>
      </w:tr>
      <w:tr w14:paraId="623E0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500" w:type="dxa"/>
            <w:vMerge w:val="restart"/>
            <w:tcBorders>
              <w:left w:val="nil"/>
            </w:tcBorders>
            <w:noWrap w:val="0"/>
            <w:vAlign w:val="center"/>
          </w:tcPr>
          <w:p w14:paraId="14C2C867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2月6日</w:t>
            </w:r>
          </w:p>
        </w:tc>
        <w:tc>
          <w:tcPr>
            <w:tcW w:w="1582" w:type="dxa"/>
            <w:noWrap w:val="0"/>
            <w:vAlign w:val="center"/>
          </w:tcPr>
          <w:p w14:paraId="35288059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卫子镇</w:t>
            </w:r>
          </w:p>
        </w:tc>
        <w:tc>
          <w:tcPr>
            <w:tcW w:w="1582" w:type="dxa"/>
            <w:noWrap w:val="0"/>
            <w:vAlign w:val="center"/>
          </w:tcPr>
          <w:p w14:paraId="2FC948C5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紫云水库</w:t>
            </w:r>
          </w:p>
        </w:tc>
        <w:tc>
          <w:tcPr>
            <w:tcW w:w="1096" w:type="dxa"/>
            <w:vMerge w:val="restart"/>
            <w:noWrap w:val="0"/>
            <w:vAlign w:val="center"/>
          </w:tcPr>
          <w:p w14:paraId="049B451F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湖库</w:t>
            </w:r>
          </w:p>
        </w:tc>
        <w:tc>
          <w:tcPr>
            <w:tcW w:w="1091" w:type="dxa"/>
            <w:noWrap w:val="0"/>
            <w:vAlign w:val="center"/>
          </w:tcPr>
          <w:p w14:paraId="436C9C6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Ⅲ类</w:t>
            </w:r>
          </w:p>
        </w:tc>
        <w:tc>
          <w:tcPr>
            <w:tcW w:w="1248" w:type="dxa"/>
            <w:noWrap w:val="0"/>
            <w:vAlign w:val="center"/>
          </w:tcPr>
          <w:p w14:paraId="52A8C62E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320" w:type="dxa"/>
            <w:tcBorders>
              <w:right w:val="nil"/>
            </w:tcBorders>
            <w:noWrap w:val="0"/>
            <w:vAlign w:val="center"/>
          </w:tcPr>
          <w:p w14:paraId="2321529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241ED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500" w:type="dxa"/>
            <w:vMerge w:val="continue"/>
            <w:tcBorders>
              <w:left w:val="nil"/>
            </w:tcBorders>
            <w:noWrap w:val="0"/>
            <w:vAlign w:val="center"/>
          </w:tcPr>
          <w:p w14:paraId="1494533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3EE7F0CB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太公镇</w:t>
            </w:r>
          </w:p>
        </w:tc>
        <w:tc>
          <w:tcPr>
            <w:tcW w:w="1582" w:type="dxa"/>
            <w:noWrap w:val="0"/>
            <w:vAlign w:val="center"/>
          </w:tcPr>
          <w:p w14:paraId="4B93971B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八一水库</w:t>
            </w:r>
          </w:p>
        </w:tc>
        <w:tc>
          <w:tcPr>
            <w:tcW w:w="1096" w:type="dxa"/>
            <w:vMerge w:val="continue"/>
            <w:noWrap w:val="0"/>
            <w:vAlign w:val="center"/>
          </w:tcPr>
          <w:p w14:paraId="145D61D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91" w:type="dxa"/>
            <w:noWrap w:val="0"/>
            <w:vAlign w:val="center"/>
          </w:tcPr>
          <w:p w14:paraId="58BA34C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Ⅲ类</w:t>
            </w:r>
          </w:p>
        </w:tc>
        <w:tc>
          <w:tcPr>
            <w:tcW w:w="1248" w:type="dxa"/>
            <w:noWrap w:val="0"/>
            <w:vAlign w:val="center"/>
          </w:tcPr>
          <w:p w14:paraId="2BA8970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320" w:type="dxa"/>
            <w:tcBorders>
              <w:right w:val="nil"/>
            </w:tcBorders>
            <w:noWrap w:val="0"/>
            <w:vAlign w:val="center"/>
          </w:tcPr>
          <w:p w14:paraId="0CDA418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4F46B6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500" w:type="dxa"/>
            <w:vMerge w:val="continue"/>
            <w:tcBorders>
              <w:left w:val="nil"/>
            </w:tcBorders>
            <w:noWrap w:val="0"/>
            <w:vAlign w:val="center"/>
          </w:tcPr>
          <w:p w14:paraId="4789C49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2768087C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昭化镇</w:t>
            </w:r>
          </w:p>
        </w:tc>
        <w:tc>
          <w:tcPr>
            <w:tcW w:w="1582" w:type="dxa"/>
            <w:noWrap w:val="0"/>
            <w:vAlign w:val="center"/>
          </w:tcPr>
          <w:p w14:paraId="6E40218C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何家坝水库</w:t>
            </w:r>
          </w:p>
        </w:tc>
        <w:tc>
          <w:tcPr>
            <w:tcW w:w="1096" w:type="dxa"/>
            <w:vMerge w:val="continue"/>
            <w:noWrap w:val="0"/>
            <w:vAlign w:val="center"/>
          </w:tcPr>
          <w:p w14:paraId="1DDFEDB9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91" w:type="dxa"/>
            <w:noWrap w:val="0"/>
            <w:vAlign w:val="center"/>
          </w:tcPr>
          <w:p w14:paraId="7231459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Ⅲ类</w:t>
            </w:r>
          </w:p>
        </w:tc>
        <w:tc>
          <w:tcPr>
            <w:tcW w:w="1248" w:type="dxa"/>
            <w:noWrap w:val="0"/>
            <w:vAlign w:val="center"/>
          </w:tcPr>
          <w:p w14:paraId="57D2158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320" w:type="dxa"/>
            <w:tcBorders>
              <w:right w:val="nil"/>
            </w:tcBorders>
            <w:noWrap w:val="0"/>
            <w:vAlign w:val="center"/>
          </w:tcPr>
          <w:p w14:paraId="009FF3AB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651F7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500" w:type="dxa"/>
            <w:vMerge w:val="continue"/>
            <w:tcBorders>
              <w:left w:val="nil"/>
            </w:tcBorders>
            <w:noWrap w:val="0"/>
            <w:vAlign w:val="center"/>
          </w:tcPr>
          <w:p w14:paraId="66927032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01CA1D4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清水镇</w:t>
            </w:r>
          </w:p>
        </w:tc>
        <w:tc>
          <w:tcPr>
            <w:tcW w:w="1582" w:type="dxa"/>
            <w:noWrap w:val="0"/>
            <w:vAlign w:val="center"/>
          </w:tcPr>
          <w:p w14:paraId="53AA0855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胜利水库</w:t>
            </w:r>
          </w:p>
        </w:tc>
        <w:tc>
          <w:tcPr>
            <w:tcW w:w="1096" w:type="dxa"/>
            <w:vMerge w:val="continue"/>
            <w:noWrap w:val="0"/>
            <w:vAlign w:val="center"/>
          </w:tcPr>
          <w:p w14:paraId="68B331D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91" w:type="dxa"/>
            <w:noWrap w:val="0"/>
            <w:vAlign w:val="center"/>
          </w:tcPr>
          <w:p w14:paraId="7579428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Ⅲ类</w:t>
            </w:r>
          </w:p>
        </w:tc>
        <w:tc>
          <w:tcPr>
            <w:tcW w:w="1248" w:type="dxa"/>
            <w:noWrap w:val="0"/>
            <w:vAlign w:val="center"/>
          </w:tcPr>
          <w:p w14:paraId="5E138CC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320" w:type="dxa"/>
            <w:tcBorders>
              <w:right w:val="nil"/>
            </w:tcBorders>
            <w:noWrap w:val="0"/>
            <w:vAlign w:val="center"/>
          </w:tcPr>
          <w:p w14:paraId="12B3CCD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5851A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500" w:type="dxa"/>
            <w:vMerge w:val="continue"/>
            <w:tcBorders>
              <w:left w:val="nil"/>
            </w:tcBorders>
            <w:noWrap w:val="0"/>
            <w:vAlign w:val="center"/>
          </w:tcPr>
          <w:p w14:paraId="637F3BD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5C3F96E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射箭镇</w:t>
            </w:r>
          </w:p>
        </w:tc>
        <w:tc>
          <w:tcPr>
            <w:tcW w:w="1582" w:type="dxa"/>
            <w:noWrap w:val="0"/>
            <w:vAlign w:val="center"/>
          </w:tcPr>
          <w:p w14:paraId="05995969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松树沟水库</w:t>
            </w:r>
          </w:p>
        </w:tc>
        <w:tc>
          <w:tcPr>
            <w:tcW w:w="1096" w:type="dxa"/>
            <w:vMerge w:val="continue"/>
            <w:noWrap w:val="0"/>
            <w:vAlign w:val="center"/>
          </w:tcPr>
          <w:p w14:paraId="5FBE305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91" w:type="dxa"/>
            <w:noWrap w:val="0"/>
            <w:vAlign w:val="center"/>
          </w:tcPr>
          <w:p w14:paraId="1AD4740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Ⅱ类</w:t>
            </w:r>
          </w:p>
        </w:tc>
        <w:tc>
          <w:tcPr>
            <w:tcW w:w="1248" w:type="dxa"/>
            <w:noWrap w:val="0"/>
            <w:vAlign w:val="center"/>
          </w:tcPr>
          <w:p w14:paraId="76ED2CF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320" w:type="dxa"/>
            <w:tcBorders>
              <w:right w:val="nil"/>
            </w:tcBorders>
            <w:noWrap w:val="0"/>
            <w:vAlign w:val="center"/>
          </w:tcPr>
          <w:p w14:paraId="4BC026C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1F270C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500" w:type="dxa"/>
            <w:vMerge w:val="continue"/>
            <w:tcBorders>
              <w:left w:val="nil"/>
            </w:tcBorders>
            <w:noWrap w:val="0"/>
            <w:vAlign w:val="center"/>
          </w:tcPr>
          <w:p w14:paraId="335CFC2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76430F2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卫子镇</w:t>
            </w:r>
          </w:p>
        </w:tc>
        <w:tc>
          <w:tcPr>
            <w:tcW w:w="1582" w:type="dxa"/>
            <w:noWrap w:val="0"/>
            <w:vAlign w:val="center"/>
          </w:tcPr>
          <w:p w14:paraId="755152B4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团结水库</w:t>
            </w:r>
          </w:p>
        </w:tc>
        <w:tc>
          <w:tcPr>
            <w:tcW w:w="1096" w:type="dxa"/>
            <w:vMerge w:val="continue"/>
            <w:noWrap w:val="0"/>
            <w:vAlign w:val="center"/>
          </w:tcPr>
          <w:p w14:paraId="6867332B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91" w:type="dxa"/>
            <w:noWrap w:val="0"/>
            <w:vAlign w:val="center"/>
          </w:tcPr>
          <w:p w14:paraId="184B95D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Ⅲ类</w:t>
            </w:r>
          </w:p>
        </w:tc>
        <w:tc>
          <w:tcPr>
            <w:tcW w:w="1248" w:type="dxa"/>
            <w:noWrap w:val="0"/>
            <w:vAlign w:val="center"/>
          </w:tcPr>
          <w:p w14:paraId="02F023C3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320" w:type="dxa"/>
            <w:tcBorders>
              <w:right w:val="nil"/>
            </w:tcBorders>
            <w:noWrap w:val="0"/>
            <w:vAlign w:val="center"/>
          </w:tcPr>
          <w:p w14:paraId="256E930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1BF250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500" w:type="dxa"/>
            <w:vMerge w:val="continue"/>
            <w:tcBorders>
              <w:left w:val="nil"/>
            </w:tcBorders>
            <w:noWrap w:val="0"/>
            <w:vAlign w:val="center"/>
          </w:tcPr>
          <w:p w14:paraId="75ACB76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82" w:type="dxa"/>
            <w:noWrap w:val="0"/>
            <w:vAlign w:val="center"/>
          </w:tcPr>
          <w:p w14:paraId="64887D0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王家镇</w:t>
            </w:r>
          </w:p>
        </w:tc>
        <w:tc>
          <w:tcPr>
            <w:tcW w:w="1582" w:type="dxa"/>
            <w:noWrap w:val="0"/>
            <w:vAlign w:val="center"/>
          </w:tcPr>
          <w:p w14:paraId="6A1150C6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新华水库</w:t>
            </w:r>
          </w:p>
        </w:tc>
        <w:tc>
          <w:tcPr>
            <w:tcW w:w="1096" w:type="dxa"/>
            <w:vMerge w:val="continue"/>
            <w:noWrap w:val="0"/>
            <w:vAlign w:val="center"/>
          </w:tcPr>
          <w:p w14:paraId="34E0642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91" w:type="dxa"/>
            <w:noWrap w:val="0"/>
            <w:vAlign w:val="center"/>
          </w:tcPr>
          <w:p w14:paraId="1FF9E0C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Ⅲ类</w:t>
            </w:r>
          </w:p>
        </w:tc>
        <w:tc>
          <w:tcPr>
            <w:tcW w:w="1248" w:type="dxa"/>
            <w:noWrap w:val="0"/>
            <w:vAlign w:val="center"/>
          </w:tcPr>
          <w:p w14:paraId="1856639A">
            <w:pPr>
              <w:widowControl/>
              <w:jc w:val="center"/>
              <w:rPr>
                <w:rFonts w:hint="default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320" w:type="dxa"/>
            <w:tcBorders>
              <w:right w:val="nil"/>
            </w:tcBorders>
            <w:noWrap w:val="0"/>
            <w:vAlign w:val="center"/>
          </w:tcPr>
          <w:p w14:paraId="3E40585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7B2E01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500" w:type="dxa"/>
            <w:vMerge w:val="continue"/>
            <w:tcBorders>
              <w:left w:val="nil"/>
              <w:bottom w:val="single" w:color="auto" w:sz="12" w:space="0"/>
            </w:tcBorders>
            <w:noWrap w:val="0"/>
            <w:vAlign w:val="center"/>
          </w:tcPr>
          <w:p w14:paraId="47CF335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82" w:type="dxa"/>
            <w:tcBorders>
              <w:bottom w:val="single" w:color="auto" w:sz="12" w:space="0"/>
            </w:tcBorders>
            <w:noWrap w:val="0"/>
            <w:vAlign w:val="center"/>
          </w:tcPr>
          <w:p w14:paraId="270B9BEC">
            <w:pPr>
              <w:widowControl/>
              <w:jc w:val="center"/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太公镇</w:t>
            </w:r>
          </w:p>
        </w:tc>
        <w:tc>
          <w:tcPr>
            <w:tcW w:w="1582" w:type="dxa"/>
            <w:tcBorders>
              <w:bottom w:val="single" w:color="auto" w:sz="12" w:space="0"/>
            </w:tcBorders>
            <w:noWrap w:val="0"/>
            <w:vAlign w:val="center"/>
          </w:tcPr>
          <w:p w14:paraId="0F71C4B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高峰水库</w:t>
            </w:r>
          </w:p>
        </w:tc>
        <w:tc>
          <w:tcPr>
            <w:tcW w:w="1096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5090A8AC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91" w:type="dxa"/>
            <w:tcBorders>
              <w:bottom w:val="single" w:color="auto" w:sz="12" w:space="0"/>
            </w:tcBorders>
            <w:noWrap w:val="0"/>
            <w:vAlign w:val="center"/>
          </w:tcPr>
          <w:p w14:paraId="6548577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highlight w:val="none"/>
                <w:lang w:val="en-US" w:eastAsia="zh-CN"/>
              </w:rPr>
              <w:t>Ⅲ类</w:t>
            </w:r>
          </w:p>
        </w:tc>
        <w:tc>
          <w:tcPr>
            <w:tcW w:w="1248" w:type="dxa"/>
            <w:tcBorders>
              <w:bottom w:val="single" w:color="auto" w:sz="12" w:space="0"/>
            </w:tcBorders>
            <w:noWrap w:val="0"/>
            <w:vAlign w:val="center"/>
          </w:tcPr>
          <w:p w14:paraId="18693D9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320" w:type="dxa"/>
            <w:tcBorders>
              <w:bottom w:val="single" w:color="auto" w:sz="12" w:space="0"/>
              <w:right w:val="nil"/>
            </w:tcBorders>
            <w:noWrap w:val="0"/>
            <w:vAlign w:val="center"/>
          </w:tcPr>
          <w:p w14:paraId="03FB08F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</w:tbl>
    <w:p w14:paraId="66594EFD">
      <w:pPr>
        <w:pStyle w:val="5"/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30" w:lineRule="atLeast"/>
        <w:ind w:left="420" w:leftChars="0" w:right="0" w:rightChars="0" w:firstLine="0" w:firstLineChars="0"/>
        <w:rPr>
          <w:rFonts w:hint="default" w:eastAsia="黑体" w:asciiTheme="minorHAnsi" w:hAnsiTheme="minorHAnsi" w:cstheme="minorBid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default" w:eastAsia="黑体" w:asciiTheme="minorHAnsi" w:hAnsiTheme="minorHAnsi" w:cstheme="minorBidi"/>
          <w:color w:val="auto"/>
          <w:kern w:val="2"/>
          <w:sz w:val="28"/>
          <w:szCs w:val="28"/>
          <w:lang w:val="en-US" w:eastAsia="zh-CN" w:bidi="ar-SA"/>
        </w:rPr>
        <w:t> </w:t>
      </w:r>
      <w:r>
        <w:rPr>
          <w:rFonts w:hint="eastAsia" w:eastAsia="黑体" w:asciiTheme="minorHAnsi" w:hAnsiTheme="minorHAnsi" w:cstheme="minorBidi"/>
          <w:color w:val="auto"/>
          <w:kern w:val="2"/>
          <w:sz w:val="28"/>
          <w:szCs w:val="28"/>
          <w:lang w:val="en-US" w:eastAsia="zh-CN" w:bidi="ar-SA"/>
        </w:rPr>
        <w:t>市级河长制河流水质监测</w:t>
      </w:r>
    </w:p>
    <w:p w14:paraId="61EC06AA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30" w:lineRule="atLeast"/>
        <w:ind w:right="0" w:rightChars="0" w:firstLine="560" w:firstLineChars="200"/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3.1监测项目：</w:t>
      </w:r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《地表水环境质量标准》（GB3838-2002）表1中除总氮外的基本项目共计23项指标。</w:t>
      </w:r>
    </w:p>
    <w:p w14:paraId="01FA38FF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30" w:lineRule="atLeast"/>
        <w:ind w:right="0" w:rightChars="0" w:firstLine="560" w:firstLineChars="200"/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3.2评价标准：</w:t>
      </w:r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执行《地表水环境质量标准》</w:t>
      </w:r>
      <w:bookmarkStart w:id="0" w:name="_GoBack"/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（</w:t>
      </w:r>
      <w:bookmarkEnd w:id="0"/>
      <w:r>
        <w:rPr>
          <w:rFonts w:hint="eastAsia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GB3838-2002）表1的Ⅲ类标准。</w:t>
      </w:r>
    </w:p>
    <w:p w14:paraId="04C545A0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30" w:lineRule="atLeast"/>
        <w:ind w:left="420" w:leftChars="0" w:right="0" w:rightChars="0"/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  <w:t>3.3评价结果：</w:t>
      </w:r>
    </w:p>
    <w:p w14:paraId="1DB63490"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30" w:lineRule="atLeast"/>
        <w:ind w:right="0" w:rightChars="0" w:firstLine="562" w:firstLineChars="200"/>
        <w:rPr>
          <w:rFonts w:hint="default" w:eastAsia="楷体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 xml:space="preserve">表6  </w:t>
      </w:r>
      <w:r>
        <w:rPr>
          <w:rFonts w:hint="eastAsia" w:eastAsia="仿宋_GB2312" w:cs="宋体"/>
          <w:b/>
          <w:kern w:val="0"/>
          <w:sz w:val="28"/>
          <w:szCs w:val="28"/>
          <w:lang w:eastAsia="zh-CN"/>
        </w:rPr>
        <w:t>202</w:t>
      </w:r>
      <w:r>
        <w:rPr>
          <w:rFonts w:hint="eastAsia" w:eastAsia="仿宋_GB2312" w:cs="宋体"/>
          <w:b/>
          <w:kern w:val="0"/>
          <w:sz w:val="28"/>
          <w:szCs w:val="28"/>
          <w:lang w:val="en-US" w:eastAsia="zh-CN"/>
        </w:rPr>
        <w:t>5</w:t>
      </w:r>
      <w:r>
        <w:rPr>
          <w:rFonts w:hint="eastAsia" w:eastAsia="仿宋_GB2312" w:cs="宋体"/>
          <w:b/>
          <w:kern w:val="0"/>
          <w:sz w:val="28"/>
          <w:szCs w:val="28"/>
          <w:lang w:eastAsia="zh-CN"/>
        </w:rPr>
        <w:t>年</w:t>
      </w:r>
      <w:r>
        <w:rPr>
          <w:rFonts w:hint="eastAsia" w:ascii="宋体" w:hAnsi="宋体" w:eastAsia="仿宋_GB2312" w:cs="宋体"/>
          <w:b/>
          <w:kern w:val="0"/>
          <w:sz w:val="28"/>
          <w:szCs w:val="28"/>
          <w:lang w:eastAsia="zh-CN"/>
        </w:rPr>
        <w:t>1季度</w:t>
      </w:r>
      <w:r>
        <w:rPr>
          <w:rFonts w:hint="eastAsia" w:eastAsia="仿宋_GB2312" w:cs="宋体"/>
          <w:b/>
          <w:kern w:val="0"/>
          <w:sz w:val="28"/>
          <w:szCs w:val="28"/>
          <w:lang w:val="en-US" w:eastAsia="zh-CN"/>
        </w:rPr>
        <w:t>市级河长制河流水质监测</w:t>
      </w:r>
      <w:r>
        <w:rPr>
          <w:rFonts w:hint="eastAsia" w:eastAsia="仿宋_GB2312"/>
          <w:b/>
          <w:kern w:val="0"/>
          <w:sz w:val="28"/>
          <w:szCs w:val="28"/>
          <w:lang w:val="en-US" w:eastAsia="zh-CN"/>
        </w:rPr>
        <w:t>结果评价表</w:t>
      </w:r>
    </w:p>
    <w:tbl>
      <w:tblPr>
        <w:tblStyle w:val="7"/>
        <w:tblW w:w="9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3"/>
        <w:gridCol w:w="1277"/>
        <w:gridCol w:w="2350"/>
        <w:gridCol w:w="1087"/>
        <w:gridCol w:w="1525"/>
        <w:gridCol w:w="1538"/>
      </w:tblGrid>
      <w:tr w14:paraId="76B179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1403" w:type="dxa"/>
            <w:tcBorders>
              <w:top w:val="single" w:color="auto" w:sz="12" w:space="0"/>
              <w:left w:val="nil"/>
            </w:tcBorders>
            <w:noWrap w:val="0"/>
            <w:vAlign w:val="center"/>
          </w:tcPr>
          <w:p w14:paraId="096F026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监测时间</w:t>
            </w:r>
          </w:p>
        </w:tc>
        <w:tc>
          <w:tcPr>
            <w:tcW w:w="1277" w:type="dxa"/>
            <w:tcBorders>
              <w:top w:val="single" w:color="auto" w:sz="12" w:space="0"/>
            </w:tcBorders>
            <w:noWrap w:val="0"/>
            <w:vAlign w:val="center"/>
          </w:tcPr>
          <w:p w14:paraId="4CE4F56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监测点位</w:t>
            </w:r>
          </w:p>
        </w:tc>
        <w:tc>
          <w:tcPr>
            <w:tcW w:w="2350" w:type="dxa"/>
            <w:tcBorders>
              <w:top w:val="single" w:color="auto" w:sz="12" w:space="0"/>
            </w:tcBorders>
            <w:noWrap w:val="0"/>
            <w:vAlign w:val="center"/>
          </w:tcPr>
          <w:p w14:paraId="1F1D4D50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断面名称</w:t>
            </w:r>
          </w:p>
        </w:tc>
        <w:tc>
          <w:tcPr>
            <w:tcW w:w="1087" w:type="dxa"/>
            <w:tcBorders>
              <w:top w:val="single" w:color="auto" w:sz="12" w:space="0"/>
            </w:tcBorders>
            <w:noWrap w:val="0"/>
            <w:vAlign w:val="center"/>
          </w:tcPr>
          <w:p w14:paraId="3B70847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水质</w:t>
            </w:r>
          </w:p>
          <w:p w14:paraId="43EF9FC2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类别</w:t>
            </w:r>
          </w:p>
        </w:tc>
        <w:tc>
          <w:tcPr>
            <w:tcW w:w="1525" w:type="dxa"/>
            <w:tcBorders>
              <w:top w:val="single" w:color="auto" w:sz="12" w:space="0"/>
            </w:tcBorders>
            <w:noWrap w:val="0"/>
            <w:vAlign w:val="center"/>
          </w:tcPr>
          <w:p w14:paraId="5C55850F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是否达标</w:t>
            </w:r>
          </w:p>
        </w:tc>
        <w:tc>
          <w:tcPr>
            <w:tcW w:w="1538" w:type="dxa"/>
            <w:tcBorders>
              <w:top w:val="single" w:color="auto" w:sz="12" w:space="0"/>
              <w:right w:val="nil"/>
            </w:tcBorders>
            <w:noWrap w:val="0"/>
            <w:vAlign w:val="center"/>
          </w:tcPr>
          <w:p w14:paraId="6D8A6B31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主要污染指标/超标倍数</w:t>
            </w:r>
          </w:p>
        </w:tc>
      </w:tr>
      <w:tr w14:paraId="64D65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1403" w:type="dxa"/>
            <w:vMerge w:val="restart"/>
            <w:tcBorders>
              <w:left w:val="nil"/>
            </w:tcBorders>
            <w:noWrap w:val="0"/>
            <w:vAlign w:val="center"/>
          </w:tcPr>
          <w:p w14:paraId="45D7FC38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3月4日</w:t>
            </w:r>
          </w:p>
        </w:tc>
        <w:tc>
          <w:tcPr>
            <w:tcW w:w="1277" w:type="dxa"/>
            <w:vMerge w:val="restart"/>
            <w:noWrap w:val="0"/>
            <w:vAlign w:val="center"/>
          </w:tcPr>
          <w:p w14:paraId="5F2A2DE5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  <w:t>昭化区</w:t>
            </w:r>
          </w:p>
        </w:tc>
        <w:tc>
          <w:tcPr>
            <w:tcW w:w="2350" w:type="dxa"/>
            <w:noWrap w:val="0"/>
            <w:vAlign w:val="center"/>
          </w:tcPr>
          <w:p w14:paraId="722249FC">
            <w:pPr>
              <w:widowControl/>
              <w:jc w:val="center"/>
              <w:rPr>
                <w:rFonts w:hint="default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张家沟</w:t>
            </w:r>
          </w:p>
        </w:tc>
        <w:tc>
          <w:tcPr>
            <w:tcW w:w="1087" w:type="dxa"/>
            <w:noWrap w:val="0"/>
            <w:vAlign w:val="center"/>
          </w:tcPr>
          <w:p w14:paraId="7AD91FA6">
            <w:pPr>
              <w:widowControl/>
              <w:jc w:val="center"/>
              <w:rPr>
                <w:rFonts w:hint="default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Ⅱ类</w:t>
            </w:r>
          </w:p>
        </w:tc>
        <w:tc>
          <w:tcPr>
            <w:tcW w:w="1525" w:type="dxa"/>
            <w:noWrap w:val="0"/>
            <w:vAlign w:val="center"/>
          </w:tcPr>
          <w:p w14:paraId="46776BBA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538" w:type="dxa"/>
            <w:tcBorders>
              <w:right w:val="nil"/>
            </w:tcBorders>
            <w:noWrap w:val="0"/>
            <w:vAlign w:val="center"/>
          </w:tcPr>
          <w:p w14:paraId="0DF8A696"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1CB9E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1403" w:type="dxa"/>
            <w:vMerge w:val="continue"/>
            <w:tcBorders>
              <w:left w:val="nil"/>
            </w:tcBorders>
            <w:noWrap w:val="0"/>
            <w:vAlign w:val="center"/>
          </w:tcPr>
          <w:p w14:paraId="15FA6A0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277" w:type="dxa"/>
            <w:vMerge w:val="continue"/>
            <w:noWrap w:val="0"/>
            <w:vAlign w:val="center"/>
          </w:tcPr>
          <w:p w14:paraId="0E69CDD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350" w:type="dxa"/>
            <w:noWrap w:val="0"/>
            <w:vAlign w:val="center"/>
          </w:tcPr>
          <w:p w14:paraId="71D7A2C7">
            <w:pPr>
              <w:pStyle w:val="5"/>
              <w:adjustRightInd w:val="0"/>
              <w:snapToGrid w:val="0"/>
              <w:spacing w:before="0" w:beforeAutospacing="0" w:after="0" w:afterAutospacing="0" w:line="300" w:lineRule="exact"/>
              <w:jc w:val="center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射箭河</w:t>
            </w:r>
          </w:p>
        </w:tc>
        <w:tc>
          <w:tcPr>
            <w:tcW w:w="1087" w:type="dxa"/>
            <w:noWrap w:val="0"/>
            <w:vAlign w:val="center"/>
          </w:tcPr>
          <w:p w14:paraId="2090E668">
            <w:pPr>
              <w:widowControl/>
              <w:jc w:val="center"/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Ⅰ类</w:t>
            </w:r>
          </w:p>
        </w:tc>
        <w:tc>
          <w:tcPr>
            <w:tcW w:w="1525" w:type="dxa"/>
            <w:noWrap w:val="0"/>
            <w:vAlign w:val="center"/>
          </w:tcPr>
          <w:p w14:paraId="6915C43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538" w:type="dxa"/>
            <w:tcBorders>
              <w:right w:val="nil"/>
            </w:tcBorders>
            <w:noWrap w:val="0"/>
            <w:vAlign w:val="center"/>
          </w:tcPr>
          <w:p w14:paraId="5F8FABE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14D3CE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1403" w:type="dxa"/>
            <w:vMerge w:val="continue"/>
            <w:tcBorders>
              <w:left w:val="nil"/>
            </w:tcBorders>
            <w:noWrap w:val="0"/>
            <w:vAlign w:val="center"/>
          </w:tcPr>
          <w:p w14:paraId="2C90048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277" w:type="dxa"/>
            <w:vMerge w:val="continue"/>
            <w:noWrap w:val="0"/>
            <w:vAlign w:val="center"/>
          </w:tcPr>
          <w:p w14:paraId="21F87C62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350" w:type="dxa"/>
            <w:noWrap w:val="0"/>
            <w:vAlign w:val="center"/>
          </w:tcPr>
          <w:p w14:paraId="2DF7D868">
            <w:pPr>
              <w:pStyle w:val="5"/>
              <w:adjustRightInd w:val="0"/>
              <w:snapToGrid w:val="0"/>
              <w:spacing w:before="0" w:beforeAutospacing="0" w:after="0" w:afterAutospacing="0" w:line="300" w:lineRule="exact"/>
              <w:jc w:val="center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毛家沟</w:t>
            </w:r>
          </w:p>
        </w:tc>
        <w:tc>
          <w:tcPr>
            <w:tcW w:w="1087" w:type="dxa"/>
            <w:noWrap w:val="0"/>
            <w:vAlign w:val="center"/>
          </w:tcPr>
          <w:p w14:paraId="4134F5B8">
            <w:pPr>
              <w:widowControl/>
              <w:jc w:val="center"/>
              <w:rPr>
                <w:rFonts w:hint="default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Ⅰ类</w:t>
            </w:r>
          </w:p>
        </w:tc>
        <w:tc>
          <w:tcPr>
            <w:tcW w:w="1525" w:type="dxa"/>
            <w:noWrap w:val="0"/>
            <w:vAlign w:val="center"/>
          </w:tcPr>
          <w:p w14:paraId="4E8E5A3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538" w:type="dxa"/>
            <w:tcBorders>
              <w:right w:val="nil"/>
            </w:tcBorders>
            <w:noWrap w:val="0"/>
            <w:vAlign w:val="center"/>
          </w:tcPr>
          <w:p w14:paraId="779B4DAF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  <w:tr w14:paraId="6A202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403" w:type="dxa"/>
            <w:vMerge w:val="continue"/>
            <w:tcBorders>
              <w:left w:val="nil"/>
              <w:bottom w:val="single" w:color="auto" w:sz="12" w:space="0"/>
            </w:tcBorders>
            <w:noWrap w:val="0"/>
            <w:vAlign w:val="center"/>
          </w:tcPr>
          <w:p w14:paraId="293DFF4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277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102400C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spacing w:val="-6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350" w:type="dxa"/>
            <w:tcBorders>
              <w:bottom w:val="single" w:color="auto" w:sz="12" w:space="0"/>
            </w:tcBorders>
            <w:noWrap w:val="0"/>
            <w:vAlign w:val="center"/>
          </w:tcPr>
          <w:p w14:paraId="15D838A2">
            <w:pPr>
              <w:pStyle w:val="5"/>
              <w:adjustRightInd w:val="0"/>
              <w:snapToGrid w:val="0"/>
              <w:spacing w:before="0" w:beforeAutospacing="0" w:after="0" w:afterAutospacing="0" w:line="300" w:lineRule="exact"/>
              <w:jc w:val="center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巩河</w:t>
            </w:r>
          </w:p>
        </w:tc>
        <w:tc>
          <w:tcPr>
            <w:tcW w:w="1087" w:type="dxa"/>
            <w:tcBorders>
              <w:bottom w:val="single" w:color="auto" w:sz="12" w:space="0"/>
            </w:tcBorders>
            <w:noWrap w:val="0"/>
            <w:vAlign w:val="center"/>
          </w:tcPr>
          <w:p w14:paraId="31F8C0C6">
            <w:pPr>
              <w:widowControl/>
              <w:jc w:val="center"/>
              <w:rPr>
                <w:rFonts w:hint="default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Ⅱ类</w:t>
            </w:r>
          </w:p>
        </w:tc>
        <w:tc>
          <w:tcPr>
            <w:tcW w:w="1525" w:type="dxa"/>
            <w:tcBorders>
              <w:bottom w:val="single" w:color="auto" w:sz="12" w:space="0"/>
            </w:tcBorders>
            <w:noWrap w:val="0"/>
            <w:vAlign w:val="center"/>
          </w:tcPr>
          <w:p w14:paraId="4CC2F05F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是</w:t>
            </w:r>
          </w:p>
        </w:tc>
        <w:tc>
          <w:tcPr>
            <w:tcW w:w="1538" w:type="dxa"/>
            <w:tcBorders>
              <w:bottom w:val="single" w:color="auto" w:sz="12" w:space="0"/>
              <w:right w:val="nil"/>
            </w:tcBorders>
            <w:noWrap w:val="0"/>
            <w:vAlign w:val="center"/>
          </w:tcPr>
          <w:p w14:paraId="4DA1E5EB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kern w:val="0"/>
                <w:sz w:val="21"/>
                <w:szCs w:val="21"/>
                <w:lang w:val="en-US" w:eastAsia="zh-CN"/>
              </w:rPr>
              <w:t>无</w:t>
            </w:r>
          </w:p>
        </w:tc>
      </w:tr>
    </w:tbl>
    <w:p w14:paraId="7C3A2048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30" w:lineRule="atLeast"/>
        <w:ind w:left="0" w:right="0" w:firstLine="0"/>
        <w:rPr>
          <w:rFonts w:hint="default"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</w:p>
    <w:p w14:paraId="763CBA7F">
      <w:pPr>
        <w:rPr>
          <w:rFonts w:eastAsia="仿宋_GB2312" w:cs="Times New Roman" w:asciiTheme="minorHAnsi" w:hAnsiTheme="minorHAnsi"/>
          <w:color w:val="auto"/>
          <w:kern w:val="2"/>
          <w:sz w:val="28"/>
          <w:szCs w:val="28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7B4BC5"/>
    <w:multiLevelType w:val="singleLevel"/>
    <w:tmpl w:val="887B4BC5"/>
    <w:lvl w:ilvl="0" w:tentative="0">
      <w:start w:val="2"/>
      <w:numFmt w:val="decimal"/>
      <w:suff w:val="space"/>
      <w:lvlText w:val="%1."/>
      <w:lvlJc w:val="left"/>
    </w:lvl>
  </w:abstractNum>
  <w:abstractNum w:abstractNumId="1">
    <w:nsid w:val="9B644046"/>
    <w:multiLevelType w:val="singleLevel"/>
    <w:tmpl w:val="9B644046"/>
    <w:lvl w:ilvl="0" w:tentative="0">
      <w:start w:val="2"/>
      <w:numFmt w:val="chineseCounting"/>
      <w:suff w:val="space"/>
      <w:lvlText w:val="第%1节"/>
      <w:lvlJc w:val="left"/>
      <w:rPr>
        <w:rFonts w:hint="eastAsia"/>
      </w:rPr>
    </w:lvl>
  </w:abstractNum>
  <w:abstractNum w:abstractNumId="2">
    <w:nsid w:val="1A3D7F94"/>
    <w:multiLevelType w:val="singleLevel"/>
    <w:tmpl w:val="1A3D7F94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27DC7AD7"/>
    <w:multiLevelType w:val="singleLevel"/>
    <w:tmpl w:val="27DC7AD7"/>
    <w:lvl w:ilvl="0" w:tentative="0">
      <w:start w:val="1"/>
      <w:numFmt w:val="decimal"/>
      <w:suff w:val="space"/>
      <w:lvlText w:val="%1."/>
      <w:lvlJc w:val="left"/>
      <w:pPr>
        <w:ind w:left="420" w:leftChars="0" w:firstLine="0" w:firstLineChars="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3MGE3MTI0NmM2ODIyZTQ3MWQ3YTA3ZDI3ZGE2MWIifQ=="/>
  </w:docVars>
  <w:rsids>
    <w:rsidRoot w:val="182C4293"/>
    <w:rsid w:val="00DF4061"/>
    <w:rsid w:val="01455C8B"/>
    <w:rsid w:val="028E4F47"/>
    <w:rsid w:val="03345AEF"/>
    <w:rsid w:val="03EA2651"/>
    <w:rsid w:val="043F2F08"/>
    <w:rsid w:val="06C55E6D"/>
    <w:rsid w:val="087E216B"/>
    <w:rsid w:val="08903840"/>
    <w:rsid w:val="08D63398"/>
    <w:rsid w:val="0A9652E1"/>
    <w:rsid w:val="0AD96F7B"/>
    <w:rsid w:val="0AE0030A"/>
    <w:rsid w:val="0B2B5A29"/>
    <w:rsid w:val="0DE06E2B"/>
    <w:rsid w:val="0F617CE4"/>
    <w:rsid w:val="0F7A2ADB"/>
    <w:rsid w:val="105772C0"/>
    <w:rsid w:val="11052FFF"/>
    <w:rsid w:val="114F6B18"/>
    <w:rsid w:val="124C436B"/>
    <w:rsid w:val="13F866C4"/>
    <w:rsid w:val="14465682"/>
    <w:rsid w:val="15383A68"/>
    <w:rsid w:val="15DD074A"/>
    <w:rsid w:val="165B2F3A"/>
    <w:rsid w:val="166C7FE2"/>
    <w:rsid w:val="172F15A6"/>
    <w:rsid w:val="174D178C"/>
    <w:rsid w:val="17982698"/>
    <w:rsid w:val="182C4293"/>
    <w:rsid w:val="18DE13E4"/>
    <w:rsid w:val="18F8559A"/>
    <w:rsid w:val="1A907657"/>
    <w:rsid w:val="1BC11A92"/>
    <w:rsid w:val="1C303089"/>
    <w:rsid w:val="1C990E4E"/>
    <w:rsid w:val="1DB95116"/>
    <w:rsid w:val="1DEA3522"/>
    <w:rsid w:val="1F9574BD"/>
    <w:rsid w:val="1FAA3A40"/>
    <w:rsid w:val="202E1AA1"/>
    <w:rsid w:val="20A0436C"/>
    <w:rsid w:val="244514B2"/>
    <w:rsid w:val="24572F93"/>
    <w:rsid w:val="24A85EE5"/>
    <w:rsid w:val="26F64CE5"/>
    <w:rsid w:val="28796405"/>
    <w:rsid w:val="2916341D"/>
    <w:rsid w:val="2927562A"/>
    <w:rsid w:val="29503BAF"/>
    <w:rsid w:val="2A22310C"/>
    <w:rsid w:val="2A7A29AA"/>
    <w:rsid w:val="2ABE0E5E"/>
    <w:rsid w:val="2B381D70"/>
    <w:rsid w:val="2BBA1A67"/>
    <w:rsid w:val="2BD355F5"/>
    <w:rsid w:val="2CEE645F"/>
    <w:rsid w:val="2DA354E7"/>
    <w:rsid w:val="2DF37BBA"/>
    <w:rsid w:val="30085A89"/>
    <w:rsid w:val="34187424"/>
    <w:rsid w:val="36035B59"/>
    <w:rsid w:val="370F5DF6"/>
    <w:rsid w:val="37353608"/>
    <w:rsid w:val="389600D6"/>
    <w:rsid w:val="3DD84CED"/>
    <w:rsid w:val="3F7D5B4C"/>
    <w:rsid w:val="40032CB4"/>
    <w:rsid w:val="40B47154"/>
    <w:rsid w:val="412865DE"/>
    <w:rsid w:val="4148218A"/>
    <w:rsid w:val="44000AFA"/>
    <w:rsid w:val="444533BC"/>
    <w:rsid w:val="44C9538F"/>
    <w:rsid w:val="45D56545"/>
    <w:rsid w:val="46492C2C"/>
    <w:rsid w:val="4747115F"/>
    <w:rsid w:val="48DB714F"/>
    <w:rsid w:val="4DD21759"/>
    <w:rsid w:val="4E233BE5"/>
    <w:rsid w:val="4E8C7B5A"/>
    <w:rsid w:val="4EA529C9"/>
    <w:rsid w:val="4FA83B2D"/>
    <w:rsid w:val="505226DD"/>
    <w:rsid w:val="50B27620"/>
    <w:rsid w:val="50F57ED1"/>
    <w:rsid w:val="51B80C66"/>
    <w:rsid w:val="51CA01E5"/>
    <w:rsid w:val="52296442"/>
    <w:rsid w:val="546B1FBF"/>
    <w:rsid w:val="55C549CB"/>
    <w:rsid w:val="5714693E"/>
    <w:rsid w:val="572C6AC1"/>
    <w:rsid w:val="57B449BD"/>
    <w:rsid w:val="57F7332B"/>
    <w:rsid w:val="59856FF8"/>
    <w:rsid w:val="59E00D5A"/>
    <w:rsid w:val="5CE37267"/>
    <w:rsid w:val="5D27551D"/>
    <w:rsid w:val="5DBC632C"/>
    <w:rsid w:val="5DF060FB"/>
    <w:rsid w:val="5E056FE1"/>
    <w:rsid w:val="5E31287D"/>
    <w:rsid w:val="5F351E03"/>
    <w:rsid w:val="609B3C2C"/>
    <w:rsid w:val="60AC7BE7"/>
    <w:rsid w:val="60C969EB"/>
    <w:rsid w:val="61D20BD0"/>
    <w:rsid w:val="62B50A6D"/>
    <w:rsid w:val="63514A76"/>
    <w:rsid w:val="64297E8D"/>
    <w:rsid w:val="644B5969"/>
    <w:rsid w:val="6609788A"/>
    <w:rsid w:val="660A71B1"/>
    <w:rsid w:val="661324B7"/>
    <w:rsid w:val="67913208"/>
    <w:rsid w:val="67C92923"/>
    <w:rsid w:val="67DF4006"/>
    <w:rsid w:val="68907DEF"/>
    <w:rsid w:val="68B67DA9"/>
    <w:rsid w:val="68DC6EB7"/>
    <w:rsid w:val="69EB1780"/>
    <w:rsid w:val="6A5C7BE0"/>
    <w:rsid w:val="6A8A71EB"/>
    <w:rsid w:val="6BDB75D3"/>
    <w:rsid w:val="6C843ABD"/>
    <w:rsid w:val="6DAB62C7"/>
    <w:rsid w:val="6E1A39A0"/>
    <w:rsid w:val="6EC6456A"/>
    <w:rsid w:val="70445B99"/>
    <w:rsid w:val="71A566B9"/>
    <w:rsid w:val="71BE58F8"/>
    <w:rsid w:val="71E416F6"/>
    <w:rsid w:val="73770529"/>
    <w:rsid w:val="74034116"/>
    <w:rsid w:val="743520ED"/>
    <w:rsid w:val="74367A9C"/>
    <w:rsid w:val="74936C9D"/>
    <w:rsid w:val="75AD1FE0"/>
    <w:rsid w:val="75B275F6"/>
    <w:rsid w:val="770C0F88"/>
    <w:rsid w:val="77803018"/>
    <w:rsid w:val="780F32AD"/>
    <w:rsid w:val="784F1BB4"/>
    <w:rsid w:val="786B1684"/>
    <w:rsid w:val="789A0304"/>
    <w:rsid w:val="7A831561"/>
    <w:rsid w:val="7B0C59FB"/>
    <w:rsid w:val="7BE03594"/>
    <w:rsid w:val="7C7E2532"/>
    <w:rsid w:val="7C845C29"/>
    <w:rsid w:val="7D3D5EFF"/>
    <w:rsid w:val="7DE95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autoRedefine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next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20"/>
    </w:rPr>
  </w:style>
  <w:style w:type="paragraph" w:styleId="4">
    <w:name w:val="Plain Text"/>
    <w:basedOn w:val="1"/>
    <w:autoRedefine/>
    <w:qFormat/>
    <w:uiPriority w:val="0"/>
    <w:rPr>
      <w:rFonts w:ascii="宋体" w:hAnsi="Courier New"/>
      <w:sz w:val="24"/>
      <w:szCs w:val="20"/>
    </w:rPr>
  </w:style>
  <w:style w:type="paragraph" w:styleId="5">
    <w:name w:val="Normal (Web)"/>
    <w:basedOn w:val="1"/>
    <w:next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0"/>
      <w:szCs w:val="20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autoRedefine/>
    <w:qFormat/>
    <w:uiPriority w:val="0"/>
    <w:rPr>
      <w:b/>
    </w:rPr>
  </w:style>
  <w:style w:type="paragraph" w:customStyle="1" w:styleId="10">
    <w:name w:val="jy正文"/>
    <w:basedOn w:val="1"/>
    <w:autoRedefine/>
    <w:qFormat/>
    <w:uiPriority w:val="0"/>
    <w:pPr>
      <w:spacing w:line="300" w:lineRule="auto"/>
      <w:ind w:firstLine="573"/>
    </w:pPr>
    <w:rPr>
      <w:rFonts w:cs="宋体"/>
      <w:sz w:val="28"/>
      <w:szCs w:val="20"/>
    </w:rPr>
  </w:style>
  <w:style w:type="character" w:customStyle="1" w:styleId="11">
    <w:name w:val="font11"/>
    <w:basedOn w:val="8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2">
    <w:name w:val="font01"/>
    <w:basedOn w:val="8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1460</Words>
  <Characters>1756</Characters>
  <Lines>0</Lines>
  <Paragraphs>0</Paragraphs>
  <TotalTime>7</TotalTime>
  <ScaleCrop>false</ScaleCrop>
  <LinksUpToDate>false</LinksUpToDate>
  <CharactersWithSpaces>1778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2022-03-31T01:17:00Z</dcterms:created>
  <dc:creator>luckylululu</dc:creator>
  <cp:lastModifiedBy>石桐</cp:lastModifiedBy>
  <cp:lastPrinted>2024-04-09T00:58:00Z</cp:lastPrinted>
  <dcterms:modified xsi:type="dcterms:W3CDTF">2025-04-03T02:47:31Z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3BD93D67FB1540879A251C9D6C612CFC_13</vt:lpwstr>
  </property>
  <property fmtid="{D5CDD505-2E9C-101B-9397-08002B2CF9AE}" pid="4" name="KSOTemplateDocerSaveRecord">
    <vt:lpwstr>eyJoZGlkIjoiOGFlODUzNmEyNGNmZDE4M2EyMTg3ZTRhODI0OGRmZWIiLCJ1c2VySWQiOiIyNjUzOTIwOTkifQ==</vt:lpwstr>
  </property>
</Properties>
</file>