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55BE61">
      <w:pPr>
        <w:spacing w:line="240" w:lineRule="auto"/>
        <w:jc w:val="distribute"/>
        <w:rPr>
          <w:rFonts w:ascii="Times New Roman" w:hAnsi="Times New Roman" w:eastAsia="方正小标宋简体" w:cs="Times New Roman"/>
          <w:color w:val="FF0000"/>
          <w:spacing w:val="-20"/>
          <w:w w:val="85"/>
          <w:kern w:val="2"/>
          <w:sz w:val="100"/>
          <w:szCs w:val="100"/>
          <w:lang w:eastAsia="zh-CN"/>
        </w:rPr>
      </w:pPr>
      <w:r>
        <w:rPr>
          <w:rFonts w:ascii="Times New Roman" w:hAnsi="Times New Roman" w:eastAsia="方正小标宋简体" w:cs="Times New Roman"/>
          <w:color w:val="FF0000"/>
          <w:spacing w:val="-20"/>
          <w:w w:val="85"/>
          <w:kern w:val="2"/>
          <w:sz w:val="100"/>
          <w:szCs w:val="100"/>
          <w:lang w:eastAsia="zh-CN"/>
        </w:rPr>
        <mc:AlternateContent>
          <mc:Choice Requires="wps">
            <w:drawing>
              <wp:anchor distT="0" distB="0" distL="114300" distR="114300" simplePos="0" relativeHeight="251659264" behindDoc="0" locked="0" layoutInCell="1" allowOverlap="1">
                <wp:simplePos x="0" y="0"/>
                <wp:positionH relativeFrom="column">
                  <wp:posOffset>-41275</wp:posOffset>
                </wp:positionH>
                <wp:positionV relativeFrom="paragraph">
                  <wp:posOffset>891540</wp:posOffset>
                </wp:positionV>
                <wp:extent cx="5660390" cy="635"/>
                <wp:effectExtent l="0" t="25400" r="16510" b="31115"/>
                <wp:wrapNone/>
                <wp:docPr id="1" name="直接连接符 1"/>
                <wp:cNvGraphicFramePr/>
                <a:graphic xmlns:a="http://schemas.openxmlformats.org/drawingml/2006/main">
                  <a:graphicData uri="http://schemas.microsoft.com/office/word/2010/wordprocessingShape">
                    <wps:wsp>
                      <wps:cNvCnPr/>
                      <wps:spPr>
                        <a:xfrm>
                          <a:off x="0" y="0"/>
                          <a:ext cx="5660390" cy="635"/>
                        </a:xfrm>
                        <a:prstGeom prst="line">
                          <a:avLst/>
                        </a:prstGeom>
                        <a:ln w="50800" cap="flat" cmpd="thickThin">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25pt;margin-top:70.2pt;height:0.05pt;width:445.7pt;z-index:251659264;mso-width-relative:page;mso-height-relative:page;" filled="f" stroked="t" coordsize="21600,21600" o:gfxdata="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Q8IBs2wAAAAoBAAAPAAAAAAAAAAEAIAAAACIAAABkcnMvZG93bnJl&#10;di54bWxQSwECFAAUAAAACACHTuJAZe9DbPoBAADtAwAADgAAAAAAAAABACAAAAAqAQAAZHJzL2Uy&#10;b0RvYy54bWxQSwUGAAAAAAYABgBZAQAAlgUAAAAA&#10;">
                <v:fill on="f" focussize="0,0"/>
                <v:stroke weight="4pt" color="#FF0000" linestyle="thickThin" joinstyle="round"/>
                <v:imagedata o:title=""/>
                <o:lock v:ext="edit" aspectratio="f"/>
              </v:line>
            </w:pict>
          </mc:Fallback>
        </mc:AlternateContent>
      </w:r>
      <w:r>
        <w:rPr>
          <w:rFonts w:ascii="Times New Roman" w:hAnsi="Times New Roman" w:eastAsia="方正小标宋简体" w:cs="Times New Roman"/>
          <w:color w:val="FF0000"/>
          <w:spacing w:val="-20"/>
          <w:w w:val="85"/>
          <w:kern w:val="2"/>
          <w:sz w:val="100"/>
          <w:szCs w:val="100"/>
          <w:lang w:eastAsia="zh-CN"/>
        </w:rPr>
        <w:t>广元市昭化生态环境局</w:t>
      </w:r>
    </w:p>
    <w:p w14:paraId="0837AE8C">
      <w:pPr>
        <w:jc w:val="right"/>
        <w:rPr>
          <w:rFonts w:ascii="Times New Roman" w:hAnsi="Times New Roman" w:cs="Times New Roman"/>
          <w:szCs w:val="32"/>
          <w:lang w:eastAsia="zh-CN"/>
        </w:rPr>
      </w:pPr>
      <w:r>
        <w:rPr>
          <w:rFonts w:ascii="Times New Roman" w:hAnsi="Times New Roman" w:cs="Times New Roman"/>
          <w:szCs w:val="32"/>
          <w:lang w:eastAsia="zh-CN"/>
        </w:rPr>
        <w:t>昭环办函〔202</w:t>
      </w:r>
      <w:r>
        <w:rPr>
          <w:rFonts w:hint="eastAsia" w:ascii="Times New Roman" w:hAnsi="Times New Roman" w:cs="Times New Roman"/>
          <w:szCs w:val="32"/>
          <w:lang w:val="en-US" w:eastAsia="zh-CN"/>
        </w:rPr>
        <w:t>5</w:t>
      </w:r>
      <w:r>
        <w:rPr>
          <w:rFonts w:ascii="Times New Roman" w:hAnsi="Times New Roman" w:cs="Times New Roman"/>
          <w:szCs w:val="32"/>
          <w:lang w:eastAsia="zh-CN"/>
        </w:rPr>
        <w:t>〕</w:t>
      </w:r>
      <w:r>
        <w:rPr>
          <w:rFonts w:hint="eastAsia" w:ascii="Times New Roman" w:hAnsi="Times New Roman" w:cs="Times New Roman"/>
          <w:szCs w:val="32"/>
          <w:lang w:val="en-US" w:eastAsia="zh-CN"/>
        </w:rPr>
        <w:t>5</w:t>
      </w:r>
      <w:r>
        <w:rPr>
          <w:rFonts w:ascii="Times New Roman" w:hAnsi="Times New Roman" w:cs="Times New Roman"/>
          <w:szCs w:val="32"/>
          <w:lang w:eastAsia="zh-CN"/>
        </w:rPr>
        <w:t>号</w:t>
      </w:r>
    </w:p>
    <w:p w14:paraId="2AA34AB1">
      <w:pPr>
        <w:pStyle w:val="2"/>
        <w:ind w:firstLine="0"/>
        <w:rPr>
          <w:rFonts w:ascii="Times New Roman" w:hAnsi="Times New Roman" w:cs="Times New Roman"/>
          <w:lang w:eastAsia="zh-CN"/>
        </w:rPr>
      </w:pPr>
    </w:p>
    <w:p w14:paraId="697257DF">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Cs/>
          <w:spacing w:val="-20"/>
          <w:sz w:val="44"/>
          <w:szCs w:val="44"/>
          <w:lang w:eastAsia="zh-CN"/>
        </w:rPr>
      </w:pPr>
      <w:r>
        <w:rPr>
          <w:rFonts w:hint="eastAsia" w:ascii="方正小标宋简体" w:hAnsi="方正小标宋简体" w:eastAsia="方正小标宋简体" w:cs="方正小标宋简体"/>
          <w:bCs/>
          <w:spacing w:val="-20"/>
          <w:sz w:val="44"/>
          <w:szCs w:val="44"/>
          <w:lang w:eastAsia="zh-CN"/>
        </w:rPr>
        <w:t>广元市昭化生态环境局</w:t>
      </w:r>
    </w:p>
    <w:p w14:paraId="7B9FC53B">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Cs/>
          <w:spacing w:val="-20"/>
          <w:sz w:val="44"/>
          <w:szCs w:val="44"/>
          <w:lang w:val="en-US" w:eastAsia="zh-CN"/>
        </w:rPr>
      </w:pPr>
      <w:r>
        <w:rPr>
          <w:rFonts w:hint="eastAsia" w:ascii="方正小标宋简体" w:hAnsi="方正小标宋简体" w:eastAsia="方正小标宋简体" w:cs="方正小标宋简体"/>
          <w:bCs/>
          <w:spacing w:val="-20"/>
          <w:sz w:val="44"/>
          <w:szCs w:val="44"/>
          <w:lang w:val="en-US" w:eastAsia="zh-CN"/>
        </w:rPr>
        <w:t>关于四川鲁丽木业有限公司年产</w:t>
      </w:r>
      <w:r>
        <w:rPr>
          <w:rFonts w:hint="default" w:ascii="Times New Roman" w:hAnsi="Times New Roman" w:eastAsia="方正小标宋简体" w:cs="Times New Roman"/>
          <w:bCs/>
          <w:spacing w:val="-20"/>
          <w:sz w:val="44"/>
          <w:szCs w:val="44"/>
          <w:lang w:val="en-US" w:eastAsia="zh-CN"/>
        </w:rPr>
        <w:t>1000</w:t>
      </w:r>
      <w:r>
        <w:rPr>
          <w:rFonts w:hint="eastAsia" w:ascii="方正小标宋简体" w:hAnsi="方正小标宋简体" w:eastAsia="方正小标宋简体" w:cs="方正小标宋简体"/>
          <w:bCs/>
          <w:spacing w:val="-20"/>
          <w:sz w:val="44"/>
          <w:szCs w:val="44"/>
          <w:lang w:val="en-US" w:eastAsia="zh-CN"/>
        </w:rPr>
        <w:t>万平方米</w:t>
      </w:r>
    </w:p>
    <w:p w14:paraId="575CC4F0">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bCs w:val="0"/>
          <w:spacing w:val="-20"/>
          <w:kern w:val="0"/>
          <w:sz w:val="36"/>
          <w:szCs w:val="36"/>
          <w:lang w:val="en-US" w:eastAsia="zh-CN"/>
        </w:rPr>
      </w:pPr>
      <w:r>
        <w:rPr>
          <w:rFonts w:hint="eastAsia" w:ascii="方正小标宋简体" w:hAnsi="方正小标宋简体" w:eastAsia="方正小标宋简体" w:cs="方正小标宋简体"/>
          <w:bCs/>
          <w:spacing w:val="-20"/>
          <w:sz w:val="44"/>
          <w:szCs w:val="44"/>
          <w:lang w:val="en-US" w:eastAsia="zh-CN"/>
        </w:rPr>
        <w:t>板式标准化家具项目环境影响报告表的批复</w:t>
      </w:r>
    </w:p>
    <w:p w14:paraId="78DBF4FD">
      <w:pPr>
        <w:keepNext w:val="0"/>
        <w:keepLines w:val="0"/>
        <w:pageBreakBefore w:val="0"/>
        <w:widowControl w:val="0"/>
        <w:kinsoku/>
        <w:wordWrap/>
        <w:overflowPunct/>
        <w:topLinePunct w:val="0"/>
        <w:autoSpaceDE/>
        <w:autoSpaceDN/>
        <w:bidi w:val="0"/>
        <w:spacing w:line="576" w:lineRule="exact"/>
        <w:jc w:val="left"/>
        <w:textAlignment w:val="auto"/>
        <w:rPr>
          <w:rFonts w:hint="eastAsia" w:ascii="Times New Roman" w:hAnsi="Times New Roman" w:eastAsia="仿宋_GB2312"/>
          <w:sz w:val="32"/>
          <w:szCs w:val="32"/>
        </w:rPr>
      </w:pPr>
    </w:p>
    <w:p w14:paraId="19102B52">
      <w:pPr>
        <w:keepNext w:val="0"/>
        <w:keepLines w:val="0"/>
        <w:pageBreakBefore w:val="0"/>
        <w:widowControl w:val="0"/>
        <w:numPr>
          <w:ilvl w:val="0"/>
          <w:numId w:val="0"/>
        </w:numPr>
        <w:kinsoku/>
        <w:overflowPunct/>
        <w:topLinePunct w:val="0"/>
        <w:autoSpaceDE/>
        <w:autoSpaceDN/>
        <w:bidi w:val="0"/>
        <w:spacing w:line="576" w:lineRule="exact"/>
        <w:jc w:val="left"/>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kern w:val="2"/>
          <w:sz w:val="32"/>
          <w:szCs w:val="32"/>
          <w:lang w:val="en-US" w:eastAsia="zh-CN"/>
        </w:rPr>
        <w:t>四川鲁丽木业有限公司：</w:t>
      </w:r>
    </w:p>
    <w:p w14:paraId="3E1611FB">
      <w:pPr>
        <w:keepNext w:val="0"/>
        <w:keepLines w:val="0"/>
        <w:pageBreakBefore w:val="0"/>
        <w:widowControl w:val="0"/>
        <w:numPr>
          <w:ilvl w:val="0"/>
          <w:numId w:val="0"/>
        </w:numPr>
        <w:kinsoku/>
        <w:overflowPunct/>
        <w:topLinePunct w:val="0"/>
        <w:autoSpaceDE/>
        <w:autoSpaceDN/>
        <w:bidi w:val="0"/>
        <w:spacing w:line="576" w:lineRule="exact"/>
        <w:ind w:firstLine="640" w:firstLineChars="200"/>
        <w:jc w:val="left"/>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kern w:val="2"/>
          <w:sz w:val="32"/>
          <w:szCs w:val="32"/>
          <w:lang w:val="en-US" w:eastAsia="zh-CN"/>
        </w:rPr>
        <w:t>你</w:t>
      </w:r>
      <w:r>
        <w:rPr>
          <w:rFonts w:hint="eastAsia" w:ascii="Times New Roman" w:hAnsi="Times New Roman" w:cs="Times New Roman"/>
          <w:kern w:val="2"/>
          <w:sz w:val="32"/>
          <w:szCs w:val="32"/>
          <w:lang w:val="en-US" w:eastAsia="zh-CN"/>
        </w:rPr>
        <w:t>公司</w:t>
      </w:r>
      <w:r>
        <w:rPr>
          <w:rFonts w:hint="default" w:ascii="Times New Roman" w:hAnsi="Times New Roman" w:eastAsia="仿宋_GB2312" w:cs="Times New Roman"/>
          <w:kern w:val="2"/>
          <w:sz w:val="32"/>
          <w:szCs w:val="32"/>
          <w:lang w:val="en-US" w:eastAsia="zh-CN"/>
        </w:rPr>
        <w:t>报送的《四川鲁丽木业有限公司年产 1000 万平方米板式标准化家具项目环境影响报告表》（以下简称 “报告表”）已收悉。经研究，现批复如下：</w:t>
      </w:r>
    </w:p>
    <w:p w14:paraId="70F6A19C">
      <w:pPr>
        <w:keepNext w:val="0"/>
        <w:keepLines w:val="0"/>
        <w:pageBreakBefore w:val="0"/>
        <w:widowControl w:val="0"/>
        <w:numPr>
          <w:ilvl w:val="0"/>
          <w:numId w:val="0"/>
        </w:numPr>
        <w:kinsoku/>
        <w:overflowPunct/>
        <w:topLinePunct w:val="0"/>
        <w:autoSpaceDE/>
        <w:autoSpaceDN/>
        <w:bidi w:val="0"/>
        <w:spacing w:line="576" w:lineRule="exact"/>
        <w:ind w:firstLine="640" w:firstLineChars="200"/>
        <w:jc w:val="left"/>
        <w:textAlignment w:val="auto"/>
        <w:rPr>
          <w:rFonts w:hint="eastAsia" w:ascii="黑体" w:hAnsi="黑体" w:eastAsia="黑体" w:cs="黑体"/>
          <w:kern w:val="2"/>
          <w:sz w:val="32"/>
          <w:szCs w:val="32"/>
          <w:lang w:val="en-US" w:eastAsia="zh-CN"/>
        </w:rPr>
      </w:pPr>
      <w:r>
        <w:rPr>
          <w:rFonts w:hint="eastAsia" w:ascii="黑体" w:hAnsi="黑体" w:eastAsia="黑体" w:cs="黑体"/>
          <w:kern w:val="2"/>
          <w:sz w:val="32"/>
          <w:szCs w:val="32"/>
          <w:lang w:val="en-US" w:eastAsia="zh-CN"/>
        </w:rPr>
        <w:t>一、项目基本情况及总体要求</w:t>
      </w:r>
    </w:p>
    <w:p w14:paraId="56E06BED">
      <w:pPr>
        <w:keepNext w:val="0"/>
        <w:keepLines w:val="0"/>
        <w:pageBreakBefore w:val="0"/>
        <w:widowControl w:val="0"/>
        <w:numPr>
          <w:ilvl w:val="0"/>
          <w:numId w:val="0"/>
        </w:numPr>
        <w:kinsoku/>
        <w:overflowPunct/>
        <w:topLinePunct w:val="0"/>
        <w:autoSpaceDE/>
        <w:autoSpaceDN/>
        <w:bidi w:val="0"/>
        <w:spacing w:line="576" w:lineRule="exact"/>
        <w:ind w:firstLine="640" w:firstLineChars="200"/>
        <w:jc w:val="left"/>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kern w:val="2"/>
          <w:sz w:val="32"/>
          <w:szCs w:val="32"/>
          <w:lang w:val="en-US" w:eastAsia="zh-CN"/>
        </w:rPr>
        <w:t>项目（项目代码：2410-510811-04-01-477415）位于四川省广元市昭化区元坝镇大坝村（中国西部（广元）绿色家居产业城启动区），占地面积 86139.53 平方米，建设内容为新建1#家具车间、2#家具车间、机修车间、厂区消防站、4#门卫；购置推台锯、开槽机、封边机、镂铣机等生产设备。项目总投资61000万元，其中环保投资53万元。</w:t>
      </w:r>
    </w:p>
    <w:p w14:paraId="116F785A">
      <w:pPr>
        <w:pStyle w:val="2"/>
        <w:keepNext w:val="0"/>
        <w:keepLines w:val="0"/>
        <w:pageBreakBefore w:val="0"/>
        <w:widowControl w:val="0"/>
        <w:kinsoku/>
        <w:overflowPunct/>
        <w:topLinePunct w:val="0"/>
        <w:autoSpaceDE/>
        <w:autoSpaceDN/>
        <w:bidi w:val="0"/>
        <w:spacing w:line="576" w:lineRule="exact"/>
        <w:textAlignment w:val="auto"/>
        <w:rPr>
          <w:rFonts w:hint="default" w:ascii="Times New Roman" w:hAnsi="Times New Roman" w:eastAsia="仿宋_GB2312" w:cs="Times New Roman"/>
          <w:kern w:val="2"/>
          <w:sz w:val="32"/>
          <w:szCs w:val="32"/>
          <w:lang w:val="en-US" w:eastAsia="zh-CN" w:bidi="ar-SA"/>
        </w:rPr>
      </w:pPr>
      <w:r>
        <w:rPr>
          <w:sz w:val="100"/>
        </w:rPr>
        <mc:AlternateContent>
          <mc:Choice Requires="wps">
            <w:drawing>
              <wp:anchor distT="0" distB="0" distL="114300" distR="114300" simplePos="0" relativeHeight="251663360" behindDoc="0" locked="0" layoutInCell="1" allowOverlap="1">
                <wp:simplePos x="0" y="0"/>
                <wp:positionH relativeFrom="column">
                  <wp:posOffset>4918710</wp:posOffset>
                </wp:positionH>
                <wp:positionV relativeFrom="paragraph">
                  <wp:posOffset>737235</wp:posOffset>
                </wp:positionV>
                <wp:extent cx="711200" cy="279400"/>
                <wp:effectExtent l="6350" t="6350" r="13970" b="19050"/>
                <wp:wrapNone/>
                <wp:docPr id="4" name="矩形 4"/>
                <wp:cNvGraphicFramePr/>
                <a:graphic xmlns:a="http://schemas.openxmlformats.org/drawingml/2006/main">
                  <a:graphicData uri="http://schemas.microsoft.com/office/word/2010/wordprocessingShape">
                    <wps:wsp>
                      <wps:cNvSpPr/>
                      <wps:spPr>
                        <a:xfrm>
                          <a:off x="5943600" y="9539605"/>
                          <a:ext cx="711200" cy="279400"/>
                        </a:xfrm>
                        <a:prstGeom prst="rect">
                          <a:avLst/>
                        </a:prstGeom>
                        <a:solidFill>
                          <a:schemeClr val="bg1"/>
                        </a:solidFill>
                        <a:ln>
                          <a:solidFill>
                            <a:schemeClr val="bg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87.3pt;margin-top:58.05pt;height:22pt;width:56pt;z-index:251663360;v-text-anchor:middle;mso-width-relative:page;mso-height-relative:page;" fillcolor="#FFFFFF [3212]" filled="t" stroked="t" coordsize="21600,21600" o:gfxdata="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OGpeR/XAAAACwEAAA8AAAAAAAAAAQAgAAAAIgAAAGRycy9k&#10;b3ducmV2LnhtbFBLAQIUABQAAAAIAIdO4kDV029cdQIAAP8EAAAOAAAAAAAAAAEAIAAAACYBAABk&#10;cnMvZTJvRG9jLnhtbFBLBQYAAAAABgAGAFkBAAANBgAAAAA=&#10;">
                <v:fill on="t" focussize="0,0"/>
                <v:stroke weight="1pt" color="#FFFFFF [3212]" miterlimit="8" joinstyle="miter"/>
                <v:imagedata o:title=""/>
                <o:lock v:ext="edit" aspectratio="f"/>
              </v:rect>
            </w:pict>
          </mc:Fallback>
        </mc:AlternateContent>
      </w:r>
      <w:r>
        <w:rPr>
          <w:rFonts w:ascii="Times New Roman" w:hAnsi="Times New Roman" w:eastAsia="方正小标宋简体" w:cs="Times New Roman"/>
          <w:color w:val="FF0000"/>
          <w:spacing w:val="-20"/>
          <w:w w:val="85"/>
          <w:kern w:val="2"/>
          <w:sz w:val="100"/>
          <w:szCs w:val="100"/>
          <w:lang w:eastAsia="zh-CN"/>
        </w:rPr>
        <mc:AlternateContent>
          <mc:Choice Requires="wps">
            <w:drawing>
              <wp:anchor distT="0" distB="0" distL="114300" distR="114300" simplePos="0" relativeHeight="251662336" behindDoc="0" locked="0" layoutInCell="1" allowOverlap="1">
                <wp:simplePos x="0" y="0"/>
                <wp:positionH relativeFrom="column">
                  <wp:posOffset>-7620</wp:posOffset>
                </wp:positionH>
                <wp:positionV relativeFrom="paragraph">
                  <wp:posOffset>694055</wp:posOffset>
                </wp:positionV>
                <wp:extent cx="5660390" cy="635"/>
                <wp:effectExtent l="0" t="25400" r="8890" b="34925"/>
                <wp:wrapNone/>
                <wp:docPr id="3" name="直接连接符 3"/>
                <wp:cNvGraphicFramePr/>
                <a:graphic xmlns:a="http://schemas.openxmlformats.org/drawingml/2006/main">
                  <a:graphicData uri="http://schemas.microsoft.com/office/word/2010/wordprocessingShape">
                    <wps:wsp>
                      <wps:cNvCnPr/>
                      <wps:spPr>
                        <a:xfrm>
                          <a:off x="0" y="0"/>
                          <a:ext cx="5660390" cy="635"/>
                        </a:xfrm>
                        <a:prstGeom prst="line">
                          <a:avLst/>
                        </a:prstGeom>
                        <a:ln w="50800" cap="flat" cmpd="thickThin">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6pt;margin-top:54.65pt;height:0.05pt;width:445.7pt;z-index:251662336;mso-width-relative:page;mso-height-relative:page;" filled="f" stroked="t" coordsize="21600,21600" o:gfxdata="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nUPFu9oAAAAKAQAADwAAAAAAAAABACAAAAAiAAAAZHJzL2Rvd25y&#10;ZXYueG1sUEsBAhQAFAAAAAgAh07iQH7UYUz8AQAA7QMAAA4AAAAAAAAAAQAgAAAAKQEAAGRycy9l&#10;Mm9Eb2MueG1sUEsFBgAAAAAGAAYAWQEAAJcFAAAAAA==&#10;">
                <v:fill on="f" focussize="0,0"/>
                <v:stroke weight="4pt" color="#FF0000" linestyle="thickThin" joinstyle="round"/>
                <v:imagedata o:title=""/>
                <o:lock v:ext="edit" aspectratio="f"/>
              </v:line>
            </w:pict>
          </mc:Fallback>
        </mc:AlternateContent>
      </w:r>
      <w:r>
        <w:rPr>
          <w:rFonts w:hint="default" w:ascii="Times New Roman" w:hAnsi="Times New Roman" w:eastAsia="仿宋_GB2312" w:cs="Times New Roman"/>
          <w:kern w:val="2"/>
          <w:sz w:val="32"/>
          <w:szCs w:val="32"/>
          <w:lang w:val="en-US" w:eastAsia="zh-CN"/>
        </w:rPr>
        <w:t>项目符合国家相关产业政策和生态环境分区管控等相关要求。</w:t>
      </w:r>
      <w:r>
        <w:rPr>
          <w:rFonts w:hint="default" w:ascii="Times New Roman" w:hAnsi="Times New Roman" w:eastAsia="仿宋_GB2312" w:cs="Times New Roman"/>
          <w:kern w:val="2"/>
          <w:sz w:val="32"/>
          <w:szCs w:val="32"/>
          <w:lang w:val="en-US" w:eastAsia="zh-CN" w:bidi="ar-SA"/>
        </w:rPr>
        <w:t>在全面落实报告表提出的各项生态环境保护和污染防治措施前提下，项目建设对环境的不利影响能够得到有效缓解和控制。从生态环境保护角度分析，我局原则同意报告表的环境影响评价总体结论和拟采取的生态环境保护及污染防治措施，你</w:t>
      </w:r>
      <w:r>
        <w:rPr>
          <w:rFonts w:hint="eastAsia" w:ascii="Times New Roman" w:hAnsi="Times New Roman" w:cs="Times New Roman"/>
          <w:kern w:val="2"/>
          <w:sz w:val="32"/>
          <w:szCs w:val="32"/>
          <w:lang w:val="en-US" w:eastAsia="zh-CN" w:bidi="ar-SA"/>
        </w:rPr>
        <w:t>公司</w:t>
      </w:r>
      <w:r>
        <w:rPr>
          <w:rFonts w:hint="default" w:ascii="Times New Roman" w:hAnsi="Times New Roman" w:eastAsia="仿宋_GB2312" w:cs="Times New Roman"/>
          <w:kern w:val="2"/>
          <w:sz w:val="32"/>
          <w:szCs w:val="32"/>
          <w:lang w:val="en-US" w:eastAsia="zh-CN" w:bidi="ar-SA"/>
        </w:rPr>
        <w:t>应严格按照报告表和本批复要求开展项目建设和运营管理。</w:t>
      </w:r>
    </w:p>
    <w:p w14:paraId="7B51C713">
      <w:pPr>
        <w:keepNext w:val="0"/>
        <w:keepLines w:val="0"/>
        <w:pageBreakBefore w:val="0"/>
        <w:widowControl w:val="0"/>
        <w:numPr>
          <w:ilvl w:val="0"/>
          <w:numId w:val="0"/>
        </w:numPr>
        <w:kinsoku/>
        <w:overflowPunct/>
        <w:topLinePunct w:val="0"/>
        <w:autoSpaceDE/>
        <w:autoSpaceDN/>
        <w:bidi w:val="0"/>
        <w:spacing w:line="576" w:lineRule="exact"/>
        <w:ind w:firstLine="640" w:firstLineChars="200"/>
        <w:jc w:val="left"/>
        <w:textAlignment w:val="auto"/>
        <w:rPr>
          <w:rFonts w:hint="default" w:ascii="黑体" w:hAnsi="黑体" w:eastAsia="黑体" w:cs="黑体"/>
          <w:kern w:val="2"/>
          <w:sz w:val="32"/>
          <w:szCs w:val="32"/>
          <w:lang w:val="en-US" w:eastAsia="zh-CN"/>
        </w:rPr>
      </w:pPr>
      <w:r>
        <w:rPr>
          <w:rFonts w:hint="default" w:ascii="黑体" w:hAnsi="黑体" w:eastAsia="黑体" w:cs="黑体"/>
          <w:kern w:val="2"/>
          <w:sz w:val="32"/>
          <w:szCs w:val="32"/>
          <w:lang w:val="en-US" w:eastAsia="zh-CN"/>
        </w:rPr>
        <w:t>二、项目建设及运营期应重点做好以下工作</w:t>
      </w:r>
    </w:p>
    <w:p w14:paraId="783A5C11">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both"/>
        <w:textAlignment w:val="auto"/>
        <w:rPr>
          <w:rFonts w:hint="default" w:ascii="Times New Roman" w:hAnsi="Times New Roman" w:eastAsia="仿宋_GB2312" w:cs="Times New Roman"/>
          <w:kern w:val="2"/>
          <w:sz w:val="32"/>
          <w:szCs w:val="32"/>
          <w:lang w:val="en-US" w:eastAsia="zh-CN"/>
        </w:rPr>
      </w:pPr>
      <w:r>
        <w:rPr>
          <w:rFonts w:hint="default" w:ascii="方正楷体_GB2312" w:hAnsi="方正楷体_GB2312" w:eastAsia="方正楷体_GB2312" w:cs="方正楷体_GB2312"/>
          <w:kern w:val="2"/>
          <w:sz w:val="32"/>
          <w:szCs w:val="32"/>
          <w:lang w:val="en-US" w:eastAsia="zh-CN" w:bidi="ar-SA"/>
        </w:rPr>
        <w:t>（一）严格落实生态环境主体责任</w:t>
      </w:r>
      <w:r>
        <w:rPr>
          <w:rFonts w:hint="eastAsia" w:ascii="方正楷体_GB2312" w:hAnsi="方正楷体_GB2312" w:eastAsia="方正楷体_GB2312" w:cs="方正楷体_GB2312"/>
          <w:kern w:val="2"/>
          <w:sz w:val="32"/>
          <w:szCs w:val="32"/>
          <w:lang w:val="en-US" w:eastAsia="zh-CN" w:bidi="ar-SA"/>
        </w:rPr>
        <w:t>。</w:t>
      </w:r>
      <w:r>
        <w:rPr>
          <w:rFonts w:hint="default" w:ascii="Times New Roman" w:hAnsi="Times New Roman" w:eastAsia="仿宋_GB2312" w:cs="Times New Roman"/>
          <w:kern w:val="2"/>
          <w:sz w:val="32"/>
          <w:szCs w:val="32"/>
          <w:lang w:val="en-US" w:eastAsia="zh-CN"/>
        </w:rPr>
        <w:t>你</w:t>
      </w:r>
      <w:r>
        <w:rPr>
          <w:rFonts w:hint="eastAsia" w:ascii="Times New Roman" w:hAnsi="Times New Roman" w:cs="Times New Roman"/>
          <w:kern w:val="2"/>
          <w:sz w:val="32"/>
          <w:szCs w:val="32"/>
          <w:lang w:val="en-US" w:eastAsia="zh-CN"/>
        </w:rPr>
        <w:t>公司</w:t>
      </w:r>
      <w:r>
        <w:rPr>
          <w:rFonts w:hint="default" w:ascii="Times New Roman" w:hAnsi="Times New Roman" w:eastAsia="仿宋_GB2312" w:cs="Times New Roman"/>
          <w:kern w:val="2"/>
          <w:sz w:val="32"/>
          <w:szCs w:val="32"/>
          <w:lang w:val="en-US" w:eastAsia="zh-CN"/>
        </w:rPr>
        <w:t>作为项目建设运营主体，应切实履行生态环境保护责任。建立健全内部环境管理体系，明确环境管理机构与人员职责，制定完善环境管理制度和操作规程。将环保工作融入企业日常管理，定期开展培训，提升员工环保意识与操作技能，确保环保措施落实到位。</w:t>
      </w:r>
    </w:p>
    <w:p w14:paraId="2C252A22">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both"/>
        <w:textAlignment w:val="auto"/>
        <w:rPr>
          <w:rFonts w:hint="default" w:ascii="Times New Roman" w:hAnsi="Times New Roman" w:eastAsia="仿宋_GB2312" w:cs="Times New Roman"/>
          <w:kern w:val="2"/>
          <w:sz w:val="32"/>
          <w:szCs w:val="32"/>
          <w:lang w:val="en-US" w:eastAsia="zh-CN"/>
        </w:rPr>
      </w:pPr>
      <w:r>
        <w:rPr>
          <w:rFonts w:hint="default" w:ascii="方正楷体_GB2312" w:hAnsi="方正楷体_GB2312" w:eastAsia="方正楷体_GB2312" w:cs="方正楷体_GB2312"/>
          <w:kern w:val="2"/>
          <w:sz w:val="32"/>
          <w:szCs w:val="32"/>
          <w:lang w:val="en-US" w:eastAsia="zh-CN" w:bidi="ar-SA"/>
        </w:rPr>
        <w:t>（二）严格落实废气污染防治措施</w:t>
      </w:r>
      <w:r>
        <w:rPr>
          <w:rFonts w:hint="eastAsia" w:ascii="方正楷体_GB2312" w:hAnsi="方正楷体_GB2312" w:eastAsia="方正楷体_GB2312" w:cs="方正楷体_GB2312"/>
          <w:kern w:val="2"/>
          <w:sz w:val="32"/>
          <w:szCs w:val="32"/>
          <w:lang w:val="en-US" w:eastAsia="zh-CN" w:bidi="ar-SA"/>
        </w:rPr>
        <w:t>。</w:t>
      </w:r>
      <w:r>
        <w:rPr>
          <w:rFonts w:hint="default" w:ascii="Times New Roman" w:hAnsi="Times New Roman" w:eastAsia="仿宋_GB2312" w:cs="Times New Roman"/>
          <w:kern w:val="2"/>
          <w:sz w:val="32"/>
          <w:szCs w:val="32"/>
          <w:lang w:val="en-US" w:eastAsia="zh-CN"/>
        </w:rPr>
        <w:t>项目运营期裁板、开槽、铣型、钻孔、封边后修边工序产生的粉尘，应通过集气罩有效收集，经1套布袋除尘器处理后，由15米高排气筒达标排放。封边工序产生的有机废气，同样经集气罩收集，通过1套二级活性炭吸附装置处理后，由15米高排气筒达标排放。你</w:t>
      </w:r>
      <w:r>
        <w:rPr>
          <w:rFonts w:hint="eastAsia" w:ascii="Times New Roman" w:hAnsi="Times New Roman" w:cs="Times New Roman"/>
          <w:kern w:val="2"/>
          <w:sz w:val="32"/>
          <w:szCs w:val="32"/>
          <w:lang w:val="en-US" w:eastAsia="zh-CN"/>
        </w:rPr>
        <w:t>公司</w:t>
      </w:r>
      <w:r>
        <w:rPr>
          <w:rFonts w:hint="default" w:ascii="Times New Roman" w:hAnsi="Times New Roman" w:eastAsia="仿宋_GB2312" w:cs="Times New Roman"/>
          <w:kern w:val="2"/>
          <w:sz w:val="32"/>
          <w:szCs w:val="32"/>
          <w:lang w:val="en-US" w:eastAsia="zh-CN"/>
        </w:rPr>
        <w:t>需确保集气罩收集效率不低于报告表设定值，定期检查和维护废气处理设备，保证布袋除尘器和活性炭吸附装置的处理效率稳定，使颗粒物排放满足《大气污染物综合排放标准》（GB16297-1996）表2限值要求，VOCs 排放满足《四川省固定污染源大气挥发性有机物排放标准》（DB51/2377-2017）中表3家具制造行业限值要求。</w:t>
      </w:r>
    </w:p>
    <w:p w14:paraId="4FFF7B25">
      <w:pPr>
        <w:keepNext w:val="0"/>
        <w:keepLines w:val="0"/>
        <w:pageBreakBefore w:val="0"/>
        <w:widowControl w:val="0"/>
        <w:numPr>
          <w:ilvl w:val="0"/>
          <w:numId w:val="0"/>
        </w:numPr>
        <w:kinsoku/>
        <w:overflowPunct/>
        <w:topLinePunct w:val="0"/>
        <w:autoSpaceDE/>
        <w:autoSpaceDN/>
        <w:bidi w:val="0"/>
        <w:spacing w:line="576" w:lineRule="exact"/>
        <w:ind w:firstLine="640" w:firstLineChars="200"/>
        <w:jc w:val="left"/>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kern w:val="2"/>
          <w:sz w:val="32"/>
          <w:szCs w:val="32"/>
          <w:lang w:val="en-US" w:eastAsia="zh-CN"/>
        </w:rPr>
        <w:t>加强对生产过程中无组织废气排放的管控。合理安排生产工艺，优化车间布局，减少废气在车间内的扩散。定期对车间进行清扫和通风，降低车间内废气浓度。厂界无组织排放的颗粒物和 VOCs 应分别执行《大气污染物综合排放标准》（GB16297-1996）表2无组织排放监控浓度限值和《四川省固定污染源大气挥发性有机物排放标准》（DB51/2377-2017）表 5 无组织排放监控浓度限值其他类限值；厂区内无组织排放的VOCs执行《挥发性有机物无组织排放控制标准》（GB37822-2019）表A.1厂区内VOCs无组织排放限值。</w:t>
      </w:r>
    </w:p>
    <w:p w14:paraId="1DE84473">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both"/>
        <w:textAlignment w:val="auto"/>
        <w:rPr>
          <w:rFonts w:hint="default" w:ascii="Times New Roman" w:hAnsi="Times New Roman" w:eastAsia="仿宋_GB2312" w:cs="Times New Roman"/>
          <w:kern w:val="2"/>
          <w:sz w:val="32"/>
          <w:szCs w:val="32"/>
          <w:lang w:val="en-US" w:eastAsia="zh-CN"/>
        </w:rPr>
      </w:pPr>
      <w:r>
        <w:rPr>
          <w:rFonts w:hint="default" w:ascii="方正楷体_GB2312" w:hAnsi="方正楷体_GB2312" w:eastAsia="方正楷体_GB2312" w:cs="方正楷体_GB2312"/>
          <w:kern w:val="2"/>
          <w:sz w:val="32"/>
          <w:szCs w:val="32"/>
          <w:lang w:val="en-US" w:eastAsia="zh-CN" w:bidi="ar-SA"/>
        </w:rPr>
        <w:t>（</w:t>
      </w:r>
      <w:r>
        <w:rPr>
          <w:rFonts w:hint="eastAsia" w:ascii="方正楷体_GB2312" w:hAnsi="方正楷体_GB2312" w:eastAsia="方正楷体_GB2312" w:cs="方正楷体_GB2312"/>
          <w:kern w:val="2"/>
          <w:sz w:val="32"/>
          <w:szCs w:val="32"/>
          <w:lang w:val="en-US" w:eastAsia="zh-CN" w:bidi="ar-SA"/>
        </w:rPr>
        <w:t>三</w:t>
      </w:r>
      <w:r>
        <w:rPr>
          <w:rFonts w:hint="default" w:ascii="方正楷体_GB2312" w:hAnsi="方正楷体_GB2312" w:eastAsia="方正楷体_GB2312" w:cs="方正楷体_GB2312"/>
          <w:kern w:val="2"/>
          <w:sz w:val="32"/>
          <w:szCs w:val="32"/>
          <w:lang w:val="en-US" w:eastAsia="zh-CN" w:bidi="ar-SA"/>
        </w:rPr>
        <w:t>）严格落实废水污染防治措施</w:t>
      </w:r>
      <w:r>
        <w:rPr>
          <w:rFonts w:hint="eastAsia" w:ascii="方正楷体_GB2312" w:hAnsi="方正楷体_GB2312" w:eastAsia="方正楷体_GB2312" w:cs="方正楷体_GB2312"/>
          <w:kern w:val="2"/>
          <w:sz w:val="32"/>
          <w:szCs w:val="32"/>
          <w:lang w:val="en-US" w:eastAsia="zh-CN" w:bidi="ar-SA"/>
        </w:rPr>
        <w:t>。</w:t>
      </w:r>
      <w:r>
        <w:rPr>
          <w:rFonts w:hint="default" w:ascii="Times New Roman" w:hAnsi="Times New Roman" w:eastAsia="仿宋_GB2312" w:cs="Times New Roman"/>
          <w:kern w:val="2"/>
          <w:sz w:val="32"/>
          <w:szCs w:val="32"/>
          <w:lang w:val="en-US" w:eastAsia="zh-CN"/>
        </w:rPr>
        <w:t>项目生活污水依托四川鲁丽绿色数智家居产业园相关设施处理。你</w:t>
      </w:r>
      <w:r>
        <w:rPr>
          <w:rFonts w:hint="eastAsia" w:ascii="Times New Roman" w:hAnsi="Times New Roman" w:cs="Times New Roman"/>
          <w:kern w:val="2"/>
          <w:sz w:val="32"/>
          <w:szCs w:val="32"/>
          <w:lang w:val="en-US" w:eastAsia="zh-CN"/>
        </w:rPr>
        <w:t>公司</w:t>
      </w:r>
      <w:r>
        <w:rPr>
          <w:rFonts w:hint="default" w:ascii="Times New Roman" w:hAnsi="Times New Roman" w:eastAsia="仿宋_GB2312" w:cs="Times New Roman"/>
          <w:kern w:val="2"/>
          <w:sz w:val="32"/>
          <w:szCs w:val="32"/>
          <w:lang w:val="en-US" w:eastAsia="zh-CN"/>
        </w:rPr>
        <w:t>应确保生活污水先经“四川鲁丽木业有限公司年产 80 万立方米刨花板项目”建设的化粪池预处理达到《污水综合排放标准》（GB8978-1996）三级标准后，再进入“四川鲁丽木业有限公司年产25万立方米超薄密度板项目”建设的污水站处理。污水站采用“调质+气浮+酸化+A2/O+混凝沉淀+活性炭过滤”工艺，处理后的污水应达到《城市污水再生利用 工业用水水质》（GB/T 19923-2024）标准后回用于产业园子项目生产，严禁外排。</w:t>
      </w:r>
    </w:p>
    <w:p w14:paraId="5C090A87">
      <w:pPr>
        <w:keepNext w:val="0"/>
        <w:keepLines w:val="0"/>
        <w:pageBreakBefore w:val="0"/>
        <w:widowControl w:val="0"/>
        <w:numPr>
          <w:ilvl w:val="0"/>
          <w:numId w:val="0"/>
        </w:numPr>
        <w:kinsoku/>
        <w:overflowPunct/>
        <w:topLinePunct w:val="0"/>
        <w:autoSpaceDE/>
        <w:autoSpaceDN/>
        <w:bidi w:val="0"/>
        <w:spacing w:line="576" w:lineRule="exact"/>
        <w:ind w:firstLine="640" w:firstLineChars="200"/>
        <w:jc w:val="left"/>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kern w:val="2"/>
          <w:sz w:val="32"/>
          <w:szCs w:val="32"/>
          <w:lang w:val="en-US" w:eastAsia="zh-CN"/>
        </w:rPr>
        <w:t>加强对依托污水处理设施的日常管理和维护，建立健全污水处理设施运行管理制度及应急处理预案。定期对化粪池和污水站的运行状况进行检查，确保设备正常运行，处理工艺稳定可靠。同时，对生活污水的水质、水量进行监控，如发现水质异常或水量波动较大，应及时采取相应措施进行处理，防止对依托污水处理设施造成冲击，确保生活污水得到有效处理和回用。</w:t>
      </w:r>
    </w:p>
    <w:p w14:paraId="0AB8FE94">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both"/>
        <w:textAlignment w:val="auto"/>
        <w:rPr>
          <w:rFonts w:hint="default" w:ascii="Times New Roman" w:hAnsi="Times New Roman" w:eastAsia="仿宋_GB2312" w:cs="Times New Roman"/>
          <w:kern w:val="2"/>
          <w:sz w:val="32"/>
          <w:szCs w:val="32"/>
          <w:lang w:val="en-US" w:eastAsia="zh-CN"/>
        </w:rPr>
      </w:pPr>
      <w:r>
        <w:rPr>
          <w:rFonts w:hint="default" w:ascii="方正楷体_GB2312" w:hAnsi="方正楷体_GB2312" w:eastAsia="方正楷体_GB2312" w:cs="方正楷体_GB2312"/>
          <w:kern w:val="2"/>
          <w:sz w:val="32"/>
          <w:szCs w:val="32"/>
          <w:lang w:val="en-US" w:eastAsia="zh-CN" w:bidi="ar-SA"/>
        </w:rPr>
        <w:t>（</w:t>
      </w:r>
      <w:r>
        <w:rPr>
          <w:rFonts w:hint="eastAsia" w:ascii="方正楷体_GB2312" w:hAnsi="方正楷体_GB2312" w:eastAsia="方正楷体_GB2312" w:cs="方正楷体_GB2312"/>
          <w:kern w:val="2"/>
          <w:sz w:val="32"/>
          <w:szCs w:val="32"/>
          <w:lang w:val="en-US" w:eastAsia="zh-CN" w:bidi="ar-SA"/>
        </w:rPr>
        <w:t>四</w:t>
      </w:r>
      <w:r>
        <w:rPr>
          <w:rFonts w:hint="default" w:ascii="方正楷体_GB2312" w:hAnsi="方正楷体_GB2312" w:eastAsia="方正楷体_GB2312" w:cs="方正楷体_GB2312"/>
          <w:kern w:val="2"/>
          <w:sz w:val="32"/>
          <w:szCs w:val="32"/>
          <w:lang w:val="en-US" w:eastAsia="zh-CN" w:bidi="ar-SA"/>
        </w:rPr>
        <w:t>）严格落实噪声污染防治措施</w:t>
      </w:r>
      <w:r>
        <w:rPr>
          <w:rFonts w:hint="eastAsia" w:ascii="方正楷体_GB2312" w:hAnsi="方正楷体_GB2312" w:eastAsia="方正楷体_GB2312" w:cs="方正楷体_GB2312"/>
          <w:kern w:val="2"/>
          <w:sz w:val="32"/>
          <w:szCs w:val="32"/>
          <w:lang w:val="en-US" w:eastAsia="zh-CN" w:bidi="ar-SA"/>
        </w:rPr>
        <w:t>。</w:t>
      </w:r>
      <w:r>
        <w:rPr>
          <w:rFonts w:hint="default" w:ascii="Times New Roman" w:hAnsi="Times New Roman" w:eastAsia="仿宋_GB2312" w:cs="Times New Roman"/>
          <w:kern w:val="2"/>
          <w:sz w:val="32"/>
          <w:szCs w:val="32"/>
          <w:lang w:val="en-US" w:eastAsia="zh-CN"/>
        </w:rPr>
        <w:t>优先选用低噪声设备，从源头上降低噪声产生。对电子锯、钻孔机、封边机、环保设备风机等高噪声设备采取有效的降噪措施，如基础减振、安装消声器、设置隔声罩等。同时，合理布局生产设备，将高噪声设备布置在远离厂界和周边敏感目标的位置，利用建筑物墙体和距离衰减降低噪声对周围环境的影响。</w:t>
      </w:r>
    </w:p>
    <w:p w14:paraId="4BA1D8FE">
      <w:pPr>
        <w:keepNext w:val="0"/>
        <w:keepLines w:val="0"/>
        <w:pageBreakBefore w:val="0"/>
        <w:widowControl w:val="0"/>
        <w:numPr>
          <w:ilvl w:val="0"/>
          <w:numId w:val="0"/>
        </w:numPr>
        <w:kinsoku/>
        <w:overflowPunct/>
        <w:topLinePunct w:val="0"/>
        <w:autoSpaceDE/>
        <w:autoSpaceDN/>
        <w:bidi w:val="0"/>
        <w:spacing w:line="576" w:lineRule="exact"/>
        <w:ind w:firstLine="640" w:firstLineChars="200"/>
        <w:jc w:val="left"/>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kern w:val="2"/>
          <w:sz w:val="32"/>
          <w:szCs w:val="32"/>
          <w:lang w:val="en-US" w:eastAsia="zh-CN"/>
        </w:rPr>
        <w:t>加强设备的日常维护和保养，制定设备维护计划，明确维护内容、维护周期和责任人，对设备维护情况进行记录并存档，确保设备处于良好的运行状态。</w:t>
      </w:r>
    </w:p>
    <w:p w14:paraId="3954BC3E">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both"/>
        <w:textAlignment w:val="auto"/>
        <w:rPr>
          <w:rFonts w:hint="default" w:ascii="Times New Roman" w:hAnsi="Times New Roman" w:eastAsia="仿宋_GB2312" w:cs="Times New Roman"/>
          <w:kern w:val="2"/>
          <w:sz w:val="32"/>
          <w:szCs w:val="32"/>
          <w:lang w:val="en-US" w:eastAsia="zh-CN"/>
        </w:rPr>
      </w:pPr>
      <w:r>
        <w:rPr>
          <w:rFonts w:hint="default" w:ascii="方正楷体_GB2312" w:hAnsi="方正楷体_GB2312" w:eastAsia="方正楷体_GB2312" w:cs="方正楷体_GB2312"/>
          <w:kern w:val="2"/>
          <w:sz w:val="32"/>
          <w:szCs w:val="32"/>
          <w:lang w:val="en-US" w:eastAsia="zh-CN" w:bidi="ar-SA"/>
        </w:rPr>
        <w:t>（</w:t>
      </w:r>
      <w:r>
        <w:rPr>
          <w:rFonts w:hint="eastAsia" w:ascii="方正楷体_GB2312" w:hAnsi="方正楷体_GB2312" w:eastAsia="方正楷体_GB2312" w:cs="方正楷体_GB2312"/>
          <w:kern w:val="2"/>
          <w:sz w:val="32"/>
          <w:szCs w:val="32"/>
          <w:lang w:val="en-US" w:eastAsia="zh-CN" w:bidi="ar-SA"/>
        </w:rPr>
        <w:t>五</w:t>
      </w:r>
      <w:r>
        <w:rPr>
          <w:rFonts w:hint="default" w:ascii="方正楷体_GB2312" w:hAnsi="方正楷体_GB2312" w:eastAsia="方正楷体_GB2312" w:cs="方正楷体_GB2312"/>
          <w:kern w:val="2"/>
          <w:sz w:val="32"/>
          <w:szCs w:val="32"/>
          <w:lang w:val="en-US" w:eastAsia="zh-CN" w:bidi="ar-SA"/>
        </w:rPr>
        <w:t>）严格固体废物污染防治措施</w:t>
      </w:r>
      <w:r>
        <w:rPr>
          <w:rFonts w:hint="eastAsia" w:ascii="方正楷体_GB2312" w:hAnsi="方正楷体_GB2312" w:eastAsia="方正楷体_GB2312" w:cs="方正楷体_GB2312"/>
          <w:kern w:val="2"/>
          <w:sz w:val="32"/>
          <w:szCs w:val="32"/>
          <w:lang w:val="en-US" w:eastAsia="zh-CN" w:bidi="ar-SA"/>
        </w:rPr>
        <w:t>。</w:t>
      </w:r>
      <w:r>
        <w:rPr>
          <w:rFonts w:hint="default" w:ascii="Times New Roman" w:hAnsi="Times New Roman" w:eastAsia="仿宋_GB2312" w:cs="Times New Roman"/>
          <w:kern w:val="2"/>
          <w:sz w:val="32"/>
          <w:szCs w:val="32"/>
          <w:lang w:val="en-US" w:eastAsia="zh-CN"/>
        </w:rPr>
        <w:t>建立健全固体废物产生、收集、贮存、运输、利用、处置全过程的污染环境防治责任制度，严格按有关技术规范和规定落实各项防范措施，避免二次污染。生活垃圾应分类收集，由环卫部门定期统一清运处理。废包装材料、废布袋等一般固废应集中收集，存放于专门的一般固废暂存区。一般固废暂存区应符合《一般工业固体废物贮存和填埋污染控制标准》（GB18599-2020）要求，做好防雨、防风、防渗漏等措施。定期将废包装材料、废布袋交由废品回收站进行回收利用，建立一般固废转移台账，记录转移时间、接收</w:t>
      </w:r>
      <w:r>
        <w:rPr>
          <w:rFonts w:hint="eastAsia" w:ascii="Times New Roman" w:hAnsi="Times New Roman" w:cs="Times New Roman"/>
          <w:kern w:val="2"/>
          <w:sz w:val="32"/>
          <w:szCs w:val="32"/>
          <w:lang w:val="en-US" w:eastAsia="zh-CN"/>
        </w:rPr>
        <w:t>公司</w:t>
      </w:r>
      <w:r>
        <w:rPr>
          <w:rFonts w:hint="default" w:ascii="Times New Roman" w:hAnsi="Times New Roman" w:eastAsia="仿宋_GB2312" w:cs="Times New Roman"/>
          <w:kern w:val="2"/>
          <w:sz w:val="32"/>
          <w:szCs w:val="32"/>
          <w:lang w:val="en-US" w:eastAsia="zh-CN"/>
        </w:rPr>
        <w:t>、转移数量等信息。木材边角料及不合格品、布袋除尘器收尘应送至热能中心作为锅炉燃料使用。废活性炭、废润滑油、废润滑油桶、废含油棉纱、手套等危险废物应严格按照《危险废物贮存污染控制标准》（GB18597-2023）要求，分类收集、存放于危险废物贮存间。危险废物贮存间应设置明显的危险废物标识标牌，做好防风、防晒、防雨、防渗、防漏、防腐等措施。定期委托有资质的</w:t>
      </w:r>
      <w:r>
        <w:rPr>
          <w:rFonts w:hint="eastAsia" w:ascii="Times New Roman" w:hAnsi="Times New Roman" w:cs="Times New Roman"/>
          <w:kern w:val="2"/>
          <w:sz w:val="32"/>
          <w:szCs w:val="32"/>
          <w:lang w:val="en-US" w:eastAsia="zh-CN"/>
        </w:rPr>
        <w:t>公司</w:t>
      </w:r>
      <w:r>
        <w:rPr>
          <w:rFonts w:hint="default" w:ascii="Times New Roman" w:hAnsi="Times New Roman" w:eastAsia="仿宋_GB2312" w:cs="Times New Roman"/>
          <w:kern w:val="2"/>
          <w:sz w:val="32"/>
          <w:szCs w:val="32"/>
          <w:lang w:val="en-US" w:eastAsia="zh-CN"/>
        </w:rPr>
        <w:t>对危险废物进行处置，严格执行危险废物转移联单制度，详细记录危险废物的产生、收集、贮存、转移、处置等环节的信息，确保危险废物得到妥善处置，防止污染环境。</w:t>
      </w:r>
    </w:p>
    <w:p w14:paraId="54001199">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both"/>
        <w:textAlignment w:val="auto"/>
        <w:rPr>
          <w:rFonts w:hint="default" w:ascii="Times New Roman" w:hAnsi="Times New Roman" w:eastAsia="仿宋_GB2312" w:cs="Times New Roman"/>
          <w:kern w:val="2"/>
          <w:sz w:val="32"/>
          <w:szCs w:val="32"/>
          <w:lang w:val="en-US" w:eastAsia="zh-CN"/>
        </w:rPr>
      </w:pPr>
      <w:r>
        <w:rPr>
          <w:rFonts w:hint="default" w:ascii="方正楷体_GB2312" w:hAnsi="方正楷体_GB2312" w:eastAsia="方正楷体_GB2312" w:cs="方正楷体_GB2312"/>
          <w:kern w:val="2"/>
          <w:sz w:val="32"/>
          <w:szCs w:val="32"/>
          <w:lang w:val="en-US" w:eastAsia="zh-CN" w:bidi="ar-SA"/>
        </w:rPr>
        <w:t>（</w:t>
      </w:r>
      <w:r>
        <w:rPr>
          <w:rFonts w:hint="eastAsia" w:ascii="方正楷体_GB2312" w:hAnsi="方正楷体_GB2312" w:eastAsia="方正楷体_GB2312" w:cs="方正楷体_GB2312"/>
          <w:kern w:val="2"/>
          <w:sz w:val="32"/>
          <w:szCs w:val="32"/>
          <w:lang w:val="en-US" w:eastAsia="zh-CN" w:bidi="ar-SA"/>
        </w:rPr>
        <w:t>六</w:t>
      </w:r>
      <w:r>
        <w:rPr>
          <w:rFonts w:hint="default" w:ascii="方正楷体_GB2312" w:hAnsi="方正楷体_GB2312" w:eastAsia="方正楷体_GB2312" w:cs="方正楷体_GB2312"/>
          <w:kern w:val="2"/>
          <w:sz w:val="32"/>
          <w:szCs w:val="32"/>
          <w:lang w:val="en-US" w:eastAsia="zh-CN" w:bidi="ar-SA"/>
        </w:rPr>
        <w:t>）严格落实地下水、土壤污染防治措施</w:t>
      </w:r>
      <w:r>
        <w:rPr>
          <w:rFonts w:hint="eastAsia" w:ascii="方正楷体_GB2312" w:hAnsi="方正楷体_GB2312" w:eastAsia="方正楷体_GB2312" w:cs="方正楷体_GB2312"/>
          <w:kern w:val="2"/>
          <w:sz w:val="32"/>
          <w:szCs w:val="32"/>
          <w:lang w:val="en-US" w:eastAsia="zh-CN" w:bidi="ar-SA"/>
        </w:rPr>
        <w:t>。</w:t>
      </w:r>
      <w:r>
        <w:rPr>
          <w:rFonts w:hint="default" w:ascii="Times New Roman" w:hAnsi="Times New Roman" w:eastAsia="仿宋_GB2312" w:cs="Times New Roman"/>
          <w:kern w:val="2"/>
          <w:sz w:val="32"/>
          <w:szCs w:val="32"/>
          <w:lang w:val="en-US" w:eastAsia="zh-CN"/>
        </w:rPr>
        <w:t>遵循 “源头控制、分区防控、污染监控、应急响应”原则，按照报告表提出的分区防渗要求，严格落实项目重点防渗区（机修车间1F、润滑油储存间、危废暂存间）、一般防渗区（1#家具车间、2#家具车间等）、简单防渗区分区防渗措施。加强对危险废物贮存间、机修车间等重点区域的日常巡查，对防渗设施进行定期维护和检查，如发现防渗层出现破损、裂缝等情况，应及时进行修复，确保防渗效果。</w:t>
      </w:r>
    </w:p>
    <w:p w14:paraId="60B4CD79">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both"/>
        <w:textAlignment w:val="auto"/>
        <w:rPr>
          <w:rFonts w:hint="default" w:ascii="Times New Roman" w:hAnsi="Times New Roman" w:eastAsia="仿宋_GB2312" w:cs="Times New Roman"/>
          <w:kern w:val="2"/>
          <w:sz w:val="32"/>
          <w:szCs w:val="32"/>
          <w:lang w:val="en-US" w:eastAsia="zh-CN"/>
        </w:rPr>
      </w:pPr>
      <w:r>
        <w:rPr>
          <w:rFonts w:hint="eastAsia" w:ascii="方正楷体_GB2312" w:hAnsi="方正楷体_GB2312" w:eastAsia="方正楷体_GB2312" w:cs="方正楷体_GB2312"/>
          <w:kern w:val="2"/>
          <w:sz w:val="32"/>
          <w:szCs w:val="32"/>
          <w:lang w:val="en-US" w:eastAsia="zh-CN" w:bidi="ar-SA"/>
        </w:rPr>
        <w:t>（七）</w:t>
      </w:r>
      <w:r>
        <w:rPr>
          <w:rFonts w:hint="default" w:ascii="方正楷体_GB2312" w:hAnsi="方正楷体_GB2312" w:eastAsia="方正楷体_GB2312" w:cs="方正楷体_GB2312"/>
          <w:kern w:val="2"/>
          <w:sz w:val="32"/>
          <w:szCs w:val="32"/>
          <w:lang w:val="en-US" w:eastAsia="zh-CN" w:bidi="ar-SA"/>
        </w:rPr>
        <w:t>严格落实环境风险防范措施</w:t>
      </w:r>
      <w:r>
        <w:rPr>
          <w:rFonts w:hint="eastAsia" w:ascii="方正楷体_GB2312" w:hAnsi="方正楷体_GB2312" w:eastAsia="方正楷体_GB2312" w:cs="方正楷体_GB2312"/>
          <w:kern w:val="2"/>
          <w:sz w:val="32"/>
          <w:szCs w:val="32"/>
          <w:lang w:val="en-US" w:eastAsia="zh-CN" w:bidi="ar-SA"/>
        </w:rPr>
        <w:t>。</w:t>
      </w:r>
      <w:r>
        <w:rPr>
          <w:rFonts w:hint="default" w:ascii="Times New Roman" w:hAnsi="Times New Roman" w:eastAsia="仿宋_GB2312" w:cs="Times New Roman"/>
          <w:kern w:val="2"/>
          <w:sz w:val="32"/>
          <w:szCs w:val="32"/>
          <w:lang w:val="en-US" w:eastAsia="zh-CN"/>
        </w:rPr>
        <w:t>制定环境风险应急预案，明确应急组织架构、职责、响应程序和保障措施，储备相应的环境应急物资及装备。建立与政府、园区、相关</w:t>
      </w:r>
      <w:r>
        <w:rPr>
          <w:rFonts w:hint="eastAsia" w:ascii="Times New Roman" w:hAnsi="Times New Roman" w:cs="Times New Roman"/>
          <w:kern w:val="2"/>
          <w:sz w:val="32"/>
          <w:szCs w:val="32"/>
          <w:lang w:val="en-US" w:eastAsia="zh-CN"/>
        </w:rPr>
        <w:t>公司</w:t>
      </w:r>
      <w:r>
        <w:rPr>
          <w:rFonts w:hint="default" w:ascii="Times New Roman" w:hAnsi="Times New Roman" w:eastAsia="仿宋_GB2312" w:cs="Times New Roman"/>
          <w:kern w:val="2"/>
          <w:sz w:val="32"/>
          <w:szCs w:val="32"/>
          <w:lang w:val="en-US" w:eastAsia="zh-CN"/>
        </w:rPr>
        <w:t>间的环境风险联控机制，定期组织培训和演练，不断提高环境风险防控能力，有效防范环境风险，确保环境安全。</w:t>
      </w:r>
    </w:p>
    <w:p w14:paraId="0F5C241A">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both"/>
        <w:textAlignment w:val="auto"/>
        <w:rPr>
          <w:rFonts w:hint="default" w:ascii="Times New Roman" w:hAnsi="Times New Roman" w:eastAsia="仿宋_GB2312" w:cs="Times New Roman"/>
          <w:kern w:val="2"/>
          <w:sz w:val="32"/>
          <w:szCs w:val="32"/>
          <w:lang w:val="en-US" w:eastAsia="zh-CN"/>
        </w:rPr>
      </w:pPr>
      <w:r>
        <w:rPr>
          <w:rFonts w:hint="default" w:ascii="方正楷体_GB2312" w:hAnsi="方正楷体_GB2312" w:eastAsia="方正楷体_GB2312" w:cs="方正楷体_GB2312"/>
          <w:kern w:val="2"/>
          <w:sz w:val="32"/>
          <w:szCs w:val="32"/>
          <w:lang w:val="en-US" w:eastAsia="zh-CN" w:bidi="ar-SA"/>
        </w:rPr>
        <w:t>（</w:t>
      </w:r>
      <w:r>
        <w:rPr>
          <w:rFonts w:hint="eastAsia" w:ascii="方正楷体_GB2312" w:hAnsi="方正楷体_GB2312" w:eastAsia="方正楷体_GB2312" w:cs="方正楷体_GB2312"/>
          <w:kern w:val="2"/>
          <w:sz w:val="32"/>
          <w:szCs w:val="32"/>
          <w:lang w:val="en-US" w:eastAsia="zh-CN" w:bidi="ar-SA"/>
        </w:rPr>
        <w:t>八</w:t>
      </w:r>
      <w:r>
        <w:rPr>
          <w:rFonts w:hint="default" w:ascii="方正楷体_GB2312" w:hAnsi="方正楷体_GB2312" w:eastAsia="方正楷体_GB2312" w:cs="方正楷体_GB2312"/>
          <w:kern w:val="2"/>
          <w:sz w:val="32"/>
          <w:szCs w:val="32"/>
          <w:lang w:val="en-US" w:eastAsia="zh-CN" w:bidi="ar-SA"/>
        </w:rPr>
        <w:t>）严格落实环境管理与监测要求</w:t>
      </w:r>
      <w:r>
        <w:rPr>
          <w:rFonts w:hint="eastAsia" w:ascii="方正楷体_GB2312" w:hAnsi="方正楷体_GB2312" w:eastAsia="方正楷体_GB2312" w:cs="方正楷体_GB2312"/>
          <w:kern w:val="2"/>
          <w:sz w:val="32"/>
          <w:szCs w:val="32"/>
          <w:lang w:val="en-US" w:eastAsia="zh-CN" w:bidi="ar-SA"/>
        </w:rPr>
        <w:t>。</w:t>
      </w:r>
      <w:r>
        <w:rPr>
          <w:rFonts w:hint="default" w:ascii="Times New Roman" w:hAnsi="Times New Roman" w:eastAsia="仿宋_GB2312" w:cs="Times New Roman"/>
          <w:kern w:val="2"/>
          <w:sz w:val="32"/>
          <w:szCs w:val="32"/>
          <w:lang w:val="en-US" w:eastAsia="zh-CN"/>
        </w:rPr>
        <w:t>按照报告表提出的环境管理和监测计划，制定项目污染物排放和周边环境质量自行监测方案，开展相关环境管理和监测工作。做好项目环境信息公开工作，定期向社会公布运行基本情况，公示污染物排放数据，接受公众监督。</w:t>
      </w:r>
    </w:p>
    <w:p w14:paraId="2E248B0B">
      <w:pPr>
        <w:keepNext w:val="0"/>
        <w:keepLines w:val="0"/>
        <w:pageBreakBefore w:val="0"/>
        <w:widowControl w:val="0"/>
        <w:numPr>
          <w:ilvl w:val="0"/>
          <w:numId w:val="0"/>
        </w:numPr>
        <w:kinsoku/>
        <w:overflowPunct/>
        <w:topLinePunct w:val="0"/>
        <w:autoSpaceDE/>
        <w:autoSpaceDN/>
        <w:bidi w:val="0"/>
        <w:spacing w:line="576" w:lineRule="exact"/>
        <w:ind w:firstLine="640" w:firstLineChars="200"/>
        <w:jc w:val="left"/>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kern w:val="2"/>
          <w:sz w:val="32"/>
          <w:szCs w:val="32"/>
          <w:lang w:val="en-US" w:eastAsia="zh-CN"/>
        </w:rPr>
        <w:t>应严格执行环境保护 “三同时” 制度，即环保设施与主体工程同时设计、同时施工、同时投入使用。项目竣工后，应按照国家有关法律法规和标准要求，自行组织开展竣工环境保护验收工作。验收合格后，项目方可正式投入生产或使用。</w:t>
      </w:r>
    </w:p>
    <w:p w14:paraId="6D9A9217">
      <w:pPr>
        <w:keepNext w:val="0"/>
        <w:keepLines w:val="0"/>
        <w:pageBreakBefore w:val="0"/>
        <w:widowControl w:val="0"/>
        <w:numPr>
          <w:ilvl w:val="0"/>
          <w:numId w:val="0"/>
        </w:numPr>
        <w:kinsoku/>
        <w:overflowPunct/>
        <w:topLinePunct w:val="0"/>
        <w:autoSpaceDE/>
        <w:autoSpaceDN/>
        <w:bidi w:val="0"/>
        <w:spacing w:line="576" w:lineRule="exact"/>
        <w:ind w:firstLine="640" w:firstLineChars="200"/>
        <w:jc w:val="left"/>
        <w:textAlignment w:val="auto"/>
        <w:rPr>
          <w:rFonts w:hint="default" w:ascii="黑体" w:hAnsi="黑体" w:eastAsia="黑体" w:cs="黑体"/>
          <w:kern w:val="2"/>
          <w:sz w:val="32"/>
          <w:szCs w:val="32"/>
          <w:lang w:val="en-US" w:eastAsia="zh-CN"/>
        </w:rPr>
      </w:pPr>
      <w:r>
        <w:rPr>
          <w:rFonts w:hint="default" w:ascii="黑体" w:hAnsi="黑体" w:eastAsia="黑体" w:cs="黑体"/>
          <w:kern w:val="2"/>
          <w:sz w:val="32"/>
          <w:szCs w:val="32"/>
          <w:lang w:val="en-US" w:eastAsia="zh-CN"/>
        </w:rPr>
        <w:t>三、项目竣工环境保护验收及其他要求</w:t>
      </w:r>
    </w:p>
    <w:p w14:paraId="064C058B">
      <w:pPr>
        <w:pStyle w:val="2"/>
        <w:keepNext w:val="0"/>
        <w:keepLines w:val="0"/>
        <w:pageBreakBefore w:val="0"/>
        <w:widowControl w:val="0"/>
        <w:kinsoku/>
        <w:overflowPunct/>
        <w:topLinePunct w:val="0"/>
        <w:autoSpaceDE/>
        <w:autoSpaceDN/>
        <w:bidi w:val="0"/>
        <w:spacing w:line="576" w:lineRule="exact"/>
        <w:ind w:firstLine="640" w:firstLineChars="200"/>
        <w:textAlignment w:val="auto"/>
        <w:rPr>
          <w:rFonts w:hint="default" w:ascii="Times New Roman" w:hAnsi="Times New Roman" w:eastAsia="仿宋_GB2312" w:cs="Times New Roman"/>
          <w:kern w:val="2"/>
          <w:sz w:val="32"/>
          <w:szCs w:val="32"/>
          <w:lang w:val="en-US" w:eastAsia="zh-CN" w:bidi="ar-SA"/>
        </w:rPr>
      </w:pPr>
      <w:r>
        <w:rPr>
          <w:rFonts w:hint="default" w:ascii="方正楷体_GB2312" w:hAnsi="方正楷体_GB2312" w:eastAsia="方正楷体_GB2312" w:cs="方正楷体_GB2312"/>
          <w:kern w:val="2"/>
          <w:sz w:val="32"/>
          <w:szCs w:val="32"/>
          <w:lang w:val="en-US" w:eastAsia="zh-CN" w:bidi="ar-SA"/>
        </w:rPr>
        <w:t>（一）</w:t>
      </w:r>
      <w:r>
        <w:rPr>
          <w:rFonts w:hint="default" w:ascii="Times New Roman" w:hAnsi="Times New Roman" w:eastAsia="仿宋_GB2312" w:cs="Times New Roman"/>
          <w:kern w:val="2"/>
          <w:sz w:val="32"/>
          <w:szCs w:val="32"/>
          <w:lang w:val="en-US" w:eastAsia="zh-CN" w:bidi="ar-SA"/>
        </w:rPr>
        <w:t>本项目调试排污前必须依法申领排污许可证，并在调试及投运后按证排污，未取得排污许可证的，不得排放污染物。项目竣工后，你公司作为建设项目竣工环境保护验收责任主体，应当按照规定程序和标准，及时组织对配套建设的环境保护设施进行验收，编制验收报告，公开相关信息，接受社会监督，验收合格后方可投入生产或使用。</w:t>
      </w:r>
    </w:p>
    <w:p w14:paraId="14111796">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both"/>
        <w:textAlignment w:val="auto"/>
        <w:rPr>
          <w:rFonts w:hint="default" w:ascii="Times New Roman" w:hAnsi="Times New Roman" w:eastAsia="仿宋_GB2312" w:cs="Times New Roman"/>
          <w:kern w:val="2"/>
          <w:sz w:val="32"/>
          <w:szCs w:val="32"/>
          <w:lang w:val="en-US" w:eastAsia="zh-CN" w:bidi="ar-SA"/>
        </w:rPr>
      </w:pPr>
      <w:r>
        <w:rPr>
          <w:rFonts w:hint="default" w:ascii="方正楷体_GB2312" w:hAnsi="方正楷体_GB2312" w:eastAsia="方正楷体_GB2312" w:cs="方正楷体_GB2312"/>
          <w:kern w:val="2"/>
          <w:sz w:val="32"/>
          <w:szCs w:val="32"/>
          <w:lang w:val="en-US" w:eastAsia="zh-CN" w:bidi="ar-SA"/>
        </w:rPr>
        <w:t>（二）</w:t>
      </w:r>
      <w:r>
        <w:rPr>
          <w:rFonts w:hint="default" w:ascii="Times New Roman" w:hAnsi="Times New Roman" w:eastAsia="仿宋_GB2312" w:cs="Times New Roman"/>
          <w:kern w:val="2"/>
          <w:sz w:val="32"/>
          <w:szCs w:val="32"/>
          <w:lang w:val="en-US" w:eastAsia="zh-CN" w:bidi="ar-SA"/>
        </w:rPr>
        <w:t>报告表预测核定本项目废气主要排放口的主要污染物排放总量为：挥发性有机废气2.44吨/年。本项目主要污染物排放总量需在排污许可证核发时予以确认。</w:t>
      </w:r>
    </w:p>
    <w:p w14:paraId="718AFE7C">
      <w:pPr>
        <w:keepNext w:val="0"/>
        <w:keepLines w:val="0"/>
        <w:pageBreakBefore w:val="0"/>
        <w:widowControl w:val="0"/>
        <w:kinsoku/>
        <w:overflowPunct/>
        <w:topLinePunct w:val="0"/>
        <w:autoSpaceDE/>
        <w:autoSpaceDN/>
        <w:bidi w:val="0"/>
        <w:adjustRightInd w:val="0"/>
        <w:snapToGrid w:val="0"/>
        <w:spacing w:line="576" w:lineRule="exact"/>
        <w:ind w:firstLine="640" w:firstLineChars="200"/>
        <w:jc w:val="both"/>
        <w:textAlignment w:val="auto"/>
        <w:rPr>
          <w:rFonts w:hint="default" w:ascii="Times New Roman" w:hAnsi="Times New Roman" w:eastAsia="仿宋_GB2312" w:cs="Times New Roman"/>
          <w:kern w:val="2"/>
          <w:sz w:val="32"/>
          <w:szCs w:val="32"/>
          <w:lang w:val="en-US" w:eastAsia="zh-CN" w:bidi="ar-SA"/>
        </w:rPr>
      </w:pPr>
      <w:r>
        <w:rPr>
          <w:rFonts w:hint="eastAsia" w:ascii="方正楷体_GB2312" w:hAnsi="方正楷体_GB2312" w:eastAsia="方正楷体_GB2312" w:cs="方正楷体_GB2312"/>
          <w:kern w:val="2"/>
          <w:sz w:val="32"/>
          <w:szCs w:val="32"/>
          <w:lang w:val="en-US" w:eastAsia="zh-CN" w:bidi="ar-SA"/>
        </w:rPr>
        <w:t>（三）</w:t>
      </w:r>
      <w:r>
        <w:rPr>
          <w:rFonts w:hint="default" w:ascii="Times New Roman" w:hAnsi="Times New Roman" w:eastAsia="仿宋_GB2312" w:cs="Times New Roman"/>
          <w:kern w:val="2"/>
          <w:sz w:val="32"/>
          <w:szCs w:val="32"/>
          <w:lang w:val="en-US" w:eastAsia="zh-CN" w:bidi="ar-SA"/>
        </w:rPr>
        <w:t>项目环境影响评价文件经批准后，如工程的性质、规模、工艺、地点或者防治污染、防止生态破坏的措施发生重大变动的，建设</w:t>
      </w:r>
      <w:r>
        <w:rPr>
          <w:rFonts w:hint="eastAsia" w:ascii="Times New Roman" w:hAnsi="Times New Roman" w:cs="Times New Roman"/>
          <w:kern w:val="2"/>
          <w:sz w:val="32"/>
          <w:szCs w:val="32"/>
          <w:lang w:val="en-US" w:eastAsia="zh-CN" w:bidi="ar-SA"/>
        </w:rPr>
        <w:t>公司</w:t>
      </w:r>
      <w:r>
        <w:rPr>
          <w:rFonts w:hint="default" w:ascii="Times New Roman" w:hAnsi="Times New Roman" w:eastAsia="仿宋_GB2312" w:cs="Times New Roman"/>
          <w:kern w:val="2"/>
          <w:sz w:val="32"/>
          <w:szCs w:val="32"/>
          <w:lang w:val="en-US" w:eastAsia="zh-CN" w:bidi="ar-SA"/>
        </w:rPr>
        <w:t>应当依法重新报批环境影响评价文件，否则不得实施建设。</w:t>
      </w:r>
    </w:p>
    <w:p w14:paraId="537ED12D">
      <w:pPr>
        <w:keepNext w:val="0"/>
        <w:keepLines w:val="0"/>
        <w:pageBreakBefore w:val="0"/>
        <w:widowControl w:val="0"/>
        <w:kinsoku/>
        <w:wordWrap/>
        <w:overflowPunct/>
        <w:topLinePunct w:val="0"/>
        <w:autoSpaceDE/>
        <w:autoSpaceDN/>
        <w:bidi w:val="0"/>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2"/>
          <w:sz w:val="32"/>
          <w:szCs w:val="32"/>
          <w:lang w:val="en-US" w:eastAsia="zh-CN" w:bidi="ar-SA"/>
        </w:rPr>
        <w:t>昭化经开区负责该项目建设及运营期间的环境保护监督管理工作，昭化生态环境保护综合行政执法大队将其纳入“双随机”抽查范围，同时按照《关于进一步完善建设项目环境保护“三同时”及竣工环境保护自主验收监管工作机制的意见》（环执法〔2021〕70号）要求，加强对该工程环境保护“三同时”及自主验收监管。</w:t>
      </w:r>
    </w:p>
    <w:p w14:paraId="21069B1F">
      <w:pPr>
        <w:keepNext w:val="0"/>
        <w:keepLines w:val="0"/>
        <w:pageBreakBefore w:val="0"/>
        <w:widowControl w:val="0"/>
        <w:kinsoku/>
        <w:wordWrap/>
        <w:overflowPunct/>
        <w:topLinePunct w:val="0"/>
        <w:autoSpaceDE/>
        <w:autoSpaceDN/>
        <w:bidi w:val="0"/>
        <w:spacing w:line="576" w:lineRule="exact"/>
        <w:ind w:firstLine="640" w:firstLineChars="200"/>
        <w:jc w:val="left"/>
        <w:textAlignment w:val="auto"/>
        <w:rPr>
          <w:rFonts w:hint="default" w:ascii="Times New Roman" w:hAnsi="Times New Roman" w:eastAsia="仿宋_GB2312" w:cs="Times New Roman"/>
          <w:sz w:val="32"/>
          <w:szCs w:val="32"/>
        </w:rPr>
      </w:pPr>
    </w:p>
    <w:p w14:paraId="6950787D">
      <w:pPr>
        <w:pStyle w:val="8"/>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spacing w:line="576" w:lineRule="exact"/>
        <w:ind w:firstLine="640" w:firstLineChars="200"/>
        <w:jc w:val="left"/>
        <w:textAlignment w:val="auto"/>
        <w:rPr>
          <w:rFonts w:hint="default" w:ascii="Times New Roman" w:hAnsi="Times New Roman" w:eastAsia="仿宋_GB2312" w:cs="Times New Roman"/>
          <w:sz w:val="32"/>
          <w:szCs w:val="32"/>
        </w:rPr>
      </w:pPr>
      <w:bookmarkStart w:id="0" w:name="_GoBack"/>
      <w:bookmarkEnd w:id="0"/>
    </w:p>
    <w:p w14:paraId="4EC02A47">
      <w:pPr>
        <w:keepNext w:val="0"/>
        <w:keepLines w:val="0"/>
        <w:pageBreakBefore w:val="0"/>
        <w:widowControl w:val="0"/>
        <w:kinsoku/>
        <w:wordWrap/>
        <w:overflowPunct/>
        <w:topLinePunct w:val="0"/>
        <w:autoSpaceDE/>
        <w:autoSpaceDN/>
        <w:bidi w:val="0"/>
        <w:spacing w:line="576" w:lineRule="exact"/>
        <w:ind w:firstLine="640" w:firstLineChars="200"/>
        <w:jc w:val="righ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广元市昭化生态环境局</w:t>
      </w:r>
    </w:p>
    <w:p w14:paraId="1F65C657">
      <w:pPr>
        <w:keepNext w:val="0"/>
        <w:keepLines w:val="0"/>
        <w:pageBreakBefore w:val="0"/>
        <w:widowControl w:val="0"/>
        <w:kinsoku/>
        <w:wordWrap w:val="0"/>
        <w:overflowPunct/>
        <w:topLinePunct w:val="0"/>
        <w:autoSpaceDE/>
        <w:autoSpaceDN/>
        <w:bidi w:val="0"/>
        <w:adjustRightInd w:val="0"/>
        <w:snapToGrid w:val="0"/>
        <w:spacing w:line="576" w:lineRule="exact"/>
        <w:ind w:firstLine="640" w:firstLineChars="200"/>
        <w:jc w:val="right"/>
        <w:textAlignment w:val="auto"/>
        <w:rPr>
          <w:rFonts w:hint="default" w:ascii="Times New Roman" w:hAnsi="Times New Roman" w:eastAsia="仿宋_GB2312" w:cs="Times New Roman"/>
          <w:bCs/>
          <w:spacing w:val="0"/>
          <w:kern w:val="0"/>
          <w:sz w:val="32"/>
          <w:szCs w:val="32"/>
          <w:lang w:val="en-US" w:eastAsia="zh-CN"/>
        </w:rPr>
      </w:pPr>
      <w:r>
        <w:rPr>
          <w:rFonts w:hint="default" w:ascii="Times New Roman" w:hAnsi="Times New Roman" w:eastAsia="仿宋_GB2312" w:cs="Times New Roman"/>
          <w:sz w:val="32"/>
          <w:szCs w:val="32"/>
        </w:rPr>
        <w:t xml:space="preserve">                         202</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年</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月</w:t>
      </w:r>
      <w:r>
        <w:rPr>
          <w:rFonts w:hint="eastAsia" w:ascii="Times New Roman" w:hAnsi="Times New Roman" w:cs="Times New Roman"/>
          <w:sz w:val="32"/>
          <w:szCs w:val="32"/>
          <w:lang w:val="en-US" w:eastAsia="zh-CN"/>
        </w:rPr>
        <w:t>8</w:t>
      </w:r>
      <w:r>
        <w:rPr>
          <w:rFonts w:hint="default" w:ascii="Times New Roman" w:hAnsi="Times New Roman" w:eastAsia="仿宋_GB2312" w:cs="Times New Roman"/>
          <w:sz w:val="32"/>
          <w:szCs w:val="32"/>
        </w:rPr>
        <w:t>日</w:t>
      </w:r>
      <w:r>
        <w:rPr>
          <w:rFonts w:hint="eastAsia" w:ascii="Times New Roman" w:hAnsi="Times New Roman"/>
          <w:sz w:val="32"/>
          <w:szCs w:val="32"/>
          <w:lang w:val="en-US" w:eastAsia="zh-CN"/>
        </w:rPr>
        <w:t xml:space="preserve">  </w:t>
      </w:r>
    </w:p>
    <w:p w14:paraId="0E33E42A">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7EA2DE46">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20717FBC">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3944C1F0">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01296087">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57224D55">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1908282C">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46F1DFDE">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232F414D">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5A23DA52">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4F03C299">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55CB4007">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65CF0021">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24225B96">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324C0270">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049AB465">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662E4087">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2BC1A442">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535FEBB0">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26A24C1E">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3986F59D">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57391CB1">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4EAA44CA">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3D35C99C">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01399254">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51E04B05">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4B07159A">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5E212BE9">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3F76D161">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4F14505B">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0D11719D">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481EBF3E">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14C7BD06">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4664218A">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6C2AA1A2">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21B63A9C">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55F477E6">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p>
    <w:p w14:paraId="43C45F79">
      <w:pPr>
        <w:keepNext w:val="0"/>
        <w:keepLines w:val="0"/>
        <w:pageBreakBefore w:val="0"/>
        <w:widowControl w:val="0"/>
        <w:kinsoku/>
        <w:wordWrap/>
        <w:overflowPunct/>
        <w:topLinePunct w:val="0"/>
        <w:autoSpaceDE/>
        <w:autoSpaceDN/>
        <w:bidi w:val="0"/>
        <w:adjustRightInd w:val="0"/>
        <w:snapToGrid w:val="0"/>
        <w:spacing w:line="420" w:lineRule="exact"/>
        <w:ind w:right="0"/>
        <w:jc w:val="both"/>
        <w:textAlignment w:val="auto"/>
        <w:rPr>
          <w:rFonts w:hint="default" w:ascii="Times New Roman" w:hAnsi="Times New Roman" w:cs="Times New Roman"/>
          <w:color w:val="000000"/>
          <w:sz w:val="28"/>
          <w:szCs w:val="28"/>
          <w:lang w:eastAsia="zh-CN"/>
        </w:rPr>
      </w:pPr>
      <w:r>
        <w:rPr>
          <w:rFonts w:hint="default" w:ascii="Times New Roman" w:hAnsi="Times New Roman" w:cs="Times New Roman"/>
          <w:color w:val="000000"/>
          <w:sz w:val="28"/>
          <w:szCs w:val="28"/>
        </w:rPr>
        <mc:AlternateContent>
          <mc:Choice Requires="wps">
            <w:drawing>
              <wp:anchor distT="0" distB="0" distL="114300" distR="114300" simplePos="0" relativeHeight="251661312" behindDoc="1" locked="0" layoutInCell="1" allowOverlap="1">
                <wp:simplePos x="0" y="0"/>
                <wp:positionH relativeFrom="column">
                  <wp:posOffset>0</wp:posOffset>
                </wp:positionH>
                <wp:positionV relativeFrom="paragraph">
                  <wp:posOffset>255270</wp:posOffset>
                </wp:positionV>
                <wp:extent cx="5600700" cy="0"/>
                <wp:effectExtent l="0" t="4445" r="0" b="5080"/>
                <wp:wrapNone/>
                <wp:docPr id="1031" name="直接连接符 1031"/>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000000"/>
                          </a:solidFill>
                          <a:prstDash val="solid"/>
                          <a:round/>
                          <a:headEnd type="none" w="med" len="med"/>
                          <a:tailEnd type="none" w="med" len="med"/>
                        </a:ln>
                        <a:effectLst/>
                      </wps:spPr>
                      <wps:bodyPr/>
                    </wps:wsp>
                  </a:graphicData>
                </a:graphic>
              </wp:anchor>
            </w:drawing>
          </mc:Choice>
          <mc:Fallback>
            <w:pict>
              <v:line id="_x0000_s1026" o:spid="_x0000_s1026" o:spt="20" style="position:absolute;left:0pt;margin-left:0pt;margin-top:20.1pt;height:0pt;width:441pt;z-index:-251655168;mso-width-relative:page;mso-height-relative:page;" filled="f" stroked="t" coordsize="21600,21600" o:gfxdata="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iV4930wAAAAYBAAAPAAAAAAAAAAEAIAAAACIAAABkcnMvZG93bnJldi54bWxQSwEC&#10;FAAUAAAACACHTuJAw2L6xvkBAAD2AwAADgAAAAAAAAABACAAAAAiAQAAZHJzL2Uyb0RvYy54bWxQ&#10;SwUGAAAAAAYABgBZAQAAjQUAAAAA&#10;">
                <v:fill on="f" focussize="0,0"/>
                <v:stroke color="#000000" joinstyle="round"/>
                <v:imagedata o:title=""/>
                <o:lock v:ext="edit" aspectratio="f"/>
              </v:line>
            </w:pict>
          </mc:Fallback>
        </mc:AlternateContent>
      </w:r>
    </w:p>
    <w:p w14:paraId="2AC7E19B">
      <w:pPr>
        <w:keepNext w:val="0"/>
        <w:keepLines w:val="0"/>
        <w:pageBreakBefore w:val="0"/>
        <w:widowControl w:val="0"/>
        <w:kinsoku/>
        <w:wordWrap/>
        <w:overflowPunct/>
        <w:topLinePunct w:val="0"/>
        <w:autoSpaceDE/>
        <w:autoSpaceDN/>
        <w:bidi w:val="0"/>
        <w:adjustRightInd w:val="0"/>
        <w:snapToGrid w:val="0"/>
        <w:spacing w:line="420" w:lineRule="exact"/>
        <w:ind w:right="0"/>
        <w:jc w:val="center"/>
        <w:textAlignment w:val="auto"/>
        <w:rPr>
          <w:rFonts w:hint="default" w:ascii="Times New Roman" w:hAnsi="Times New Roman" w:eastAsia="仿宋_GB2312" w:cs="Times New Roman"/>
          <w:color w:val="000000"/>
          <w:sz w:val="28"/>
          <w:szCs w:val="28"/>
          <w:lang w:eastAsia="zh-CN"/>
        </w:rPr>
      </w:pPr>
      <w:r>
        <w:rPr>
          <w:rFonts w:hint="eastAsia" w:ascii="Times New Roman" w:hAnsi="Times New Roman" w:eastAsia="仿宋_GB2312" w:cs="Times New Roman"/>
          <w:color w:val="000000"/>
          <w:sz w:val="28"/>
          <w:szCs w:val="28"/>
          <w:lang w:val="en-US" w:eastAsia="zh-CN"/>
        </w:rPr>
        <w:t xml:space="preserve"> </w:t>
      </w:r>
      <w:r>
        <w:rPr>
          <w:rFonts w:hint="default" w:ascii="Times New Roman" w:hAnsi="Times New Roman" w:eastAsia="仿宋_GB2312" w:cs="Times New Roman"/>
          <w:color w:val="000000"/>
          <w:sz w:val="28"/>
          <w:szCs w:val="28"/>
          <w:lang w:eastAsia="zh-CN"/>
        </w:rPr>
        <w:t xml:space="preserve">广元市昭化生态环境局办公室 </w:t>
      </w:r>
      <w:r>
        <w:rPr>
          <w:rFonts w:hint="default" w:ascii="Times New Roman" w:hAnsi="Times New Roman" w:eastAsia="仿宋_GB2312" w:cs="Times New Roman"/>
          <w:color w:val="000000"/>
          <w:sz w:val="28"/>
          <w:szCs w:val="28"/>
          <w:lang w:val="en-US" w:eastAsia="zh-CN"/>
        </w:rPr>
        <w:t xml:space="preserve">   </w:t>
      </w:r>
      <w:r>
        <w:rPr>
          <w:rFonts w:hint="eastAsia" w:ascii="Times New Roman" w:hAnsi="Times New Roman" w:eastAsia="仿宋_GB2312" w:cs="Times New Roman"/>
          <w:color w:val="000000"/>
          <w:sz w:val="28"/>
          <w:szCs w:val="28"/>
          <w:lang w:val="en-US" w:eastAsia="zh-CN"/>
        </w:rPr>
        <w:t xml:space="preserve">       </w:t>
      </w:r>
      <w:r>
        <w:rPr>
          <w:rFonts w:hint="default" w:ascii="Times New Roman" w:hAnsi="Times New Roman" w:eastAsia="仿宋_GB2312" w:cs="Times New Roman"/>
          <w:color w:val="000000"/>
          <w:sz w:val="28"/>
          <w:szCs w:val="28"/>
          <w:lang w:val="en-US" w:eastAsia="zh-CN"/>
        </w:rPr>
        <w:t xml:space="preserve"> </w:t>
      </w:r>
      <w:r>
        <w:rPr>
          <w:rFonts w:hint="default" w:ascii="Times New Roman" w:hAnsi="Times New Roman" w:eastAsia="仿宋_GB2312" w:cs="Times New Roman"/>
          <w:color w:val="000000"/>
          <w:sz w:val="28"/>
          <w:szCs w:val="28"/>
          <w:lang w:eastAsia="zh-CN"/>
        </w:rPr>
        <w:t xml:space="preserve">    202</w:t>
      </w:r>
      <w:r>
        <w:rPr>
          <w:rFonts w:hint="default" w:ascii="Times New Roman" w:hAnsi="Times New Roman" w:eastAsia="仿宋_GB2312" w:cs="Times New Roman"/>
          <w:color w:val="000000"/>
          <w:sz w:val="28"/>
          <w:szCs w:val="28"/>
          <w:lang w:val="en-US" w:eastAsia="zh-CN"/>
        </w:rPr>
        <w:t>5</w:t>
      </w:r>
      <w:r>
        <w:rPr>
          <w:rFonts w:hint="default" w:ascii="Times New Roman" w:hAnsi="Times New Roman" w:eastAsia="仿宋_GB2312" w:cs="Times New Roman"/>
          <w:color w:val="000000"/>
          <w:sz w:val="28"/>
          <w:szCs w:val="28"/>
          <w:lang w:eastAsia="zh-CN"/>
        </w:rPr>
        <w:t>年</w:t>
      </w:r>
      <w:r>
        <w:rPr>
          <w:rFonts w:hint="eastAsia" w:ascii="Times New Roman" w:hAnsi="Times New Roman" w:cs="Times New Roman"/>
          <w:color w:val="000000"/>
          <w:sz w:val="28"/>
          <w:szCs w:val="28"/>
          <w:lang w:val="en-US" w:eastAsia="zh-CN"/>
        </w:rPr>
        <w:t>4</w:t>
      </w:r>
      <w:r>
        <w:rPr>
          <w:rFonts w:hint="default" w:ascii="Times New Roman" w:hAnsi="Times New Roman" w:eastAsia="仿宋_GB2312" w:cs="Times New Roman"/>
          <w:color w:val="000000"/>
          <w:sz w:val="28"/>
          <w:szCs w:val="28"/>
          <w:lang w:eastAsia="zh-CN"/>
        </w:rPr>
        <w:t>月</w:t>
      </w:r>
      <w:r>
        <w:rPr>
          <w:rFonts w:hint="eastAsia" w:ascii="Times New Roman" w:hAnsi="Times New Roman" w:cs="Times New Roman"/>
          <w:color w:val="000000"/>
          <w:sz w:val="28"/>
          <w:szCs w:val="28"/>
          <w:lang w:val="en-US" w:eastAsia="zh-CN"/>
        </w:rPr>
        <w:t>8</w:t>
      </w:r>
      <w:r>
        <w:rPr>
          <w:rFonts w:hint="default" w:ascii="Times New Roman" w:hAnsi="Times New Roman" w:eastAsia="仿宋_GB2312" w:cs="Times New Roman"/>
          <w:color w:val="000000"/>
          <w:sz w:val="28"/>
          <w:szCs w:val="28"/>
          <w:lang w:eastAsia="zh-CN"/>
        </w:rPr>
        <w:t>日 印</w:t>
      </w:r>
    </w:p>
    <w:p w14:paraId="7C3C4A39">
      <w:pPr>
        <w:keepNext w:val="0"/>
        <w:keepLines w:val="0"/>
        <w:pageBreakBefore w:val="0"/>
        <w:widowControl w:val="0"/>
        <w:kinsoku/>
        <w:wordWrap/>
        <w:overflowPunct/>
        <w:topLinePunct w:val="0"/>
        <w:autoSpaceDE/>
        <w:autoSpaceDN/>
        <w:bidi w:val="0"/>
        <w:spacing w:line="420" w:lineRule="exact"/>
        <w:ind w:right="0" w:firstLine="560" w:firstLineChars="200"/>
        <w:textAlignment w:val="auto"/>
        <w:rPr>
          <w:rFonts w:hint="default" w:asciiTheme="minorHAnsi" w:hAnsiTheme="minorHAnsi" w:eastAsiaTheme="minorEastAsia" w:cstheme="minorBidi"/>
          <w:kern w:val="2"/>
          <w:sz w:val="21"/>
          <w:szCs w:val="22"/>
          <w:lang w:val="en-US" w:eastAsia="zh-CN" w:bidi="ar-SA"/>
        </w:rPr>
      </w:pPr>
      <w:r>
        <w:rPr>
          <w:rFonts w:hint="default" w:ascii="Times New Roman" w:hAnsi="Times New Roman" w:cs="Times New Roman"/>
          <w:color w:val="000000"/>
          <w:sz w:val="28"/>
          <w:szCs w:val="28"/>
        </w:rPr>
        <mc:AlternateContent>
          <mc:Choice Requires="wps">
            <w:drawing>
              <wp:anchor distT="0" distB="0" distL="114300" distR="114300" simplePos="0" relativeHeight="251660288" behindDoc="1" locked="0" layoutInCell="1" allowOverlap="1">
                <wp:simplePos x="0" y="0"/>
                <wp:positionH relativeFrom="column">
                  <wp:posOffset>0</wp:posOffset>
                </wp:positionH>
                <wp:positionV relativeFrom="paragraph">
                  <wp:posOffset>74295</wp:posOffset>
                </wp:positionV>
                <wp:extent cx="5600700" cy="0"/>
                <wp:effectExtent l="0" t="4445" r="0" b="5080"/>
                <wp:wrapNone/>
                <wp:docPr id="1032" name="直接连接符 103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000000"/>
                          </a:solidFill>
                          <a:prstDash val="solid"/>
                          <a:round/>
                          <a:headEnd type="none" w="med" len="med"/>
                          <a:tailEnd type="none" w="med" len="med"/>
                        </a:ln>
                        <a:effectLst/>
                      </wps:spPr>
                      <wps:bodyPr/>
                    </wps:wsp>
                  </a:graphicData>
                </a:graphic>
              </wp:anchor>
            </w:drawing>
          </mc:Choice>
          <mc:Fallback>
            <w:pict>
              <v:line id="_x0000_s1026" o:spid="_x0000_s1026" o:spt="20" style="position:absolute;left:0pt;margin-left:0pt;margin-top:5.85pt;height:0pt;width:441pt;z-index:-251656192;mso-width-relative:page;mso-height-relative:page;" filled="f" stroked="t" coordsize="21600,21600" o:gfxdata="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I/9qVrSAAAABgEAAA8AAAAAAAAAAQAgAAAAIgAAAGRycy9kb3ducmV2LnhtbFBLAQIU&#10;ABQAAAAIAIdO4kC63Z1X+QEAAPYDAAAOAAAAAAAAAAEAIAAAACEBAABkcnMvZTJvRG9jLnhtbFBL&#10;BQYAAAAABgAGAFkBAACMBQAAAAA=&#10;">
                <v:fill on="f" focussize="0,0"/>
                <v:stroke color="#000000" joinstyle="round"/>
                <v:imagedata o:title=""/>
                <o:lock v:ext="edit" aspectratio="f"/>
              </v:line>
            </w:pict>
          </mc:Fallback>
        </mc:AlternateContent>
      </w:r>
      <w:r>
        <w:rPr>
          <w:rFonts w:hint="default" w:ascii="Times New Roman" w:hAnsi="Times New Roman" w:eastAsia="黑体" w:cs="Times New Roman"/>
          <w:sz w:val="44"/>
          <w:szCs w:val="44"/>
        </w:rPr>
        <w:t xml:space="preserve">    </w:t>
      </w:r>
    </w:p>
    <w:sectPr>
      <w:footerReference r:id="rId5" w:type="default"/>
      <w:pgSz w:w="11906" w:h="16838"/>
      <w:pgMar w:top="2098" w:right="1474" w:bottom="1984" w:left="1587" w:header="851" w:footer="1559"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script"/>
    <w:pitch w:val="default"/>
    <w:sig w:usb0="00000001" w:usb1="080E0000" w:usb2="00000000" w:usb3="00000000" w:csb0="00040000" w:csb1="00000000"/>
  </w:font>
  <w:font w:name="方正楷体_GB2312">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E89629">
    <w:pPr>
      <w:pStyle w:val="7"/>
      <w:tabs>
        <w:tab w:val="left" w:pos="7695"/>
        <w:tab w:val="clear" w:pos="4153"/>
      </w:tabs>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0B0981">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450B0981">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r>
      <w:rPr>
        <w:rFonts w:hint="eastAsia"/>
        <w:lang w:eastAsia="zh-CN"/>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k1NmVjYjQwN2M1Mzc1Y2IzZmE2MWZhZmUxMWFjMjQifQ=="/>
  </w:docVars>
  <w:rsids>
    <w:rsidRoot w:val="00000000"/>
    <w:rsid w:val="01B40E0C"/>
    <w:rsid w:val="055827F1"/>
    <w:rsid w:val="086223E6"/>
    <w:rsid w:val="098B3F8E"/>
    <w:rsid w:val="0A2212BB"/>
    <w:rsid w:val="0A932835"/>
    <w:rsid w:val="0DE21F4E"/>
    <w:rsid w:val="0DFC0C8A"/>
    <w:rsid w:val="0F0846CA"/>
    <w:rsid w:val="0F6949B3"/>
    <w:rsid w:val="11AB0C44"/>
    <w:rsid w:val="12AE5347"/>
    <w:rsid w:val="22B91715"/>
    <w:rsid w:val="23D42CAA"/>
    <w:rsid w:val="28377363"/>
    <w:rsid w:val="28D17E71"/>
    <w:rsid w:val="292C49EE"/>
    <w:rsid w:val="2E082011"/>
    <w:rsid w:val="30913CD1"/>
    <w:rsid w:val="31E25969"/>
    <w:rsid w:val="39E8238A"/>
    <w:rsid w:val="40D4008C"/>
    <w:rsid w:val="42162288"/>
    <w:rsid w:val="42B06D43"/>
    <w:rsid w:val="43BF235B"/>
    <w:rsid w:val="47D8176D"/>
    <w:rsid w:val="4B8323A0"/>
    <w:rsid w:val="4CA02E7A"/>
    <w:rsid w:val="4DEB3C84"/>
    <w:rsid w:val="52C141FE"/>
    <w:rsid w:val="5ACC6005"/>
    <w:rsid w:val="5B371B91"/>
    <w:rsid w:val="5BD448EE"/>
    <w:rsid w:val="5F5A6994"/>
    <w:rsid w:val="62FF4D34"/>
    <w:rsid w:val="660D4C01"/>
    <w:rsid w:val="6A2C68A1"/>
    <w:rsid w:val="6B2C35A2"/>
    <w:rsid w:val="6B8472DD"/>
    <w:rsid w:val="793C47B8"/>
    <w:rsid w:val="7A32659D"/>
    <w:rsid w:val="7A9A002A"/>
    <w:rsid w:val="7C6879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576" w:lineRule="exact"/>
    </w:pPr>
    <w:rPr>
      <w:rFonts w:ascii="等线" w:hAnsi="等线" w:eastAsia="仿宋_GB2312" w:cs="等线"/>
      <w:sz w:val="32"/>
      <w:szCs w:val="22"/>
      <w:lang w:val="en-US" w:eastAsia="en-US" w:bidi="ar-SA"/>
    </w:rPr>
  </w:style>
  <w:style w:type="paragraph" w:styleId="3">
    <w:name w:val="heading 1"/>
    <w:basedOn w:val="1"/>
    <w:next w:val="1"/>
    <w:qFormat/>
    <w:uiPriority w:val="0"/>
    <w:pPr>
      <w:keepNext/>
      <w:keepLines/>
      <w:spacing w:before="340" w:beforeLines="0" w:beforeAutospacing="0" w:after="330" w:afterLines="0" w:afterAutospacing="0" w:line="240" w:lineRule="auto"/>
      <w:jc w:val="center"/>
      <w:outlineLvl w:val="0"/>
    </w:pPr>
    <w:rPr>
      <w:rFonts w:eastAsia="宋体"/>
      <w:b/>
      <w:kern w:val="44"/>
      <w:sz w:val="44"/>
    </w:rPr>
  </w:style>
  <w:style w:type="character" w:default="1" w:styleId="11">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Body Text Indent 2"/>
    <w:basedOn w:val="1"/>
    <w:autoRedefine/>
    <w:qFormat/>
    <w:uiPriority w:val="0"/>
    <w:pPr>
      <w:ind w:firstLine="555"/>
    </w:pPr>
    <w:rPr>
      <w:rFonts w:eastAsia="仿宋_GB2312"/>
      <w:sz w:val="28"/>
    </w:rPr>
  </w:style>
  <w:style w:type="paragraph" w:styleId="4">
    <w:name w:val="Body Text"/>
    <w:basedOn w:val="1"/>
    <w:next w:val="5"/>
    <w:autoRedefine/>
    <w:qFormat/>
    <w:uiPriority w:val="0"/>
    <w:pPr>
      <w:widowControl/>
      <w:spacing w:line="360" w:lineRule="auto"/>
    </w:pPr>
    <w:rPr>
      <w:color w:val="FF0000"/>
    </w:rPr>
  </w:style>
  <w:style w:type="paragraph" w:styleId="5">
    <w:name w:val="Body Text First Indent"/>
    <w:basedOn w:val="4"/>
    <w:next w:val="1"/>
    <w:qFormat/>
    <w:uiPriority w:val="0"/>
    <w:pPr>
      <w:widowControl w:val="0"/>
      <w:snapToGrid/>
      <w:spacing w:before="0" w:after="120" w:line="240" w:lineRule="auto"/>
      <w:ind w:right="0" w:firstLine="420" w:firstLineChars="100"/>
    </w:pPr>
    <w:rPr>
      <w:kern w:val="2"/>
      <w:sz w:val="21"/>
    </w:rPr>
  </w:style>
  <w:style w:type="paragraph" w:styleId="6">
    <w:name w:val="Plain Text"/>
    <w:basedOn w:val="1"/>
    <w:autoRedefine/>
    <w:qFormat/>
    <w:uiPriority w:val="0"/>
    <w:rPr>
      <w:rFonts w:ascii="宋体" w:hAnsi="Courier New" w:cs="Times New Roman"/>
      <w:szCs w:val="22"/>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header"/>
    <w:basedOn w:val="1"/>
    <w:next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customStyle="1" w:styleId="12">
    <w:name w:val="段"/>
    <w:autoRedefine/>
    <w:qFormat/>
    <w:uiPriority w:val="0"/>
    <w:pPr>
      <w:autoSpaceDE w:val="0"/>
      <w:autoSpaceDN w:val="0"/>
      <w:spacing w:line="360" w:lineRule="auto"/>
      <w:ind w:firstLine="200" w:firstLineChars="200"/>
      <w:jc w:val="both"/>
    </w:pPr>
    <w:rPr>
      <w:rFonts w:ascii="宋体" w:hAnsi="Times New Roman" w:eastAsia="宋体" w:cs="Times New Roman"/>
      <w:sz w:val="21"/>
      <w:lang w:val="en-US" w:eastAsia="zh-CN" w:bidi="ar-SA"/>
    </w:rPr>
  </w:style>
  <w:style w:type="paragraph" w:customStyle="1" w:styleId="13">
    <w:name w:val="Default"/>
    <w:autoRedefine/>
    <w:qFormat/>
    <w:uiPriority w:val="0"/>
    <w:pPr>
      <w:widowControl w:val="0"/>
      <w:autoSpaceDE w:val="0"/>
      <w:autoSpaceDN w:val="0"/>
      <w:adjustRightInd w:val="0"/>
      <w:spacing w:line="440" w:lineRule="exact"/>
      <w:jc w:val="both"/>
    </w:pPr>
    <w:rPr>
      <w:rFonts w:ascii="华文中宋" w:hAnsi="Times New Roman" w:eastAsia="华文中宋" w:cs="华文中宋"/>
      <w:color w:val="000000"/>
      <w:sz w:val="24"/>
      <w:szCs w:val="24"/>
      <w:lang w:val="en-US" w:eastAsia="zh-CN" w:bidi="ar-SA"/>
    </w:rPr>
  </w:style>
  <w:style w:type="paragraph" w:styleId="14">
    <w:name w:val="List Paragraph"/>
    <w:basedOn w:val="1"/>
    <w:autoRedefine/>
    <w:qFormat/>
    <w:uiPriority w:val="99"/>
    <w:pPr>
      <w:spacing w:line="360" w:lineRule="auto"/>
      <w:ind w:firstLine="420" w:firstLineChars="200"/>
    </w:pPr>
    <w:rPr>
      <w:rFonts w:cs="宋体"/>
      <w:color w:val="000000"/>
      <w:sz w:val="24"/>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3209</Words>
  <Characters>3398</Characters>
  <Lines>0</Lines>
  <Paragraphs>0</Paragraphs>
  <TotalTime>6</TotalTime>
  <ScaleCrop>false</ScaleCrop>
  <LinksUpToDate>false</LinksUpToDate>
  <CharactersWithSpaces>3466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yjl</dc:creator>
  <cp:lastModifiedBy>石桐</cp:lastModifiedBy>
  <cp:lastPrinted>2025-04-07T08:39:46Z</cp:lastPrinted>
  <dcterms:modified xsi:type="dcterms:W3CDTF">2025-04-07T08:39:55Z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2D3BBDB86DC7463D9159B42BC0E80746_13</vt:lpwstr>
  </property>
  <property fmtid="{D5CDD505-2E9C-101B-9397-08002B2CF9AE}" pid="4" name="KSOTemplateDocerSaveRecord">
    <vt:lpwstr>eyJoZGlkIjoiMTk4MGViNDY3YThkZGMyOTgxMjJlZjZlNjdiMWMxZGEiLCJ1c2VySWQiOiIyNjUzOTIwOTkifQ==</vt:lpwstr>
  </property>
</Properties>
</file>