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textAlignment w:val="auto"/>
        <w:rPr>
          <w:rFonts w:hint="eastAsia" w:ascii="黑体" w:hAnsi="黑体" w:eastAsia="黑体" w:cs="黑体"/>
          <w:bCs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bookmarkStart w:id="1" w:name="_GoBack"/>
      <w:bookmarkEnd w:id="1"/>
      <w:r>
        <w:rPr>
          <w:rFonts w:hint="eastAsia" w:ascii="黑体" w:hAnsi="黑体" w:eastAsia="黑体" w:cs="黑体"/>
          <w:bCs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附件</w:t>
      </w:r>
      <w:r>
        <w:rPr>
          <w:rFonts w:hint="eastAsia" w:ascii="黑体" w:hAnsi="黑体" w:eastAsia="黑体" w:cs="黑体"/>
          <w:bCs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76" w:lineRule="exact"/>
        <w:jc w:val="center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  <w:vertAlign w:val="baseline"/>
          <w:lang w:val="en-US" w:eastAsia="zh-CN"/>
        </w:rPr>
      </w:pPr>
      <w:bookmarkStart w:id="0" w:name="OLE_LINK1"/>
      <w:r>
        <w:rPr>
          <w:rFonts w:hint="eastAsia" w:ascii="方正小标宋简体" w:hAnsi="方正小标宋简体" w:eastAsia="方正小标宋简体" w:cs="方正小标宋简体"/>
          <w:bCs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  <w:t>广元市昭化区关于</w:t>
      </w:r>
      <w:r>
        <w:rPr>
          <w:rFonts w:hint="eastAsia" w:ascii="方正小标宋简体" w:hAnsi="方正小标宋简体" w:eastAsia="方正小标宋简体" w:cs="方正小标宋简体"/>
          <w:bCs/>
          <w:color w:val="auto"/>
          <w:sz w:val="44"/>
          <w:szCs w:val="44"/>
        </w:rPr>
        <w:t>促进“王家贡米”产业持续稳健发展的十条措施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vertAlign w:val="baseline"/>
          <w:lang w:val="en-US" w:eastAsia="zh-CN"/>
        </w:rPr>
        <w:t xml:space="preserve"> 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76" w:lineRule="exact"/>
        <w:jc w:val="center"/>
        <w:textAlignment w:val="auto"/>
        <w:rPr>
          <w:rFonts w:hint="default" w:ascii="仿宋_GB2312" w:hAnsi="仿宋_GB2312" w:eastAsia="仿宋_GB2312" w:cs="仿宋_GB2312"/>
          <w:color w:val="auto"/>
          <w:sz w:val="32"/>
          <w:szCs w:val="32"/>
          <w:vertAlign w:val="baseline"/>
          <w:lang w:val="en-US" w:eastAsia="zh-CN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</w:rPr>
        <w:t>为持续擦亮“王家贡米”金字招牌，加快实现“生产+加工+品牌+科技+服务”全链融合高质量发展，推动建成新时代更高水平“天府粮仓”山区样板，特制定如下措施。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43" w:firstLineChars="200"/>
        <w:textAlignment w:val="auto"/>
        <w:rPr>
          <w:rFonts w:hint="eastAsia" w:ascii="仿宋_GB2312" w:hAnsi="仿宋_GB2312" w:eastAsia="仿宋_GB2312" w:cs="仿宋_GB2312"/>
          <w:bCs/>
          <w:color w:val="auto"/>
          <w:sz w:val="32"/>
          <w:szCs w:val="32"/>
        </w:rPr>
      </w:pPr>
      <w:r>
        <w:rPr>
          <w:rFonts w:hint="eastAsia" w:ascii="楷体_GB2312" w:hAnsi="楷体_GB2312" w:eastAsia="楷体_GB2312" w:cs="楷体_GB2312"/>
          <w:b/>
          <w:bCs/>
          <w:color w:val="auto"/>
          <w:sz w:val="32"/>
          <w:szCs w:val="32"/>
        </w:rPr>
        <w:t>一、加快建</w:t>
      </w:r>
      <w:r>
        <w:rPr>
          <w:rFonts w:hint="eastAsia" w:ascii="楷体_GB2312" w:hAnsi="楷体_GB2312" w:eastAsia="楷体_GB2312" w:cs="楷体_GB2312"/>
          <w:b/>
          <w:bCs/>
          <w:color w:val="auto"/>
          <w:sz w:val="32"/>
          <w:szCs w:val="32"/>
          <w:lang w:val="en-US" w:eastAsia="zh-CN"/>
        </w:rPr>
        <w:t>设</w:t>
      </w:r>
      <w:r>
        <w:rPr>
          <w:rFonts w:hint="eastAsia" w:ascii="楷体_GB2312" w:hAnsi="楷体_GB2312" w:eastAsia="楷体_GB2312" w:cs="楷体_GB2312"/>
          <w:b/>
          <w:bCs/>
          <w:color w:val="auto"/>
          <w:sz w:val="32"/>
          <w:szCs w:val="32"/>
        </w:rPr>
        <w:t>“王家贡米”产业</w:t>
      </w:r>
      <w:r>
        <w:rPr>
          <w:rFonts w:hint="eastAsia" w:ascii="楷体_GB2312" w:hAnsi="楷体_GB2312" w:eastAsia="楷体_GB2312" w:cs="楷体_GB2312"/>
          <w:b/>
          <w:bCs/>
          <w:color w:val="auto"/>
          <w:sz w:val="32"/>
          <w:szCs w:val="32"/>
          <w:lang w:val="en-US" w:eastAsia="zh-CN"/>
        </w:rPr>
        <w:t>基地</w:t>
      </w:r>
      <w:r>
        <w:rPr>
          <w:rFonts w:hint="eastAsia" w:ascii="楷体_GB2312" w:hAnsi="楷体_GB2312" w:eastAsia="楷体_GB2312" w:cs="楷体_GB2312"/>
          <w:b/>
          <w:bCs/>
          <w:color w:val="auto"/>
          <w:sz w:val="32"/>
          <w:szCs w:val="32"/>
        </w:rPr>
        <w:t>。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</w:rPr>
        <w:t>坚持以现代农业园区为主要载体，统筹整合农业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lang w:eastAsia="zh-CN"/>
        </w:rPr>
        <w:t>农村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</w:rPr>
        <w:t>、水利、交通等涉农资金，集中资源要素支持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lang w:eastAsia="zh-CN"/>
        </w:rPr>
        <w:t>“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</w:rPr>
        <w:t>王家贡米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lang w:eastAsia="zh-CN"/>
        </w:rPr>
        <w:t>”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lang w:val="en-US" w:eastAsia="zh-CN"/>
        </w:rPr>
        <w:t>产业基地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</w:rPr>
        <w:t>高标准农田、水利设施、综合农事服务中心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lang w:eastAsia="zh-CN"/>
        </w:rPr>
        <w:t>、仓储加工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</w:rPr>
        <w:t>等重点项目建设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lang w:eastAsia="zh-CN"/>
        </w:rPr>
        <w:t>。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lang w:val="en-US" w:eastAsia="zh-CN"/>
        </w:rPr>
        <w:t>到2025年，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lang w:eastAsia="zh-CN"/>
        </w:rPr>
        <w:t>“王家贡米”种植基地规模突破</w:t>
      </w:r>
      <w:r>
        <w:rPr>
          <w:rFonts w:hint="eastAsia" w:ascii="仿宋_GB2312" w:hAnsi="仿宋_GB2312" w:eastAsia="仿宋_GB2312" w:cs="仿宋_GB2312"/>
          <w:b w:val="0"/>
          <w:bCs/>
          <w:color w:val="auto"/>
          <w:sz w:val="32"/>
          <w:szCs w:val="32"/>
          <w:lang w:val="en-US" w:eastAsia="zh-CN"/>
        </w:rPr>
        <w:t>5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lang w:val="en-US" w:eastAsia="zh-CN"/>
        </w:rPr>
        <w:t>万亩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</w:rPr>
        <w:t>。强力推进“王家贡米”省五星级农业园区创建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lang w:eastAsia="zh-CN"/>
        </w:rPr>
        <w:t>，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lang w:val="en-US" w:eastAsia="zh-CN"/>
        </w:rPr>
        <w:t>积极争创国家现代农业示范区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43" w:firstLineChars="200"/>
        <w:textAlignment w:val="auto"/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b/>
          <w:bCs/>
          <w:color w:val="auto"/>
          <w:sz w:val="32"/>
          <w:szCs w:val="32"/>
        </w:rPr>
        <w:t>二、大力扶持培育种粮主体。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</w:rPr>
        <w:t>积极支持引导专合社、家庭农场、种粮大户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lang w:eastAsia="zh-CN"/>
        </w:rPr>
        <w:t>和小农户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</w:rPr>
        <w:t>等各类主体适度规模种植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lang w:val="en-US" w:eastAsia="zh-CN"/>
        </w:rPr>
        <w:t>“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</w:rPr>
        <w:t>王家贡米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lang w:val="en-US" w:eastAsia="zh-CN"/>
        </w:rPr>
        <w:t>”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lang w:eastAsia="zh-CN"/>
        </w:rPr>
        <w:t>，对“王家贡米”种植主体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lang w:val="en-US" w:eastAsia="zh-CN"/>
        </w:rPr>
        <w:t>给予良种推广现金或实物补助；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lang w:eastAsia="zh-CN"/>
        </w:rPr>
        <w:t>对新认定的省级以上农民专合社示范社、示范家庭农场分别按照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lang w:val="en-US" w:eastAsia="zh-CN"/>
        </w:rPr>
        <w:t>2万元/个、1万元/个的标准予以奖励，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lang w:eastAsia="zh-CN"/>
        </w:rPr>
        <w:t>对新获评“天府粮仓”先进集体、先进个人及四川“粮王”等省级以上粮食生产荣誉的“王家贡米”规模种植主体按照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lang w:val="en-US" w:eastAsia="zh-CN"/>
        </w:rPr>
        <w:t>1万元/个标准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lang w:eastAsia="zh-CN"/>
        </w:rPr>
        <w:t>予以奖励。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43" w:firstLineChars="200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楷体_GB2312" w:hAnsi="楷体_GB2312" w:eastAsia="楷体_GB2312" w:cs="楷体_GB2312"/>
          <w:b/>
          <w:bCs/>
          <w:color w:val="auto"/>
          <w:sz w:val="32"/>
          <w:szCs w:val="32"/>
        </w:rPr>
        <w:t>三、全面提升农机装备水平。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lang w:eastAsia="zh-CN"/>
        </w:rPr>
        <w:t>严格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</w:rPr>
        <w:t>兑现农机购置补贴政策，鼓励购置植保无人机、无人驾驶插秧机、联合收割机等高效智能农</w:t>
      </w:r>
      <w:r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lang w:val="en-US" w:eastAsia="zh-CN" w:bidi="ar-SA"/>
        </w:rPr>
        <w:t>机具。对单价8万元以上的“王家贡米”耕、种、防、收农机具，并参与社会化服务的，在依规定落实农机购置补贴基础上，区政府按实际购置款的5%予以累加补助，单机补助金额最高不超过1万元。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</w:rPr>
        <w:t>支持村集体利用财政项目资金购置农机具形成固定资产，积极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lang w:eastAsia="zh-CN"/>
        </w:rPr>
        <w:t>吸纳农户带机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</w:rPr>
        <w:t>入股企社；加强农机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lang w:val="en-US" w:eastAsia="zh-CN"/>
        </w:rPr>
        <w:t>和无人机操作员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</w:rPr>
        <w:t>职业技能培训，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lang w:eastAsia="zh-CN"/>
        </w:rPr>
        <w:t>对获得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</w:rPr>
        <w:t>农机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lang w:val="en-US" w:eastAsia="zh-CN"/>
        </w:rPr>
        <w:t>和无人机操作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lang w:eastAsia="zh-CN"/>
        </w:rPr>
        <w:t>证照的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</w:rPr>
        <w:t>按照200元/证标准进行补助。</w:t>
      </w:r>
    </w:p>
    <w:p>
      <w:pPr>
        <w:pStyle w:val="7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beforeAutospacing="0" w:after="0" w:afterAutospacing="0" w:line="560" w:lineRule="exact"/>
        <w:ind w:left="0" w:right="0" w:firstLine="640"/>
        <w:jc w:val="both"/>
        <w:textAlignment w:val="auto"/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b/>
          <w:bCs/>
          <w:color w:val="auto"/>
          <w:kern w:val="2"/>
          <w:sz w:val="32"/>
          <w:szCs w:val="32"/>
          <w:shd w:val="clear" w:color="auto" w:fill="auto"/>
          <w:lang w:val="en-US" w:eastAsia="zh-CN" w:bidi="ar-SA"/>
        </w:rPr>
        <w:t>四、加快健全社会化服务体系。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shd w:val="clear" w:color="auto" w:fill="auto"/>
          <w:lang w:eastAsia="zh-CN"/>
        </w:rPr>
        <w:t>加大农业社会化服务支持力度，对实施机械化耕地、机械化种植（包括机械化直播和机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shd w:val="clear" w:color="auto" w:fill="auto"/>
          <w:lang w:val="en-US" w:eastAsia="zh-CN"/>
        </w:rPr>
        <w:t>械化插秧）、机械化高效植保（包括无人机飞防）、机械化收获等作业环节予以补助，耕、种、防、收全环节综合补助标准不超过100元/亩，补助资金社会化服务组织和种植主体分别占40%和60%。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43" w:firstLineChars="200"/>
        <w:textAlignment w:val="auto"/>
        <w:rPr>
          <w:rFonts w:hint="default" w:ascii="仿宋_GB2312" w:hAnsi="仿宋_GB2312" w:eastAsia="仿宋_GB2312" w:cs="仿宋_GB2312"/>
          <w:bCs/>
          <w:color w:val="auto"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b/>
          <w:bCs/>
          <w:color w:val="auto"/>
          <w:sz w:val="32"/>
          <w:szCs w:val="32"/>
          <w:lang w:val="en-US" w:eastAsia="zh-CN"/>
        </w:rPr>
        <w:t>五、全力做实订单生产。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</w:rPr>
        <w:t>全面推行统一良种供应、统一技术标准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</w:rPr>
        <w:t>统一生产服务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</w:rPr>
        <w:t>统一订单收购、统一品牌销售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</w:rPr>
        <w:t>分户种植管理的“五统一分”生产经营模式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lang w:eastAsia="zh-CN"/>
        </w:rPr>
        <w:t>。积极引导“王家贡米”加工企业与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</w:rPr>
        <w:t>专合社、村集体经济组织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lang w:eastAsia="zh-CN"/>
        </w:rPr>
        <w:t>合作建立长期稳定的原料订单生产基地</w:t>
      </w:r>
      <w:r>
        <w:rPr>
          <w:rFonts w:hint="eastAsia" w:ascii="仿宋_GB2312" w:hAnsi="仿宋_GB2312" w:eastAsia="仿宋_GB2312" w:cs="仿宋_GB2312"/>
          <w:b w:val="0"/>
          <w:bCs/>
          <w:color w:val="auto"/>
          <w:sz w:val="32"/>
          <w:szCs w:val="32"/>
          <w:lang w:eastAsia="zh-CN"/>
        </w:rPr>
        <w:t>，原则上</w:t>
      </w:r>
      <w:r>
        <w:rPr>
          <w:rFonts w:hint="eastAsia" w:ascii="仿宋_GB2312" w:hAnsi="仿宋_GB2312" w:eastAsia="仿宋_GB2312" w:cs="仿宋_GB2312"/>
          <w:b w:val="0"/>
          <w:bCs/>
          <w:color w:val="auto"/>
          <w:sz w:val="32"/>
          <w:szCs w:val="32"/>
          <w:lang w:val="en-US" w:eastAsia="zh-CN"/>
        </w:rPr>
        <w:t>政府采购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lang w:val="en-US" w:eastAsia="zh-CN"/>
        </w:rPr>
        <w:t>品种和自选育试种品种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lang w:eastAsia="zh-CN"/>
        </w:rPr>
        <w:t>执行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lang w:val="en-US" w:eastAsia="zh-CN"/>
        </w:rPr>
        <w:t>常规有机稻不低于10元/公斤，杂交有机稻不低于7元/公斤，常规生态稻不低于5元/公斤，杂交生态稻一般不低于3.6元/公斤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</w:rPr>
        <w:t>的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lang w:val="en-US" w:eastAsia="zh-CN"/>
        </w:rPr>
        <w:t>指导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</w:rPr>
        <w:t>价收购政策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lang w:eastAsia="zh-CN"/>
        </w:rPr>
        <w:t>。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lang w:val="en-US" w:eastAsia="zh-CN"/>
        </w:rPr>
        <w:t>其它品种由企业与种植户协调确定价格，但不能使用“王家贡米”品牌和包装。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43" w:firstLineChars="200"/>
        <w:textAlignment w:val="auto"/>
        <w:rPr>
          <w:rFonts w:hint="eastAsia" w:ascii="仿宋_GB2312" w:hAnsi="仿宋_GB2312" w:eastAsia="仿宋_GB2312" w:cs="仿宋_GB2312"/>
          <w:color w:val="0000FF"/>
          <w:kern w:val="0"/>
          <w:sz w:val="32"/>
          <w:szCs w:val="32"/>
          <w:lang w:val="en-US" w:eastAsia="zh-CN" w:bidi="ar-SA"/>
        </w:rPr>
      </w:pPr>
      <w:r>
        <w:rPr>
          <w:rFonts w:hint="eastAsia" w:ascii="楷体_GB2312" w:hAnsi="楷体_GB2312" w:eastAsia="楷体_GB2312" w:cs="楷体_GB2312"/>
          <w:b/>
          <w:bCs/>
          <w:color w:val="auto"/>
          <w:sz w:val="32"/>
          <w:szCs w:val="32"/>
          <w:lang w:val="en-US" w:eastAsia="zh-CN"/>
        </w:rPr>
        <w:t>六、着力提升稻谷产后加工能力。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lang w:val="en-US" w:eastAsia="zh-CN"/>
        </w:rPr>
        <w:t>加大“王家贡米”加工设施建设或技改扩能金融信贷按现有政策执行；对在我区2024年后注册并被认定为国家级、省级、市级的“王家贡米”加工类农业产业化龙头企业，区政府分别给予10万元、5万元、2万元一次性奖励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43" w:firstLineChars="200"/>
        <w:textAlignment w:val="auto"/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b/>
          <w:bCs/>
          <w:color w:val="auto"/>
          <w:sz w:val="32"/>
          <w:szCs w:val="32"/>
          <w:lang w:val="en-US" w:eastAsia="zh-CN"/>
        </w:rPr>
        <w:t>七、多渠道拓展市场销路。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lang w:eastAsia="zh-CN"/>
        </w:rPr>
        <w:t>充分整合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</w:rPr>
        <w:t>产业协会、异地昭化商会、浙川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lang w:eastAsia="zh-CN"/>
        </w:rPr>
        <w:t>协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</w:rPr>
        <w:t>作、电商直播等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lang w:eastAsia="zh-CN"/>
        </w:rPr>
        <w:t>农产品营销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</w:rPr>
        <w:t>资源，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lang w:eastAsia="zh-CN"/>
        </w:rPr>
        <w:t>积极搭建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</w:rPr>
        <w:t>与大型国企、精品连锁超市等集团客户产销对接平台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lang w:eastAsia="zh-CN"/>
        </w:rPr>
        <w:t>。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lang w:val="en-US" w:eastAsia="zh-CN"/>
        </w:rPr>
        <w:t>区财政每年统筹安排不少于100万元专项支持“王家贡米”品牌营销，其中50万元用于支持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lang w:eastAsia="zh-CN"/>
        </w:rPr>
        <w:t>“王家贡米”产业协会组织开展品牌宣传推介活动和建立运营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</w:rPr>
        <w:t>“王家贡米”官方网站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lang w:eastAsia="zh-CN"/>
        </w:rPr>
        <w:t>；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lang w:val="en-US" w:eastAsia="zh-CN"/>
        </w:rPr>
        <w:t>50万元用于奖励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lang w:eastAsia="zh-CN"/>
        </w:rPr>
        <w:t>“王家贡米”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lang w:val="en-US" w:eastAsia="zh-CN"/>
        </w:rPr>
        <w:t>销售主体多渠道拓展市场销路，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lang w:eastAsia="zh-CN"/>
        </w:rPr>
        <w:t>对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lang w:val="en-US" w:eastAsia="zh-CN"/>
        </w:rPr>
        <w:t>“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lang w:eastAsia="zh-CN"/>
        </w:rPr>
        <w:t>王家贡米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lang w:val="en-US" w:eastAsia="zh-CN"/>
        </w:rPr>
        <w:t>”产品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</w:rPr>
        <w:t>年销量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lang w:eastAsia="zh-CN"/>
        </w:rPr>
        <w:t>（当年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lang w:val="en-US" w:eastAsia="zh-CN"/>
        </w:rPr>
        <w:t>9月至次年9月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lang w:eastAsia="zh-CN"/>
        </w:rPr>
        <w:t>）达到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lang w:val="en-US" w:eastAsia="zh-CN"/>
        </w:rPr>
        <w:t>300吨、500吨、800吨以上的销售主体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lang w:eastAsia="zh-CN"/>
        </w:rPr>
        <w:t>（末端销售主体）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lang w:val="en-US" w:eastAsia="zh-CN"/>
        </w:rPr>
        <w:t>分别按照120元/吨、150元/吨、200元/吨的标准予以奖励，对新开设的“王家贡米”销售门店（专柜），区财政按照实际投入的40%予以补助，单个门店（专柜）补助金额不超过8万元。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43" w:firstLineChars="200"/>
        <w:textAlignment w:val="auto"/>
        <w:rPr>
          <w:rFonts w:hint="default" w:ascii="仿宋_GB2312" w:hAnsi="仿宋_GB2312" w:eastAsia="仿宋_GB2312" w:cs="仿宋_GB2312"/>
          <w:bCs/>
          <w:color w:val="auto"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b/>
          <w:bCs/>
          <w:color w:val="auto"/>
          <w:sz w:val="32"/>
          <w:szCs w:val="32"/>
          <w:lang w:val="en-US" w:eastAsia="zh-CN"/>
        </w:rPr>
        <w:t>八、全面加强“王家贡米”品牌使用和监管。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</w:rPr>
        <w:t>制定出台“王家贡米”区域公用品牌管理办法，全面实行协会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lang w:eastAsia="zh-CN"/>
        </w:rPr>
        <w:t>备案管理授权加 工、销售的生产企业，规范“王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</w:rPr>
        <w:t>家贡米”系列产品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lang w:eastAsia="zh-CN"/>
        </w:rPr>
        <w:t>分级分档、包装风格和销售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</w:rPr>
        <w:t>定价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lang w:eastAsia="zh-CN"/>
        </w:rPr>
        <w:t>等；加大生产巡查、品牌打假等联合执法力度，对存在以次充好、弄虚作假等违法违规经营行为的生产经营主体，由协会同市场监管局撤销其“王家贡米”公用品牌授权使用资格；建立“一品一码”产品溯源防伪体系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</w:rPr>
        <w:t>，对赋码产品按照0.1元/个进行补助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lang w:eastAsia="zh-CN"/>
        </w:rPr>
        <w:t>；</w:t>
      </w:r>
      <w:r>
        <w:rPr>
          <w:rFonts w:hint="default" w:ascii="Times New Roman" w:hAnsi="Times New Roman" w:eastAsia="仿宋_GB2312" w:cs="Times New Roman"/>
          <w:bCs/>
          <w:color w:val="auto"/>
          <w:sz w:val="32"/>
          <w:szCs w:val="32"/>
        </w:rPr>
        <w:t>对</w:t>
      </w:r>
      <w:r>
        <w:rPr>
          <w:rFonts w:hint="default" w:ascii="仿宋_GB2312" w:hAnsi="仿宋_GB2312" w:eastAsia="仿宋_GB2312" w:cs="仿宋_GB2312"/>
          <w:bCs/>
          <w:color w:val="auto"/>
          <w:sz w:val="32"/>
          <w:szCs w:val="32"/>
          <w:lang w:eastAsia="zh-CN"/>
        </w:rPr>
        <w:t>新</w:t>
      </w:r>
      <w:r>
        <w:rPr>
          <w:rFonts w:hint="default" w:ascii="仿宋_GB2312" w:hAnsi="仿宋_GB2312" w:eastAsia="仿宋_GB2312" w:cs="仿宋_GB2312"/>
          <w:bCs/>
          <w:color w:val="auto"/>
          <w:sz w:val="32"/>
          <w:szCs w:val="32"/>
        </w:rPr>
        <w:t>取得有机</w:t>
      </w:r>
      <w:r>
        <w:rPr>
          <w:rFonts w:hint="default" w:ascii="仿宋_GB2312" w:hAnsi="仿宋_GB2312" w:eastAsia="仿宋_GB2312" w:cs="仿宋_GB2312"/>
          <w:bCs/>
          <w:color w:val="auto"/>
          <w:sz w:val="32"/>
          <w:szCs w:val="32"/>
          <w:lang w:eastAsia="zh-CN"/>
        </w:rPr>
        <w:t>生产</w:t>
      </w:r>
      <w:r>
        <w:rPr>
          <w:rFonts w:hint="default" w:ascii="仿宋_GB2312" w:hAnsi="仿宋_GB2312" w:eastAsia="仿宋_GB2312" w:cs="仿宋_GB2312"/>
          <w:bCs/>
          <w:color w:val="auto"/>
          <w:sz w:val="32"/>
          <w:szCs w:val="32"/>
        </w:rPr>
        <w:t>认证的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lang w:eastAsia="zh-CN"/>
        </w:rPr>
        <w:t>、</w:t>
      </w:r>
      <w:r>
        <w:rPr>
          <w:rFonts w:hint="default" w:ascii="仿宋_GB2312" w:hAnsi="仿宋_GB2312" w:eastAsia="仿宋_GB2312" w:cs="仿宋_GB2312"/>
          <w:bCs/>
          <w:color w:val="auto"/>
          <w:sz w:val="32"/>
          <w:szCs w:val="32"/>
          <w:lang w:eastAsia="zh-CN"/>
        </w:rPr>
        <w:t>新取得有机加工认证的按照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lang w:val="en-US" w:eastAsia="zh-CN"/>
        </w:rPr>
        <w:t>现有政策执行</w:t>
      </w:r>
      <w:r>
        <w:rPr>
          <w:rFonts w:hint="default" w:ascii="仿宋_GB2312" w:hAnsi="仿宋_GB2312" w:eastAsia="仿宋_GB2312" w:cs="仿宋_GB2312"/>
          <w:bCs/>
          <w:color w:val="auto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43" w:firstLineChars="200"/>
        <w:textAlignment w:val="auto"/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lang w:eastAsia="zh-CN"/>
        </w:rPr>
      </w:pPr>
      <w:r>
        <w:rPr>
          <w:rFonts w:hint="eastAsia" w:ascii="楷体_GB2312" w:hAnsi="楷体_GB2312" w:eastAsia="楷体_GB2312" w:cs="楷体_GB2312"/>
          <w:b/>
          <w:bCs/>
          <w:color w:val="auto"/>
          <w:sz w:val="32"/>
          <w:szCs w:val="32"/>
          <w:lang w:val="en-US" w:eastAsia="zh-CN"/>
        </w:rPr>
        <w:t>九、加强种业研发与成果转化。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</w:rPr>
        <w:t>持续做深做实与中国水稻研究所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lang w:eastAsia="zh-CN"/>
        </w:rPr>
        <w:t>等科研院校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</w:rPr>
        <w:t>合作，聚智借力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lang w:eastAsia="zh-CN"/>
        </w:rPr>
        <w:t>新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</w:rPr>
        <w:t>选育一批“王家贡米”系列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lang w:eastAsia="zh-CN"/>
        </w:rPr>
        <w:t>新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</w:rPr>
        <w:t>品种；加强科企合作，共建良繁基地、品比试验示范基地、绿色高质高效生产示范基地，构建保、育、繁、推一体化现代种业体系；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lang w:val="en-US" w:eastAsia="zh-CN"/>
        </w:rPr>
        <w:t>加大种业研发和成果转化投入力度，区财政每年安排不低于100万元项目资金，用于支持王家贡米系列品种育繁推一体化发展。对新获得省级及以上品种审定、省部级以上科技奖项的团队核心成员（成果认定证书前三位）在职称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</w:rPr>
        <w:t>评聘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lang w:eastAsia="zh-CN"/>
        </w:rPr>
        <w:t>上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</w:rPr>
        <w:t>不受岗位职数限制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lang w:eastAsia="zh-CN"/>
        </w:rPr>
        <w:t>；支持区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lang w:val="en-US" w:eastAsia="zh-CN"/>
        </w:rPr>
        <w:t>属国有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lang w:eastAsia="zh-CN"/>
        </w:rPr>
        <w:t>种业公司，加快“王家贡米”科研育种成果转化推广。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43" w:firstLineChars="200"/>
        <w:textAlignment w:val="auto"/>
        <w:rPr>
          <w:rFonts w:hint="eastAsia" w:ascii="仿宋_GB2312" w:hAnsi="仿宋_GB2312" w:eastAsia="仿宋_GB2312" w:cs="仿宋_GB2312"/>
          <w:bCs/>
          <w:color w:val="auto"/>
          <w:sz w:val="32"/>
          <w:szCs w:val="32"/>
        </w:rPr>
      </w:pPr>
      <w:r>
        <w:rPr>
          <w:rFonts w:hint="eastAsia" w:ascii="楷体_GB2312" w:hAnsi="楷体_GB2312" w:eastAsia="楷体_GB2312" w:cs="楷体_GB2312"/>
          <w:b/>
          <w:bCs/>
          <w:color w:val="auto"/>
          <w:sz w:val="32"/>
          <w:szCs w:val="32"/>
          <w:lang w:val="en-US" w:eastAsia="zh-CN"/>
        </w:rPr>
        <w:t>十、强化要素保障。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</w:rPr>
        <w:t>组建“王家贡米”产业发展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lang w:eastAsia="zh-CN"/>
        </w:rPr>
        <w:t>工作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</w:rPr>
        <w:t>专班，建立区领导定点联系重点镇村、龙头企业制度，年度任务实行“清单制+责任制”管理，确保“王家贡米”产业发展系列政策措施落地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lang w:eastAsia="zh-CN"/>
        </w:rPr>
        <w:t>见效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</w:rPr>
        <w:t>。全面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lang w:eastAsia="zh-CN"/>
        </w:rPr>
        <w:t>保障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</w:rPr>
        <w:t>项目资金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</w:rPr>
        <w:t>科研力量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lang w:eastAsia="zh-CN"/>
        </w:rPr>
        <w:t>、产业用地等发展要素，推动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</w:rPr>
        <w:t>新技术、新装备、新业态、新模式在“王家贡米”产业发展中先行先试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lang w:eastAsia="zh-CN"/>
        </w:rPr>
        <w:t>，努力营造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</w:rPr>
        <w:t>良好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lang w:eastAsia="zh-CN"/>
        </w:rPr>
        <w:t>的外部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</w:rPr>
        <w:t>环境条件。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bCs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</w:rPr>
        <w:t>本措施由区农业农村局负责解释，自发布之日起组织实施，有效期至20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lang w:val="en-US" w:eastAsia="zh-CN"/>
        </w:rPr>
        <w:t>27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</w:rPr>
        <w:t>年12月31日。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bCs/>
          <w:color w:val="auto"/>
          <w:sz w:val="32"/>
          <w:szCs w:val="32"/>
        </w:rPr>
      </w:pPr>
    </w:p>
    <w:p/>
    <w:p>
      <w:pPr>
        <w:pStyle w:val="6"/>
        <w:ind w:left="0" w:leftChars="0" w:firstLine="0" w:firstLineChars="0"/>
        <w:jc w:val="both"/>
        <w:rPr>
          <w:rFonts w:hint="eastAsia" w:ascii="黑体" w:hAnsi="黑体" w:eastAsia="黑体" w:cs="黑体"/>
          <w:color w:val="000000" w:themeColor="text1"/>
          <w:kern w:val="2"/>
          <w:sz w:val="32"/>
          <w:szCs w:val="32"/>
          <w:vertAlign w:val="baseline"/>
          <w:lang w:val="en-US" w:eastAsia="zh-CN" w:bidi="ar-SA"/>
          <w14:textFill>
            <w14:solidFill>
              <w14:schemeClr w14:val="tx1"/>
            </w14:solidFill>
          </w14:textFill>
        </w:rPr>
      </w:pPr>
    </w:p>
    <w:bookmarkEnd w:id="0"/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20" w:lineRule="exact"/>
        <w:textAlignment w:val="auto"/>
        <w:rPr>
          <w:rFonts w:hint="eastAsia" w:ascii="仿宋_GB2312" w:hAnsi="仿宋_GB2312" w:eastAsia="仿宋_GB2312" w:cs="仿宋_GB2312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sectPr>
      <w:footerReference r:id="rId3" w:type="default"/>
      <w:pgSz w:w="11906" w:h="16838"/>
      <w:pgMar w:top="1984" w:right="1474" w:bottom="1701" w:left="1587" w:header="851" w:footer="1559" w:gutter="0"/>
      <w:pgNumType w:fmt="decimal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小标宋简体">
    <w:altName w:val="宋体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楷体_GB2312">
    <w:altName w:val="楷体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02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4"/>
                            <w:keepNext w:val="0"/>
                            <w:keepLines w:val="0"/>
                            <w:pageBreakBefore w:val="0"/>
                            <w:widowControl w:val="0"/>
                            <w:kinsoku/>
                            <w:wordWrap/>
                            <w:overflowPunct/>
                            <w:topLinePunct w:val="0"/>
                            <w:bidi w:val="0"/>
                            <w:adjustRightInd/>
                            <w:snapToGrid w:val="0"/>
                            <w:ind w:left="210" w:leftChars="100" w:right="210" w:rightChars="100"/>
                            <w:textAlignment w:val="auto"/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44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44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44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44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44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44"/>
                            </w:rPr>
                            <w:t>1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44"/>
                            </w:rPr>
                            <w:fldChar w:fldCharType="end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44"/>
                            </w:rPr>
                            <w:t xml:space="preserve"> —</w:t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1025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  <w:keepNext w:val="0"/>
                      <w:keepLines w:val="0"/>
                      <w:pageBreakBefore w:val="0"/>
                      <w:widowControl w:val="0"/>
                      <w:kinsoku/>
                      <w:wordWrap/>
                      <w:overflowPunct/>
                      <w:topLinePunct w:val="0"/>
                      <w:bidi w:val="0"/>
                      <w:adjustRightInd/>
                      <w:snapToGrid w:val="0"/>
                      <w:ind w:left="210" w:leftChars="100" w:right="210" w:rightChars="100"/>
                      <w:textAlignment w:val="auto"/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44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44"/>
                      </w:rPr>
                      <w:t xml:space="preserve">— 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44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44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44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44"/>
                      </w:rPr>
                      <w:t>1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44"/>
                      </w:rPr>
                      <w:fldChar w:fldCharType="end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44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8"/>
  <w:embedSystemFonts/>
  <w:bordersDoNotSurroundHeader w:val="0"/>
  <w:bordersDoNotSurroundFooter w:val="0"/>
  <w:documentProtection w:enforcement="0"/>
  <w:defaultTabStop w:val="420"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JiZjMxZTQzMWQxNzZmYWE1YWQ2NjhjZTBjM2ExMWYifQ=="/>
  </w:docVars>
  <w:rsids>
    <w:rsidRoot w:val="00436090"/>
    <w:rsid w:val="00436090"/>
    <w:rsid w:val="004B4A83"/>
    <w:rsid w:val="008B4DC0"/>
    <w:rsid w:val="009A3ECD"/>
    <w:rsid w:val="00AE078F"/>
    <w:rsid w:val="00C1358E"/>
    <w:rsid w:val="00E07B96"/>
    <w:rsid w:val="00EC71EB"/>
    <w:rsid w:val="014063FE"/>
    <w:rsid w:val="014769BB"/>
    <w:rsid w:val="01E11CDB"/>
    <w:rsid w:val="026F2036"/>
    <w:rsid w:val="042C0EBC"/>
    <w:rsid w:val="06104983"/>
    <w:rsid w:val="067526A6"/>
    <w:rsid w:val="09D840E5"/>
    <w:rsid w:val="0A247AEF"/>
    <w:rsid w:val="0B0F1A16"/>
    <w:rsid w:val="0C2E2E15"/>
    <w:rsid w:val="0D246B1B"/>
    <w:rsid w:val="10333708"/>
    <w:rsid w:val="10D25B04"/>
    <w:rsid w:val="11786AB5"/>
    <w:rsid w:val="119F0F1F"/>
    <w:rsid w:val="11B71897"/>
    <w:rsid w:val="147F48D2"/>
    <w:rsid w:val="15E433A4"/>
    <w:rsid w:val="18D43BBA"/>
    <w:rsid w:val="19F97DD2"/>
    <w:rsid w:val="1A8769F4"/>
    <w:rsid w:val="1ACC4407"/>
    <w:rsid w:val="1B6E4200"/>
    <w:rsid w:val="1EB208FE"/>
    <w:rsid w:val="226F5799"/>
    <w:rsid w:val="2405641E"/>
    <w:rsid w:val="27217996"/>
    <w:rsid w:val="28805252"/>
    <w:rsid w:val="2AA83CE0"/>
    <w:rsid w:val="2AB53981"/>
    <w:rsid w:val="32AA03D4"/>
    <w:rsid w:val="37E020AB"/>
    <w:rsid w:val="38F8120D"/>
    <w:rsid w:val="3982065B"/>
    <w:rsid w:val="39EA5245"/>
    <w:rsid w:val="3C7E77FF"/>
    <w:rsid w:val="3D402D06"/>
    <w:rsid w:val="3D8113D2"/>
    <w:rsid w:val="3DCC6C21"/>
    <w:rsid w:val="3EAB45BD"/>
    <w:rsid w:val="3FA6636A"/>
    <w:rsid w:val="403C770B"/>
    <w:rsid w:val="4101455B"/>
    <w:rsid w:val="411E3FAC"/>
    <w:rsid w:val="41251BAC"/>
    <w:rsid w:val="42E31525"/>
    <w:rsid w:val="43014E60"/>
    <w:rsid w:val="455012F1"/>
    <w:rsid w:val="47B57398"/>
    <w:rsid w:val="48D12E7F"/>
    <w:rsid w:val="48F07914"/>
    <w:rsid w:val="4D563546"/>
    <w:rsid w:val="4E4D2773"/>
    <w:rsid w:val="4EB76DCC"/>
    <w:rsid w:val="50B945A8"/>
    <w:rsid w:val="53C0770E"/>
    <w:rsid w:val="543B2D54"/>
    <w:rsid w:val="54FC344F"/>
    <w:rsid w:val="5D442903"/>
    <w:rsid w:val="5FCC490D"/>
    <w:rsid w:val="613422DB"/>
    <w:rsid w:val="614A0A36"/>
    <w:rsid w:val="61612206"/>
    <w:rsid w:val="62D009D5"/>
    <w:rsid w:val="65CC520A"/>
    <w:rsid w:val="66D97C72"/>
    <w:rsid w:val="67A527E3"/>
    <w:rsid w:val="6AE85AAD"/>
    <w:rsid w:val="6C0F0C97"/>
    <w:rsid w:val="6CE018F3"/>
    <w:rsid w:val="6E8B5033"/>
    <w:rsid w:val="6F4011F0"/>
    <w:rsid w:val="719B408A"/>
    <w:rsid w:val="71BD2344"/>
    <w:rsid w:val="71F60FE9"/>
    <w:rsid w:val="724F42A3"/>
    <w:rsid w:val="75750CAB"/>
    <w:rsid w:val="75AB270C"/>
    <w:rsid w:val="75D92DD5"/>
    <w:rsid w:val="75E16AAF"/>
    <w:rsid w:val="76AC3415"/>
    <w:rsid w:val="78F83096"/>
    <w:rsid w:val="79E1083A"/>
    <w:rsid w:val="7C166D19"/>
    <w:rsid w:val="7C213EE4"/>
    <w:rsid w:val="7F0D7F93"/>
    <w:rsid w:val="7FBD37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qFormat="1"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11">
    <w:name w:val="Default Paragraph Font"/>
    <w:semiHidden/>
    <w:unhideWhenUsed/>
    <w:qFormat/>
    <w:uiPriority w:val="1"/>
  </w:style>
  <w:style w:type="table" w:default="1" w:styleId="9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1"/>
    <w:qFormat/>
    <w:uiPriority w:val="0"/>
    <w:pPr>
      <w:spacing w:line="460" w:lineRule="exact"/>
      <w:jc w:val="center"/>
    </w:pPr>
    <w:rPr>
      <w:b/>
    </w:rPr>
  </w:style>
  <w:style w:type="paragraph" w:styleId="3">
    <w:name w:val="Body Text Indent"/>
    <w:basedOn w:val="1"/>
    <w:qFormat/>
    <w:uiPriority w:val="0"/>
    <w:pPr>
      <w:ind w:firstLine="225" w:firstLineChars="225"/>
    </w:pPr>
    <w:rPr>
      <w:rFonts w:ascii="仿宋_GB2312" w:eastAsia="仿宋_GB2312" w:cs="Times New Roman"/>
      <w:sz w:val="32"/>
    </w:r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5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6">
    <w:name w:val="table of figures"/>
    <w:basedOn w:val="1"/>
    <w:next w:val="1"/>
    <w:qFormat/>
    <w:uiPriority w:val="0"/>
    <w:pPr>
      <w:ind w:left="200" w:leftChars="200" w:hanging="200" w:hangingChars="200"/>
    </w:pPr>
  </w:style>
  <w:style w:type="paragraph" w:styleId="7">
    <w:name w:val="Normal (Web)"/>
    <w:basedOn w:val="1"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paragraph" w:styleId="8">
    <w:name w:val="Body Text First Indent 2"/>
    <w:basedOn w:val="3"/>
    <w:next w:val="1"/>
    <w:qFormat/>
    <w:uiPriority w:val="0"/>
    <w:pPr>
      <w:ind w:firstLine="200" w:firstLineChars="200"/>
    </w:pPr>
    <w:rPr>
      <w:rFonts w:ascii="Times New Roman" w:hAnsi="Times New Roman" w:eastAsia="宋体"/>
      <w:szCs w:val="22"/>
    </w:rPr>
  </w:style>
  <w:style w:type="table" w:styleId="10">
    <w:name w:val="Table Grid"/>
    <w:basedOn w:val="9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2">
    <w:name w:val="Emphasis"/>
    <w:basedOn w:val="11"/>
    <w:qFormat/>
    <w:uiPriority w:val="0"/>
    <w:rPr>
      <w:i/>
    </w:rPr>
  </w:style>
  <w:style w:type="character" w:styleId="13">
    <w:name w:val="Hyperlink"/>
    <w:basedOn w:val="11"/>
    <w:qFormat/>
    <w:uiPriority w:val="0"/>
    <w:rPr>
      <w:color w:val="0000FF"/>
      <w:u w:val="single"/>
    </w:rPr>
  </w:style>
  <w:style w:type="paragraph" w:customStyle="1" w:styleId="14">
    <w:name w:val="Default"/>
    <w:qFormat/>
    <w:uiPriority w:val="0"/>
    <w:pPr>
      <w:widowControl w:val="0"/>
      <w:autoSpaceDE w:val="0"/>
      <w:autoSpaceDN w:val="0"/>
      <w:adjustRightInd w:val="0"/>
    </w:pPr>
    <w:rPr>
      <w:rFonts w:ascii="Calibri" w:hAnsi="Calibri" w:eastAsia="宋体" w:cs="宋体"/>
      <w:color w:val="000000"/>
      <w:sz w:val="24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6</Pages>
  <Words>2703</Words>
  <Characters>2786</Characters>
  <Lines>18</Lines>
  <Paragraphs>5</Paragraphs>
  <TotalTime>12</TotalTime>
  <ScaleCrop>false</ScaleCrop>
  <LinksUpToDate>false</LinksUpToDate>
  <CharactersWithSpaces>2859</CharactersWithSpaces>
  <Application>WPS Office_12.1.0.15990_F1E327BC-269C-435d-A152-05C5408002CA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2024-01-18T07:21:00Z</dcterms:created>
  <dc:creator>Administrator</dc:creator>
  <cp:lastModifiedBy>区级部门:区农业农村局</cp:lastModifiedBy>
  <cp:lastPrinted>2024-12-13T02:59:00Z</cp:lastPrinted>
  <dcterms:modified xsi:type="dcterms:W3CDTF">2025-03-24T07:47:40Z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2052-12.1.0.15990</vt:lpwstr>
  </property>
  <property fmtid="{D5CDD505-2E9C-101B-9397-08002B2CF9AE}" pid="3" name="ICV">
    <vt:lpwstr>24D8DCED0E0742488E3CD602E0A77954_13</vt:lpwstr>
  </property>
  <property fmtid="{D5CDD505-2E9C-101B-9397-08002B2CF9AE}" pid="4" name="KSOTemplateDocerSaveRecord">
    <vt:lpwstr>eyJoZGlkIjoiYzBmYzg2MTIwNzJlNjUxYmE4NGNkZjhjMzA4YTY1ZWUifQ==</vt:lpwstr>
  </property>
</Properties>
</file>