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5A571B5">
      <w:pPr>
        <w:pStyle w:val="9"/>
        <w:keepNext w:val="0"/>
        <w:keepLines w:val="0"/>
        <w:pageBreakBefore w:val="0"/>
        <w:kinsoku/>
        <w:wordWrap/>
        <w:overflowPunct/>
        <w:topLinePunct w:val="0"/>
        <w:autoSpaceDE/>
        <w:autoSpaceDN/>
        <w:bidi w:val="0"/>
        <w:adjustRightInd/>
        <w:snapToGrid/>
        <w:spacing w:beforeAutospacing="0" w:afterAutospacing="0" w:line="576" w:lineRule="exact"/>
        <w:jc w:val="center"/>
        <w:textAlignment w:val="auto"/>
        <w:rPr>
          <w:rFonts w:ascii="Times New Roman" w:hAnsi="Times New Roman" w:eastAsia="方正小标宋简体" w:cs="方正小标宋简体"/>
          <w:color w:val="000000"/>
          <w:sz w:val="44"/>
          <w:szCs w:val="44"/>
          <w:highlight w:val="none"/>
        </w:rPr>
      </w:pPr>
      <w:r>
        <w:rPr>
          <w:rFonts w:hint="eastAsia" w:ascii="Times New Roman" w:hAnsi="Times New Roman" w:eastAsia="方正小标宋简体" w:cs="方正小标宋简体"/>
          <w:color w:val="000000"/>
          <w:sz w:val="44"/>
          <w:szCs w:val="44"/>
          <w:highlight w:val="none"/>
          <w:lang w:eastAsia="zh-CN"/>
        </w:rPr>
        <w:t>昭化</w:t>
      </w:r>
      <w:r>
        <w:rPr>
          <w:rFonts w:hint="eastAsia" w:ascii="Times New Roman" w:hAnsi="Times New Roman" w:eastAsia="方正小标宋简体" w:cs="方正小标宋简体"/>
          <w:color w:val="000000"/>
          <w:sz w:val="44"/>
          <w:szCs w:val="44"/>
          <w:highlight w:val="none"/>
        </w:rPr>
        <w:t>区烟花爆竹零售店安全经营信用记分</w:t>
      </w:r>
    </w:p>
    <w:p w14:paraId="16C20F77">
      <w:pPr>
        <w:pStyle w:val="9"/>
        <w:keepNext w:val="0"/>
        <w:keepLines w:val="0"/>
        <w:pageBreakBefore w:val="0"/>
        <w:kinsoku/>
        <w:wordWrap/>
        <w:overflowPunct/>
        <w:topLinePunct w:val="0"/>
        <w:autoSpaceDE/>
        <w:autoSpaceDN/>
        <w:bidi w:val="0"/>
        <w:adjustRightInd/>
        <w:snapToGrid/>
        <w:spacing w:beforeAutospacing="0" w:afterAutospacing="0" w:line="576" w:lineRule="exact"/>
        <w:jc w:val="center"/>
        <w:textAlignment w:val="auto"/>
        <w:rPr>
          <w:rFonts w:hint="eastAsia" w:ascii="Times New Roman" w:hAnsi="Times New Roman" w:eastAsia="方正小标宋简体" w:cs="方正小标宋简体"/>
          <w:color w:val="000000"/>
          <w:sz w:val="44"/>
          <w:szCs w:val="44"/>
          <w:highlight w:val="none"/>
        </w:rPr>
      </w:pPr>
      <w:r>
        <w:rPr>
          <w:rFonts w:hint="eastAsia" w:ascii="Times New Roman" w:hAnsi="Times New Roman" w:eastAsia="方正小标宋简体" w:cs="方正小标宋简体"/>
          <w:color w:val="000000"/>
          <w:sz w:val="44"/>
          <w:szCs w:val="44"/>
          <w:highlight w:val="none"/>
        </w:rPr>
        <w:t>管理办法（试行）</w:t>
      </w:r>
    </w:p>
    <w:p w14:paraId="586A4725">
      <w:pPr>
        <w:pStyle w:val="9"/>
        <w:keepNext w:val="0"/>
        <w:keepLines w:val="0"/>
        <w:pageBreakBefore w:val="0"/>
        <w:kinsoku/>
        <w:wordWrap/>
        <w:overflowPunct/>
        <w:topLinePunct w:val="0"/>
        <w:autoSpaceDE/>
        <w:autoSpaceDN/>
        <w:bidi w:val="0"/>
        <w:adjustRightInd/>
        <w:snapToGrid/>
        <w:spacing w:beforeAutospacing="0" w:afterAutospacing="0" w:line="576" w:lineRule="exact"/>
        <w:jc w:val="center"/>
        <w:textAlignment w:val="auto"/>
        <w:rPr>
          <w:rFonts w:hint="eastAsia" w:ascii="Times New Roman" w:hAnsi="Times New Roman" w:eastAsia="方正小标宋简体" w:cs="方正小标宋简体"/>
          <w:color w:val="000000"/>
          <w:sz w:val="44"/>
          <w:szCs w:val="44"/>
          <w:highlight w:val="none"/>
          <w:lang w:eastAsia="zh-CN"/>
        </w:rPr>
      </w:pPr>
      <w:r>
        <w:rPr>
          <w:rFonts w:hint="eastAsia" w:ascii="Times New Roman" w:hAnsi="Times New Roman" w:eastAsia="方正小标宋简体" w:cs="方正小标宋简体"/>
          <w:color w:val="000000"/>
          <w:sz w:val="44"/>
          <w:szCs w:val="44"/>
          <w:highlight w:val="none"/>
          <w:lang w:eastAsia="zh-CN"/>
        </w:rPr>
        <w:t>（征求意见稿）</w:t>
      </w:r>
    </w:p>
    <w:p w14:paraId="28CB6858">
      <w:pPr>
        <w:pStyle w:val="9"/>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jc w:val="both"/>
        <w:textAlignment w:val="auto"/>
        <w:rPr>
          <w:rFonts w:ascii="Times New Roman" w:hAnsi="Times New Roman" w:eastAsia="黑体" w:cs="黑体"/>
          <w:color w:val="000000"/>
          <w:sz w:val="32"/>
          <w:szCs w:val="32"/>
          <w:highlight w:val="none"/>
        </w:rPr>
      </w:pPr>
    </w:p>
    <w:p w14:paraId="3AC73C5C">
      <w:pPr>
        <w:pStyle w:val="9"/>
        <w:keepNext w:val="0"/>
        <w:keepLines w:val="0"/>
        <w:pageBreakBefore w:val="0"/>
        <w:widowControl w:val="0"/>
        <w:kinsoku/>
        <w:wordWrap/>
        <w:overflowPunct/>
        <w:topLinePunct w:val="0"/>
        <w:autoSpaceDE/>
        <w:autoSpaceDN/>
        <w:bidi w:val="0"/>
        <w:adjustRightInd/>
        <w:snapToGrid/>
        <w:spacing w:beforeAutospacing="0" w:afterAutospacing="0" w:line="576" w:lineRule="exact"/>
        <w:ind w:firstLine="0" w:firstLineChars="0"/>
        <w:jc w:val="center"/>
        <w:textAlignment w:val="auto"/>
        <w:rPr>
          <w:rFonts w:hint="eastAsia" w:ascii="Times New Roman" w:hAnsi="Times New Roman" w:eastAsia="黑体" w:cs="黑体"/>
          <w:color w:val="000000"/>
          <w:sz w:val="32"/>
          <w:szCs w:val="32"/>
          <w:highlight w:val="none"/>
          <w:lang w:eastAsia="zh-CN"/>
        </w:rPr>
      </w:pPr>
      <w:r>
        <w:rPr>
          <w:rFonts w:hint="eastAsia" w:ascii="Times New Roman" w:hAnsi="Times New Roman" w:eastAsia="黑体" w:cs="黑体"/>
          <w:color w:val="000000"/>
          <w:sz w:val="32"/>
          <w:szCs w:val="32"/>
          <w:highlight w:val="none"/>
          <w:lang w:eastAsia="zh-CN"/>
        </w:rPr>
        <w:t>第一章</w:t>
      </w:r>
      <w:r>
        <w:rPr>
          <w:rFonts w:hint="eastAsia" w:ascii="Times New Roman" w:hAnsi="Times New Roman" w:eastAsia="黑体" w:cs="黑体"/>
          <w:color w:val="000000"/>
          <w:sz w:val="32"/>
          <w:szCs w:val="32"/>
          <w:highlight w:val="none"/>
          <w:lang w:val="en-US" w:eastAsia="zh-CN"/>
        </w:rPr>
        <w:t xml:space="preserve">    </w:t>
      </w:r>
      <w:r>
        <w:rPr>
          <w:rFonts w:hint="eastAsia" w:ascii="Times New Roman" w:hAnsi="Times New Roman" w:eastAsia="黑体" w:cs="黑体"/>
          <w:color w:val="000000"/>
          <w:sz w:val="32"/>
          <w:szCs w:val="32"/>
          <w:highlight w:val="none"/>
          <w:lang w:eastAsia="zh-CN"/>
        </w:rPr>
        <w:t>总</w:t>
      </w:r>
      <w:r>
        <w:rPr>
          <w:rFonts w:hint="eastAsia" w:ascii="Times New Roman" w:hAnsi="Times New Roman" w:eastAsia="黑体" w:cs="黑体"/>
          <w:color w:val="000000"/>
          <w:sz w:val="32"/>
          <w:szCs w:val="32"/>
          <w:highlight w:val="none"/>
          <w:lang w:val="en-US" w:eastAsia="zh-CN"/>
        </w:rPr>
        <w:t xml:space="preserve">    </w:t>
      </w:r>
      <w:r>
        <w:rPr>
          <w:rFonts w:hint="eastAsia" w:ascii="Times New Roman" w:hAnsi="Times New Roman" w:eastAsia="黑体" w:cs="黑体"/>
          <w:color w:val="000000"/>
          <w:sz w:val="32"/>
          <w:szCs w:val="32"/>
          <w:highlight w:val="none"/>
          <w:lang w:eastAsia="zh-CN"/>
        </w:rPr>
        <w:t>则</w:t>
      </w:r>
    </w:p>
    <w:p w14:paraId="59DB290F">
      <w:pPr>
        <w:pStyle w:val="9"/>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jc w:val="both"/>
        <w:textAlignment w:val="auto"/>
        <w:rPr>
          <w:rFonts w:hint="eastAsia" w:ascii="Times New Roman" w:hAnsi="Times New Roman" w:eastAsia="仿宋" w:cs="仿宋"/>
          <w:color w:val="000000"/>
          <w:sz w:val="32"/>
          <w:szCs w:val="32"/>
          <w:highlight w:val="none"/>
        </w:rPr>
      </w:pPr>
      <w:r>
        <w:rPr>
          <w:rFonts w:hint="eastAsia" w:ascii="Times New Roman" w:hAnsi="Times New Roman" w:eastAsia="黑体" w:cs="黑体"/>
          <w:color w:val="000000"/>
          <w:sz w:val="32"/>
          <w:szCs w:val="32"/>
          <w:highlight w:val="none"/>
        </w:rPr>
        <w:t xml:space="preserve">第一条  </w:t>
      </w:r>
      <w:r>
        <w:rPr>
          <w:rFonts w:hint="eastAsia" w:ascii="Times New Roman" w:hAnsi="Times New Roman" w:eastAsia="仿宋_GB2312" w:cs="仿宋_GB2312"/>
          <w:color w:val="000000"/>
          <w:sz w:val="32"/>
          <w:szCs w:val="32"/>
          <w:highlight w:val="none"/>
        </w:rPr>
        <w:t>为全面落实烟花爆竹零售店安全生产主体责任，严格执行相关法律法规和行业标准规范，强化日常安全管理，提升本质安全水平，坚决遏制烟花爆竹事故发生，根据《中华人民共和国安全生产法》《烟花爆竹安全管理条例》（国务院第455号令）《安全生产严重失信主体名单管理办法》（应急部令第11号）《烟花爆竹经营许可实施办法》（原国家安全监管总局第65号令）《烟花爆竹生产经营安全规定》（原安监总局令第93号）《烟花爆竹零售店（点）安全技术规范》（AQ4128--2019）等有关规定，结合全区实际，制定本办法。</w:t>
      </w:r>
    </w:p>
    <w:p w14:paraId="3D4C978D">
      <w:pPr>
        <w:pStyle w:val="9"/>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jc w:val="both"/>
        <w:textAlignment w:val="auto"/>
        <w:rPr>
          <w:rFonts w:hint="eastAsia" w:ascii="Times New Roman" w:hAnsi="Times New Roman" w:eastAsia="仿宋" w:cs="仿宋"/>
          <w:color w:val="000000"/>
          <w:sz w:val="32"/>
          <w:szCs w:val="32"/>
          <w:highlight w:val="none"/>
        </w:rPr>
      </w:pPr>
      <w:r>
        <w:rPr>
          <w:rFonts w:hint="eastAsia" w:ascii="Times New Roman" w:hAnsi="Times New Roman" w:eastAsia="黑体" w:cs="黑体"/>
          <w:color w:val="000000"/>
          <w:sz w:val="32"/>
          <w:szCs w:val="32"/>
          <w:highlight w:val="none"/>
        </w:rPr>
        <w:t xml:space="preserve">第二条  </w:t>
      </w:r>
      <w:r>
        <w:rPr>
          <w:rFonts w:hint="eastAsia" w:ascii="Times New Roman" w:hAnsi="Times New Roman" w:eastAsia="仿宋_GB2312" w:cs="仿宋_GB2312"/>
          <w:color w:val="000000"/>
          <w:sz w:val="32"/>
          <w:szCs w:val="32"/>
          <w:highlight w:val="none"/>
        </w:rPr>
        <w:t>本办法适用于</w:t>
      </w:r>
      <w:r>
        <w:rPr>
          <w:rFonts w:hint="eastAsia" w:ascii="Times New Roman" w:hAnsi="Times New Roman" w:eastAsia="仿宋_GB2312" w:cs="仿宋_GB2312"/>
          <w:color w:val="000000"/>
          <w:sz w:val="32"/>
          <w:szCs w:val="32"/>
          <w:highlight w:val="none"/>
          <w:lang w:eastAsia="zh-CN"/>
        </w:rPr>
        <w:t>昭化</w:t>
      </w:r>
      <w:r>
        <w:rPr>
          <w:rFonts w:hint="eastAsia" w:ascii="Times New Roman" w:hAnsi="Times New Roman" w:eastAsia="仿宋_GB2312" w:cs="仿宋_GB2312"/>
          <w:color w:val="000000"/>
          <w:sz w:val="32"/>
          <w:szCs w:val="32"/>
          <w:highlight w:val="none"/>
        </w:rPr>
        <w:t>区范围内，持有《烟花爆竹经营(零售)许可证》且在有效期内的烟花爆竹零售经营店的安全生产监督管理活动。</w:t>
      </w:r>
    </w:p>
    <w:p w14:paraId="03A0243A">
      <w:pPr>
        <w:pStyle w:val="9"/>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jc w:val="both"/>
        <w:textAlignment w:val="auto"/>
        <w:rPr>
          <w:rFonts w:hint="eastAsia" w:ascii="Times New Roman" w:hAnsi="Times New Roman" w:eastAsia="仿宋_GB2312" w:cs="仿宋_GB2312"/>
          <w:color w:val="000000"/>
          <w:sz w:val="32"/>
          <w:szCs w:val="32"/>
          <w:highlight w:val="none"/>
        </w:rPr>
      </w:pPr>
      <w:r>
        <w:rPr>
          <w:rFonts w:hint="eastAsia" w:ascii="Times New Roman" w:hAnsi="Times New Roman" w:eastAsia="黑体" w:cs="黑体"/>
          <w:color w:val="000000"/>
          <w:sz w:val="32"/>
          <w:szCs w:val="32"/>
          <w:highlight w:val="none"/>
        </w:rPr>
        <w:t xml:space="preserve">第三条  </w:t>
      </w:r>
      <w:r>
        <w:rPr>
          <w:rFonts w:hint="eastAsia" w:ascii="Times New Roman" w:hAnsi="Times New Roman" w:eastAsia="仿宋_GB2312" w:cs="仿宋_GB2312"/>
          <w:color w:val="000000"/>
          <w:sz w:val="32"/>
          <w:szCs w:val="32"/>
          <w:highlight w:val="none"/>
        </w:rPr>
        <w:t>本办法所称的烟花爆竹零售店安全经营信用记分管理是指对依法持有《烟花爆竹经营(零售)许可证》的零售店在经营中存在的违反相关法律法规行为(以下称“违法违规行为”)采取信用记分的方式进行量化管理，并依据记分情况对其实行差异化许可、精准化监管。</w:t>
      </w:r>
    </w:p>
    <w:p w14:paraId="3A8D96FA">
      <w:pPr>
        <w:pStyle w:val="9"/>
        <w:keepNext w:val="0"/>
        <w:keepLines w:val="0"/>
        <w:pageBreakBefore w:val="0"/>
        <w:widowControl w:val="0"/>
        <w:kinsoku/>
        <w:wordWrap/>
        <w:overflowPunct/>
        <w:topLinePunct w:val="0"/>
        <w:autoSpaceDE/>
        <w:autoSpaceDN/>
        <w:bidi w:val="0"/>
        <w:adjustRightInd/>
        <w:snapToGrid/>
        <w:spacing w:beforeAutospacing="0" w:afterAutospacing="0" w:line="576" w:lineRule="exact"/>
        <w:jc w:val="center"/>
        <w:textAlignment w:val="auto"/>
        <w:rPr>
          <w:rFonts w:hint="eastAsia" w:ascii="Times New Roman" w:hAnsi="Times New Roman" w:eastAsia="黑体" w:cs="黑体"/>
          <w:color w:val="000000"/>
          <w:sz w:val="32"/>
          <w:szCs w:val="32"/>
          <w:highlight w:val="none"/>
          <w:lang w:val="en-US" w:eastAsia="zh-CN"/>
        </w:rPr>
      </w:pPr>
      <w:r>
        <w:rPr>
          <w:rFonts w:hint="eastAsia" w:ascii="Times New Roman" w:hAnsi="Times New Roman" w:eastAsia="黑体" w:cs="黑体"/>
          <w:color w:val="000000"/>
          <w:sz w:val="32"/>
          <w:szCs w:val="32"/>
          <w:highlight w:val="none"/>
          <w:lang w:val="en-US" w:eastAsia="zh-CN"/>
        </w:rPr>
        <w:t>第二章    组织管理</w:t>
      </w:r>
    </w:p>
    <w:p w14:paraId="656BD86D">
      <w:pPr>
        <w:pStyle w:val="9"/>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jc w:val="both"/>
        <w:textAlignment w:val="auto"/>
        <w:rPr>
          <w:rFonts w:hint="eastAsia" w:ascii="Times New Roman" w:hAnsi="Times New Roman" w:eastAsia="仿宋_GB2312" w:cs="仿宋_GB2312"/>
          <w:color w:val="000000"/>
          <w:sz w:val="32"/>
          <w:szCs w:val="32"/>
          <w:highlight w:val="none"/>
        </w:rPr>
      </w:pPr>
      <w:r>
        <w:rPr>
          <w:rFonts w:hint="eastAsia" w:ascii="Times New Roman" w:hAnsi="Times New Roman" w:eastAsia="黑体" w:cs="黑体"/>
          <w:color w:val="000000"/>
          <w:sz w:val="32"/>
          <w:szCs w:val="32"/>
          <w:highlight w:val="none"/>
        </w:rPr>
        <w:t xml:space="preserve">第四条  </w:t>
      </w:r>
      <w:r>
        <w:rPr>
          <w:rFonts w:hint="eastAsia" w:ascii="Times New Roman" w:hAnsi="Times New Roman" w:eastAsia="仿宋_GB2312" w:cs="仿宋_GB2312"/>
          <w:color w:val="000000"/>
          <w:sz w:val="32"/>
          <w:szCs w:val="32"/>
          <w:highlight w:val="none"/>
        </w:rPr>
        <w:t>烟花爆竹零售店安全经营信用记分管理遵循统一标准、科学考核，激励诚信、惩戒失信的原则。</w:t>
      </w:r>
    </w:p>
    <w:p w14:paraId="045B55B3">
      <w:pPr>
        <w:pStyle w:val="9"/>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jc w:val="both"/>
        <w:textAlignment w:val="auto"/>
        <w:rPr>
          <w:rFonts w:hint="eastAsia" w:ascii="Times New Roman" w:hAnsi="Times New Roman" w:eastAsia="仿宋" w:cs="仿宋"/>
          <w:color w:val="000000"/>
          <w:sz w:val="32"/>
          <w:szCs w:val="32"/>
          <w:highlight w:val="none"/>
        </w:rPr>
      </w:pPr>
      <w:r>
        <w:rPr>
          <w:rFonts w:hint="eastAsia" w:ascii="Times New Roman" w:hAnsi="Times New Roman" w:eastAsia="黑体" w:cs="黑体"/>
          <w:color w:val="000000"/>
          <w:sz w:val="32"/>
          <w:szCs w:val="32"/>
          <w:highlight w:val="none"/>
        </w:rPr>
        <w:t xml:space="preserve">第五条 </w:t>
      </w:r>
      <w:r>
        <w:rPr>
          <w:rFonts w:hint="eastAsia" w:ascii="Times New Roman" w:hAnsi="Times New Roman" w:eastAsia="黑体" w:cs="黑体"/>
          <w:color w:val="000000"/>
          <w:sz w:val="32"/>
          <w:szCs w:val="32"/>
          <w:highlight w:val="none"/>
          <w:lang w:val="en-US" w:eastAsia="zh-CN"/>
        </w:rPr>
        <w:t xml:space="preserve"> </w:t>
      </w:r>
      <w:r>
        <w:rPr>
          <w:rFonts w:hint="eastAsia" w:ascii="Times New Roman" w:hAnsi="Times New Roman" w:eastAsia="仿宋_GB2312" w:cs="仿宋_GB2312"/>
          <w:color w:val="000000"/>
          <w:sz w:val="32"/>
          <w:szCs w:val="32"/>
          <w:highlight w:val="none"/>
        </w:rPr>
        <w:t>基础分为12分，以《烟花爆竹经营（零售）许可证》的有效期为一个记分周期。</w:t>
      </w:r>
    </w:p>
    <w:p w14:paraId="08068A79">
      <w:pPr>
        <w:pStyle w:val="9"/>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jc w:val="both"/>
        <w:textAlignment w:val="auto"/>
        <w:rPr>
          <w:rFonts w:hint="eastAsia" w:ascii="Times New Roman" w:hAnsi="Times New Roman" w:eastAsia="仿宋_GB2312" w:cs="仿宋_GB2312"/>
          <w:color w:val="000000"/>
          <w:sz w:val="32"/>
          <w:szCs w:val="32"/>
          <w:highlight w:val="none"/>
        </w:rPr>
      </w:pPr>
      <w:r>
        <w:rPr>
          <w:rFonts w:hint="eastAsia" w:ascii="Times New Roman" w:hAnsi="Times New Roman" w:eastAsia="黑体" w:cs="黑体"/>
          <w:color w:val="000000"/>
          <w:sz w:val="32"/>
          <w:szCs w:val="32"/>
          <w:highlight w:val="none"/>
        </w:rPr>
        <w:t xml:space="preserve">第六条 </w:t>
      </w:r>
      <w:r>
        <w:rPr>
          <w:rFonts w:hint="eastAsia" w:ascii="Times New Roman" w:hAnsi="Times New Roman" w:eastAsia="黑体" w:cs="黑体"/>
          <w:color w:val="000000"/>
          <w:sz w:val="32"/>
          <w:szCs w:val="32"/>
          <w:highlight w:val="none"/>
          <w:lang w:val="en-US" w:eastAsia="zh-CN"/>
        </w:rPr>
        <w:t xml:space="preserve"> </w:t>
      </w:r>
      <w:r>
        <w:rPr>
          <w:rFonts w:hint="eastAsia" w:ascii="Times New Roman" w:hAnsi="Times New Roman" w:eastAsia="仿宋_GB2312" w:cs="仿宋_GB2312"/>
          <w:color w:val="000000"/>
          <w:sz w:val="32"/>
          <w:szCs w:val="32"/>
          <w:highlight w:val="none"/>
        </w:rPr>
        <w:t>烟花爆竹零售店涉及记分的，根据“属地监管”的原则，按照“谁发现、谁申报、谁负责”的办法，由各镇及负有烟花爆竹安全生产监督管理职责的部门在履行烟花爆竹安全生产监督管理职责中，对发现的违法违规行为按照《</w:t>
      </w:r>
      <w:r>
        <w:rPr>
          <w:rFonts w:hint="eastAsia" w:ascii="Times New Roman" w:hAnsi="Times New Roman" w:eastAsia="仿宋_GB2312" w:cs="仿宋_GB2312"/>
          <w:color w:val="000000"/>
          <w:sz w:val="32"/>
          <w:szCs w:val="32"/>
          <w:highlight w:val="none"/>
          <w:lang w:eastAsia="zh-CN"/>
        </w:rPr>
        <w:t>广元市烟花爆竹零售店安全经营信用记分检查清单</w:t>
      </w:r>
      <w:r>
        <w:rPr>
          <w:rFonts w:hint="eastAsia" w:ascii="Times New Roman" w:hAnsi="Times New Roman" w:eastAsia="仿宋_GB2312" w:cs="仿宋_GB2312"/>
          <w:color w:val="000000"/>
          <w:sz w:val="32"/>
          <w:szCs w:val="32"/>
          <w:highlight w:val="none"/>
        </w:rPr>
        <w:t>》（见附件1）给予相应的信用记分</w:t>
      </w:r>
      <w:r>
        <w:rPr>
          <w:rFonts w:hint="eastAsia" w:ascii="Times New Roman" w:hAnsi="Times New Roman" w:eastAsia="仿宋_GB2312" w:cs="仿宋_GB2312"/>
          <w:color w:val="000000"/>
          <w:sz w:val="32"/>
          <w:szCs w:val="32"/>
          <w:highlight w:val="none"/>
          <w:lang w:eastAsia="zh-CN"/>
        </w:rPr>
        <w:t>，并在</w:t>
      </w:r>
      <w:r>
        <w:rPr>
          <w:rFonts w:hint="eastAsia" w:ascii="Times New Roman" w:hAnsi="Times New Roman" w:eastAsia="仿宋_GB2312" w:cs="仿宋_GB2312"/>
          <w:color w:val="000000"/>
          <w:sz w:val="32"/>
          <w:szCs w:val="32"/>
          <w:highlight w:val="none"/>
        </w:rPr>
        <w:t>三个工作日内</w:t>
      </w:r>
      <w:r>
        <w:rPr>
          <w:rFonts w:hint="eastAsia" w:ascii="Times New Roman" w:hAnsi="Times New Roman" w:eastAsia="仿宋_GB2312" w:cs="仿宋_GB2312"/>
          <w:color w:val="000000"/>
          <w:sz w:val="32"/>
          <w:szCs w:val="32"/>
          <w:highlight w:val="none"/>
          <w:lang w:eastAsia="zh-CN"/>
        </w:rPr>
        <w:t>以书面函送形式</w:t>
      </w:r>
      <w:r>
        <w:rPr>
          <w:rFonts w:hint="eastAsia" w:ascii="Times New Roman" w:hAnsi="Times New Roman" w:eastAsia="仿宋_GB2312" w:cs="仿宋_GB2312"/>
          <w:color w:val="000000"/>
          <w:sz w:val="32"/>
          <w:szCs w:val="32"/>
          <w:highlight w:val="none"/>
        </w:rPr>
        <w:t>将《</w:t>
      </w:r>
      <w:r>
        <w:rPr>
          <w:rFonts w:hint="eastAsia" w:ascii="Times New Roman" w:hAnsi="Times New Roman" w:eastAsia="仿宋_GB2312" w:cs="仿宋_GB2312"/>
          <w:color w:val="000000"/>
          <w:sz w:val="32"/>
          <w:szCs w:val="32"/>
          <w:highlight w:val="none"/>
          <w:lang w:eastAsia="zh-CN"/>
        </w:rPr>
        <w:t>昭化区</w:t>
      </w:r>
      <w:r>
        <w:rPr>
          <w:rFonts w:hint="eastAsia" w:ascii="Times New Roman" w:hAnsi="Times New Roman" w:eastAsia="仿宋_GB2312" w:cs="仿宋_GB2312"/>
          <w:color w:val="000000"/>
          <w:sz w:val="32"/>
          <w:szCs w:val="32"/>
          <w:highlight w:val="none"/>
        </w:rPr>
        <w:t>烟花爆竹零售经营店安全诚信经营记分表》（详见附件2）</w:t>
      </w:r>
      <w:r>
        <w:rPr>
          <w:rFonts w:hint="eastAsia" w:ascii="Times New Roman" w:hAnsi="Times New Roman" w:eastAsia="仿宋_GB2312" w:cs="仿宋_GB2312"/>
          <w:color w:val="000000"/>
          <w:sz w:val="32"/>
          <w:szCs w:val="32"/>
          <w:highlight w:val="none"/>
          <w:lang w:eastAsia="zh-CN"/>
        </w:rPr>
        <w:t>及相关佐证材料</w:t>
      </w:r>
      <w:r>
        <w:rPr>
          <w:rFonts w:hint="eastAsia" w:ascii="Times New Roman" w:hAnsi="Times New Roman" w:eastAsia="仿宋_GB2312" w:cs="仿宋_GB2312"/>
          <w:color w:val="000000"/>
          <w:sz w:val="32"/>
          <w:szCs w:val="32"/>
          <w:highlight w:val="none"/>
        </w:rPr>
        <w:t>报</w:t>
      </w:r>
      <w:r>
        <w:rPr>
          <w:rFonts w:hint="eastAsia" w:ascii="Times New Roman" w:hAnsi="Times New Roman" w:eastAsia="仿宋_GB2312" w:cs="仿宋_GB2312"/>
          <w:color w:val="000000"/>
          <w:sz w:val="32"/>
          <w:szCs w:val="32"/>
          <w:highlight w:val="none"/>
          <w:lang w:eastAsia="zh-CN"/>
        </w:rPr>
        <w:t>区</w:t>
      </w:r>
      <w:r>
        <w:rPr>
          <w:rFonts w:hint="eastAsia" w:ascii="Times New Roman" w:hAnsi="Times New Roman" w:eastAsia="仿宋_GB2312" w:cs="仿宋_GB2312"/>
          <w:color w:val="000000"/>
          <w:sz w:val="32"/>
          <w:szCs w:val="32"/>
          <w:highlight w:val="none"/>
        </w:rPr>
        <w:t>应急管理局，</w:t>
      </w:r>
      <w:r>
        <w:rPr>
          <w:rFonts w:hint="eastAsia" w:ascii="Times New Roman" w:hAnsi="Times New Roman" w:eastAsia="仿宋_GB2312" w:cs="仿宋_GB2312"/>
          <w:color w:val="000000"/>
          <w:sz w:val="32"/>
          <w:szCs w:val="32"/>
          <w:highlight w:val="none"/>
          <w:lang w:eastAsia="zh-CN"/>
        </w:rPr>
        <w:t>区</w:t>
      </w:r>
      <w:r>
        <w:rPr>
          <w:rFonts w:hint="eastAsia" w:ascii="Times New Roman" w:hAnsi="Times New Roman" w:eastAsia="仿宋_GB2312" w:cs="仿宋_GB2312"/>
          <w:color w:val="000000"/>
          <w:sz w:val="32"/>
          <w:szCs w:val="32"/>
          <w:highlight w:val="none"/>
        </w:rPr>
        <w:t>应急管理局在七个工作日内完成记分审查并反馈当事人，同时记入零售店诚信经营安全管理档案</w:t>
      </w:r>
      <w:r>
        <w:rPr>
          <w:rFonts w:hint="eastAsia" w:ascii="Times New Roman" w:hAnsi="Times New Roman" w:eastAsia="仿宋_GB2312" w:cs="仿宋_GB2312"/>
          <w:color w:val="000000"/>
          <w:sz w:val="32"/>
          <w:szCs w:val="32"/>
          <w:highlight w:val="none"/>
          <w:lang w:eastAsia="zh-CN"/>
        </w:rPr>
        <w:t>，涉嫌违法的由区应急管理局依法进行处罚</w:t>
      </w:r>
      <w:r>
        <w:rPr>
          <w:rFonts w:hint="eastAsia" w:ascii="Times New Roman" w:hAnsi="Times New Roman" w:eastAsia="仿宋_GB2312" w:cs="仿宋_GB2312"/>
          <w:color w:val="000000"/>
          <w:sz w:val="32"/>
          <w:szCs w:val="32"/>
          <w:highlight w:val="none"/>
        </w:rPr>
        <w:t>。</w:t>
      </w:r>
      <w:r>
        <w:rPr>
          <w:rFonts w:hint="eastAsia" w:ascii="Times New Roman" w:hAnsi="Times New Roman" w:eastAsia="仿宋_GB2312" w:cs="仿宋_GB2312"/>
          <w:color w:val="000000"/>
          <w:kern w:val="0"/>
          <w:sz w:val="32"/>
          <w:szCs w:val="32"/>
          <w:lang w:val="en-US" w:eastAsia="zh-CN" w:bidi="ar"/>
        </w:rPr>
        <w:t>制定《昭化区烟花爆竹零售经营信用记分公示牌》（详见附件3），张贴或悬挂在各烟花爆竹零售店的醒目位置。由各零售店负责人进行安全承诺，进一步增强其安全意识、夯实主体责任。公开零售店信用记分情况及信用等级，增强零售店遵纪守法的自觉性；宣传推广监督举报渠道，充分发挥群众监督作用，倒逼各零售店进一步规范经营行为。</w:t>
      </w:r>
    </w:p>
    <w:p w14:paraId="00B3F52D">
      <w:pPr>
        <w:pStyle w:val="9"/>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jc w:val="both"/>
        <w:textAlignment w:val="auto"/>
        <w:rPr>
          <w:rFonts w:hint="eastAsia" w:ascii="Times New Roman" w:hAnsi="Times New Roman" w:eastAsia="仿宋_GB2312" w:cs="仿宋_GB2312"/>
          <w:color w:val="000000"/>
          <w:sz w:val="32"/>
          <w:szCs w:val="32"/>
          <w:highlight w:val="none"/>
        </w:rPr>
      </w:pPr>
      <w:r>
        <w:rPr>
          <w:rFonts w:hint="eastAsia" w:ascii="Times New Roman" w:hAnsi="Times New Roman" w:eastAsia="黑体" w:cs="黑体"/>
          <w:color w:val="000000"/>
          <w:sz w:val="32"/>
          <w:szCs w:val="32"/>
          <w:highlight w:val="none"/>
          <w:lang w:eastAsia="zh-CN"/>
        </w:rPr>
        <w:t>第七条</w:t>
      </w:r>
      <w:r>
        <w:rPr>
          <w:rFonts w:hint="eastAsia" w:ascii="Times New Roman" w:hAnsi="Times New Roman" w:eastAsia="楷体_GB2312" w:cs="楷体_GB2312"/>
          <w:b/>
          <w:bCs/>
          <w:color w:val="000000"/>
          <w:sz w:val="32"/>
          <w:szCs w:val="32"/>
          <w:highlight w:val="none"/>
          <w:lang w:val="en-US" w:eastAsia="zh-CN"/>
        </w:rPr>
        <w:t xml:space="preserve">  </w:t>
      </w:r>
      <w:r>
        <w:rPr>
          <w:rFonts w:hint="eastAsia" w:ascii="Times New Roman" w:hAnsi="Times New Roman" w:eastAsia="楷体_GB2312" w:cs="楷体_GB2312"/>
          <w:b w:val="0"/>
          <w:bCs w:val="0"/>
          <w:color w:val="000000"/>
          <w:sz w:val="32"/>
          <w:szCs w:val="32"/>
          <w:highlight w:val="none"/>
        </w:rPr>
        <w:t>考核加分。</w:t>
      </w:r>
      <w:r>
        <w:rPr>
          <w:rFonts w:hint="eastAsia" w:ascii="Times New Roman" w:hAnsi="Times New Roman" w:eastAsia="仿宋_GB2312" w:cs="仿宋_GB2312"/>
          <w:color w:val="000000"/>
          <w:sz w:val="32"/>
          <w:szCs w:val="32"/>
          <w:highlight w:val="none"/>
        </w:rPr>
        <w:t>将各镇人民政府</w:t>
      </w:r>
      <w:r>
        <w:rPr>
          <w:rFonts w:hint="eastAsia" w:ascii="Times New Roman" w:hAnsi="Times New Roman" w:eastAsia="仿宋_GB2312" w:cs="仿宋_GB2312"/>
          <w:color w:val="000000"/>
          <w:sz w:val="32"/>
          <w:szCs w:val="32"/>
          <w:highlight w:val="none"/>
          <w:lang w:eastAsia="zh-CN"/>
        </w:rPr>
        <w:t>及负有烟花爆竹安全生产监督管理职责的部门，对辖区零售店开展记分工作</w:t>
      </w:r>
      <w:r>
        <w:rPr>
          <w:rFonts w:hint="eastAsia" w:ascii="Times New Roman" w:hAnsi="Times New Roman" w:eastAsia="仿宋_GB2312" w:cs="仿宋_GB2312"/>
          <w:color w:val="000000"/>
          <w:sz w:val="32"/>
          <w:szCs w:val="32"/>
          <w:highlight w:val="none"/>
        </w:rPr>
        <w:t>的情况纳入安全生产党政同责考核内容，对</w:t>
      </w:r>
      <w:r>
        <w:rPr>
          <w:rFonts w:hint="eastAsia" w:ascii="Times New Roman" w:hAnsi="Times New Roman" w:eastAsia="仿宋_GB2312" w:cs="仿宋_GB2312"/>
          <w:color w:val="000000"/>
          <w:sz w:val="32"/>
          <w:szCs w:val="32"/>
          <w:highlight w:val="none"/>
          <w:lang w:eastAsia="zh-CN"/>
        </w:rPr>
        <w:t>全覆盖</w:t>
      </w:r>
      <w:r>
        <w:rPr>
          <w:rFonts w:hint="eastAsia" w:ascii="Times New Roman" w:hAnsi="Times New Roman" w:eastAsia="仿宋_GB2312" w:cs="仿宋_GB2312"/>
          <w:color w:val="000000"/>
          <w:sz w:val="32"/>
          <w:szCs w:val="32"/>
          <w:highlight w:val="none"/>
        </w:rPr>
        <w:t>安全检查并</w:t>
      </w:r>
      <w:r>
        <w:rPr>
          <w:rFonts w:hint="eastAsia" w:ascii="Times New Roman" w:hAnsi="Times New Roman" w:eastAsia="仿宋_GB2312" w:cs="仿宋_GB2312"/>
          <w:color w:val="000000"/>
          <w:sz w:val="32"/>
          <w:szCs w:val="32"/>
          <w:highlight w:val="none"/>
          <w:lang w:eastAsia="zh-CN"/>
        </w:rPr>
        <w:t>移交区应急局</w:t>
      </w:r>
      <w:r>
        <w:rPr>
          <w:rFonts w:hint="eastAsia" w:ascii="Times New Roman" w:hAnsi="Times New Roman" w:eastAsia="仿宋_GB2312" w:cs="仿宋_GB2312"/>
          <w:color w:val="000000"/>
          <w:sz w:val="32"/>
          <w:szCs w:val="32"/>
          <w:highlight w:val="none"/>
        </w:rPr>
        <w:t>立案查处案件</w:t>
      </w:r>
      <w:bookmarkStart w:id="0" w:name="_GoBack"/>
      <w:bookmarkEnd w:id="0"/>
      <w:r>
        <w:rPr>
          <w:rFonts w:hint="eastAsia" w:ascii="Times New Roman" w:hAnsi="Times New Roman" w:eastAsia="仿宋_GB2312" w:cs="仿宋_GB2312"/>
          <w:color w:val="000000"/>
          <w:sz w:val="32"/>
          <w:szCs w:val="32"/>
          <w:highlight w:val="none"/>
        </w:rPr>
        <w:t>以及在烟花爆竹“打非治违”中有突出贡献的镇</w:t>
      </w:r>
      <w:r>
        <w:rPr>
          <w:rFonts w:hint="eastAsia" w:ascii="Times New Roman" w:hAnsi="Times New Roman" w:eastAsia="仿宋_GB2312" w:cs="仿宋_GB2312"/>
          <w:color w:val="000000"/>
          <w:sz w:val="32"/>
          <w:szCs w:val="32"/>
          <w:highlight w:val="none"/>
          <w:lang w:eastAsia="zh-CN"/>
        </w:rPr>
        <w:t>和部门</w:t>
      </w:r>
      <w:r>
        <w:rPr>
          <w:rFonts w:hint="eastAsia" w:ascii="Times New Roman" w:hAnsi="Times New Roman" w:eastAsia="仿宋_GB2312" w:cs="仿宋_GB2312"/>
          <w:color w:val="000000"/>
          <w:sz w:val="32"/>
          <w:szCs w:val="32"/>
          <w:highlight w:val="none"/>
        </w:rPr>
        <w:t>进行加分奖励。</w:t>
      </w:r>
    </w:p>
    <w:p w14:paraId="7EE01055">
      <w:pPr>
        <w:pStyle w:val="9"/>
        <w:keepNext w:val="0"/>
        <w:keepLines w:val="0"/>
        <w:pageBreakBefore w:val="0"/>
        <w:widowControl w:val="0"/>
        <w:kinsoku/>
        <w:wordWrap/>
        <w:overflowPunct/>
        <w:topLinePunct w:val="0"/>
        <w:autoSpaceDE/>
        <w:autoSpaceDN/>
        <w:bidi w:val="0"/>
        <w:adjustRightInd/>
        <w:snapToGrid/>
        <w:spacing w:beforeAutospacing="0" w:afterAutospacing="0" w:line="576" w:lineRule="exact"/>
        <w:ind w:firstLine="0" w:firstLineChars="0"/>
        <w:jc w:val="center"/>
        <w:textAlignment w:val="auto"/>
        <w:rPr>
          <w:rFonts w:hint="default" w:ascii="Times New Roman" w:hAnsi="Times New Roman" w:eastAsia="黑体" w:cs="黑体"/>
          <w:color w:val="000000"/>
          <w:sz w:val="32"/>
          <w:szCs w:val="32"/>
          <w:highlight w:val="none"/>
          <w:lang w:val="en-US" w:eastAsia="zh-CN"/>
        </w:rPr>
      </w:pPr>
      <w:r>
        <w:rPr>
          <w:rFonts w:hint="eastAsia" w:ascii="Times New Roman" w:hAnsi="Times New Roman" w:eastAsia="黑体" w:cs="黑体"/>
          <w:color w:val="000000"/>
          <w:sz w:val="32"/>
          <w:szCs w:val="32"/>
          <w:highlight w:val="none"/>
          <w:lang w:eastAsia="zh-CN"/>
        </w:rPr>
        <w:t>第三章</w:t>
      </w:r>
      <w:r>
        <w:rPr>
          <w:rFonts w:hint="eastAsia" w:ascii="Times New Roman" w:hAnsi="Times New Roman" w:eastAsia="黑体" w:cs="黑体"/>
          <w:color w:val="000000"/>
          <w:sz w:val="32"/>
          <w:szCs w:val="32"/>
          <w:highlight w:val="none"/>
          <w:lang w:val="en-US" w:eastAsia="zh-CN"/>
        </w:rPr>
        <w:t xml:space="preserve">    定级程序及运用规则</w:t>
      </w:r>
    </w:p>
    <w:p w14:paraId="65E4DD57">
      <w:pPr>
        <w:pStyle w:val="9"/>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jc w:val="both"/>
        <w:textAlignment w:val="auto"/>
        <w:rPr>
          <w:rFonts w:hint="eastAsia" w:ascii="Times New Roman" w:hAnsi="Times New Roman" w:eastAsia="仿宋_GB2312" w:cs="仿宋_GB2312"/>
          <w:color w:val="000000"/>
          <w:sz w:val="32"/>
          <w:szCs w:val="32"/>
          <w:highlight w:val="none"/>
          <w:lang w:eastAsia="zh-CN"/>
        </w:rPr>
      </w:pPr>
      <w:r>
        <w:rPr>
          <w:rFonts w:hint="eastAsia" w:ascii="Times New Roman" w:hAnsi="Times New Roman" w:eastAsia="黑体" w:cs="黑体"/>
          <w:color w:val="000000"/>
          <w:sz w:val="32"/>
          <w:szCs w:val="32"/>
          <w:highlight w:val="none"/>
        </w:rPr>
        <w:t>第</w:t>
      </w:r>
      <w:r>
        <w:rPr>
          <w:rFonts w:hint="eastAsia" w:ascii="Times New Roman" w:hAnsi="Times New Roman" w:eastAsia="黑体" w:cs="黑体"/>
          <w:color w:val="000000"/>
          <w:sz w:val="32"/>
          <w:szCs w:val="32"/>
          <w:highlight w:val="none"/>
          <w:lang w:eastAsia="zh-CN"/>
        </w:rPr>
        <w:t>八</w:t>
      </w:r>
      <w:r>
        <w:rPr>
          <w:rFonts w:hint="eastAsia" w:ascii="Times New Roman" w:hAnsi="Times New Roman" w:eastAsia="黑体" w:cs="黑体"/>
          <w:color w:val="000000"/>
          <w:sz w:val="32"/>
          <w:szCs w:val="32"/>
          <w:highlight w:val="none"/>
        </w:rPr>
        <w:t xml:space="preserve">条 </w:t>
      </w:r>
      <w:r>
        <w:rPr>
          <w:rFonts w:hint="eastAsia" w:ascii="Times New Roman" w:hAnsi="Times New Roman" w:eastAsia="黑体" w:cs="黑体"/>
          <w:color w:val="000000"/>
          <w:sz w:val="32"/>
          <w:szCs w:val="32"/>
          <w:highlight w:val="none"/>
          <w:lang w:val="en-US" w:eastAsia="zh-CN"/>
        </w:rPr>
        <w:t xml:space="preserve"> </w:t>
      </w:r>
      <w:r>
        <w:rPr>
          <w:rFonts w:hint="eastAsia" w:ascii="Times New Roman" w:hAnsi="Times New Roman" w:eastAsia="仿宋_GB2312" w:cs="仿宋_GB2312"/>
          <w:color w:val="000000"/>
          <w:sz w:val="32"/>
          <w:szCs w:val="32"/>
          <w:highlight w:val="none"/>
        </w:rPr>
        <w:t>根据烟花爆竹零售经营店周期内安全经营信用记分情况评定等级，分为A级（0分）、B级（1分至5分）、C级（6分至11分）、D级（12分）四个信用等级，</w:t>
      </w:r>
      <w:r>
        <w:rPr>
          <w:rFonts w:hint="default" w:ascii="Times New Roman" w:hAnsi="Times New Roman" w:eastAsia="仿宋_GB2312" w:cs="仿宋_GB2312"/>
          <w:color w:val="000000"/>
          <w:sz w:val="32"/>
          <w:szCs w:val="32"/>
          <w:highlight w:val="none"/>
          <w:lang w:val="en-US"/>
        </w:rPr>
        <w:t>等级评定</w:t>
      </w:r>
      <w:r>
        <w:rPr>
          <w:rFonts w:hint="eastAsia" w:ascii="Times New Roman" w:hAnsi="Times New Roman" w:eastAsia="仿宋_GB2312" w:cs="仿宋_GB2312"/>
          <w:color w:val="000000"/>
          <w:sz w:val="32"/>
          <w:szCs w:val="32"/>
          <w:highlight w:val="none"/>
          <w:lang w:val="en-US" w:eastAsia="zh-CN"/>
        </w:rPr>
        <w:t>结果将</w:t>
      </w:r>
      <w:r>
        <w:rPr>
          <w:rFonts w:hint="eastAsia" w:ascii="Times New Roman" w:hAnsi="Times New Roman" w:eastAsia="仿宋_GB2312" w:cs="仿宋_GB2312"/>
          <w:color w:val="000000"/>
          <w:sz w:val="32"/>
          <w:szCs w:val="32"/>
          <w:highlight w:val="none"/>
          <w:lang w:eastAsia="zh-CN"/>
        </w:rPr>
        <w:t>在区政府网站进行公示。</w:t>
      </w:r>
    </w:p>
    <w:p w14:paraId="73324062">
      <w:pPr>
        <w:pStyle w:val="9"/>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jc w:val="both"/>
        <w:textAlignment w:val="auto"/>
        <w:rPr>
          <w:rFonts w:hint="eastAsia" w:ascii="Times New Roman" w:hAnsi="Times New Roman" w:eastAsia="仿宋_GB2312" w:cs="仿宋_GB2312"/>
          <w:color w:val="000000"/>
          <w:sz w:val="32"/>
          <w:szCs w:val="32"/>
          <w:highlight w:val="none"/>
        </w:rPr>
      </w:pPr>
      <w:r>
        <w:rPr>
          <w:rFonts w:hint="eastAsia" w:ascii="Times New Roman" w:hAnsi="Times New Roman" w:eastAsia="黑体" w:cs="黑体"/>
          <w:color w:val="000000"/>
          <w:sz w:val="32"/>
          <w:szCs w:val="32"/>
          <w:highlight w:val="none"/>
        </w:rPr>
        <w:t>第</w:t>
      </w:r>
      <w:r>
        <w:rPr>
          <w:rFonts w:hint="eastAsia" w:ascii="Times New Roman" w:hAnsi="Times New Roman" w:eastAsia="黑体" w:cs="黑体"/>
          <w:color w:val="000000"/>
          <w:sz w:val="32"/>
          <w:szCs w:val="32"/>
          <w:highlight w:val="none"/>
          <w:lang w:eastAsia="zh-CN"/>
        </w:rPr>
        <w:t>九</w:t>
      </w:r>
      <w:r>
        <w:rPr>
          <w:rFonts w:hint="eastAsia" w:ascii="Times New Roman" w:hAnsi="Times New Roman" w:eastAsia="黑体" w:cs="黑体"/>
          <w:color w:val="000000"/>
          <w:sz w:val="32"/>
          <w:szCs w:val="32"/>
          <w:highlight w:val="none"/>
        </w:rPr>
        <w:t xml:space="preserve">条 </w:t>
      </w:r>
      <w:r>
        <w:rPr>
          <w:rFonts w:hint="eastAsia" w:ascii="Times New Roman" w:hAnsi="Times New Roman" w:eastAsia="黑体" w:cs="黑体"/>
          <w:color w:val="000000"/>
          <w:sz w:val="32"/>
          <w:szCs w:val="32"/>
          <w:highlight w:val="none"/>
          <w:lang w:val="en-US" w:eastAsia="zh-CN"/>
        </w:rPr>
        <w:t xml:space="preserve"> </w:t>
      </w:r>
      <w:r>
        <w:rPr>
          <w:rFonts w:hint="eastAsia" w:ascii="Times New Roman" w:hAnsi="Times New Roman" w:eastAsia="仿宋_GB2312" w:cs="仿宋_GB2312"/>
          <w:color w:val="000000"/>
          <w:sz w:val="32"/>
          <w:szCs w:val="32"/>
          <w:highlight w:val="none"/>
        </w:rPr>
        <w:t>信用等级作为行政许可、执法检查频次、行业或职业禁入的重要参考依据。</w:t>
      </w:r>
      <w:r>
        <w:rPr>
          <w:rFonts w:hint="default" w:ascii="Times New Roman" w:hAnsi="Times New Roman" w:eastAsia="仿宋_GB2312" w:cs="仿宋_GB2312"/>
          <w:color w:val="000000"/>
          <w:sz w:val="32"/>
          <w:szCs w:val="32"/>
          <w:highlight w:val="none"/>
          <w:lang w:val="en-US"/>
        </w:rPr>
        <w:t>区</w:t>
      </w:r>
      <w:r>
        <w:rPr>
          <w:rFonts w:hint="eastAsia" w:ascii="Times New Roman" w:hAnsi="Times New Roman" w:eastAsia="仿宋_GB2312" w:cs="仿宋_GB2312"/>
          <w:color w:val="000000"/>
          <w:sz w:val="32"/>
          <w:szCs w:val="32"/>
          <w:highlight w:val="none"/>
          <w:lang w:val="en-US" w:eastAsia="zh-CN"/>
        </w:rPr>
        <w:t>应急管理局</w:t>
      </w:r>
      <w:r>
        <w:rPr>
          <w:rFonts w:hint="default" w:ascii="Times New Roman" w:hAnsi="Times New Roman" w:eastAsia="仿宋_GB2312" w:cs="仿宋_GB2312"/>
          <w:color w:val="000000"/>
          <w:sz w:val="32"/>
          <w:szCs w:val="32"/>
          <w:highlight w:val="none"/>
          <w:lang w:val="en-US"/>
        </w:rPr>
        <w:t>依据</w:t>
      </w:r>
      <w:r>
        <w:rPr>
          <w:rFonts w:hint="eastAsia" w:ascii="Times New Roman" w:hAnsi="Times New Roman" w:eastAsia="仿宋_GB2312" w:cs="仿宋_GB2312"/>
          <w:color w:val="000000"/>
          <w:sz w:val="32"/>
          <w:szCs w:val="32"/>
          <w:highlight w:val="none"/>
        </w:rPr>
        <w:t>信用等级</w:t>
      </w:r>
      <w:r>
        <w:rPr>
          <w:rFonts w:hint="eastAsia" w:ascii="Times New Roman" w:hAnsi="Times New Roman" w:eastAsia="仿宋_GB2312" w:cs="仿宋_GB2312"/>
          <w:color w:val="000000"/>
          <w:sz w:val="32"/>
          <w:szCs w:val="32"/>
          <w:highlight w:val="none"/>
          <w:lang w:val="en-US"/>
        </w:rPr>
        <w:t>对</w:t>
      </w:r>
      <w:r>
        <w:rPr>
          <w:rFonts w:hint="eastAsia" w:ascii="Times New Roman" w:hAnsi="Times New Roman" w:eastAsia="仿宋_GB2312" w:cs="仿宋_GB2312"/>
          <w:color w:val="000000"/>
          <w:sz w:val="32"/>
          <w:szCs w:val="32"/>
          <w:highlight w:val="none"/>
        </w:rPr>
        <w:t>零售经营</w:t>
      </w:r>
      <w:r>
        <w:rPr>
          <w:rFonts w:hint="eastAsia" w:ascii="Times New Roman" w:hAnsi="Times New Roman" w:eastAsia="仿宋_GB2312" w:cs="仿宋_GB2312"/>
          <w:color w:val="000000"/>
          <w:sz w:val="32"/>
          <w:szCs w:val="32"/>
          <w:highlight w:val="none"/>
          <w:lang w:eastAsia="zh-CN"/>
        </w:rPr>
        <w:t>店</w:t>
      </w:r>
      <w:r>
        <w:rPr>
          <w:rFonts w:hint="eastAsia" w:ascii="Times New Roman" w:hAnsi="Times New Roman" w:eastAsia="仿宋_GB2312" w:cs="仿宋_GB2312"/>
          <w:color w:val="000000"/>
          <w:sz w:val="32"/>
          <w:szCs w:val="32"/>
          <w:highlight w:val="none"/>
        </w:rPr>
        <w:t>实施差异化</w:t>
      </w:r>
      <w:r>
        <w:rPr>
          <w:rFonts w:hint="eastAsia" w:ascii="Times New Roman" w:hAnsi="Times New Roman" w:eastAsia="仿宋_GB2312" w:cs="仿宋_GB2312"/>
          <w:color w:val="000000"/>
          <w:sz w:val="32"/>
          <w:szCs w:val="32"/>
          <w:highlight w:val="none"/>
          <w:lang w:eastAsia="zh-CN"/>
        </w:rPr>
        <w:t>、精准化</w:t>
      </w:r>
      <w:r>
        <w:rPr>
          <w:rFonts w:hint="eastAsia" w:ascii="Times New Roman" w:hAnsi="Times New Roman" w:eastAsia="仿宋_GB2312" w:cs="仿宋_GB2312"/>
          <w:color w:val="000000"/>
          <w:sz w:val="32"/>
          <w:szCs w:val="32"/>
          <w:highlight w:val="none"/>
          <w:lang w:val="en-US"/>
        </w:rPr>
        <w:t>安全</w:t>
      </w:r>
      <w:r>
        <w:rPr>
          <w:rFonts w:hint="eastAsia" w:ascii="Times New Roman" w:hAnsi="Times New Roman" w:eastAsia="仿宋_GB2312" w:cs="仿宋_GB2312"/>
          <w:color w:val="000000"/>
          <w:sz w:val="32"/>
          <w:szCs w:val="32"/>
          <w:highlight w:val="none"/>
        </w:rPr>
        <w:t>监管服务。</w:t>
      </w:r>
    </w:p>
    <w:p w14:paraId="3D76A7F8">
      <w:pPr>
        <w:pStyle w:val="9"/>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jc w:val="both"/>
        <w:textAlignment w:val="auto"/>
        <w:rPr>
          <w:rFonts w:hint="eastAsia" w:ascii="Times New Roman" w:hAnsi="Times New Roman" w:eastAsia="仿宋_GB2312" w:cs="仿宋_GB2312"/>
          <w:color w:val="000000"/>
          <w:sz w:val="32"/>
          <w:szCs w:val="32"/>
          <w:highlight w:val="none"/>
          <w:lang w:val="en-US"/>
        </w:rPr>
      </w:pPr>
      <w:r>
        <w:rPr>
          <w:rFonts w:hint="eastAsia" w:ascii="Times New Roman" w:hAnsi="Times New Roman" w:eastAsia="楷体_GB2312" w:cs="楷体_GB2312"/>
          <w:color w:val="000000"/>
          <w:sz w:val="32"/>
          <w:szCs w:val="32"/>
          <w:highlight w:val="none"/>
        </w:rPr>
        <w:t>（一）评</w:t>
      </w:r>
      <w:r>
        <w:rPr>
          <w:rFonts w:hint="eastAsia" w:ascii="Times New Roman" w:hAnsi="Times New Roman" w:eastAsia="楷体_GB2312" w:cs="楷体_GB2312"/>
          <w:color w:val="000000"/>
          <w:sz w:val="32"/>
          <w:szCs w:val="32"/>
          <w:highlight w:val="none"/>
          <w:lang w:val="en-US"/>
        </w:rPr>
        <w:t>定为</w:t>
      </w:r>
      <w:r>
        <w:rPr>
          <w:rFonts w:hint="eastAsia" w:ascii="Times New Roman" w:hAnsi="Times New Roman" w:eastAsia="楷体_GB2312" w:cs="楷体_GB2312"/>
          <w:color w:val="000000"/>
          <w:sz w:val="32"/>
          <w:szCs w:val="32"/>
          <w:highlight w:val="none"/>
        </w:rPr>
        <w:t>A级的，实</w:t>
      </w:r>
      <w:r>
        <w:rPr>
          <w:rFonts w:hint="eastAsia" w:ascii="Times New Roman" w:hAnsi="Times New Roman" w:eastAsia="楷体_GB2312" w:cs="楷体_GB2312"/>
          <w:color w:val="000000"/>
          <w:sz w:val="32"/>
          <w:szCs w:val="32"/>
          <w:highlight w:val="none"/>
          <w:lang w:val="en-US"/>
        </w:rPr>
        <w:t>行信任监管</w:t>
      </w:r>
      <w:r>
        <w:rPr>
          <w:rFonts w:hint="eastAsia" w:ascii="Times New Roman" w:hAnsi="Times New Roman" w:eastAsia="楷体_GB2312" w:cs="楷体_GB2312"/>
          <w:color w:val="000000"/>
          <w:sz w:val="32"/>
          <w:szCs w:val="32"/>
          <w:highlight w:val="none"/>
          <w:lang w:val="en-US" w:eastAsia="zh-CN"/>
        </w:rPr>
        <w:t>。</w:t>
      </w:r>
      <w:r>
        <w:rPr>
          <w:rFonts w:hint="eastAsia" w:ascii="Times New Roman" w:hAnsi="Times New Roman" w:eastAsia="仿宋_GB2312" w:cs="仿宋_GB2312"/>
          <w:color w:val="000000"/>
          <w:sz w:val="32"/>
          <w:szCs w:val="32"/>
          <w:highlight w:val="none"/>
          <w:lang w:val="en-US"/>
        </w:rPr>
        <w:t>除专项检查、投诉</w:t>
      </w:r>
      <w:r>
        <w:rPr>
          <w:rFonts w:hint="eastAsia" w:ascii="Times New Roman" w:hAnsi="Times New Roman" w:eastAsia="仿宋_GB2312" w:cs="仿宋_GB2312"/>
          <w:color w:val="000000"/>
          <w:sz w:val="32"/>
          <w:szCs w:val="32"/>
          <w:highlight w:val="none"/>
          <w:lang w:val="en-US" w:eastAsia="zh-CN"/>
        </w:rPr>
        <w:t>举报</w:t>
      </w:r>
      <w:r>
        <w:rPr>
          <w:rFonts w:hint="eastAsia" w:ascii="Times New Roman" w:hAnsi="Times New Roman" w:eastAsia="仿宋_GB2312" w:cs="仿宋_GB2312"/>
          <w:color w:val="000000"/>
          <w:sz w:val="32"/>
          <w:szCs w:val="32"/>
          <w:highlight w:val="none"/>
          <w:lang w:val="en-US"/>
        </w:rPr>
        <w:t>或上级交办事项以外，可免于检查或根据实际情况合理降低抽查比例和频次。实施行政许可时，提供“绿色通道”，符合相关条件，可直接办理延期换证手续，</w:t>
      </w:r>
      <w:r>
        <w:rPr>
          <w:rFonts w:hint="eastAsia" w:ascii="Times New Roman" w:hAnsi="Times New Roman" w:eastAsia="仿宋_GB2312" w:cs="仿宋_GB2312"/>
          <w:color w:val="000000"/>
          <w:sz w:val="32"/>
          <w:szCs w:val="32"/>
          <w:highlight w:val="none"/>
          <w:lang w:val="en-US" w:eastAsia="zh-CN"/>
        </w:rPr>
        <w:t>经营（零售）</w:t>
      </w:r>
      <w:r>
        <w:rPr>
          <w:rFonts w:hint="eastAsia" w:ascii="Times New Roman" w:hAnsi="Times New Roman" w:eastAsia="仿宋_GB2312" w:cs="仿宋_GB2312"/>
          <w:color w:val="000000"/>
          <w:sz w:val="32"/>
          <w:szCs w:val="32"/>
          <w:highlight w:val="none"/>
          <w:lang w:val="en-US"/>
        </w:rPr>
        <w:t>许可有效期为2年；</w:t>
      </w:r>
    </w:p>
    <w:p w14:paraId="470192D5">
      <w:pPr>
        <w:pStyle w:val="9"/>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jc w:val="both"/>
        <w:textAlignment w:val="auto"/>
        <w:rPr>
          <w:rFonts w:hint="eastAsia" w:ascii="Times New Roman" w:hAnsi="Times New Roman" w:eastAsia="仿宋_GB2312" w:cs="仿宋_GB2312"/>
          <w:color w:val="000000"/>
          <w:sz w:val="32"/>
          <w:szCs w:val="32"/>
          <w:highlight w:val="none"/>
        </w:rPr>
      </w:pPr>
      <w:r>
        <w:rPr>
          <w:rFonts w:hint="eastAsia" w:ascii="Times New Roman" w:hAnsi="Times New Roman" w:eastAsia="楷体_GB2312" w:cs="楷体_GB2312"/>
          <w:color w:val="000000"/>
          <w:sz w:val="32"/>
          <w:szCs w:val="32"/>
          <w:highlight w:val="none"/>
          <w:lang w:val="en-US"/>
        </w:rPr>
        <w:t>（二）评</w:t>
      </w:r>
      <w:r>
        <w:rPr>
          <w:rFonts w:hint="default" w:ascii="Times New Roman" w:hAnsi="Times New Roman" w:eastAsia="楷体_GB2312" w:cs="楷体_GB2312"/>
          <w:color w:val="000000"/>
          <w:sz w:val="32"/>
          <w:szCs w:val="32"/>
          <w:highlight w:val="none"/>
          <w:lang w:val="en-US"/>
        </w:rPr>
        <w:t>定</w:t>
      </w:r>
      <w:r>
        <w:rPr>
          <w:rFonts w:hint="eastAsia" w:ascii="Times New Roman" w:hAnsi="Times New Roman" w:eastAsia="楷体_GB2312" w:cs="楷体_GB2312"/>
          <w:color w:val="000000"/>
          <w:sz w:val="32"/>
          <w:szCs w:val="32"/>
          <w:highlight w:val="none"/>
          <w:lang w:val="en-US"/>
        </w:rPr>
        <w:t>为B级的，</w:t>
      </w:r>
      <w:r>
        <w:rPr>
          <w:rFonts w:hint="default" w:ascii="Times New Roman" w:hAnsi="Times New Roman" w:eastAsia="楷体_GB2312" w:cs="楷体_GB2312"/>
          <w:color w:val="000000"/>
          <w:sz w:val="32"/>
          <w:szCs w:val="32"/>
          <w:highlight w:val="none"/>
          <w:lang w:val="en-US"/>
        </w:rPr>
        <w:t>实</w:t>
      </w:r>
      <w:r>
        <w:rPr>
          <w:rFonts w:hint="eastAsia" w:ascii="Times New Roman" w:hAnsi="Times New Roman" w:eastAsia="楷体_GB2312" w:cs="楷体_GB2312"/>
          <w:color w:val="000000"/>
          <w:sz w:val="32"/>
          <w:szCs w:val="32"/>
          <w:highlight w:val="none"/>
          <w:lang w:val="en-US" w:eastAsia="zh-CN"/>
        </w:rPr>
        <w:t>行普通</w:t>
      </w:r>
      <w:r>
        <w:rPr>
          <w:rFonts w:hint="default" w:ascii="Times New Roman" w:hAnsi="Times New Roman" w:eastAsia="楷体_GB2312" w:cs="楷体_GB2312"/>
          <w:color w:val="000000"/>
          <w:sz w:val="32"/>
          <w:szCs w:val="32"/>
          <w:highlight w:val="none"/>
          <w:lang w:val="en-US"/>
        </w:rPr>
        <w:t>监管</w:t>
      </w:r>
      <w:r>
        <w:rPr>
          <w:rFonts w:hint="eastAsia" w:ascii="Times New Roman" w:hAnsi="Times New Roman" w:eastAsia="楷体_GB2312" w:cs="楷体_GB2312"/>
          <w:color w:val="000000"/>
          <w:sz w:val="32"/>
          <w:szCs w:val="32"/>
          <w:highlight w:val="none"/>
          <w:lang w:val="en-US" w:eastAsia="zh-CN"/>
        </w:rPr>
        <w:t>。</w:t>
      </w:r>
      <w:r>
        <w:rPr>
          <w:rFonts w:hint="eastAsia" w:ascii="Times New Roman" w:hAnsi="Times New Roman" w:eastAsia="仿宋_GB2312" w:cs="仿宋_GB2312"/>
          <w:color w:val="000000"/>
          <w:sz w:val="32"/>
          <w:szCs w:val="32"/>
          <w:highlight w:val="none"/>
        </w:rPr>
        <w:t>坚持正常检查频次，</w:t>
      </w:r>
      <w:r>
        <w:rPr>
          <w:rFonts w:hint="eastAsia" w:ascii="Times New Roman" w:hAnsi="Times New Roman" w:eastAsia="仿宋_GB2312" w:cs="仿宋_GB2312"/>
          <w:color w:val="000000"/>
          <w:sz w:val="32"/>
          <w:szCs w:val="32"/>
          <w:highlight w:val="none"/>
          <w:lang w:val="en-US"/>
        </w:rPr>
        <w:t>现场检查以</w:t>
      </w:r>
      <w:r>
        <w:rPr>
          <w:rFonts w:hint="eastAsia" w:ascii="Times New Roman" w:hAnsi="Times New Roman" w:eastAsia="仿宋_GB2312" w:cs="仿宋_GB2312"/>
          <w:color w:val="000000"/>
          <w:sz w:val="32"/>
          <w:szCs w:val="32"/>
          <w:highlight w:val="none"/>
        </w:rPr>
        <w:t>双随机抽查</w:t>
      </w:r>
      <w:r>
        <w:rPr>
          <w:rFonts w:hint="eastAsia" w:ascii="Times New Roman" w:hAnsi="Times New Roman" w:eastAsia="仿宋_GB2312" w:cs="仿宋_GB2312"/>
          <w:color w:val="000000"/>
          <w:sz w:val="32"/>
          <w:szCs w:val="32"/>
          <w:highlight w:val="none"/>
          <w:lang w:val="en-US"/>
        </w:rPr>
        <w:t>为主。实施</w:t>
      </w:r>
      <w:r>
        <w:rPr>
          <w:rFonts w:hint="eastAsia" w:ascii="Times New Roman" w:hAnsi="Times New Roman" w:eastAsia="仿宋_GB2312" w:cs="仿宋_GB2312"/>
          <w:color w:val="000000"/>
          <w:sz w:val="32"/>
          <w:szCs w:val="32"/>
          <w:highlight w:val="none"/>
        </w:rPr>
        <w:t>行政</w:t>
      </w:r>
      <w:r>
        <w:rPr>
          <w:rFonts w:hint="default" w:ascii="Times New Roman" w:hAnsi="Times New Roman" w:eastAsia="仿宋_GB2312" w:cs="仿宋_GB2312"/>
          <w:color w:val="000000"/>
          <w:sz w:val="32"/>
          <w:szCs w:val="32"/>
          <w:highlight w:val="none"/>
          <w:lang w:val="en-US"/>
        </w:rPr>
        <w:t>许可时</w:t>
      </w:r>
      <w:r>
        <w:rPr>
          <w:rFonts w:hint="eastAsia" w:ascii="Times New Roman" w:hAnsi="Times New Roman" w:eastAsia="仿宋_GB2312" w:cs="仿宋_GB2312"/>
          <w:color w:val="000000"/>
          <w:sz w:val="32"/>
          <w:szCs w:val="32"/>
          <w:highlight w:val="none"/>
        </w:rPr>
        <w:t>，常规化办理，</w:t>
      </w:r>
      <w:r>
        <w:rPr>
          <w:rFonts w:hint="eastAsia" w:ascii="Times New Roman" w:hAnsi="Times New Roman" w:eastAsia="仿宋_GB2312" w:cs="仿宋_GB2312"/>
          <w:color w:val="000000"/>
          <w:sz w:val="32"/>
          <w:szCs w:val="32"/>
          <w:highlight w:val="none"/>
          <w:lang w:val="en-US" w:eastAsia="zh-CN"/>
        </w:rPr>
        <w:t>经营（零售）</w:t>
      </w:r>
      <w:r>
        <w:rPr>
          <w:rFonts w:hint="eastAsia" w:ascii="Times New Roman" w:hAnsi="Times New Roman" w:eastAsia="仿宋_GB2312" w:cs="仿宋_GB2312"/>
          <w:color w:val="000000"/>
          <w:sz w:val="32"/>
          <w:szCs w:val="32"/>
          <w:highlight w:val="none"/>
        </w:rPr>
        <w:t>许可有效期为</w:t>
      </w:r>
      <w:r>
        <w:rPr>
          <w:rFonts w:hint="default" w:ascii="Times New Roman" w:hAnsi="Times New Roman" w:eastAsia="仿宋_GB2312" w:cs="仿宋_GB2312"/>
          <w:color w:val="000000"/>
          <w:sz w:val="32"/>
          <w:szCs w:val="32"/>
          <w:highlight w:val="none"/>
          <w:lang w:val="en-US"/>
        </w:rPr>
        <w:t>2年</w:t>
      </w:r>
      <w:r>
        <w:rPr>
          <w:rFonts w:hint="eastAsia" w:ascii="Times New Roman" w:hAnsi="Times New Roman" w:eastAsia="仿宋_GB2312" w:cs="仿宋_GB2312"/>
          <w:color w:val="000000"/>
          <w:sz w:val="32"/>
          <w:szCs w:val="32"/>
          <w:highlight w:val="none"/>
        </w:rPr>
        <w:t>；</w:t>
      </w:r>
    </w:p>
    <w:p w14:paraId="661942A1">
      <w:pPr>
        <w:pStyle w:val="9"/>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jc w:val="both"/>
        <w:textAlignment w:val="auto"/>
        <w:rPr>
          <w:rFonts w:hint="eastAsia" w:ascii="Times New Roman" w:hAnsi="Times New Roman" w:eastAsia="仿宋_GB2312" w:cs="仿宋_GB2312"/>
          <w:color w:val="000000"/>
          <w:sz w:val="32"/>
          <w:szCs w:val="32"/>
          <w:highlight w:val="none"/>
        </w:rPr>
      </w:pPr>
      <w:r>
        <w:rPr>
          <w:rFonts w:hint="eastAsia" w:ascii="Times New Roman" w:hAnsi="Times New Roman" w:eastAsia="楷体_GB2312" w:cs="楷体_GB2312"/>
          <w:color w:val="000000"/>
          <w:sz w:val="32"/>
          <w:szCs w:val="32"/>
          <w:highlight w:val="none"/>
          <w:lang w:val="en-US" w:eastAsia="zh-CN"/>
        </w:rPr>
        <w:t>（三）评</w:t>
      </w:r>
      <w:r>
        <w:rPr>
          <w:rFonts w:hint="default" w:ascii="Times New Roman" w:hAnsi="Times New Roman" w:eastAsia="楷体_GB2312" w:cs="楷体_GB2312"/>
          <w:color w:val="000000"/>
          <w:sz w:val="32"/>
          <w:szCs w:val="32"/>
          <w:highlight w:val="none"/>
          <w:lang w:val="en-US" w:eastAsia="zh-CN"/>
        </w:rPr>
        <w:t>定</w:t>
      </w:r>
      <w:r>
        <w:rPr>
          <w:rFonts w:hint="eastAsia" w:ascii="Times New Roman" w:hAnsi="Times New Roman" w:eastAsia="楷体_GB2312" w:cs="楷体_GB2312"/>
          <w:color w:val="000000"/>
          <w:sz w:val="32"/>
          <w:szCs w:val="32"/>
          <w:highlight w:val="none"/>
          <w:lang w:val="en-US" w:eastAsia="zh-CN"/>
        </w:rPr>
        <w:t>为C级的，实行重点监管。</w:t>
      </w:r>
      <w:r>
        <w:rPr>
          <w:rFonts w:hint="eastAsia" w:ascii="Times New Roman" w:hAnsi="Times New Roman" w:eastAsia="仿宋_GB2312" w:cs="仿宋_GB2312"/>
          <w:color w:val="000000"/>
          <w:sz w:val="32"/>
          <w:szCs w:val="32"/>
          <w:highlight w:val="none"/>
        </w:rPr>
        <w:t>提高</w:t>
      </w:r>
      <w:r>
        <w:rPr>
          <w:rFonts w:hint="default" w:ascii="Times New Roman" w:hAnsi="Times New Roman" w:eastAsia="仿宋_GB2312" w:cs="仿宋_GB2312"/>
          <w:color w:val="000000"/>
          <w:sz w:val="32"/>
          <w:szCs w:val="32"/>
          <w:highlight w:val="none"/>
          <w:lang w:val="en-US"/>
        </w:rPr>
        <w:t>现场检查频次，</w:t>
      </w:r>
      <w:r>
        <w:rPr>
          <w:rFonts w:hint="eastAsia" w:ascii="Times New Roman" w:hAnsi="Times New Roman" w:eastAsia="仿宋_GB2312" w:cs="仿宋_GB2312"/>
          <w:color w:val="000000"/>
          <w:sz w:val="32"/>
          <w:szCs w:val="32"/>
          <w:highlight w:val="none"/>
        </w:rPr>
        <w:t>由区应急管理局对主要负责人进行约谈，主要负责人参加由区</w:t>
      </w:r>
      <w:r>
        <w:rPr>
          <w:rFonts w:hint="eastAsia" w:ascii="Times New Roman" w:hAnsi="Times New Roman" w:eastAsia="仿宋_GB2312" w:cs="仿宋_GB2312"/>
          <w:color w:val="000000"/>
          <w:sz w:val="32"/>
          <w:szCs w:val="32"/>
          <w:highlight w:val="none"/>
          <w:lang w:eastAsia="zh-CN"/>
        </w:rPr>
        <w:t>应急管理局</w:t>
      </w:r>
      <w:r>
        <w:rPr>
          <w:rFonts w:hint="eastAsia" w:ascii="Times New Roman" w:hAnsi="Times New Roman" w:eastAsia="仿宋_GB2312" w:cs="仿宋_GB2312"/>
          <w:color w:val="000000"/>
          <w:sz w:val="32"/>
          <w:szCs w:val="32"/>
          <w:highlight w:val="none"/>
        </w:rPr>
        <w:t>组织的安全知识培训</w:t>
      </w:r>
      <w:r>
        <w:rPr>
          <w:rFonts w:hint="eastAsia" w:ascii="Times New Roman" w:hAnsi="Times New Roman" w:eastAsia="仿宋_GB2312" w:cs="仿宋_GB2312"/>
          <w:color w:val="000000"/>
          <w:sz w:val="32"/>
          <w:szCs w:val="32"/>
          <w:highlight w:val="none"/>
          <w:lang w:eastAsia="zh-CN"/>
        </w:rPr>
        <w:t>与考核</w:t>
      </w:r>
      <w:r>
        <w:rPr>
          <w:rFonts w:hint="eastAsia" w:ascii="Times New Roman" w:hAnsi="Times New Roman" w:eastAsia="仿宋_GB2312" w:cs="仿宋_GB2312"/>
          <w:color w:val="000000"/>
          <w:sz w:val="32"/>
          <w:szCs w:val="32"/>
          <w:highlight w:val="none"/>
        </w:rPr>
        <w:t>。</w:t>
      </w:r>
      <w:r>
        <w:rPr>
          <w:rFonts w:hint="default" w:ascii="Times New Roman" w:hAnsi="Times New Roman" w:eastAsia="仿宋_GB2312" w:cs="仿宋_GB2312"/>
          <w:color w:val="000000"/>
          <w:sz w:val="32"/>
          <w:szCs w:val="32"/>
          <w:highlight w:val="none"/>
          <w:lang w:val="en-US"/>
        </w:rPr>
        <w:t>实施</w:t>
      </w:r>
      <w:r>
        <w:rPr>
          <w:rFonts w:hint="eastAsia" w:ascii="Times New Roman" w:hAnsi="Times New Roman" w:eastAsia="仿宋_GB2312" w:cs="仿宋_GB2312"/>
          <w:color w:val="000000"/>
          <w:sz w:val="32"/>
          <w:szCs w:val="32"/>
          <w:highlight w:val="none"/>
        </w:rPr>
        <w:t>行政</w:t>
      </w:r>
      <w:r>
        <w:rPr>
          <w:rFonts w:hint="default" w:ascii="Times New Roman" w:hAnsi="Times New Roman" w:eastAsia="仿宋_GB2312" w:cs="仿宋_GB2312"/>
          <w:color w:val="000000"/>
          <w:sz w:val="32"/>
          <w:szCs w:val="32"/>
          <w:highlight w:val="none"/>
          <w:lang w:val="en-US"/>
        </w:rPr>
        <w:t>许可时</w:t>
      </w:r>
      <w:r>
        <w:rPr>
          <w:rFonts w:hint="eastAsia" w:ascii="Times New Roman" w:hAnsi="Times New Roman" w:eastAsia="仿宋_GB2312" w:cs="仿宋_GB2312"/>
          <w:color w:val="000000"/>
          <w:sz w:val="32"/>
          <w:szCs w:val="32"/>
          <w:highlight w:val="none"/>
        </w:rPr>
        <w:t>，</w:t>
      </w:r>
      <w:r>
        <w:rPr>
          <w:rFonts w:hint="default" w:ascii="Times New Roman" w:hAnsi="Times New Roman" w:eastAsia="仿宋_GB2312" w:cs="仿宋_GB2312"/>
          <w:color w:val="000000"/>
          <w:sz w:val="32"/>
          <w:szCs w:val="32"/>
          <w:highlight w:val="none"/>
          <w:lang w:val="en-US"/>
        </w:rPr>
        <w:t>缩短许可周期</w:t>
      </w:r>
      <w:r>
        <w:rPr>
          <w:rFonts w:hint="eastAsia" w:ascii="Times New Roman" w:hAnsi="Times New Roman" w:eastAsia="仿宋_GB2312" w:cs="仿宋_GB2312"/>
          <w:color w:val="000000"/>
          <w:sz w:val="32"/>
          <w:szCs w:val="32"/>
          <w:highlight w:val="none"/>
        </w:rPr>
        <w:t>，</w:t>
      </w:r>
      <w:r>
        <w:rPr>
          <w:rFonts w:hint="eastAsia" w:ascii="Times New Roman" w:hAnsi="Times New Roman" w:eastAsia="仿宋_GB2312" w:cs="仿宋_GB2312"/>
          <w:color w:val="000000"/>
          <w:sz w:val="32"/>
          <w:szCs w:val="32"/>
          <w:highlight w:val="none"/>
          <w:lang w:val="en-US" w:eastAsia="zh-CN"/>
        </w:rPr>
        <w:t>经营（零售）</w:t>
      </w:r>
      <w:r>
        <w:rPr>
          <w:rFonts w:hint="eastAsia" w:ascii="Times New Roman" w:hAnsi="Times New Roman" w:eastAsia="仿宋_GB2312" w:cs="仿宋_GB2312"/>
          <w:color w:val="000000"/>
          <w:sz w:val="32"/>
          <w:szCs w:val="32"/>
          <w:highlight w:val="none"/>
        </w:rPr>
        <w:t>许可有效期为1年；</w:t>
      </w:r>
    </w:p>
    <w:p w14:paraId="78F8DD9B">
      <w:pPr>
        <w:pStyle w:val="9"/>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jc w:val="both"/>
        <w:textAlignment w:val="auto"/>
        <w:rPr>
          <w:rFonts w:hint="default" w:ascii="Times New Roman" w:hAnsi="Times New Roman" w:eastAsia="仿宋_GB2312" w:cs="仿宋_GB2312"/>
          <w:color w:val="000000"/>
          <w:sz w:val="32"/>
          <w:szCs w:val="32"/>
          <w:highlight w:val="none"/>
          <w:lang w:val="en-US"/>
        </w:rPr>
      </w:pPr>
      <w:r>
        <w:rPr>
          <w:rFonts w:hint="eastAsia" w:ascii="Times New Roman" w:hAnsi="Times New Roman" w:eastAsia="楷体_GB2312" w:cs="楷体_GB2312"/>
          <w:color w:val="000000"/>
          <w:sz w:val="32"/>
          <w:szCs w:val="32"/>
          <w:highlight w:val="none"/>
          <w:lang w:val="en-US" w:eastAsia="zh-CN"/>
        </w:rPr>
        <w:t>（四）评</w:t>
      </w:r>
      <w:r>
        <w:rPr>
          <w:rFonts w:hint="default" w:ascii="Times New Roman" w:hAnsi="Times New Roman" w:eastAsia="楷体_GB2312" w:cs="楷体_GB2312"/>
          <w:color w:val="000000"/>
          <w:sz w:val="32"/>
          <w:szCs w:val="32"/>
          <w:highlight w:val="none"/>
          <w:lang w:val="en-US" w:eastAsia="zh-CN"/>
        </w:rPr>
        <w:t>定</w:t>
      </w:r>
      <w:r>
        <w:rPr>
          <w:rFonts w:hint="eastAsia" w:ascii="Times New Roman" w:hAnsi="Times New Roman" w:eastAsia="楷体_GB2312" w:cs="楷体_GB2312"/>
          <w:color w:val="000000"/>
          <w:sz w:val="32"/>
          <w:szCs w:val="32"/>
          <w:highlight w:val="none"/>
          <w:lang w:val="en-US" w:eastAsia="zh-CN"/>
        </w:rPr>
        <w:t>为D级的</w:t>
      </w:r>
      <w:r>
        <w:rPr>
          <w:rFonts w:hint="default" w:ascii="Times New Roman" w:hAnsi="Times New Roman" w:eastAsia="楷体_GB2312" w:cs="楷体_GB2312"/>
          <w:color w:val="000000"/>
          <w:sz w:val="32"/>
          <w:szCs w:val="32"/>
          <w:highlight w:val="none"/>
          <w:lang w:val="en-US" w:eastAsia="zh-CN"/>
        </w:rPr>
        <w:t>，实</w:t>
      </w:r>
      <w:r>
        <w:rPr>
          <w:rFonts w:hint="eastAsia" w:ascii="Times New Roman" w:hAnsi="Times New Roman" w:eastAsia="楷体_GB2312" w:cs="楷体_GB2312"/>
          <w:color w:val="000000"/>
          <w:sz w:val="32"/>
          <w:szCs w:val="32"/>
          <w:highlight w:val="none"/>
          <w:lang w:val="en-US" w:eastAsia="zh-CN"/>
        </w:rPr>
        <w:t>行最严</w:t>
      </w:r>
      <w:r>
        <w:rPr>
          <w:rFonts w:hint="default" w:ascii="Times New Roman" w:hAnsi="Times New Roman" w:eastAsia="楷体_GB2312" w:cs="楷体_GB2312"/>
          <w:color w:val="000000"/>
          <w:sz w:val="32"/>
          <w:szCs w:val="32"/>
          <w:highlight w:val="none"/>
          <w:lang w:val="en-US" w:eastAsia="zh-CN"/>
        </w:rPr>
        <w:t>监管</w:t>
      </w:r>
      <w:r>
        <w:rPr>
          <w:rFonts w:hint="eastAsia" w:ascii="Times New Roman" w:hAnsi="Times New Roman" w:eastAsia="楷体_GB2312" w:cs="楷体_GB2312"/>
          <w:color w:val="000000"/>
          <w:sz w:val="32"/>
          <w:szCs w:val="32"/>
          <w:highlight w:val="none"/>
          <w:lang w:val="en-US" w:eastAsia="zh-CN"/>
        </w:rPr>
        <w:t>。</w:t>
      </w:r>
      <w:r>
        <w:rPr>
          <w:rFonts w:hint="eastAsia" w:ascii="Times New Roman" w:hAnsi="Times New Roman" w:eastAsia="仿宋_GB2312" w:cs="仿宋_GB2312"/>
          <w:color w:val="000000"/>
          <w:sz w:val="32"/>
          <w:szCs w:val="32"/>
          <w:highlight w:val="none"/>
        </w:rPr>
        <w:t>提高</w:t>
      </w:r>
      <w:r>
        <w:rPr>
          <w:rFonts w:hint="default" w:ascii="Times New Roman" w:hAnsi="Times New Roman" w:eastAsia="仿宋_GB2312" w:cs="仿宋_GB2312"/>
          <w:color w:val="000000"/>
          <w:sz w:val="32"/>
          <w:szCs w:val="32"/>
          <w:highlight w:val="none"/>
          <w:lang w:val="en-US"/>
        </w:rPr>
        <w:t>现场检查频次，其中</w:t>
      </w:r>
      <w:r>
        <w:rPr>
          <w:rFonts w:hint="eastAsia" w:ascii="Times New Roman" w:hAnsi="Times New Roman" w:eastAsia="仿宋_GB2312" w:cs="仿宋_GB2312"/>
          <w:color w:val="000000"/>
          <w:sz w:val="32"/>
          <w:szCs w:val="32"/>
          <w:highlight w:val="none"/>
        </w:rPr>
        <w:t>一次性记满12分的，依法吊销</w:t>
      </w:r>
      <w:r>
        <w:rPr>
          <w:rFonts w:hint="eastAsia" w:ascii="Times New Roman" w:hAnsi="Times New Roman" w:eastAsia="仿宋_GB2312" w:cs="仿宋_GB2312"/>
          <w:color w:val="000000"/>
          <w:sz w:val="32"/>
          <w:szCs w:val="32"/>
          <w:highlight w:val="none"/>
          <w:lang w:val="en-US" w:eastAsia="zh-CN"/>
        </w:rPr>
        <w:t>经营（零售）</w:t>
      </w:r>
      <w:r>
        <w:rPr>
          <w:rFonts w:hint="eastAsia" w:ascii="Times New Roman" w:hAnsi="Times New Roman" w:eastAsia="仿宋_GB2312" w:cs="仿宋_GB2312"/>
          <w:color w:val="000000"/>
          <w:sz w:val="32"/>
          <w:szCs w:val="32"/>
          <w:highlight w:val="none"/>
        </w:rPr>
        <w:t>许可证，主要负责人纳入</w:t>
      </w:r>
      <w:r>
        <w:rPr>
          <w:rFonts w:hint="eastAsia" w:ascii="Times New Roman" w:hAnsi="Times New Roman" w:eastAsia="仿宋_GB2312" w:cs="仿宋_GB2312"/>
          <w:color w:val="000000"/>
          <w:sz w:val="32"/>
          <w:szCs w:val="32"/>
          <w:highlight w:val="none"/>
          <w:lang w:eastAsia="zh-CN"/>
        </w:rPr>
        <w:t>昭化</w:t>
      </w:r>
      <w:r>
        <w:rPr>
          <w:rFonts w:hint="eastAsia" w:ascii="Times New Roman" w:hAnsi="Times New Roman" w:eastAsia="仿宋_GB2312" w:cs="仿宋_GB2312"/>
          <w:color w:val="000000"/>
          <w:sz w:val="32"/>
          <w:szCs w:val="32"/>
          <w:highlight w:val="none"/>
        </w:rPr>
        <w:t>区烟花爆竹诚信经营“失信名单”管理，</w:t>
      </w:r>
      <w:r>
        <w:rPr>
          <w:rFonts w:hint="eastAsia" w:ascii="Times New Roman" w:hAnsi="Times New Roman" w:eastAsia="仿宋_GB2312" w:cs="仿宋_GB2312"/>
          <w:color w:val="000000"/>
          <w:sz w:val="32"/>
          <w:szCs w:val="32"/>
          <w:highlight w:val="none"/>
          <w:lang w:eastAsia="zh-CN"/>
        </w:rPr>
        <w:t>两</w:t>
      </w:r>
      <w:r>
        <w:rPr>
          <w:rFonts w:hint="eastAsia" w:ascii="Times New Roman" w:hAnsi="Times New Roman" w:eastAsia="仿宋_GB2312" w:cs="仿宋_GB2312"/>
          <w:color w:val="000000"/>
          <w:sz w:val="32"/>
          <w:szCs w:val="32"/>
          <w:highlight w:val="none"/>
        </w:rPr>
        <w:t>年内不得在</w:t>
      </w:r>
      <w:r>
        <w:rPr>
          <w:rFonts w:hint="eastAsia" w:ascii="Times New Roman" w:hAnsi="Times New Roman" w:eastAsia="仿宋_GB2312" w:cs="仿宋_GB2312"/>
          <w:color w:val="000000"/>
          <w:sz w:val="32"/>
          <w:szCs w:val="32"/>
          <w:highlight w:val="none"/>
          <w:lang w:eastAsia="zh-CN"/>
        </w:rPr>
        <w:t>昭化</w:t>
      </w:r>
      <w:r>
        <w:rPr>
          <w:rFonts w:hint="eastAsia" w:ascii="Times New Roman" w:hAnsi="Times New Roman" w:eastAsia="仿宋_GB2312" w:cs="仿宋_GB2312"/>
          <w:color w:val="000000"/>
          <w:sz w:val="32"/>
          <w:szCs w:val="32"/>
          <w:highlight w:val="none"/>
        </w:rPr>
        <w:t>区范围内重新申请烟花爆竹零售经营；累计记分满12分的，</w:t>
      </w:r>
      <w:r>
        <w:rPr>
          <w:rFonts w:hint="default" w:ascii="Times New Roman" w:hAnsi="Times New Roman" w:eastAsia="仿宋_GB2312" w:cs="仿宋_GB2312"/>
          <w:color w:val="000000"/>
          <w:sz w:val="32"/>
          <w:szCs w:val="32"/>
          <w:highlight w:val="none"/>
          <w:lang w:val="en-US"/>
        </w:rPr>
        <w:t>责令</w:t>
      </w:r>
      <w:r>
        <w:rPr>
          <w:rFonts w:hint="eastAsia" w:ascii="Times New Roman" w:hAnsi="Times New Roman" w:eastAsia="仿宋_GB2312" w:cs="仿宋_GB2312"/>
          <w:color w:val="000000"/>
          <w:sz w:val="32"/>
          <w:szCs w:val="32"/>
          <w:highlight w:val="none"/>
          <w:lang w:val="en-US" w:eastAsia="zh-CN"/>
        </w:rPr>
        <w:t>停止</w:t>
      </w:r>
      <w:r>
        <w:rPr>
          <w:rFonts w:hint="eastAsia" w:ascii="Times New Roman" w:hAnsi="Times New Roman" w:eastAsia="仿宋_GB2312" w:cs="仿宋_GB2312"/>
          <w:color w:val="000000"/>
          <w:sz w:val="32"/>
          <w:szCs w:val="32"/>
          <w:highlight w:val="none"/>
        </w:rPr>
        <w:t>经营。由区</w:t>
      </w:r>
      <w:r>
        <w:rPr>
          <w:rFonts w:hint="eastAsia" w:ascii="Times New Roman" w:hAnsi="Times New Roman" w:eastAsia="仿宋_GB2312" w:cs="仿宋_GB2312"/>
          <w:color w:val="000000"/>
          <w:sz w:val="32"/>
          <w:szCs w:val="32"/>
          <w:highlight w:val="none"/>
          <w:lang w:eastAsia="zh-CN"/>
        </w:rPr>
        <w:t>应急管理局</w:t>
      </w:r>
      <w:r>
        <w:rPr>
          <w:rFonts w:hint="eastAsia" w:ascii="Times New Roman" w:hAnsi="Times New Roman" w:eastAsia="仿宋_GB2312" w:cs="仿宋_GB2312"/>
          <w:color w:val="000000"/>
          <w:sz w:val="32"/>
          <w:szCs w:val="32"/>
          <w:highlight w:val="none"/>
        </w:rPr>
        <w:t>对主要负责人进行约谈，主要负责人</w:t>
      </w:r>
      <w:r>
        <w:rPr>
          <w:rFonts w:hint="default" w:ascii="Times New Roman" w:hAnsi="Times New Roman" w:eastAsia="仿宋_GB2312" w:cs="仿宋_GB2312"/>
          <w:color w:val="000000"/>
          <w:sz w:val="32"/>
          <w:szCs w:val="32"/>
          <w:highlight w:val="none"/>
          <w:lang w:val="en-US"/>
        </w:rPr>
        <w:t>按照法定</w:t>
      </w:r>
      <w:r>
        <w:rPr>
          <w:rFonts w:hint="eastAsia" w:ascii="Times New Roman" w:hAnsi="Times New Roman" w:eastAsia="仿宋_GB2312" w:cs="仿宋_GB2312"/>
          <w:color w:val="000000"/>
          <w:sz w:val="32"/>
          <w:szCs w:val="32"/>
          <w:highlight w:val="none"/>
          <w:lang w:val="en-US" w:eastAsia="zh-CN"/>
        </w:rPr>
        <w:t>程序</w:t>
      </w:r>
      <w:r>
        <w:rPr>
          <w:rFonts w:hint="default" w:ascii="Times New Roman" w:hAnsi="Times New Roman" w:eastAsia="仿宋_GB2312" w:cs="仿宋_GB2312"/>
          <w:color w:val="000000"/>
          <w:sz w:val="32"/>
          <w:szCs w:val="32"/>
          <w:highlight w:val="none"/>
          <w:lang w:val="en-US"/>
        </w:rPr>
        <w:t>重新</w:t>
      </w:r>
      <w:r>
        <w:rPr>
          <w:rFonts w:hint="eastAsia" w:ascii="Times New Roman" w:hAnsi="Times New Roman" w:eastAsia="仿宋_GB2312" w:cs="仿宋_GB2312"/>
          <w:color w:val="000000"/>
          <w:sz w:val="32"/>
          <w:szCs w:val="32"/>
          <w:highlight w:val="none"/>
        </w:rPr>
        <w:t>参加</w:t>
      </w:r>
      <w:r>
        <w:rPr>
          <w:rFonts w:hint="default" w:ascii="Times New Roman" w:hAnsi="Times New Roman" w:eastAsia="仿宋_GB2312" w:cs="仿宋_GB2312"/>
          <w:color w:val="000000"/>
          <w:sz w:val="32"/>
          <w:szCs w:val="32"/>
          <w:highlight w:val="none"/>
          <w:lang w:val="en-US"/>
        </w:rPr>
        <w:t>安全教育培训，并经考核合格后，方可</w:t>
      </w:r>
      <w:r>
        <w:rPr>
          <w:rFonts w:hint="eastAsia" w:ascii="Times New Roman" w:hAnsi="Times New Roman" w:eastAsia="仿宋_GB2312" w:cs="仿宋_GB2312"/>
          <w:color w:val="000000"/>
          <w:sz w:val="32"/>
          <w:szCs w:val="32"/>
          <w:highlight w:val="none"/>
          <w:lang w:val="en-US" w:eastAsia="zh-CN"/>
        </w:rPr>
        <w:t>取得</w:t>
      </w:r>
      <w:r>
        <w:rPr>
          <w:rFonts w:hint="default" w:ascii="Times New Roman" w:hAnsi="Times New Roman" w:eastAsia="仿宋_GB2312" w:cs="仿宋_GB2312"/>
          <w:color w:val="000000"/>
          <w:sz w:val="32"/>
          <w:szCs w:val="32"/>
          <w:highlight w:val="none"/>
          <w:lang w:val="en-US"/>
        </w:rPr>
        <w:t>继续经营</w:t>
      </w:r>
      <w:r>
        <w:rPr>
          <w:rFonts w:hint="eastAsia" w:ascii="Times New Roman" w:hAnsi="Times New Roman" w:eastAsia="仿宋_GB2312" w:cs="仿宋_GB2312"/>
          <w:color w:val="000000"/>
          <w:sz w:val="32"/>
          <w:szCs w:val="32"/>
          <w:highlight w:val="none"/>
          <w:lang w:val="en-US" w:eastAsia="zh-CN"/>
        </w:rPr>
        <w:t>资格</w:t>
      </w:r>
      <w:r>
        <w:rPr>
          <w:rFonts w:hint="default" w:ascii="Times New Roman" w:hAnsi="Times New Roman" w:eastAsia="仿宋_GB2312" w:cs="仿宋_GB2312"/>
          <w:color w:val="000000"/>
          <w:sz w:val="32"/>
          <w:szCs w:val="32"/>
          <w:highlight w:val="none"/>
          <w:lang w:val="en-US"/>
        </w:rPr>
        <w:t>。实施</w:t>
      </w:r>
      <w:r>
        <w:rPr>
          <w:rFonts w:hint="eastAsia" w:ascii="Times New Roman" w:hAnsi="Times New Roman" w:eastAsia="仿宋_GB2312" w:cs="仿宋_GB2312"/>
          <w:color w:val="000000"/>
          <w:sz w:val="32"/>
          <w:szCs w:val="32"/>
          <w:highlight w:val="none"/>
        </w:rPr>
        <w:t>行政</w:t>
      </w:r>
      <w:r>
        <w:rPr>
          <w:rFonts w:hint="default" w:ascii="Times New Roman" w:hAnsi="Times New Roman" w:eastAsia="仿宋_GB2312" w:cs="仿宋_GB2312"/>
          <w:color w:val="000000"/>
          <w:sz w:val="32"/>
          <w:szCs w:val="32"/>
          <w:highlight w:val="none"/>
          <w:lang w:val="en-US"/>
        </w:rPr>
        <w:t>许可时</w:t>
      </w:r>
      <w:r>
        <w:rPr>
          <w:rFonts w:hint="eastAsia" w:ascii="Times New Roman" w:hAnsi="Times New Roman" w:eastAsia="仿宋_GB2312" w:cs="仿宋_GB2312"/>
          <w:color w:val="000000"/>
          <w:sz w:val="32"/>
          <w:szCs w:val="32"/>
          <w:highlight w:val="none"/>
        </w:rPr>
        <w:t>，</w:t>
      </w:r>
      <w:r>
        <w:rPr>
          <w:rFonts w:hint="default" w:ascii="Times New Roman" w:hAnsi="Times New Roman" w:eastAsia="仿宋_GB2312" w:cs="仿宋_GB2312"/>
          <w:color w:val="000000"/>
          <w:sz w:val="32"/>
          <w:szCs w:val="32"/>
          <w:highlight w:val="none"/>
          <w:lang w:val="en-US"/>
        </w:rPr>
        <w:t>缩短许可周期，经营（零售）许可有效期为1年。若连续两个记分周期均累记记满12分，则按“一次性记满12分”的情形依法采取相应安全监管措施。</w:t>
      </w:r>
    </w:p>
    <w:p w14:paraId="59DE4100">
      <w:pPr>
        <w:pStyle w:val="9"/>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jc w:val="both"/>
        <w:textAlignment w:val="auto"/>
        <w:rPr>
          <w:rFonts w:hint="eastAsia" w:ascii="Times New Roman" w:hAnsi="Times New Roman" w:eastAsia="仿宋_GB2312" w:cs="仿宋_GB2312"/>
          <w:color w:val="000000"/>
          <w:sz w:val="32"/>
          <w:szCs w:val="32"/>
          <w:highlight w:val="none"/>
          <w:lang w:val="en-US" w:eastAsia="zh-CN"/>
        </w:rPr>
      </w:pPr>
      <w:r>
        <w:rPr>
          <w:rFonts w:hint="eastAsia" w:ascii="Times New Roman" w:hAnsi="Times New Roman" w:eastAsia="黑体" w:cs="黑体"/>
          <w:color w:val="000000"/>
          <w:sz w:val="32"/>
          <w:szCs w:val="32"/>
          <w:highlight w:val="none"/>
        </w:rPr>
        <w:t>第</w:t>
      </w:r>
      <w:r>
        <w:rPr>
          <w:rFonts w:hint="eastAsia" w:ascii="Times New Roman" w:hAnsi="Times New Roman" w:eastAsia="黑体" w:cs="黑体"/>
          <w:color w:val="000000"/>
          <w:sz w:val="32"/>
          <w:szCs w:val="32"/>
          <w:highlight w:val="none"/>
          <w:lang w:eastAsia="zh-CN"/>
        </w:rPr>
        <w:t>十</w:t>
      </w:r>
      <w:r>
        <w:rPr>
          <w:rFonts w:hint="eastAsia" w:ascii="Times New Roman" w:hAnsi="Times New Roman" w:eastAsia="黑体" w:cs="黑体"/>
          <w:color w:val="000000"/>
          <w:sz w:val="32"/>
          <w:szCs w:val="32"/>
          <w:highlight w:val="none"/>
        </w:rPr>
        <w:t xml:space="preserve">条 </w:t>
      </w:r>
      <w:r>
        <w:rPr>
          <w:rFonts w:hint="eastAsia" w:ascii="Times New Roman" w:hAnsi="Times New Roman" w:eastAsia="黑体" w:cs="黑体"/>
          <w:color w:val="000000"/>
          <w:sz w:val="32"/>
          <w:szCs w:val="32"/>
          <w:highlight w:val="none"/>
          <w:lang w:val="en-US" w:eastAsia="zh-CN"/>
        </w:rPr>
        <w:t xml:space="preserve"> </w:t>
      </w:r>
      <w:r>
        <w:rPr>
          <w:rFonts w:hint="eastAsia" w:ascii="Times New Roman" w:hAnsi="Times New Roman" w:eastAsia="仿宋_GB2312" w:cs="仿宋_GB2312"/>
          <w:color w:val="000000"/>
          <w:sz w:val="32"/>
          <w:szCs w:val="32"/>
          <w:highlight w:val="none"/>
          <w:lang w:val="en-US" w:eastAsia="zh-CN"/>
        </w:rPr>
        <w:t>依法吊销、取缔的</w:t>
      </w:r>
      <w:r>
        <w:rPr>
          <w:rFonts w:hint="default" w:ascii="Times New Roman" w:hAnsi="Times New Roman" w:eastAsia="仿宋_GB2312" w:cs="仿宋_GB2312"/>
          <w:color w:val="000000"/>
          <w:sz w:val="32"/>
          <w:szCs w:val="32"/>
          <w:highlight w:val="none"/>
          <w:lang w:val="en-US"/>
        </w:rPr>
        <w:t>经营（零售）许可</w:t>
      </w:r>
      <w:r>
        <w:rPr>
          <w:rFonts w:hint="eastAsia" w:ascii="Times New Roman" w:hAnsi="Times New Roman" w:eastAsia="仿宋_GB2312" w:cs="仿宋_GB2312"/>
          <w:color w:val="000000"/>
          <w:sz w:val="32"/>
          <w:szCs w:val="32"/>
          <w:highlight w:val="none"/>
          <w:lang w:val="en-US" w:eastAsia="zh-CN"/>
        </w:rPr>
        <w:t>证名额，将公开在所属镇辖区范围内重新择取，遵循总数不变、符合条件优先办理原则。</w:t>
      </w:r>
    </w:p>
    <w:p w14:paraId="4C044E5D">
      <w:pPr>
        <w:pStyle w:val="9"/>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jc w:val="both"/>
        <w:textAlignment w:val="auto"/>
        <w:rPr>
          <w:rFonts w:hint="eastAsia" w:ascii="Times New Roman" w:hAnsi="Times New Roman" w:eastAsia="仿宋_GB2312" w:cs="仿宋_GB2312"/>
          <w:color w:val="000000"/>
          <w:sz w:val="32"/>
          <w:szCs w:val="32"/>
          <w:highlight w:val="none"/>
          <w:lang w:val="en-US" w:eastAsia="zh-CN"/>
        </w:rPr>
      </w:pPr>
      <w:r>
        <w:rPr>
          <w:rFonts w:hint="eastAsia" w:ascii="Times New Roman" w:hAnsi="Times New Roman" w:eastAsia="黑体" w:cs="黑体"/>
          <w:color w:val="000000"/>
          <w:sz w:val="32"/>
          <w:szCs w:val="32"/>
          <w:highlight w:val="none"/>
        </w:rPr>
        <w:t>第</w:t>
      </w:r>
      <w:r>
        <w:rPr>
          <w:rFonts w:hint="eastAsia" w:ascii="Times New Roman" w:hAnsi="Times New Roman" w:eastAsia="黑体" w:cs="黑体"/>
          <w:color w:val="000000"/>
          <w:sz w:val="32"/>
          <w:szCs w:val="32"/>
          <w:highlight w:val="none"/>
          <w:lang w:eastAsia="zh-CN"/>
        </w:rPr>
        <w:t>十一</w:t>
      </w:r>
      <w:r>
        <w:rPr>
          <w:rFonts w:hint="eastAsia" w:ascii="Times New Roman" w:hAnsi="Times New Roman" w:eastAsia="黑体" w:cs="黑体"/>
          <w:color w:val="000000"/>
          <w:sz w:val="32"/>
          <w:szCs w:val="32"/>
          <w:highlight w:val="none"/>
        </w:rPr>
        <w:t xml:space="preserve">条 </w:t>
      </w:r>
      <w:r>
        <w:rPr>
          <w:rFonts w:hint="eastAsia" w:ascii="Times New Roman" w:hAnsi="Times New Roman" w:eastAsia="黑体" w:cs="黑体"/>
          <w:color w:val="000000"/>
          <w:sz w:val="32"/>
          <w:szCs w:val="32"/>
          <w:highlight w:val="none"/>
          <w:lang w:val="en-US" w:eastAsia="zh-CN"/>
        </w:rPr>
        <w:t xml:space="preserve"> </w:t>
      </w:r>
      <w:r>
        <w:rPr>
          <w:rFonts w:hint="eastAsia" w:ascii="Times New Roman" w:hAnsi="Times New Roman" w:eastAsia="仿宋_GB2312" w:cs="仿宋_GB2312"/>
          <w:color w:val="000000"/>
          <w:sz w:val="32"/>
          <w:szCs w:val="32"/>
          <w:highlight w:val="none"/>
          <w:lang w:val="en-US" w:eastAsia="zh-CN"/>
        </w:rPr>
        <w:t>自愿及主动放弃烟花爆竹</w:t>
      </w:r>
      <w:r>
        <w:rPr>
          <w:rFonts w:hint="default" w:ascii="Times New Roman" w:hAnsi="Times New Roman" w:eastAsia="仿宋_GB2312" w:cs="仿宋_GB2312"/>
          <w:color w:val="000000"/>
          <w:sz w:val="32"/>
          <w:szCs w:val="32"/>
          <w:highlight w:val="none"/>
          <w:lang w:val="en-US"/>
        </w:rPr>
        <w:t>经营（零售）</w:t>
      </w:r>
      <w:r>
        <w:rPr>
          <w:rFonts w:hint="eastAsia" w:ascii="Times New Roman" w:hAnsi="Times New Roman" w:eastAsia="仿宋_GB2312" w:cs="仿宋_GB2312"/>
          <w:color w:val="000000"/>
          <w:sz w:val="32"/>
          <w:szCs w:val="32"/>
          <w:highlight w:val="none"/>
          <w:lang w:val="en-US" w:eastAsia="zh-CN"/>
        </w:rPr>
        <w:t>权</w:t>
      </w:r>
      <w:r>
        <w:rPr>
          <w:rFonts w:hint="eastAsia" w:ascii="Times New Roman" w:hAnsi="Times New Roman" w:eastAsia="仿宋_GB2312" w:cs="仿宋_GB2312"/>
          <w:color w:val="auto"/>
          <w:sz w:val="32"/>
          <w:szCs w:val="32"/>
          <w:highlight w:val="none"/>
          <w:lang w:val="en-US" w:eastAsia="zh-CN"/>
        </w:rPr>
        <w:t>利</w:t>
      </w:r>
      <w:r>
        <w:rPr>
          <w:rFonts w:hint="eastAsia" w:ascii="Times New Roman" w:hAnsi="Times New Roman" w:eastAsia="仿宋_GB2312" w:cs="仿宋_GB2312"/>
          <w:color w:val="000000"/>
          <w:sz w:val="32"/>
          <w:szCs w:val="32"/>
          <w:highlight w:val="none"/>
          <w:lang w:val="en-US" w:eastAsia="zh-CN"/>
        </w:rPr>
        <w:t>的零售经营户，区应急管理局予以核销</w:t>
      </w:r>
      <w:r>
        <w:rPr>
          <w:rFonts w:hint="default" w:ascii="Times New Roman" w:hAnsi="Times New Roman" w:eastAsia="仿宋_GB2312" w:cs="仿宋_GB2312"/>
          <w:color w:val="000000"/>
          <w:sz w:val="32"/>
          <w:szCs w:val="32"/>
          <w:highlight w:val="none"/>
          <w:lang w:val="en-US"/>
        </w:rPr>
        <w:t>经营（零售）许可</w:t>
      </w:r>
      <w:r>
        <w:rPr>
          <w:rFonts w:hint="eastAsia" w:ascii="Times New Roman" w:hAnsi="Times New Roman" w:eastAsia="仿宋_GB2312" w:cs="仿宋_GB2312"/>
          <w:color w:val="000000"/>
          <w:sz w:val="32"/>
          <w:szCs w:val="32"/>
          <w:highlight w:val="none"/>
          <w:lang w:val="en-US" w:eastAsia="zh-CN"/>
        </w:rPr>
        <w:t>证，收回的</w:t>
      </w:r>
      <w:r>
        <w:rPr>
          <w:rFonts w:hint="default" w:ascii="Times New Roman" w:hAnsi="Times New Roman" w:eastAsia="仿宋_GB2312" w:cs="仿宋_GB2312"/>
          <w:color w:val="000000"/>
          <w:sz w:val="32"/>
          <w:szCs w:val="32"/>
          <w:highlight w:val="none"/>
          <w:lang w:val="en-US"/>
        </w:rPr>
        <w:t>经营（零售）许可</w:t>
      </w:r>
      <w:r>
        <w:rPr>
          <w:rFonts w:hint="eastAsia" w:ascii="Times New Roman" w:hAnsi="Times New Roman" w:eastAsia="仿宋_GB2312" w:cs="仿宋_GB2312"/>
          <w:color w:val="000000"/>
          <w:sz w:val="32"/>
          <w:szCs w:val="32"/>
          <w:highlight w:val="none"/>
          <w:lang w:val="en-US" w:eastAsia="zh-CN"/>
        </w:rPr>
        <w:t>证名额，同样将公开在所属镇辖区范围内重新择取，遵循原则见第十条；原零售经营户不得私下与申请人协商约定转让经营，一经发现查实，两者将均纳入</w:t>
      </w:r>
      <w:r>
        <w:rPr>
          <w:rFonts w:hint="eastAsia" w:ascii="Times New Roman" w:hAnsi="Times New Roman" w:eastAsia="仿宋_GB2312" w:cs="仿宋_GB2312"/>
          <w:color w:val="000000"/>
          <w:sz w:val="32"/>
          <w:szCs w:val="32"/>
          <w:highlight w:val="none"/>
          <w:lang w:eastAsia="zh-CN"/>
        </w:rPr>
        <w:t>昭化</w:t>
      </w:r>
      <w:r>
        <w:rPr>
          <w:rFonts w:hint="eastAsia" w:ascii="Times New Roman" w:hAnsi="Times New Roman" w:eastAsia="仿宋_GB2312" w:cs="仿宋_GB2312"/>
          <w:color w:val="000000"/>
          <w:sz w:val="32"/>
          <w:szCs w:val="32"/>
          <w:highlight w:val="none"/>
        </w:rPr>
        <w:t>区烟花爆竹诚信经营“失信名单”管理</w:t>
      </w:r>
      <w:r>
        <w:rPr>
          <w:rFonts w:hint="eastAsia" w:ascii="Times New Roman" w:hAnsi="Times New Roman" w:eastAsia="仿宋_GB2312" w:cs="仿宋_GB2312"/>
          <w:color w:val="000000"/>
          <w:sz w:val="32"/>
          <w:szCs w:val="32"/>
          <w:highlight w:val="none"/>
          <w:lang w:eastAsia="zh-CN"/>
        </w:rPr>
        <w:t>，两</w:t>
      </w:r>
      <w:r>
        <w:rPr>
          <w:rFonts w:hint="eastAsia" w:ascii="Times New Roman" w:hAnsi="Times New Roman" w:eastAsia="仿宋_GB2312" w:cs="仿宋_GB2312"/>
          <w:color w:val="000000"/>
          <w:sz w:val="32"/>
          <w:szCs w:val="32"/>
          <w:highlight w:val="none"/>
        </w:rPr>
        <w:t>年内不得在</w:t>
      </w:r>
      <w:r>
        <w:rPr>
          <w:rFonts w:hint="eastAsia" w:ascii="Times New Roman" w:hAnsi="Times New Roman" w:eastAsia="仿宋_GB2312" w:cs="仿宋_GB2312"/>
          <w:color w:val="000000"/>
          <w:sz w:val="32"/>
          <w:szCs w:val="32"/>
          <w:highlight w:val="none"/>
          <w:lang w:eastAsia="zh-CN"/>
        </w:rPr>
        <w:t>昭化</w:t>
      </w:r>
      <w:r>
        <w:rPr>
          <w:rFonts w:hint="eastAsia" w:ascii="Times New Roman" w:hAnsi="Times New Roman" w:eastAsia="仿宋_GB2312" w:cs="仿宋_GB2312"/>
          <w:color w:val="000000"/>
          <w:sz w:val="32"/>
          <w:szCs w:val="32"/>
          <w:highlight w:val="none"/>
        </w:rPr>
        <w:t>区范围内重新申请烟花爆竹零售经营</w:t>
      </w:r>
      <w:r>
        <w:rPr>
          <w:rFonts w:hint="eastAsia" w:ascii="Times New Roman" w:hAnsi="Times New Roman" w:eastAsia="仿宋_GB2312" w:cs="仿宋_GB2312"/>
          <w:color w:val="000000"/>
          <w:sz w:val="32"/>
          <w:szCs w:val="32"/>
          <w:highlight w:val="none"/>
          <w:lang w:val="en-US" w:eastAsia="zh-CN"/>
        </w:rPr>
        <w:t>。</w:t>
      </w:r>
    </w:p>
    <w:p w14:paraId="0F1A29A9">
      <w:pPr>
        <w:pStyle w:val="9"/>
        <w:keepNext w:val="0"/>
        <w:keepLines w:val="0"/>
        <w:pageBreakBefore w:val="0"/>
        <w:widowControl w:val="0"/>
        <w:kinsoku/>
        <w:wordWrap/>
        <w:overflowPunct/>
        <w:topLinePunct w:val="0"/>
        <w:autoSpaceDE/>
        <w:autoSpaceDN/>
        <w:bidi w:val="0"/>
        <w:adjustRightInd/>
        <w:snapToGrid/>
        <w:spacing w:beforeAutospacing="0" w:afterAutospacing="0" w:line="576" w:lineRule="exact"/>
        <w:ind w:firstLine="0" w:firstLineChars="0"/>
        <w:jc w:val="center"/>
        <w:textAlignment w:val="auto"/>
        <w:rPr>
          <w:rFonts w:hint="default" w:ascii="Times New Roman" w:hAnsi="Times New Roman" w:eastAsia="黑体" w:cs="黑体"/>
          <w:color w:val="000000"/>
          <w:sz w:val="32"/>
          <w:szCs w:val="32"/>
          <w:highlight w:val="none"/>
          <w:lang w:val="en-US" w:eastAsia="zh-CN"/>
        </w:rPr>
      </w:pPr>
      <w:r>
        <w:rPr>
          <w:rFonts w:hint="eastAsia" w:ascii="Times New Roman" w:hAnsi="Times New Roman" w:eastAsia="黑体" w:cs="黑体"/>
          <w:color w:val="000000"/>
          <w:sz w:val="32"/>
          <w:szCs w:val="32"/>
          <w:highlight w:val="none"/>
          <w:lang w:eastAsia="zh-CN"/>
        </w:rPr>
        <w:t>第四章</w:t>
      </w:r>
      <w:r>
        <w:rPr>
          <w:rFonts w:hint="eastAsia" w:ascii="Times New Roman" w:hAnsi="Times New Roman" w:eastAsia="黑体" w:cs="黑体"/>
          <w:color w:val="000000"/>
          <w:sz w:val="32"/>
          <w:szCs w:val="32"/>
          <w:highlight w:val="none"/>
          <w:lang w:val="en-US" w:eastAsia="zh-CN"/>
        </w:rPr>
        <w:t xml:space="preserve">    监督管理</w:t>
      </w:r>
    </w:p>
    <w:p w14:paraId="6B8BEDC8">
      <w:pPr>
        <w:pStyle w:val="9"/>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jc w:val="both"/>
        <w:textAlignment w:val="auto"/>
        <w:rPr>
          <w:rFonts w:ascii="Times New Roman" w:hAnsi="Times New Roman" w:eastAsia="仿宋" w:cs="仿宋"/>
          <w:color w:val="000000"/>
          <w:sz w:val="32"/>
          <w:szCs w:val="32"/>
          <w:highlight w:val="none"/>
        </w:rPr>
      </w:pPr>
      <w:r>
        <w:rPr>
          <w:rFonts w:hint="eastAsia" w:ascii="Times New Roman" w:hAnsi="Times New Roman" w:eastAsia="黑体" w:cs="黑体"/>
          <w:color w:val="000000"/>
          <w:sz w:val="32"/>
          <w:szCs w:val="32"/>
          <w:highlight w:val="none"/>
        </w:rPr>
        <w:t>第</w:t>
      </w:r>
      <w:r>
        <w:rPr>
          <w:rFonts w:hint="eastAsia" w:ascii="Times New Roman" w:hAnsi="Times New Roman" w:eastAsia="黑体" w:cs="黑体"/>
          <w:color w:val="000000"/>
          <w:sz w:val="32"/>
          <w:szCs w:val="32"/>
          <w:highlight w:val="none"/>
          <w:lang w:eastAsia="zh-CN"/>
        </w:rPr>
        <w:t>十二</w:t>
      </w:r>
      <w:r>
        <w:rPr>
          <w:rFonts w:hint="eastAsia" w:ascii="Times New Roman" w:hAnsi="Times New Roman" w:eastAsia="黑体" w:cs="黑体"/>
          <w:color w:val="000000"/>
          <w:sz w:val="32"/>
          <w:szCs w:val="32"/>
          <w:highlight w:val="none"/>
        </w:rPr>
        <w:t xml:space="preserve">条 </w:t>
      </w:r>
      <w:r>
        <w:rPr>
          <w:rFonts w:hint="eastAsia" w:ascii="Times New Roman" w:hAnsi="Times New Roman" w:eastAsia="黑体" w:cs="黑体"/>
          <w:color w:val="000000"/>
          <w:sz w:val="32"/>
          <w:szCs w:val="32"/>
          <w:highlight w:val="none"/>
          <w:lang w:val="en-US" w:eastAsia="zh-CN"/>
        </w:rPr>
        <w:t xml:space="preserve"> </w:t>
      </w:r>
      <w:r>
        <w:rPr>
          <w:rFonts w:hint="eastAsia" w:ascii="Times New Roman" w:hAnsi="Times New Roman" w:eastAsia="仿宋_GB2312" w:cs="仿宋_GB2312"/>
          <w:color w:val="000000"/>
          <w:sz w:val="32"/>
          <w:szCs w:val="32"/>
          <w:highlight w:val="none"/>
        </w:rPr>
        <w:t>烟花爆竹零售经营户对记分有异议的，可以书面向区</w:t>
      </w:r>
      <w:r>
        <w:rPr>
          <w:rFonts w:hint="eastAsia" w:ascii="Times New Roman" w:hAnsi="Times New Roman" w:eastAsia="仿宋_GB2312" w:cs="仿宋_GB2312"/>
          <w:color w:val="000000"/>
          <w:sz w:val="32"/>
          <w:szCs w:val="32"/>
          <w:highlight w:val="none"/>
          <w:lang w:eastAsia="zh-CN"/>
        </w:rPr>
        <w:t>应急管理局</w:t>
      </w:r>
      <w:r>
        <w:rPr>
          <w:rFonts w:hint="eastAsia" w:ascii="Times New Roman" w:hAnsi="Times New Roman" w:eastAsia="仿宋_GB2312" w:cs="仿宋_GB2312"/>
          <w:color w:val="000000"/>
          <w:sz w:val="32"/>
          <w:szCs w:val="32"/>
          <w:highlight w:val="none"/>
        </w:rPr>
        <w:t>陈述、申辩或者申请复核。经复核调整记分分值的，以复核结果为准，零售经营户提出陈述或申辩的，不得加重记分，并在7个工作日内予以答复。</w:t>
      </w:r>
    </w:p>
    <w:p w14:paraId="073D53DD">
      <w:pPr>
        <w:pStyle w:val="9"/>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jc w:val="both"/>
        <w:textAlignment w:val="auto"/>
        <w:rPr>
          <w:rFonts w:hint="eastAsia" w:ascii="Times New Roman" w:hAnsi="Times New Roman" w:eastAsia="仿宋_GB2312" w:cs="仿宋_GB2312"/>
          <w:color w:val="000000"/>
          <w:sz w:val="32"/>
          <w:szCs w:val="32"/>
          <w:highlight w:val="none"/>
        </w:rPr>
      </w:pPr>
      <w:r>
        <w:rPr>
          <w:rFonts w:hint="eastAsia" w:ascii="Times New Roman" w:hAnsi="Times New Roman" w:eastAsia="黑体" w:cs="黑体"/>
          <w:color w:val="000000"/>
          <w:sz w:val="32"/>
          <w:szCs w:val="32"/>
          <w:highlight w:val="none"/>
        </w:rPr>
        <w:t>第十</w:t>
      </w:r>
      <w:r>
        <w:rPr>
          <w:rFonts w:hint="eastAsia" w:ascii="Times New Roman" w:hAnsi="Times New Roman" w:eastAsia="黑体" w:cs="黑体"/>
          <w:color w:val="000000"/>
          <w:sz w:val="32"/>
          <w:szCs w:val="32"/>
          <w:highlight w:val="none"/>
          <w:lang w:eastAsia="zh-CN"/>
        </w:rPr>
        <w:t>三</w:t>
      </w:r>
      <w:r>
        <w:rPr>
          <w:rFonts w:hint="eastAsia" w:ascii="Times New Roman" w:hAnsi="Times New Roman" w:eastAsia="黑体" w:cs="黑体"/>
          <w:color w:val="000000"/>
          <w:sz w:val="32"/>
          <w:szCs w:val="32"/>
          <w:highlight w:val="none"/>
        </w:rPr>
        <w:t xml:space="preserve">条 </w:t>
      </w:r>
      <w:r>
        <w:rPr>
          <w:rFonts w:hint="eastAsia" w:ascii="Times New Roman" w:hAnsi="Times New Roman" w:eastAsia="黑体" w:cs="黑体"/>
          <w:color w:val="000000"/>
          <w:sz w:val="32"/>
          <w:szCs w:val="32"/>
          <w:highlight w:val="none"/>
          <w:lang w:val="en-US" w:eastAsia="zh-CN"/>
        </w:rPr>
        <w:t xml:space="preserve"> </w:t>
      </w:r>
      <w:r>
        <w:rPr>
          <w:rFonts w:hint="eastAsia" w:ascii="Times New Roman" w:hAnsi="Times New Roman" w:eastAsia="仿宋_GB2312" w:cs="仿宋_GB2312"/>
          <w:color w:val="000000"/>
          <w:sz w:val="32"/>
          <w:szCs w:val="32"/>
          <w:highlight w:val="none"/>
        </w:rPr>
        <w:t>信用记分与行政处罚实行分离管理，依法给予行政处罚的零售店，其违法行为也要计入记分，不能以罚代分，也不能以分代罚。</w:t>
      </w:r>
    </w:p>
    <w:p w14:paraId="2212862A">
      <w:pPr>
        <w:pStyle w:val="9"/>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jc w:val="both"/>
        <w:textAlignment w:val="auto"/>
        <w:rPr>
          <w:rFonts w:hint="eastAsia" w:ascii="Times New Roman" w:hAnsi="Times New Roman" w:eastAsia="仿宋_GB2312" w:cs="仿宋_GB2312"/>
          <w:color w:val="000000"/>
          <w:sz w:val="32"/>
          <w:szCs w:val="32"/>
          <w:highlight w:val="none"/>
          <w:lang w:eastAsia="zh-CN"/>
        </w:rPr>
      </w:pPr>
      <w:r>
        <w:rPr>
          <w:rFonts w:hint="eastAsia" w:ascii="Times New Roman" w:hAnsi="Times New Roman" w:eastAsia="黑体" w:cs="黑体"/>
          <w:color w:val="000000"/>
          <w:sz w:val="32"/>
          <w:szCs w:val="32"/>
          <w:highlight w:val="none"/>
        </w:rPr>
        <w:t>第十</w:t>
      </w:r>
      <w:r>
        <w:rPr>
          <w:rFonts w:hint="eastAsia" w:ascii="Times New Roman" w:hAnsi="Times New Roman" w:eastAsia="黑体" w:cs="黑体"/>
          <w:color w:val="000000"/>
          <w:sz w:val="32"/>
          <w:szCs w:val="32"/>
          <w:highlight w:val="none"/>
          <w:lang w:eastAsia="zh-CN"/>
        </w:rPr>
        <w:t>四</w:t>
      </w:r>
      <w:r>
        <w:rPr>
          <w:rFonts w:hint="eastAsia" w:ascii="Times New Roman" w:hAnsi="Times New Roman" w:eastAsia="黑体" w:cs="黑体"/>
          <w:color w:val="000000"/>
          <w:sz w:val="32"/>
          <w:szCs w:val="32"/>
          <w:highlight w:val="none"/>
        </w:rPr>
        <w:t xml:space="preserve">条 </w:t>
      </w:r>
      <w:r>
        <w:rPr>
          <w:rFonts w:hint="eastAsia" w:ascii="Times New Roman" w:hAnsi="Times New Roman" w:eastAsia="黑体" w:cs="黑体"/>
          <w:color w:val="000000"/>
          <w:sz w:val="32"/>
          <w:szCs w:val="32"/>
          <w:highlight w:val="none"/>
          <w:lang w:val="en-US" w:eastAsia="zh-CN"/>
        </w:rPr>
        <w:t xml:space="preserve"> </w:t>
      </w:r>
      <w:r>
        <w:rPr>
          <w:rFonts w:hint="eastAsia" w:ascii="Times New Roman" w:hAnsi="Times New Roman" w:eastAsia="仿宋_GB2312" w:cs="仿宋_GB2312"/>
          <w:color w:val="000000"/>
          <w:sz w:val="32"/>
          <w:szCs w:val="32"/>
          <w:highlight w:val="none"/>
          <w:lang w:eastAsia="zh-CN"/>
        </w:rPr>
        <w:t>各镇人民政府对烟花爆竹零售店负有属地监管责任，应当把握好烟花爆竹</w:t>
      </w:r>
      <w:r>
        <w:rPr>
          <w:rFonts w:hint="default" w:ascii="Times New Roman" w:hAnsi="Times New Roman" w:eastAsia="仿宋_GB2312" w:cs="仿宋_GB2312"/>
          <w:color w:val="000000"/>
          <w:sz w:val="32"/>
          <w:szCs w:val="32"/>
          <w:highlight w:val="none"/>
          <w:lang w:val="en-US"/>
        </w:rPr>
        <w:t>经营（零售）许可</w:t>
      </w:r>
      <w:r>
        <w:rPr>
          <w:rFonts w:hint="eastAsia" w:ascii="Times New Roman" w:hAnsi="Times New Roman" w:eastAsia="仿宋_GB2312" w:cs="仿宋_GB2312"/>
          <w:color w:val="000000"/>
          <w:sz w:val="32"/>
          <w:szCs w:val="32"/>
          <w:highlight w:val="none"/>
          <w:lang w:val="en-US" w:eastAsia="zh-CN"/>
        </w:rPr>
        <w:t>证换证的第一关口，以最严标准对标换证申请人、证、场所要求，三者有任意一项不符合要求的不予签字受理。</w:t>
      </w:r>
    </w:p>
    <w:p w14:paraId="5B46DAE1">
      <w:pPr>
        <w:pStyle w:val="9"/>
        <w:keepNext w:val="0"/>
        <w:keepLines w:val="0"/>
        <w:pageBreakBefore w:val="0"/>
        <w:widowControl w:val="0"/>
        <w:kinsoku/>
        <w:wordWrap/>
        <w:overflowPunct/>
        <w:topLinePunct w:val="0"/>
        <w:autoSpaceDE/>
        <w:autoSpaceDN/>
        <w:bidi w:val="0"/>
        <w:adjustRightInd/>
        <w:snapToGrid/>
        <w:spacing w:beforeAutospacing="0" w:afterAutospacing="0" w:line="576" w:lineRule="exact"/>
        <w:ind w:firstLine="0" w:firstLineChars="0"/>
        <w:jc w:val="center"/>
        <w:textAlignment w:val="auto"/>
        <w:rPr>
          <w:rFonts w:hint="default" w:ascii="Times New Roman" w:hAnsi="Times New Roman" w:eastAsia="黑体" w:cs="黑体"/>
          <w:color w:val="000000"/>
          <w:sz w:val="32"/>
          <w:szCs w:val="32"/>
          <w:highlight w:val="none"/>
          <w:lang w:val="en-US" w:eastAsia="zh-CN"/>
        </w:rPr>
      </w:pPr>
      <w:r>
        <w:rPr>
          <w:rFonts w:hint="eastAsia" w:ascii="Times New Roman" w:hAnsi="Times New Roman" w:eastAsia="黑体" w:cs="黑体"/>
          <w:color w:val="000000"/>
          <w:sz w:val="32"/>
          <w:szCs w:val="32"/>
          <w:highlight w:val="none"/>
          <w:lang w:eastAsia="zh-CN"/>
        </w:rPr>
        <w:t>第五章</w:t>
      </w:r>
      <w:r>
        <w:rPr>
          <w:rFonts w:hint="eastAsia" w:ascii="Times New Roman" w:hAnsi="Times New Roman" w:eastAsia="黑体" w:cs="黑体"/>
          <w:color w:val="000000"/>
          <w:sz w:val="32"/>
          <w:szCs w:val="32"/>
          <w:highlight w:val="none"/>
          <w:lang w:val="en-US" w:eastAsia="zh-CN"/>
        </w:rPr>
        <w:t xml:space="preserve">    附    则</w:t>
      </w:r>
    </w:p>
    <w:p w14:paraId="4983ACD6">
      <w:pPr>
        <w:pStyle w:val="9"/>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jc w:val="both"/>
        <w:textAlignment w:val="auto"/>
        <w:rPr>
          <w:rFonts w:hint="eastAsia" w:ascii="Times New Roman" w:hAnsi="Times New Roman" w:eastAsia="仿宋_GB2312" w:cs="仿宋_GB2312"/>
          <w:color w:val="000000"/>
          <w:sz w:val="32"/>
          <w:szCs w:val="32"/>
          <w:highlight w:val="none"/>
        </w:rPr>
      </w:pPr>
      <w:r>
        <w:rPr>
          <w:rFonts w:hint="eastAsia" w:ascii="Times New Roman" w:hAnsi="Times New Roman" w:eastAsia="黑体" w:cs="黑体"/>
          <w:color w:val="000000"/>
          <w:sz w:val="32"/>
          <w:szCs w:val="32"/>
          <w:highlight w:val="none"/>
        </w:rPr>
        <w:t>第十</w:t>
      </w:r>
      <w:r>
        <w:rPr>
          <w:rFonts w:hint="eastAsia" w:ascii="Times New Roman" w:hAnsi="Times New Roman" w:eastAsia="黑体" w:cs="黑体"/>
          <w:color w:val="000000"/>
          <w:sz w:val="32"/>
          <w:szCs w:val="32"/>
          <w:highlight w:val="none"/>
          <w:lang w:eastAsia="zh-CN"/>
        </w:rPr>
        <w:t>五</w:t>
      </w:r>
      <w:r>
        <w:rPr>
          <w:rFonts w:hint="eastAsia" w:ascii="Times New Roman" w:hAnsi="Times New Roman" w:eastAsia="黑体" w:cs="黑体"/>
          <w:color w:val="000000"/>
          <w:sz w:val="32"/>
          <w:szCs w:val="32"/>
          <w:highlight w:val="none"/>
        </w:rPr>
        <w:t xml:space="preserve">条 </w:t>
      </w:r>
      <w:r>
        <w:rPr>
          <w:rFonts w:hint="eastAsia" w:ascii="Times New Roman" w:hAnsi="Times New Roman" w:eastAsia="黑体" w:cs="黑体"/>
          <w:color w:val="000000"/>
          <w:sz w:val="32"/>
          <w:szCs w:val="32"/>
          <w:highlight w:val="none"/>
          <w:lang w:val="en-US" w:eastAsia="zh-CN"/>
        </w:rPr>
        <w:t xml:space="preserve"> </w:t>
      </w:r>
      <w:r>
        <w:rPr>
          <w:rFonts w:hint="eastAsia" w:ascii="Times New Roman" w:hAnsi="Times New Roman" w:eastAsia="仿宋_GB2312" w:cs="仿宋_GB2312"/>
          <w:color w:val="000000"/>
          <w:sz w:val="32"/>
          <w:szCs w:val="32"/>
          <w:highlight w:val="none"/>
        </w:rPr>
        <w:t>负有安全监管</w:t>
      </w:r>
      <w:r>
        <w:rPr>
          <w:rFonts w:hint="eastAsia" w:ascii="Times New Roman" w:hAnsi="Times New Roman" w:eastAsia="仿宋_GB2312" w:cs="仿宋_GB2312"/>
          <w:color w:val="000000"/>
          <w:sz w:val="32"/>
          <w:szCs w:val="32"/>
          <w:highlight w:val="none"/>
          <w:lang w:eastAsia="zh-CN"/>
        </w:rPr>
        <w:t>职责</w:t>
      </w:r>
      <w:r>
        <w:rPr>
          <w:rFonts w:hint="eastAsia" w:ascii="Times New Roman" w:hAnsi="Times New Roman" w:eastAsia="仿宋_GB2312" w:cs="仿宋_GB2312"/>
          <w:color w:val="000000"/>
          <w:sz w:val="32"/>
          <w:szCs w:val="32"/>
          <w:highlight w:val="none"/>
        </w:rPr>
        <w:t>的人员在烟花爆竹零售店安全经营信用记分管理工作中违反规定的，根据有关规定追究相关人员的责任。</w:t>
      </w:r>
    </w:p>
    <w:p w14:paraId="1D8C08DF">
      <w:pPr>
        <w:pStyle w:val="14"/>
        <w:keepNext w:val="0"/>
        <w:keepLines w:val="0"/>
        <w:pageBreakBefore w:val="0"/>
        <w:kinsoku/>
        <w:wordWrap/>
        <w:overflowPunct/>
        <w:topLinePunct w:val="0"/>
        <w:autoSpaceDE/>
        <w:autoSpaceDN/>
        <w:bidi w:val="0"/>
        <w:adjustRightInd/>
        <w:snapToGrid/>
        <w:spacing w:line="576" w:lineRule="exact"/>
        <w:ind w:firstLine="640"/>
        <w:jc w:val="both"/>
        <w:textAlignment w:val="auto"/>
        <w:rPr>
          <w:rFonts w:hint="eastAsia" w:ascii="Times New Roman" w:hAnsi="Times New Roman" w:eastAsia="仿宋_GB2312" w:cs="仿宋_GB2312"/>
          <w:color w:val="000000"/>
          <w:kern w:val="0"/>
          <w:sz w:val="32"/>
          <w:szCs w:val="32"/>
          <w:highlight w:val="none"/>
          <w:lang w:val="en-US" w:eastAsia="zh-CN" w:bidi="ar-SA"/>
        </w:rPr>
      </w:pPr>
      <w:r>
        <w:rPr>
          <w:rFonts w:hint="eastAsia" w:ascii="Times New Roman" w:hAnsi="Times New Roman" w:eastAsia="黑体" w:cs="黑体"/>
          <w:color w:val="000000"/>
          <w:kern w:val="0"/>
          <w:highlight w:val="none"/>
        </w:rPr>
        <w:t>第十</w:t>
      </w:r>
      <w:r>
        <w:rPr>
          <w:rFonts w:hint="eastAsia" w:ascii="Times New Roman" w:hAnsi="Times New Roman" w:eastAsia="黑体" w:cs="黑体"/>
          <w:color w:val="000000"/>
          <w:kern w:val="0"/>
          <w:highlight w:val="none"/>
          <w:lang w:eastAsia="zh-CN"/>
        </w:rPr>
        <w:t>六</w:t>
      </w:r>
      <w:r>
        <w:rPr>
          <w:rFonts w:hint="eastAsia" w:ascii="Times New Roman" w:hAnsi="Times New Roman" w:eastAsia="黑体" w:cs="黑体"/>
          <w:color w:val="000000"/>
          <w:kern w:val="0"/>
          <w:highlight w:val="none"/>
        </w:rPr>
        <w:t xml:space="preserve">条 </w:t>
      </w:r>
      <w:r>
        <w:rPr>
          <w:rFonts w:hint="eastAsia" w:ascii="Times New Roman" w:hAnsi="Times New Roman" w:eastAsia="黑体" w:cs="黑体"/>
          <w:color w:val="000000"/>
          <w:kern w:val="0"/>
          <w:highlight w:val="none"/>
          <w:lang w:val="en-US" w:eastAsia="zh-CN"/>
        </w:rPr>
        <w:t xml:space="preserve"> </w:t>
      </w:r>
      <w:r>
        <w:rPr>
          <w:rFonts w:hint="eastAsia" w:ascii="Times New Roman" w:hAnsi="Times New Roman" w:eastAsia="仿宋_GB2312" w:cs="仿宋_GB2312"/>
          <w:color w:val="000000"/>
          <w:kern w:val="0"/>
          <w:sz w:val="32"/>
          <w:szCs w:val="32"/>
          <w:highlight w:val="none"/>
          <w:lang w:val="en-US" w:eastAsia="zh-CN" w:bidi="ar-SA"/>
        </w:rPr>
        <w:t>本办法自发布之日起实施，试行</w:t>
      </w:r>
      <w:r>
        <w:rPr>
          <w:rFonts w:hint="eastAsia" w:ascii="Times New Roman" w:hAnsi="Times New Roman" w:cs="仿宋_GB2312"/>
          <w:color w:val="000000"/>
          <w:kern w:val="0"/>
          <w:sz w:val="32"/>
          <w:szCs w:val="32"/>
          <w:highlight w:val="none"/>
          <w:lang w:val="en-US" w:eastAsia="zh-CN" w:bidi="ar-SA"/>
        </w:rPr>
        <w:t>时间为2</w:t>
      </w:r>
      <w:r>
        <w:rPr>
          <w:rFonts w:hint="eastAsia" w:ascii="Times New Roman" w:hAnsi="Times New Roman" w:eastAsia="仿宋_GB2312" w:cs="仿宋_GB2312"/>
          <w:color w:val="000000"/>
          <w:kern w:val="0"/>
          <w:sz w:val="32"/>
          <w:szCs w:val="32"/>
          <w:highlight w:val="none"/>
          <w:lang w:val="en-US" w:eastAsia="zh-CN" w:bidi="ar-SA"/>
        </w:rPr>
        <w:t>年，最终解释权为昭化区应急管理局所有。</w:t>
      </w:r>
      <w:r>
        <w:rPr>
          <w:rFonts w:hint="eastAsia" w:ascii="Times New Roman" w:hAnsi="Times New Roman" w:cs="仿宋_GB2312"/>
          <w:color w:val="000000"/>
          <w:kern w:val="0"/>
          <w:sz w:val="32"/>
          <w:szCs w:val="32"/>
          <w:highlight w:val="none"/>
          <w:lang w:val="en-US" w:eastAsia="zh-CN" w:bidi="ar-SA"/>
        </w:rPr>
        <w:t>试行期间，如遇法律法规标准更新或者上级有新的工作要求，按新规定执行。</w:t>
      </w:r>
    </w:p>
    <w:p w14:paraId="01B1B222">
      <w:pPr>
        <w:pStyle w:val="9"/>
        <w:keepNext w:val="0"/>
        <w:keepLines w:val="0"/>
        <w:pageBreakBefore w:val="0"/>
        <w:kinsoku/>
        <w:wordWrap/>
        <w:overflowPunct/>
        <w:topLinePunct w:val="0"/>
        <w:autoSpaceDE/>
        <w:autoSpaceDN/>
        <w:bidi w:val="0"/>
        <w:adjustRightInd/>
        <w:snapToGrid/>
        <w:spacing w:beforeAutospacing="0" w:afterAutospacing="0" w:line="576" w:lineRule="exact"/>
        <w:ind w:firstLine="640" w:firstLineChars="200"/>
        <w:jc w:val="both"/>
        <w:textAlignment w:val="auto"/>
        <w:rPr>
          <w:rFonts w:hint="eastAsia" w:ascii="Times New Roman" w:hAnsi="Times New Roman" w:eastAsia="仿宋_GB2312" w:cs="仿宋_GB2312"/>
          <w:color w:val="000000"/>
          <w:kern w:val="0"/>
          <w:sz w:val="32"/>
          <w:szCs w:val="32"/>
          <w:highlight w:val="none"/>
          <w:lang w:val="en-US" w:eastAsia="zh-CN" w:bidi="ar-SA"/>
        </w:rPr>
      </w:pPr>
    </w:p>
    <w:p w14:paraId="7FB26ACA">
      <w:pPr>
        <w:pStyle w:val="10"/>
        <w:keepNext w:val="0"/>
        <w:keepLines w:val="0"/>
        <w:pageBreakBefore w:val="0"/>
        <w:widowControl w:val="0"/>
        <w:kinsoku/>
        <w:wordWrap/>
        <w:overflowPunct/>
        <w:topLinePunct w:val="0"/>
        <w:autoSpaceDE/>
        <w:autoSpaceDN/>
        <w:bidi w:val="0"/>
        <w:adjustRightInd/>
        <w:snapToGrid/>
        <w:spacing w:after="0" w:line="576" w:lineRule="exact"/>
        <w:ind w:left="0" w:leftChars="0" w:firstLine="640" w:firstLineChars="200"/>
        <w:textAlignment w:val="auto"/>
        <w:rPr>
          <w:rFonts w:hint="eastAsia" w:ascii="Times New Roman" w:hAnsi="Times New Roman" w:eastAsia="仿宋_GB2312" w:cs="仿宋_GB2312"/>
          <w:color w:val="000000"/>
          <w:kern w:val="0"/>
          <w:sz w:val="32"/>
          <w:szCs w:val="32"/>
          <w:highlight w:val="none"/>
          <w:lang w:val="en-US" w:eastAsia="zh-CN" w:bidi="ar-SA"/>
        </w:rPr>
      </w:pPr>
      <w:r>
        <w:rPr>
          <w:rFonts w:hint="eastAsia" w:ascii="Times New Roman" w:hAnsi="Times New Roman" w:eastAsia="仿宋_GB2312" w:cs="仿宋_GB2312"/>
          <w:color w:val="000000"/>
          <w:kern w:val="0"/>
          <w:sz w:val="32"/>
          <w:szCs w:val="32"/>
          <w:highlight w:val="none"/>
          <w:lang w:val="en-US" w:eastAsia="zh-CN" w:bidi="ar-SA"/>
        </w:rPr>
        <w:t>附件:1.广元市烟花爆竹零售店安全经营信用记分检查清单</w:t>
      </w:r>
    </w:p>
    <w:p w14:paraId="53F30AE7">
      <w:pPr>
        <w:ind w:left="0" w:leftChars="0" w:firstLine="1280" w:firstLineChars="400"/>
        <w:rPr>
          <w:rFonts w:hint="eastAsia" w:ascii="Times New Roman" w:hAnsi="Times New Roman" w:eastAsia="仿宋_GB2312" w:cs="仿宋_GB2312"/>
          <w:color w:val="000000"/>
          <w:kern w:val="0"/>
          <w:sz w:val="32"/>
          <w:szCs w:val="32"/>
          <w:highlight w:val="none"/>
          <w:lang w:val="en-US" w:eastAsia="zh-CN" w:bidi="ar-SA"/>
        </w:rPr>
      </w:pPr>
      <w:r>
        <w:rPr>
          <w:rFonts w:hint="eastAsia" w:ascii="Times New Roman" w:hAnsi="Times New Roman" w:eastAsia="仿宋_GB2312" w:cs="仿宋_GB2312"/>
          <w:color w:val="000000"/>
          <w:kern w:val="0"/>
          <w:sz w:val="32"/>
          <w:szCs w:val="32"/>
          <w:highlight w:val="none"/>
          <w:lang w:val="en-US" w:eastAsia="zh-CN" w:bidi="ar-SA"/>
        </w:rPr>
        <w:t>2.昭化区烟花爆竹零售经营店安全诚信经营记分表</w:t>
      </w:r>
    </w:p>
    <w:p w14:paraId="002D0F49">
      <w:pPr>
        <w:pStyle w:val="10"/>
        <w:keepNext w:val="0"/>
        <w:keepLines w:val="0"/>
        <w:pageBreakBefore w:val="0"/>
        <w:widowControl w:val="0"/>
        <w:kinsoku/>
        <w:wordWrap/>
        <w:overflowPunct/>
        <w:topLinePunct w:val="0"/>
        <w:autoSpaceDE/>
        <w:autoSpaceDN/>
        <w:bidi w:val="0"/>
        <w:adjustRightInd/>
        <w:snapToGrid/>
        <w:spacing w:after="0" w:line="576" w:lineRule="exact"/>
        <w:ind w:left="0" w:leftChars="0" w:firstLine="1280" w:firstLineChars="400"/>
        <w:textAlignment w:val="auto"/>
        <w:rPr>
          <w:rFonts w:hint="eastAsia" w:ascii="Times New Roman" w:hAnsi="Times New Roman" w:eastAsia="仿宋_GB2312" w:cs="仿宋_GB2312"/>
          <w:color w:val="000000"/>
          <w:kern w:val="0"/>
          <w:sz w:val="32"/>
          <w:szCs w:val="32"/>
          <w:highlight w:val="none"/>
          <w:lang w:val="en-US" w:eastAsia="zh-CN" w:bidi="ar-SA"/>
        </w:rPr>
        <w:sectPr>
          <w:pgSz w:w="11906" w:h="16838" w:orient="landscape"/>
          <w:pgMar w:top="2098" w:right="1474" w:bottom="1984" w:left="1587" w:header="851" w:footer="992" w:gutter="0"/>
          <w:pgNumType w:fmt="decimal"/>
          <w:cols w:space="0" w:num="1"/>
          <w:docGrid w:type="lines" w:linePitch="312" w:charSpace="0"/>
        </w:sectPr>
      </w:pPr>
      <w:r>
        <w:rPr>
          <w:rFonts w:hint="eastAsia" w:ascii="Times New Roman" w:hAnsi="Times New Roman" w:eastAsia="仿宋_GB2312" w:cs="仿宋_GB2312"/>
          <w:color w:val="000000"/>
          <w:kern w:val="0"/>
          <w:sz w:val="32"/>
          <w:szCs w:val="32"/>
          <w:highlight w:val="none"/>
          <w:lang w:val="en-US" w:eastAsia="zh-CN" w:bidi="ar-SA"/>
        </w:rPr>
        <w:t>3.昭化区烟花爆竹零售经营信用记分公示牌</w:t>
      </w:r>
    </w:p>
    <w:p w14:paraId="4B435A2D">
      <w:pPr>
        <w:pStyle w:val="4"/>
        <w:spacing w:before="228"/>
        <w:rPr>
          <w:rFonts w:hint="eastAsia" w:ascii="Times New Roman" w:hAnsi="Times New Roman" w:eastAsia="黑体" w:cs="黑体"/>
          <w:sz w:val="32"/>
          <w:szCs w:val="32"/>
          <w:lang w:val="en-US" w:eastAsia="zh-CN"/>
        </w:rPr>
      </w:pPr>
      <w:r>
        <w:rPr>
          <w:rFonts w:hint="eastAsia" w:ascii="Times New Roman" w:hAnsi="Times New Roman" w:eastAsia="黑体" w:cs="黑体"/>
          <w:sz w:val="32"/>
          <w:szCs w:val="32"/>
          <w:lang w:eastAsia="zh-CN"/>
        </w:rPr>
        <w:t>附件</w:t>
      </w:r>
      <w:r>
        <w:rPr>
          <w:rFonts w:hint="eastAsia" w:ascii="Times New Roman" w:hAnsi="Times New Roman" w:eastAsia="黑体" w:cs="黑体"/>
          <w:sz w:val="32"/>
          <w:szCs w:val="32"/>
          <w:lang w:val="en-US" w:eastAsia="zh-CN"/>
        </w:rPr>
        <w:t>1</w:t>
      </w:r>
    </w:p>
    <w:p w14:paraId="32057879">
      <w:pPr>
        <w:pStyle w:val="3"/>
        <w:keepNext w:val="0"/>
        <w:keepLines w:val="0"/>
        <w:pageBreakBefore w:val="0"/>
        <w:widowControl w:val="0"/>
        <w:kinsoku/>
        <w:wordWrap/>
        <w:overflowPunct/>
        <w:topLinePunct w:val="0"/>
        <w:autoSpaceDE/>
        <w:autoSpaceDN/>
        <w:bidi w:val="0"/>
        <w:adjustRightInd/>
        <w:snapToGrid/>
        <w:spacing w:before="0" w:line="576" w:lineRule="exact"/>
        <w:ind w:left="0"/>
        <w:jc w:val="center"/>
        <w:textAlignment w:val="auto"/>
        <w:rPr>
          <w:rFonts w:ascii="Times New Roman" w:hAnsi="Times New Roman"/>
        </w:rPr>
      </w:pPr>
      <w:r>
        <w:rPr>
          <w:rFonts w:hint="eastAsia" w:ascii="Times New Roman" w:hAnsi="Times New Roman" w:eastAsia="方正小标宋简体" w:cs="方正小标宋简体"/>
          <w:spacing w:val="-5"/>
        </w:rPr>
        <w:t>广元市烟花爆竹零售店安全经营信用记分检查清单</w:t>
      </w:r>
    </w:p>
    <w:p w14:paraId="64AA015A">
      <w:pPr>
        <w:pStyle w:val="4"/>
        <w:keepNext w:val="0"/>
        <w:keepLines w:val="0"/>
        <w:pageBreakBefore w:val="0"/>
        <w:widowControl w:val="0"/>
        <w:kinsoku/>
        <w:wordWrap/>
        <w:overflowPunct/>
        <w:topLinePunct w:val="0"/>
        <w:autoSpaceDE/>
        <w:autoSpaceDN/>
        <w:bidi w:val="0"/>
        <w:adjustRightInd/>
        <w:snapToGrid/>
        <w:spacing w:line="576" w:lineRule="exact"/>
        <w:ind w:left="0" w:right="0"/>
        <w:jc w:val="center"/>
        <w:textAlignment w:val="auto"/>
        <w:rPr>
          <w:rFonts w:hint="eastAsia" w:ascii="Times New Roman" w:hAnsi="Times New Roman" w:eastAsia="楷体_GB2312" w:cs="楷体_GB2312"/>
          <w:sz w:val="28"/>
          <w:szCs w:val="28"/>
        </w:rPr>
      </w:pPr>
      <w:r>
        <w:rPr>
          <w:rFonts w:hint="eastAsia" w:ascii="Times New Roman" w:hAnsi="Times New Roman" w:eastAsia="楷体_GB2312" w:cs="楷体_GB2312"/>
          <w:spacing w:val="-4"/>
          <w:sz w:val="28"/>
          <w:szCs w:val="28"/>
        </w:rPr>
        <w:t>（参考</w:t>
      </w:r>
      <w:r>
        <w:rPr>
          <w:rFonts w:hint="eastAsia" w:ascii="Times New Roman" w:hAnsi="Times New Roman" w:eastAsia="楷体_GB2312" w:cs="楷体_GB2312"/>
          <w:spacing w:val="-10"/>
          <w:sz w:val="28"/>
          <w:szCs w:val="28"/>
        </w:rPr>
        <w:t>）</w:t>
      </w:r>
    </w:p>
    <w:p w14:paraId="48B08DC0">
      <w:pPr>
        <w:keepNext w:val="0"/>
        <w:keepLines w:val="0"/>
        <w:pageBreakBefore w:val="0"/>
        <w:widowControl w:val="0"/>
        <w:tabs>
          <w:tab w:val="left" w:pos="8579"/>
        </w:tabs>
        <w:kinsoku/>
        <w:wordWrap/>
        <w:overflowPunct/>
        <w:topLinePunct w:val="0"/>
        <w:autoSpaceDE/>
        <w:autoSpaceDN/>
        <w:bidi w:val="0"/>
        <w:adjustRightInd/>
        <w:snapToGrid/>
        <w:spacing w:line="576" w:lineRule="exact"/>
        <w:ind w:left="0" w:right="0" w:firstLine="0"/>
        <w:jc w:val="left"/>
        <w:textAlignment w:val="auto"/>
        <w:rPr>
          <w:rFonts w:hint="eastAsia" w:ascii="Times New Roman" w:hAnsi="Times New Roman" w:eastAsia="黑体" w:cs="黑体"/>
          <w:sz w:val="28"/>
        </w:rPr>
      </w:pPr>
      <w:r>
        <w:rPr>
          <w:rFonts w:hint="eastAsia" w:ascii="Times New Roman" w:hAnsi="Times New Roman" w:eastAsia="黑体" w:cs="黑体"/>
          <w:spacing w:val="-2"/>
          <w:sz w:val="28"/>
        </w:rPr>
        <w:t>零售店名称</w:t>
      </w:r>
      <w:r>
        <w:rPr>
          <w:rFonts w:hint="eastAsia" w:ascii="Times New Roman" w:hAnsi="Times New Roman" w:eastAsia="黑体" w:cs="黑体"/>
          <w:spacing w:val="-10"/>
          <w:sz w:val="28"/>
        </w:rPr>
        <w:t>：</w:t>
      </w:r>
      <w:r>
        <w:rPr>
          <w:rFonts w:hint="eastAsia" w:ascii="Times New Roman" w:hAnsi="Times New Roman" w:eastAsia="黑体" w:cs="黑体"/>
          <w:spacing w:val="-10"/>
          <w:sz w:val="28"/>
          <w:lang w:val="en-US" w:eastAsia="zh-CN"/>
        </w:rPr>
        <w:t xml:space="preserve">                                                                </w:t>
      </w:r>
      <w:r>
        <w:rPr>
          <w:rFonts w:hint="eastAsia" w:ascii="Times New Roman" w:hAnsi="Times New Roman" w:eastAsia="黑体" w:cs="黑体"/>
          <w:spacing w:val="-2"/>
          <w:sz w:val="28"/>
        </w:rPr>
        <w:t>检查时间</w:t>
      </w:r>
      <w:r>
        <w:rPr>
          <w:rFonts w:hint="eastAsia" w:ascii="Times New Roman" w:hAnsi="Times New Roman" w:eastAsia="黑体" w:cs="黑体"/>
          <w:spacing w:val="-10"/>
          <w:sz w:val="28"/>
        </w:rPr>
        <w:t>：</w:t>
      </w:r>
    </w:p>
    <w:tbl>
      <w:tblPr>
        <w:tblStyle w:val="11"/>
        <w:tblW w:w="0" w:type="auto"/>
        <w:tblInd w:w="6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24"/>
        <w:gridCol w:w="931"/>
        <w:gridCol w:w="5697"/>
        <w:gridCol w:w="6482"/>
        <w:gridCol w:w="1120"/>
      </w:tblGrid>
      <w:tr w14:paraId="257C42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89" w:hRule="atLeast"/>
        </w:trPr>
        <w:tc>
          <w:tcPr>
            <w:tcW w:w="624" w:type="dxa"/>
          </w:tcPr>
          <w:p w14:paraId="102F5455">
            <w:pPr>
              <w:pStyle w:val="16"/>
              <w:spacing w:before="125" w:line="201" w:lineRule="auto"/>
              <w:ind w:left="170" w:right="156"/>
              <w:rPr>
                <w:rFonts w:hint="eastAsia" w:ascii="Times New Roman" w:hAnsi="Times New Roman" w:eastAsia="黑体" w:cs="黑体"/>
                <w:sz w:val="28"/>
              </w:rPr>
            </w:pPr>
            <w:r>
              <w:rPr>
                <w:rFonts w:hint="eastAsia" w:ascii="Times New Roman" w:hAnsi="Times New Roman" w:eastAsia="黑体" w:cs="黑体"/>
                <w:spacing w:val="-10"/>
                <w:sz w:val="28"/>
              </w:rPr>
              <w:t>序号</w:t>
            </w:r>
          </w:p>
        </w:tc>
        <w:tc>
          <w:tcPr>
            <w:tcW w:w="931" w:type="dxa"/>
          </w:tcPr>
          <w:p w14:paraId="7F32AA8A">
            <w:pPr>
              <w:pStyle w:val="16"/>
              <w:spacing w:before="125" w:line="201" w:lineRule="auto"/>
              <w:ind w:left="182" w:right="170"/>
              <w:rPr>
                <w:rFonts w:hint="eastAsia" w:ascii="Times New Roman" w:hAnsi="Times New Roman" w:eastAsia="黑体" w:cs="黑体"/>
                <w:sz w:val="28"/>
              </w:rPr>
            </w:pPr>
            <w:r>
              <w:rPr>
                <w:rFonts w:hint="eastAsia" w:ascii="Times New Roman" w:hAnsi="Times New Roman" w:eastAsia="黑体" w:cs="黑体"/>
                <w:spacing w:val="-6"/>
                <w:sz w:val="28"/>
              </w:rPr>
              <w:t>应记</w:t>
            </w:r>
            <w:r>
              <w:rPr>
                <w:rFonts w:hint="eastAsia" w:ascii="Times New Roman" w:hAnsi="Times New Roman" w:eastAsia="黑体" w:cs="黑体"/>
                <w:spacing w:val="-5"/>
                <w:sz w:val="28"/>
              </w:rPr>
              <w:t>分值</w:t>
            </w:r>
          </w:p>
        </w:tc>
        <w:tc>
          <w:tcPr>
            <w:tcW w:w="5697" w:type="dxa"/>
          </w:tcPr>
          <w:p w14:paraId="067A872C">
            <w:pPr>
              <w:pStyle w:val="16"/>
              <w:spacing w:before="229"/>
              <w:ind w:left="15"/>
              <w:jc w:val="center"/>
              <w:rPr>
                <w:rFonts w:hint="eastAsia" w:ascii="Times New Roman" w:hAnsi="Times New Roman" w:eastAsia="黑体" w:cs="黑体"/>
                <w:sz w:val="28"/>
              </w:rPr>
            </w:pPr>
            <w:r>
              <w:rPr>
                <w:rFonts w:hint="eastAsia" w:ascii="Times New Roman" w:hAnsi="Times New Roman" w:eastAsia="黑体" w:cs="黑体"/>
                <w:spacing w:val="-5"/>
                <w:sz w:val="28"/>
              </w:rPr>
              <w:t>行为</w:t>
            </w:r>
          </w:p>
        </w:tc>
        <w:tc>
          <w:tcPr>
            <w:tcW w:w="6482" w:type="dxa"/>
          </w:tcPr>
          <w:p w14:paraId="20CAFF34">
            <w:pPr>
              <w:pStyle w:val="16"/>
              <w:spacing w:before="229"/>
              <w:ind w:left="14"/>
              <w:jc w:val="center"/>
              <w:rPr>
                <w:rFonts w:hint="eastAsia" w:ascii="Times New Roman" w:hAnsi="Times New Roman" w:eastAsia="黑体" w:cs="黑体"/>
                <w:sz w:val="28"/>
              </w:rPr>
            </w:pPr>
            <w:r>
              <w:rPr>
                <w:rFonts w:hint="eastAsia" w:ascii="Times New Roman" w:hAnsi="Times New Roman" w:eastAsia="黑体" w:cs="黑体"/>
                <w:spacing w:val="-3"/>
                <w:sz w:val="28"/>
              </w:rPr>
              <w:t>法律依据</w:t>
            </w:r>
          </w:p>
        </w:tc>
        <w:tc>
          <w:tcPr>
            <w:tcW w:w="1120" w:type="dxa"/>
          </w:tcPr>
          <w:p w14:paraId="547DEBB0">
            <w:pPr>
              <w:pStyle w:val="16"/>
              <w:spacing w:before="125" w:line="201" w:lineRule="auto"/>
              <w:ind w:left="281" w:right="259"/>
              <w:rPr>
                <w:rFonts w:hint="eastAsia" w:ascii="Times New Roman" w:hAnsi="Times New Roman" w:eastAsia="黑体" w:cs="黑体"/>
                <w:sz w:val="28"/>
              </w:rPr>
            </w:pPr>
            <w:r>
              <w:rPr>
                <w:rFonts w:hint="eastAsia" w:ascii="Times New Roman" w:hAnsi="Times New Roman" w:eastAsia="黑体" w:cs="黑体"/>
                <w:spacing w:val="-6"/>
                <w:sz w:val="28"/>
              </w:rPr>
              <w:t>实记</w:t>
            </w:r>
            <w:r>
              <w:rPr>
                <w:rFonts w:hint="eastAsia" w:ascii="Times New Roman" w:hAnsi="Times New Roman" w:eastAsia="黑体" w:cs="黑体"/>
                <w:spacing w:val="-5"/>
                <w:sz w:val="28"/>
              </w:rPr>
              <w:t>分值</w:t>
            </w:r>
          </w:p>
        </w:tc>
      </w:tr>
      <w:tr w14:paraId="4816A5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3" w:hRule="atLeast"/>
        </w:trPr>
        <w:tc>
          <w:tcPr>
            <w:tcW w:w="624" w:type="dxa"/>
            <w:vAlign w:val="center"/>
          </w:tcPr>
          <w:p w14:paraId="2370FBBA">
            <w:pPr>
              <w:pStyle w:val="16"/>
              <w:keepNext w:val="0"/>
              <w:keepLines w:val="0"/>
              <w:pageBreakBefore w:val="0"/>
              <w:widowControl w:val="0"/>
              <w:kinsoku/>
              <w:wordWrap/>
              <w:overflowPunct/>
              <w:topLinePunct w:val="0"/>
              <w:autoSpaceDE/>
              <w:autoSpaceDN/>
              <w:bidi w:val="0"/>
              <w:adjustRightInd/>
              <w:snapToGrid/>
              <w:spacing w:line="240" w:lineRule="atLeast"/>
              <w:ind w:left="0" w:right="0"/>
              <w:jc w:val="center"/>
              <w:textAlignment w:val="auto"/>
              <w:rPr>
                <w:rFonts w:ascii="Times New Roman" w:hAnsi="Times New Roman"/>
                <w:sz w:val="28"/>
              </w:rPr>
            </w:pPr>
            <w:r>
              <w:rPr>
                <w:rFonts w:ascii="Times New Roman" w:hAnsi="Times New Roman"/>
                <w:spacing w:val="-10"/>
                <w:sz w:val="28"/>
              </w:rPr>
              <w:t>1</w:t>
            </w:r>
          </w:p>
        </w:tc>
        <w:tc>
          <w:tcPr>
            <w:tcW w:w="931" w:type="dxa"/>
            <w:vMerge w:val="restart"/>
            <w:vAlign w:val="center"/>
          </w:tcPr>
          <w:p w14:paraId="1A7B0345">
            <w:pPr>
              <w:pStyle w:val="16"/>
              <w:jc w:val="center"/>
              <w:rPr>
                <w:rFonts w:ascii="Times New Roman" w:hAnsi="Times New Roman"/>
                <w:sz w:val="28"/>
              </w:rPr>
            </w:pPr>
            <w:r>
              <w:rPr>
                <w:rFonts w:hint="eastAsia" w:ascii="Times New Roman" w:hAnsi="Times New Roman"/>
                <w:spacing w:val="-40"/>
                <w:sz w:val="28"/>
                <w:lang w:val="en-US" w:eastAsia="zh-CN"/>
              </w:rPr>
              <w:t>12</w:t>
            </w:r>
            <w:r>
              <w:rPr>
                <w:rFonts w:ascii="Times New Roman" w:hAnsi="Times New Roman"/>
                <w:spacing w:val="-40"/>
                <w:sz w:val="28"/>
              </w:rPr>
              <w:t>分</w:t>
            </w:r>
          </w:p>
        </w:tc>
        <w:tc>
          <w:tcPr>
            <w:tcW w:w="5697" w:type="dxa"/>
            <w:vAlign w:val="center"/>
          </w:tcPr>
          <w:p w14:paraId="315E4416">
            <w:pPr>
              <w:pStyle w:val="16"/>
              <w:keepNext w:val="0"/>
              <w:keepLines w:val="0"/>
              <w:pageBreakBefore w:val="0"/>
              <w:widowControl w:val="0"/>
              <w:kinsoku/>
              <w:wordWrap/>
              <w:overflowPunct/>
              <w:topLinePunct w:val="0"/>
              <w:autoSpaceDE/>
              <w:autoSpaceDN/>
              <w:bidi w:val="0"/>
              <w:adjustRightInd/>
              <w:snapToGrid/>
              <w:spacing w:line="240" w:lineRule="atLeast"/>
              <w:ind w:left="0" w:right="0" w:firstLine="0" w:firstLineChars="0"/>
              <w:jc w:val="both"/>
              <w:textAlignment w:val="auto"/>
              <w:rPr>
                <w:rFonts w:ascii="Times New Roman" w:hAnsi="Times New Roman"/>
                <w:sz w:val="28"/>
              </w:rPr>
            </w:pPr>
            <w:r>
              <w:rPr>
                <w:rFonts w:ascii="Times New Roman" w:hAnsi="Times New Roman"/>
                <w:spacing w:val="-13"/>
                <w:sz w:val="28"/>
              </w:rPr>
              <w:t>存在重大事故隐患，一百八十日内三次或者一</w:t>
            </w:r>
            <w:r>
              <w:rPr>
                <w:rFonts w:ascii="Times New Roman" w:hAnsi="Times New Roman"/>
                <w:spacing w:val="-3"/>
                <w:sz w:val="28"/>
              </w:rPr>
              <w:t>年内四次受到行政处罚；</w:t>
            </w:r>
          </w:p>
        </w:tc>
        <w:tc>
          <w:tcPr>
            <w:tcW w:w="6482" w:type="dxa"/>
            <w:vAlign w:val="center"/>
          </w:tcPr>
          <w:p w14:paraId="51C07A56">
            <w:pPr>
              <w:pStyle w:val="16"/>
              <w:keepNext w:val="0"/>
              <w:keepLines w:val="0"/>
              <w:pageBreakBefore w:val="0"/>
              <w:widowControl w:val="0"/>
              <w:kinsoku/>
              <w:wordWrap/>
              <w:overflowPunct/>
              <w:topLinePunct w:val="0"/>
              <w:autoSpaceDE/>
              <w:autoSpaceDN/>
              <w:bidi w:val="0"/>
              <w:adjustRightInd/>
              <w:snapToGrid/>
              <w:spacing w:line="240" w:lineRule="atLeast"/>
              <w:ind w:left="0"/>
              <w:jc w:val="both"/>
              <w:textAlignment w:val="auto"/>
              <w:rPr>
                <w:rFonts w:ascii="Times New Roman" w:hAnsi="Times New Roman"/>
                <w:sz w:val="28"/>
              </w:rPr>
            </w:pPr>
            <w:r>
              <w:rPr>
                <w:rFonts w:ascii="Times New Roman" w:hAnsi="Times New Roman"/>
                <w:spacing w:val="-1"/>
                <w:sz w:val="28"/>
              </w:rPr>
              <w:t>《中华人民共和国安全生产法》第一百一十三条第</w:t>
            </w:r>
            <w:r>
              <w:rPr>
                <w:rFonts w:ascii="Times New Roman" w:hAnsi="Times New Roman"/>
                <w:spacing w:val="-5"/>
                <w:sz w:val="28"/>
              </w:rPr>
              <w:t>一项</w:t>
            </w:r>
          </w:p>
        </w:tc>
        <w:tc>
          <w:tcPr>
            <w:tcW w:w="1120" w:type="dxa"/>
          </w:tcPr>
          <w:p w14:paraId="28897D0D">
            <w:pPr>
              <w:pStyle w:val="16"/>
              <w:rPr>
                <w:rFonts w:ascii="Times New Roman" w:hAnsi="Times New Roman"/>
                <w:sz w:val="28"/>
              </w:rPr>
            </w:pPr>
          </w:p>
        </w:tc>
      </w:tr>
      <w:tr w14:paraId="123631F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6" w:hRule="atLeast"/>
        </w:trPr>
        <w:tc>
          <w:tcPr>
            <w:tcW w:w="624" w:type="dxa"/>
            <w:vAlign w:val="center"/>
          </w:tcPr>
          <w:p w14:paraId="5D23CBAD">
            <w:pPr>
              <w:pStyle w:val="16"/>
              <w:keepNext w:val="0"/>
              <w:keepLines w:val="0"/>
              <w:pageBreakBefore w:val="0"/>
              <w:widowControl w:val="0"/>
              <w:kinsoku/>
              <w:wordWrap/>
              <w:overflowPunct/>
              <w:topLinePunct w:val="0"/>
              <w:autoSpaceDE/>
              <w:autoSpaceDN/>
              <w:bidi w:val="0"/>
              <w:adjustRightInd/>
              <w:snapToGrid/>
              <w:spacing w:line="240" w:lineRule="atLeast"/>
              <w:ind w:left="0" w:right="0"/>
              <w:jc w:val="center"/>
              <w:textAlignment w:val="auto"/>
              <w:rPr>
                <w:rFonts w:ascii="Times New Roman" w:hAnsi="Times New Roman"/>
                <w:sz w:val="28"/>
              </w:rPr>
            </w:pPr>
            <w:r>
              <w:rPr>
                <w:rFonts w:ascii="Times New Roman" w:hAnsi="Times New Roman"/>
                <w:spacing w:val="-10"/>
                <w:sz w:val="28"/>
              </w:rPr>
              <w:t>2</w:t>
            </w:r>
          </w:p>
        </w:tc>
        <w:tc>
          <w:tcPr>
            <w:tcW w:w="931" w:type="dxa"/>
            <w:vMerge w:val="continue"/>
            <w:tcBorders>
              <w:top w:val="nil"/>
            </w:tcBorders>
          </w:tcPr>
          <w:p w14:paraId="72F451AB">
            <w:pPr>
              <w:rPr>
                <w:rFonts w:ascii="Times New Roman" w:hAnsi="Times New Roman"/>
                <w:sz w:val="2"/>
                <w:szCs w:val="2"/>
              </w:rPr>
            </w:pPr>
          </w:p>
        </w:tc>
        <w:tc>
          <w:tcPr>
            <w:tcW w:w="5697" w:type="dxa"/>
            <w:vAlign w:val="center"/>
          </w:tcPr>
          <w:p w14:paraId="25BDB30F">
            <w:pPr>
              <w:pStyle w:val="16"/>
              <w:keepNext w:val="0"/>
              <w:keepLines w:val="0"/>
              <w:pageBreakBefore w:val="0"/>
              <w:widowControl w:val="0"/>
              <w:kinsoku/>
              <w:wordWrap/>
              <w:overflowPunct/>
              <w:topLinePunct w:val="0"/>
              <w:autoSpaceDE/>
              <w:autoSpaceDN/>
              <w:bidi w:val="0"/>
              <w:adjustRightInd/>
              <w:snapToGrid/>
              <w:spacing w:line="240" w:lineRule="atLeast"/>
              <w:ind w:left="0" w:right="0" w:firstLine="0" w:firstLineChars="0"/>
              <w:jc w:val="both"/>
              <w:textAlignment w:val="auto"/>
              <w:rPr>
                <w:rFonts w:ascii="Times New Roman" w:hAnsi="Times New Roman"/>
                <w:sz w:val="28"/>
              </w:rPr>
            </w:pPr>
            <w:r>
              <w:rPr>
                <w:rFonts w:ascii="Times New Roman" w:hAnsi="Times New Roman"/>
                <w:spacing w:val="-1"/>
                <w:sz w:val="28"/>
              </w:rPr>
              <w:t>拒不执行负有安全生产监督管理职责的部门</w:t>
            </w:r>
            <w:r>
              <w:rPr>
                <w:rFonts w:ascii="Times New Roman" w:hAnsi="Times New Roman"/>
                <w:spacing w:val="-3"/>
                <w:sz w:val="28"/>
              </w:rPr>
              <w:t>作出的停产停业整顿决定的；</w:t>
            </w:r>
          </w:p>
        </w:tc>
        <w:tc>
          <w:tcPr>
            <w:tcW w:w="6482" w:type="dxa"/>
            <w:vAlign w:val="center"/>
          </w:tcPr>
          <w:p w14:paraId="51595E17">
            <w:pPr>
              <w:pStyle w:val="16"/>
              <w:keepNext w:val="0"/>
              <w:keepLines w:val="0"/>
              <w:pageBreakBefore w:val="0"/>
              <w:widowControl w:val="0"/>
              <w:kinsoku/>
              <w:wordWrap/>
              <w:overflowPunct/>
              <w:topLinePunct w:val="0"/>
              <w:autoSpaceDE/>
              <w:autoSpaceDN/>
              <w:bidi w:val="0"/>
              <w:adjustRightInd/>
              <w:snapToGrid/>
              <w:spacing w:line="240" w:lineRule="atLeast"/>
              <w:ind w:left="0"/>
              <w:jc w:val="both"/>
              <w:textAlignment w:val="auto"/>
              <w:rPr>
                <w:rFonts w:ascii="Times New Roman" w:hAnsi="Times New Roman"/>
                <w:sz w:val="28"/>
              </w:rPr>
            </w:pPr>
            <w:r>
              <w:rPr>
                <w:rFonts w:ascii="Times New Roman" w:hAnsi="Times New Roman"/>
                <w:spacing w:val="-1"/>
                <w:sz w:val="28"/>
              </w:rPr>
              <w:t>《中华人民共和国安全生产法》第一百一十三条第</w:t>
            </w:r>
            <w:r>
              <w:rPr>
                <w:rFonts w:ascii="Times New Roman" w:hAnsi="Times New Roman"/>
                <w:spacing w:val="-5"/>
                <w:sz w:val="28"/>
              </w:rPr>
              <w:t>四项</w:t>
            </w:r>
          </w:p>
        </w:tc>
        <w:tc>
          <w:tcPr>
            <w:tcW w:w="1120" w:type="dxa"/>
          </w:tcPr>
          <w:p w14:paraId="0AADF35F">
            <w:pPr>
              <w:pStyle w:val="16"/>
              <w:rPr>
                <w:rFonts w:ascii="Times New Roman" w:hAnsi="Times New Roman"/>
                <w:sz w:val="28"/>
              </w:rPr>
            </w:pPr>
          </w:p>
        </w:tc>
      </w:tr>
      <w:tr w14:paraId="37C61E7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24" w:hRule="atLeast"/>
        </w:trPr>
        <w:tc>
          <w:tcPr>
            <w:tcW w:w="624" w:type="dxa"/>
            <w:vAlign w:val="center"/>
          </w:tcPr>
          <w:p w14:paraId="40445D91">
            <w:pPr>
              <w:pStyle w:val="16"/>
              <w:keepNext w:val="0"/>
              <w:keepLines w:val="0"/>
              <w:pageBreakBefore w:val="0"/>
              <w:widowControl w:val="0"/>
              <w:kinsoku/>
              <w:wordWrap/>
              <w:overflowPunct/>
              <w:topLinePunct w:val="0"/>
              <w:autoSpaceDE/>
              <w:autoSpaceDN/>
              <w:bidi w:val="0"/>
              <w:adjustRightInd/>
              <w:snapToGrid/>
              <w:spacing w:line="240" w:lineRule="atLeast"/>
              <w:ind w:left="0" w:right="0"/>
              <w:jc w:val="center"/>
              <w:textAlignment w:val="auto"/>
              <w:rPr>
                <w:rFonts w:ascii="Times New Roman" w:hAnsi="Times New Roman"/>
                <w:sz w:val="28"/>
              </w:rPr>
            </w:pPr>
            <w:r>
              <w:rPr>
                <w:rFonts w:ascii="Times New Roman" w:hAnsi="Times New Roman"/>
                <w:spacing w:val="-10"/>
                <w:sz w:val="28"/>
              </w:rPr>
              <w:t>3</w:t>
            </w:r>
          </w:p>
        </w:tc>
        <w:tc>
          <w:tcPr>
            <w:tcW w:w="931" w:type="dxa"/>
            <w:vMerge w:val="continue"/>
            <w:tcBorders>
              <w:top w:val="nil"/>
            </w:tcBorders>
          </w:tcPr>
          <w:p w14:paraId="06DF528F">
            <w:pPr>
              <w:rPr>
                <w:rFonts w:ascii="Times New Roman" w:hAnsi="Times New Roman"/>
                <w:sz w:val="2"/>
                <w:szCs w:val="2"/>
              </w:rPr>
            </w:pPr>
          </w:p>
        </w:tc>
        <w:tc>
          <w:tcPr>
            <w:tcW w:w="5697" w:type="dxa"/>
            <w:vAlign w:val="center"/>
          </w:tcPr>
          <w:p w14:paraId="46C77947">
            <w:pPr>
              <w:pStyle w:val="16"/>
              <w:keepNext w:val="0"/>
              <w:keepLines w:val="0"/>
              <w:pageBreakBefore w:val="0"/>
              <w:widowControl w:val="0"/>
              <w:kinsoku/>
              <w:wordWrap/>
              <w:overflowPunct/>
              <w:topLinePunct w:val="0"/>
              <w:autoSpaceDE/>
              <w:autoSpaceDN/>
              <w:bidi w:val="0"/>
              <w:adjustRightInd/>
              <w:snapToGrid/>
              <w:spacing w:line="240" w:lineRule="atLeast"/>
              <w:ind w:left="0" w:right="0" w:firstLine="0" w:firstLineChars="0"/>
              <w:jc w:val="both"/>
              <w:textAlignment w:val="auto"/>
              <w:rPr>
                <w:rFonts w:ascii="Times New Roman" w:hAnsi="Times New Roman"/>
                <w:sz w:val="28"/>
              </w:rPr>
            </w:pPr>
            <w:r>
              <w:rPr>
                <w:rFonts w:ascii="Times New Roman" w:hAnsi="Times New Roman"/>
                <w:spacing w:val="-3"/>
                <w:sz w:val="28"/>
              </w:rPr>
              <w:t>发生生产安全事故的；</w:t>
            </w:r>
          </w:p>
        </w:tc>
        <w:tc>
          <w:tcPr>
            <w:tcW w:w="6482" w:type="dxa"/>
            <w:vAlign w:val="center"/>
          </w:tcPr>
          <w:p w14:paraId="3F58D06F">
            <w:pPr>
              <w:pStyle w:val="16"/>
              <w:keepNext w:val="0"/>
              <w:keepLines w:val="0"/>
              <w:pageBreakBefore w:val="0"/>
              <w:widowControl w:val="0"/>
              <w:kinsoku/>
              <w:wordWrap/>
              <w:overflowPunct/>
              <w:topLinePunct w:val="0"/>
              <w:autoSpaceDE/>
              <w:autoSpaceDN/>
              <w:bidi w:val="0"/>
              <w:adjustRightInd/>
              <w:snapToGrid/>
              <w:spacing w:line="240" w:lineRule="atLeast"/>
              <w:ind w:left="0"/>
              <w:jc w:val="both"/>
              <w:textAlignment w:val="auto"/>
              <w:rPr>
                <w:rFonts w:ascii="Times New Roman" w:hAnsi="Times New Roman"/>
                <w:sz w:val="28"/>
              </w:rPr>
            </w:pPr>
            <w:r>
              <w:rPr>
                <w:rFonts w:ascii="Times New Roman" w:hAnsi="Times New Roman"/>
                <w:spacing w:val="-3"/>
                <w:sz w:val="28"/>
              </w:rPr>
              <w:t>《生产安全事故报告和调查处理条例》第四十条</w:t>
            </w:r>
          </w:p>
        </w:tc>
        <w:tc>
          <w:tcPr>
            <w:tcW w:w="1120" w:type="dxa"/>
          </w:tcPr>
          <w:p w14:paraId="561BC44E">
            <w:pPr>
              <w:pStyle w:val="16"/>
              <w:rPr>
                <w:rFonts w:ascii="Times New Roman" w:hAnsi="Times New Roman"/>
                <w:sz w:val="28"/>
              </w:rPr>
            </w:pPr>
          </w:p>
        </w:tc>
      </w:tr>
      <w:tr w14:paraId="3AC32D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225" w:hRule="atLeast"/>
        </w:trPr>
        <w:tc>
          <w:tcPr>
            <w:tcW w:w="624" w:type="dxa"/>
            <w:vAlign w:val="center"/>
          </w:tcPr>
          <w:p w14:paraId="1EC3A163">
            <w:pPr>
              <w:pStyle w:val="16"/>
              <w:keepNext w:val="0"/>
              <w:keepLines w:val="0"/>
              <w:pageBreakBefore w:val="0"/>
              <w:widowControl w:val="0"/>
              <w:kinsoku/>
              <w:wordWrap/>
              <w:overflowPunct/>
              <w:topLinePunct w:val="0"/>
              <w:autoSpaceDE/>
              <w:autoSpaceDN/>
              <w:bidi w:val="0"/>
              <w:adjustRightInd/>
              <w:snapToGrid/>
              <w:spacing w:line="240" w:lineRule="atLeast"/>
              <w:ind w:left="0" w:right="0"/>
              <w:jc w:val="center"/>
              <w:textAlignment w:val="auto"/>
              <w:rPr>
                <w:rFonts w:ascii="Times New Roman" w:hAnsi="Times New Roman"/>
                <w:sz w:val="28"/>
              </w:rPr>
            </w:pPr>
            <w:r>
              <w:rPr>
                <w:rFonts w:ascii="Times New Roman" w:hAnsi="Times New Roman"/>
                <w:spacing w:val="-10"/>
                <w:sz w:val="28"/>
              </w:rPr>
              <w:t>4</w:t>
            </w:r>
          </w:p>
        </w:tc>
        <w:tc>
          <w:tcPr>
            <w:tcW w:w="931" w:type="dxa"/>
            <w:vMerge w:val="continue"/>
            <w:tcBorders>
              <w:top w:val="nil"/>
            </w:tcBorders>
          </w:tcPr>
          <w:p w14:paraId="6A8E33AB">
            <w:pPr>
              <w:rPr>
                <w:rFonts w:ascii="Times New Roman" w:hAnsi="Times New Roman"/>
                <w:sz w:val="2"/>
                <w:szCs w:val="2"/>
              </w:rPr>
            </w:pPr>
          </w:p>
        </w:tc>
        <w:tc>
          <w:tcPr>
            <w:tcW w:w="5697" w:type="dxa"/>
            <w:vAlign w:val="center"/>
          </w:tcPr>
          <w:p w14:paraId="43C0D741">
            <w:pPr>
              <w:pStyle w:val="16"/>
              <w:keepNext w:val="0"/>
              <w:keepLines w:val="0"/>
              <w:pageBreakBefore w:val="0"/>
              <w:widowControl w:val="0"/>
              <w:kinsoku/>
              <w:wordWrap/>
              <w:overflowPunct/>
              <w:topLinePunct w:val="0"/>
              <w:autoSpaceDE/>
              <w:autoSpaceDN/>
              <w:bidi w:val="0"/>
              <w:adjustRightInd/>
              <w:snapToGrid/>
              <w:spacing w:line="240" w:lineRule="atLeast"/>
              <w:ind w:left="0" w:right="0" w:firstLine="0" w:firstLineChars="0"/>
              <w:jc w:val="both"/>
              <w:textAlignment w:val="auto"/>
              <w:rPr>
                <w:rFonts w:ascii="Times New Roman" w:hAnsi="Times New Roman"/>
                <w:sz w:val="28"/>
              </w:rPr>
            </w:pPr>
            <w:r>
              <w:rPr>
                <w:rFonts w:ascii="Times New Roman" w:hAnsi="Times New Roman"/>
                <w:spacing w:val="-14"/>
                <w:sz w:val="28"/>
              </w:rPr>
              <w:t>销售非法生产、经营的烟花爆竹，或者销售按</w:t>
            </w:r>
            <w:r>
              <w:rPr>
                <w:rFonts w:ascii="Times New Roman" w:hAnsi="Times New Roman"/>
                <w:spacing w:val="-2"/>
                <w:sz w:val="28"/>
              </w:rPr>
              <w:t>照国家标准规定应由专业燃放人员燃放的烟花爆竹，情节严重的；</w:t>
            </w:r>
          </w:p>
        </w:tc>
        <w:tc>
          <w:tcPr>
            <w:tcW w:w="6482" w:type="dxa"/>
            <w:vAlign w:val="center"/>
          </w:tcPr>
          <w:p w14:paraId="3C954176">
            <w:pPr>
              <w:pStyle w:val="16"/>
              <w:keepNext w:val="0"/>
              <w:keepLines w:val="0"/>
              <w:pageBreakBefore w:val="0"/>
              <w:widowControl w:val="0"/>
              <w:kinsoku/>
              <w:wordWrap/>
              <w:overflowPunct/>
              <w:topLinePunct w:val="0"/>
              <w:autoSpaceDE/>
              <w:autoSpaceDN/>
              <w:bidi w:val="0"/>
              <w:adjustRightInd/>
              <w:snapToGrid/>
              <w:spacing w:line="240" w:lineRule="atLeast"/>
              <w:ind w:left="0"/>
              <w:jc w:val="both"/>
              <w:textAlignment w:val="auto"/>
              <w:rPr>
                <w:rFonts w:ascii="Times New Roman" w:hAnsi="Times New Roman"/>
                <w:sz w:val="28"/>
              </w:rPr>
            </w:pPr>
            <w:r>
              <w:rPr>
                <w:rFonts w:hint="eastAsia" w:ascii="Times New Roman" w:hAnsi="Times New Roman"/>
                <w:spacing w:val="-3"/>
                <w:sz w:val="28"/>
                <w:lang w:eastAsia="zh-CN"/>
              </w:rPr>
              <w:t>《</w:t>
            </w:r>
            <w:r>
              <w:rPr>
                <w:rFonts w:ascii="Times New Roman" w:hAnsi="Times New Roman"/>
                <w:spacing w:val="-3"/>
                <w:sz w:val="28"/>
              </w:rPr>
              <w:t>烟花爆竹安全管理条例》第三十八条第二款</w:t>
            </w:r>
          </w:p>
        </w:tc>
        <w:tc>
          <w:tcPr>
            <w:tcW w:w="1120" w:type="dxa"/>
          </w:tcPr>
          <w:p w14:paraId="51F9DB9D">
            <w:pPr>
              <w:pStyle w:val="16"/>
              <w:rPr>
                <w:rFonts w:ascii="Times New Roman" w:hAnsi="Times New Roman"/>
                <w:sz w:val="28"/>
              </w:rPr>
            </w:pPr>
          </w:p>
        </w:tc>
      </w:tr>
      <w:tr w14:paraId="25FD85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5" w:hRule="atLeast"/>
        </w:trPr>
        <w:tc>
          <w:tcPr>
            <w:tcW w:w="624" w:type="dxa"/>
            <w:vAlign w:val="center"/>
          </w:tcPr>
          <w:p w14:paraId="05D307CF">
            <w:pPr>
              <w:pStyle w:val="16"/>
              <w:keepNext w:val="0"/>
              <w:keepLines w:val="0"/>
              <w:pageBreakBefore w:val="0"/>
              <w:widowControl w:val="0"/>
              <w:kinsoku/>
              <w:wordWrap/>
              <w:overflowPunct/>
              <w:topLinePunct w:val="0"/>
              <w:autoSpaceDE/>
              <w:autoSpaceDN/>
              <w:bidi w:val="0"/>
              <w:adjustRightInd/>
              <w:snapToGrid/>
              <w:spacing w:line="240" w:lineRule="atLeast"/>
              <w:ind w:left="0" w:right="0"/>
              <w:jc w:val="center"/>
              <w:textAlignment w:val="auto"/>
              <w:rPr>
                <w:rFonts w:ascii="Times New Roman" w:hAnsi="Times New Roman"/>
                <w:sz w:val="28"/>
              </w:rPr>
            </w:pPr>
            <w:r>
              <w:rPr>
                <w:rFonts w:ascii="Times New Roman" w:hAnsi="Times New Roman"/>
                <w:spacing w:val="-10"/>
                <w:sz w:val="28"/>
              </w:rPr>
              <w:t>5</w:t>
            </w:r>
          </w:p>
        </w:tc>
        <w:tc>
          <w:tcPr>
            <w:tcW w:w="931" w:type="dxa"/>
            <w:vMerge w:val="continue"/>
            <w:tcBorders>
              <w:top w:val="nil"/>
            </w:tcBorders>
          </w:tcPr>
          <w:p w14:paraId="78AC8BE3">
            <w:pPr>
              <w:rPr>
                <w:rFonts w:ascii="Times New Roman" w:hAnsi="Times New Roman"/>
                <w:sz w:val="2"/>
                <w:szCs w:val="2"/>
              </w:rPr>
            </w:pPr>
          </w:p>
        </w:tc>
        <w:tc>
          <w:tcPr>
            <w:tcW w:w="5697" w:type="dxa"/>
            <w:vAlign w:val="center"/>
          </w:tcPr>
          <w:p w14:paraId="514CA8CE">
            <w:pPr>
              <w:pStyle w:val="16"/>
              <w:keepNext w:val="0"/>
              <w:keepLines w:val="0"/>
              <w:pageBreakBefore w:val="0"/>
              <w:widowControl w:val="0"/>
              <w:kinsoku/>
              <w:wordWrap/>
              <w:overflowPunct/>
              <w:topLinePunct w:val="0"/>
              <w:autoSpaceDE/>
              <w:autoSpaceDN/>
              <w:bidi w:val="0"/>
              <w:adjustRightInd/>
              <w:snapToGrid/>
              <w:spacing w:line="240" w:lineRule="atLeast"/>
              <w:ind w:left="0" w:right="0" w:firstLine="0" w:firstLineChars="0"/>
              <w:jc w:val="both"/>
              <w:textAlignment w:val="auto"/>
              <w:rPr>
                <w:rFonts w:ascii="Times New Roman" w:hAnsi="Times New Roman"/>
                <w:sz w:val="28"/>
              </w:rPr>
            </w:pPr>
            <w:r>
              <w:rPr>
                <w:rFonts w:ascii="Times New Roman" w:hAnsi="Times New Roman"/>
                <w:spacing w:val="-20"/>
                <w:sz w:val="28"/>
              </w:rPr>
              <w:t>出租、出借、转让、买卖烟花爆竹经营许可的；</w:t>
            </w:r>
          </w:p>
        </w:tc>
        <w:tc>
          <w:tcPr>
            <w:tcW w:w="6482" w:type="dxa"/>
            <w:vAlign w:val="center"/>
          </w:tcPr>
          <w:p w14:paraId="6E7F9750">
            <w:pPr>
              <w:pStyle w:val="16"/>
              <w:keepNext w:val="0"/>
              <w:keepLines w:val="0"/>
              <w:pageBreakBefore w:val="0"/>
              <w:widowControl w:val="0"/>
              <w:kinsoku/>
              <w:wordWrap/>
              <w:overflowPunct/>
              <w:topLinePunct w:val="0"/>
              <w:autoSpaceDE/>
              <w:autoSpaceDN/>
              <w:bidi w:val="0"/>
              <w:adjustRightInd/>
              <w:snapToGrid/>
              <w:spacing w:line="240" w:lineRule="atLeast"/>
              <w:ind w:left="0"/>
              <w:jc w:val="both"/>
              <w:textAlignment w:val="auto"/>
              <w:rPr>
                <w:rFonts w:ascii="Times New Roman" w:hAnsi="Times New Roman"/>
                <w:sz w:val="28"/>
              </w:rPr>
            </w:pPr>
            <w:r>
              <w:rPr>
                <w:rFonts w:ascii="Times New Roman" w:hAnsi="Times New Roman"/>
                <w:spacing w:val="-3"/>
                <w:sz w:val="28"/>
              </w:rPr>
              <w:t>《烟花爆竹经营许可实施办法》第三十六条</w:t>
            </w:r>
          </w:p>
        </w:tc>
        <w:tc>
          <w:tcPr>
            <w:tcW w:w="1120" w:type="dxa"/>
          </w:tcPr>
          <w:p w14:paraId="4912B1DC">
            <w:pPr>
              <w:pStyle w:val="16"/>
              <w:rPr>
                <w:rFonts w:ascii="Times New Roman" w:hAnsi="Times New Roman"/>
                <w:sz w:val="28"/>
              </w:rPr>
            </w:pPr>
          </w:p>
        </w:tc>
      </w:tr>
      <w:tr w14:paraId="3D92EF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796" w:hRule="atLeast"/>
        </w:trPr>
        <w:tc>
          <w:tcPr>
            <w:tcW w:w="624" w:type="dxa"/>
          </w:tcPr>
          <w:p w14:paraId="7C6378FC">
            <w:pPr>
              <w:pStyle w:val="16"/>
              <w:spacing w:before="251"/>
              <w:ind w:left="13" w:right="3"/>
              <w:jc w:val="center"/>
              <w:rPr>
                <w:rFonts w:ascii="Times New Roman" w:hAnsi="Times New Roman"/>
                <w:sz w:val="28"/>
              </w:rPr>
            </w:pPr>
            <w:r>
              <w:rPr>
                <w:rFonts w:ascii="Times New Roman" w:hAnsi="Times New Roman"/>
                <w:spacing w:val="-10"/>
                <w:sz w:val="28"/>
              </w:rPr>
              <w:t>6</w:t>
            </w:r>
          </w:p>
        </w:tc>
        <w:tc>
          <w:tcPr>
            <w:tcW w:w="931" w:type="dxa"/>
            <w:vMerge w:val="continue"/>
            <w:tcBorders>
              <w:top w:val="nil"/>
            </w:tcBorders>
          </w:tcPr>
          <w:p w14:paraId="12D1A0ED">
            <w:pPr>
              <w:rPr>
                <w:rFonts w:ascii="Times New Roman" w:hAnsi="Times New Roman"/>
                <w:sz w:val="2"/>
                <w:szCs w:val="2"/>
              </w:rPr>
            </w:pPr>
          </w:p>
        </w:tc>
        <w:tc>
          <w:tcPr>
            <w:tcW w:w="5697" w:type="dxa"/>
          </w:tcPr>
          <w:p w14:paraId="6F67A6EF">
            <w:pPr>
              <w:pStyle w:val="16"/>
              <w:keepNext w:val="0"/>
              <w:keepLines w:val="0"/>
              <w:pageBreakBefore w:val="0"/>
              <w:widowControl w:val="0"/>
              <w:kinsoku/>
              <w:wordWrap/>
              <w:overflowPunct/>
              <w:topLinePunct w:val="0"/>
              <w:autoSpaceDE/>
              <w:autoSpaceDN/>
              <w:bidi w:val="0"/>
              <w:adjustRightInd/>
              <w:snapToGrid/>
              <w:spacing w:line="240" w:lineRule="atLeast"/>
              <w:ind w:left="0" w:right="0" w:firstLine="0" w:firstLineChars="0"/>
              <w:jc w:val="both"/>
              <w:textAlignment w:val="auto"/>
              <w:rPr>
                <w:rFonts w:ascii="Times New Roman" w:hAnsi="Times New Roman"/>
                <w:spacing w:val="-14"/>
                <w:sz w:val="28"/>
              </w:rPr>
            </w:pPr>
            <w:r>
              <w:rPr>
                <w:rFonts w:ascii="Times New Roman" w:hAnsi="Times New Roman"/>
                <w:spacing w:val="-14"/>
                <w:sz w:val="28"/>
              </w:rPr>
              <w:t>以欺骗、贿赂等不正当手段取得烟花爆竹经营</w:t>
            </w:r>
          </w:p>
          <w:p w14:paraId="65AD49B8">
            <w:pPr>
              <w:pStyle w:val="16"/>
              <w:keepNext w:val="0"/>
              <w:keepLines w:val="0"/>
              <w:pageBreakBefore w:val="0"/>
              <w:widowControl w:val="0"/>
              <w:kinsoku/>
              <w:wordWrap/>
              <w:overflowPunct/>
              <w:topLinePunct w:val="0"/>
              <w:autoSpaceDE/>
              <w:autoSpaceDN/>
              <w:bidi w:val="0"/>
              <w:adjustRightInd/>
              <w:snapToGrid/>
              <w:spacing w:line="240" w:lineRule="atLeast"/>
              <w:ind w:left="0" w:right="0" w:firstLine="0" w:firstLineChars="0"/>
              <w:jc w:val="both"/>
              <w:textAlignment w:val="auto"/>
              <w:rPr>
                <w:rFonts w:ascii="Times New Roman" w:hAnsi="Times New Roman"/>
                <w:sz w:val="28"/>
              </w:rPr>
            </w:pPr>
            <w:r>
              <w:rPr>
                <w:rFonts w:ascii="Times New Roman" w:hAnsi="Times New Roman"/>
                <w:spacing w:val="-14"/>
                <w:sz w:val="28"/>
              </w:rPr>
              <w:t>许可证的；</w:t>
            </w:r>
          </w:p>
        </w:tc>
        <w:tc>
          <w:tcPr>
            <w:tcW w:w="6482" w:type="dxa"/>
          </w:tcPr>
          <w:p w14:paraId="2096D5CF">
            <w:pPr>
              <w:pStyle w:val="16"/>
              <w:spacing w:before="237"/>
              <w:ind w:left="108"/>
              <w:rPr>
                <w:rFonts w:ascii="Times New Roman" w:hAnsi="Times New Roman"/>
                <w:sz w:val="28"/>
              </w:rPr>
            </w:pPr>
            <w:r>
              <w:rPr>
                <w:rFonts w:ascii="Times New Roman" w:hAnsi="Times New Roman"/>
                <w:spacing w:val="-3"/>
                <w:sz w:val="28"/>
              </w:rPr>
              <w:t>《烟花爆竹经营许可实施办法》第三十七条第一款</w:t>
            </w:r>
          </w:p>
        </w:tc>
        <w:tc>
          <w:tcPr>
            <w:tcW w:w="1120" w:type="dxa"/>
          </w:tcPr>
          <w:p w14:paraId="42FBC38C">
            <w:pPr>
              <w:pStyle w:val="16"/>
              <w:rPr>
                <w:rFonts w:ascii="Times New Roman" w:hAnsi="Times New Roman"/>
                <w:sz w:val="28"/>
              </w:rPr>
            </w:pPr>
          </w:p>
        </w:tc>
      </w:tr>
    </w:tbl>
    <w:p w14:paraId="5A9F37F9">
      <w:pPr>
        <w:pStyle w:val="16"/>
        <w:spacing w:after="0"/>
        <w:rPr>
          <w:rFonts w:ascii="Times New Roman" w:hAnsi="Times New Roman"/>
          <w:sz w:val="28"/>
        </w:rPr>
        <w:sectPr>
          <w:pgSz w:w="16840" w:h="11910" w:orient="landscape"/>
          <w:pgMar w:top="2098" w:right="1474" w:bottom="1984" w:left="1587" w:header="0" w:footer="1497" w:gutter="0"/>
          <w:cols w:space="720" w:num="1"/>
        </w:sectPr>
      </w:pPr>
    </w:p>
    <w:tbl>
      <w:tblPr>
        <w:tblStyle w:val="11"/>
        <w:tblpPr w:leftFromText="180" w:rightFromText="180" w:vertAnchor="text" w:horzAnchor="page" w:tblpX="1588" w:tblpY="-145"/>
        <w:tblOverlap w:val="never"/>
        <w:tblW w:w="0" w:type="auto"/>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24"/>
        <w:gridCol w:w="931"/>
        <w:gridCol w:w="5697"/>
        <w:gridCol w:w="6482"/>
        <w:gridCol w:w="1120"/>
      </w:tblGrid>
      <w:tr w14:paraId="5466834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39" w:hRule="atLeast"/>
        </w:trPr>
        <w:tc>
          <w:tcPr>
            <w:tcW w:w="624" w:type="dxa"/>
          </w:tcPr>
          <w:p w14:paraId="30E378D9">
            <w:pPr>
              <w:pStyle w:val="16"/>
              <w:spacing w:before="125" w:line="201" w:lineRule="auto"/>
              <w:ind w:left="170" w:right="156"/>
              <w:rPr>
                <w:rFonts w:hint="eastAsia" w:ascii="Times New Roman" w:hAnsi="Times New Roman" w:eastAsia="黑体" w:cs="黑体"/>
                <w:sz w:val="28"/>
              </w:rPr>
            </w:pPr>
            <w:r>
              <w:rPr>
                <w:rFonts w:hint="eastAsia" w:ascii="Times New Roman" w:hAnsi="Times New Roman" w:eastAsia="黑体" w:cs="黑体"/>
                <w:spacing w:val="-10"/>
                <w:sz w:val="28"/>
              </w:rPr>
              <w:t>序号</w:t>
            </w:r>
          </w:p>
        </w:tc>
        <w:tc>
          <w:tcPr>
            <w:tcW w:w="931" w:type="dxa"/>
          </w:tcPr>
          <w:p w14:paraId="26FD2E22">
            <w:pPr>
              <w:pStyle w:val="16"/>
              <w:spacing w:before="125" w:line="201" w:lineRule="auto"/>
              <w:ind w:left="182" w:right="170"/>
              <w:rPr>
                <w:rFonts w:hint="eastAsia" w:ascii="Times New Roman" w:hAnsi="Times New Roman" w:eastAsia="黑体" w:cs="黑体"/>
                <w:sz w:val="28"/>
              </w:rPr>
            </w:pPr>
            <w:r>
              <w:rPr>
                <w:rFonts w:hint="eastAsia" w:ascii="Times New Roman" w:hAnsi="Times New Roman" w:eastAsia="黑体" w:cs="黑体"/>
                <w:spacing w:val="-6"/>
                <w:sz w:val="28"/>
              </w:rPr>
              <w:t>应记</w:t>
            </w:r>
            <w:r>
              <w:rPr>
                <w:rFonts w:hint="eastAsia" w:ascii="Times New Roman" w:hAnsi="Times New Roman" w:eastAsia="黑体" w:cs="黑体"/>
                <w:spacing w:val="-5"/>
                <w:sz w:val="28"/>
              </w:rPr>
              <w:t>分值</w:t>
            </w:r>
          </w:p>
        </w:tc>
        <w:tc>
          <w:tcPr>
            <w:tcW w:w="5697" w:type="dxa"/>
          </w:tcPr>
          <w:p w14:paraId="7D4ABC2E">
            <w:pPr>
              <w:pStyle w:val="16"/>
              <w:spacing w:before="229"/>
              <w:ind w:left="15"/>
              <w:jc w:val="center"/>
              <w:rPr>
                <w:rFonts w:hint="eastAsia" w:ascii="Times New Roman" w:hAnsi="Times New Roman" w:eastAsia="黑体" w:cs="黑体"/>
                <w:sz w:val="28"/>
              </w:rPr>
            </w:pPr>
            <w:r>
              <w:rPr>
                <w:rFonts w:hint="eastAsia" w:ascii="Times New Roman" w:hAnsi="Times New Roman" w:eastAsia="黑体" w:cs="黑体"/>
                <w:spacing w:val="-5"/>
                <w:sz w:val="28"/>
              </w:rPr>
              <w:t>行为</w:t>
            </w:r>
          </w:p>
        </w:tc>
        <w:tc>
          <w:tcPr>
            <w:tcW w:w="6482" w:type="dxa"/>
          </w:tcPr>
          <w:p w14:paraId="0D0C5529">
            <w:pPr>
              <w:pStyle w:val="16"/>
              <w:spacing w:before="229"/>
              <w:ind w:left="14"/>
              <w:jc w:val="center"/>
              <w:rPr>
                <w:rFonts w:hint="eastAsia" w:ascii="Times New Roman" w:hAnsi="Times New Roman" w:eastAsia="黑体" w:cs="黑体"/>
                <w:sz w:val="28"/>
              </w:rPr>
            </w:pPr>
            <w:r>
              <w:rPr>
                <w:rFonts w:hint="eastAsia" w:ascii="Times New Roman" w:hAnsi="Times New Roman" w:eastAsia="黑体" w:cs="黑体"/>
                <w:spacing w:val="-3"/>
                <w:sz w:val="28"/>
              </w:rPr>
              <w:t>法律依据</w:t>
            </w:r>
          </w:p>
        </w:tc>
        <w:tc>
          <w:tcPr>
            <w:tcW w:w="1120" w:type="dxa"/>
          </w:tcPr>
          <w:p w14:paraId="40EF4F26">
            <w:pPr>
              <w:pStyle w:val="16"/>
              <w:spacing w:before="125" w:line="201" w:lineRule="auto"/>
              <w:ind w:left="281" w:right="259"/>
              <w:rPr>
                <w:rFonts w:hint="eastAsia" w:ascii="Times New Roman" w:hAnsi="Times New Roman" w:eastAsia="黑体" w:cs="黑体"/>
                <w:sz w:val="28"/>
              </w:rPr>
            </w:pPr>
            <w:r>
              <w:rPr>
                <w:rFonts w:hint="eastAsia" w:ascii="Times New Roman" w:hAnsi="Times New Roman" w:eastAsia="黑体" w:cs="黑体"/>
                <w:spacing w:val="-6"/>
                <w:sz w:val="28"/>
              </w:rPr>
              <w:t>实记</w:t>
            </w:r>
            <w:r>
              <w:rPr>
                <w:rFonts w:hint="eastAsia" w:ascii="Times New Roman" w:hAnsi="Times New Roman" w:eastAsia="黑体" w:cs="黑体"/>
                <w:spacing w:val="-5"/>
                <w:sz w:val="28"/>
              </w:rPr>
              <w:t>分值</w:t>
            </w:r>
          </w:p>
        </w:tc>
      </w:tr>
      <w:tr w14:paraId="422A37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3" w:hRule="atLeast"/>
        </w:trPr>
        <w:tc>
          <w:tcPr>
            <w:tcW w:w="624" w:type="dxa"/>
            <w:vAlign w:val="center"/>
          </w:tcPr>
          <w:p w14:paraId="3A786847">
            <w:pPr>
              <w:pStyle w:val="16"/>
              <w:spacing w:before="251"/>
              <w:ind w:left="13" w:right="3"/>
              <w:jc w:val="center"/>
              <w:rPr>
                <w:rFonts w:ascii="Times New Roman" w:hAnsi="Times New Roman"/>
                <w:sz w:val="28"/>
              </w:rPr>
            </w:pPr>
            <w:r>
              <w:rPr>
                <w:rFonts w:ascii="Times New Roman" w:hAnsi="Times New Roman"/>
                <w:spacing w:val="-10"/>
                <w:sz w:val="28"/>
              </w:rPr>
              <w:t>7</w:t>
            </w:r>
          </w:p>
        </w:tc>
        <w:tc>
          <w:tcPr>
            <w:tcW w:w="931" w:type="dxa"/>
            <w:vMerge w:val="restart"/>
            <w:vAlign w:val="center"/>
          </w:tcPr>
          <w:p w14:paraId="62C96D91">
            <w:pPr>
              <w:pStyle w:val="16"/>
              <w:jc w:val="center"/>
              <w:rPr>
                <w:rFonts w:ascii="Times New Roman" w:hAnsi="Times New Roman"/>
                <w:sz w:val="28"/>
              </w:rPr>
            </w:pPr>
            <w:r>
              <w:rPr>
                <w:rFonts w:hint="eastAsia" w:ascii="Times New Roman" w:hAnsi="Times New Roman"/>
                <w:spacing w:val="-40"/>
                <w:sz w:val="28"/>
                <w:lang w:val="en-US" w:eastAsia="zh-CN"/>
              </w:rPr>
              <w:t>6</w:t>
            </w:r>
            <w:r>
              <w:rPr>
                <w:rFonts w:ascii="Times New Roman" w:hAnsi="Times New Roman"/>
                <w:spacing w:val="-40"/>
                <w:sz w:val="28"/>
              </w:rPr>
              <w:t>分</w:t>
            </w:r>
          </w:p>
        </w:tc>
        <w:tc>
          <w:tcPr>
            <w:tcW w:w="5697" w:type="dxa"/>
            <w:vAlign w:val="center"/>
          </w:tcPr>
          <w:p w14:paraId="46ACCF73">
            <w:pPr>
              <w:pStyle w:val="16"/>
              <w:keepNext w:val="0"/>
              <w:keepLines w:val="0"/>
              <w:pageBreakBefore w:val="0"/>
              <w:widowControl w:val="0"/>
              <w:kinsoku/>
              <w:wordWrap/>
              <w:overflowPunct/>
              <w:topLinePunct w:val="0"/>
              <w:autoSpaceDE/>
              <w:autoSpaceDN/>
              <w:bidi w:val="0"/>
              <w:adjustRightInd/>
              <w:snapToGrid/>
              <w:spacing w:line="240" w:lineRule="atLeast"/>
              <w:ind w:left="0" w:right="0" w:firstLine="0" w:firstLineChars="0"/>
              <w:jc w:val="both"/>
              <w:textAlignment w:val="auto"/>
              <w:rPr>
                <w:rFonts w:ascii="Times New Roman" w:hAnsi="Times New Roman"/>
                <w:spacing w:val="-1"/>
                <w:sz w:val="28"/>
              </w:rPr>
            </w:pPr>
            <w:r>
              <w:rPr>
                <w:rFonts w:ascii="Times New Roman" w:hAnsi="Times New Roman"/>
                <w:spacing w:val="-1"/>
                <w:sz w:val="28"/>
              </w:rPr>
              <w:t>拒绝、阻扰负有安全生产监督管理职责的部门的监督检查；</w:t>
            </w:r>
          </w:p>
        </w:tc>
        <w:tc>
          <w:tcPr>
            <w:tcW w:w="6482" w:type="dxa"/>
            <w:vAlign w:val="center"/>
          </w:tcPr>
          <w:p w14:paraId="0AFBC0C2">
            <w:pPr>
              <w:pStyle w:val="16"/>
              <w:keepNext w:val="0"/>
              <w:keepLines w:val="0"/>
              <w:pageBreakBefore w:val="0"/>
              <w:widowControl w:val="0"/>
              <w:kinsoku/>
              <w:wordWrap/>
              <w:overflowPunct/>
              <w:topLinePunct w:val="0"/>
              <w:autoSpaceDE/>
              <w:autoSpaceDN/>
              <w:bidi w:val="0"/>
              <w:adjustRightInd/>
              <w:snapToGrid/>
              <w:spacing w:line="240" w:lineRule="atLeast"/>
              <w:ind w:left="0"/>
              <w:jc w:val="both"/>
              <w:textAlignment w:val="auto"/>
              <w:rPr>
                <w:rFonts w:ascii="Times New Roman" w:hAnsi="Times New Roman"/>
                <w:spacing w:val="-3"/>
                <w:sz w:val="28"/>
              </w:rPr>
            </w:pPr>
            <w:r>
              <w:rPr>
                <w:rFonts w:ascii="Times New Roman" w:hAnsi="Times New Roman"/>
                <w:spacing w:val="-3"/>
                <w:sz w:val="28"/>
              </w:rPr>
              <w:t>《中华人民共和国安全生产法》第六十六条</w:t>
            </w:r>
          </w:p>
        </w:tc>
        <w:tc>
          <w:tcPr>
            <w:tcW w:w="1120" w:type="dxa"/>
          </w:tcPr>
          <w:p w14:paraId="0AF57E56">
            <w:pPr>
              <w:pStyle w:val="16"/>
              <w:rPr>
                <w:rFonts w:ascii="Times New Roman" w:hAnsi="Times New Roman"/>
                <w:sz w:val="28"/>
              </w:rPr>
            </w:pPr>
          </w:p>
        </w:tc>
      </w:tr>
      <w:tr w14:paraId="6824DDE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21" w:hRule="atLeast"/>
        </w:trPr>
        <w:tc>
          <w:tcPr>
            <w:tcW w:w="624" w:type="dxa"/>
          </w:tcPr>
          <w:p w14:paraId="0852D232">
            <w:pPr>
              <w:pStyle w:val="16"/>
              <w:spacing w:before="313"/>
              <w:ind w:left="13" w:right="3"/>
              <w:jc w:val="center"/>
              <w:rPr>
                <w:rFonts w:ascii="Times New Roman" w:hAnsi="Times New Roman"/>
                <w:sz w:val="28"/>
              </w:rPr>
            </w:pPr>
            <w:r>
              <w:rPr>
                <w:rFonts w:ascii="Times New Roman" w:hAnsi="Times New Roman"/>
                <w:spacing w:val="-10"/>
                <w:sz w:val="28"/>
              </w:rPr>
              <w:t>8</w:t>
            </w:r>
          </w:p>
        </w:tc>
        <w:tc>
          <w:tcPr>
            <w:tcW w:w="931" w:type="dxa"/>
            <w:vMerge w:val="continue"/>
            <w:tcBorders>
              <w:top w:val="nil"/>
            </w:tcBorders>
          </w:tcPr>
          <w:p w14:paraId="2CE98751">
            <w:pPr>
              <w:rPr>
                <w:rFonts w:ascii="Times New Roman" w:hAnsi="Times New Roman"/>
                <w:sz w:val="2"/>
                <w:szCs w:val="2"/>
              </w:rPr>
            </w:pPr>
          </w:p>
        </w:tc>
        <w:tc>
          <w:tcPr>
            <w:tcW w:w="5697" w:type="dxa"/>
            <w:vAlign w:val="center"/>
          </w:tcPr>
          <w:p w14:paraId="7A5F9DA3">
            <w:pPr>
              <w:pStyle w:val="16"/>
              <w:keepNext w:val="0"/>
              <w:keepLines w:val="0"/>
              <w:pageBreakBefore w:val="0"/>
              <w:widowControl w:val="0"/>
              <w:kinsoku/>
              <w:wordWrap/>
              <w:overflowPunct/>
              <w:topLinePunct w:val="0"/>
              <w:autoSpaceDE/>
              <w:autoSpaceDN/>
              <w:bidi w:val="0"/>
              <w:adjustRightInd/>
              <w:snapToGrid/>
              <w:spacing w:line="240" w:lineRule="atLeast"/>
              <w:ind w:left="0" w:right="0" w:firstLine="0" w:firstLineChars="0"/>
              <w:jc w:val="both"/>
              <w:textAlignment w:val="auto"/>
              <w:rPr>
                <w:rFonts w:ascii="Times New Roman" w:hAnsi="Times New Roman"/>
                <w:spacing w:val="-1"/>
                <w:sz w:val="28"/>
              </w:rPr>
            </w:pPr>
            <w:r>
              <w:rPr>
                <w:rFonts w:ascii="Times New Roman" w:hAnsi="Times New Roman"/>
                <w:spacing w:val="-1"/>
                <w:sz w:val="28"/>
              </w:rPr>
              <w:t>未建立事故隐患排查治理制度，或者重大事故隐患排查治理情况未按照规定报告的；</w:t>
            </w:r>
          </w:p>
        </w:tc>
        <w:tc>
          <w:tcPr>
            <w:tcW w:w="6482" w:type="dxa"/>
            <w:vAlign w:val="center"/>
          </w:tcPr>
          <w:p w14:paraId="1C3216F5">
            <w:pPr>
              <w:pStyle w:val="16"/>
              <w:keepNext w:val="0"/>
              <w:keepLines w:val="0"/>
              <w:pageBreakBefore w:val="0"/>
              <w:widowControl w:val="0"/>
              <w:kinsoku/>
              <w:wordWrap/>
              <w:overflowPunct/>
              <w:topLinePunct w:val="0"/>
              <w:autoSpaceDE/>
              <w:autoSpaceDN/>
              <w:bidi w:val="0"/>
              <w:adjustRightInd/>
              <w:snapToGrid/>
              <w:spacing w:line="240" w:lineRule="atLeast"/>
              <w:ind w:left="0"/>
              <w:jc w:val="both"/>
              <w:textAlignment w:val="auto"/>
              <w:rPr>
                <w:rFonts w:ascii="Times New Roman" w:hAnsi="Times New Roman"/>
                <w:spacing w:val="-3"/>
                <w:sz w:val="28"/>
              </w:rPr>
            </w:pPr>
            <w:r>
              <w:rPr>
                <w:rFonts w:ascii="Times New Roman" w:hAnsi="Times New Roman"/>
                <w:spacing w:val="-3"/>
                <w:sz w:val="28"/>
              </w:rPr>
              <w:t>《中华人民共和国安全生产法》第一百零一条第五项</w:t>
            </w:r>
          </w:p>
        </w:tc>
        <w:tc>
          <w:tcPr>
            <w:tcW w:w="1120" w:type="dxa"/>
          </w:tcPr>
          <w:p w14:paraId="557892DE">
            <w:pPr>
              <w:pStyle w:val="16"/>
              <w:rPr>
                <w:rFonts w:ascii="Times New Roman" w:hAnsi="Times New Roman"/>
                <w:sz w:val="28"/>
              </w:rPr>
            </w:pPr>
          </w:p>
        </w:tc>
      </w:tr>
      <w:tr w14:paraId="073023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367" w:hRule="atLeast"/>
        </w:trPr>
        <w:tc>
          <w:tcPr>
            <w:tcW w:w="624" w:type="dxa"/>
            <w:vAlign w:val="center"/>
          </w:tcPr>
          <w:p w14:paraId="5A914B09">
            <w:pPr>
              <w:pStyle w:val="16"/>
              <w:ind w:left="13" w:right="3"/>
              <w:jc w:val="center"/>
              <w:rPr>
                <w:rFonts w:ascii="Times New Roman" w:hAnsi="Times New Roman"/>
                <w:sz w:val="28"/>
              </w:rPr>
            </w:pPr>
            <w:r>
              <w:rPr>
                <w:rFonts w:ascii="Times New Roman" w:hAnsi="Times New Roman"/>
                <w:spacing w:val="-10"/>
                <w:sz w:val="28"/>
              </w:rPr>
              <w:t>9</w:t>
            </w:r>
          </w:p>
        </w:tc>
        <w:tc>
          <w:tcPr>
            <w:tcW w:w="931" w:type="dxa"/>
            <w:vMerge w:val="continue"/>
            <w:tcBorders>
              <w:top w:val="nil"/>
            </w:tcBorders>
          </w:tcPr>
          <w:p w14:paraId="678E5BB7">
            <w:pPr>
              <w:rPr>
                <w:rFonts w:ascii="Times New Roman" w:hAnsi="Times New Roman"/>
                <w:sz w:val="2"/>
                <w:szCs w:val="2"/>
              </w:rPr>
            </w:pPr>
          </w:p>
        </w:tc>
        <w:tc>
          <w:tcPr>
            <w:tcW w:w="5697" w:type="dxa"/>
            <w:vAlign w:val="center"/>
          </w:tcPr>
          <w:p w14:paraId="688CE269">
            <w:pPr>
              <w:pStyle w:val="16"/>
              <w:keepNext w:val="0"/>
              <w:keepLines w:val="0"/>
              <w:pageBreakBefore w:val="0"/>
              <w:widowControl w:val="0"/>
              <w:kinsoku/>
              <w:wordWrap/>
              <w:overflowPunct/>
              <w:topLinePunct w:val="0"/>
              <w:autoSpaceDE/>
              <w:autoSpaceDN/>
              <w:bidi w:val="0"/>
              <w:adjustRightInd/>
              <w:snapToGrid/>
              <w:spacing w:line="240" w:lineRule="atLeast"/>
              <w:ind w:left="0" w:right="0" w:firstLine="0" w:firstLineChars="0"/>
              <w:jc w:val="both"/>
              <w:textAlignment w:val="auto"/>
              <w:rPr>
                <w:rFonts w:ascii="Times New Roman" w:hAnsi="Times New Roman"/>
                <w:spacing w:val="-1"/>
                <w:sz w:val="28"/>
              </w:rPr>
            </w:pPr>
            <w:r>
              <w:rPr>
                <w:rFonts w:ascii="Times New Roman" w:hAnsi="Times New Roman"/>
                <w:spacing w:val="-1"/>
                <w:sz w:val="28"/>
              </w:rPr>
              <w:t>未设有符合紧急疏散需要、标志明显、保持畅通的出口、疏散通道，或者占用、锁闭、封堵出口、疏散通道的；</w:t>
            </w:r>
          </w:p>
        </w:tc>
        <w:tc>
          <w:tcPr>
            <w:tcW w:w="6482" w:type="dxa"/>
            <w:vAlign w:val="center"/>
          </w:tcPr>
          <w:p w14:paraId="61051A75">
            <w:pPr>
              <w:pStyle w:val="16"/>
              <w:keepNext w:val="0"/>
              <w:keepLines w:val="0"/>
              <w:pageBreakBefore w:val="0"/>
              <w:widowControl w:val="0"/>
              <w:kinsoku/>
              <w:wordWrap/>
              <w:overflowPunct/>
              <w:topLinePunct w:val="0"/>
              <w:autoSpaceDE/>
              <w:autoSpaceDN/>
              <w:bidi w:val="0"/>
              <w:adjustRightInd/>
              <w:snapToGrid/>
              <w:spacing w:line="240" w:lineRule="atLeast"/>
              <w:ind w:left="0"/>
              <w:jc w:val="both"/>
              <w:textAlignment w:val="auto"/>
              <w:rPr>
                <w:rFonts w:ascii="Times New Roman" w:hAnsi="Times New Roman"/>
                <w:spacing w:val="-3"/>
                <w:sz w:val="28"/>
              </w:rPr>
            </w:pPr>
            <w:r>
              <w:rPr>
                <w:rFonts w:ascii="Times New Roman" w:hAnsi="Times New Roman"/>
                <w:spacing w:val="-3"/>
                <w:sz w:val="28"/>
              </w:rPr>
              <w:t>《中华人民共和国安全生产法》第一百零五条第二项</w:t>
            </w:r>
          </w:p>
        </w:tc>
        <w:tc>
          <w:tcPr>
            <w:tcW w:w="1120" w:type="dxa"/>
          </w:tcPr>
          <w:p w14:paraId="315B4A9D">
            <w:pPr>
              <w:pStyle w:val="16"/>
              <w:rPr>
                <w:rFonts w:ascii="Times New Roman" w:hAnsi="Times New Roman"/>
                <w:sz w:val="28"/>
              </w:rPr>
            </w:pPr>
          </w:p>
        </w:tc>
      </w:tr>
      <w:tr w14:paraId="067FD3F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18" w:hRule="atLeast"/>
        </w:trPr>
        <w:tc>
          <w:tcPr>
            <w:tcW w:w="624" w:type="dxa"/>
            <w:vAlign w:val="center"/>
          </w:tcPr>
          <w:p w14:paraId="4147CCBE">
            <w:pPr>
              <w:pStyle w:val="16"/>
              <w:spacing w:before="313"/>
              <w:ind w:left="13"/>
              <w:jc w:val="center"/>
              <w:rPr>
                <w:rFonts w:ascii="Times New Roman" w:hAnsi="Times New Roman"/>
                <w:sz w:val="28"/>
              </w:rPr>
            </w:pPr>
            <w:r>
              <w:rPr>
                <w:rFonts w:ascii="Times New Roman" w:hAnsi="Times New Roman"/>
                <w:spacing w:val="-5"/>
                <w:sz w:val="28"/>
              </w:rPr>
              <w:t>10</w:t>
            </w:r>
          </w:p>
        </w:tc>
        <w:tc>
          <w:tcPr>
            <w:tcW w:w="931" w:type="dxa"/>
            <w:vMerge w:val="continue"/>
            <w:tcBorders>
              <w:top w:val="nil"/>
            </w:tcBorders>
          </w:tcPr>
          <w:p w14:paraId="74E3E8E5">
            <w:pPr>
              <w:rPr>
                <w:rFonts w:ascii="Times New Roman" w:hAnsi="Times New Roman"/>
                <w:sz w:val="2"/>
                <w:szCs w:val="2"/>
              </w:rPr>
            </w:pPr>
          </w:p>
        </w:tc>
        <w:tc>
          <w:tcPr>
            <w:tcW w:w="5697" w:type="dxa"/>
            <w:vAlign w:val="center"/>
          </w:tcPr>
          <w:p w14:paraId="72F7120B">
            <w:pPr>
              <w:pStyle w:val="16"/>
              <w:keepNext w:val="0"/>
              <w:keepLines w:val="0"/>
              <w:pageBreakBefore w:val="0"/>
              <w:widowControl w:val="0"/>
              <w:kinsoku/>
              <w:wordWrap/>
              <w:overflowPunct/>
              <w:topLinePunct w:val="0"/>
              <w:autoSpaceDE/>
              <w:autoSpaceDN/>
              <w:bidi w:val="0"/>
              <w:adjustRightInd/>
              <w:snapToGrid/>
              <w:spacing w:line="240" w:lineRule="atLeast"/>
              <w:ind w:left="0" w:right="0" w:firstLine="0" w:firstLineChars="0"/>
              <w:jc w:val="both"/>
              <w:textAlignment w:val="auto"/>
              <w:rPr>
                <w:rFonts w:ascii="Times New Roman" w:hAnsi="Times New Roman"/>
                <w:spacing w:val="-1"/>
                <w:sz w:val="28"/>
              </w:rPr>
            </w:pPr>
            <w:r>
              <w:rPr>
                <w:rFonts w:ascii="Times New Roman" w:hAnsi="Times New Roman"/>
                <w:spacing w:val="-1"/>
                <w:sz w:val="28"/>
              </w:rPr>
              <w:t>变更零售点名称、主要负责人或者经营场所，未重新办理零售许可证的；</w:t>
            </w:r>
          </w:p>
        </w:tc>
        <w:tc>
          <w:tcPr>
            <w:tcW w:w="6482" w:type="dxa"/>
            <w:vAlign w:val="center"/>
          </w:tcPr>
          <w:p w14:paraId="52C9A2F7">
            <w:pPr>
              <w:pStyle w:val="16"/>
              <w:keepNext w:val="0"/>
              <w:keepLines w:val="0"/>
              <w:pageBreakBefore w:val="0"/>
              <w:widowControl w:val="0"/>
              <w:kinsoku/>
              <w:wordWrap/>
              <w:overflowPunct/>
              <w:topLinePunct w:val="0"/>
              <w:autoSpaceDE/>
              <w:autoSpaceDN/>
              <w:bidi w:val="0"/>
              <w:adjustRightInd/>
              <w:snapToGrid/>
              <w:spacing w:line="240" w:lineRule="atLeast"/>
              <w:ind w:left="0"/>
              <w:jc w:val="both"/>
              <w:textAlignment w:val="auto"/>
              <w:rPr>
                <w:rFonts w:ascii="Times New Roman" w:hAnsi="Times New Roman"/>
                <w:spacing w:val="-3"/>
                <w:sz w:val="28"/>
              </w:rPr>
            </w:pPr>
            <w:r>
              <w:rPr>
                <w:rFonts w:ascii="Times New Roman" w:hAnsi="Times New Roman"/>
                <w:spacing w:val="-3"/>
                <w:sz w:val="28"/>
              </w:rPr>
              <w:t>《烟花爆竹经营许可实施办法》第三十五条第一项</w:t>
            </w:r>
          </w:p>
        </w:tc>
        <w:tc>
          <w:tcPr>
            <w:tcW w:w="1120" w:type="dxa"/>
          </w:tcPr>
          <w:p w14:paraId="68A6DEE0">
            <w:pPr>
              <w:pStyle w:val="16"/>
              <w:rPr>
                <w:rFonts w:ascii="Times New Roman" w:hAnsi="Times New Roman"/>
                <w:sz w:val="28"/>
              </w:rPr>
            </w:pPr>
          </w:p>
        </w:tc>
      </w:tr>
      <w:tr w14:paraId="16819B4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137" w:hRule="atLeast"/>
        </w:trPr>
        <w:tc>
          <w:tcPr>
            <w:tcW w:w="624" w:type="dxa"/>
            <w:vAlign w:val="center"/>
          </w:tcPr>
          <w:p w14:paraId="3ED14F7D">
            <w:pPr>
              <w:pStyle w:val="16"/>
              <w:jc w:val="center"/>
              <w:rPr>
                <w:rFonts w:ascii="Times New Roman" w:hAnsi="Times New Roman"/>
                <w:sz w:val="28"/>
              </w:rPr>
            </w:pPr>
            <w:r>
              <w:rPr>
                <w:rFonts w:ascii="Times New Roman" w:hAnsi="Times New Roman"/>
                <w:spacing w:val="-5"/>
                <w:sz w:val="28"/>
              </w:rPr>
              <w:t>11</w:t>
            </w:r>
          </w:p>
        </w:tc>
        <w:tc>
          <w:tcPr>
            <w:tcW w:w="931" w:type="dxa"/>
            <w:vMerge w:val="continue"/>
            <w:tcBorders>
              <w:top w:val="nil"/>
            </w:tcBorders>
          </w:tcPr>
          <w:p w14:paraId="732090E1">
            <w:pPr>
              <w:rPr>
                <w:rFonts w:ascii="Times New Roman" w:hAnsi="Times New Roman"/>
                <w:sz w:val="2"/>
                <w:szCs w:val="2"/>
              </w:rPr>
            </w:pPr>
          </w:p>
        </w:tc>
        <w:tc>
          <w:tcPr>
            <w:tcW w:w="5697" w:type="dxa"/>
            <w:vAlign w:val="center"/>
          </w:tcPr>
          <w:p w14:paraId="679D9403">
            <w:pPr>
              <w:pStyle w:val="16"/>
              <w:keepNext w:val="0"/>
              <w:keepLines w:val="0"/>
              <w:pageBreakBefore w:val="0"/>
              <w:widowControl w:val="0"/>
              <w:kinsoku/>
              <w:wordWrap/>
              <w:overflowPunct/>
              <w:topLinePunct w:val="0"/>
              <w:autoSpaceDE/>
              <w:autoSpaceDN/>
              <w:bidi w:val="0"/>
              <w:adjustRightInd/>
              <w:snapToGrid/>
              <w:spacing w:line="240" w:lineRule="atLeast"/>
              <w:ind w:left="0" w:right="0" w:firstLine="0" w:firstLineChars="0"/>
              <w:jc w:val="both"/>
              <w:textAlignment w:val="auto"/>
              <w:rPr>
                <w:rFonts w:ascii="Times New Roman" w:hAnsi="Times New Roman"/>
                <w:spacing w:val="-1"/>
                <w:sz w:val="28"/>
              </w:rPr>
            </w:pPr>
            <w:r>
              <w:rPr>
                <w:rFonts w:ascii="Times New Roman" w:hAnsi="Times New Roman"/>
                <w:spacing w:val="-1"/>
                <w:sz w:val="28"/>
              </w:rPr>
              <w:t>存放的烟花爆竹数量超过零售许可证载明的范围（储存数量大于等于该店许可证载明的数量的上一个等级的最大限量或者大于零售场所最大使用面积的最大限量记6分，未达到上一个等级的最大限量记3分）；</w:t>
            </w:r>
          </w:p>
        </w:tc>
        <w:tc>
          <w:tcPr>
            <w:tcW w:w="6482" w:type="dxa"/>
            <w:vAlign w:val="center"/>
          </w:tcPr>
          <w:p w14:paraId="2287FE22">
            <w:pPr>
              <w:pStyle w:val="16"/>
              <w:keepNext w:val="0"/>
              <w:keepLines w:val="0"/>
              <w:pageBreakBefore w:val="0"/>
              <w:widowControl w:val="0"/>
              <w:kinsoku/>
              <w:wordWrap/>
              <w:overflowPunct/>
              <w:topLinePunct w:val="0"/>
              <w:autoSpaceDE/>
              <w:autoSpaceDN/>
              <w:bidi w:val="0"/>
              <w:adjustRightInd/>
              <w:snapToGrid/>
              <w:spacing w:line="240" w:lineRule="atLeast"/>
              <w:ind w:left="0"/>
              <w:jc w:val="both"/>
              <w:textAlignment w:val="auto"/>
              <w:rPr>
                <w:rFonts w:ascii="Times New Roman" w:hAnsi="Times New Roman"/>
                <w:spacing w:val="-3"/>
                <w:sz w:val="28"/>
              </w:rPr>
            </w:pPr>
          </w:p>
          <w:p w14:paraId="3CCB92AB">
            <w:pPr>
              <w:pStyle w:val="16"/>
              <w:keepNext w:val="0"/>
              <w:keepLines w:val="0"/>
              <w:pageBreakBefore w:val="0"/>
              <w:widowControl w:val="0"/>
              <w:kinsoku/>
              <w:wordWrap/>
              <w:overflowPunct/>
              <w:topLinePunct w:val="0"/>
              <w:autoSpaceDE/>
              <w:autoSpaceDN/>
              <w:bidi w:val="0"/>
              <w:adjustRightInd/>
              <w:snapToGrid/>
              <w:spacing w:line="240" w:lineRule="atLeast"/>
              <w:ind w:left="0"/>
              <w:jc w:val="both"/>
              <w:textAlignment w:val="auto"/>
              <w:rPr>
                <w:rFonts w:ascii="Times New Roman" w:hAnsi="Times New Roman"/>
                <w:spacing w:val="-3"/>
                <w:sz w:val="28"/>
              </w:rPr>
            </w:pPr>
            <w:r>
              <w:rPr>
                <w:rFonts w:ascii="Times New Roman" w:hAnsi="Times New Roman"/>
                <w:spacing w:val="-3"/>
                <w:sz w:val="28"/>
              </w:rPr>
              <w:t>《烟花爆竹经营许可实施办法》第三十五条第二项</w:t>
            </w:r>
          </w:p>
          <w:p w14:paraId="18CD09FA">
            <w:pPr>
              <w:pStyle w:val="16"/>
              <w:keepNext w:val="0"/>
              <w:keepLines w:val="0"/>
              <w:pageBreakBefore w:val="0"/>
              <w:widowControl w:val="0"/>
              <w:kinsoku/>
              <w:wordWrap/>
              <w:overflowPunct/>
              <w:topLinePunct w:val="0"/>
              <w:autoSpaceDE/>
              <w:autoSpaceDN/>
              <w:bidi w:val="0"/>
              <w:adjustRightInd/>
              <w:snapToGrid/>
              <w:spacing w:line="240" w:lineRule="atLeast"/>
              <w:ind w:left="0"/>
              <w:jc w:val="both"/>
              <w:textAlignment w:val="auto"/>
              <w:rPr>
                <w:rFonts w:ascii="Times New Roman" w:hAnsi="Times New Roman"/>
                <w:spacing w:val="-3"/>
                <w:sz w:val="28"/>
              </w:rPr>
            </w:pPr>
            <w:r>
              <w:rPr>
                <w:rFonts w:ascii="Times New Roman" w:hAnsi="Times New Roman"/>
                <w:spacing w:val="-3"/>
                <w:sz w:val="28"/>
              </w:rPr>
              <w:t>《烟花爆竹零售店安全技术规范（AQ4128-2019）》表2</w:t>
            </w:r>
          </w:p>
        </w:tc>
        <w:tc>
          <w:tcPr>
            <w:tcW w:w="1120" w:type="dxa"/>
          </w:tcPr>
          <w:p w14:paraId="59506F11">
            <w:pPr>
              <w:pStyle w:val="16"/>
              <w:rPr>
                <w:rFonts w:ascii="Times New Roman" w:hAnsi="Times New Roman"/>
                <w:sz w:val="28"/>
              </w:rPr>
            </w:pPr>
          </w:p>
        </w:tc>
      </w:tr>
      <w:tr w14:paraId="6D9CB5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54" w:hRule="atLeast"/>
        </w:trPr>
        <w:tc>
          <w:tcPr>
            <w:tcW w:w="624" w:type="dxa"/>
          </w:tcPr>
          <w:p w14:paraId="096613B3">
            <w:pPr>
              <w:pStyle w:val="16"/>
              <w:spacing w:before="181"/>
              <w:ind w:left="13"/>
              <w:jc w:val="center"/>
              <w:rPr>
                <w:rFonts w:ascii="Times New Roman" w:hAnsi="Times New Roman"/>
                <w:sz w:val="28"/>
              </w:rPr>
            </w:pPr>
            <w:r>
              <w:rPr>
                <w:rFonts w:ascii="Times New Roman" w:hAnsi="Times New Roman"/>
                <w:spacing w:val="-5"/>
                <w:sz w:val="28"/>
              </w:rPr>
              <w:t>12</w:t>
            </w:r>
          </w:p>
        </w:tc>
        <w:tc>
          <w:tcPr>
            <w:tcW w:w="931" w:type="dxa"/>
            <w:vMerge w:val="continue"/>
            <w:tcBorders>
              <w:top w:val="nil"/>
            </w:tcBorders>
          </w:tcPr>
          <w:p w14:paraId="18B4278D">
            <w:pPr>
              <w:rPr>
                <w:rFonts w:ascii="Times New Roman" w:hAnsi="Times New Roman"/>
                <w:sz w:val="2"/>
                <w:szCs w:val="2"/>
              </w:rPr>
            </w:pPr>
          </w:p>
        </w:tc>
        <w:tc>
          <w:tcPr>
            <w:tcW w:w="5697" w:type="dxa"/>
            <w:vAlign w:val="center"/>
          </w:tcPr>
          <w:p w14:paraId="185610B5">
            <w:pPr>
              <w:pStyle w:val="16"/>
              <w:keepNext w:val="0"/>
              <w:keepLines w:val="0"/>
              <w:pageBreakBefore w:val="0"/>
              <w:widowControl w:val="0"/>
              <w:kinsoku/>
              <w:wordWrap/>
              <w:overflowPunct/>
              <w:topLinePunct w:val="0"/>
              <w:autoSpaceDE/>
              <w:autoSpaceDN/>
              <w:bidi w:val="0"/>
              <w:adjustRightInd/>
              <w:snapToGrid/>
              <w:spacing w:line="240" w:lineRule="atLeast"/>
              <w:ind w:left="0" w:right="0" w:firstLine="0" w:firstLineChars="0"/>
              <w:jc w:val="both"/>
              <w:textAlignment w:val="auto"/>
              <w:rPr>
                <w:rFonts w:ascii="Times New Roman" w:hAnsi="Times New Roman"/>
                <w:spacing w:val="-1"/>
                <w:sz w:val="28"/>
              </w:rPr>
            </w:pPr>
            <w:r>
              <w:rPr>
                <w:rFonts w:ascii="Times New Roman" w:hAnsi="Times New Roman"/>
                <w:spacing w:val="-1"/>
                <w:sz w:val="28"/>
              </w:rPr>
              <w:t>到批发仓库自行提取烟花爆竹的；</w:t>
            </w:r>
          </w:p>
        </w:tc>
        <w:tc>
          <w:tcPr>
            <w:tcW w:w="6482" w:type="dxa"/>
            <w:vAlign w:val="center"/>
          </w:tcPr>
          <w:p w14:paraId="57CFC54A">
            <w:pPr>
              <w:pStyle w:val="16"/>
              <w:spacing w:before="167"/>
              <w:ind w:left="108"/>
              <w:jc w:val="both"/>
              <w:rPr>
                <w:rFonts w:ascii="Times New Roman" w:hAnsi="Times New Roman"/>
                <w:sz w:val="28"/>
              </w:rPr>
            </w:pPr>
            <w:r>
              <w:rPr>
                <w:rFonts w:ascii="Times New Roman" w:hAnsi="Times New Roman"/>
                <w:spacing w:val="-3"/>
                <w:sz w:val="28"/>
              </w:rPr>
              <w:t>《烟花爆竹生产经营安全规定》第三十六条第二项</w:t>
            </w:r>
          </w:p>
        </w:tc>
        <w:tc>
          <w:tcPr>
            <w:tcW w:w="1120" w:type="dxa"/>
          </w:tcPr>
          <w:p w14:paraId="23BA613F">
            <w:pPr>
              <w:pStyle w:val="16"/>
              <w:rPr>
                <w:rFonts w:ascii="Times New Roman" w:hAnsi="Times New Roman"/>
                <w:sz w:val="28"/>
              </w:rPr>
            </w:pPr>
          </w:p>
        </w:tc>
      </w:tr>
    </w:tbl>
    <w:p w14:paraId="6B9412B9">
      <w:pPr>
        <w:pStyle w:val="16"/>
        <w:spacing w:after="0"/>
        <w:rPr>
          <w:rFonts w:ascii="Times New Roman" w:hAnsi="Times New Roman"/>
          <w:sz w:val="28"/>
        </w:rPr>
        <w:sectPr>
          <w:footerReference r:id="rId3" w:type="default"/>
          <w:footerReference r:id="rId4" w:type="even"/>
          <w:pgSz w:w="16840" w:h="11910" w:orient="landscape"/>
          <w:pgMar w:top="2098" w:right="1474" w:bottom="1984" w:left="1587" w:header="0" w:footer="1497" w:gutter="0"/>
          <w:pgNumType w:start="4"/>
          <w:cols w:space="720" w:num="1"/>
        </w:sectPr>
      </w:pPr>
    </w:p>
    <w:p w14:paraId="10A7788F">
      <w:pPr>
        <w:pStyle w:val="4"/>
        <w:rPr>
          <w:rFonts w:ascii="Times New Roman" w:hAnsi="Times New Roman"/>
          <w:sz w:val="20"/>
        </w:rPr>
      </w:pPr>
    </w:p>
    <w:tbl>
      <w:tblPr>
        <w:tblStyle w:val="11"/>
        <w:tblW w:w="0" w:type="auto"/>
        <w:tblInd w:w="6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24"/>
        <w:gridCol w:w="931"/>
        <w:gridCol w:w="5697"/>
        <w:gridCol w:w="6482"/>
        <w:gridCol w:w="1120"/>
      </w:tblGrid>
      <w:tr w14:paraId="1FDC68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39" w:hRule="atLeast"/>
        </w:trPr>
        <w:tc>
          <w:tcPr>
            <w:tcW w:w="624" w:type="dxa"/>
          </w:tcPr>
          <w:p w14:paraId="4B8CEF0D">
            <w:pPr>
              <w:pStyle w:val="16"/>
              <w:spacing w:before="125" w:line="201" w:lineRule="auto"/>
              <w:ind w:left="170" w:right="156"/>
              <w:rPr>
                <w:rFonts w:hint="eastAsia" w:ascii="Times New Roman" w:hAnsi="Times New Roman" w:eastAsia="黑体" w:cs="黑体"/>
                <w:spacing w:val="-10"/>
                <w:sz w:val="28"/>
              </w:rPr>
            </w:pPr>
            <w:r>
              <w:rPr>
                <w:rFonts w:hint="eastAsia" w:ascii="Times New Roman" w:hAnsi="Times New Roman" w:eastAsia="黑体" w:cs="黑体"/>
                <w:spacing w:val="-10"/>
                <w:sz w:val="28"/>
              </w:rPr>
              <w:t>序号</w:t>
            </w:r>
          </w:p>
        </w:tc>
        <w:tc>
          <w:tcPr>
            <w:tcW w:w="931" w:type="dxa"/>
          </w:tcPr>
          <w:p w14:paraId="0AFF3D97">
            <w:pPr>
              <w:pStyle w:val="16"/>
              <w:spacing w:before="125" w:line="201" w:lineRule="auto"/>
              <w:ind w:left="170" w:right="156"/>
              <w:rPr>
                <w:rFonts w:hint="eastAsia" w:ascii="Times New Roman" w:hAnsi="Times New Roman" w:eastAsia="黑体" w:cs="黑体"/>
                <w:spacing w:val="-10"/>
                <w:sz w:val="28"/>
              </w:rPr>
            </w:pPr>
            <w:r>
              <w:rPr>
                <w:rFonts w:hint="eastAsia" w:ascii="Times New Roman" w:hAnsi="Times New Roman" w:eastAsia="黑体" w:cs="黑体"/>
                <w:spacing w:val="-6"/>
                <w:sz w:val="28"/>
              </w:rPr>
              <w:t>应记分值</w:t>
            </w:r>
          </w:p>
        </w:tc>
        <w:tc>
          <w:tcPr>
            <w:tcW w:w="5697" w:type="dxa"/>
            <w:vAlign w:val="center"/>
          </w:tcPr>
          <w:p w14:paraId="1BCBF365">
            <w:pPr>
              <w:pStyle w:val="16"/>
              <w:spacing w:before="125" w:line="201" w:lineRule="auto"/>
              <w:ind w:left="170" w:right="156"/>
              <w:jc w:val="center"/>
              <w:rPr>
                <w:rFonts w:hint="eastAsia" w:ascii="Times New Roman" w:hAnsi="Times New Roman" w:eastAsia="黑体" w:cs="黑体"/>
                <w:spacing w:val="-10"/>
                <w:sz w:val="28"/>
              </w:rPr>
            </w:pPr>
            <w:r>
              <w:rPr>
                <w:rFonts w:hint="eastAsia" w:ascii="Times New Roman" w:hAnsi="Times New Roman" w:eastAsia="黑体" w:cs="黑体"/>
                <w:spacing w:val="-10"/>
                <w:sz w:val="28"/>
              </w:rPr>
              <w:t>行为</w:t>
            </w:r>
          </w:p>
        </w:tc>
        <w:tc>
          <w:tcPr>
            <w:tcW w:w="6482" w:type="dxa"/>
            <w:vAlign w:val="center"/>
          </w:tcPr>
          <w:p w14:paraId="5A0AE6E9">
            <w:pPr>
              <w:pStyle w:val="16"/>
              <w:spacing w:before="125" w:line="201" w:lineRule="auto"/>
              <w:ind w:left="170" w:right="156"/>
              <w:jc w:val="center"/>
              <w:rPr>
                <w:rFonts w:hint="eastAsia" w:ascii="Times New Roman" w:hAnsi="Times New Roman" w:eastAsia="黑体" w:cs="黑体"/>
                <w:spacing w:val="-10"/>
                <w:sz w:val="28"/>
              </w:rPr>
            </w:pPr>
            <w:r>
              <w:rPr>
                <w:rFonts w:hint="eastAsia" w:ascii="Times New Roman" w:hAnsi="Times New Roman" w:eastAsia="黑体" w:cs="黑体"/>
                <w:spacing w:val="-10"/>
                <w:sz w:val="28"/>
              </w:rPr>
              <w:t>法律依据</w:t>
            </w:r>
          </w:p>
        </w:tc>
        <w:tc>
          <w:tcPr>
            <w:tcW w:w="1120" w:type="dxa"/>
          </w:tcPr>
          <w:p w14:paraId="6F22DF7F">
            <w:pPr>
              <w:pStyle w:val="16"/>
              <w:spacing w:before="125" w:line="201" w:lineRule="auto"/>
              <w:ind w:left="170" w:right="156"/>
              <w:jc w:val="center"/>
              <w:rPr>
                <w:rFonts w:hint="eastAsia" w:ascii="Times New Roman" w:hAnsi="Times New Roman" w:eastAsia="黑体" w:cs="黑体"/>
                <w:spacing w:val="-10"/>
                <w:sz w:val="28"/>
              </w:rPr>
            </w:pPr>
            <w:r>
              <w:rPr>
                <w:rFonts w:hint="eastAsia" w:ascii="Times New Roman" w:hAnsi="Times New Roman" w:eastAsia="黑体" w:cs="黑体"/>
                <w:spacing w:val="-6"/>
                <w:sz w:val="28"/>
              </w:rPr>
              <w:t>实记分值</w:t>
            </w:r>
          </w:p>
        </w:tc>
      </w:tr>
      <w:tr w14:paraId="1AF6DC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3" w:hRule="atLeast"/>
        </w:trPr>
        <w:tc>
          <w:tcPr>
            <w:tcW w:w="624" w:type="dxa"/>
          </w:tcPr>
          <w:p w14:paraId="001D62D1">
            <w:pPr>
              <w:pStyle w:val="16"/>
              <w:spacing w:before="251"/>
              <w:ind w:left="13"/>
              <w:jc w:val="center"/>
              <w:rPr>
                <w:rFonts w:ascii="Times New Roman" w:hAnsi="Times New Roman"/>
                <w:sz w:val="28"/>
              </w:rPr>
            </w:pPr>
            <w:r>
              <w:rPr>
                <w:rFonts w:ascii="Times New Roman" w:hAnsi="Times New Roman"/>
                <w:spacing w:val="-5"/>
                <w:sz w:val="28"/>
              </w:rPr>
              <w:t>13</w:t>
            </w:r>
          </w:p>
        </w:tc>
        <w:tc>
          <w:tcPr>
            <w:tcW w:w="931" w:type="dxa"/>
            <w:vMerge w:val="restart"/>
          </w:tcPr>
          <w:p w14:paraId="7BB5FEDE">
            <w:pPr>
              <w:pStyle w:val="16"/>
              <w:rPr>
                <w:rFonts w:ascii="Times New Roman" w:hAnsi="Times New Roman"/>
                <w:sz w:val="28"/>
              </w:rPr>
            </w:pPr>
          </w:p>
        </w:tc>
        <w:tc>
          <w:tcPr>
            <w:tcW w:w="5697" w:type="dxa"/>
            <w:vAlign w:val="center"/>
          </w:tcPr>
          <w:p w14:paraId="18F83430">
            <w:pPr>
              <w:pStyle w:val="16"/>
              <w:keepNext w:val="0"/>
              <w:keepLines w:val="0"/>
              <w:pageBreakBefore w:val="0"/>
              <w:widowControl w:val="0"/>
              <w:kinsoku/>
              <w:wordWrap/>
              <w:overflowPunct/>
              <w:topLinePunct w:val="0"/>
              <w:autoSpaceDE/>
              <w:autoSpaceDN/>
              <w:bidi w:val="0"/>
              <w:adjustRightInd/>
              <w:snapToGrid/>
              <w:spacing w:line="240" w:lineRule="atLeast"/>
              <w:ind w:left="0" w:right="0" w:firstLine="0" w:firstLineChars="0"/>
              <w:jc w:val="both"/>
              <w:textAlignment w:val="auto"/>
              <w:rPr>
                <w:rFonts w:ascii="Times New Roman" w:hAnsi="Times New Roman"/>
                <w:spacing w:val="-1"/>
                <w:sz w:val="28"/>
              </w:rPr>
            </w:pPr>
            <w:r>
              <w:rPr>
                <w:rFonts w:ascii="Times New Roman" w:hAnsi="Times New Roman"/>
                <w:spacing w:val="-1"/>
                <w:sz w:val="28"/>
              </w:rPr>
              <w:t>留存过期及废弃的烟花爆竹成品等危险废弃</w:t>
            </w:r>
          </w:p>
          <w:p w14:paraId="6687ADC5">
            <w:pPr>
              <w:pStyle w:val="16"/>
              <w:keepNext w:val="0"/>
              <w:keepLines w:val="0"/>
              <w:pageBreakBefore w:val="0"/>
              <w:widowControl w:val="0"/>
              <w:kinsoku/>
              <w:wordWrap/>
              <w:overflowPunct/>
              <w:topLinePunct w:val="0"/>
              <w:autoSpaceDE/>
              <w:autoSpaceDN/>
              <w:bidi w:val="0"/>
              <w:adjustRightInd/>
              <w:snapToGrid/>
              <w:spacing w:line="240" w:lineRule="atLeast"/>
              <w:ind w:left="0" w:right="0" w:firstLine="0" w:firstLineChars="0"/>
              <w:jc w:val="both"/>
              <w:textAlignment w:val="auto"/>
              <w:rPr>
                <w:rFonts w:ascii="Times New Roman" w:hAnsi="Times New Roman"/>
                <w:spacing w:val="-1"/>
                <w:sz w:val="28"/>
              </w:rPr>
            </w:pPr>
            <w:r>
              <w:rPr>
                <w:rFonts w:ascii="Times New Roman" w:hAnsi="Times New Roman"/>
                <w:spacing w:val="-1"/>
                <w:sz w:val="28"/>
              </w:rPr>
              <w:t>物的；</w:t>
            </w:r>
          </w:p>
        </w:tc>
        <w:tc>
          <w:tcPr>
            <w:tcW w:w="6482" w:type="dxa"/>
            <w:vAlign w:val="center"/>
          </w:tcPr>
          <w:p w14:paraId="3F8050E9">
            <w:pPr>
              <w:pStyle w:val="16"/>
              <w:keepNext w:val="0"/>
              <w:keepLines w:val="0"/>
              <w:pageBreakBefore w:val="0"/>
              <w:widowControl w:val="0"/>
              <w:kinsoku/>
              <w:wordWrap/>
              <w:overflowPunct/>
              <w:topLinePunct w:val="0"/>
              <w:autoSpaceDE/>
              <w:autoSpaceDN/>
              <w:bidi w:val="0"/>
              <w:adjustRightInd/>
              <w:snapToGrid/>
              <w:spacing w:line="240" w:lineRule="atLeast"/>
              <w:ind w:left="0"/>
              <w:jc w:val="both"/>
              <w:textAlignment w:val="auto"/>
              <w:rPr>
                <w:rFonts w:ascii="Times New Roman" w:hAnsi="Times New Roman"/>
                <w:spacing w:val="-3"/>
                <w:sz w:val="28"/>
              </w:rPr>
            </w:pPr>
            <w:r>
              <w:rPr>
                <w:rFonts w:ascii="Times New Roman" w:hAnsi="Times New Roman"/>
                <w:spacing w:val="-3"/>
                <w:sz w:val="28"/>
              </w:rPr>
              <w:t>《烟花爆竹生产经营安全规定》第三十八条第五项</w:t>
            </w:r>
          </w:p>
        </w:tc>
        <w:tc>
          <w:tcPr>
            <w:tcW w:w="1120" w:type="dxa"/>
          </w:tcPr>
          <w:p w14:paraId="6712482A">
            <w:pPr>
              <w:pStyle w:val="16"/>
              <w:rPr>
                <w:rFonts w:ascii="Times New Roman" w:hAnsi="Times New Roman"/>
                <w:sz w:val="28"/>
              </w:rPr>
            </w:pPr>
          </w:p>
        </w:tc>
      </w:tr>
      <w:tr w14:paraId="4297482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05" w:hRule="atLeast"/>
        </w:trPr>
        <w:tc>
          <w:tcPr>
            <w:tcW w:w="624" w:type="dxa"/>
          </w:tcPr>
          <w:p w14:paraId="69A42230">
            <w:pPr>
              <w:pStyle w:val="16"/>
              <w:spacing w:before="357"/>
              <w:ind w:left="13"/>
              <w:jc w:val="center"/>
              <w:rPr>
                <w:rFonts w:ascii="Times New Roman" w:hAnsi="Times New Roman"/>
                <w:sz w:val="28"/>
              </w:rPr>
            </w:pPr>
            <w:r>
              <w:rPr>
                <w:rFonts w:ascii="Times New Roman" w:hAnsi="Times New Roman"/>
                <w:spacing w:val="-5"/>
                <w:sz w:val="28"/>
              </w:rPr>
              <w:t>14</w:t>
            </w:r>
          </w:p>
        </w:tc>
        <w:tc>
          <w:tcPr>
            <w:tcW w:w="931" w:type="dxa"/>
            <w:vMerge w:val="continue"/>
            <w:tcBorders>
              <w:top w:val="nil"/>
            </w:tcBorders>
          </w:tcPr>
          <w:p w14:paraId="45FB3FBB">
            <w:pPr>
              <w:rPr>
                <w:rFonts w:ascii="Times New Roman" w:hAnsi="Times New Roman"/>
                <w:sz w:val="2"/>
                <w:szCs w:val="2"/>
              </w:rPr>
            </w:pPr>
          </w:p>
        </w:tc>
        <w:tc>
          <w:tcPr>
            <w:tcW w:w="5697" w:type="dxa"/>
            <w:vAlign w:val="center"/>
          </w:tcPr>
          <w:p w14:paraId="3EB821F4">
            <w:pPr>
              <w:pStyle w:val="16"/>
              <w:keepNext w:val="0"/>
              <w:keepLines w:val="0"/>
              <w:pageBreakBefore w:val="0"/>
              <w:widowControl w:val="0"/>
              <w:kinsoku/>
              <w:wordWrap/>
              <w:overflowPunct/>
              <w:topLinePunct w:val="0"/>
              <w:autoSpaceDE/>
              <w:autoSpaceDN/>
              <w:bidi w:val="0"/>
              <w:adjustRightInd/>
              <w:snapToGrid/>
              <w:spacing w:line="240" w:lineRule="atLeast"/>
              <w:ind w:left="0" w:right="0" w:firstLine="0" w:firstLineChars="0"/>
              <w:jc w:val="both"/>
              <w:textAlignment w:val="auto"/>
              <w:rPr>
                <w:rFonts w:ascii="Times New Roman" w:hAnsi="Times New Roman"/>
                <w:spacing w:val="-1"/>
                <w:sz w:val="28"/>
              </w:rPr>
            </w:pPr>
            <w:r>
              <w:rPr>
                <w:rFonts w:ascii="Times New Roman" w:hAnsi="Times New Roman"/>
                <w:spacing w:val="-1"/>
                <w:sz w:val="28"/>
              </w:rPr>
              <w:t>安全生产教育和培训责任落实不到位、有关从业人员未经培训合格的；</w:t>
            </w:r>
          </w:p>
        </w:tc>
        <w:tc>
          <w:tcPr>
            <w:tcW w:w="6482" w:type="dxa"/>
            <w:vAlign w:val="center"/>
          </w:tcPr>
          <w:p w14:paraId="120285B0">
            <w:pPr>
              <w:pStyle w:val="16"/>
              <w:keepNext w:val="0"/>
              <w:keepLines w:val="0"/>
              <w:pageBreakBefore w:val="0"/>
              <w:widowControl w:val="0"/>
              <w:kinsoku/>
              <w:wordWrap/>
              <w:overflowPunct/>
              <w:topLinePunct w:val="0"/>
              <w:autoSpaceDE/>
              <w:autoSpaceDN/>
              <w:bidi w:val="0"/>
              <w:adjustRightInd/>
              <w:snapToGrid/>
              <w:spacing w:line="240" w:lineRule="atLeast"/>
              <w:ind w:left="0"/>
              <w:jc w:val="both"/>
              <w:textAlignment w:val="auto"/>
              <w:rPr>
                <w:rFonts w:ascii="Times New Roman" w:hAnsi="Times New Roman"/>
                <w:spacing w:val="-3"/>
                <w:sz w:val="28"/>
              </w:rPr>
            </w:pPr>
            <w:r>
              <w:rPr>
                <w:rFonts w:ascii="Times New Roman" w:hAnsi="Times New Roman"/>
                <w:spacing w:val="-3"/>
                <w:sz w:val="28"/>
              </w:rPr>
              <w:t>《生产经营单位安全培训规定》第二十八条</w:t>
            </w:r>
          </w:p>
        </w:tc>
        <w:tc>
          <w:tcPr>
            <w:tcW w:w="1120" w:type="dxa"/>
          </w:tcPr>
          <w:p w14:paraId="2F1E90A0">
            <w:pPr>
              <w:pStyle w:val="16"/>
              <w:rPr>
                <w:rFonts w:ascii="Times New Roman" w:hAnsi="Times New Roman"/>
                <w:sz w:val="28"/>
              </w:rPr>
            </w:pPr>
          </w:p>
        </w:tc>
      </w:tr>
      <w:tr w14:paraId="04B350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16" w:hRule="atLeast"/>
        </w:trPr>
        <w:tc>
          <w:tcPr>
            <w:tcW w:w="624" w:type="dxa"/>
          </w:tcPr>
          <w:p w14:paraId="547048AD">
            <w:pPr>
              <w:pStyle w:val="16"/>
              <w:spacing w:before="210"/>
              <w:ind w:left="13"/>
              <w:jc w:val="center"/>
              <w:rPr>
                <w:rFonts w:ascii="Times New Roman" w:hAnsi="Times New Roman"/>
                <w:sz w:val="28"/>
              </w:rPr>
            </w:pPr>
            <w:r>
              <w:rPr>
                <w:rFonts w:ascii="Times New Roman" w:hAnsi="Times New Roman"/>
                <w:spacing w:val="-5"/>
                <w:sz w:val="28"/>
              </w:rPr>
              <w:t>15</w:t>
            </w:r>
          </w:p>
        </w:tc>
        <w:tc>
          <w:tcPr>
            <w:tcW w:w="931" w:type="dxa"/>
            <w:vMerge w:val="restart"/>
          </w:tcPr>
          <w:p w14:paraId="1C2AF252">
            <w:pPr>
              <w:pStyle w:val="16"/>
              <w:rPr>
                <w:rFonts w:ascii="Times New Roman" w:hAnsi="Times New Roman"/>
                <w:sz w:val="28"/>
              </w:rPr>
            </w:pPr>
          </w:p>
          <w:p w14:paraId="64A4CAF8">
            <w:pPr>
              <w:pStyle w:val="16"/>
              <w:rPr>
                <w:rFonts w:ascii="Times New Roman" w:hAnsi="Times New Roman"/>
                <w:sz w:val="28"/>
              </w:rPr>
            </w:pPr>
          </w:p>
          <w:p w14:paraId="31CF1066">
            <w:pPr>
              <w:pStyle w:val="16"/>
              <w:spacing w:before="286"/>
              <w:rPr>
                <w:rFonts w:ascii="Times New Roman" w:hAnsi="Times New Roman"/>
                <w:sz w:val="28"/>
              </w:rPr>
            </w:pPr>
          </w:p>
          <w:p w14:paraId="72ADF1C7">
            <w:pPr>
              <w:pStyle w:val="16"/>
              <w:ind w:left="218"/>
              <w:rPr>
                <w:rFonts w:ascii="Times New Roman" w:hAnsi="Times New Roman"/>
                <w:sz w:val="28"/>
              </w:rPr>
            </w:pPr>
            <w:r>
              <w:rPr>
                <w:rFonts w:hint="eastAsia" w:ascii="Times New Roman" w:hAnsi="Times New Roman"/>
                <w:spacing w:val="-40"/>
                <w:sz w:val="28"/>
                <w:lang w:val="en-US" w:eastAsia="zh-CN"/>
              </w:rPr>
              <w:t>3</w:t>
            </w:r>
            <w:r>
              <w:rPr>
                <w:rFonts w:ascii="Times New Roman" w:hAnsi="Times New Roman"/>
                <w:spacing w:val="-40"/>
                <w:sz w:val="28"/>
              </w:rPr>
              <w:t>分</w:t>
            </w:r>
          </w:p>
        </w:tc>
        <w:tc>
          <w:tcPr>
            <w:tcW w:w="5697" w:type="dxa"/>
            <w:vAlign w:val="center"/>
          </w:tcPr>
          <w:p w14:paraId="0CB46AF3">
            <w:pPr>
              <w:pStyle w:val="16"/>
              <w:keepNext w:val="0"/>
              <w:keepLines w:val="0"/>
              <w:pageBreakBefore w:val="0"/>
              <w:widowControl w:val="0"/>
              <w:kinsoku/>
              <w:wordWrap/>
              <w:overflowPunct/>
              <w:topLinePunct w:val="0"/>
              <w:autoSpaceDE/>
              <w:autoSpaceDN/>
              <w:bidi w:val="0"/>
              <w:adjustRightInd/>
              <w:snapToGrid/>
              <w:spacing w:line="240" w:lineRule="atLeast"/>
              <w:ind w:left="0" w:right="0" w:firstLine="0" w:firstLineChars="0"/>
              <w:jc w:val="both"/>
              <w:textAlignment w:val="auto"/>
              <w:rPr>
                <w:rFonts w:ascii="Times New Roman" w:hAnsi="Times New Roman"/>
                <w:spacing w:val="-1"/>
                <w:sz w:val="28"/>
              </w:rPr>
            </w:pPr>
            <w:r>
              <w:rPr>
                <w:rFonts w:ascii="Times New Roman" w:hAnsi="Times New Roman"/>
                <w:spacing w:val="-1"/>
                <w:sz w:val="28"/>
              </w:rPr>
              <w:t>未投保安全生产责任保险；</w:t>
            </w:r>
          </w:p>
        </w:tc>
        <w:tc>
          <w:tcPr>
            <w:tcW w:w="6482" w:type="dxa"/>
            <w:vAlign w:val="center"/>
          </w:tcPr>
          <w:p w14:paraId="1CD20463">
            <w:pPr>
              <w:pStyle w:val="16"/>
              <w:keepNext w:val="0"/>
              <w:keepLines w:val="0"/>
              <w:pageBreakBefore w:val="0"/>
              <w:widowControl w:val="0"/>
              <w:kinsoku/>
              <w:wordWrap/>
              <w:overflowPunct/>
              <w:topLinePunct w:val="0"/>
              <w:autoSpaceDE/>
              <w:autoSpaceDN/>
              <w:bidi w:val="0"/>
              <w:adjustRightInd/>
              <w:snapToGrid/>
              <w:spacing w:line="240" w:lineRule="atLeast"/>
              <w:ind w:left="0"/>
              <w:jc w:val="both"/>
              <w:textAlignment w:val="auto"/>
              <w:rPr>
                <w:rFonts w:ascii="Times New Roman" w:hAnsi="Times New Roman"/>
                <w:spacing w:val="-3"/>
                <w:sz w:val="28"/>
              </w:rPr>
            </w:pPr>
            <w:r>
              <w:rPr>
                <w:rFonts w:ascii="Times New Roman" w:hAnsi="Times New Roman"/>
                <w:spacing w:val="-3"/>
                <w:sz w:val="28"/>
              </w:rPr>
              <w:t>《中华人民共和国安全生产法》第五十一条第二款</w:t>
            </w:r>
          </w:p>
        </w:tc>
        <w:tc>
          <w:tcPr>
            <w:tcW w:w="1120" w:type="dxa"/>
          </w:tcPr>
          <w:p w14:paraId="32AA0433">
            <w:pPr>
              <w:pStyle w:val="16"/>
              <w:rPr>
                <w:rFonts w:ascii="Times New Roman" w:hAnsi="Times New Roman"/>
                <w:sz w:val="28"/>
              </w:rPr>
            </w:pPr>
          </w:p>
        </w:tc>
      </w:tr>
      <w:tr w14:paraId="35BE6C6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86" w:hRule="atLeast"/>
        </w:trPr>
        <w:tc>
          <w:tcPr>
            <w:tcW w:w="624" w:type="dxa"/>
          </w:tcPr>
          <w:p w14:paraId="1E771EEE">
            <w:pPr>
              <w:pStyle w:val="16"/>
              <w:spacing w:before="38"/>
              <w:rPr>
                <w:rFonts w:ascii="Times New Roman" w:hAnsi="Times New Roman"/>
                <w:sz w:val="28"/>
              </w:rPr>
            </w:pPr>
          </w:p>
          <w:p w14:paraId="77A50DF6">
            <w:pPr>
              <w:pStyle w:val="16"/>
              <w:spacing w:before="1"/>
              <w:ind w:left="13"/>
              <w:jc w:val="center"/>
              <w:rPr>
                <w:rFonts w:ascii="Times New Roman" w:hAnsi="Times New Roman"/>
                <w:sz w:val="28"/>
              </w:rPr>
            </w:pPr>
            <w:r>
              <w:rPr>
                <w:rFonts w:ascii="Times New Roman" w:hAnsi="Times New Roman"/>
                <w:spacing w:val="-5"/>
                <w:sz w:val="28"/>
              </w:rPr>
              <w:t>16</w:t>
            </w:r>
          </w:p>
        </w:tc>
        <w:tc>
          <w:tcPr>
            <w:tcW w:w="931" w:type="dxa"/>
            <w:vMerge w:val="continue"/>
            <w:tcBorders>
              <w:top w:val="nil"/>
            </w:tcBorders>
          </w:tcPr>
          <w:p w14:paraId="7E5B2926">
            <w:pPr>
              <w:rPr>
                <w:rFonts w:ascii="Times New Roman" w:hAnsi="Times New Roman"/>
                <w:sz w:val="2"/>
                <w:szCs w:val="2"/>
              </w:rPr>
            </w:pPr>
          </w:p>
        </w:tc>
        <w:tc>
          <w:tcPr>
            <w:tcW w:w="5697" w:type="dxa"/>
            <w:vAlign w:val="center"/>
          </w:tcPr>
          <w:p w14:paraId="17AB8B05">
            <w:pPr>
              <w:pStyle w:val="16"/>
              <w:keepNext w:val="0"/>
              <w:keepLines w:val="0"/>
              <w:pageBreakBefore w:val="0"/>
              <w:widowControl w:val="0"/>
              <w:kinsoku/>
              <w:wordWrap/>
              <w:overflowPunct/>
              <w:topLinePunct w:val="0"/>
              <w:autoSpaceDE/>
              <w:autoSpaceDN/>
              <w:bidi w:val="0"/>
              <w:adjustRightInd/>
              <w:snapToGrid/>
              <w:spacing w:line="240" w:lineRule="atLeast"/>
              <w:ind w:left="0" w:right="0" w:firstLine="0" w:firstLineChars="0"/>
              <w:jc w:val="both"/>
              <w:textAlignment w:val="auto"/>
              <w:rPr>
                <w:rFonts w:ascii="Times New Roman" w:hAnsi="Times New Roman"/>
                <w:spacing w:val="-1"/>
                <w:sz w:val="28"/>
              </w:rPr>
            </w:pPr>
            <w:r>
              <w:rPr>
                <w:rFonts w:ascii="Times New Roman" w:hAnsi="Times New Roman"/>
                <w:spacing w:val="-1"/>
                <w:sz w:val="28"/>
              </w:rPr>
              <w:t>在烟花爆竹经营许可证载明的零售场所以外储存烟花爆竹；</w:t>
            </w:r>
          </w:p>
        </w:tc>
        <w:tc>
          <w:tcPr>
            <w:tcW w:w="6482" w:type="dxa"/>
            <w:vAlign w:val="center"/>
          </w:tcPr>
          <w:p w14:paraId="457A3836">
            <w:pPr>
              <w:pStyle w:val="16"/>
              <w:keepNext w:val="0"/>
              <w:keepLines w:val="0"/>
              <w:pageBreakBefore w:val="0"/>
              <w:widowControl w:val="0"/>
              <w:kinsoku/>
              <w:wordWrap/>
              <w:overflowPunct/>
              <w:topLinePunct w:val="0"/>
              <w:autoSpaceDE/>
              <w:autoSpaceDN/>
              <w:bidi w:val="0"/>
              <w:adjustRightInd/>
              <w:snapToGrid/>
              <w:spacing w:line="240" w:lineRule="atLeast"/>
              <w:ind w:left="0"/>
              <w:jc w:val="both"/>
              <w:textAlignment w:val="auto"/>
              <w:rPr>
                <w:rFonts w:ascii="Times New Roman" w:hAnsi="Times New Roman"/>
                <w:spacing w:val="-3"/>
                <w:sz w:val="28"/>
              </w:rPr>
            </w:pPr>
          </w:p>
          <w:p w14:paraId="22B1210A">
            <w:pPr>
              <w:pStyle w:val="16"/>
              <w:keepNext w:val="0"/>
              <w:keepLines w:val="0"/>
              <w:pageBreakBefore w:val="0"/>
              <w:widowControl w:val="0"/>
              <w:kinsoku/>
              <w:wordWrap/>
              <w:overflowPunct/>
              <w:topLinePunct w:val="0"/>
              <w:autoSpaceDE/>
              <w:autoSpaceDN/>
              <w:bidi w:val="0"/>
              <w:adjustRightInd/>
              <w:snapToGrid/>
              <w:spacing w:line="240" w:lineRule="atLeast"/>
              <w:ind w:left="0"/>
              <w:jc w:val="both"/>
              <w:textAlignment w:val="auto"/>
              <w:rPr>
                <w:rFonts w:ascii="Times New Roman" w:hAnsi="Times New Roman"/>
                <w:spacing w:val="-3"/>
                <w:sz w:val="28"/>
              </w:rPr>
            </w:pPr>
            <w:r>
              <w:rPr>
                <w:rFonts w:ascii="Times New Roman" w:hAnsi="Times New Roman"/>
                <w:spacing w:val="-3"/>
                <w:sz w:val="28"/>
              </w:rPr>
              <w:t>《烟花爆竹经营许可实施办法》第二十三条第一款</w:t>
            </w:r>
          </w:p>
        </w:tc>
        <w:tc>
          <w:tcPr>
            <w:tcW w:w="1120" w:type="dxa"/>
          </w:tcPr>
          <w:p w14:paraId="10D1392C">
            <w:pPr>
              <w:pStyle w:val="16"/>
              <w:rPr>
                <w:rFonts w:ascii="Times New Roman" w:hAnsi="Times New Roman"/>
                <w:sz w:val="28"/>
              </w:rPr>
            </w:pPr>
          </w:p>
        </w:tc>
      </w:tr>
      <w:tr w14:paraId="4FE951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179" w:hRule="atLeast"/>
        </w:trPr>
        <w:tc>
          <w:tcPr>
            <w:tcW w:w="624" w:type="dxa"/>
          </w:tcPr>
          <w:p w14:paraId="4729D161">
            <w:pPr>
              <w:pStyle w:val="16"/>
              <w:spacing w:before="91"/>
              <w:rPr>
                <w:rFonts w:ascii="Times New Roman" w:hAnsi="Times New Roman"/>
                <w:sz w:val="28"/>
              </w:rPr>
            </w:pPr>
          </w:p>
          <w:p w14:paraId="2EE82244">
            <w:pPr>
              <w:pStyle w:val="16"/>
              <w:ind w:left="13"/>
              <w:jc w:val="center"/>
              <w:rPr>
                <w:rFonts w:ascii="Times New Roman" w:hAnsi="Times New Roman"/>
                <w:sz w:val="28"/>
              </w:rPr>
            </w:pPr>
            <w:r>
              <w:rPr>
                <w:rFonts w:ascii="Times New Roman" w:hAnsi="Times New Roman"/>
                <w:spacing w:val="-5"/>
                <w:sz w:val="28"/>
              </w:rPr>
              <w:t>17</w:t>
            </w:r>
          </w:p>
        </w:tc>
        <w:tc>
          <w:tcPr>
            <w:tcW w:w="931" w:type="dxa"/>
            <w:vMerge w:val="continue"/>
            <w:tcBorders>
              <w:top w:val="nil"/>
            </w:tcBorders>
          </w:tcPr>
          <w:p w14:paraId="4E0F8088">
            <w:pPr>
              <w:rPr>
                <w:rFonts w:ascii="Times New Roman" w:hAnsi="Times New Roman"/>
                <w:sz w:val="2"/>
                <w:szCs w:val="2"/>
              </w:rPr>
            </w:pPr>
          </w:p>
        </w:tc>
        <w:tc>
          <w:tcPr>
            <w:tcW w:w="5697" w:type="dxa"/>
            <w:vAlign w:val="center"/>
          </w:tcPr>
          <w:p w14:paraId="048593A4">
            <w:pPr>
              <w:pStyle w:val="16"/>
              <w:keepNext w:val="0"/>
              <w:keepLines w:val="0"/>
              <w:pageBreakBefore w:val="0"/>
              <w:widowControl w:val="0"/>
              <w:kinsoku/>
              <w:wordWrap/>
              <w:overflowPunct/>
              <w:topLinePunct w:val="0"/>
              <w:autoSpaceDE/>
              <w:autoSpaceDN/>
              <w:bidi w:val="0"/>
              <w:adjustRightInd/>
              <w:snapToGrid/>
              <w:spacing w:line="240" w:lineRule="atLeast"/>
              <w:ind w:left="0" w:right="0" w:firstLine="0" w:firstLineChars="0"/>
              <w:jc w:val="both"/>
              <w:textAlignment w:val="auto"/>
              <w:rPr>
                <w:rFonts w:ascii="Times New Roman" w:hAnsi="Times New Roman"/>
                <w:spacing w:val="-1"/>
                <w:sz w:val="28"/>
              </w:rPr>
            </w:pPr>
            <w:r>
              <w:rPr>
                <w:rFonts w:ascii="Times New Roman" w:hAnsi="Times New Roman"/>
                <w:spacing w:val="-1"/>
                <w:sz w:val="28"/>
              </w:rPr>
              <w:t>零售经营场所未设置清晰、醒目的易燃易爆以及周边严禁烟火、严禁燃放烟花爆竹的安全标</w:t>
            </w:r>
          </w:p>
          <w:p w14:paraId="0ADB5909">
            <w:pPr>
              <w:pStyle w:val="16"/>
              <w:keepNext w:val="0"/>
              <w:keepLines w:val="0"/>
              <w:pageBreakBefore w:val="0"/>
              <w:widowControl w:val="0"/>
              <w:kinsoku/>
              <w:wordWrap/>
              <w:overflowPunct/>
              <w:topLinePunct w:val="0"/>
              <w:autoSpaceDE/>
              <w:autoSpaceDN/>
              <w:bidi w:val="0"/>
              <w:adjustRightInd/>
              <w:snapToGrid/>
              <w:spacing w:line="240" w:lineRule="atLeast"/>
              <w:ind w:left="0" w:right="0" w:firstLine="0" w:firstLineChars="0"/>
              <w:jc w:val="both"/>
              <w:textAlignment w:val="auto"/>
              <w:rPr>
                <w:rFonts w:ascii="Times New Roman" w:hAnsi="Times New Roman"/>
                <w:spacing w:val="-1"/>
                <w:sz w:val="28"/>
              </w:rPr>
            </w:pPr>
            <w:r>
              <w:rPr>
                <w:rFonts w:ascii="Times New Roman" w:hAnsi="Times New Roman"/>
                <w:spacing w:val="-1"/>
                <w:sz w:val="28"/>
              </w:rPr>
              <w:t>志；</w:t>
            </w:r>
          </w:p>
        </w:tc>
        <w:tc>
          <w:tcPr>
            <w:tcW w:w="6482" w:type="dxa"/>
            <w:vAlign w:val="center"/>
          </w:tcPr>
          <w:p w14:paraId="41859849">
            <w:pPr>
              <w:pStyle w:val="16"/>
              <w:keepNext w:val="0"/>
              <w:keepLines w:val="0"/>
              <w:pageBreakBefore w:val="0"/>
              <w:widowControl w:val="0"/>
              <w:kinsoku/>
              <w:wordWrap/>
              <w:overflowPunct/>
              <w:topLinePunct w:val="0"/>
              <w:autoSpaceDE/>
              <w:autoSpaceDN/>
              <w:bidi w:val="0"/>
              <w:adjustRightInd/>
              <w:snapToGrid/>
              <w:spacing w:line="240" w:lineRule="atLeast"/>
              <w:ind w:left="0"/>
              <w:jc w:val="both"/>
              <w:textAlignment w:val="auto"/>
              <w:rPr>
                <w:rFonts w:ascii="Times New Roman" w:hAnsi="Times New Roman"/>
                <w:spacing w:val="-3"/>
                <w:sz w:val="28"/>
              </w:rPr>
            </w:pPr>
            <w:r>
              <w:rPr>
                <w:rFonts w:ascii="Times New Roman" w:hAnsi="Times New Roman"/>
                <w:spacing w:val="-3"/>
                <w:sz w:val="28"/>
              </w:rPr>
              <w:t>《烟花爆竹生产经营安全规定》第十一条第二款</w:t>
            </w:r>
          </w:p>
        </w:tc>
        <w:tc>
          <w:tcPr>
            <w:tcW w:w="1120" w:type="dxa"/>
          </w:tcPr>
          <w:p w14:paraId="019BC1F0">
            <w:pPr>
              <w:pStyle w:val="16"/>
              <w:rPr>
                <w:rFonts w:ascii="Times New Roman" w:hAnsi="Times New Roman"/>
                <w:sz w:val="28"/>
              </w:rPr>
            </w:pPr>
          </w:p>
        </w:tc>
      </w:tr>
      <w:tr w14:paraId="2C697E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6" w:hRule="atLeast"/>
        </w:trPr>
        <w:tc>
          <w:tcPr>
            <w:tcW w:w="624" w:type="dxa"/>
          </w:tcPr>
          <w:p w14:paraId="48C16D64">
            <w:pPr>
              <w:pStyle w:val="16"/>
              <w:spacing w:before="251"/>
              <w:ind w:left="13"/>
              <w:jc w:val="center"/>
              <w:rPr>
                <w:rFonts w:ascii="Times New Roman" w:hAnsi="Times New Roman"/>
                <w:sz w:val="28"/>
              </w:rPr>
            </w:pPr>
            <w:r>
              <w:rPr>
                <w:rFonts w:ascii="Times New Roman" w:hAnsi="Times New Roman"/>
                <w:spacing w:val="-5"/>
                <w:sz w:val="28"/>
              </w:rPr>
              <w:t>18</w:t>
            </w:r>
          </w:p>
        </w:tc>
        <w:tc>
          <w:tcPr>
            <w:tcW w:w="931" w:type="dxa"/>
            <w:vMerge w:val="restart"/>
            <w:vAlign w:val="center"/>
          </w:tcPr>
          <w:p w14:paraId="757AF2C7">
            <w:pPr>
              <w:pStyle w:val="16"/>
              <w:spacing w:before="246"/>
              <w:jc w:val="center"/>
              <w:rPr>
                <w:rFonts w:ascii="Times New Roman" w:hAnsi="Times New Roman"/>
                <w:sz w:val="28"/>
              </w:rPr>
            </w:pPr>
            <w:r>
              <w:rPr>
                <w:rFonts w:hint="eastAsia" w:ascii="Times New Roman" w:hAnsi="Times New Roman"/>
                <w:spacing w:val="-40"/>
                <w:sz w:val="28"/>
                <w:lang w:val="en-US" w:eastAsia="zh-CN"/>
              </w:rPr>
              <w:t>1</w:t>
            </w:r>
            <w:r>
              <w:rPr>
                <w:rFonts w:ascii="Times New Roman" w:hAnsi="Times New Roman"/>
                <w:spacing w:val="-40"/>
                <w:sz w:val="28"/>
              </w:rPr>
              <w:t>分</w:t>
            </w:r>
          </w:p>
        </w:tc>
        <w:tc>
          <w:tcPr>
            <w:tcW w:w="5697" w:type="dxa"/>
            <w:vAlign w:val="center"/>
          </w:tcPr>
          <w:p w14:paraId="384831B0">
            <w:pPr>
              <w:pStyle w:val="16"/>
              <w:keepNext w:val="0"/>
              <w:keepLines w:val="0"/>
              <w:pageBreakBefore w:val="0"/>
              <w:widowControl w:val="0"/>
              <w:kinsoku/>
              <w:wordWrap/>
              <w:overflowPunct/>
              <w:topLinePunct w:val="0"/>
              <w:autoSpaceDE/>
              <w:autoSpaceDN/>
              <w:bidi w:val="0"/>
              <w:adjustRightInd/>
              <w:snapToGrid/>
              <w:spacing w:line="240" w:lineRule="atLeast"/>
              <w:ind w:left="0" w:right="0" w:firstLine="0" w:firstLineChars="0"/>
              <w:jc w:val="both"/>
              <w:textAlignment w:val="auto"/>
              <w:rPr>
                <w:rFonts w:ascii="Times New Roman" w:hAnsi="Times New Roman"/>
                <w:spacing w:val="-1"/>
                <w:sz w:val="28"/>
              </w:rPr>
            </w:pPr>
            <w:r>
              <w:rPr>
                <w:rFonts w:ascii="Times New Roman" w:hAnsi="Times New Roman"/>
                <w:spacing w:val="-1"/>
                <w:sz w:val="28"/>
              </w:rPr>
              <w:t>未按规定配备有效的消防器材；</w:t>
            </w:r>
          </w:p>
        </w:tc>
        <w:tc>
          <w:tcPr>
            <w:tcW w:w="6482" w:type="dxa"/>
            <w:vAlign w:val="center"/>
          </w:tcPr>
          <w:p w14:paraId="78E2BD82">
            <w:pPr>
              <w:pStyle w:val="16"/>
              <w:keepNext w:val="0"/>
              <w:keepLines w:val="0"/>
              <w:pageBreakBefore w:val="0"/>
              <w:widowControl w:val="0"/>
              <w:kinsoku/>
              <w:wordWrap/>
              <w:overflowPunct/>
              <w:topLinePunct w:val="0"/>
              <w:autoSpaceDE/>
              <w:autoSpaceDN/>
              <w:bidi w:val="0"/>
              <w:adjustRightInd/>
              <w:snapToGrid/>
              <w:spacing w:line="240" w:lineRule="atLeast"/>
              <w:ind w:left="0"/>
              <w:jc w:val="both"/>
              <w:textAlignment w:val="auto"/>
              <w:rPr>
                <w:rFonts w:ascii="Times New Roman" w:hAnsi="Times New Roman"/>
                <w:spacing w:val="-3"/>
                <w:sz w:val="28"/>
              </w:rPr>
            </w:pPr>
            <w:r>
              <w:rPr>
                <w:rFonts w:ascii="Times New Roman" w:hAnsi="Times New Roman"/>
                <w:spacing w:val="-3"/>
                <w:sz w:val="28"/>
              </w:rPr>
              <w:t>《烟花爆竹零售店安全技术规范（AQ4128-2019）》8.1.4</w:t>
            </w:r>
          </w:p>
        </w:tc>
        <w:tc>
          <w:tcPr>
            <w:tcW w:w="1120" w:type="dxa"/>
          </w:tcPr>
          <w:p w14:paraId="2CEDE313">
            <w:pPr>
              <w:pStyle w:val="16"/>
              <w:rPr>
                <w:rFonts w:ascii="Times New Roman" w:hAnsi="Times New Roman"/>
                <w:sz w:val="28"/>
              </w:rPr>
            </w:pPr>
          </w:p>
        </w:tc>
      </w:tr>
      <w:tr w14:paraId="277ABD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6" w:hRule="atLeast"/>
        </w:trPr>
        <w:tc>
          <w:tcPr>
            <w:tcW w:w="624" w:type="dxa"/>
          </w:tcPr>
          <w:p w14:paraId="5CA25041">
            <w:pPr>
              <w:pStyle w:val="16"/>
              <w:spacing w:before="251"/>
              <w:ind w:left="13"/>
              <w:jc w:val="center"/>
              <w:rPr>
                <w:rFonts w:ascii="Times New Roman" w:hAnsi="Times New Roman"/>
                <w:sz w:val="28"/>
              </w:rPr>
            </w:pPr>
            <w:r>
              <w:rPr>
                <w:rFonts w:ascii="Times New Roman" w:hAnsi="Times New Roman"/>
                <w:spacing w:val="-5"/>
                <w:sz w:val="28"/>
              </w:rPr>
              <w:t>19</w:t>
            </w:r>
          </w:p>
        </w:tc>
        <w:tc>
          <w:tcPr>
            <w:tcW w:w="931" w:type="dxa"/>
            <w:vMerge w:val="continue"/>
            <w:tcBorders>
              <w:top w:val="nil"/>
            </w:tcBorders>
          </w:tcPr>
          <w:p w14:paraId="07DAEFAC">
            <w:pPr>
              <w:rPr>
                <w:rFonts w:ascii="Times New Roman" w:hAnsi="Times New Roman"/>
                <w:sz w:val="2"/>
                <w:szCs w:val="2"/>
              </w:rPr>
            </w:pPr>
          </w:p>
        </w:tc>
        <w:tc>
          <w:tcPr>
            <w:tcW w:w="5697" w:type="dxa"/>
            <w:vAlign w:val="center"/>
          </w:tcPr>
          <w:p w14:paraId="0DC0C033">
            <w:pPr>
              <w:pStyle w:val="16"/>
              <w:keepNext w:val="0"/>
              <w:keepLines w:val="0"/>
              <w:pageBreakBefore w:val="0"/>
              <w:widowControl w:val="0"/>
              <w:kinsoku/>
              <w:wordWrap/>
              <w:overflowPunct/>
              <w:topLinePunct w:val="0"/>
              <w:autoSpaceDE/>
              <w:autoSpaceDN/>
              <w:bidi w:val="0"/>
              <w:adjustRightInd/>
              <w:snapToGrid/>
              <w:spacing w:line="240" w:lineRule="atLeast"/>
              <w:ind w:left="0" w:right="0" w:firstLine="0" w:firstLineChars="0"/>
              <w:jc w:val="both"/>
              <w:textAlignment w:val="auto"/>
              <w:rPr>
                <w:rFonts w:ascii="Times New Roman" w:hAnsi="Times New Roman"/>
                <w:spacing w:val="-1"/>
                <w:sz w:val="28"/>
              </w:rPr>
            </w:pPr>
            <w:r>
              <w:rPr>
                <w:rFonts w:ascii="Times New Roman" w:hAnsi="Times New Roman"/>
                <w:spacing w:val="-1"/>
                <w:sz w:val="28"/>
              </w:rPr>
              <w:t>零售店内电气线路有明接头，采用白炽灯、射</w:t>
            </w:r>
          </w:p>
          <w:p w14:paraId="0E54F822">
            <w:pPr>
              <w:pStyle w:val="16"/>
              <w:keepNext w:val="0"/>
              <w:keepLines w:val="0"/>
              <w:pageBreakBefore w:val="0"/>
              <w:widowControl w:val="0"/>
              <w:kinsoku/>
              <w:wordWrap/>
              <w:overflowPunct/>
              <w:topLinePunct w:val="0"/>
              <w:autoSpaceDE/>
              <w:autoSpaceDN/>
              <w:bidi w:val="0"/>
              <w:adjustRightInd/>
              <w:snapToGrid/>
              <w:spacing w:line="240" w:lineRule="atLeast"/>
              <w:ind w:left="0" w:right="0" w:firstLine="0" w:firstLineChars="0"/>
              <w:jc w:val="both"/>
              <w:textAlignment w:val="auto"/>
              <w:rPr>
                <w:rFonts w:ascii="Times New Roman" w:hAnsi="Times New Roman"/>
                <w:spacing w:val="-1"/>
                <w:sz w:val="28"/>
              </w:rPr>
            </w:pPr>
            <w:r>
              <w:rPr>
                <w:rFonts w:ascii="Times New Roman" w:hAnsi="Times New Roman"/>
                <w:spacing w:val="-1"/>
                <w:sz w:val="28"/>
              </w:rPr>
              <w:t>灯等易产生高温的灯具等；</w:t>
            </w:r>
          </w:p>
        </w:tc>
        <w:tc>
          <w:tcPr>
            <w:tcW w:w="6482" w:type="dxa"/>
            <w:vAlign w:val="center"/>
          </w:tcPr>
          <w:p w14:paraId="55C1815D">
            <w:pPr>
              <w:pStyle w:val="16"/>
              <w:keepNext w:val="0"/>
              <w:keepLines w:val="0"/>
              <w:pageBreakBefore w:val="0"/>
              <w:widowControl w:val="0"/>
              <w:kinsoku/>
              <w:wordWrap/>
              <w:overflowPunct/>
              <w:topLinePunct w:val="0"/>
              <w:autoSpaceDE/>
              <w:autoSpaceDN/>
              <w:bidi w:val="0"/>
              <w:adjustRightInd/>
              <w:snapToGrid/>
              <w:spacing w:line="240" w:lineRule="atLeast"/>
              <w:ind w:left="0"/>
              <w:jc w:val="both"/>
              <w:textAlignment w:val="auto"/>
              <w:rPr>
                <w:rFonts w:ascii="Times New Roman" w:hAnsi="Times New Roman"/>
                <w:spacing w:val="-3"/>
                <w:sz w:val="28"/>
              </w:rPr>
            </w:pPr>
            <w:r>
              <w:rPr>
                <w:rFonts w:ascii="Times New Roman" w:hAnsi="Times New Roman"/>
                <w:spacing w:val="-3"/>
                <w:sz w:val="28"/>
              </w:rPr>
              <w:t>《烟花爆竹零售店安全技术规范（AQ4128-2019）》8.2</w:t>
            </w:r>
          </w:p>
        </w:tc>
        <w:tc>
          <w:tcPr>
            <w:tcW w:w="1120" w:type="dxa"/>
          </w:tcPr>
          <w:p w14:paraId="1FA149AE">
            <w:pPr>
              <w:pStyle w:val="16"/>
              <w:rPr>
                <w:rFonts w:ascii="Times New Roman" w:hAnsi="Times New Roman"/>
                <w:sz w:val="28"/>
              </w:rPr>
            </w:pPr>
          </w:p>
        </w:tc>
      </w:tr>
    </w:tbl>
    <w:p w14:paraId="0D1C6FE9">
      <w:pPr>
        <w:pStyle w:val="16"/>
        <w:spacing w:after="0"/>
        <w:rPr>
          <w:rFonts w:ascii="Times New Roman" w:hAnsi="Times New Roman"/>
          <w:sz w:val="28"/>
        </w:rPr>
        <w:sectPr>
          <w:pgSz w:w="16840" w:h="11910" w:orient="landscape"/>
          <w:pgMar w:top="2098" w:right="1474" w:bottom="1984" w:left="1587" w:header="0" w:footer="1497" w:gutter="0"/>
          <w:cols w:space="720" w:num="1"/>
        </w:sectPr>
      </w:pPr>
    </w:p>
    <w:tbl>
      <w:tblPr>
        <w:tblStyle w:val="11"/>
        <w:tblpPr w:leftFromText="180" w:rightFromText="180" w:vertAnchor="text" w:horzAnchor="page" w:tblpX="1618" w:tblpY="-41"/>
        <w:tblOverlap w:val="never"/>
        <w:tblW w:w="14854"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24"/>
        <w:gridCol w:w="931"/>
        <w:gridCol w:w="5697"/>
        <w:gridCol w:w="6482"/>
        <w:gridCol w:w="1120"/>
      </w:tblGrid>
      <w:tr w14:paraId="718D0A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39" w:hRule="atLeast"/>
        </w:trPr>
        <w:tc>
          <w:tcPr>
            <w:tcW w:w="624" w:type="dxa"/>
          </w:tcPr>
          <w:p w14:paraId="711C00E5">
            <w:pPr>
              <w:pStyle w:val="16"/>
              <w:spacing w:before="125" w:line="201" w:lineRule="auto"/>
              <w:ind w:left="170" w:right="156"/>
              <w:rPr>
                <w:rFonts w:hint="eastAsia" w:ascii="Times New Roman" w:hAnsi="Times New Roman" w:eastAsia="黑体" w:cs="黑体"/>
                <w:sz w:val="28"/>
              </w:rPr>
            </w:pPr>
            <w:r>
              <w:rPr>
                <w:rFonts w:hint="eastAsia" w:ascii="Times New Roman" w:hAnsi="Times New Roman" w:eastAsia="黑体" w:cs="黑体"/>
                <w:spacing w:val="-10"/>
                <w:sz w:val="28"/>
              </w:rPr>
              <w:t>序号</w:t>
            </w:r>
          </w:p>
        </w:tc>
        <w:tc>
          <w:tcPr>
            <w:tcW w:w="931" w:type="dxa"/>
          </w:tcPr>
          <w:p w14:paraId="7B3DB48A">
            <w:pPr>
              <w:pStyle w:val="16"/>
              <w:spacing w:before="125" w:line="201" w:lineRule="auto"/>
              <w:ind w:left="182" w:right="170"/>
              <w:rPr>
                <w:rFonts w:hint="eastAsia" w:ascii="Times New Roman" w:hAnsi="Times New Roman" w:eastAsia="黑体" w:cs="黑体"/>
                <w:sz w:val="28"/>
              </w:rPr>
            </w:pPr>
            <w:r>
              <w:rPr>
                <w:rFonts w:hint="eastAsia" w:ascii="Times New Roman" w:hAnsi="Times New Roman" w:eastAsia="黑体" w:cs="黑体"/>
                <w:spacing w:val="-6"/>
                <w:sz w:val="28"/>
              </w:rPr>
              <w:t>应记</w:t>
            </w:r>
            <w:r>
              <w:rPr>
                <w:rFonts w:hint="eastAsia" w:ascii="Times New Roman" w:hAnsi="Times New Roman" w:eastAsia="黑体" w:cs="黑体"/>
                <w:spacing w:val="-5"/>
                <w:sz w:val="28"/>
              </w:rPr>
              <w:t>分值</w:t>
            </w:r>
          </w:p>
        </w:tc>
        <w:tc>
          <w:tcPr>
            <w:tcW w:w="5697" w:type="dxa"/>
          </w:tcPr>
          <w:p w14:paraId="16E06812">
            <w:pPr>
              <w:pStyle w:val="16"/>
              <w:spacing w:before="229"/>
              <w:ind w:left="15"/>
              <w:jc w:val="center"/>
              <w:rPr>
                <w:rFonts w:hint="eastAsia" w:ascii="Times New Roman" w:hAnsi="Times New Roman" w:eastAsia="黑体" w:cs="黑体"/>
                <w:sz w:val="28"/>
              </w:rPr>
            </w:pPr>
            <w:r>
              <w:rPr>
                <w:rFonts w:hint="eastAsia" w:ascii="Times New Roman" w:hAnsi="Times New Roman" w:eastAsia="黑体" w:cs="黑体"/>
                <w:spacing w:val="-5"/>
                <w:sz w:val="28"/>
              </w:rPr>
              <w:t>行为</w:t>
            </w:r>
          </w:p>
        </w:tc>
        <w:tc>
          <w:tcPr>
            <w:tcW w:w="6482" w:type="dxa"/>
          </w:tcPr>
          <w:p w14:paraId="5F47FA18">
            <w:pPr>
              <w:pStyle w:val="16"/>
              <w:spacing w:before="229"/>
              <w:ind w:left="14"/>
              <w:jc w:val="center"/>
              <w:rPr>
                <w:rFonts w:hint="eastAsia" w:ascii="Times New Roman" w:hAnsi="Times New Roman" w:eastAsia="黑体" w:cs="黑体"/>
                <w:sz w:val="28"/>
              </w:rPr>
            </w:pPr>
            <w:r>
              <w:rPr>
                <w:rFonts w:hint="eastAsia" w:ascii="Times New Roman" w:hAnsi="Times New Roman" w:eastAsia="黑体" w:cs="黑体"/>
                <w:spacing w:val="-3"/>
                <w:sz w:val="28"/>
              </w:rPr>
              <w:t>法律依据</w:t>
            </w:r>
          </w:p>
        </w:tc>
        <w:tc>
          <w:tcPr>
            <w:tcW w:w="1120" w:type="dxa"/>
          </w:tcPr>
          <w:p w14:paraId="319CC164">
            <w:pPr>
              <w:pStyle w:val="16"/>
              <w:spacing w:before="125" w:line="201" w:lineRule="auto"/>
              <w:ind w:left="281" w:right="259"/>
              <w:rPr>
                <w:rFonts w:hint="eastAsia" w:ascii="Times New Roman" w:hAnsi="Times New Roman" w:eastAsia="黑体" w:cs="黑体"/>
                <w:sz w:val="28"/>
              </w:rPr>
            </w:pPr>
            <w:r>
              <w:rPr>
                <w:rFonts w:hint="eastAsia" w:ascii="Times New Roman" w:hAnsi="Times New Roman" w:eastAsia="黑体" w:cs="黑体"/>
                <w:spacing w:val="-6"/>
                <w:sz w:val="28"/>
              </w:rPr>
              <w:t>实记</w:t>
            </w:r>
            <w:r>
              <w:rPr>
                <w:rFonts w:hint="eastAsia" w:ascii="Times New Roman" w:hAnsi="Times New Roman" w:eastAsia="黑体" w:cs="黑体"/>
                <w:spacing w:val="-5"/>
                <w:sz w:val="28"/>
              </w:rPr>
              <w:t>分值</w:t>
            </w:r>
          </w:p>
        </w:tc>
      </w:tr>
      <w:tr w14:paraId="232663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3" w:hRule="atLeast"/>
        </w:trPr>
        <w:tc>
          <w:tcPr>
            <w:tcW w:w="624" w:type="dxa"/>
          </w:tcPr>
          <w:p w14:paraId="5B5ADAE4">
            <w:pPr>
              <w:pStyle w:val="16"/>
              <w:spacing w:before="251"/>
              <w:ind w:left="13"/>
              <w:jc w:val="center"/>
              <w:rPr>
                <w:rFonts w:ascii="Times New Roman" w:hAnsi="Times New Roman"/>
                <w:sz w:val="28"/>
              </w:rPr>
            </w:pPr>
            <w:r>
              <w:rPr>
                <w:rFonts w:ascii="Times New Roman" w:hAnsi="Times New Roman"/>
                <w:spacing w:val="-5"/>
                <w:sz w:val="28"/>
              </w:rPr>
              <w:t>20</w:t>
            </w:r>
          </w:p>
        </w:tc>
        <w:tc>
          <w:tcPr>
            <w:tcW w:w="931" w:type="dxa"/>
            <w:vMerge w:val="restart"/>
          </w:tcPr>
          <w:p w14:paraId="5782D869">
            <w:pPr>
              <w:pStyle w:val="16"/>
              <w:rPr>
                <w:rFonts w:ascii="Times New Roman" w:hAnsi="Times New Roman"/>
                <w:sz w:val="28"/>
              </w:rPr>
            </w:pPr>
          </w:p>
        </w:tc>
        <w:tc>
          <w:tcPr>
            <w:tcW w:w="5697" w:type="dxa"/>
            <w:vAlign w:val="center"/>
          </w:tcPr>
          <w:p w14:paraId="2557B4D9">
            <w:pPr>
              <w:pStyle w:val="16"/>
              <w:keepNext w:val="0"/>
              <w:keepLines w:val="0"/>
              <w:pageBreakBefore w:val="0"/>
              <w:widowControl w:val="0"/>
              <w:kinsoku/>
              <w:wordWrap/>
              <w:overflowPunct/>
              <w:topLinePunct w:val="0"/>
              <w:autoSpaceDE/>
              <w:autoSpaceDN/>
              <w:bidi w:val="0"/>
              <w:adjustRightInd/>
              <w:snapToGrid/>
              <w:spacing w:line="240" w:lineRule="atLeast"/>
              <w:ind w:left="0" w:right="0" w:firstLine="0" w:firstLineChars="0"/>
              <w:jc w:val="both"/>
              <w:textAlignment w:val="auto"/>
              <w:rPr>
                <w:rFonts w:ascii="Times New Roman" w:hAnsi="Times New Roman"/>
                <w:spacing w:val="-1"/>
                <w:sz w:val="28"/>
              </w:rPr>
            </w:pPr>
            <w:r>
              <w:rPr>
                <w:rFonts w:ascii="Times New Roman" w:hAnsi="Times New Roman"/>
                <w:spacing w:val="-1"/>
                <w:sz w:val="28"/>
              </w:rPr>
              <w:t>在店外随意摆放烟花爆竹；</w:t>
            </w:r>
          </w:p>
        </w:tc>
        <w:tc>
          <w:tcPr>
            <w:tcW w:w="6482" w:type="dxa"/>
            <w:vAlign w:val="center"/>
          </w:tcPr>
          <w:p w14:paraId="2EC10B91">
            <w:pPr>
              <w:pStyle w:val="16"/>
              <w:keepNext w:val="0"/>
              <w:keepLines w:val="0"/>
              <w:pageBreakBefore w:val="0"/>
              <w:widowControl w:val="0"/>
              <w:kinsoku/>
              <w:wordWrap/>
              <w:overflowPunct/>
              <w:topLinePunct w:val="0"/>
              <w:autoSpaceDE/>
              <w:autoSpaceDN/>
              <w:bidi w:val="0"/>
              <w:adjustRightInd/>
              <w:snapToGrid/>
              <w:spacing w:line="240" w:lineRule="atLeast"/>
              <w:ind w:left="0"/>
              <w:jc w:val="both"/>
              <w:textAlignment w:val="auto"/>
              <w:rPr>
                <w:rFonts w:ascii="Times New Roman" w:hAnsi="Times New Roman"/>
                <w:spacing w:val="-3"/>
                <w:sz w:val="28"/>
              </w:rPr>
            </w:pPr>
            <w:r>
              <w:rPr>
                <w:rFonts w:ascii="Times New Roman" w:hAnsi="Times New Roman"/>
                <w:spacing w:val="-3"/>
                <w:sz w:val="28"/>
              </w:rPr>
              <w:t>《烟花爆竹零售店安全技术规范（AQ4128-2019）》9.2</w:t>
            </w:r>
          </w:p>
        </w:tc>
        <w:tc>
          <w:tcPr>
            <w:tcW w:w="1120" w:type="dxa"/>
          </w:tcPr>
          <w:p w14:paraId="0919C7B9">
            <w:pPr>
              <w:pStyle w:val="16"/>
              <w:rPr>
                <w:rFonts w:ascii="Times New Roman" w:hAnsi="Times New Roman"/>
                <w:sz w:val="28"/>
              </w:rPr>
            </w:pPr>
          </w:p>
        </w:tc>
      </w:tr>
      <w:tr w14:paraId="27677E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93" w:hRule="atLeast"/>
        </w:trPr>
        <w:tc>
          <w:tcPr>
            <w:tcW w:w="624" w:type="dxa"/>
            <w:vAlign w:val="center"/>
          </w:tcPr>
          <w:p w14:paraId="77B0DF82">
            <w:pPr>
              <w:pStyle w:val="16"/>
              <w:jc w:val="center"/>
              <w:rPr>
                <w:rFonts w:ascii="Times New Roman" w:hAnsi="Times New Roman"/>
                <w:sz w:val="28"/>
              </w:rPr>
            </w:pPr>
            <w:r>
              <w:rPr>
                <w:rFonts w:ascii="Times New Roman" w:hAnsi="Times New Roman"/>
                <w:spacing w:val="-5"/>
                <w:sz w:val="28"/>
              </w:rPr>
              <w:t>21</w:t>
            </w:r>
          </w:p>
        </w:tc>
        <w:tc>
          <w:tcPr>
            <w:tcW w:w="931" w:type="dxa"/>
            <w:vMerge w:val="continue"/>
            <w:tcBorders>
              <w:top w:val="nil"/>
            </w:tcBorders>
          </w:tcPr>
          <w:p w14:paraId="3ED3AC67">
            <w:pPr>
              <w:rPr>
                <w:rFonts w:ascii="Times New Roman" w:hAnsi="Times New Roman"/>
                <w:sz w:val="2"/>
                <w:szCs w:val="2"/>
              </w:rPr>
            </w:pPr>
          </w:p>
        </w:tc>
        <w:tc>
          <w:tcPr>
            <w:tcW w:w="5697" w:type="dxa"/>
            <w:vAlign w:val="center"/>
          </w:tcPr>
          <w:p w14:paraId="181E607C">
            <w:pPr>
              <w:pStyle w:val="16"/>
              <w:keepNext w:val="0"/>
              <w:keepLines w:val="0"/>
              <w:pageBreakBefore w:val="0"/>
              <w:widowControl w:val="0"/>
              <w:kinsoku/>
              <w:wordWrap/>
              <w:overflowPunct/>
              <w:topLinePunct w:val="0"/>
              <w:autoSpaceDE/>
              <w:autoSpaceDN/>
              <w:bidi w:val="0"/>
              <w:adjustRightInd/>
              <w:snapToGrid/>
              <w:spacing w:line="240" w:lineRule="atLeast"/>
              <w:ind w:left="0" w:right="0" w:firstLine="0" w:firstLineChars="0"/>
              <w:jc w:val="both"/>
              <w:textAlignment w:val="auto"/>
              <w:rPr>
                <w:rFonts w:ascii="Times New Roman" w:hAnsi="Times New Roman"/>
                <w:spacing w:val="-1"/>
                <w:sz w:val="28"/>
              </w:rPr>
            </w:pPr>
            <w:r>
              <w:rPr>
                <w:rFonts w:ascii="Times New Roman" w:hAnsi="Times New Roman"/>
                <w:spacing w:val="-1"/>
                <w:sz w:val="28"/>
              </w:rPr>
              <w:t>烟花爆竹的堆放不稳固，堆放高度超过2.0米；</w:t>
            </w:r>
          </w:p>
        </w:tc>
        <w:tc>
          <w:tcPr>
            <w:tcW w:w="6482" w:type="dxa"/>
            <w:vAlign w:val="center"/>
          </w:tcPr>
          <w:p w14:paraId="41942326">
            <w:pPr>
              <w:pStyle w:val="16"/>
              <w:keepNext w:val="0"/>
              <w:keepLines w:val="0"/>
              <w:pageBreakBefore w:val="0"/>
              <w:widowControl w:val="0"/>
              <w:kinsoku/>
              <w:wordWrap/>
              <w:overflowPunct/>
              <w:topLinePunct w:val="0"/>
              <w:autoSpaceDE/>
              <w:autoSpaceDN/>
              <w:bidi w:val="0"/>
              <w:adjustRightInd/>
              <w:snapToGrid/>
              <w:spacing w:line="240" w:lineRule="atLeast"/>
              <w:ind w:left="0"/>
              <w:jc w:val="both"/>
              <w:textAlignment w:val="auto"/>
              <w:rPr>
                <w:rFonts w:ascii="Times New Roman" w:hAnsi="Times New Roman"/>
                <w:spacing w:val="-3"/>
                <w:sz w:val="28"/>
              </w:rPr>
            </w:pPr>
            <w:r>
              <w:rPr>
                <w:rFonts w:ascii="Times New Roman" w:hAnsi="Times New Roman"/>
                <w:spacing w:val="-3"/>
                <w:sz w:val="28"/>
              </w:rPr>
              <w:t>《烟花爆竹零售店安全技术规范（AQ4128-2019）》9.5</w:t>
            </w:r>
          </w:p>
        </w:tc>
        <w:tc>
          <w:tcPr>
            <w:tcW w:w="1120" w:type="dxa"/>
          </w:tcPr>
          <w:p w14:paraId="64BF75FE">
            <w:pPr>
              <w:pStyle w:val="16"/>
              <w:rPr>
                <w:rFonts w:ascii="Times New Roman" w:hAnsi="Times New Roman"/>
                <w:sz w:val="28"/>
              </w:rPr>
            </w:pPr>
          </w:p>
        </w:tc>
      </w:tr>
      <w:tr w14:paraId="7AAE043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3" w:hRule="atLeast"/>
        </w:trPr>
        <w:tc>
          <w:tcPr>
            <w:tcW w:w="624" w:type="dxa"/>
          </w:tcPr>
          <w:p w14:paraId="19B15C9B">
            <w:pPr>
              <w:pStyle w:val="16"/>
              <w:spacing w:before="237"/>
              <w:ind w:left="13"/>
              <w:jc w:val="center"/>
              <w:rPr>
                <w:rFonts w:ascii="Times New Roman" w:hAnsi="Times New Roman"/>
                <w:sz w:val="28"/>
              </w:rPr>
            </w:pPr>
            <w:r>
              <w:rPr>
                <w:rFonts w:ascii="Times New Roman" w:hAnsi="Times New Roman"/>
                <w:spacing w:val="-5"/>
                <w:sz w:val="28"/>
              </w:rPr>
              <w:t>22</w:t>
            </w:r>
          </w:p>
        </w:tc>
        <w:tc>
          <w:tcPr>
            <w:tcW w:w="931" w:type="dxa"/>
            <w:vMerge w:val="continue"/>
            <w:tcBorders>
              <w:top w:val="nil"/>
            </w:tcBorders>
          </w:tcPr>
          <w:p w14:paraId="339F5A3E">
            <w:pPr>
              <w:rPr>
                <w:rFonts w:ascii="Times New Roman" w:hAnsi="Times New Roman"/>
                <w:sz w:val="2"/>
                <w:szCs w:val="2"/>
              </w:rPr>
            </w:pPr>
          </w:p>
        </w:tc>
        <w:tc>
          <w:tcPr>
            <w:tcW w:w="5697" w:type="dxa"/>
            <w:vAlign w:val="center"/>
          </w:tcPr>
          <w:p w14:paraId="12CEE5AF">
            <w:pPr>
              <w:pStyle w:val="16"/>
              <w:keepNext w:val="0"/>
              <w:keepLines w:val="0"/>
              <w:pageBreakBefore w:val="0"/>
              <w:widowControl w:val="0"/>
              <w:kinsoku/>
              <w:wordWrap/>
              <w:overflowPunct/>
              <w:topLinePunct w:val="0"/>
              <w:autoSpaceDE/>
              <w:autoSpaceDN/>
              <w:bidi w:val="0"/>
              <w:adjustRightInd/>
              <w:snapToGrid/>
              <w:spacing w:line="240" w:lineRule="atLeast"/>
              <w:ind w:left="0" w:right="0" w:firstLine="0" w:firstLineChars="0"/>
              <w:jc w:val="both"/>
              <w:textAlignment w:val="auto"/>
              <w:rPr>
                <w:rFonts w:ascii="Times New Roman" w:hAnsi="Times New Roman"/>
                <w:spacing w:val="-1"/>
                <w:sz w:val="28"/>
              </w:rPr>
            </w:pPr>
            <w:r>
              <w:rPr>
                <w:rFonts w:ascii="Times New Roman" w:hAnsi="Times New Roman"/>
                <w:spacing w:val="-1"/>
                <w:sz w:val="28"/>
              </w:rPr>
              <w:t>未制定并张贴现场应急处置措施，未在适当的醒目位置张贴应急联系电话信息；</w:t>
            </w:r>
          </w:p>
        </w:tc>
        <w:tc>
          <w:tcPr>
            <w:tcW w:w="6482" w:type="dxa"/>
            <w:vAlign w:val="center"/>
          </w:tcPr>
          <w:p w14:paraId="73F3ECF0">
            <w:pPr>
              <w:pStyle w:val="16"/>
              <w:keepNext w:val="0"/>
              <w:keepLines w:val="0"/>
              <w:pageBreakBefore w:val="0"/>
              <w:widowControl w:val="0"/>
              <w:kinsoku/>
              <w:wordWrap/>
              <w:overflowPunct/>
              <w:topLinePunct w:val="0"/>
              <w:autoSpaceDE/>
              <w:autoSpaceDN/>
              <w:bidi w:val="0"/>
              <w:adjustRightInd/>
              <w:snapToGrid/>
              <w:spacing w:line="240" w:lineRule="atLeast"/>
              <w:ind w:left="0"/>
              <w:jc w:val="both"/>
              <w:textAlignment w:val="auto"/>
              <w:rPr>
                <w:rFonts w:ascii="Times New Roman" w:hAnsi="Times New Roman"/>
                <w:spacing w:val="-3"/>
                <w:sz w:val="28"/>
              </w:rPr>
            </w:pPr>
            <w:r>
              <w:rPr>
                <w:rFonts w:ascii="Times New Roman" w:hAnsi="Times New Roman"/>
                <w:spacing w:val="-3"/>
                <w:sz w:val="28"/>
              </w:rPr>
              <w:t>《烟花爆竹零售店安全技术规范（AQ4128-2019）》10.7</w:t>
            </w:r>
          </w:p>
        </w:tc>
        <w:tc>
          <w:tcPr>
            <w:tcW w:w="1120" w:type="dxa"/>
          </w:tcPr>
          <w:p w14:paraId="6B244B10">
            <w:pPr>
              <w:pStyle w:val="16"/>
              <w:rPr>
                <w:rFonts w:ascii="Times New Roman" w:hAnsi="Times New Roman"/>
                <w:sz w:val="28"/>
              </w:rPr>
            </w:pPr>
          </w:p>
        </w:tc>
      </w:tr>
      <w:tr w14:paraId="0C42EC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194" w:hRule="atLeast"/>
        </w:trPr>
        <w:tc>
          <w:tcPr>
            <w:tcW w:w="624" w:type="dxa"/>
            <w:vAlign w:val="center"/>
          </w:tcPr>
          <w:p w14:paraId="6A20D9EE">
            <w:pPr>
              <w:pStyle w:val="16"/>
              <w:jc w:val="center"/>
              <w:rPr>
                <w:rFonts w:ascii="Times New Roman" w:hAnsi="Times New Roman"/>
                <w:sz w:val="28"/>
              </w:rPr>
            </w:pPr>
            <w:r>
              <w:rPr>
                <w:rFonts w:ascii="Times New Roman" w:hAnsi="Times New Roman"/>
                <w:spacing w:val="-5"/>
                <w:sz w:val="28"/>
              </w:rPr>
              <w:t>23</w:t>
            </w:r>
          </w:p>
        </w:tc>
        <w:tc>
          <w:tcPr>
            <w:tcW w:w="931" w:type="dxa"/>
            <w:vMerge w:val="restart"/>
            <w:vAlign w:val="center"/>
          </w:tcPr>
          <w:p w14:paraId="678D59D5">
            <w:pPr>
              <w:pStyle w:val="16"/>
              <w:jc w:val="center"/>
              <w:rPr>
                <w:rFonts w:ascii="Times New Roman" w:hAnsi="Times New Roman"/>
                <w:sz w:val="28"/>
              </w:rPr>
            </w:pPr>
            <w:r>
              <w:rPr>
                <w:rFonts w:hint="eastAsia" w:ascii="Times New Roman" w:hAnsi="Times New Roman"/>
                <w:sz w:val="28"/>
                <w:lang w:val="en-US" w:eastAsia="zh-CN"/>
              </w:rPr>
              <w:t>-</w:t>
            </w:r>
            <w:r>
              <w:rPr>
                <w:rFonts w:ascii="Times New Roman" w:hAnsi="Times New Roman"/>
                <w:sz w:val="28"/>
              </w:rPr>
              <w:t>3</w:t>
            </w:r>
            <w:r>
              <w:rPr>
                <w:rFonts w:ascii="Times New Roman" w:hAnsi="Times New Roman"/>
                <w:spacing w:val="-40"/>
                <w:sz w:val="28"/>
              </w:rPr>
              <w:t>分</w:t>
            </w:r>
          </w:p>
        </w:tc>
        <w:tc>
          <w:tcPr>
            <w:tcW w:w="5697" w:type="dxa"/>
            <w:vAlign w:val="center"/>
          </w:tcPr>
          <w:p w14:paraId="4655AB3D">
            <w:pPr>
              <w:pStyle w:val="16"/>
              <w:keepNext w:val="0"/>
              <w:keepLines w:val="0"/>
              <w:pageBreakBefore w:val="0"/>
              <w:widowControl w:val="0"/>
              <w:kinsoku/>
              <w:wordWrap/>
              <w:overflowPunct/>
              <w:topLinePunct w:val="0"/>
              <w:autoSpaceDE/>
              <w:autoSpaceDN/>
              <w:bidi w:val="0"/>
              <w:adjustRightInd/>
              <w:snapToGrid/>
              <w:spacing w:line="240" w:lineRule="atLeast"/>
              <w:ind w:left="0" w:right="0" w:firstLine="0" w:firstLineChars="0"/>
              <w:jc w:val="both"/>
              <w:textAlignment w:val="auto"/>
              <w:rPr>
                <w:rFonts w:ascii="Times New Roman" w:hAnsi="Times New Roman"/>
                <w:spacing w:val="-1"/>
                <w:sz w:val="28"/>
              </w:rPr>
            </w:pPr>
            <w:r>
              <w:rPr>
                <w:rFonts w:ascii="Times New Roman" w:hAnsi="Times New Roman"/>
                <w:spacing w:val="-1"/>
                <w:sz w:val="28"/>
              </w:rPr>
              <w:t>报告非本店的重大事故隐患或者举报非本店的涉烟花爆竹安全生产违法行为，经查证属实的；</w:t>
            </w:r>
          </w:p>
        </w:tc>
        <w:tc>
          <w:tcPr>
            <w:tcW w:w="6482" w:type="dxa"/>
            <w:vAlign w:val="center"/>
          </w:tcPr>
          <w:p w14:paraId="7D022778">
            <w:pPr>
              <w:pStyle w:val="16"/>
              <w:keepNext w:val="0"/>
              <w:keepLines w:val="0"/>
              <w:pageBreakBefore w:val="0"/>
              <w:widowControl w:val="0"/>
              <w:kinsoku/>
              <w:wordWrap/>
              <w:overflowPunct/>
              <w:topLinePunct w:val="0"/>
              <w:autoSpaceDE/>
              <w:autoSpaceDN/>
              <w:bidi w:val="0"/>
              <w:adjustRightInd/>
              <w:snapToGrid/>
              <w:spacing w:line="240" w:lineRule="atLeast"/>
              <w:ind w:left="0"/>
              <w:jc w:val="both"/>
              <w:textAlignment w:val="auto"/>
              <w:rPr>
                <w:rFonts w:ascii="Times New Roman" w:hAnsi="Times New Roman"/>
                <w:spacing w:val="-3"/>
                <w:sz w:val="28"/>
              </w:rPr>
            </w:pPr>
            <w:r>
              <w:rPr>
                <w:rFonts w:ascii="Times New Roman" w:hAnsi="Times New Roman"/>
                <w:spacing w:val="-3"/>
                <w:sz w:val="28"/>
              </w:rPr>
              <w:t>《中华人民共和国安全生产法》第七十六条</w:t>
            </w:r>
          </w:p>
        </w:tc>
        <w:tc>
          <w:tcPr>
            <w:tcW w:w="1120" w:type="dxa"/>
          </w:tcPr>
          <w:p w14:paraId="4DEF9021">
            <w:pPr>
              <w:pStyle w:val="16"/>
              <w:rPr>
                <w:rFonts w:ascii="Times New Roman" w:hAnsi="Times New Roman"/>
                <w:sz w:val="28"/>
              </w:rPr>
            </w:pPr>
          </w:p>
        </w:tc>
      </w:tr>
      <w:tr w14:paraId="5AD406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41" w:hRule="atLeast"/>
        </w:trPr>
        <w:tc>
          <w:tcPr>
            <w:tcW w:w="624" w:type="dxa"/>
          </w:tcPr>
          <w:p w14:paraId="54C59A42">
            <w:pPr>
              <w:pStyle w:val="16"/>
              <w:spacing w:before="261"/>
              <w:ind w:left="13"/>
              <w:jc w:val="center"/>
              <w:rPr>
                <w:rFonts w:ascii="Times New Roman" w:hAnsi="Times New Roman"/>
                <w:sz w:val="28"/>
              </w:rPr>
            </w:pPr>
            <w:r>
              <w:rPr>
                <w:rFonts w:ascii="Times New Roman" w:hAnsi="Times New Roman"/>
                <w:spacing w:val="-5"/>
                <w:sz w:val="28"/>
              </w:rPr>
              <w:t>24</w:t>
            </w:r>
          </w:p>
        </w:tc>
        <w:tc>
          <w:tcPr>
            <w:tcW w:w="931" w:type="dxa"/>
            <w:vMerge w:val="continue"/>
            <w:tcBorders>
              <w:top w:val="nil"/>
            </w:tcBorders>
          </w:tcPr>
          <w:p w14:paraId="38B21EF6">
            <w:pPr>
              <w:rPr>
                <w:rFonts w:ascii="Times New Roman" w:hAnsi="Times New Roman"/>
                <w:sz w:val="2"/>
                <w:szCs w:val="2"/>
              </w:rPr>
            </w:pPr>
          </w:p>
        </w:tc>
        <w:tc>
          <w:tcPr>
            <w:tcW w:w="5697" w:type="dxa"/>
            <w:vAlign w:val="center"/>
          </w:tcPr>
          <w:p w14:paraId="7AACDFC9">
            <w:pPr>
              <w:pStyle w:val="16"/>
              <w:keepNext w:val="0"/>
              <w:keepLines w:val="0"/>
              <w:pageBreakBefore w:val="0"/>
              <w:widowControl w:val="0"/>
              <w:kinsoku/>
              <w:wordWrap/>
              <w:overflowPunct/>
              <w:topLinePunct w:val="0"/>
              <w:autoSpaceDE/>
              <w:autoSpaceDN/>
              <w:bidi w:val="0"/>
              <w:adjustRightInd/>
              <w:snapToGrid/>
              <w:spacing w:line="240" w:lineRule="atLeast"/>
              <w:ind w:left="0" w:right="0" w:firstLine="0" w:firstLineChars="0"/>
              <w:jc w:val="both"/>
              <w:textAlignment w:val="auto"/>
              <w:rPr>
                <w:rFonts w:ascii="Times New Roman" w:hAnsi="Times New Roman"/>
                <w:spacing w:val="-1"/>
                <w:sz w:val="28"/>
              </w:rPr>
            </w:pPr>
            <w:r>
              <w:rPr>
                <w:rFonts w:ascii="Times New Roman" w:hAnsi="Times New Roman"/>
                <w:spacing w:val="-1"/>
                <w:sz w:val="28"/>
              </w:rPr>
              <w:t>配合行政机关查处违法行为有立功表现的。</w:t>
            </w:r>
          </w:p>
        </w:tc>
        <w:tc>
          <w:tcPr>
            <w:tcW w:w="6482" w:type="dxa"/>
            <w:vAlign w:val="center"/>
          </w:tcPr>
          <w:p w14:paraId="49CF73B3">
            <w:pPr>
              <w:pStyle w:val="16"/>
              <w:keepNext w:val="0"/>
              <w:keepLines w:val="0"/>
              <w:pageBreakBefore w:val="0"/>
              <w:widowControl w:val="0"/>
              <w:kinsoku/>
              <w:wordWrap/>
              <w:overflowPunct/>
              <w:topLinePunct w:val="0"/>
              <w:autoSpaceDE/>
              <w:autoSpaceDN/>
              <w:bidi w:val="0"/>
              <w:adjustRightInd/>
              <w:snapToGrid/>
              <w:spacing w:line="240" w:lineRule="atLeast"/>
              <w:ind w:left="0"/>
              <w:jc w:val="both"/>
              <w:textAlignment w:val="auto"/>
              <w:rPr>
                <w:rFonts w:ascii="Times New Roman" w:hAnsi="Times New Roman"/>
                <w:spacing w:val="-3"/>
                <w:sz w:val="28"/>
              </w:rPr>
            </w:pPr>
            <w:r>
              <w:rPr>
                <w:rFonts w:ascii="Times New Roman" w:hAnsi="Times New Roman"/>
                <w:spacing w:val="-3"/>
                <w:sz w:val="28"/>
              </w:rPr>
              <w:t>《行政处罚法》第三十二条第四项</w:t>
            </w:r>
          </w:p>
        </w:tc>
        <w:tc>
          <w:tcPr>
            <w:tcW w:w="1120" w:type="dxa"/>
          </w:tcPr>
          <w:p w14:paraId="5E182A0A">
            <w:pPr>
              <w:pStyle w:val="16"/>
              <w:rPr>
                <w:rFonts w:ascii="Times New Roman" w:hAnsi="Times New Roman"/>
                <w:sz w:val="28"/>
              </w:rPr>
            </w:pPr>
          </w:p>
        </w:tc>
      </w:tr>
      <w:tr w14:paraId="270FB4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877" w:hRule="atLeast"/>
        </w:trPr>
        <w:tc>
          <w:tcPr>
            <w:tcW w:w="1555" w:type="dxa"/>
            <w:gridSpan w:val="2"/>
          </w:tcPr>
          <w:p w14:paraId="65EAAC89">
            <w:pPr>
              <w:pStyle w:val="16"/>
              <w:spacing w:before="292"/>
              <w:ind w:left="107"/>
              <w:rPr>
                <w:rFonts w:ascii="Times New Roman" w:hAnsi="Times New Roman"/>
                <w:sz w:val="28"/>
              </w:rPr>
            </w:pPr>
            <w:r>
              <w:rPr>
                <w:rFonts w:ascii="Times New Roman" w:hAnsi="Times New Roman"/>
                <w:spacing w:val="-3"/>
                <w:sz w:val="28"/>
              </w:rPr>
              <w:t>其他问题</w:t>
            </w:r>
          </w:p>
        </w:tc>
        <w:tc>
          <w:tcPr>
            <w:tcW w:w="13299" w:type="dxa"/>
            <w:gridSpan w:val="3"/>
          </w:tcPr>
          <w:p w14:paraId="7C116054">
            <w:pPr>
              <w:pStyle w:val="16"/>
              <w:rPr>
                <w:rFonts w:ascii="Times New Roman" w:hAnsi="Times New Roman"/>
                <w:sz w:val="28"/>
              </w:rPr>
            </w:pPr>
          </w:p>
        </w:tc>
      </w:tr>
      <w:tr w14:paraId="5EFC12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57" w:hRule="atLeast"/>
        </w:trPr>
        <w:tc>
          <w:tcPr>
            <w:tcW w:w="13734" w:type="dxa"/>
            <w:gridSpan w:val="4"/>
          </w:tcPr>
          <w:p w14:paraId="0BE718A6">
            <w:pPr>
              <w:pStyle w:val="16"/>
              <w:spacing w:before="217"/>
              <w:ind w:left="13"/>
              <w:jc w:val="center"/>
              <w:rPr>
                <w:rFonts w:ascii="Times New Roman" w:hAnsi="Times New Roman"/>
                <w:sz w:val="28"/>
              </w:rPr>
            </w:pPr>
            <w:r>
              <w:rPr>
                <w:rFonts w:ascii="Times New Roman" w:hAnsi="Times New Roman"/>
                <w:spacing w:val="-3"/>
                <w:sz w:val="28"/>
              </w:rPr>
              <w:t>共计分值</w:t>
            </w:r>
          </w:p>
        </w:tc>
        <w:tc>
          <w:tcPr>
            <w:tcW w:w="1120" w:type="dxa"/>
          </w:tcPr>
          <w:p w14:paraId="1DF9DC86">
            <w:pPr>
              <w:pStyle w:val="16"/>
              <w:rPr>
                <w:rFonts w:ascii="Times New Roman" w:hAnsi="Times New Roman"/>
                <w:sz w:val="28"/>
              </w:rPr>
            </w:pPr>
          </w:p>
        </w:tc>
      </w:tr>
    </w:tbl>
    <w:p w14:paraId="6FF9613B">
      <w:pPr>
        <w:pStyle w:val="16"/>
        <w:spacing w:after="0"/>
        <w:rPr>
          <w:rFonts w:ascii="Times New Roman" w:hAnsi="Times New Roman"/>
          <w:sz w:val="28"/>
        </w:rPr>
        <w:sectPr>
          <w:pgSz w:w="16840" w:h="11910" w:orient="landscape"/>
          <w:pgMar w:top="2098" w:right="1474" w:bottom="1984" w:left="1587" w:header="0" w:footer="1497" w:gutter="0"/>
          <w:cols w:space="720" w:num="1"/>
        </w:sectPr>
      </w:pPr>
    </w:p>
    <w:p w14:paraId="50448475">
      <w:pPr>
        <w:pStyle w:val="4"/>
        <w:spacing w:before="237"/>
        <w:rPr>
          <w:rFonts w:ascii="Times New Roman" w:hAnsi="Times New Roman"/>
          <w:sz w:val="20"/>
        </w:rPr>
      </w:pPr>
    </w:p>
    <w:tbl>
      <w:tblPr>
        <w:tblStyle w:val="11"/>
        <w:tblW w:w="0" w:type="auto"/>
        <w:tblInd w:w="6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24"/>
        <w:gridCol w:w="931"/>
        <w:gridCol w:w="5697"/>
        <w:gridCol w:w="6482"/>
        <w:gridCol w:w="1120"/>
      </w:tblGrid>
      <w:tr w14:paraId="043605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Ex>
        <w:trPr>
          <w:trHeight w:val="839" w:hRule="atLeast"/>
        </w:trPr>
        <w:tc>
          <w:tcPr>
            <w:tcW w:w="624" w:type="dxa"/>
          </w:tcPr>
          <w:p w14:paraId="1C6A6B39">
            <w:pPr>
              <w:pStyle w:val="16"/>
              <w:spacing w:before="125" w:line="201" w:lineRule="auto"/>
              <w:ind w:left="170" w:right="156"/>
              <w:rPr>
                <w:rFonts w:hint="eastAsia" w:ascii="Times New Roman" w:hAnsi="Times New Roman" w:eastAsia="黑体" w:cs="黑体"/>
                <w:sz w:val="28"/>
              </w:rPr>
            </w:pPr>
            <w:r>
              <w:rPr>
                <w:rFonts w:hint="eastAsia" w:ascii="Times New Roman" w:hAnsi="Times New Roman" w:eastAsia="黑体" w:cs="黑体"/>
                <w:spacing w:val="-10"/>
                <w:sz w:val="28"/>
              </w:rPr>
              <w:t>序号</w:t>
            </w:r>
          </w:p>
        </w:tc>
        <w:tc>
          <w:tcPr>
            <w:tcW w:w="931" w:type="dxa"/>
          </w:tcPr>
          <w:p w14:paraId="1F4DC2AB">
            <w:pPr>
              <w:pStyle w:val="16"/>
              <w:spacing w:before="125" w:line="201" w:lineRule="auto"/>
              <w:ind w:left="182" w:right="170"/>
              <w:rPr>
                <w:rFonts w:hint="eastAsia" w:ascii="Times New Roman" w:hAnsi="Times New Roman" w:eastAsia="黑体" w:cs="黑体"/>
                <w:sz w:val="28"/>
              </w:rPr>
            </w:pPr>
            <w:r>
              <w:rPr>
                <w:rFonts w:hint="eastAsia" w:ascii="Times New Roman" w:hAnsi="Times New Roman" w:eastAsia="黑体" w:cs="黑体"/>
                <w:spacing w:val="-6"/>
                <w:sz w:val="28"/>
              </w:rPr>
              <w:t>应记</w:t>
            </w:r>
            <w:r>
              <w:rPr>
                <w:rFonts w:hint="eastAsia" w:ascii="Times New Roman" w:hAnsi="Times New Roman" w:eastAsia="黑体" w:cs="黑体"/>
                <w:spacing w:val="-5"/>
                <w:sz w:val="28"/>
              </w:rPr>
              <w:t>分值</w:t>
            </w:r>
          </w:p>
        </w:tc>
        <w:tc>
          <w:tcPr>
            <w:tcW w:w="5697" w:type="dxa"/>
          </w:tcPr>
          <w:p w14:paraId="7B27E91A">
            <w:pPr>
              <w:pStyle w:val="16"/>
              <w:spacing w:before="229"/>
              <w:ind w:left="15"/>
              <w:jc w:val="center"/>
              <w:rPr>
                <w:rFonts w:hint="eastAsia" w:ascii="Times New Roman" w:hAnsi="Times New Roman" w:eastAsia="黑体" w:cs="黑体"/>
                <w:sz w:val="28"/>
              </w:rPr>
            </w:pPr>
            <w:r>
              <w:rPr>
                <w:rFonts w:hint="eastAsia" w:ascii="Times New Roman" w:hAnsi="Times New Roman" w:eastAsia="黑体" w:cs="黑体"/>
                <w:spacing w:val="-5"/>
                <w:sz w:val="28"/>
              </w:rPr>
              <w:t>行为</w:t>
            </w:r>
          </w:p>
        </w:tc>
        <w:tc>
          <w:tcPr>
            <w:tcW w:w="6482" w:type="dxa"/>
          </w:tcPr>
          <w:p w14:paraId="3F4DAA59">
            <w:pPr>
              <w:pStyle w:val="16"/>
              <w:spacing w:before="229"/>
              <w:ind w:left="14"/>
              <w:jc w:val="center"/>
              <w:rPr>
                <w:rFonts w:hint="eastAsia" w:ascii="Times New Roman" w:hAnsi="Times New Roman" w:eastAsia="黑体" w:cs="黑体"/>
                <w:sz w:val="28"/>
              </w:rPr>
            </w:pPr>
            <w:r>
              <w:rPr>
                <w:rFonts w:hint="eastAsia" w:ascii="Times New Roman" w:hAnsi="Times New Roman" w:eastAsia="黑体" w:cs="黑体"/>
                <w:spacing w:val="-3"/>
                <w:sz w:val="28"/>
              </w:rPr>
              <w:t>法律依据</w:t>
            </w:r>
          </w:p>
        </w:tc>
        <w:tc>
          <w:tcPr>
            <w:tcW w:w="1120" w:type="dxa"/>
          </w:tcPr>
          <w:p w14:paraId="2AAEA695">
            <w:pPr>
              <w:pStyle w:val="16"/>
              <w:spacing w:before="125" w:line="201" w:lineRule="auto"/>
              <w:ind w:left="281" w:right="259"/>
              <w:rPr>
                <w:rFonts w:hint="eastAsia" w:ascii="Times New Roman" w:hAnsi="Times New Roman" w:eastAsia="黑体" w:cs="黑体"/>
                <w:sz w:val="28"/>
              </w:rPr>
            </w:pPr>
            <w:r>
              <w:rPr>
                <w:rFonts w:hint="eastAsia" w:ascii="Times New Roman" w:hAnsi="Times New Roman" w:eastAsia="黑体" w:cs="黑体"/>
                <w:spacing w:val="-6"/>
                <w:sz w:val="28"/>
              </w:rPr>
              <w:t>实记</w:t>
            </w:r>
            <w:r>
              <w:rPr>
                <w:rFonts w:hint="eastAsia" w:ascii="Times New Roman" w:hAnsi="Times New Roman" w:eastAsia="黑体" w:cs="黑体"/>
                <w:spacing w:val="-5"/>
                <w:sz w:val="28"/>
              </w:rPr>
              <w:t>分值</w:t>
            </w:r>
          </w:p>
        </w:tc>
      </w:tr>
      <w:tr w14:paraId="7F0274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83" w:hRule="atLeast"/>
        </w:trPr>
        <w:tc>
          <w:tcPr>
            <w:tcW w:w="14854" w:type="dxa"/>
            <w:gridSpan w:val="5"/>
          </w:tcPr>
          <w:p w14:paraId="0E25EB15">
            <w:pPr>
              <w:pStyle w:val="16"/>
              <w:spacing w:before="38" w:line="430" w:lineRule="atLeast"/>
              <w:ind w:left="107" w:right="11647"/>
              <w:rPr>
                <w:rFonts w:ascii="Times New Roman" w:hAnsi="Times New Roman"/>
                <w:sz w:val="28"/>
              </w:rPr>
            </w:pPr>
            <w:r>
              <w:rPr>
                <w:rFonts w:ascii="Times New Roman" w:hAnsi="Times New Roman"/>
                <w:spacing w:val="-2"/>
                <w:sz w:val="28"/>
              </w:rPr>
              <w:t>被检查单位负责人签字：检查人员签字：</w:t>
            </w:r>
          </w:p>
        </w:tc>
      </w:tr>
    </w:tbl>
    <w:p w14:paraId="730707BD">
      <w:pPr>
        <w:keepNext w:val="0"/>
        <w:keepLines w:val="0"/>
        <w:pageBreakBefore w:val="0"/>
        <w:widowControl w:val="0"/>
        <w:kinsoku/>
        <w:wordWrap/>
        <w:overflowPunct/>
        <w:topLinePunct w:val="0"/>
        <w:autoSpaceDE/>
        <w:autoSpaceDN/>
        <w:bidi w:val="0"/>
        <w:adjustRightInd/>
        <w:snapToGrid/>
        <w:spacing w:before="22" w:line="576" w:lineRule="exact"/>
        <w:ind w:left="596" w:right="0" w:firstLine="0"/>
        <w:jc w:val="left"/>
        <w:textAlignment w:val="auto"/>
        <w:rPr>
          <w:rFonts w:hint="eastAsia" w:ascii="Times New Roman" w:hAnsi="Times New Roman" w:eastAsia="宋体" w:cs="宋体"/>
          <w:sz w:val="28"/>
        </w:rPr>
      </w:pPr>
      <w:r>
        <w:rPr>
          <w:rFonts w:hint="eastAsia" w:ascii="Times New Roman" w:hAnsi="Times New Roman" w:eastAsia="宋体" w:cs="宋体"/>
          <w:spacing w:val="-2"/>
          <w:sz w:val="28"/>
        </w:rPr>
        <w:t>备注：1</w:t>
      </w:r>
      <w:r>
        <w:rPr>
          <w:rFonts w:hint="eastAsia" w:ascii="Times New Roman" w:hAnsi="Times New Roman" w:eastAsia="宋体" w:cs="宋体"/>
          <w:spacing w:val="-3"/>
          <w:sz w:val="28"/>
        </w:rPr>
        <w:t>.本表一式两份，一份交被检查单位留存，一份检查人员存档。</w:t>
      </w:r>
    </w:p>
    <w:p w14:paraId="2DE47830">
      <w:pPr>
        <w:pStyle w:val="17"/>
        <w:keepNext w:val="0"/>
        <w:keepLines w:val="0"/>
        <w:pageBreakBefore w:val="0"/>
        <w:widowControl w:val="0"/>
        <w:numPr>
          <w:ilvl w:val="0"/>
          <w:numId w:val="0"/>
        </w:numPr>
        <w:tabs>
          <w:tab w:val="left" w:pos="1713"/>
          <w:tab w:val="left" w:pos="1715"/>
        </w:tabs>
        <w:kinsoku/>
        <w:wordWrap/>
        <w:overflowPunct/>
        <w:topLinePunct w:val="0"/>
        <w:autoSpaceDE/>
        <w:autoSpaceDN/>
        <w:bidi w:val="0"/>
        <w:adjustRightInd/>
        <w:snapToGrid/>
        <w:spacing w:before="21" w:after="0" w:line="576" w:lineRule="exact"/>
        <w:ind w:left="1434" w:leftChars="0" w:right="621" w:rightChars="0"/>
        <w:jc w:val="left"/>
        <w:textAlignment w:val="auto"/>
        <w:rPr>
          <w:rFonts w:hint="eastAsia" w:ascii="Times New Roman" w:hAnsi="Times New Roman" w:eastAsia="宋体" w:cs="宋体"/>
          <w:sz w:val="28"/>
        </w:rPr>
      </w:pPr>
      <w:r>
        <w:rPr>
          <w:rFonts w:hint="eastAsia" w:ascii="Times New Roman" w:hAnsi="Times New Roman" w:cs="宋体"/>
          <w:spacing w:val="-3"/>
          <w:sz w:val="28"/>
          <w:lang w:val="en-US" w:eastAsia="zh-CN"/>
        </w:rPr>
        <w:t>2.</w:t>
      </w:r>
      <w:r>
        <w:rPr>
          <w:rFonts w:hint="eastAsia" w:ascii="Times New Roman" w:hAnsi="Times New Roman" w:eastAsia="宋体" w:cs="宋体"/>
          <w:spacing w:val="-3"/>
          <w:sz w:val="28"/>
        </w:rPr>
        <w:t>重大事故隐患按照《省应急管理厅关于印发烟花爆竹生产经营单位重大生产安全事故隐患判定标准</w:t>
      </w:r>
      <w:r>
        <w:rPr>
          <w:rFonts w:hint="eastAsia" w:ascii="Times New Roman" w:hAnsi="Times New Roman" w:eastAsia="宋体" w:cs="宋体"/>
          <w:spacing w:val="-2"/>
          <w:sz w:val="28"/>
        </w:rPr>
        <w:t>（试行）参考指南的通知》判定。</w:t>
      </w:r>
    </w:p>
    <w:p w14:paraId="4B7CE28A">
      <w:pPr>
        <w:pStyle w:val="17"/>
        <w:keepNext w:val="0"/>
        <w:keepLines w:val="0"/>
        <w:pageBreakBefore w:val="0"/>
        <w:widowControl w:val="0"/>
        <w:numPr>
          <w:ilvl w:val="0"/>
          <w:numId w:val="0"/>
        </w:numPr>
        <w:tabs>
          <w:tab w:val="left" w:pos="1718"/>
        </w:tabs>
        <w:kinsoku/>
        <w:wordWrap/>
        <w:overflowPunct/>
        <w:topLinePunct w:val="0"/>
        <w:autoSpaceDE/>
        <w:autoSpaceDN/>
        <w:bidi w:val="0"/>
        <w:adjustRightInd/>
        <w:snapToGrid/>
        <w:spacing w:before="0" w:after="0" w:line="576" w:lineRule="exact"/>
        <w:ind w:left="1436" w:leftChars="0" w:right="0" w:rightChars="0"/>
        <w:jc w:val="left"/>
        <w:textAlignment w:val="auto"/>
        <w:rPr>
          <w:rFonts w:hint="eastAsia" w:ascii="Times New Roman" w:hAnsi="Times New Roman" w:eastAsia="宋体" w:cs="宋体"/>
          <w:sz w:val="28"/>
        </w:rPr>
      </w:pPr>
      <w:r>
        <w:rPr>
          <w:rFonts w:hint="eastAsia" w:ascii="Times New Roman" w:hAnsi="Times New Roman" w:cs="宋体"/>
          <w:spacing w:val="-34"/>
          <w:sz w:val="28"/>
          <w:lang w:val="en-US" w:eastAsia="zh-CN"/>
        </w:rPr>
        <w:t>3.</w:t>
      </w:r>
      <w:r>
        <w:rPr>
          <w:rFonts w:hint="eastAsia" w:ascii="Times New Roman" w:hAnsi="Times New Roman" w:eastAsia="宋体" w:cs="宋体"/>
          <w:spacing w:val="-34"/>
          <w:sz w:val="28"/>
        </w:rPr>
        <w:t>第</w:t>
      </w:r>
      <w:r>
        <w:rPr>
          <w:rFonts w:hint="eastAsia" w:ascii="Times New Roman" w:hAnsi="Times New Roman" w:cs="宋体"/>
          <w:spacing w:val="-34"/>
          <w:sz w:val="28"/>
          <w:lang w:val="en-US" w:eastAsia="zh-CN"/>
        </w:rPr>
        <w:t>1</w:t>
      </w:r>
      <w:r>
        <w:rPr>
          <w:rFonts w:hint="eastAsia" w:ascii="Times New Roman" w:hAnsi="Times New Roman" w:eastAsia="宋体" w:cs="宋体"/>
          <w:spacing w:val="-12"/>
          <w:sz w:val="28"/>
        </w:rPr>
        <w:t>项中仅满足存在重大事故隐患一个条件或者在检查中发现重大事故隐患，按照第</w:t>
      </w:r>
      <w:r>
        <w:rPr>
          <w:rFonts w:hint="eastAsia" w:ascii="Times New Roman" w:hAnsi="Times New Roman" w:eastAsia="宋体" w:cs="宋体"/>
          <w:spacing w:val="-2"/>
          <w:sz w:val="28"/>
        </w:rPr>
        <w:t>8</w:t>
      </w:r>
      <w:r>
        <w:rPr>
          <w:rFonts w:hint="eastAsia" w:ascii="Times New Roman" w:hAnsi="Times New Roman" w:eastAsia="宋体" w:cs="宋体"/>
          <w:spacing w:val="-16"/>
          <w:sz w:val="28"/>
        </w:rPr>
        <w:t>项执行。</w:t>
      </w:r>
    </w:p>
    <w:p w14:paraId="130E63DA">
      <w:pPr>
        <w:pStyle w:val="17"/>
        <w:keepNext w:val="0"/>
        <w:keepLines w:val="0"/>
        <w:pageBreakBefore w:val="0"/>
        <w:widowControl w:val="0"/>
        <w:numPr>
          <w:ilvl w:val="0"/>
          <w:numId w:val="0"/>
        </w:numPr>
        <w:tabs>
          <w:tab w:val="left" w:pos="1718"/>
        </w:tabs>
        <w:kinsoku/>
        <w:wordWrap/>
        <w:overflowPunct/>
        <w:topLinePunct w:val="0"/>
        <w:autoSpaceDE/>
        <w:autoSpaceDN/>
        <w:bidi w:val="0"/>
        <w:adjustRightInd/>
        <w:snapToGrid/>
        <w:spacing w:before="20" w:after="0" w:line="576" w:lineRule="exact"/>
        <w:ind w:left="1436" w:leftChars="0" w:right="0" w:rightChars="0"/>
        <w:jc w:val="left"/>
        <w:textAlignment w:val="auto"/>
        <w:rPr>
          <w:rFonts w:ascii="Times New Roman" w:hAnsi="Times New Roman"/>
          <w:sz w:val="28"/>
        </w:rPr>
      </w:pPr>
      <w:r>
        <w:rPr>
          <w:rFonts w:hint="eastAsia" w:ascii="Times New Roman" w:hAnsi="Times New Roman" w:cs="宋体"/>
          <w:spacing w:val="-31"/>
          <w:sz w:val="28"/>
          <w:lang w:val="en-US" w:eastAsia="zh-CN"/>
        </w:rPr>
        <w:t>4.</w:t>
      </w:r>
      <w:r>
        <w:rPr>
          <w:rFonts w:hint="eastAsia" w:ascii="Times New Roman" w:hAnsi="Times New Roman" w:eastAsia="宋体" w:cs="宋体"/>
          <w:spacing w:val="-31"/>
          <w:sz w:val="28"/>
        </w:rPr>
        <w:t>第</w:t>
      </w:r>
      <w:r>
        <w:rPr>
          <w:rFonts w:hint="eastAsia" w:ascii="Times New Roman" w:hAnsi="Times New Roman" w:cs="宋体"/>
          <w:spacing w:val="-31"/>
          <w:sz w:val="28"/>
          <w:lang w:val="en-US" w:eastAsia="zh-CN"/>
        </w:rPr>
        <w:t>11</w:t>
      </w:r>
      <w:r>
        <w:rPr>
          <w:rFonts w:hint="eastAsia" w:ascii="Times New Roman" w:hAnsi="Times New Roman" w:eastAsia="宋体" w:cs="宋体"/>
          <w:spacing w:val="-13"/>
          <w:sz w:val="28"/>
        </w:rPr>
        <w:t>项中储存数量按照《烟花爆竹零售店安全技术规范</w:t>
      </w:r>
      <w:r>
        <w:rPr>
          <w:rFonts w:hint="eastAsia" w:ascii="Times New Roman" w:hAnsi="Times New Roman" w:eastAsia="宋体" w:cs="宋体"/>
          <w:spacing w:val="-6"/>
          <w:sz w:val="28"/>
        </w:rPr>
        <w:t>（AQ4128-</w:t>
      </w:r>
      <w:r>
        <w:rPr>
          <w:rFonts w:hint="eastAsia" w:ascii="Times New Roman" w:hAnsi="Times New Roman" w:eastAsia="宋体" w:cs="宋体"/>
          <w:spacing w:val="21"/>
          <w:sz w:val="28"/>
        </w:rPr>
        <w:t>2</w:t>
      </w:r>
      <w:r>
        <w:rPr>
          <w:rFonts w:hint="eastAsia" w:ascii="Times New Roman" w:hAnsi="Times New Roman" w:eastAsia="宋体" w:cs="宋体"/>
          <w:spacing w:val="24"/>
          <w:sz w:val="28"/>
        </w:rPr>
        <w:t>0</w:t>
      </w:r>
      <w:r>
        <w:rPr>
          <w:rFonts w:hint="eastAsia" w:ascii="Times New Roman" w:hAnsi="Times New Roman" w:eastAsia="宋体" w:cs="宋体"/>
          <w:spacing w:val="21"/>
          <w:sz w:val="28"/>
        </w:rPr>
        <w:t>19</w:t>
      </w:r>
      <w:r>
        <w:rPr>
          <w:rFonts w:hint="eastAsia" w:ascii="Times New Roman" w:hAnsi="Times New Roman" w:eastAsia="宋体" w:cs="宋体"/>
          <w:spacing w:val="-119"/>
          <w:sz w:val="28"/>
        </w:rPr>
        <w:t>）</w:t>
      </w:r>
      <w:r>
        <w:rPr>
          <w:rFonts w:hint="eastAsia" w:ascii="Times New Roman" w:hAnsi="Times New Roman" w:eastAsia="宋体" w:cs="宋体"/>
          <w:spacing w:val="-22"/>
          <w:sz w:val="28"/>
        </w:rPr>
        <w:t xml:space="preserve">》表 </w:t>
      </w:r>
      <w:r>
        <w:rPr>
          <w:rFonts w:hint="eastAsia" w:ascii="Times New Roman" w:hAnsi="Times New Roman" w:eastAsia="宋体" w:cs="宋体"/>
          <w:spacing w:val="-6"/>
          <w:sz w:val="28"/>
        </w:rPr>
        <w:t>2</w:t>
      </w:r>
      <w:r>
        <w:rPr>
          <w:rFonts w:hint="eastAsia" w:ascii="Times New Roman" w:hAnsi="Times New Roman" w:eastAsia="宋体" w:cs="宋体"/>
          <w:spacing w:val="-19"/>
          <w:sz w:val="28"/>
        </w:rPr>
        <w:t>计算。</w:t>
      </w:r>
    </w:p>
    <w:p w14:paraId="07D5480A">
      <w:pPr>
        <w:pStyle w:val="17"/>
        <w:spacing w:after="0" w:line="240" w:lineRule="auto"/>
        <w:jc w:val="left"/>
        <w:rPr>
          <w:rFonts w:ascii="Times New Roman" w:hAnsi="Times New Roman"/>
          <w:sz w:val="28"/>
        </w:rPr>
        <w:sectPr>
          <w:pgSz w:w="16840" w:h="11910" w:orient="landscape"/>
          <w:pgMar w:top="2098" w:right="1474" w:bottom="1984" w:left="1587" w:header="0" w:footer="1497" w:gutter="0"/>
          <w:cols w:space="720" w:num="1"/>
        </w:sectPr>
      </w:pPr>
    </w:p>
    <w:p w14:paraId="5A04DDB4">
      <w:pPr>
        <w:keepNext w:val="0"/>
        <w:keepLines w:val="0"/>
        <w:pageBreakBefore w:val="0"/>
        <w:widowControl w:val="0"/>
        <w:numPr>
          <w:ilvl w:val="0"/>
          <w:numId w:val="0"/>
        </w:numPr>
        <w:suppressLineNumbers w:val="0"/>
        <w:kinsoku/>
        <w:wordWrap/>
        <w:overflowPunct/>
        <w:topLinePunct w:val="0"/>
        <w:autoSpaceDE/>
        <w:autoSpaceDN/>
        <w:bidi w:val="0"/>
        <w:adjustRightInd/>
        <w:snapToGrid/>
        <w:jc w:val="both"/>
        <w:textAlignment w:val="auto"/>
        <w:rPr>
          <w:rFonts w:hint="eastAsia" w:ascii="Times New Roman" w:hAnsi="Times New Roman" w:eastAsia="黑体" w:cs="黑体"/>
          <w:b w:val="0"/>
          <w:bCs w:val="0"/>
          <w:color w:val="000000"/>
          <w:kern w:val="0"/>
          <w:sz w:val="32"/>
          <w:szCs w:val="32"/>
          <w:lang w:val="en-US" w:eastAsia="zh-CN" w:bidi="ar"/>
        </w:rPr>
      </w:pPr>
      <w:r>
        <w:rPr>
          <w:rFonts w:hint="eastAsia" w:ascii="Times New Roman" w:hAnsi="Times New Roman" w:eastAsia="黑体" w:cs="黑体"/>
          <w:b w:val="0"/>
          <w:bCs w:val="0"/>
          <w:color w:val="000000"/>
          <w:kern w:val="0"/>
          <w:sz w:val="32"/>
          <w:szCs w:val="32"/>
          <w:lang w:val="en-US" w:eastAsia="zh-CN" w:bidi="ar"/>
        </w:rPr>
        <w:t>附件2</w:t>
      </w:r>
    </w:p>
    <w:p w14:paraId="4362C201">
      <w:pPr>
        <w:keepNext w:val="0"/>
        <w:keepLines w:val="0"/>
        <w:pageBreakBefore w:val="0"/>
        <w:widowControl w:val="0"/>
        <w:numPr>
          <w:ilvl w:val="0"/>
          <w:numId w:val="0"/>
        </w:numPr>
        <w:suppressLineNumbers w:val="0"/>
        <w:kinsoku/>
        <w:wordWrap/>
        <w:overflowPunct/>
        <w:topLinePunct w:val="0"/>
        <w:autoSpaceDE/>
        <w:autoSpaceDN/>
        <w:bidi w:val="0"/>
        <w:adjustRightInd/>
        <w:snapToGrid/>
        <w:jc w:val="center"/>
        <w:textAlignment w:val="auto"/>
        <w:rPr>
          <w:rFonts w:hint="eastAsia" w:ascii="Times New Roman" w:hAnsi="Times New Roman" w:eastAsia="方正小标宋简体" w:cs="方正小标宋简体"/>
          <w:b w:val="0"/>
          <w:bCs w:val="0"/>
          <w:color w:val="000000"/>
          <w:kern w:val="0"/>
          <w:sz w:val="44"/>
          <w:szCs w:val="44"/>
          <w:lang w:val="en-US" w:eastAsia="zh-CN" w:bidi="ar"/>
        </w:rPr>
      </w:pPr>
      <w:r>
        <w:rPr>
          <w:rFonts w:hint="eastAsia" w:ascii="Times New Roman" w:hAnsi="Times New Roman" w:eastAsia="方正小标宋简体" w:cs="方正小标宋简体"/>
          <w:b w:val="0"/>
          <w:bCs w:val="0"/>
          <w:color w:val="000000"/>
          <w:kern w:val="0"/>
          <w:sz w:val="44"/>
          <w:szCs w:val="44"/>
          <w:lang w:val="en-US" w:eastAsia="zh-CN" w:bidi="ar"/>
        </w:rPr>
        <w:t>昭化区烟花爆竹零售经营店安全诚信经营记分表</w:t>
      </w:r>
    </w:p>
    <w:tbl>
      <w:tblPr>
        <w:tblStyle w:val="12"/>
        <w:tblW w:w="128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58"/>
        <w:gridCol w:w="4443"/>
        <w:gridCol w:w="2517"/>
        <w:gridCol w:w="3773"/>
      </w:tblGrid>
      <w:tr w14:paraId="0546C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158" w:type="dxa"/>
            <w:noWrap w:val="0"/>
            <w:vAlign w:val="center"/>
          </w:tcPr>
          <w:p w14:paraId="28F1BDFD">
            <w:pPr>
              <w:pStyle w:val="15"/>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楷体_GB2312" w:cs="楷体_GB2312"/>
                <w:color w:val="000000"/>
                <w:kern w:val="1"/>
                <w:sz w:val="24"/>
                <w:szCs w:val="24"/>
                <w:vertAlign w:val="baseline"/>
                <w:lang w:eastAsia="zh-CN"/>
              </w:rPr>
            </w:pPr>
            <w:r>
              <w:rPr>
                <w:rFonts w:hint="eastAsia" w:ascii="Times New Roman" w:hAnsi="Times New Roman" w:eastAsia="楷体_GB2312" w:cs="楷体_GB2312"/>
                <w:color w:val="000000"/>
                <w:kern w:val="1"/>
                <w:sz w:val="24"/>
                <w:szCs w:val="24"/>
                <w:vertAlign w:val="baseline"/>
                <w:lang w:eastAsia="zh-CN"/>
              </w:rPr>
              <w:t>零售店名称</w:t>
            </w:r>
          </w:p>
        </w:tc>
        <w:tc>
          <w:tcPr>
            <w:tcW w:w="10733" w:type="dxa"/>
            <w:gridSpan w:val="3"/>
            <w:noWrap w:val="0"/>
            <w:vAlign w:val="center"/>
          </w:tcPr>
          <w:p w14:paraId="40AF1EDC">
            <w:pPr>
              <w:pStyle w:val="15"/>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黑体" w:cs="黑体"/>
                <w:color w:val="000000"/>
                <w:kern w:val="1"/>
                <w:sz w:val="24"/>
                <w:szCs w:val="24"/>
                <w:vertAlign w:val="baseline"/>
              </w:rPr>
            </w:pPr>
          </w:p>
        </w:tc>
      </w:tr>
      <w:tr w14:paraId="34B08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158" w:type="dxa"/>
            <w:noWrap w:val="0"/>
            <w:vAlign w:val="center"/>
          </w:tcPr>
          <w:p w14:paraId="2A354F77">
            <w:pPr>
              <w:pStyle w:val="15"/>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楷体_GB2312" w:cs="楷体_GB2312"/>
                <w:color w:val="000000"/>
                <w:kern w:val="1"/>
                <w:sz w:val="24"/>
                <w:szCs w:val="24"/>
                <w:vertAlign w:val="baseline"/>
                <w:lang w:eastAsia="zh-CN"/>
              </w:rPr>
            </w:pPr>
            <w:r>
              <w:rPr>
                <w:rFonts w:hint="eastAsia" w:ascii="Times New Roman" w:hAnsi="Times New Roman" w:eastAsia="楷体_GB2312" w:cs="楷体_GB2312"/>
                <w:color w:val="000000"/>
                <w:kern w:val="1"/>
                <w:sz w:val="24"/>
                <w:szCs w:val="24"/>
                <w:vertAlign w:val="baseline"/>
                <w:lang w:eastAsia="zh-CN"/>
              </w:rPr>
              <w:t>检查部门（乡镇）</w:t>
            </w:r>
          </w:p>
        </w:tc>
        <w:tc>
          <w:tcPr>
            <w:tcW w:w="4443" w:type="dxa"/>
            <w:noWrap w:val="0"/>
            <w:vAlign w:val="center"/>
          </w:tcPr>
          <w:p w14:paraId="57ED7B4A">
            <w:pPr>
              <w:pStyle w:val="15"/>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楷体_GB2312" w:cs="楷体_GB2312"/>
                <w:color w:val="000000"/>
                <w:kern w:val="1"/>
                <w:sz w:val="24"/>
                <w:szCs w:val="24"/>
                <w:vertAlign w:val="baseline"/>
              </w:rPr>
            </w:pPr>
          </w:p>
        </w:tc>
        <w:tc>
          <w:tcPr>
            <w:tcW w:w="2517" w:type="dxa"/>
            <w:noWrap w:val="0"/>
            <w:vAlign w:val="center"/>
          </w:tcPr>
          <w:p w14:paraId="25AE4000">
            <w:pPr>
              <w:pStyle w:val="15"/>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楷体_GB2312" w:cs="楷体_GB2312"/>
                <w:color w:val="000000"/>
                <w:kern w:val="1"/>
                <w:sz w:val="24"/>
                <w:szCs w:val="24"/>
                <w:vertAlign w:val="baseline"/>
                <w:lang w:eastAsia="zh-CN"/>
              </w:rPr>
            </w:pPr>
            <w:r>
              <w:rPr>
                <w:rFonts w:hint="eastAsia" w:ascii="Times New Roman" w:hAnsi="Times New Roman" w:eastAsia="楷体_GB2312" w:cs="楷体_GB2312"/>
                <w:color w:val="000000"/>
                <w:kern w:val="1"/>
                <w:sz w:val="24"/>
                <w:szCs w:val="24"/>
                <w:vertAlign w:val="baseline"/>
                <w:lang w:eastAsia="zh-CN"/>
              </w:rPr>
              <w:t>检查时间</w:t>
            </w:r>
          </w:p>
        </w:tc>
        <w:tc>
          <w:tcPr>
            <w:tcW w:w="3773" w:type="dxa"/>
            <w:noWrap w:val="0"/>
            <w:vAlign w:val="center"/>
          </w:tcPr>
          <w:p w14:paraId="33F0CA5F">
            <w:pPr>
              <w:pStyle w:val="15"/>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黑体" w:cs="黑体"/>
                <w:color w:val="000000"/>
                <w:kern w:val="1"/>
                <w:sz w:val="24"/>
                <w:szCs w:val="24"/>
                <w:vertAlign w:val="baseline"/>
              </w:rPr>
            </w:pPr>
          </w:p>
        </w:tc>
      </w:tr>
      <w:tr w14:paraId="655246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158" w:type="dxa"/>
            <w:noWrap w:val="0"/>
            <w:vAlign w:val="center"/>
          </w:tcPr>
          <w:p w14:paraId="5BCB3593">
            <w:pPr>
              <w:pStyle w:val="15"/>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楷体_GB2312" w:cs="楷体_GB2312"/>
                <w:color w:val="000000"/>
                <w:kern w:val="1"/>
                <w:sz w:val="24"/>
                <w:szCs w:val="24"/>
                <w:vertAlign w:val="baseline"/>
                <w:lang w:eastAsia="zh-CN"/>
              </w:rPr>
            </w:pPr>
            <w:r>
              <w:rPr>
                <w:rFonts w:hint="eastAsia" w:ascii="Times New Roman" w:hAnsi="Times New Roman" w:eastAsia="楷体_GB2312" w:cs="楷体_GB2312"/>
                <w:color w:val="000000"/>
                <w:kern w:val="1"/>
                <w:sz w:val="24"/>
                <w:szCs w:val="24"/>
                <w:vertAlign w:val="baseline"/>
                <w:lang w:eastAsia="zh-CN"/>
              </w:rPr>
              <w:t>违法违规行为</w:t>
            </w:r>
          </w:p>
        </w:tc>
        <w:tc>
          <w:tcPr>
            <w:tcW w:w="10733" w:type="dxa"/>
            <w:gridSpan w:val="3"/>
            <w:noWrap w:val="0"/>
            <w:vAlign w:val="center"/>
          </w:tcPr>
          <w:p w14:paraId="2E9A0C7A">
            <w:pPr>
              <w:pStyle w:val="15"/>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黑体" w:cs="黑体"/>
                <w:color w:val="000000"/>
                <w:kern w:val="1"/>
                <w:sz w:val="24"/>
                <w:szCs w:val="24"/>
                <w:vertAlign w:val="baseline"/>
              </w:rPr>
            </w:pPr>
          </w:p>
        </w:tc>
      </w:tr>
      <w:tr w14:paraId="149969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158" w:type="dxa"/>
            <w:noWrap w:val="0"/>
            <w:vAlign w:val="center"/>
          </w:tcPr>
          <w:p w14:paraId="1F820C8C">
            <w:pPr>
              <w:pStyle w:val="15"/>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楷体_GB2312" w:cs="楷体_GB2312"/>
                <w:color w:val="000000"/>
                <w:kern w:val="1"/>
                <w:sz w:val="24"/>
                <w:szCs w:val="24"/>
                <w:vertAlign w:val="baseline"/>
                <w:lang w:eastAsia="zh-CN"/>
              </w:rPr>
            </w:pPr>
            <w:r>
              <w:rPr>
                <w:rFonts w:hint="eastAsia" w:ascii="Times New Roman" w:hAnsi="Times New Roman" w:eastAsia="楷体_GB2312" w:cs="楷体_GB2312"/>
                <w:color w:val="000000"/>
                <w:kern w:val="1"/>
                <w:sz w:val="24"/>
                <w:szCs w:val="24"/>
                <w:vertAlign w:val="baseline"/>
                <w:lang w:eastAsia="zh-CN"/>
              </w:rPr>
              <w:t>记分分值</w:t>
            </w:r>
          </w:p>
        </w:tc>
        <w:tc>
          <w:tcPr>
            <w:tcW w:w="10733" w:type="dxa"/>
            <w:gridSpan w:val="3"/>
            <w:noWrap w:val="0"/>
            <w:vAlign w:val="center"/>
          </w:tcPr>
          <w:p w14:paraId="3071D1F5">
            <w:pPr>
              <w:pStyle w:val="15"/>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黑体" w:cs="黑体"/>
                <w:color w:val="000000"/>
                <w:kern w:val="1"/>
                <w:sz w:val="24"/>
                <w:szCs w:val="24"/>
                <w:vertAlign w:val="baseline"/>
              </w:rPr>
            </w:pPr>
          </w:p>
        </w:tc>
      </w:tr>
      <w:tr w14:paraId="002A1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4" w:hRule="atLeast"/>
          <w:jc w:val="center"/>
        </w:trPr>
        <w:tc>
          <w:tcPr>
            <w:tcW w:w="2158" w:type="dxa"/>
            <w:noWrap w:val="0"/>
            <w:vAlign w:val="center"/>
          </w:tcPr>
          <w:p w14:paraId="2DFAF3A9">
            <w:pPr>
              <w:pStyle w:val="15"/>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楷体_GB2312" w:cs="楷体_GB2312"/>
                <w:color w:val="000000"/>
                <w:kern w:val="1"/>
                <w:sz w:val="24"/>
                <w:szCs w:val="24"/>
                <w:vertAlign w:val="baseline"/>
                <w:lang w:eastAsia="zh-CN"/>
              </w:rPr>
            </w:pPr>
            <w:r>
              <w:rPr>
                <w:rFonts w:hint="eastAsia" w:ascii="Times New Roman" w:hAnsi="Times New Roman" w:eastAsia="楷体_GB2312" w:cs="楷体_GB2312"/>
                <w:color w:val="000000"/>
                <w:kern w:val="1"/>
                <w:sz w:val="24"/>
                <w:szCs w:val="24"/>
                <w:vertAlign w:val="baseline"/>
                <w:lang w:eastAsia="zh-CN"/>
              </w:rPr>
              <w:t>检查处理情况</w:t>
            </w:r>
          </w:p>
          <w:p w14:paraId="7AF9DCA2">
            <w:pPr>
              <w:pStyle w:val="15"/>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楷体_GB2312" w:cs="楷体_GB2312"/>
                <w:color w:val="000000"/>
                <w:kern w:val="1"/>
                <w:sz w:val="24"/>
                <w:szCs w:val="24"/>
                <w:vertAlign w:val="baseline"/>
                <w:lang w:val="en-US" w:eastAsia="zh-CN"/>
              </w:rPr>
            </w:pPr>
            <w:r>
              <w:rPr>
                <w:rFonts w:hint="eastAsia" w:ascii="Times New Roman" w:hAnsi="Times New Roman" w:eastAsia="楷体_GB2312" w:cs="楷体_GB2312"/>
                <w:color w:val="000000"/>
                <w:kern w:val="1"/>
                <w:sz w:val="24"/>
                <w:szCs w:val="24"/>
                <w:vertAlign w:val="baseline"/>
                <w:lang w:val="en-US" w:eastAsia="zh-CN"/>
              </w:rPr>
              <w:t>(附佐证资料）</w:t>
            </w:r>
          </w:p>
        </w:tc>
        <w:tc>
          <w:tcPr>
            <w:tcW w:w="10733" w:type="dxa"/>
            <w:gridSpan w:val="3"/>
            <w:noWrap w:val="0"/>
            <w:vAlign w:val="center"/>
          </w:tcPr>
          <w:p w14:paraId="6FB0A7B1">
            <w:pPr>
              <w:pStyle w:val="15"/>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黑体" w:cs="黑体"/>
                <w:color w:val="000000"/>
                <w:kern w:val="1"/>
                <w:sz w:val="24"/>
                <w:szCs w:val="24"/>
                <w:vertAlign w:val="baseline"/>
              </w:rPr>
            </w:pPr>
          </w:p>
        </w:tc>
      </w:tr>
      <w:tr w14:paraId="330D6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158" w:type="dxa"/>
            <w:noWrap w:val="0"/>
            <w:vAlign w:val="center"/>
          </w:tcPr>
          <w:p w14:paraId="386FD841">
            <w:pPr>
              <w:pStyle w:val="15"/>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楷体_GB2312" w:cs="楷体_GB2312"/>
                <w:color w:val="000000"/>
                <w:kern w:val="1"/>
                <w:sz w:val="24"/>
                <w:szCs w:val="24"/>
                <w:vertAlign w:val="baseline"/>
                <w:lang w:eastAsia="zh-CN"/>
              </w:rPr>
            </w:pPr>
            <w:r>
              <w:rPr>
                <w:rFonts w:hint="eastAsia" w:ascii="Times New Roman" w:hAnsi="Times New Roman" w:eastAsia="楷体_GB2312" w:cs="楷体_GB2312"/>
                <w:color w:val="000000"/>
                <w:kern w:val="1"/>
                <w:sz w:val="24"/>
                <w:szCs w:val="24"/>
                <w:vertAlign w:val="baseline"/>
                <w:lang w:eastAsia="zh-CN"/>
              </w:rPr>
              <w:t>零售店负责人签字（手印）</w:t>
            </w:r>
          </w:p>
        </w:tc>
        <w:tc>
          <w:tcPr>
            <w:tcW w:w="4443" w:type="dxa"/>
            <w:noWrap w:val="0"/>
            <w:vAlign w:val="center"/>
          </w:tcPr>
          <w:p w14:paraId="260F2DA2">
            <w:pPr>
              <w:pStyle w:val="15"/>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楷体_GB2312" w:cs="楷体_GB2312"/>
                <w:color w:val="000000"/>
                <w:kern w:val="1"/>
                <w:sz w:val="24"/>
                <w:szCs w:val="24"/>
                <w:vertAlign w:val="baseline"/>
              </w:rPr>
            </w:pPr>
          </w:p>
        </w:tc>
        <w:tc>
          <w:tcPr>
            <w:tcW w:w="2517" w:type="dxa"/>
            <w:noWrap w:val="0"/>
            <w:vAlign w:val="center"/>
          </w:tcPr>
          <w:p w14:paraId="2FC37981">
            <w:pPr>
              <w:pStyle w:val="15"/>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楷体_GB2312" w:cs="楷体_GB2312"/>
                <w:color w:val="000000"/>
                <w:kern w:val="1"/>
                <w:sz w:val="24"/>
                <w:szCs w:val="24"/>
                <w:vertAlign w:val="baseline"/>
                <w:lang w:eastAsia="zh-CN"/>
              </w:rPr>
            </w:pPr>
            <w:r>
              <w:rPr>
                <w:rFonts w:hint="eastAsia" w:ascii="Times New Roman" w:hAnsi="Times New Roman" w:eastAsia="楷体_GB2312" w:cs="楷体_GB2312"/>
                <w:color w:val="000000"/>
                <w:kern w:val="1"/>
                <w:sz w:val="24"/>
                <w:szCs w:val="24"/>
                <w:vertAlign w:val="baseline"/>
                <w:lang w:eastAsia="zh-CN"/>
              </w:rPr>
              <w:t>检查人员（签字）</w:t>
            </w:r>
          </w:p>
        </w:tc>
        <w:tc>
          <w:tcPr>
            <w:tcW w:w="3773" w:type="dxa"/>
            <w:noWrap w:val="0"/>
            <w:vAlign w:val="center"/>
          </w:tcPr>
          <w:p w14:paraId="327508DD">
            <w:pPr>
              <w:pStyle w:val="15"/>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黑体" w:cs="黑体"/>
                <w:color w:val="000000"/>
                <w:kern w:val="1"/>
                <w:sz w:val="24"/>
                <w:szCs w:val="24"/>
                <w:vertAlign w:val="baseline"/>
              </w:rPr>
            </w:pPr>
          </w:p>
        </w:tc>
      </w:tr>
      <w:tr w14:paraId="01DDDB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2158" w:type="dxa"/>
            <w:noWrap w:val="0"/>
            <w:vAlign w:val="center"/>
          </w:tcPr>
          <w:p w14:paraId="2C1FD0FD">
            <w:pPr>
              <w:pStyle w:val="15"/>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楷体_GB2312" w:cs="楷体_GB2312"/>
                <w:color w:val="000000"/>
                <w:kern w:val="1"/>
                <w:sz w:val="24"/>
                <w:szCs w:val="24"/>
                <w:vertAlign w:val="baseline"/>
                <w:lang w:eastAsia="zh-CN"/>
              </w:rPr>
            </w:pPr>
            <w:r>
              <w:rPr>
                <w:rFonts w:hint="eastAsia" w:ascii="Times New Roman" w:hAnsi="Times New Roman" w:eastAsia="楷体_GB2312" w:cs="楷体_GB2312"/>
                <w:color w:val="000000"/>
                <w:kern w:val="1"/>
                <w:sz w:val="24"/>
                <w:szCs w:val="24"/>
                <w:vertAlign w:val="baseline"/>
                <w:lang w:eastAsia="zh-CN"/>
              </w:rPr>
              <w:t>核查情况</w:t>
            </w:r>
          </w:p>
        </w:tc>
        <w:tc>
          <w:tcPr>
            <w:tcW w:w="10733" w:type="dxa"/>
            <w:gridSpan w:val="3"/>
            <w:noWrap w:val="0"/>
            <w:vAlign w:val="center"/>
          </w:tcPr>
          <w:p w14:paraId="486FAFBD">
            <w:pPr>
              <w:pStyle w:val="15"/>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黑体" w:cs="黑体"/>
                <w:color w:val="000000"/>
                <w:kern w:val="1"/>
                <w:sz w:val="24"/>
                <w:szCs w:val="24"/>
                <w:vertAlign w:val="baseline"/>
              </w:rPr>
            </w:pPr>
          </w:p>
        </w:tc>
      </w:tr>
    </w:tbl>
    <w:p w14:paraId="68254865">
      <w:pPr>
        <w:keepNext w:val="0"/>
        <w:keepLines w:val="0"/>
        <w:pageBreakBefore w:val="0"/>
        <w:widowControl w:val="0"/>
        <w:kinsoku/>
        <w:wordWrap/>
        <w:overflowPunct/>
        <w:topLinePunct w:val="0"/>
        <w:autoSpaceDE/>
        <w:autoSpaceDN/>
        <w:bidi w:val="0"/>
        <w:adjustRightInd/>
        <w:snapToGrid/>
        <w:ind w:left="0" w:leftChars="0" w:firstLine="0" w:firstLineChars="0"/>
        <w:textAlignment w:val="auto"/>
        <w:rPr>
          <w:rFonts w:ascii="Times New Roman" w:hAnsi="Times New Roman"/>
        </w:rPr>
        <w:sectPr>
          <w:pgSz w:w="16838" w:h="11906" w:orient="landscape"/>
          <w:pgMar w:top="1587" w:right="2098" w:bottom="1474" w:left="1984" w:header="851" w:footer="1417" w:gutter="0"/>
          <w:pgNumType w:fmt="decimal"/>
          <w:cols w:space="720" w:num="1"/>
          <w:docGrid w:type="lines" w:linePitch="312" w:charSpace="0"/>
        </w:sectPr>
      </w:pPr>
    </w:p>
    <w:p w14:paraId="66F25CA0">
      <w:pPr>
        <w:pStyle w:val="6"/>
        <w:ind w:left="0" w:leftChars="0" w:firstLine="0" w:firstLineChars="0"/>
        <w:rPr>
          <w:rFonts w:hint="eastAsia" w:ascii="Times New Roman" w:hAnsi="Times New Roman" w:eastAsia="黑体" w:cs="黑体"/>
          <w:sz w:val="32"/>
          <w:szCs w:val="32"/>
          <w:highlight w:val="none"/>
          <w:lang w:val="en-US" w:eastAsia="zh-CN"/>
        </w:rPr>
      </w:pPr>
      <w:r>
        <w:rPr>
          <w:rFonts w:hint="eastAsia" w:ascii="Times New Roman" w:hAnsi="Times New Roman" w:eastAsia="黑体" w:cs="黑体"/>
          <w:sz w:val="32"/>
          <w:szCs w:val="32"/>
          <w:highlight w:val="none"/>
          <w:lang w:eastAsia="zh-CN"/>
        </w:rPr>
        <w:t>附件</w:t>
      </w:r>
      <w:r>
        <w:rPr>
          <w:rFonts w:hint="eastAsia" w:ascii="Times New Roman" w:hAnsi="Times New Roman" w:eastAsia="黑体" w:cs="黑体"/>
          <w:sz w:val="32"/>
          <w:szCs w:val="32"/>
          <w:highlight w:val="none"/>
          <w:lang w:val="en-US" w:eastAsia="zh-CN"/>
        </w:rPr>
        <w:t>3</w:t>
      </w:r>
    </w:p>
    <w:p w14:paraId="2A72CF4F">
      <w:pPr>
        <w:jc w:val="center"/>
        <w:rPr>
          <w:rFonts w:hint="eastAsia" w:ascii="Times New Roman" w:hAnsi="Times New Roman" w:eastAsia="方正小标宋简体" w:cs="方正小标宋简体"/>
          <w:color w:val="000000"/>
          <w:kern w:val="0"/>
          <w:sz w:val="44"/>
          <w:szCs w:val="44"/>
          <w:highlight w:val="none"/>
          <w:lang w:val="en-US" w:eastAsia="zh-CN" w:bidi="ar"/>
        </w:rPr>
      </w:pPr>
      <w:r>
        <w:rPr>
          <w:rFonts w:hint="eastAsia" w:ascii="Times New Roman" w:hAnsi="Times New Roman" w:eastAsia="方正小标宋简体" w:cs="方正小标宋简体"/>
          <w:color w:val="000000"/>
          <w:kern w:val="0"/>
          <w:sz w:val="44"/>
          <w:szCs w:val="44"/>
          <w:highlight w:val="none"/>
          <w:lang w:val="en-US" w:eastAsia="zh-CN" w:bidi="ar"/>
        </w:rPr>
        <w:t>昭化区烟花爆竹零售经营信用记分公示牌</w:t>
      </w:r>
    </w:p>
    <w:tbl>
      <w:tblPr>
        <w:tblStyle w:val="1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5"/>
        <w:gridCol w:w="6796"/>
      </w:tblGrid>
      <w:tr w14:paraId="295FB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trPr>
        <w:tc>
          <w:tcPr>
            <w:tcW w:w="2265" w:type="dxa"/>
            <w:noWrap w:val="0"/>
            <w:vAlign w:val="center"/>
          </w:tcPr>
          <w:p w14:paraId="7A1A68A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黑体" w:cs="黑体"/>
                <w:sz w:val="28"/>
                <w:szCs w:val="28"/>
                <w:highlight w:val="none"/>
                <w:vertAlign w:val="baseline"/>
                <w:lang w:eastAsia="zh-CN"/>
              </w:rPr>
            </w:pPr>
            <w:r>
              <w:rPr>
                <w:rFonts w:hint="eastAsia" w:ascii="Times New Roman" w:hAnsi="Times New Roman" w:eastAsia="黑体" w:cs="黑体"/>
                <w:sz w:val="28"/>
                <w:szCs w:val="28"/>
                <w:highlight w:val="none"/>
                <w:vertAlign w:val="baseline"/>
                <w:lang w:eastAsia="zh-CN"/>
              </w:rPr>
              <w:t>零售店名称</w:t>
            </w:r>
          </w:p>
        </w:tc>
        <w:tc>
          <w:tcPr>
            <w:tcW w:w="6796" w:type="dxa"/>
            <w:noWrap w:val="0"/>
            <w:vAlign w:val="center"/>
          </w:tcPr>
          <w:p w14:paraId="7A4FEB64">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仿宋_GB2312" w:cs="Times New Roman"/>
                <w:sz w:val="24"/>
                <w:szCs w:val="24"/>
                <w:highlight w:val="none"/>
                <w:vertAlign w:val="baseline"/>
                <w:lang w:val="en-US" w:eastAsia="zh-CN"/>
              </w:rPr>
            </w:pPr>
          </w:p>
        </w:tc>
      </w:tr>
      <w:tr w14:paraId="72DEF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trPr>
        <w:tc>
          <w:tcPr>
            <w:tcW w:w="2265" w:type="dxa"/>
            <w:noWrap w:val="0"/>
            <w:vAlign w:val="center"/>
          </w:tcPr>
          <w:p w14:paraId="7AF10091">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黑体" w:cs="黑体"/>
                <w:sz w:val="28"/>
                <w:szCs w:val="28"/>
                <w:highlight w:val="none"/>
                <w:vertAlign w:val="baseline"/>
                <w:lang w:eastAsia="zh-CN"/>
              </w:rPr>
            </w:pPr>
            <w:r>
              <w:rPr>
                <w:rFonts w:hint="eastAsia" w:ascii="Times New Roman" w:hAnsi="Times New Roman" w:eastAsia="黑体" w:cs="黑体"/>
                <w:sz w:val="28"/>
                <w:szCs w:val="28"/>
                <w:highlight w:val="none"/>
                <w:vertAlign w:val="baseline"/>
                <w:lang w:eastAsia="zh-CN"/>
              </w:rPr>
              <w:t>信用记分情况</w:t>
            </w:r>
          </w:p>
        </w:tc>
        <w:tc>
          <w:tcPr>
            <w:tcW w:w="6796" w:type="dxa"/>
            <w:noWrap w:val="0"/>
            <w:vAlign w:val="center"/>
          </w:tcPr>
          <w:p w14:paraId="7BCDC3DC">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仿宋_GB2312" w:cs="Times New Roman"/>
                <w:sz w:val="24"/>
                <w:szCs w:val="24"/>
                <w:highlight w:val="none"/>
                <w:vertAlign w:val="baseline"/>
                <w:lang w:eastAsia="zh-CN"/>
              </w:rPr>
            </w:pPr>
            <w:r>
              <w:rPr>
                <w:rFonts w:hint="eastAsia" w:ascii="Times New Roman" w:hAnsi="Times New Roman" w:cs="Times New Roman"/>
                <w:sz w:val="24"/>
                <w:szCs w:val="24"/>
                <w:highlight w:val="none"/>
                <w:vertAlign w:val="baseline"/>
                <w:lang w:val="en-US" w:eastAsia="zh-CN"/>
              </w:rPr>
              <w:t xml:space="preserve">    </w:t>
            </w:r>
            <w:r>
              <w:rPr>
                <w:rFonts w:hint="eastAsia" w:ascii="Times New Roman" w:hAnsi="Times New Roman" w:cs="Times New Roman"/>
                <w:sz w:val="24"/>
                <w:szCs w:val="24"/>
                <w:highlight w:val="none"/>
                <w:vertAlign w:val="baseline"/>
                <w:lang w:eastAsia="zh-CN"/>
              </w:rPr>
              <w:t>分</w:t>
            </w:r>
          </w:p>
        </w:tc>
      </w:tr>
      <w:tr w14:paraId="2FBE43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trPr>
        <w:tc>
          <w:tcPr>
            <w:tcW w:w="2265" w:type="dxa"/>
            <w:noWrap w:val="0"/>
            <w:vAlign w:val="center"/>
          </w:tcPr>
          <w:p w14:paraId="1F60B8CA">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黑体" w:cs="黑体"/>
                <w:sz w:val="28"/>
                <w:szCs w:val="28"/>
                <w:highlight w:val="none"/>
                <w:vertAlign w:val="baseline"/>
                <w:lang w:eastAsia="zh-CN"/>
              </w:rPr>
            </w:pPr>
            <w:r>
              <w:rPr>
                <w:rFonts w:hint="eastAsia" w:ascii="Times New Roman" w:hAnsi="Times New Roman" w:eastAsia="黑体" w:cs="黑体"/>
                <w:sz w:val="28"/>
                <w:szCs w:val="28"/>
                <w:highlight w:val="none"/>
                <w:vertAlign w:val="baseline"/>
                <w:lang w:eastAsia="zh-CN"/>
              </w:rPr>
              <w:t>信用等级</w:t>
            </w:r>
          </w:p>
        </w:tc>
        <w:tc>
          <w:tcPr>
            <w:tcW w:w="6796" w:type="dxa"/>
            <w:noWrap w:val="0"/>
            <w:vAlign w:val="center"/>
          </w:tcPr>
          <w:p w14:paraId="7A3CFEDC">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cs="Times New Roman"/>
                <w:sz w:val="24"/>
                <w:szCs w:val="24"/>
                <w:highlight w:val="none"/>
                <w:vertAlign w:val="baseline"/>
                <w:lang w:val="en-US" w:eastAsia="zh-CN"/>
              </w:rPr>
            </w:pPr>
            <w:r>
              <w:rPr>
                <w:rFonts w:hint="eastAsia" w:ascii="Times New Roman" w:hAnsi="Times New Roman" w:cs="Times New Roman"/>
                <w:sz w:val="24"/>
                <w:szCs w:val="24"/>
                <w:highlight w:val="none"/>
                <w:vertAlign w:val="baseline"/>
                <w:lang w:val="en-US" w:eastAsia="zh-CN"/>
              </w:rPr>
              <w:sym w:font="Wingdings" w:char="00A8"/>
            </w:r>
            <w:r>
              <w:rPr>
                <w:rFonts w:hint="eastAsia" w:ascii="Times New Roman" w:hAnsi="Times New Roman" w:cs="Times New Roman"/>
                <w:sz w:val="24"/>
                <w:szCs w:val="24"/>
                <w:highlight w:val="none"/>
                <w:vertAlign w:val="baseline"/>
                <w:lang w:val="en-US" w:eastAsia="zh-CN"/>
              </w:rPr>
              <w:t xml:space="preserve">A级       </w:t>
            </w:r>
            <w:r>
              <w:rPr>
                <w:rFonts w:hint="eastAsia" w:ascii="Times New Roman" w:hAnsi="Times New Roman" w:cs="Times New Roman"/>
                <w:sz w:val="24"/>
                <w:szCs w:val="24"/>
                <w:highlight w:val="none"/>
                <w:vertAlign w:val="baseline"/>
                <w:lang w:val="en-US" w:eastAsia="zh-CN"/>
              </w:rPr>
              <w:sym w:font="Wingdings" w:char="00A8"/>
            </w:r>
            <w:r>
              <w:rPr>
                <w:rFonts w:hint="eastAsia" w:ascii="Times New Roman" w:hAnsi="Times New Roman" w:cs="Times New Roman"/>
                <w:sz w:val="24"/>
                <w:szCs w:val="24"/>
                <w:highlight w:val="none"/>
                <w:vertAlign w:val="baseline"/>
                <w:lang w:val="en-US" w:eastAsia="zh-CN"/>
              </w:rPr>
              <w:t xml:space="preserve">B级       </w:t>
            </w:r>
            <w:r>
              <w:rPr>
                <w:rFonts w:hint="eastAsia" w:ascii="Times New Roman" w:hAnsi="Times New Roman" w:cs="Times New Roman"/>
                <w:sz w:val="24"/>
                <w:szCs w:val="24"/>
                <w:highlight w:val="none"/>
                <w:vertAlign w:val="baseline"/>
                <w:lang w:val="en-US" w:eastAsia="zh-CN"/>
              </w:rPr>
              <w:sym w:font="Wingdings" w:char="00A8"/>
            </w:r>
            <w:r>
              <w:rPr>
                <w:rFonts w:hint="eastAsia" w:ascii="Times New Roman" w:hAnsi="Times New Roman" w:cs="Times New Roman"/>
                <w:sz w:val="24"/>
                <w:szCs w:val="24"/>
                <w:highlight w:val="none"/>
                <w:vertAlign w:val="baseline"/>
                <w:lang w:val="en-US" w:eastAsia="zh-CN"/>
              </w:rPr>
              <w:t xml:space="preserve">C级       </w:t>
            </w:r>
            <w:r>
              <w:rPr>
                <w:rFonts w:hint="eastAsia" w:ascii="Times New Roman" w:hAnsi="Times New Roman" w:cs="Times New Roman"/>
                <w:sz w:val="24"/>
                <w:szCs w:val="24"/>
                <w:highlight w:val="none"/>
                <w:vertAlign w:val="baseline"/>
                <w:lang w:val="en-US" w:eastAsia="zh-CN"/>
              </w:rPr>
              <w:sym w:font="Wingdings" w:char="00A8"/>
            </w:r>
            <w:r>
              <w:rPr>
                <w:rFonts w:hint="eastAsia" w:ascii="Times New Roman" w:hAnsi="Times New Roman" w:cs="Times New Roman"/>
                <w:sz w:val="24"/>
                <w:szCs w:val="24"/>
                <w:highlight w:val="none"/>
                <w:vertAlign w:val="baseline"/>
                <w:lang w:val="en-US" w:eastAsia="zh-CN"/>
              </w:rPr>
              <w:t>D级</w:t>
            </w:r>
          </w:p>
        </w:tc>
      </w:tr>
      <w:tr w14:paraId="6BB993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trPr>
        <w:tc>
          <w:tcPr>
            <w:tcW w:w="2265" w:type="dxa"/>
            <w:noWrap w:val="0"/>
            <w:vAlign w:val="center"/>
          </w:tcPr>
          <w:p w14:paraId="483716CF">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eastAsia="黑体" w:cs="黑体"/>
                <w:sz w:val="28"/>
                <w:szCs w:val="28"/>
                <w:highlight w:val="none"/>
                <w:vertAlign w:val="baseline"/>
                <w:lang w:eastAsia="zh-CN"/>
              </w:rPr>
            </w:pPr>
            <w:r>
              <w:rPr>
                <w:rFonts w:hint="eastAsia" w:ascii="Times New Roman" w:hAnsi="Times New Roman" w:eastAsia="黑体" w:cs="黑体"/>
                <w:sz w:val="28"/>
                <w:szCs w:val="28"/>
                <w:vertAlign w:val="baseline"/>
                <w:lang w:eastAsia="zh-CN"/>
              </w:rPr>
              <w:t>安全承诺</w:t>
            </w:r>
          </w:p>
        </w:tc>
        <w:tc>
          <w:tcPr>
            <w:tcW w:w="6796" w:type="dxa"/>
            <w:noWrap w:val="0"/>
            <w:vAlign w:val="center"/>
          </w:tcPr>
          <w:p w14:paraId="0050C564">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jc w:val="both"/>
              <w:textAlignment w:val="auto"/>
              <w:rPr>
                <w:rFonts w:hint="eastAsia" w:ascii="Times New Roman" w:hAnsi="Times New Roman" w:eastAsia="仿宋_GB2312" w:cs="Times New Roman"/>
                <w:sz w:val="24"/>
                <w:szCs w:val="24"/>
                <w:lang w:eastAsia="zh-CN"/>
              </w:rPr>
            </w:pPr>
            <w:r>
              <w:rPr>
                <w:rFonts w:hint="eastAsia" w:ascii="Times New Roman" w:hAnsi="Times New Roman" w:eastAsia="仿宋_GB2312" w:cs="Times New Roman"/>
                <w:color w:val="000000"/>
                <w:kern w:val="2"/>
                <w:sz w:val="24"/>
                <w:szCs w:val="24"/>
                <w:lang w:val="en-US" w:eastAsia="zh-CN" w:bidi="ar-SA"/>
              </w:rPr>
              <w:t>一</w:t>
            </w:r>
            <w:r>
              <w:rPr>
                <w:rFonts w:hint="eastAsia" w:ascii="Times New Roman" w:hAnsi="Times New Roman" w:cs="Times New Roman"/>
                <w:color w:val="000000"/>
                <w:kern w:val="2"/>
                <w:sz w:val="24"/>
                <w:szCs w:val="24"/>
                <w:lang w:val="en-US" w:eastAsia="zh-CN" w:bidi="ar-SA"/>
              </w:rPr>
              <w:t>、</w:t>
            </w:r>
            <w:r>
              <w:rPr>
                <w:rFonts w:hint="eastAsia" w:ascii="Times New Roman" w:hAnsi="Times New Roman" w:eastAsia="仿宋_GB2312" w:cs="Times New Roman"/>
                <w:sz w:val="24"/>
                <w:szCs w:val="24"/>
                <w:lang w:eastAsia="zh-CN"/>
              </w:rPr>
              <w:t>主要负责人</w:t>
            </w:r>
            <w:r>
              <w:rPr>
                <w:rFonts w:hint="default" w:ascii="Times New Roman" w:hAnsi="Times New Roman" w:eastAsia="仿宋_GB2312" w:cs="Times New Roman"/>
                <w:sz w:val="24"/>
                <w:szCs w:val="24"/>
              </w:rPr>
              <w:t>经过安全管理教育培训</w:t>
            </w:r>
            <w:r>
              <w:rPr>
                <w:rFonts w:hint="default" w:ascii="Times New Roman" w:hAnsi="Times New Roman" w:eastAsia="仿宋_GB2312" w:cs="Times New Roman"/>
                <w:sz w:val="24"/>
                <w:szCs w:val="24"/>
                <w:lang w:eastAsia="zh-CN"/>
              </w:rPr>
              <w:t>，</w:t>
            </w:r>
            <w:r>
              <w:rPr>
                <w:rFonts w:hint="default" w:ascii="Times New Roman" w:hAnsi="Times New Roman" w:eastAsia="仿宋_GB2312" w:cs="Times New Roman"/>
                <w:sz w:val="24"/>
                <w:szCs w:val="24"/>
              </w:rPr>
              <w:t>持证上岗</w:t>
            </w:r>
            <w:r>
              <w:rPr>
                <w:rFonts w:hint="default" w:ascii="Times New Roman" w:hAnsi="Times New Roman" w:eastAsia="仿宋_GB2312" w:cs="Times New Roman"/>
                <w:sz w:val="24"/>
                <w:szCs w:val="24"/>
                <w:lang w:eastAsia="zh-CN"/>
              </w:rPr>
              <w:t>，</w:t>
            </w:r>
            <w:r>
              <w:rPr>
                <w:rFonts w:hint="default" w:ascii="Times New Roman" w:hAnsi="Times New Roman" w:eastAsia="仿宋_GB2312" w:cs="Times New Roman"/>
                <w:sz w:val="24"/>
                <w:szCs w:val="24"/>
              </w:rPr>
              <w:t>做到专人销售</w:t>
            </w:r>
            <w:r>
              <w:rPr>
                <w:rFonts w:hint="default" w:ascii="Times New Roman" w:hAnsi="Times New Roman" w:eastAsia="仿宋_GB2312" w:cs="Times New Roman"/>
                <w:sz w:val="24"/>
                <w:szCs w:val="24"/>
                <w:lang w:eastAsia="zh-CN"/>
              </w:rPr>
              <w:t>，</w:t>
            </w:r>
            <w:r>
              <w:rPr>
                <w:rFonts w:hint="default" w:ascii="Times New Roman" w:hAnsi="Times New Roman" w:eastAsia="仿宋_GB2312" w:cs="Times New Roman"/>
                <w:sz w:val="24"/>
                <w:szCs w:val="24"/>
              </w:rPr>
              <w:t>人证相符</w:t>
            </w:r>
            <w:r>
              <w:rPr>
                <w:rFonts w:hint="eastAsia" w:ascii="Times New Roman" w:hAnsi="Times New Roman" w:eastAsia="仿宋_GB2312" w:cs="Times New Roman"/>
                <w:sz w:val="24"/>
                <w:szCs w:val="24"/>
                <w:lang w:eastAsia="zh-CN"/>
              </w:rPr>
              <w:t>；</w:t>
            </w:r>
          </w:p>
          <w:p w14:paraId="5A8AB4FF">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jc w:val="both"/>
              <w:textAlignment w:val="auto"/>
              <w:rPr>
                <w:rFonts w:hint="eastAsia" w:ascii="Times New Roman" w:hAnsi="Times New Roman" w:eastAsia="仿宋_GB2312" w:cs="Times New Roman"/>
                <w:sz w:val="24"/>
                <w:szCs w:val="24"/>
                <w:lang w:eastAsia="zh-CN"/>
              </w:rPr>
            </w:pPr>
            <w:r>
              <w:rPr>
                <w:rFonts w:hint="eastAsia" w:ascii="Times New Roman" w:hAnsi="Times New Roman" w:eastAsia="仿宋_GB2312" w:cs="Times New Roman"/>
                <w:color w:val="000000"/>
                <w:kern w:val="2"/>
                <w:sz w:val="24"/>
                <w:szCs w:val="24"/>
                <w:lang w:val="en-US" w:eastAsia="zh-CN" w:bidi="ar-SA"/>
              </w:rPr>
              <w:t>二</w:t>
            </w:r>
            <w:r>
              <w:rPr>
                <w:rFonts w:hint="eastAsia" w:ascii="Times New Roman" w:hAnsi="Times New Roman" w:cs="Times New Roman"/>
                <w:color w:val="000000"/>
                <w:kern w:val="2"/>
                <w:sz w:val="24"/>
                <w:szCs w:val="24"/>
                <w:lang w:val="en-US" w:eastAsia="zh-CN" w:bidi="ar-SA"/>
              </w:rPr>
              <w:t>、</w:t>
            </w:r>
            <w:r>
              <w:rPr>
                <w:rFonts w:hint="default" w:ascii="Times New Roman" w:hAnsi="Times New Roman" w:eastAsia="仿宋_GB2312" w:cs="Times New Roman"/>
                <w:sz w:val="24"/>
                <w:szCs w:val="24"/>
              </w:rPr>
              <w:t>各项安全管理制度</w:t>
            </w:r>
            <w:r>
              <w:rPr>
                <w:rFonts w:hint="default" w:ascii="Times New Roman" w:hAnsi="Times New Roman" w:eastAsia="仿宋_GB2312" w:cs="Times New Roman"/>
                <w:sz w:val="24"/>
                <w:szCs w:val="24"/>
                <w:lang w:eastAsia="zh-CN"/>
              </w:rPr>
              <w:t>、</w:t>
            </w:r>
            <w:r>
              <w:rPr>
                <w:rFonts w:hint="default" w:ascii="Times New Roman" w:hAnsi="Times New Roman" w:eastAsia="仿宋_GB2312" w:cs="Times New Roman"/>
                <w:sz w:val="24"/>
                <w:szCs w:val="24"/>
              </w:rPr>
              <w:t>警示标识和操作规程张贴上墙</w:t>
            </w:r>
            <w:r>
              <w:rPr>
                <w:rFonts w:hint="default" w:ascii="Times New Roman" w:hAnsi="Times New Roman" w:eastAsia="仿宋_GB2312" w:cs="Times New Roman"/>
                <w:sz w:val="24"/>
                <w:szCs w:val="24"/>
                <w:lang w:eastAsia="zh-CN"/>
              </w:rPr>
              <w:t>，</w:t>
            </w:r>
            <w:r>
              <w:rPr>
                <w:rFonts w:hint="default" w:ascii="Times New Roman" w:hAnsi="Times New Roman" w:eastAsia="仿宋_GB2312" w:cs="Times New Roman"/>
                <w:sz w:val="24"/>
                <w:szCs w:val="24"/>
              </w:rPr>
              <w:t>并严格执行</w:t>
            </w:r>
            <w:r>
              <w:rPr>
                <w:rFonts w:hint="eastAsia" w:ascii="Times New Roman" w:hAnsi="Times New Roman" w:eastAsia="仿宋_GB2312" w:cs="Times New Roman"/>
                <w:sz w:val="24"/>
                <w:szCs w:val="24"/>
                <w:lang w:eastAsia="zh-CN"/>
              </w:rPr>
              <w:t>；</w:t>
            </w:r>
          </w:p>
          <w:p w14:paraId="6F03550D">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jc w:val="both"/>
              <w:textAlignment w:val="auto"/>
              <w:rPr>
                <w:rFonts w:hint="default" w:ascii="Times New Roman" w:hAnsi="Times New Roman" w:eastAsia="仿宋_GB2312" w:cs="Times New Roman"/>
                <w:sz w:val="24"/>
                <w:szCs w:val="24"/>
                <w:lang w:eastAsia="zh-CN"/>
              </w:rPr>
            </w:pPr>
            <w:r>
              <w:rPr>
                <w:rFonts w:hint="eastAsia" w:ascii="Times New Roman" w:hAnsi="Times New Roman" w:eastAsia="仿宋_GB2312" w:cs="Times New Roman"/>
                <w:color w:val="000000"/>
                <w:kern w:val="2"/>
                <w:sz w:val="24"/>
                <w:szCs w:val="24"/>
                <w:lang w:val="en-US" w:eastAsia="zh-CN" w:bidi="ar-SA"/>
              </w:rPr>
              <w:t>三</w:t>
            </w:r>
            <w:r>
              <w:rPr>
                <w:rFonts w:hint="eastAsia" w:ascii="Times New Roman" w:hAnsi="Times New Roman" w:cs="Times New Roman"/>
                <w:color w:val="000000"/>
                <w:kern w:val="2"/>
                <w:sz w:val="24"/>
                <w:szCs w:val="24"/>
                <w:lang w:val="en-US" w:eastAsia="zh-CN" w:bidi="ar-SA"/>
              </w:rPr>
              <w:t>、</w:t>
            </w:r>
            <w:r>
              <w:rPr>
                <w:rFonts w:hint="default" w:ascii="Times New Roman" w:hAnsi="Times New Roman" w:eastAsia="仿宋_GB2312" w:cs="Times New Roman"/>
                <w:sz w:val="24"/>
                <w:szCs w:val="24"/>
              </w:rPr>
              <w:t>加强安全管理</w:t>
            </w:r>
            <w:r>
              <w:rPr>
                <w:rFonts w:hint="default" w:ascii="Times New Roman" w:hAnsi="Times New Roman" w:eastAsia="仿宋_GB2312" w:cs="Times New Roman"/>
                <w:sz w:val="24"/>
                <w:szCs w:val="24"/>
                <w:lang w:eastAsia="zh-CN"/>
              </w:rPr>
              <w:t>，严格</w:t>
            </w:r>
            <w:r>
              <w:rPr>
                <w:rFonts w:hint="default" w:ascii="Times New Roman" w:hAnsi="Times New Roman" w:eastAsia="仿宋_GB2312" w:cs="Times New Roman"/>
                <w:sz w:val="24"/>
                <w:szCs w:val="24"/>
              </w:rPr>
              <w:t>经营场所及周边的防火防爆工作</w:t>
            </w:r>
            <w:r>
              <w:rPr>
                <w:rFonts w:hint="default" w:ascii="Times New Roman" w:hAnsi="Times New Roman" w:eastAsia="仿宋_GB2312" w:cs="Times New Roman"/>
                <w:sz w:val="24"/>
                <w:szCs w:val="24"/>
                <w:lang w:eastAsia="zh-CN"/>
              </w:rPr>
              <w:t>，</w:t>
            </w:r>
            <w:r>
              <w:rPr>
                <w:rFonts w:hint="default" w:ascii="Times New Roman" w:hAnsi="Times New Roman" w:eastAsia="仿宋_GB2312" w:cs="Times New Roman"/>
                <w:sz w:val="24"/>
                <w:szCs w:val="24"/>
              </w:rPr>
              <w:t>店内不出现</w:t>
            </w:r>
            <w:r>
              <w:rPr>
                <w:rFonts w:hint="default" w:ascii="Times New Roman" w:hAnsi="Times New Roman" w:eastAsia="仿宋_GB2312" w:cs="Times New Roman"/>
                <w:sz w:val="24"/>
                <w:szCs w:val="24"/>
                <w:lang w:eastAsia="zh-CN"/>
              </w:rPr>
              <w:t>任何</w:t>
            </w:r>
            <w:r>
              <w:rPr>
                <w:rFonts w:hint="default" w:ascii="Times New Roman" w:hAnsi="Times New Roman" w:eastAsia="仿宋_GB2312" w:cs="Times New Roman"/>
                <w:sz w:val="24"/>
                <w:szCs w:val="24"/>
              </w:rPr>
              <w:t>可能造成安全隐患的火源、热源</w:t>
            </w:r>
            <w:r>
              <w:rPr>
                <w:rFonts w:hint="default" w:ascii="Times New Roman" w:hAnsi="Times New Roman" w:eastAsia="仿宋_GB2312" w:cs="Times New Roman"/>
                <w:sz w:val="24"/>
                <w:szCs w:val="24"/>
                <w:lang w:eastAsia="zh-CN"/>
              </w:rPr>
              <w:t>；</w:t>
            </w:r>
            <w:r>
              <w:rPr>
                <w:rFonts w:hint="default" w:ascii="Times New Roman" w:hAnsi="Times New Roman" w:eastAsia="仿宋_GB2312" w:cs="Times New Roman"/>
                <w:sz w:val="24"/>
                <w:szCs w:val="24"/>
              </w:rPr>
              <w:t>配备</w:t>
            </w:r>
            <w:r>
              <w:rPr>
                <w:rFonts w:hint="default" w:ascii="Times New Roman" w:hAnsi="Times New Roman" w:eastAsia="仿宋_GB2312" w:cs="Times New Roman"/>
                <w:sz w:val="24"/>
                <w:szCs w:val="24"/>
                <w:lang w:eastAsia="zh-CN"/>
              </w:rPr>
              <w:t>符合要求</w:t>
            </w:r>
            <w:r>
              <w:rPr>
                <w:rFonts w:hint="default" w:ascii="Times New Roman" w:hAnsi="Times New Roman" w:eastAsia="仿宋_GB2312" w:cs="Times New Roman"/>
                <w:sz w:val="24"/>
                <w:szCs w:val="24"/>
              </w:rPr>
              <w:t>的消防器材</w:t>
            </w:r>
            <w:r>
              <w:rPr>
                <w:rFonts w:hint="default" w:ascii="Times New Roman" w:hAnsi="Times New Roman" w:eastAsia="仿宋_GB2312" w:cs="Times New Roman"/>
                <w:sz w:val="24"/>
                <w:szCs w:val="24"/>
                <w:lang w:eastAsia="zh-CN"/>
              </w:rPr>
              <w:t>且</w:t>
            </w:r>
            <w:r>
              <w:rPr>
                <w:rFonts w:hint="default" w:ascii="Times New Roman" w:hAnsi="Times New Roman" w:eastAsia="仿宋_GB2312" w:cs="Times New Roman"/>
                <w:sz w:val="24"/>
                <w:szCs w:val="24"/>
              </w:rPr>
              <w:t>会熟练使用</w:t>
            </w:r>
            <w:r>
              <w:rPr>
                <w:rFonts w:hint="eastAsia" w:ascii="Times New Roman" w:hAnsi="Times New Roman" w:eastAsia="仿宋_GB2312" w:cs="Times New Roman"/>
                <w:sz w:val="24"/>
                <w:szCs w:val="24"/>
                <w:lang w:eastAsia="zh-CN"/>
              </w:rPr>
              <w:t>；</w:t>
            </w:r>
          </w:p>
          <w:p w14:paraId="65D7EB4C">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jc w:val="both"/>
              <w:textAlignment w:val="auto"/>
              <w:rPr>
                <w:rFonts w:hint="eastAsia" w:ascii="Times New Roman" w:hAnsi="Times New Roman" w:eastAsia="仿宋_GB2312" w:cs="Times New Roman"/>
                <w:sz w:val="24"/>
                <w:szCs w:val="24"/>
                <w:lang w:eastAsia="zh-CN"/>
              </w:rPr>
            </w:pPr>
            <w:r>
              <w:rPr>
                <w:rFonts w:hint="eastAsia" w:ascii="Times New Roman" w:hAnsi="Times New Roman" w:eastAsia="仿宋_GB2312" w:cs="Times New Roman"/>
                <w:color w:val="000000"/>
                <w:kern w:val="2"/>
                <w:sz w:val="24"/>
                <w:szCs w:val="24"/>
                <w:lang w:val="en-US" w:eastAsia="zh-CN" w:bidi="ar-SA"/>
              </w:rPr>
              <w:t>四</w:t>
            </w:r>
            <w:r>
              <w:rPr>
                <w:rFonts w:hint="eastAsia" w:ascii="Times New Roman" w:hAnsi="Times New Roman" w:cs="Times New Roman"/>
                <w:color w:val="000000"/>
                <w:kern w:val="2"/>
                <w:sz w:val="24"/>
                <w:szCs w:val="24"/>
                <w:lang w:val="en-US" w:eastAsia="zh-CN" w:bidi="ar-SA"/>
              </w:rPr>
              <w:t>、</w:t>
            </w:r>
            <w:r>
              <w:rPr>
                <w:rFonts w:hint="default" w:ascii="Times New Roman" w:hAnsi="Times New Roman" w:eastAsia="仿宋_GB2312" w:cs="Times New Roman"/>
                <w:sz w:val="24"/>
                <w:szCs w:val="24"/>
              </w:rPr>
              <w:t>严格按照《烟花爆竹经营</w:t>
            </w:r>
            <w:r>
              <w:rPr>
                <w:rFonts w:hint="default" w:ascii="Times New Roman" w:hAnsi="Times New Roman" w:eastAsia="仿宋_GB2312" w:cs="Times New Roman"/>
                <w:sz w:val="24"/>
                <w:szCs w:val="24"/>
                <w:lang w:eastAsia="zh-CN"/>
              </w:rPr>
              <w:t>（</w:t>
            </w:r>
            <w:r>
              <w:rPr>
                <w:rFonts w:hint="default" w:ascii="Times New Roman" w:hAnsi="Times New Roman" w:eastAsia="仿宋_GB2312" w:cs="Times New Roman"/>
                <w:sz w:val="24"/>
                <w:szCs w:val="24"/>
              </w:rPr>
              <w:t>零售</w:t>
            </w:r>
            <w:r>
              <w:rPr>
                <w:rFonts w:hint="default" w:ascii="Times New Roman" w:hAnsi="Times New Roman" w:eastAsia="仿宋_GB2312" w:cs="Times New Roman"/>
                <w:sz w:val="24"/>
                <w:szCs w:val="24"/>
                <w:lang w:eastAsia="zh-CN"/>
              </w:rPr>
              <w:t>）</w:t>
            </w:r>
            <w:r>
              <w:rPr>
                <w:rFonts w:hint="default" w:ascii="Times New Roman" w:hAnsi="Times New Roman" w:eastAsia="仿宋_GB2312" w:cs="Times New Roman"/>
                <w:sz w:val="24"/>
                <w:szCs w:val="24"/>
              </w:rPr>
              <w:t>许可证》载明的经营范围和经营地点进</w:t>
            </w:r>
            <w:r>
              <w:rPr>
                <w:rFonts w:hint="default" w:ascii="Times New Roman" w:hAnsi="Times New Roman" w:eastAsia="仿宋_GB2312" w:cs="Times New Roman"/>
                <w:sz w:val="24"/>
                <w:szCs w:val="24"/>
                <w:lang w:eastAsia="zh-CN"/>
              </w:rPr>
              <w:t>行经营，坚决遏制</w:t>
            </w:r>
            <w:r>
              <w:rPr>
                <w:rFonts w:hint="eastAsia" w:ascii="Times New Roman" w:hAnsi="Times New Roman" w:eastAsia="仿宋_GB2312" w:cs="Times New Roman"/>
                <w:sz w:val="24"/>
                <w:szCs w:val="24"/>
                <w:lang w:eastAsia="zh-CN"/>
              </w:rPr>
              <w:t>“前店后宅”“下店上宅”、</w:t>
            </w:r>
            <w:r>
              <w:rPr>
                <w:rFonts w:hint="default" w:ascii="Times New Roman" w:hAnsi="Times New Roman" w:eastAsia="仿宋_GB2312" w:cs="Times New Roman"/>
                <w:sz w:val="24"/>
                <w:szCs w:val="24"/>
                <w:lang w:eastAsia="zh-CN"/>
              </w:rPr>
              <w:t>一证多点</w:t>
            </w:r>
            <w:r>
              <w:rPr>
                <w:rFonts w:hint="eastAsia" w:ascii="Times New Roman" w:hAnsi="Times New Roman" w:eastAsia="仿宋_GB2312" w:cs="Times New Roman"/>
                <w:sz w:val="24"/>
                <w:szCs w:val="24"/>
                <w:lang w:eastAsia="zh-CN"/>
              </w:rPr>
              <w:t>、</w:t>
            </w:r>
            <w:r>
              <w:rPr>
                <w:rFonts w:hint="default" w:ascii="Times New Roman" w:hAnsi="Times New Roman" w:eastAsia="仿宋_GB2312" w:cs="Times New Roman"/>
                <w:sz w:val="24"/>
                <w:szCs w:val="24"/>
                <w:lang w:eastAsia="zh-CN"/>
              </w:rPr>
              <w:t>超量储存</w:t>
            </w:r>
            <w:r>
              <w:rPr>
                <w:rFonts w:hint="eastAsia" w:ascii="Times New Roman" w:hAnsi="Times New Roman" w:eastAsia="仿宋_GB2312" w:cs="Times New Roman"/>
                <w:sz w:val="24"/>
                <w:szCs w:val="24"/>
                <w:lang w:eastAsia="zh-CN"/>
              </w:rPr>
              <w:t>、</w:t>
            </w:r>
            <w:r>
              <w:rPr>
                <w:rFonts w:hint="default" w:ascii="Times New Roman" w:hAnsi="Times New Roman" w:eastAsia="仿宋_GB2312" w:cs="Times New Roman"/>
                <w:sz w:val="24"/>
                <w:szCs w:val="24"/>
                <w:lang w:eastAsia="zh-CN"/>
              </w:rPr>
              <w:t>超范围经营</w:t>
            </w:r>
            <w:r>
              <w:rPr>
                <w:rFonts w:hint="eastAsia" w:ascii="Times New Roman" w:hAnsi="Times New Roman" w:eastAsia="仿宋_GB2312" w:cs="Times New Roman"/>
                <w:sz w:val="24"/>
                <w:szCs w:val="24"/>
                <w:lang w:eastAsia="zh-CN"/>
              </w:rPr>
              <w:t>、二次批发等违法违规行为；</w:t>
            </w:r>
          </w:p>
          <w:p w14:paraId="4B50FC08">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jc w:val="both"/>
              <w:textAlignment w:val="auto"/>
              <w:rPr>
                <w:rFonts w:hint="eastAsia" w:ascii="Times New Roman" w:hAnsi="Times New Roman" w:eastAsia="仿宋_GB2312" w:cs="Times New Roman"/>
                <w:sz w:val="24"/>
                <w:szCs w:val="24"/>
                <w:lang w:eastAsia="zh-CN"/>
              </w:rPr>
            </w:pPr>
            <w:r>
              <w:rPr>
                <w:rFonts w:hint="eastAsia" w:ascii="Times New Roman" w:hAnsi="Times New Roman" w:eastAsia="仿宋_GB2312" w:cs="Times New Roman"/>
                <w:sz w:val="24"/>
                <w:szCs w:val="24"/>
                <w:lang w:val="en-US" w:eastAsia="zh-CN"/>
              </w:rPr>
              <w:t>五、</w:t>
            </w:r>
            <w:r>
              <w:rPr>
                <w:rFonts w:hint="default" w:ascii="Times New Roman" w:hAnsi="Times New Roman" w:eastAsia="仿宋_GB2312" w:cs="Times New Roman"/>
                <w:sz w:val="24"/>
                <w:szCs w:val="24"/>
                <w:lang w:eastAsia="zh-CN"/>
              </w:rPr>
              <w:t>严格做好烟花爆竹燃放知识宣传，做好烟花爆竹产品流向登记工作</w:t>
            </w:r>
            <w:r>
              <w:rPr>
                <w:rFonts w:hint="eastAsia" w:ascii="Times New Roman" w:hAnsi="Times New Roman" w:eastAsia="仿宋_GB2312" w:cs="Times New Roman"/>
                <w:sz w:val="24"/>
                <w:szCs w:val="24"/>
                <w:lang w:eastAsia="zh-CN"/>
              </w:rPr>
              <w:t>；</w:t>
            </w:r>
          </w:p>
          <w:p w14:paraId="4086349D">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jc w:val="both"/>
              <w:textAlignment w:val="auto"/>
              <w:rPr>
                <w:rFonts w:hint="eastAsia" w:ascii="Times New Roman" w:hAnsi="Times New Roman" w:eastAsia="仿宋_GB2312" w:cs="Times New Roman"/>
                <w:sz w:val="24"/>
                <w:szCs w:val="24"/>
                <w:lang w:eastAsia="zh-CN"/>
              </w:rPr>
            </w:pPr>
            <w:r>
              <w:rPr>
                <w:rFonts w:hint="eastAsia" w:ascii="Times New Roman" w:hAnsi="Times New Roman" w:eastAsia="仿宋_GB2312" w:cs="Times New Roman"/>
                <w:color w:val="000000"/>
                <w:kern w:val="2"/>
                <w:sz w:val="24"/>
                <w:szCs w:val="24"/>
                <w:lang w:val="en-US" w:eastAsia="zh-CN" w:bidi="ar-SA"/>
              </w:rPr>
              <w:t>六</w:t>
            </w:r>
            <w:r>
              <w:rPr>
                <w:rFonts w:hint="eastAsia" w:ascii="Times New Roman" w:hAnsi="Times New Roman" w:cs="Times New Roman"/>
                <w:color w:val="000000"/>
                <w:kern w:val="2"/>
                <w:sz w:val="24"/>
                <w:szCs w:val="24"/>
                <w:lang w:val="en-US" w:eastAsia="zh-CN" w:bidi="ar-SA"/>
              </w:rPr>
              <w:t>、</w:t>
            </w:r>
            <w:r>
              <w:rPr>
                <w:rFonts w:hint="default" w:ascii="Times New Roman" w:hAnsi="Times New Roman" w:eastAsia="仿宋_GB2312" w:cs="Times New Roman"/>
                <w:sz w:val="24"/>
                <w:szCs w:val="24"/>
              </w:rPr>
              <w:t>严格安全管理</w:t>
            </w:r>
            <w:r>
              <w:rPr>
                <w:rFonts w:hint="default" w:ascii="Times New Roman" w:hAnsi="Times New Roman" w:eastAsia="仿宋_GB2312" w:cs="Times New Roman"/>
                <w:sz w:val="24"/>
                <w:szCs w:val="24"/>
                <w:lang w:eastAsia="zh-CN"/>
              </w:rPr>
              <w:t>，</w:t>
            </w:r>
            <w:r>
              <w:rPr>
                <w:rFonts w:hint="default" w:ascii="Times New Roman" w:hAnsi="Times New Roman" w:eastAsia="仿宋_GB2312" w:cs="Times New Roman"/>
                <w:sz w:val="24"/>
                <w:szCs w:val="24"/>
              </w:rPr>
              <w:t>确保不发生</w:t>
            </w:r>
            <w:r>
              <w:rPr>
                <w:rFonts w:hint="eastAsia" w:ascii="Times New Roman" w:hAnsi="Times New Roman" w:eastAsia="仿宋_GB2312" w:cs="Times New Roman"/>
                <w:sz w:val="24"/>
                <w:szCs w:val="24"/>
                <w:lang w:eastAsia="zh-CN"/>
              </w:rPr>
              <w:t>各类</w:t>
            </w:r>
            <w:r>
              <w:rPr>
                <w:rFonts w:hint="default" w:ascii="Times New Roman" w:hAnsi="Times New Roman" w:eastAsia="仿宋_GB2312" w:cs="Times New Roman"/>
                <w:sz w:val="24"/>
                <w:szCs w:val="24"/>
              </w:rPr>
              <w:t>安全事故</w:t>
            </w:r>
            <w:r>
              <w:rPr>
                <w:rFonts w:hint="eastAsia" w:ascii="Times New Roman" w:hAnsi="Times New Roman" w:eastAsia="仿宋_GB2312" w:cs="Times New Roman"/>
                <w:sz w:val="24"/>
                <w:szCs w:val="24"/>
                <w:lang w:eastAsia="zh-CN"/>
              </w:rPr>
              <w:t>；</w:t>
            </w:r>
          </w:p>
          <w:p w14:paraId="4EF479F6">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jc w:val="both"/>
              <w:textAlignment w:val="auto"/>
              <w:rPr>
                <w:rFonts w:hint="default" w:ascii="Times New Roman" w:hAnsi="Times New Roman" w:eastAsia="仿宋_GB2312" w:cs="Times New Roman"/>
                <w:sz w:val="24"/>
                <w:szCs w:val="24"/>
                <w:lang w:eastAsia="zh-CN"/>
              </w:rPr>
            </w:pPr>
            <w:r>
              <w:rPr>
                <w:rFonts w:hint="eastAsia" w:ascii="Times New Roman" w:hAnsi="Times New Roman" w:eastAsia="仿宋_GB2312" w:cs="Times New Roman"/>
                <w:color w:val="000000"/>
                <w:kern w:val="2"/>
                <w:sz w:val="24"/>
                <w:szCs w:val="24"/>
                <w:lang w:val="en-US" w:eastAsia="zh-CN" w:bidi="ar-SA"/>
              </w:rPr>
              <w:t>七</w:t>
            </w:r>
            <w:r>
              <w:rPr>
                <w:rFonts w:hint="eastAsia" w:ascii="Times New Roman" w:hAnsi="Times New Roman" w:cs="Times New Roman"/>
                <w:color w:val="000000"/>
                <w:kern w:val="2"/>
                <w:sz w:val="24"/>
                <w:szCs w:val="24"/>
                <w:lang w:val="en-US" w:eastAsia="zh-CN" w:bidi="ar-SA"/>
              </w:rPr>
              <w:t>、</w:t>
            </w:r>
            <w:r>
              <w:rPr>
                <w:rFonts w:hint="default" w:ascii="Times New Roman" w:hAnsi="Times New Roman" w:eastAsia="仿宋_GB2312" w:cs="Times New Roman"/>
                <w:sz w:val="24"/>
                <w:szCs w:val="24"/>
                <w:lang w:eastAsia="zh-CN"/>
              </w:rPr>
              <w:t>严格遵守法律、法规规定的其他各项</w:t>
            </w:r>
            <w:r>
              <w:rPr>
                <w:rFonts w:hint="eastAsia" w:ascii="Times New Roman" w:hAnsi="Times New Roman" w:cs="Times New Roman"/>
                <w:sz w:val="24"/>
                <w:szCs w:val="24"/>
                <w:lang w:eastAsia="zh-CN"/>
              </w:rPr>
              <w:t>要求</w:t>
            </w:r>
            <w:r>
              <w:rPr>
                <w:rFonts w:hint="default" w:ascii="Times New Roman" w:hAnsi="Times New Roman" w:eastAsia="仿宋_GB2312" w:cs="Times New Roman"/>
                <w:sz w:val="24"/>
                <w:szCs w:val="24"/>
                <w:lang w:eastAsia="zh-CN"/>
              </w:rPr>
              <w:t>。</w:t>
            </w:r>
          </w:p>
          <w:p w14:paraId="29279A8A">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jc w:val="both"/>
              <w:textAlignment w:val="auto"/>
              <w:rPr>
                <w:rFonts w:hint="default" w:ascii="Times New Roman" w:hAnsi="Times New Roman" w:eastAsia="仿宋_GB2312" w:cs="Times New Roman"/>
                <w:sz w:val="24"/>
                <w:szCs w:val="24"/>
                <w:lang w:eastAsia="zh-CN"/>
              </w:rPr>
            </w:pPr>
            <w:r>
              <w:rPr>
                <w:rFonts w:hint="default" w:ascii="Times New Roman" w:hAnsi="Times New Roman" w:eastAsia="仿宋_GB2312" w:cs="Times New Roman"/>
                <w:sz w:val="24"/>
                <w:szCs w:val="24"/>
                <w:lang w:eastAsia="zh-CN"/>
              </w:rPr>
              <w:t>以上承诺，本人严格遵守，</w:t>
            </w:r>
            <w:r>
              <w:rPr>
                <w:rFonts w:hint="eastAsia" w:ascii="Times New Roman" w:hAnsi="Times New Roman" w:eastAsia="仿宋_GB2312" w:cs="Times New Roman"/>
                <w:sz w:val="24"/>
                <w:szCs w:val="24"/>
                <w:lang w:eastAsia="zh-CN"/>
              </w:rPr>
              <w:t>认真</w:t>
            </w:r>
            <w:r>
              <w:rPr>
                <w:rFonts w:hint="default" w:ascii="Times New Roman" w:hAnsi="Times New Roman" w:eastAsia="仿宋_GB2312" w:cs="Times New Roman"/>
                <w:sz w:val="24"/>
                <w:szCs w:val="24"/>
                <w:lang w:eastAsia="zh-CN"/>
              </w:rPr>
              <w:t>履行</w:t>
            </w:r>
            <w:r>
              <w:rPr>
                <w:rFonts w:hint="eastAsia" w:ascii="Times New Roman" w:hAnsi="Times New Roman" w:eastAsia="仿宋_GB2312" w:cs="Times New Roman"/>
                <w:sz w:val="24"/>
                <w:szCs w:val="24"/>
                <w:lang w:eastAsia="zh-CN"/>
              </w:rPr>
              <w:t>，并自觉接受广大人民群众的监督</w:t>
            </w:r>
            <w:r>
              <w:rPr>
                <w:rFonts w:hint="default" w:ascii="Times New Roman" w:hAnsi="Times New Roman" w:eastAsia="仿宋_GB2312" w:cs="Times New Roman"/>
                <w:sz w:val="24"/>
                <w:szCs w:val="24"/>
                <w:lang w:eastAsia="zh-CN"/>
              </w:rPr>
              <w:t>。</w:t>
            </w:r>
          </w:p>
          <w:p w14:paraId="580D77A2">
            <w:pPr>
              <w:keepNext w:val="0"/>
              <w:keepLines w:val="0"/>
              <w:pageBreakBefore w:val="0"/>
              <w:widowControl w:val="0"/>
              <w:kinsoku/>
              <w:wordWrap w:val="0"/>
              <w:overflowPunct/>
              <w:topLinePunct w:val="0"/>
              <w:autoSpaceDE/>
              <w:autoSpaceDN/>
              <w:bidi w:val="0"/>
              <w:adjustRightInd/>
              <w:snapToGrid/>
              <w:spacing w:line="240" w:lineRule="auto"/>
              <w:ind w:firstLine="0" w:firstLineChars="0"/>
              <w:jc w:val="both"/>
              <w:textAlignment w:val="auto"/>
              <w:rPr>
                <w:rFonts w:hint="default" w:ascii="Times New Roman" w:hAnsi="Times New Roman" w:eastAsia="仿宋_GB2312" w:cs="Times New Roman"/>
                <w:sz w:val="24"/>
                <w:szCs w:val="24"/>
                <w:lang w:eastAsia="zh-CN"/>
              </w:rPr>
            </w:pPr>
          </w:p>
          <w:p w14:paraId="3B3EBE34">
            <w:pPr>
              <w:keepNext w:val="0"/>
              <w:keepLines w:val="0"/>
              <w:pageBreakBefore w:val="0"/>
              <w:widowControl w:val="0"/>
              <w:kinsoku/>
              <w:wordWrap w:val="0"/>
              <w:overflowPunct/>
              <w:topLinePunct w:val="0"/>
              <w:autoSpaceDE/>
              <w:autoSpaceDN/>
              <w:bidi w:val="0"/>
              <w:adjustRightInd/>
              <w:snapToGrid/>
              <w:spacing w:line="240" w:lineRule="auto"/>
              <w:ind w:firstLine="3360" w:firstLineChars="1400"/>
              <w:jc w:val="both"/>
              <w:textAlignment w:val="auto"/>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eastAsia="zh-CN"/>
              </w:rPr>
              <w:t>承</w:t>
            </w:r>
            <w:r>
              <w:rPr>
                <w:rFonts w:hint="eastAsia" w:ascii="Times New Roman" w:hAnsi="Times New Roman" w:eastAsia="仿宋_GB2312" w:cs="Times New Roman"/>
                <w:sz w:val="24"/>
                <w:szCs w:val="24"/>
                <w:lang w:val="en-US" w:eastAsia="zh-CN"/>
              </w:rPr>
              <w:t xml:space="preserve"> </w:t>
            </w:r>
            <w:r>
              <w:rPr>
                <w:rFonts w:hint="default" w:ascii="Times New Roman" w:hAnsi="Times New Roman" w:eastAsia="仿宋_GB2312" w:cs="Times New Roman"/>
                <w:sz w:val="24"/>
                <w:szCs w:val="24"/>
                <w:lang w:eastAsia="zh-CN"/>
              </w:rPr>
              <w:t>诺</w:t>
            </w:r>
            <w:r>
              <w:rPr>
                <w:rFonts w:hint="eastAsia" w:ascii="Times New Roman" w:hAnsi="Times New Roman" w:eastAsia="仿宋_GB2312" w:cs="Times New Roman"/>
                <w:sz w:val="24"/>
                <w:szCs w:val="24"/>
                <w:lang w:val="en-US" w:eastAsia="zh-CN"/>
              </w:rPr>
              <w:t xml:space="preserve"> </w:t>
            </w:r>
            <w:r>
              <w:rPr>
                <w:rFonts w:hint="default" w:ascii="Times New Roman" w:hAnsi="Times New Roman" w:eastAsia="仿宋_GB2312" w:cs="Times New Roman"/>
                <w:sz w:val="24"/>
                <w:szCs w:val="24"/>
                <w:lang w:eastAsia="zh-CN"/>
              </w:rPr>
              <w:t>人：</w:t>
            </w:r>
          </w:p>
          <w:p w14:paraId="431677FC">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cs="Times New Roman"/>
                <w:sz w:val="24"/>
                <w:szCs w:val="24"/>
                <w:highlight w:val="none"/>
                <w:vertAlign w:val="baseline"/>
                <w:lang w:val="en-US" w:eastAsia="zh-CN"/>
              </w:rPr>
            </w:pPr>
            <w:r>
              <w:rPr>
                <w:rFonts w:hint="eastAsia" w:ascii="Times New Roman" w:hAnsi="Times New Roman" w:eastAsia="仿宋_GB2312" w:cs="Times New Roman"/>
                <w:sz w:val="24"/>
                <w:szCs w:val="24"/>
                <w:lang w:val="en-US" w:eastAsia="zh-CN"/>
              </w:rPr>
              <w:t xml:space="preserve">                            </w:t>
            </w:r>
            <w:r>
              <w:rPr>
                <w:rFonts w:hint="default" w:ascii="Times New Roman" w:hAnsi="Times New Roman" w:eastAsia="仿宋_GB2312" w:cs="Times New Roman"/>
                <w:sz w:val="24"/>
                <w:szCs w:val="24"/>
                <w:lang w:eastAsia="zh-CN"/>
              </w:rPr>
              <w:t>承诺时间：</w:t>
            </w:r>
            <w:r>
              <w:rPr>
                <w:rFonts w:hint="default" w:ascii="Times New Roman" w:hAnsi="Times New Roman" w:eastAsia="仿宋_GB2312" w:cs="Times New Roman"/>
                <w:sz w:val="24"/>
                <w:szCs w:val="24"/>
                <w:lang w:val="en-US" w:eastAsia="zh-CN"/>
              </w:rPr>
              <w:t xml:space="preserve">    年    月   日</w:t>
            </w:r>
          </w:p>
        </w:tc>
      </w:tr>
      <w:tr w14:paraId="31BE43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4" w:hRule="atLeast"/>
        </w:trPr>
        <w:tc>
          <w:tcPr>
            <w:tcW w:w="2265" w:type="dxa"/>
            <w:noWrap w:val="0"/>
            <w:vAlign w:val="center"/>
          </w:tcPr>
          <w:p w14:paraId="292DE0A7">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Times New Roman" w:hAnsi="Times New Roman" w:cs="Times New Roman"/>
                <w:sz w:val="24"/>
                <w:szCs w:val="24"/>
                <w:highlight w:val="none"/>
                <w:vertAlign w:val="baseline"/>
                <w:lang w:eastAsia="zh-CN"/>
              </w:rPr>
            </w:pPr>
            <w:r>
              <w:rPr>
                <w:rFonts w:hint="eastAsia" w:ascii="Times New Roman" w:hAnsi="Times New Roman" w:eastAsia="黑体" w:cs="黑体"/>
                <w:sz w:val="28"/>
                <w:szCs w:val="28"/>
                <w:highlight w:val="none"/>
                <w:vertAlign w:val="baseline"/>
                <w:lang w:eastAsia="zh-CN"/>
              </w:rPr>
              <w:t>监督举报渠道</w:t>
            </w:r>
          </w:p>
        </w:tc>
        <w:tc>
          <w:tcPr>
            <w:tcW w:w="6796" w:type="dxa"/>
            <w:noWrap w:val="0"/>
            <w:vAlign w:val="center"/>
          </w:tcPr>
          <w:p w14:paraId="5D7C8C67">
            <w:pPr>
              <w:keepNext w:val="0"/>
              <w:keepLines w:val="0"/>
              <w:pageBreakBefore w:val="0"/>
              <w:widowControl w:val="0"/>
              <w:kinsoku/>
              <w:wordWrap w:val="0"/>
              <w:overflowPunct/>
              <w:topLinePunct w:val="0"/>
              <w:autoSpaceDE/>
              <w:autoSpaceDN/>
              <w:bidi w:val="0"/>
              <w:adjustRightInd/>
              <w:snapToGrid/>
              <w:spacing w:line="240" w:lineRule="auto"/>
              <w:ind w:firstLine="482" w:firstLineChars="200"/>
              <w:jc w:val="left"/>
              <w:textAlignment w:val="auto"/>
              <w:rPr>
                <w:rFonts w:hint="eastAsia" w:ascii="Times New Roman" w:hAnsi="Times New Roman" w:cs="Times New Roman"/>
                <w:sz w:val="24"/>
                <w:szCs w:val="24"/>
                <w:highlight w:val="none"/>
                <w:lang w:val="en-US" w:eastAsia="zh-CN"/>
              </w:rPr>
            </w:pPr>
            <w:r>
              <w:rPr>
                <w:rFonts w:hint="eastAsia" w:ascii="Times New Roman" w:hAnsi="Times New Roman" w:cs="Times New Roman"/>
                <w:b/>
                <w:bCs/>
                <w:sz w:val="24"/>
                <w:szCs w:val="24"/>
                <w:highlight w:val="none"/>
                <w:lang w:val="en-US" w:eastAsia="zh-CN"/>
              </w:rPr>
              <w:t>一、举报电话：</w:t>
            </w:r>
            <w:r>
              <w:rPr>
                <w:rFonts w:hint="eastAsia" w:ascii="Times New Roman" w:hAnsi="Times New Roman" w:cs="Times New Roman"/>
                <w:sz w:val="24"/>
                <w:szCs w:val="24"/>
                <w:highlight w:val="none"/>
                <w:lang w:val="en-US" w:eastAsia="zh-CN"/>
              </w:rPr>
              <w:t>区应急管理局：12350、8725696；区公安分局：110；区市场监督管理局：12315、8725202。</w:t>
            </w:r>
          </w:p>
          <w:p w14:paraId="67AED22C">
            <w:pPr>
              <w:keepNext w:val="0"/>
              <w:keepLines w:val="0"/>
              <w:pageBreakBefore w:val="0"/>
              <w:widowControl w:val="0"/>
              <w:kinsoku/>
              <w:wordWrap w:val="0"/>
              <w:overflowPunct/>
              <w:topLinePunct w:val="0"/>
              <w:autoSpaceDE/>
              <w:autoSpaceDN/>
              <w:bidi w:val="0"/>
              <w:adjustRightInd/>
              <w:snapToGrid/>
              <w:spacing w:line="240" w:lineRule="auto"/>
              <w:ind w:firstLine="482" w:firstLineChars="200"/>
              <w:jc w:val="left"/>
              <w:textAlignment w:val="auto"/>
              <w:rPr>
                <w:rFonts w:hint="default" w:ascii="Times New Roman" w:hAnsi="Times New Roman"/>
                <w:highlight w:val="none"/>
              </w:rPr>
            </w:pPr>
            <w:r>
              <w:rPr>
                <w:rFonts w:hint="eastAsia" w:ascii="Times New Roman" w:hAnsi="Times New Roman" w:cs="Times New Roman"/>
                <w:b/>
                <w:bCs/>
                <w:sz w:val="24"/>
                <w:szCs w:val="24"/>
                <w:highlight w:val="none"/>
                <w:lang w:val="en-US" w:eastAsia="zh-CN"/>
              </w:rPr>
              <w:t>二、举报平台：</w:t>
            </w:r>
            <w:r>
              <w:rPr>
                <w:rFonts w:hint="eastAsia" w:ascii="Times New Roman" w:hAnsi="Times New Roman" w:cs="Times New Roman"/>
                <w:sz w:val="24"/>
                <w:szCs w:val="24"/>
                <w:highlight w:val="none"/>
                <w:lang w:val="en-US" w:eastAsia="zh-CN"/>
              </w:rPr>
              <w:t>应急管理部安全生产举报微信小程序、安全生产举报系统、广元安全隐患“随手拍”系统等平台。</w:t>
            </w:r>
          </w:p>
        </w:tc>
      </w:tr>
    </w:tbl>
    <w:p w14:paraId="6798C896"/>
    <w:sectPr>
      <w:footerReference r:id="rId5" w:type="default"/>
      <w:pgSz w:w="11906" w:h="16838"/>
      <w:pgMar w:top="2098" w:right="1474" w:bottom="1984" w:left="1587" w:header="851" w:footer="992" w:gutter="0"/>
      <w:pgNumType w:fmt="decimal"/>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Arial Unicode MS"/>
    <w:panose1 w:val="03000509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E5C056">
    <w:pPr>
      <w:pStyle w:val="4"/>
      <w:spacing w:line="14" w:lineRule="auto"/>
      <w:rPr>
        <w:sz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11C3F3">
    <w:pPr>
      <w:pStyle w:val="4"/>
      <w:spacing w:line="14" w:lineRule="auto"/>
      <w:rPr>
        <w:sz w:val="20"/>
      </w:rPr>
    </w:pPr>
    <w:r>
      <w:rPr>
        <w:sz w:val="20"/>
      </w:rPr>
      <mc:AlternateContent>
        <mc:Choice Requires="wps">
          <w:drawing>
            <wp:anchor distT="0" distB="0" distL="0" distR="0" simplePos="0" relativeHeight="251659264" behindDoc="1" locked="0" layoutInCell="1" allowOverlap="1">
              <wp:simplePos x="0" y="0"/>
              <wp:positionH relativeFrom="page">
                <wp:posOffset>995680</wp:posOffset>
              </wp:positionH>
              <wp:positionV relativeFrom="page">
                <wp:posOffset>6469380</wp:posOffset>
              </wp:positionV>
              <wp:extent cx="648970" cy="203835"/>
              <wp:effectExtent l="0" t="0" r="0" b="0"/>
              <wp:wrapNone/>
              <wp:docPr id="4" name="Textbox 4"/>
              <wp:cNvGraphicFramePr/>
              <a:graphic xmlns:a="http://schemas.openxmlformats.org/drawingml/2006/main">
                <a:graphicData uri="http://schemas.microsoft.com/office/word/2010/wordprocessingShape">
                  <wps:wsp>
                    <wps:cNvSpPr txBox="1"/>
                    <wps:spPr>
                      <a:xfrm>
                        <a:off x="0" y="0"/>
                        <a:ext cx="648970" cy="203835"/>
                      </a:xfrm>
                      <a:prstGeom prst="rect">
                        <a:avLst/>
                      </a:prstGeom>
                    </wps:spPr>
                    <wps:txbx>
                      <w:txbxContent>
                        <w:p w14:paraId="5F39167C">
                          <w:pPr>
                            <w:spacing w:before="0" w:line="321" w:lineRule="exact"/>
                            <w:ind w:left="20" w:right="0" w:firstLine="0"/>
                            <w:jc w:val="left"/>
                            <w:rPr>
                              <w:sz w:val="28"/>
                            </w:rPr>
                          </w:pPr>
                          <w:r>
                            <w:rPr>
                              <w:sz w:val="28"/>
                            </w:rPr>
                            <w:t>—</w:t>
                          </w:r>
                          <w:r>
                            <w:rPr>
                              <w:spacing w:val="-1"/>
                              <w:sz w:val="28"/>
                            </w:rPr>
                            <w:t xml:space="preserve"> </w:t>
                          </w:r>
                          <w:r>
                            <w:rPr>
                              <w:sz w:val="28"/>
                            </w:rPr>
                            <w:fldChar w:fldCharType="begin"/>
                          </w:r>
                          <w:r>
                            <w:rPr>
                              <w:sz w:val="28"/>
                            </w:rPr>
                            <w:instrText xml:space="preserve"> PAGE </w:instrText>
                          </w:r>
                          <w:r>
                            <w:rPr>
                              <w:sz w:val="28"/>
                            </w:rPr>
                            <w:fldChar w:fldCharType="separate"/>
                          </w:r>
                          <w:r>
                            <w:rPr>
                              <w:sz w:val="28"/>
                            </w:rPr>
                            <w:t>4</w:t>
                          </w:r>
                          <w:r>
                            <w:rPr>
                              <w:sz w:val="28"/>
                            </w:rPr>
                            <w:fldChar w:fldCharType="end"/>
                          </w:r>
                          <w:r>
                            <w:rPr>
                              <w:sz w:val="28"/>
                            </w:rPr>
                            <w:t xml:space="preserve"> </w:t>
                          </w:r>
                          <w:r>
                            <w:rPr>
                              <w:spacing w:val="-10"/>
                              <w:sz w:val="28"/>
                            </w:rPr>
                            <w:t>—</w:t>
                          </w:r>
                        </w:p>
                      </w:txbxContent>
                    </wps:txbx>
                    <wps:bodyPr wrap="square" lIns="0" tIns="0" rIns="0" bIns="0" rtlCol="0">
                      <a:noAutofit/>
                    </wps:bodyPr>
                  </wps:wsp>
                </a:graphicData>
              </a:graphic>
            </wp:anchor>
          </w:drawing>
        </mc:Choice>
        <mc:Fallback>
          <w:pict>
            <v:shape id="Textbox 4" o:spid="_x0000_s1026" o:spt="202" type="#_x0000_t202" style="position:absolute;left:0pt;margin-left:78.4pt;margin-top:509.4pt;height:16.05pt;width:51.1pt;mso-position-horizontal-relative:page;mso-position-vertical-relative:page;z-index:-251657216;mso-width-relative:page;mso-height-relative:page;" filled="f" stroked="f" coordsize="21600,21600" o:gfxdata="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Ba&#10;alTU2QAAAA0BAAAPAAAAAAAAAAEAIAAAACIAAABkcnMvZG93bnJldi54bWxQSwECFAAUAAAACACH&#10;TuJA0vNvG7EBAABzAwAADgAAAAAAAAABACAAAAAoAQAAZHJzL2Uyb0RvYy54bWxQSwUGAAAAAAYA&#10;BgBZAQAASwUAAAAA&#10;">
              <v:fill on="f" focussize="0,0"/>
              <v:stroke on="f"/>
              <v:imagedata o:title=""/>
              <o:lock v:ext="edit" aspectratio="f"/>
              <v:textbox inset="0mm,0mm,0mm,0mm">
                <w:txbxContent>
                  <w:p w14:paraId="5F39167C">
                    <w:pPr>
                      <w:spacing w:before="0" w:line="321" w:lineRule="exact"/>
                      <w:ind w:left="20" w:right="0" w:firstLine="0"/>
                      <w:jc w:val="left"/>
                      <w:rPr>
                        <w:sz w:val="28"/>
                      </w:rPr>
                    </w:pPr>
                    <w:r>
                      <w:rPr>
                        <w:sz w:val="28"/>
                      </w:rPr>
                      <w:t>—</w:t>
                    </w:r>
                    <w:r>
                      <w:rPr>
                        <w:spacing w:val="-1"/>
                        <w:sz w:val="28"/>
                      </w:rPr>
                      <w:t xml:space="preserve"> </w:t>
                    </w:r>
                    <w:r>
                      <w:rPr>
                        <w:sz w:val="28"/>
                      </w:rPr>
                      <w:fldChar w:fldCharType="begin"/>
                    </w:r>
                    <w:r>
                      <w:rPr>
                        <w:sz w:val="28"/>
                      </w:rPr>
                      <w:instrText xml:space="preserve"> PAGE </w:instrText>
                    </w:r>
                    <w:r>
                      <w:rPr>
                        <w:sz w:val="28"/>
                      </w:rPr>
                      <w:fldChar w:fldCharType="separate"/>
                    </w:r>
                    <w:r>
                      <w:rPr>
                        <w:sz w:val="28"/>
                      </w:rPr>
                      <w:t>4</w:t>
                    </w:r>
                    <w:r>
                      <w:rPr>
                        <w:sz w:val="28"/>
                      </w:rPr>
                      <w:fldChar w:fldCharType="end"/>
                    </w:r>
                    <w:r>
                      <w:rPr>
                        <w:sz w:val="28"/>
                      </w:rPr>
                      <w:t xml:space="preserve"> </w:t>
                    </w:r>
                    <w:r>
                      <w:rPr>
                        <w:spacing w:val="-10"/>
                        <w:sz w:val="28"/>
                      </w:rPr>
                      <w:t>—</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71F752">
    <w:pPr>
      <w:pStyle w:val="4"/>
      <w:spacing w:line="14" w:lineRule="auto"/>
      <w:rPr>
        <w:sz w:val="20"/>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A55458"/>
    <w:rsid w:val="011306C8"/>
    <w:rsid w:val="03CA1FD2"/>
    <w:rsid w:val="05154ACB"/>
    <w:rsid w:val="05AE45D8"/>
    <w:rsid w:val="09B66DF5"/>
    <w:rsid w:val="09CA2846"/>
    <w:rsid w:val="09ED7B5D"/>
    <w:rsid w:val="0A8E428D"/>
    <w:rsid w:val="0C6E0FCB"/>
    <w:rsid w:val="0CD0460D"/>
    <w:rsid w:val="0CD11EC2"/>
    <w:rsid w:val="0D3F0145"/>
    <w:rsid w:val="0E6A1C10"/>
    <w:rsid w:val="104B4630"/>
    <w:rsid w:val="109270EE"/>
    <w:rsid w:val="11623457"/>
    <w:rsid w:val="130E081E"/>
    <w:rsid w:val="133E3B5B"/>
    <w:rsid w:val="14513C5D"/>
    <w:rsid w:val="157C7AF5"/>
    <w:rsid w:val="15A7425E"/>
    <w:rsid w:val="163B3229"/>
    <w:rsid w:val="178D7FA2"/>
    <w:rsid w:val="194F3CA2"/>
    <w:rsid w:val="19526BE5"/>
    <w:rsid w:val="1A122A92"/>
    <w:rsid w:val="1A170182"/>
    <w:rsid w:val="1B437FAC"/>
    <w:rsid w:val="1CA0270C"/>
    <w:rsid w:val="1E1E45BD"/>
    <w:rsid w:val="1E6D7D12"/>
    <w:rsid w:val="1F6106A5"/>
    <w:rsid w:val="22053EAE"/>
    <w:rsid w:val="255C4E23"/>
    <w:rsid w:val="27120CE6"/>
    <w:rsid w:val="2A9F7FE6"/>
    <w:rsid w:val="2BAC1E45"/>
    <w:rsid w:val="2D3E2397"/>
    <w:rsid w:val="2D9A58A2"/>
    <w:rsid w:val="32D82310"/>
    <w:rsid w:val="33276A07"/>
    <w:rsid w:val="333952A6"/>
    <w:rsid w:val="362B79C2"/>
    <w:rsid w:val="39340972"/>
    <w:rsid w:val="39451B7B"/>
    <w:rsid w:val="39CD25F4"/>
    <w:rsid w:val="3C8A6C6E"/>
    <w:rsid w:val="3C9A514E"/>
    <w:rsid w:val="3D0E57CF"/>
    <w:rsid w:val="3E9D7AB5"/>
    <w:rsid w:val="3FC1300E"/>
    <w:rsid w:val="3FC879BB"/>
    <w:rsid w:val="3FDF54F0"/>
    <w:rsid w:val="425113E3"/>
    <w:rsid w:val="42E04366"/>
    <w:rsid w:val="431B3529"/>
    <w:rsid w:val="44772000"/>
    <w:rsid w:val="44783F3C"/>
    <w:rsid w:val="464F5397"/>
    <w:rsid w:val="48475BA5"/>
    <w:rsid w:val="48D16F8B"/>
    <w:rsid w:val="49623C10"/>
    <w:rsid w:val="4A6B5DE9"/>
    <w:rsid w:val="4AAB7D8C"/>
    <w:rsid w:val="4B44507F"/>
    <w:rsid w:val="4DAB4331"/>
    <w:rsid w:val="4EA352F4"/>
    <w:rsid w:val="4FB73841"/>
    <w:rsid w:val="4FC92B7D"/>
    <w:rsid w:val="4FF17BFF"/>
    <w:rsid w:val="531F051A"/>
    <w:rsid w:val="53993A4E"/>
    <w:rsid w:val="56F75182"/>
    <w:rsid w:val="579A207C"/>
    <w:rsid w:val="58C50385"/>
    <w:rsid w:val="5A0F0ED8"/>
    <w:rsid w:val="5AEB266B"/>
    <w:rsid w:val="5AED60CD"/>
    <w:rsid w:val="5B8B7B3B"/>
    <w:rsid w:val="5D9D2E38"/>
    <w:rsid w:val="622E7E61"/>
    <w:rsid w:val="623C7FEB"/>
    <w:rsid w:val="631E78C0"/>
    <w:rsid w:val="63E45FA8"/>
    <w:rsid w:val="654549A2"/>
    <w:rsid w:val="663F4DA8"/>
    <w:rsid w:val="68FE2083"/>
    <w:rsid w:val="69561916"/>
    <w:rsid w:val="697575B1"/>
    <w:rsid w:val="6CFC6225"/>
    <w:rsid w:val="6EAB5B99"/>
    <w:rsid w:val="70B93261"/>
    <w:rsid w:val="70EA2526"/>
    <w:rsid w:val="717C7EB3"/>
    <w:rsid w:val="71C239FD"/>
    <w:rsid w:val="724314CB"/>
    <w:rsid w:val="725D40C0"/>
    <w:rsid w:val="73A57A76"/>
    <w:rsid w:val="756A6AF5"/>
    <w:rsid w:val="75820AE5"/>
    <w:rsid w:val="76147462"/>
    <w:rsid w:val="79963DFD"/>
    <w:rsid w:val="799E41D9"/>
    <w:rsid w:val="7BCB4A39"/>
    <w:rsid w:val="7CB33269"/>
    <w:rsid w:val="7DC63857"/>
    <w:rsid w:val="7E411D9B"/>
    <w:rsid w:val="7F182B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paragraph" w:styleId="3">
    <w:name w:val="heading 1"/>
    <w:basedOn w:val="1"/>
    <w:next w:val="1"/>
    <w:qFormat/>
    <w:uiPriority w:val="1"/>
    <w:pPr>
      <w:spacing w:before="56"/>
      <w:ind w:left="948"/>
      <w:outlineLvl w:val="1"/>
    </w:pPr>
    <w:rPr>
      <w:rFonts w:ascii="宋体" w:hAnsi="宋体" w:eastAsia="宋体" w:cs="宋体"/>
      <w:sz w:val="44"/>
      <w:szCs w:val="44"/>
      <w:lang w:val="en-US" w:eastAsia="zh-CN" w:bidi="ar-SA"/>
    </w:rPr>
  </w:style>
  <w:style w:type="paragraph" w:styleId="2">
    <w:name w:val="heading 4"/>
    <w:basedOn w:val="1"/>
    <w:next w:val="1"/>
    <w:qFormat/>
    <w:uiPriority w:val="0"/>
    <w:pPr>
      <w:keepNext/>
      <w:keepLines/>
      <w:widowControl w:val="0"/>
      <w:spacing w:before="280" w:after="290" w:line="376" w:lineRule="auto"/>
      <w:outlineLvl w:val="3"/>
    </w:pPr>
    <w:rPr>
      <w:rFonts w:ascii="Arial" w:hAnsi="Arial" w:eastAsia="黑体"/>
      <w:b/>
      <w:bCs/>
      <w:sz w:val="28"/>
      <w:szCs w:val="28"/>
    </w:rPr>
  </w:style>
  <w:style w:type="character" w:default="1" w:styleId="13">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4">
    <w:name w:val="Body Text"/>
    <w:basedOn w:val="1"/>
    <w:qFormat/>
    <w:uiPriority w:val="1"/>
    <w:rPr>
      <w:rFonts w:ascii="宋体" w:hAnsi="宋体" w:eastAsia="宋体" w:cs="宋体"/>
      <w:sz w:val="32"/>
      <w:szCs w:val="32"/>
      <w:lang w:val="en-US" w:eastAsia="zh-CN" w:bidi="ar-SA"/>
    </w:rPr>
  </w:style>
  <w:style w:type="paragraph" w:styleId="5">
    <w:name w:val="Body Text Indent"/>
    <w:basedOn w:val="1"/>
    <w:qFormat/>
    <w:uiPriority w:val="99"/>
    <w:pPr>
      <w:spacing w:after="120"/>
      <w:ind w:left="420" w:leftChars="200"/>
    </w:pPr>
  </w:style>
  <w:style w:type="paragraph" w:styleId="6">
    <w:name w:val="Body Text Indent 2"/>
    <w:basedOn w:val="1"/>
    <w:next w:val="1"/>
    <w:qFormat/>
    <w:uiPriority w:val="0"/>
    <w:pPr>
      <w:spacing w:before="100" w:beforeAutospacing="1" w:line="480" w:lineRule="auto"/>
      <w:ind w:left="200" w:leftChars="200" w:firstLine="200" w:firstLineChars="200"/>
    </w:pPr>
    <w:rPr>
      <w:rFonts w:ascii="Times New Roman" w:hAnsi="Times New Roman" w:eastAsia="仿宋_GB2312" w:cs="Times New Roman"/>
      <w:szCs w:val="21"/>
    </w:r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Normal (Web)"/>
    <w:basedOn w:val="1"/>
    <w:qFormat/>
    <w:uiPriority w:val="0"/>
    <w:pPr>
      <w:spacing w:beforeAutospacing="1" w:afterAutospacing="1"/>
      <w:jc w:val="left"/>
    </w:pPr>
    <w:rPr>
      <w:rFonts w:cs="Times New Roman"/>
      <w:kern w:val="0"/>
      <w:sz w:val="24"/>
    </w:rPr>
  </w:style>
  <w:style w:type="paragraph" w:styleId="10">
    <w:name w:val="Body Text First Indent 2"/>
    <w:basedOn w:val="5"/>
    <w:next w:val="1"/>
    <w:qFormat/>
    <w:uiPriority w:val="99"/>
    <w:pPr>
      <w:ind w:firstLine="420" w:firstLineChars="200"/>
    </w:pPr>
    <w:rPr>
      <w:rFonts w:ascii="Calibri" w:hAnsi="Calibri"/>
    </w:rPr>
  </w:style>
  <w:style w:type="table" w:styleId="12">
    <w:name w:val="Table Grid"/>
    <w:basedOn w:val="1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4">
    <w:name w:val="自用"/>
    <w:basedOn w:val="1"/>
    <w:qFormat/>
    <w:uiPriority w:val="0"/>
    <w:pPr>
      <w:spacing w:line="600" w:lineRule="exact"/>
      <w:ind w:firstLine="420" w:firstLineChars="200"/>
      <w:jc w:val="left"/>
    </w:pPr>
    <w:rPr>
      <w:rFonts w:ascii="Times New Roman" w:hAnsi="Times New Roman" w:eastAsia="仿宋_GB2312"/>
      <w:sz w:val="32"/>
      <w:szCs w:val="32"/>
    </w:rPr>
  </w:style>
  <w:style w:type="paragraph" w:customStyle="1" w:styleId="15">
    <w:name w:val="p0"/>
    <w:basedOn w:val="1"/>
    <w:qFormat/>
    <w:uiPriority w:val="0"/>
    <w:pPr>
      <w:widowControl/>
    </w:pPr>
    <w:rPr>
      <w:rFonts w:ascii="Times New Roman" w:hAnsi="Times New Roman" w:cs="Times New Roman"/>
      <w:kern w:val="0"/>
      <w:szCs w:val="21"/>
    </w:rPr>
  </w:style>
  <w:style w:type="paragraph" w:customStyle="1" w:styleId="16">
    <w:name w:val="Table Paragraph"/>
    <w:basedOn w:val="1"/>
    <w:qFormat/>
    <w:uiPriority w:val="1"/>
    <w:rPr>
      <w:rFonts w:ascii="宋体" w:hAnsi="宋体" w:eastAsia="宋体" w:cs="宋体"/>
      <w:lang w:val="en-US" w:eastAsia="zh-CN" w:bidi="ar-SA"/>
    </w:rPr>
  </w:style>
  <w:style w:type="paragraph" w:styleId="17">
    <w:name w:val="List Paragraph"/>
    <w:basedOn w:val="1"/>
    <w:qFormat/>
    <w:uiPriority w:val="1"/>
    <w:pPr>
      <w:ind w:left="1718" w:hanging="282"/>
    </w:pPr>
    <w:rPr>
      <w:rFonts w:ascii="宋体" w:hAnsi="宋体" w:eastAsia="宋体" w:cs="宋体"/>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4630</Words>
  <Characters>4790</Characters>
  <Lines>0</Lines>
  <Paragraphs>0</Paragraphs>
  <TotalTime>0</TotalTime>
  <ScaleCrop>false</ScaleCrop>
  <LinksUpToDate>false</LinksUpToDate>
  <CharactersWithSpaces>4981</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昭化融媒体</cp:lastModifiedBy>
  <dcterms:modified xsi:type="dcterms:W3CDTF">2025-06-16T00:45:43Z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C7888662D94C4E0C85E80E245B37738A_13</vt:lpwstr>
  </property>
  <property fmtid="{D5CDD505-2E9C-101B-9397-08002B2CF9AE}" pid="4" name="KSOTemplateDocerSaveRecord">
    <vt:lpwstr>eyJoZGlkIjoiMGVhYTg4NGNkZWJkODFjNzcyZDRjM2M4Y2UzNjI5ZmUiLCJ1c2VySWQiOiI2MTE2MzEwMDYifQ==</vt:lpwstr>
  </property>
</Properties>
</file>