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hint="eastAsia" w:ascii="方正舒体" w:hAnsi="方正舒体" w:eastAsia="方正舒体" w:cs="方正舒体"/>
          <w:color w:val="auto"/>
          <w:sz w:val="72"/>
          <w:szCs w:val="72"/>
          <w:highlight w:val="none"/>
        </w:rPr>
      </w:pPr>
      <w:bookmarkStart w:id="62" w:name="_GoBack"/>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8"/>
          <w:szCs w:val="48"/>
          <w:highlight w:val="none"/>
        </w:rPr>
      </w:pPr>
      <w:bookmarkStart w:id="1" w:name="_Toc15378441"/>
      <w:bookmarkStart w:id="2" w:name="_Toc15377425"/>
      <w:bookmarkStart w:id="3" w:name="_Toc15377193"/>
      <w:bookmarkStart w:id="4" w:name="_Toc15396597"/>
      <w:bookmarkStart w:id="5" w:name="_Toc15396475"/>
      <w:r>
        <w:rPr>
          <w:rFonts w:hint="eastAsia" w:ascii="方正小标宋简体" w:hAnsi="方正小标宋简体" w:eastAsia="方正小标宋简体" w:cs="方正小标宋简体"/>
          <w:color w:val="auto"/>
          <w:sz w:val="48"/>
          <w:szCs w:val="48"/>
          <w:highlight w:val="none"/>
        </w:rPr>
        <w:t>20</w:t>
      </w:r>
      <w:r>
        <w:rPr>
          <w:rFonts w:hint="eastAsia" w:ascii="方正小标宋简体" w:hAnsi="方正小标宋简体" w:eastAsia="方正小标宋简体" w:cs="方正小标宋简体"/>
          <w:color w:val="auto"/>
          <w:sz w:val="48"/>
          <w:szCs w:val="48"/>
          <w:highlight w:val="none"/>
          <w:lang w:val="en-US" w:eastAsia="zh-CN"/>
        </w:rPr>
        <w:t>21</w:t>
      </w:r>
      <w:r>
        <w:rPr>
          <w:rFonts w:hint="eastAsia" w:ascii="方正小标宋简体" w:hAnsi="方正小标宋简体" w:eastAsia="方正小标宋简体" w:cs="方正小标宋简体"/>
          <w:color w:val="auto"/>
          <w:sz w:val="48"/>
          <w:szCs w:val="48"/>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48"/>
          <w:szCs w:val="48"/>
          <w:highlight w:val="none"/>
        </w:rPr>
      </w:pPr>
      <w:r>
        <w:rPr>
          <w:rFonts w:hint="eastAsia" w:ascii="方正小标宋简体" w:hAnsi="方正小标宋简体" w:eastAsia="方正小标宋简体" w:cs="方正小标宋简体"/>
          <w:color w:val="auto"/>
          <w:sz w:val="48"/>
          <w:szCs w:val="48"/>
          <w:highlight w:val="none"/>
          <w:lang w:eastAsia="zh-CN"/>
        </w:rPr>
        <w:t>广元市昭化区统计局部门决算编制说明</w:t>
      </w:r>
    </w:p>
    <w:bookmarkEnd w:id="62"/>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2"/>
        <w:jc w:val="both"/>
        <w:rPr>
          <w:color w:val="auto"/>
          <w:highlight w:val="none"/>
        </w:rPr>
      </w:pPr>
    </w:p>
    <w:p>
      <w:pPr>
        <w:rPr>
          <w:color w:val="auto"/>
          <w:highlight w:val="none"/>
        </w:rPr>
      </w:pPr>
    </w:p>
    <w:p>
      <w:pPr>
        <w:pStyle w:val="12"/>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Times New Roman" w:hAnsi="Times New Roman" w:eastAsia="宋体" w:cs="Times New Roman"/>
          <w:color w:val="auto"/>
          <w:kern w:val="2"/>
          <w:sz w:val="24"/>
          <w:szCs w:val="24"/>
          <w:highlight w:val="none"/>
          <w:lang w:val="en-US" w:eastAsia="zh-CN" w:bidi="ar-SA"/>
        </w:rPr>
        <w:t>.....................................................................................................4</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color w:val="auto"/>
          <w:sz w:val="24"/>
          <w:highlight w:val="none"/>
          <w:lang w:val="en-US" w:eastAsia="zh-CN"/>
        </w:rPr>
        <w:t>........................................................................................................4</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部门预算单位构成</w:t>
      </w:r>
      <w:r>
        <w:rPr>
          <w:rFonts w:hint="eastAsia"/>
          <w:color w:val="auto"/>
          <w:sz w:val="24"/>
          <w:highlight w:val="none"/>
          <w:lang w:val="en-US" w:eastAsia="zh-CN"/>
        </w:rPr>
        <w:t>........................................................................................4</w:t>
      </w:r>
    </w:p>
    <w:p>
      <w:pPr>
        <w:pStyle w:val="13"/>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三、</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color w:val="auto"/>
          <w:sz w:val="24"/>
          <w:highlight w:val="none"/>
          <w:lang w:val="en-US" w:eastAsia="zh-CN"/>
        </w:rPr>
        <w:t>...........................................................................5</w:t>
      </w:r>
    </w:p>
    <w:p>
      <w:pPr>
        <w:pStyle w:val="12"/>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lang w:val="en-US" w:eastAsia="zh-CN"/>
        </w:rPr>
        <w:t>8</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color w:val="auto"/>
          <w:sz w:val="24"/>
          <w:highlight w:val="none"/>
          <w:lang w:val="en-US" w:eastAsia="zh-CN"/>
        </w:rPr>
        <w:t>.........................................................................8</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color w:val="auto"/>
          <w:sz w:val="24"/>
          <w:highlight w:val="none"/>
          <w:lang w:val="en-US" w:eastAsia="zh-CN"/>
        </w:rPr>
        <w:t>.........................................................................................8</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color w:val="auto"/>
          <w:sz w:val="24"/>
          <w:highlight w:val="none"/>
          <w:lang w:val="en-US" w:eastAsia="zh-CN"/>
        </w:rPr>
        <w:t>.........................................................................................9</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color w:val="auto"/>
          <w:sz w:val="24"/>
          <w:highlight w:val="none"/>
          <w:lang w:val="en-US" w:eastAsia="zh-CN"/>
        </w:rPr>
        <w:t>...........................................................9</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color w:val="auto"/>
          <w:sz w:val="24"/>
          <w:highlight w:val="none"/>
          <w:lang w:val="en-US" w:eastAsia="zh-CN"/>
        </w:rPr>
        <w:t>...............................................10</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color w:val="auto"/>
          <w:sz w:val="24"/>
          <w:highlight w:val="none"/>
          <w:lang w:val="en-US" w:eastAsia="zh-CN"/>
        </w:rPr>
        <w:t>.........................................11</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...............................................12</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color w:val="auto"/>
          <w:sz w:val="24"/>
          <w:highlight w:val="none"/>
          <w:lang w:val="en-US" w:eastAsia="zh-CN"/>
        </w:rPr>
        <w:t>...........................................................14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color w:val="auto"/>
          <w:sz w:val="24"/>
          <w:highlight w:val="none"/>
          <w:lang w:val="en-US" w:eastAsia="zh-CN"/>
        </w:rPr>
        <w:t>.......................................................14</w:t>
      </w:r>
    </w:p>
    <w:p>
      <w:pPr>
        <w:pStyle w:val="13"/>
        <w:adjustRightInd w:val="0"/>
        <w:snapToGrid w:val="0"/>
        <w:spacing w:line="440" w:lineRule="exact"/>
        <w:jc w:val="left"/>
        <w:rPr>
          <w:rFonts w:hint="default" w:eastAsia="宋体"/>
          <w:lang w:val="en-US" w:eastAsia="zh-CN"/>
        </w:rPr>
      </w:pPr>
      <w:r>
        <w:rPr>
          <w:rFonts w:hint="eastAsia"/>
          <w:color w:val="auto"/>
          <w:sz w:val="24"/>
          <w:highlight w:val="none"/>
        </w:rPr>
        <w:t>十、</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color w:val="auto"/>
          <w:sz w:val="24"/>
          <w:highlight w:val="none"/>
          <w:lang w:val="en-US" w:eastAsia="zh-CN"/>
        </w:rPr>
        <w:t>.......................................................................................14</w:t>
      </w:r>
    </w:p>
    <w:p>
      <w:pPr>
        <w:pStyle w:val="13"/>
        <w:adjustRightInd w:val="0"/>
        <w:snapToGrid w:val="0"/>
        <w:spacing w:line="440" w:lineRule="exact"/>
        <w:jc w:val="left"/>
        <w:rPr>
          <w:rFonts w:hint="default" w:eastAsia="宋体"/>
          <w:lang w:val="en-US" w:eastAsia="zh-CN"/>
        </w:rPr>
      </w:pPr>
      <w:r>
        <w:rPr>
          <w:rFonts w:hint="eastAsia"/>
          <w:color w:val="auto"/>
          <w:sz w:val="24"/>
          <w:highlight w:val="none"/>
          <w:lang w:val="en-US" w:eastAsia="zh-CN"/>
        </w:rPr>
        <w:t>十一、</w:t>
      </w:r>
      <w:r>
        <w:rPr>
          <w:rFonts w:hint="eastAsia"/>
          <w:color w:val="auto"/>
          <w:sz w:val="24"/>
          <w:highlight w:val="none"/>
        </w:rPr>
        <w:t>其他重要事项的情况说明</w:t>
      </w:r>
      <w:r>
        <w:rPr>
          <w:rFonts w:hint="eastAsia"/>
          <w:color w:val="auto"/>
          <w:sz w:val="24"/>
          <w:highlight w:val="none"/>
          <w:lang w:val="en-US" w:eastAsia="zh-CN"/>
        </w:rPr>
        <w:t>.......................................................................14</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lang w:val="en-US" w:eastAsia="zh-CN"/>
        </w:rPr>
        <w:t>16</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............................................................................................................18</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五、财政拨款支出决算明细表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十、一般公共预算财政拨款“三公”经费支出决算表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十一、政府性基金预算财政拨款收入支出决算表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十二、政府性基金预算财政拨款“三公”经费支出决算表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color w:val="auto"/>
          <w:sz w:val="24"/>
          <w:highlight w:val="none"/>
          <w:lang w:val="en-US" w:eastAsia="zh-CN"/>
        </w:rPr>
        <w:t>.................................19</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lang w:val="en-US" w:eastAsia="zh-CN"/>
        </w:rPr>
        <w:t>十四、国有资本经营预算财政拨款支出决算表.........................................19</w:t>
      </w:r>
    </w:p>
    <w:p>
      <w:pPr>
        <w:pStyle w:val="13"/>
        <w:adjustRightInd w:val="0"/>
        <w:snapToGrid w:val="0"/>
        <w:spacing w:line="440" w:lineRule="exact"/>
        <w:jc w:val="left"/>
        <w:rPr>
          <w:rFonts w:hint="default"/>
          <w:color w:val="auto"/>
          <w:sz w:val="24"/>
          <w:highlight w:val="none"/>
          <w:lang w:val="en-US" w:eastAsia="zh-CN"/>
        </w:rPr>
      </w:pP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bookmarkStart w:id="6" w:name="_Toc15396599"/>
      <w:bookmarkStart w:id="7" w:name="_Toc15377196"/>
      <w:r>
        <w:rPr>
          <w:rFonts w:ascii="仿宋" w:hAnsi="仿宋" w:eastAsia="仿宋"/>
          <w:b/>
          <w:color w:val="auto"/>
          <w:sz w:val="24"/>
          <w:highlight w:val="none"/>
        </w:rPr>
        <w:br w:type="page"/>
      </w:r>
    </w:p>
    <w:p>
      <w:pPr>
        <w:pStyle w:val="3"/>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6"/>
      <w:bookmarkEnd w:id="7"/>
    </w:p>
    <w:p>
      <w:pPr>
        <w:widowControl/>
        <w:jc w:val="left"/>
        <w:rPr>
          <w:rFonts w:ascii="黑体" w:eastAsia="黑体"/>
          <w:color w:val="auto"/>
          <w:sz w:val="32"/>
          <w:szCs w:val="32"/>
          <w:highlight w:val="none"/>
        </w:rPr>
      </w:pPr>
    </w:p>
    <w:p>
      <w:pPr>
        <w:pStyle w:val="4"/>
        <w:numPr>
          <w:ilvl w:val="0"/>
          <w:numId w:val="1"/>
        </w:numPr>
        <w:rPr>
          <w:rStyle w:val="28"/>
          <w:rFonts w:hint="eastAsia" w:ascii="黑体" w:hAnsi="黑体" w:eastAsia="黑体"/>
          <w:b w:val="0"/>
          <w:bCs w:val="0"/>
          <w:color w:val="auto"/>
          <w:highlight w:val="none"/>
          <w:lang w:eastAsia="zh-CN"/>
        </w:rPr>
      </w:pPr>
      <w:bookmarkStart w:id="8" w:name="_Toc15377197"/>
      <w:bookmarkStart w:id="9" w:name="_Toc15396600"/>
      <w:r>
        <w:rPr>
          <w:rStyle w:val="28"/>
          <w:rFonts w:hint="eastAsia" w:ascii="黑体" w:hAnsi="黑体" w:eastAsia="黑体"/>
          <w:b w:val="0"/>
          <w:bCs w:val="0"/>
          <w:color w:val="auto"/>
          <w:highlight w:val="none"/>
        </w:rPr>
        <w:t>职能</w:t>
      </w:r>
      <w:r>
        <w:rPr>
          <w:rStyle w:val="28"/>
          <w:rFonts w:hint="eastAsia" w:ascii="黑体" w:hAnsi="黑体" w:eastAsia="黑体"/>
          <w:b w:val="0"/>
          <w:bCs w:val="0"/>
          <w:color w:val="auto"/>
          <w:highlight w:val="none"/>
          <w:lang w:eastAsia="zh-CN"/>
        </w:rPr>
        <w:t>简介</w:t>
      </w:r>
    </w:p>
    <w:p>
      <w:pPr>
        <w:keepNext w:val="0"/>
        <w:keepLines w:val="0"/>
        <w:pageBreakBefore w:val="0"/>
        <w:kinsoku/>
        <w:wordWrap/>
        <w:overflowPunct/>
        <w:topLinePunct w:val="0"/>
        <w:bidi w:val="0"/>
        <w:snapToGrid/>
        <w:spacing w:line="360" w:lineRule="auto"/>
        <w:ind w:firstLine="537" w:firstLineChars="192"/>
        <w:textAlignment w:val="auto"/>
        <w:rPr>
          <w:rFonts w:hint="eastAsia" w:ascii="宋体" w:hAnsi="宋体" w:eastAsia="宋体" w:cs="宋体"/>
          <w:b w:val="0"/>
          <w:bCs w:val="0"/>
          <w:sz w:val="28"/>
          <w:szCs w:val="28"/>
        </w:rPr>
      </w:pPr>
      <w:r>
        <w:rPr>
          <w:rFonts w:hint="eastAsia" w:ascii="宋体" w:hAnsi="宋体" w:cs="宋体"/>
          <w:b w:val="0"/>
          <w:bCs w:val="0"/>
          <w:sz w:val="28"/>
          <w:szCs w:val="28"/>
          <w:lang w:eastAsia="zh-CN"/>
        </w:rPr>
        <w:t>（一）</w:t>
      </w:r>
      <w:r>
        <w:rPr>
          <w:rFonts w:hint="eastAsia" w:ascii="宋体" w:hAnsi="宋体" w:eastAsia="宋体" w:cs="宋体"/>
          <w:b w:val="0"/>
          <w:bCs w:val="0"/>
          <w:sz w:val="28"/>
          <w:szCs w:val="28"/>
        </w:rPr>
        <w:t>贯彻执行国家法律、法规和有关统计工作方针、政策，检查监督统计法规的实施，组织领导和协调全区统计工作，制订全区统计工作规划</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统计调查计划，并组织实施。</w:t>
      </w:r>
    </w:p>
    <w:p>
      <w:pPr>
        <w:keepNext w:val="0"/>
        <w:keepLines w:val="0"/>
        <w:pageBreakBefore w:val="0"/>
        <w:kinsoku/>
        <w:wordWrap/>
        <w:overflowPunct/>
        <w:topLinePunct w:val="0"/>
        <w:bidi w:val="0"/>
        <w:snapToGrid/>
        <w:spacing w:line="360" w:lineRule="auto"/>
        <w:ind w:firstLine="537" w:firstLineChars="192"/>
        <w:textAlignment w:val="auto"/>
        <w:rPr>
          <w:rFonts w:hint="eastAsia" w:ascii="宋体" w:hAnsi="宋体" w:eastAsia="宋体" w:cs="宋体"/>
          <w:b w:val="0"/>
          <w:bCs w:val="0"/>
          <w:sz w:val="28"/>
          <w:szCs w:val="28"/>
        </w:rPr>
      </w:pPr>
      <w:r>
        <w:rPr>
          <w:rFonts w:hint="eastAsia" w:ascii="宋体" w:hAnsi="宋体" w:cs="宋体"/>
          <w:b w:val="0"/>
          <w:bCs w:val="0"/>
          <w:sz w:val="28"/>
          <w:szCs w:val="28"/>
          <w:lang w:eastAsia="zh-CN"/>
        </w:rPr>
        <w:t>（二）</w:t>
      </w:r>
      <w:r>
        <w:rPr>
          <w:rFonts w:hint="eastAsia" w:ascii="宋体" w:hAnsi="宋体" w:eastAsia="宋体" w:cs="宋体"/>
          <w:b w:val="0"/>
          <w:bCs w:val="0"/>
          <w:sz w:val="28"/>
          <w:szCs w:val="28"/>
        </w:rPr>
        <w:t>贯彻执行国家国民经济核算体系和全国统一的基本统计报表制度，组织领导、协调本辖区各部门、镇统计工作和国民经济核算工作，统一组织管理全区统计报表工作。</w:t>
      </w:r>
    </w:p>
    <w:p>
      <w:pPr>
        <w:keepNext w:val="0"/>
        <w:keepLines w:val="0"/>
        <w:pageBreakBefore w:val="0"/>
        <w:kinsoku/>
        <w:wordWrap/>
        <w:overflowPunct/>
        <w:topLinePunct w:val="0"/>
        <w:bidi w:val="0"/>
        <w:snapToGrid/>
        <w:spacing w:line="360" w:lineRule="auto"/>
        <w:ind w:firstLine="537" w:firstLineChars="192"/>
        <w:textAlignment w:val="auto"/>
        <w:rPr>
          <w:rFonts w:hint="eastAsia" w:ascii="宋体" w:hAnsi="宋体" w:eastAsia="宋体" w:cs="宋体"/>
          <w:b w:val="0"/>
          <w:bCs w:val="0"/>
          <w:sz w:val="28"/>
          <w:szCs w:val="28"/>
        </w:rPr>
      </w:pPr>
      <w:r>
        <w:rPr>
          <w:rFonts w:hint="eastAsia" w:ascii="宋体" w:hAnsi="宋体" w:cs="宋体"/>
          <w:b w:val="0"/>
          <w:bCs w:val="0"/>
          <w:sz w:val="28"/>
          <w:szCs w:val="28"/>
          <w:lang w:eastAsia="zh-CN"/>
        </w:rPr>
        <w:t>（三）</w:t>
      </w:r>
      <w:r>
        <w:rPr>
          <w:rFonts w:hint="eastAsia" w:ascii="宋体" w:hAnsi="宋体" w:eastAsia="宋体" w:cs="宋体"/>
          <w:b w:val="0"/>
          <w:bCs w:val="0"/>
          <w:sz w:val="28"/>
          <w:szCs w:val="28"/>
        </w:rPr>
        <w:t>会同有关部门组织全区重大国情国力普查，组织协调全区国民经济和社会发展的各项典型调查和专项调查。</w:t>
      </w:r>
    </w:p>
    <w:p>
      <w:pPr>
        <w:keepNext w:val="0"/>
        <w:keepLines w:val="0"/>
        <w:pageBreakBefore w:val="0"/>
        <w:kinsoku/>
        <w:wordWrap/>
        <w:overflowPunct/>
        <w:topLinePunct w:val="0"/>
        <w:bidi w:val="0"/>
        <w:snapToGrid/>
        <w:spacing w:line="360" w:lineRule="auto"/>
        <w:ind w:firstLine="537" w:firstLineChars="192"/>
        <w:textAlignment w:val="auto"/>
        <w:rPr>
          <w:rFonts w:hint="eastAsia" w:ascii="宋体" w:hAnsi="宋体" w:eastAsia="宋体" w:cs="宋体"/>
          <w:b w:val="0"/>
          <w:bCs w:val="0"/>
          <w:sz w:val="28"/>
          <w:szCs w:val="28"/>
        </w:rPr>
      </w:pPr>
      <w:r>
        <w:rPr>
          <w:rFonts w:hint="eastAsia" w:ascii="宋体" w:hAnsi="宋体" w:cs="宋体"/>
          <w:b w:val="0"/>
          <w:bCs w:val="0"/>
          <w:sz w:val="28"/>
          <w:szCs w:val="28"/>
          <w:lang w:eastAsia="zh-CN"/>
        </w:rPr>
        <w:t>（四）</w:t>
      </w:r>
      <w:r>
        <w:rPr>
          <w:rFonts w:hint="eastAsia" w:ascii="宋体" w:hAnsi="宋体" w:eastAsia="宋体" w:cs="宋体"/>
          <w:b w:val="0"/>
          <w:bCs w:val="0"/>
          <w:sz w:val="28"/>
          <w:szCs w:val="28"/>
        </w:rPr>
        <w:t>搜集、整理、提供全区性的统计资料，对全区国民经济、社会发展和科技进步情况进行统计分析和监督，向区委、政府及有关部门提供咨询或建议，审定、管理、出版全区性统计资料，定期发布全区国民经济、社会发展和科技进步情况的统计公报。</w:t>
      </w:r>
    </w:p>
    <w:p>
      <w:pPr>
        <w:keepNext w:val="0"/>
        <w:keepLines w:val="0"/>
        <w:pageBreakBefore w:val="0"/>
        <w:kinsoku/>
        <w:wordWrap/>
        <w:overflowPunct/>
        <w:topLinePunct w:val="0"/>
        <w:bidi w:val="0"/>
        <w:snapToGrid/>
        <w:spacing w:line="360" w:lineRule="auto"/>
        <w:ind w:firstLine="537" w:firstLineChars="192"/>
        <w:textAlignment w:val="auto"/>
        <w:rPr>
          <w:rFonts w:hint="eastAsia" w:ascii="宋体" w:hAnsi="宋体" w:eastAsia="宋体" w:cs="宋体"/>
          <w:b w:val="0"/>
          <w:bCs w:val="0"/>
          <w:sz w:val="28"/>
          <w:szCs w:val="28"/>
        </w:rPr>
      </w:pPr>
      <w:r>
        <w:rPr>
          <w:rFonts w:hint="eastAsia" w:ascii="宋体" w:hAnsi="宋体" w:cs="宋体"/>
          <w:b w:val="0"/>
          <w:bCs w:val="0"/>
          <w:sz w:val="28"/>
          <w:szCs w:val="28"/>
          <w:lang w:eastAsia="zh-CN"/>
        </w:rPr>
        <w:t>（五）</w:t>
      </w:r>
      <w:r>
        <w:rPr>
          <w:rFonts w:hint="eastAsia" w:ascii="宋体" w:hAnsi="宋体" w:eastAsia="宋体" w:cs="宋体"/>
          <w:b w:val="0"/>
          <w:bCs w:val="0"/>
          <w:sz w:val="28"/>
          <w:szCs w:val="28"/>
        </w:rPr>
        <w:t>建立健全管理全区统计信息自动化系统和全区统计数据库体系、</w:t>
      </w:r>
      <w:r>
        <w:rPr>
          <w:rFonts w:hint="eastAsia" w:ascii="宋体" w:hAnsi="宋体" w:cs="宋体"/>
          <w:b w:val="0"/>
          <w:bCs w:val="0"/>
          <w:sz w:val="28"/>
          <w:szCs w:val="28"/>
          <w:lang w:eastAsia="zh-CN"/>
        </w:rPr>
        <w:t>完善</w:t>
      </w:r>
      <w:r>
        <w:rPr>
          <w:rFonts w:hint="eastAsia" w:ascii="宋体" w:hAnsi="宋体" w:eastAsia="宋体" w:cs="宋体"/>
          <w:b w:val="0"/>
          <w:bCs w:val="0"/>
          <w:sz w:val="28"/>
          <w:szCs w:val="28"/>
        </w:rPr>
        <w:t>统计工作网络，不断推进统计工作标准化、规范化。</w:t>
      </w:r>
    </w:p>
    <w:p>
      <w:pPr>
        <w:keepNext w:val="0"/>
        <w:keepLines w:val="0"/>
        <w:pageBreakBefore w:val="0"/>
        <w:kinsoku/>
        <w:wordWrap/>
        <w:overflowPunct/>
        <w:topLinePunct w:val="0"/>
        <w:bidi w:val="0"/>
        <w:snapToGrid/>
        <w:spacing w:line="360" w:lineRule="auto"/>
        <w:ind w:firstLine="537" w:firstLineChars="192"/>
        <w:textAlignment w:val="auto"/>
        <w:rPr>
          <w:rFonts w:hint="eastAsia"/>
        </w:rPr>
      </w:pPr>
      <w:r>
        <w:rPr>
          <w:rFonts w:hint="eastAsia" w:ascii="宋体" w:hAnsi="宋体" w:cs="宋体"/>
          <w:b w:val="0"/>
          <w:bCs w:val="0"/>
          <w:sz w:val="28"/>
          <w:szCs w:val="28"/>
          <w:lang w:eastAsia="zh-CN"/>
        </w:rPr>
        <w:t>（六）</w:t>
      </w:r>
      <w:r>
        <w:rPr>
          <w:rFonts w:hint="eastAsia" w:ascii="宋体" w:hAnsi="宋体" w:eastAsia="宋体" w:cs="宋体"/>
          <w:b w:val="0"/>
          <w:bCs w:val="0"/>
          <w:sz w:val="28"/>
          <w:szCs w:val="28"/>
        </w:rPr>
        <w:t>负责全区统计干部专业理论知识教育和业务培训工作，不断提高统计人员的业务素质。</w:t>
      </w:r>
    </w:p>
    <w:p>
      <w:pPr>
        <w:pStyle w:val="33"/>
        <w:keepNext w:val="0"/>
        <w:keepLines w:val="0"/>
        <w:pageBreakBefore w:val="0"/>
        <w:kinsoku/>
        <w:wordWrap/>
        <w:overflowPunct/>
        <w:topLinePunct w:val="0"/>
        <w:autoSpaceDE/>
        <w:autoSpaceDN/>
        <w:bidi w:val="0"/>
        <w:adjustRightInd/>
        <w:snapToGrid/>
        <w:spacing w:after="0" w:line="576" w:lineRule="exact"/>
        <w:ind w:firstLine="640"/>
        <w:rPr>
          <w:rFonts w:hint="eastAsia" w:ascii="黑体" w:hAnsi="黑体" w:eastAsia="黑体"/>
          <w:b w:val="0"/>
          <w:color w:val="auto"/>
          <w:sz w:val="32"/>
          <w:szCs w:val="32"/>
          <w:highlight w:val="none"/>
          <w:lang w:val="en-US" w:eastAsia="zh-CN"/>
        </w:rPr>
      </w:pPr>
      <w:bookmarkStart w:id="10" w:name="_Toc18220"/>
      <w:r>
        <w:rPr>
          <w:rFonts w:hint="eastAsia" w:ascii="黑体" w:hAnsi="黑体" w:eastAsia="黑体"/>
          <w:b w:val="0"/>
          <w:color w:val="auto"/>
          <w:sz w:val="32"/>
          <w:szCs w:val="32"/>
          <w:highlight w:val="none"/>
          <w:lang w:val="en-US" w:eastAsia="zh-CN"/>
        </w:rPr>
        <w:t>二、部门预算单位构成</w:t>
      </w:r>
      <w:bookmarkEnd w:id="10"/>
    </w:p>
    <w:p>
      <w:pPr>
        <w:pStyle w:val="33"/>
        <w:keepNext w:val="0"/>
        <w:keepLines w:val="0"/>
        <w:pageBreakBefore w:val="0"/>
        <w:kinsoku/>
        <w:wordWrap/>
        <w:overflowPunct/>
        <w:topLinePunct w:val="0"/>
        <w:autoSpaceDE/>
        <w:autoSpaceDN/>
        <w:bidi w:val="0"/>
        <w:adjustRightInd/>
        <w:snapToGrid/>
        <w:spacing w:after="0" w:line="576" w:lineRule="exact"/>
        <w:ind w:firstLine="64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区统计局下设办公室（执法队）、综合核算股（能源环境统计）、农村经济股、工业投资股、服务业股。挂靠机构有广元市昭化区普查中心、广元市昭化区统计调查大队（原为信息中心，广元市昭化区社情民意调查中心挂靠在统计调查大队）。</w:t>
      </w:r>
    </w:p>
    <w:p>
      <w:pPr>
        <w:pStyle w:val="33"/>
        <w:keepNext w:val="0"/>
        <w:keepLines w:val="0"/>
        <w:pageBreakBefore w:val="0"/>
        <w:kinsoku/>
        <w:wordWrap/>
        <w:overflowPunct/>
        <w:topLinePunct w:val="0"/>
        <w:autoSpaceDE/>
        <w:autoSpaceDN/>
        <w:bidi w:val="0"/>
        <w:adjustRightInd/>
        <w:snapToGrid/>
        <w:spacing w:after="0" w:line="576" w:lineRule="exact"/>
        <w:ind w:firstLine="640"/>
        <w:rPr>
          <w:rFonts w:hint="eastAsia" w:ascii="黑体" w:hAnsi="黑体" w:eastAsia="黑体"/>
          <w:b w:val="0"/>
          <w:color w:val="auto"/>
          <w:sz w:val="32"/>
          <w:szCs w:val="32"/>
          <w:highlight w:val="none"/>
          <w:lang w:eastAsia="zh-CN"/>
        </w:rPr>
      </w:pPr>
      <w:r>
        <w:rPr>
          <w:rFonts w:hint="eastAsia" w:ascii="黑体" w:hAnsi="黑体" w:eastAsia="黑体"/>
          <w:b w:val="0"/>
          <w:color w:val="auto"/>
          <w:sz w:val="32"/>
          <w:szCs w:val="32"/>
          <w:highlight w:val="none"/>
          <w:lang w:val="en-US" w:eastAsia="zh-CN"/>
        </w:rPr>
        <w:t>三、2021年重点</w:t>
      </w:r>
      <w:r>
        <w:rPr>
          <w:rFonts w:hint="eastAsia" w:ascii="黑体" w:hAnsi="黑体" w:eastAsia="黑体"/>
          <w:b w:val="0"/>
          <w:color w:val="auto"/>
          <w:sz w:val="32"/>
          <w:szCs w:val="32"/>
          <w:highlight w:val="none"/>
        </w:rPr>
        <w:t>工作</w:t>
      </w:r>
      <w:bookmarkEnd w:id="8"/>
      <w:bookmarkEnd w:id="9"/>
      <w:r>
        <w:rPr>
          <w:rFonts w:hint="eastAsia" w:ascii="黑体" w:hAnsi="黑体" w:eastAsia="黑体"/>
          <w:b w:val="0"/>
          <w:color w:val="auto"/>
          <w:sz w:val="32"/>
          <w:szCs w:val="32"/>
          <w:highlight w:val="none"/>
          <w:lang w:eastAsia="zh-CN"/>
        </w:rPr>
        <w:t>完成情况</w:t>
      </w:r>
    </w:p>
    <w:p>
      <w:pPr>
        <w:pStyle w:val="33"/>
        <w:keepNext w:val="0"/>
        <w:keepLines w:val="0"/>
        <w:pageBreakBefore w:val="0"/>
        <w:kinsoku/>
        <w:wordWrap/>
        <w:overflowPunct/>
        <w:topLinePunct w:val="0"/>
        <w:autoSpaceDE/>
        <w:autoSpaceDN/>
        <w:bidi w:val="0"/>
        <w:adjustRightInd/>
        <w:snapToGrid/>
        <w:spacing w:after="0" w:line="576" w:lineRule="exact"/>
        <w:ind w:firstLine="640"/>
        <w:rPr>
          <w:rFonts w:hint="default" w:ascii="仿宋_GB2312" w:eastAsia="仿宋_GB2312"/>
          <w:sz w:val="32"/>
          <w:szCs w:val="32"/>
          <w:lang w:val="en-US" w:eastAsia="zh-CN"/>
        </w:rPr>
      </w:pPr>
      <w:r>
        <w:rPr>
          <w:rFonts w:hint="eastAsia" w:ascii="楷体" w:hAnsi="楷体" w:eastAsia="楷体" w:cs="楷体"/>
          <w:sz w:val="32"/>
          <w:szCs w:val="32"/>
          <w:lang w:val="en-US" w:eastAsia="zh-CN"/>
        </w:rPr>
        <w:t>（一）强化统计监测分析预警职能。</w:t>
      </w:r>
      <w:r>
        <w:rPr>
          <w:rFonts w:hint="eastAsia" w:ascii="仿宋_GB2312" w:eastAsia="仿宋_GB2312"/>
          <w:sz w:val="32"/>
          <w:szCs w:val="32"/>
          <w:lang w:val="en-US" w:eastAsia="zh-CN"/>
        </w:rPr>
        <w:t>加强监测预警，高度关注与行业增加值密切相关的重点行业、重点指标变化情况，时刻把握核算指标发展趋势，按月监测GDP核算涉及指标，及时发现经济运行中存在的倾向性、苗头性问题，准确把握经济发展走势，确保核算数据全面反映我区经济发展实际。强化分析研判，充分发挥部门联席会议作用，加强与部门的统筹协调，共同研判经济运行情况，积极发现问题并提出解决方案。全年共召开部门统计联席会12次、经济形势分析会4次，主要经济指标数据质量评估会4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（二）持续夯实统计基层基础。</w:t>
      </w:r>
      <w:r>
        <w:rPr>
          <w:rFonts w:hint="eastAsia" w:ascii="Times New Roman" w:hAnsi="Times New Roman" w:eastAsia="仿宋_GB2312" w:cs="仿宋_GB2312"/>
          <w:color w:val="000000"/>
          <w:sz w:val="32"/>
          <w:szCs w:val="32"/>
          <w:lang w:val="en-US" w:eastAsia="zh-CN"/>
        </w:rPr>
        <w:t>加强统计队伍建设，</w:t>
      </w:r>
      <w:r>
        <w:rPr>
          <w:rFonts w:hint="eastAsia" w:ascii="仿宋_GB2312" w:eastAsia="仿宋_GB2312"/>
          <w:sz w:val="32"/>
          <w:szCs w:val="32"/>
          <w:lang w:val="en-US" w:eastAsia="zh-CN"/>
        </w:rPr>
        <w:t>以“统计基层基础规范化建设年”活动为抓手，进一步优化统计队伍结构，局机关新进人员4名，</w:t>
      </w:r>
      <w:r>
        <w:rPr>
          <w:rFonts w:hint="eastAsia" w:ascii="Times New Roman" w:hAnsi="Times New Roman" w:eastAsia="仿宋_GB2312" w:cs="Times New Roman"/>
          <w:sz w:val="32"/>
          <w:szCs w:val="32"/>
          <w:lang w:val="en-US" w:eastAsia="zh-CN"/>
        </w:rPr>
        <w:t>12个镇和16个行业主管部门均确定1名统计分管领导、1-2名统计业务人员，统计队伍不断壮大。加强业务指导，</w:t>
      </w:r>
      <w:r>
        <w:rPr>
          <w:rFonts w:hint="eastAsia" w:ascii="Times New Roman" w:hAnsi="Times New Roman" w:eastAsia="仿宋_GB2312" w:cs="仿宋_GB2312"/>
          <w:color w:val="000000"/>
          <w:sz w:val="32"/>
          <w:szCs w:val="32"/>
          <w:lang w:val="en-US" w:eastAsia="zh-CN"/>
        </w:rPr>
        <w:t>以党史学习教育为抓手，深入开展“统计服务百企”活动，建立“四上”企业“三张清单”，</w:t>
      </w:r>
      <w:r>
        <w:rPr>
          <w:rFonts w:hint="eastAsia" w:ascii="仿宋_GB2312" w:hAnsi="仿宋_GB2312" w:eastAsia="仿宋_GB2312" w:cs="仿宋_GB2312"/>
          <w:sz w:val="32"/>
          <w:szCs w:val="32"/>
          <w:lang w:val="en-US" w:eastAsia="zh-CN"/>
        </w:rPr>
        <w:t>增加到企业频次，分行业开展业务培训10次，分专业深入企业开展指导30余次。加强数据质量管控，完善《统计数据质量评估管理办法》，严格把控数据生产、质量评估、监督检查各环节，完善数据协调机制和共享机制，实行数据产生全过程痕迹化管理，切实提高统计数据真实性和公信力。</w:t>
      </w:r>
    </w:p>
    <w:p>
      <w:pPr>
        <w:keepNext w:val="0"/>
        <w:keepLines w:val="0"/>
        <w:pageBreakBefore w:val="0"/>
        <w:kinsoku/>
        <w:wordWrap/>
        <w:overflowPunct/>
        <w:topLinePunct w:val="0"/>
        <w:bidi w:val="0"/>
        <w:snapToGrid/>
        <w:spacing w:line="576" w:lineRule="exact"/>
        <w:ind w:firstLine="640"/>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（三）各项统计调查监测成绩显著。</w:t>
      </w:r>
      <w:r>
        <w:rPr>
          <w:rFonts w:hint="eastAsia" w:ascii="仿宋_GB2312" w:hAnsi="仿宋_GB2312" w:eastAsia="仿宋_GB2312" w:cs="仿宋_GB2312"/>
          <w:sz w:val="32"/>
          <w:szCs w:val="32"/>
          <w:lang w:val="en-US" w:eastAsia="zh-CN"/>
        </w:rPr>
        <w:t>完成全区第七次全国人口普查资料开发利用工作，1名同志被国务院七人普领导小组表彰为先进个人。完成国家贫困地区重大专项普查后续工作，被国家脱贫攻坚普查领导小组表彰为先进集体。完成农村经济统计、住户调查、劳动工资统计、贫困监测、农民工监测等任务，其中住户调查工作、粮食统计调查数据归口管理工作、畜牧业统计调查数据归口管理工作被省国调队表彰为先进县，全省贸易外经旅游监测统计工作暨方法制度培训会在我区召开。</w:t>
      </w:r>
    </w:p>
    <w:p>
      <w:pPr>
        <w:keepNext w:val="0"/>
        <w:keepLines w:val="0"/>
        <w:pageBreakBefore w:val="0"/>
        <w:kinsoku/>
        <w:wordWrap/>
        <w:overflowPunct/>
        <w:topLinePunct w:val="0"/>
        <w:bidi w:val="0"/>
        <w:snapToGrid/>
        <w:spacing w:line="576" w:lineRule="exact"/>
        <w:ind w:firstLine="640"/>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（四）镇域经济发展考核走在全市前列。</w:t>
      </w:r>
      <w:r>
        <w:rPr>
          <w:rFonts w:hint="eastAsia" w:ascii="Times New Roman" w:hAnsi="Times New Roman" w:eastAsia="仿宋_GB2312" w:cs="Times New Roman"/>
          <w:sz w:val="32"/>
          <w:szCs w:val="32"/>
          <w:lang w:val="en-US" w:eastAsia="zh-CN"/>
        </w:rPr>
        <w:t>坚持镇域大则县域强的理念，按照“1+14+N”考核体系，</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收集整理全区12个镇20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年经济社会发展情况，形成</w:t>
      </w:r>
      <w:r>
        <w:rPr>
          <w:rFonts w:hint="eastAsia" w:ascii="仿宋_GB2312" w:hAnsi="仿宋_GB2312" w:eastAsia="仿宋_GB2312" w:cs="仿宋_GB2312"/>
          <w:color w:val="000000"/>
          <w:sz w:val="32"/>
          <w:szCs w:val="32"/>
        </w:rPr>
        <w:t>《广元市昭化区镇域经济发展白皮书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sz w:val="32"/>
          <w:szCs w:val="32"/>
          <w:lang w:val="en-US" w:eastAsia="zh-CN"/>
        </w:rPr>
        <w:t>对各镇2021年度镇域经济发展情况开展专项调研2轮，镇域经济发展考核指挥棒作用进一步凸显。</w:t>
      </w:r>
    </w:p>
    <w:p>
      <w:pPr>
        <w:pStyle w:val="7"/>
        <w:keepNext w:val="0"/>
        <w:keepLines w:val="0"/>
        <w:pageBreakBefore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sz w:val="32"/>
          <w:szCs w:val="32"/>
          <w:lang w:val="en-US" w:eastAsia="zh-CN"/>
        </w:rPr>
        <w:t>（五）大力开展统计法律法规宣教。</w:t>
      </w:r>
      <w:r>
        <w:rPr>
          <w:rFonts w:hint="eastAsia" w:ascii="仿宋_GB2312" w:hAnsi="仿宋_GB2312" w:eastAsia="仿宋_GB2312" w:cs="仿宋_GB2312"/>
          <w:b w:val="0"/>
          <w:bCs w:val="0"/>
          <w:kern w:val="2"/>
          <w:sz w:val="32"/>
          <w:szCs w:val="32"/>
          <w:lang w:val="en-US" w:eastAsia="zh-CN" w:bidi="ar-SA"/>
        </w:rPr>
        <w:t>建立</w:t>
      </w:r>
      <w:r>
        <w:rPr>
          <w:rFonts w:hint="eastAsia" w:ascii="仿宋_GB2312" w:hAnsi="仿宋_GB2312" w:eastAsia="仿宋_GB2312" w:cs="仿宋_GB2312"/>
          <w:b w:val="0"/>
          <w:bCs w:val="0"/>
          <w:color w:val="000000"/>
          <w:kern w:val="2"/>
          <w:sz w:val="32"/>
          <w:szCs w:val="32"/>
          <w:lang w:val="en-US" w:eastAsia="zh-CN" w:bidi="ar-SA"/>
        </w:rPr>
        <w:t>领导干部学法用法制度，</w:t>
      </w:r>
      <w:r>
        <w:rPr>
          <w:rFonts w:hint="eastAsia" w:ascii="仿宋_GB2312" w:hAnsi="仿宋_GB2312" w:eastAsia="仿宋_GB2312" w:cs="仿宋_GB2312"/>
          <w:b w:val="0"/>
          <w:bCs w:val="0"/>
          <w:color w:val="auto"/>
          <w:kern w:val="2"/>
          <w:sz w:val="32"/>
          <w:szCs w:val="32"/>
          <w:lang w:val="en-US" w:eastAsia="zh-CN" w:bidi="ar-SA"/>
        </w:rPr>
        <w:t>分别在区委常委会、区政府常务会上专题学习统计法律法规、通报统计违法案件各1次；组织各镇、行业部门新任“一把手”和分管领导集中学习统计法规1次；在区政府经济运行调度会上作专题业务培训2次。大力开展法</w:t>
      </w:r>
      <w:r>
        <w:rPr>
          <w:rFonts w:hint="eastAsia" w:ascii="仿宋_GB2312" w:hAnsi="仿宋_GB2312" w:eastAsia="仿宋_GB2312" w:cs="仿宋_GB2312"/>
          <w:color w:val="auto"/>
          <w:kern w:val="2"/>
          <w:sz w:val="32"/>
          <w:szCs w:val="32"/>
          <w:lang w:val="en-US" w:eastAsia="zh-CN" w:bidi="ar-SA"/>
        </w:rPr>
        <w:t>治宣传教育活动，坚持“线上+线下”“内部+外部”多渠道、多方位开展宣教活动，开展普法宣传活动1次、“送法入企”2次、录制音频2期、昭化发布公众号发布信息13条。强化统计法治监督。围绕加强统计法治建设，提高统计数据质量目标，严格落实防范和惩治统计造假弄虚作假责任制，与区纪委监委建立联合惩戒机制，严肃问责统计造假、弄虚作假责任主体和责任人，对统计造假弄虚作假实施“一票否决”，强化统计法纪利剑震慑作用。</w:t>
      </w:r>
    </w:p>
    <w:p>
      <w:pPr>
        <w:pStyle w:val="7"/>
        <w:keepNext w:val="0"/>
        <w:keepLines w:val="0"/>
        <w:pageBreakBefore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（六）统计服务能力不断提升。</w:t>
      </w:r>
      <w:r>
        <w:rPr>
          <w:rFonts w:hint="eastAsia" w:ascii="仿宋_GB2312" w:hAnsi="仿宋_GB2312" w:eastAsia="仿宋_GB2312" w:cs="仿宋_GB2312"/>
          <w:color w:val="auto"/>
          <w:kern w:val="2"/>
          <w:sz w:val="32"/>
          <w:szCs w:val="32"/>
          <w:lang w:val="en-US" w:eastAsia="zh-CN" w:bidi="ar-SA"/>
        </w:rPr>
        <w:t>积极开发统计产品，编印</w:t>
      </w:r>
      <w:r>
        <w:rPr>
          <w:rFonts w:hint="eastAsia" w:ascii="Times New Roman" w:hAnsi="Times New Roman" w:eastAsia="仿宋_GB2312" w:cs="Times New Roman"/>
          <w:sz w:val="32"/>
          <w:szCs w:val="32"/>
          <w:lang w:val="en-US" w:eastAsia="zh-CN"/>
        </w:rPr>
        <w:t>《昭化统计内参》5期、《昭化统计专报》7期、《昭化统计月报》11期；</w:t>
      </w:r>
      <w:r>
        <w:rPr>
          <w:rFonts w:hint="eastAsia" w:ascii="仿宋_GB2312" w:hAnsi="仿宋_GB2312" w:eastAsia="仿宋_GB2312" w:cs="仿宋_GB2312"/>
          <w:color w:val="auto"/>
          <w:kern w:val="2"/>
          <w:sz w:val="32"/>
          <w:szCs w:val="32"/>
          <w:lang w:val="en-US" w:eastAsia="zh-CN" w:bidi="ar-SA"/>
        </w:rPr>
        <w:t>及时更新省、市统计内网及区门户网站信息，向党委、政府及社会公众提供及时、完整的统计信息。坚持疫情防控和服务经济社会发展两手抓、两手硬，围绕全区生猪生产形势及面临的问题、疫情对全区经济社会发展产生的影响、统计基层基础现状及面临的问题、如何高质量推进县域经济发展进位争先等课题，</w:t>
      </w:r>
      <w:r>
        <w:rPr>
          <w:rFonts w:hint="eastAsia" w:ascii="Times New Roman" w:hAnsi="Times New Roman" w:eastAsia="仿宋_GB2312" w:cs="Times New Roman"/>
          <w:sz w:val="32"/>
          <w:szCs w:val="32"/>
          <w:lang w:val="en-US" w:eastAsia="zh-CN"/>
        </w:rPr>
        <w:t>开展专题调研12次，形成调查报告6篇。</w:t>
      </w:r>
      <w:r>
        <w:rPr>
          <w:rFonts w:hint="eastAsia" w:ascii="仿宋_GB2312" w:hAnsi="仿宋_GB2312" w:eastAsia="仿宋_GB2312" w:cs="仿宋_GB2312"/>
          <w:color w:val="auto"/>
          <w:kern w:val="2"/>
          <w:sz w:val="32"/>
          <w:szCs w:val="32"/>
          <w:lang w:val="en-US" w:eastAsia="zh-CN" w:bidi="ar-SA"/>
        </w:rPr>
        <w:t>密切关注经济形势变化，着重加强对重点行业的动态监测，及时向行业主管部门发出预警提示函，对经济运行中发苗头性、趋势性问题提出有针对性的对策建议，为经济社会平稳健康发展提供科学统计服务。</w:t>
      </w:r>
    </w:p>
    <w:p>
      <w:pPr>
        <w:pStyle w:val="14"/>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660"/>
        <w:jc w:val="left"/>
        <w:textAlignment w:val="auto"/>
        <w:rPr>
          <w:rFonts w:ascii="仿宋" w:hAnsi="仿宋" w:eastAsia="仿宋"/>
          <w:color w:val="auto"/>
          <w:kern w:val="0"/>
          <w:sz w:val="32"/>
          <w:szCs w:val="32"/>
          <w:highlight w:val="none"/>
        </w:rPr>
      </w:pPr>
    </w:p>
    <w:p>
      <w:pPr>
        <w:pStyle w:val="14"/>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660"/>
        <w:jc w:val="left"/>
        <w:textAlignment w:val="auto"/>
        <w:rPr>
          <w:rFonts w:ascii="仿宋" w:hAnsi="仿宋" w:eastAsia="仿宋"/>
          <w:color w:val="auto"/>
          <w:kern w:val="0"/>
          <w:sz w:val="32"/>
          <w:szCs w:val="32"/>
          <w:highlight w:val="none"/>
        </w:rPr>
      </w:pPr>
    </w:p>
    <w:p>
      <w:pPr>
        <w:pStyle w:val="14"/>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660"/>
        <w:jc w:val="left"/>
        <w:textAlignment w:val="auto"/>
        <w:rPr>
          <w:rFonts w:ascii="仿宋" w:hAnsi="仿宋" w:eastAsia="仿宋"/>
          <w:color w:val="auto"/>
          <w:kern w:val="0"/>
          <w:sz w:val="32"/>
          <w:szCs w:val="32"/>
          <w:highlight w:val="none"/>
        </w:rPr>
      </w:pPr>
    </w:p>
    <w:p>
      <w:pPr>
        <w:pStyle w:val="14"/>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660"/>
        <w:jc w:val="left"/>
        <w:textAlignment w:val="auto"/>
        <w:rPr>
          <w:rFonts w:ascii="仿宋" w:hAnsi="仿宋" w:eastAsia="仿宋"/>
          <w:color w:val="auto"/>
          <w:kern w:val="0"/>
          <w:sz w:val="32"/>
          <w:szCs w:val="32"/>
          <w:highlight w:val="none"/>
        </w:rPr>
      </w:pPr>
    </w:p>
    <w:p>
      <w:pPr>
        <w:pStyle w:val="14"/>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660"/>
        <w:jc w:val="left"/>
        <w:textAlignment w:val="auto"/>
        <w:rPr>
          <w:rFonts w:ascii="仿宋" w:hAnsi="仿宋" w:eastAsia="仿宋"/>
          <w:color w:val="auto"/>
          <w:kern w:val="0"/>
          <w:sz w:val="32"/>
          <w:szCs w:val="32"/>
          <w:highlight w:val="none"/>
        </w:rPr>
      </w:pPr>
    </w:p>
    <w:p>
      <w:pPr>
        <w:pStyle w:val="3"/>
        <w:ind w:right="440"/>
        <w:jc w:val="center"/>
        <w:rPr>
          <w:rStyle w:val="27"/>
          <w:rFonts w:ascii="黑体" w:hAnsi="黑体" w:eastAsia="黑体"/>
          <w:b w:val="0"/>
          <w:bCs/>
          <w:color w:val="auto"/>
          <w:highlight w:val="none"/>
        </w:rPr>
      </w:pPr>
      <w:bookmarkStart w:id="11" w:name="_Toc15396602"/>
      <w:bookmarkStart w:id="12"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1"/>
      <w:bookmarkEnd w:id="12"/>
    </w:p>
    <w:p>
      <w:pPr>
        <w:rPr>
          <w:color w:val="auto"/>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13" w:name="_Toc15377205"/>
      <w:bookmarkStart w:id="14"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3"/>
      <w:bookmarkEnd w:id="14"/>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8.56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引进人才</w:t>
      </w:r>
      <w:r>
        <w:rPr>
          <w:rFonts w:hint="eastAsia" w:ascii="仿宋" w:hAnsi="仿宋" w:eastAsia="仿宋"/>
          <w:color w:val="auto"/>
          <w:sz w:val="32"/>
          <w:szCs w:val="32"/>
          <w:highlight w:val="none"/>
          <w:lang w:val="en-US" w:eastAsia="zh-CN"/>
        </w:rPr>
        <w:t>2名，新调进人员1人。</w:t>
      </w:r>
    </w:p>
    <w:p>
      <w:pPr>
        <w:spacing w:line="600" w:lineRule="exact"/>
        <w:ind w:firstLine="640" w:firstLineChars="200"/>
        <w:jc w:val="left"/>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15" w:name="_Toc15377206"/>
      <w:bookmarkStart w:id="16"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15"/>
      <w:bookmarkEnd w:id="16"/>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17" w:name="_Toc15377207"/>
      <w:bookmarkStart w:id="18"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17"/>
      <w:bookmarkEnd w:id="18"/>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p>
    <w:p>
      <w:pPr>
        <w:pStyle w:val="10"/>
        <w:rPr>
          <w:rFonts w:ascii="仿宋_GB2312" w:eastAsia="仿宋_GB2312"/>
          <w:color w:val="auto"/>
          <w:sz w:val="32"/>
          <w:szCs w:val="32"/>
          <w:highlight w:val="none"/>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0"/>
        <w:rPr>
          <w:rFonts w:ascii="仿宋_GB2312" w:eastAsia="仿宋_GB2312"/>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19" w:name="_Toc15396606"/>
      <w:bookmarkStart w:id="20"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19"/>
      <w:bookmarkEnd w:id="20"/>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8.56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引进人才</w:t>
      </w:r>
      <w:r>
        <w:rPr>
          <w:rFonts w:hint="eastAsia" w:ascii="仿宋" w:hAnsi="仿宋" w:eastAsia="仿宋"/>
          <w:color w:val="auto"/>
          <w:sz w:val="32"/>
          <w:szCs w:val="32"/>
          <w:highlight w:val="none"/>
          <w:lang w:val="en-US" w:eastAsia="zh-CN"/>
        </w:rPr>
        <w:t>2名，新调进人员1人。</w:t>
      </w:r>
    </w:p>
    <w:p>
      <w:pPr>
        <w:pStyle w:val="10"/>
        <w:rPr>
          <w:rFonts w:ascii="仿宋" w:hAnsi="仿宋" w:eastAsia="仿宋"/>
          <w:b/>
          <w:color w:val="auto"/>
          <w:sz w:val="32"/>
          <w:szCs w:val="32"/>
          <w:highlight w:val="none"/>
        </w:rP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8"/>
          <w:rFonts w:ascii="黑体" w:hAnsi="黑体" w:eastAsia="黑体"/>
          <w:b w:val="0"/>
          <w:color w:val="auto"/>
          <w:highlight w:val="none"/>
        </w:rPr>
      </w:pPr>
      <w:bookmarkStart w:id="21" w:name="_Toc15377209"/>
      <w:bookmarkStart w:id="2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1"/>
      <w:bookmarkEnd w:id="22"/>
    </w:p>
    <w:p>
      <w:pPr>
        <w:spacing w:line="600" w:lineRule="exact"/>
        <w:ind w:firstLine="643" w:firstLineChars="200"/>
        <w:outlineLvl w:val="2"/>
        <w:rPr>
          <w:rFonts w:ascii="仿宋" w:hAnsi="仿宋" w:eastAsia="仿宋"/>
          <w:b/>
          <w:color w:val="auto"/>
          <w:sz w:val="32"/>
          <w:szCs w:val="32"/>
          <w:highlight w:val="none"/>
        </w:rPr>
      </w:pPr>
      <w:bookmarkStart w:id="23" w:name="_Toc15377210"/>
      <w:r>
        <w:rPr>
          <w:rFonts w:hint="eastAsia" w:ascii="仿宋" w:hAnsi="仿宋" w:eastAsia="仿宋"/>
          <w:b/>
          <w:color w:val="auto"/>
          <w:sz w:val="32"/>
          <w:szCs w:val="32"/>
          <w:highlight w:val="none"/>
        </w:rPr>
        <w:t>（一）一般公共预算财政拨款支出决算总体情况</w:t>
      </w:r>
      <w:bookmarkEnd w:id="23"/>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8.56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引进人才</w:t>
      </w:r>
      <w:r>
        <w:rPr>
          <w:rFonts w:hint="eastAsia" w:ascii="仿宋" w:hAnsi="仿宋" w:eastAsia="仿宋"/>
          <w:color w:val="auto"/>
          <w:sz w:val="32"/>
          <w:szCs w:val="32"/>
          <w:highlight w:val="none"/>
          <w:lang w:val="en-US" w:eastAsia="zh-CN"/>
        </w:rPr>
        <w:t>2名，新调进人员1人。</w:t>
      </w:r>
    </w:p>
    <w:p>
      <w:pPr>
        <w:pStyle w:val="10"/>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410710" cy="2353310"/>
            <wp:effectExtent l="4445" t="4445" r="23495" b="234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4" w:name="_Toc15377211"/>
      <w:r>
        <w:rPr>
          <w:rFonts w:hint="eastAsia" w:ascii="仿宋" w:hAnsi="仿宋" w:eastAsia="仿宋"/>
          <w:b/>
          <w:color w:val="auto"/>
          <w:sz w:val="32"/>
          <w:szCs w:val="32"/>
          <w:highlight w:val="none"/>
        </w:rPr>
        <w:t>（二）一般公共预算财政拨款支出决算结构情况</w:t>
      </w:r>
      <w:bookmarkEnd w:id="24"/>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267.93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支出24.6万元，占</w:t>
      </w:r>
      <w:r>
        <w:rPr>
          <w:rFonts w:hint="eastAsia" w:ascii="仿宋" w:hAnsi="仿宋" w:eastAsia="仿宋"/>
          <w:color w:val="auto"/>
          <w:sz w:val="32"/>
          <w:szCs w:val="32"/>
          <w:highlight w:val="none"/>
          <w:lang w:val="en-US" w:eastAsia="zh-CN"/>
        </w:rPr>
        <w:t>7.68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12.5万元，占</w:t>
      </w:r>
      <w:r>
        <w:rPr>
          <w:rFonts w:hint="eastAsia" w:ascii="仿宋" w:hAnsi="仿宋" w:eastAsia="仿宋"/>
          <w:color w:val="auto"/>
          <w:sz w:val="32"/>
          <w:szCs w:val="32"/>
          <w:highlight w:val="none"/>
          <w:lang w:val="en-US" w:eastAsia="zh-CN"/>
        </w:rPr>
        <w:t>3.9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支出15.17万元，占</w:t>
      </w:r>
      <w:r>
        <w:rPr>
          <w:rFonts w:hint="eastAsia" w:ascii="仿宋" w:hAnsi="仿宋" w:eastAsia="仿宋"/>
          <w:color w:val="auto"/>
          <w:sz w:val="32"/>
          <w:szCs w:val="32"/>
          <w:highlight w:val="none"/>
          <w:lang w:val="en-US" w:eastAsia="zh-CN"/>
        </w:rPr>
        <w:t>4.75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10"/>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3968750" cy="1752600"/>
            <wp:effectExtent l="4445" t="4445" r="19685"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5" w:name="_Toc15377212"/>
      <w:r>
        <w:rPr>
          <w:rFonts w:hint="eastAsia" w:ascii="仿宋" w:hAnsi="仿宋" w:eastAsia="仿宋"/>
          <w:b/>
          <w:color w:val="auto"/>
          <w:sz w:val="32"/>
          <w:szCs w:val="32"/>
          <w:highlight w:val="none"/>
        </w:rPr>
        <w:t>（三）一般公共预算财政拨款支出决算具体情况</w:t>
      </w:r>
      <w:bookmarkEnd w:id="25"/>
    </w:p>
    <w:p>
      <w:pPr>
        <w:spacing w:line="600" w:lineRule="exact"/>
        <w:ind w:firstLine="643" w:firstLineChars="200"/>
        <w:outlineLvl w:val="2"/>
        <w:rPr>
          <w:rFonts w:ascii="仿宋" w:hAnsi="仿宋" w:eastAsia="仿宋"/>
          <w:color w:val="auto"/>
          <w:sz w:val="32"/>
          <w:szCs w:val="32"/>
          <w:highlight w:val="none"/>
        </w:rPr>
      </w:pPr>
      <w:bookmarkStart w:id="26" w:name="_Toc15377213"/>
      <w:bookmarkStart w:id="27" w:name="_Toc15378460"/>
      <w:bookmarkStart w:id="28"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26"/>
      <w:bookmarkEnd w:id="27"/>
      <w:bookmarkEnd w:id="28"/>
    </w:p>
    <w:p>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rPr>
        <w:t>一般公共服务（类）</w:t>
      </w:r>
      <w:r>
        <w:rPr>
          <w:rFonts w:hint="eastAsia" w:ascii="仿宋_GB2312" w:hAnsi="仿宋_GB2312" w:eastAsia="仿宋_GB2312" w:cs="仿宋_GB2312"/>
          <w:b/>
          <w:color w:val="auto"/>
          <w:sz w:val="32"/>
          <w:szCs w:val="32"/>
          <w:lang w:eastAsia="zh-CN"/>
        </w:rPr>
        <w:t>统计信息事务</w:t>
      </w:r>
      <w:r>
        <w:rPr>
          <w:rStyle w:val="17"/>
          <w:rFonts w:hint="eastAsia" w:ascii="仿宋" w:hAnsi="仿宋" w:eastAsia="仿宋"/>
          <w:bCs/>
          <w:color w:val="auto"/>
          <w:sz w:val="32"/>
          <w:szCs w:val="32"/>
          <w:highlight w:val="none"/>
        </w:rPr>
        <w:t>（款）</w:t>
      </w:r>
      <w:r>
        <w:rPr>
          <w:rFonts w:hint="eastAsia" w:ascii="仿宋_GB2312" w:hAnsi="仿宋_GB2312" w:eastAsia="仿宋_GB2312" w:cs="仿宋_GB2312"/>
          <w:b/>
          <w:color w:val="auto"/>
          <w:sz w:val="32"/>
          <w:szCs w:val="32"/>
        </w:rPr>
        <w:t>行政运行</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267.93</w:t>
      </w:r>
      <w:r>
        <w:rPr>
          <w:rStyle w:val="17"/>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83.67</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eastAsia" w:ascii="仿宋_GB2312" w:hAnsi="仿宋_GB2312" w:eastAsia="仿宋_GB2312" w:cs="仿宋_GB2312"/>
          <w:b w:val="0"/>
          <w:bCs/>
          <w:color w:val="auto"/>
          <w:sz w:val="32"/>
          <w:szCs w:val="32"/>
        </w:rPr>
        <w:t>完成预算</w:t>
      </w:r>
      <w:r>
        <w:rPr>
          <w:rStyle w:val="17"/>
          <w:rFonts w:hint="eastAsia" w:ascii="仿宋_GB2312" w:hAnsi="仿宋_GB2312" w:eastAsia="仿宋_GB2312" w:cs="仿宋_GB2312"/>
          <w:b w:val="0"/>
          <w:bCs/>
          <w:color w:val="auto"/>
          <w:sz w:val="32"/>
          <w:szCs w:val="32"/>
          <w:lang w:val="en-US" w:eastAsia="zh-CN"/>
        </w:rPr>
        <w:t>100</w:t>
      </w:r>
      <w:r>
        <w:rPr>
          <w:rStyle w:val="17"/>
          <w:rFonts w:hint="eastAsia" w:ascii="仿宋_GB2312" w:hAnsi="仿宋_GB2312" w:eastAsia="仿宋_GB2312" w:cs="仿宋_GB2312"/>
          <w:b w:val="0"/>
          <w:bCs/>
          <w:color w:val="auto"/>
          <w:sz w:val="32"/>
          <w:szCs w:val="32"/>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w:t>
      </w:r>
      <w:r>
        <w:rPr>
          <w:rStyle w:val="17"/>
          <w:rFonts w:hint="eastAsia" w:ascii="仿宋_GB2312" w:hAnsi="仿宋_GB2312" w:eastAsia="仿宋_GB2312" w:cs="仿宋_GB2312"/>
          <w:bCs/>
          <w:color w:val="000000"/>
          <w:sz w:val="32"/>
          <w:szCs w:val="32"/>
        </w:rPr>
        <w:t>行政事业单位离退休</w:t>
      </w:r>
      <w:r>
        <w:rPr>
          <w:rStyle w:val="17"/>
          <w:rFonts w:hint="eastAsia" w:ascii="仿宋" w:hAnsi="仿宋" w:eastAsia="仿宋"/>
          <w:bCs/>
          <w:color w:val="auto"/>
          <w:sz w:val="32"/>
          <w:szCs w:val="32"/>
          <w:highlight w:val="none"/>
        </w:rPr>
        <w:t>（款）</w:t>
      </w:r>
      <w:r>
        <w:rPr>
          <w:rStyle w:val="17"/>
          <w:rFonts w:hint="eastAsia" w:ascii="仿宋_GB2312" w:hAnsi="仿宋_GB2312" w:eastAsia="仿宋_GB2312" w:cs="仿宋_GB2312"/>
          <w:bCs/>
          <w:color w:val="000000"/>
          <w:sz w:val="32"/>
          <w:szCs w:val="32"/>
        </w:rPr>
        <w:t>机关事业单位基本养老保险缴费支出</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24.6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w:t>
      </w:r>
      <w:r>
        <w:rPr>
          <w:rStyle w:val="17"/>
          <w:rFonts w:hint="eastAsia" w:ascii="仿宋_GB2312" w:hAnsi="仿宋_GB2312" w:eastAsia="仿宋_GB2312" w:cs="仿宋_GB2312"/>
          <w:bCs/>
          <w:color w:val="000000"/>
          <w:sz w:val="32"/>
          <w:szCs w:val="32"/>
        </w:rPr>
        <w:t>行政事业单位医疗</w:t>
      </w:r>
      <w:r>
        <w:rPr>
          <w:rStyle w:val="17"/>
          <w:rFonts w:hint="eastAsia" w:ascii="仿宋" w:hAnsi="仿宋" w:eastAsia="仿宋"/>
          <w:bCs/>
          <w:color w:val="auto"/>
          <w:sz w:val="32"/>
          <w:szCs w:val="32"/>
          <w:highlight w:val="none"/>
        </w:rPr>
        <w:t>（款）</w:t>
      </w:r>
      <w:r>
        <w:rPr>
          <w:rStyle w:val="17"/>
          <w:rFonts w:hint="eastAsia" w:ascii="仿宋_GB2312" w:hAnsi="仿宋_GB2312" w:eastAsia="仿宋_GB2312" w:cs="仿宋_GB2312"/>
          <w:bCs/>
          <w:color w:val="000000"/>
          <w:sz w:val="32"/>
          <w:szCs w:val="32"/>
        </w:rPr>
        <w:t>行政单位医疗</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12.5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Cs/>
          <w:color w:val="000000"/>
          <w:sz w:val="32"/>
          <w:szCs w:val="32"/>
          <w:lang w:val="en-US" w:eastAsia="zh-CN"/>
        </w:rPr>
        <w:t>4</w:t>
      </w:r>
      <w:r>
        <w:rPr>
          <w:rStyle w:val="17"/>
          <w:rFonts w:hint="eastAsia" w:ascii="仿宋_GB2312" w:hAnsi="仿宋_GB2312" w:eastAsia="仿宋_GB2312" w:cs="仿宋_GB2312"/>
          <w:bCs/>
          <w:color w:val="000000"/>
          <w:sz w:val="32"/>
          <w:szCs w:val="32"/>
        </w:rPr>
        <w:t>.</w:t>
      </w:r>
      <w:r>
        <w:rPr>
          <w:rFonts w:hint="eastAsia" w:ascii="仿宋_GB2312" w:hAnsi="仿宋_GB2312" w:eastAsia="仿宋_GB2312" w:cs="仿宋_GB2312"/>
          <w:b/>
          <w:color w:val="000000"/>
          <w:sz w:val="32"/>
          <w:szCs w:val="32"/>
        </w:rPr>
        <w:t>住房保障支出（类）住房改革支出（款）住房公积金（项）：</w:t>
      </w:r>
      <w:r>
        <w:rPr>
          <w:rStyle w:val="17"/>
          <w:rFonts w:hint="eastAsia" w:ascii="仿宋_GB2312" w:hAnsi="仿宋_GB2312" w:eastAsia="仿宋_GB2312" w:cs="仿宋_GB2312"/>
          <w:b w:val="0"/>
          <w:bCs/>
          <w:color w:val="000000"/>
          <w:sz w:val="32"/>
          <w:szCs w:val="32"/>
        </w:rPr>
        <w:t>支出决算为</w:t>
      </w:r>
      <w:r>
        <w:rPr>
          <w:rFonts w:hint="eastAsia" w:ascii="仿宋" w:hAnsi="仿宋" w:eastAsia="仿宋"/>
          <w:color w:val="auto"/>
          <w:sz w:val="32"/>
          <w:szCs w:val="32"/>
          <w:highlight w:val="none"/>
        </w:rPr>
        <w:t>15.17</w:t>
      </w:r>
      <w:r>
        <w:rPr>
          <w:rStyle w:val="17"/>
          <w:rFonts w:hint="eastAsia" w:ascii="仿宋_GB2312" w:hAnsi="仿宋_GB2312" w:eastAsia="仿宋_GB2312" w:cs="仿宋_GB2312"/>
          <w:b w:val="0"/>
          <w:bCs/>
          <w:color w:val="000000"/>
          <w:sz w:val="32"/>
          <w:szCs w:val="32"/>
        </w:rPr>
        <w:t>万元，完成预算100%。</w:t>
      </w:r>
    </w:p>
    <w:p>
      <w:pPr>
        <w:tabs>
          <w:tab w:val="right" w:pos="8306"/>
        </w:tabs>
        <w:spacing w:line="600" w:lineRule="exact"/>
        <w:ind w:firstLine="640"/>
        <w:outlineLvl w:val="1"/>
        <w:rPr>
          <w:rStyle w:val="28"/>
          <w:color w:val="auto"/>
          <w:highlight w:val="none"/>
        </w:rPr>
      </w:pPr>
      <w:bookmarkStart w:id="29" w:name="_Toc15377214"/>
      <w:bookmarkStart w:id="30"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29"/>
      <w:bookmarkEnd w:id="30"/>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320.2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人员经费1</w:t>
      </w:r>
      <w:r>
        <w:rPr>
          <w:rFonts w:hint="eastAsia" w:ascii="仿宋" w:hAnsi="仿宋" w:eastAsia="仿宋"/>
          <w:color w:val="auto"/>
          <w:sz w:val="32"/>
          <w:szCs w:val="32"/>
          <w:highlight w:val="none"/>
          <w:lang w:val="en-US" w:eastAsia="zh-CN"/>
        </w:rPr>
        <w:t>71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43</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离休费、退休费奖励金、住房公积金、其他对个人和家庭的补助支出等。</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公用经费14</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77万元，主要包括：办公费、印刷费、咨询费、手续费、水费、电费、邮电费、物业管理费、差旅费、维修（护）费、会议费、培训费、公务接待费、劳务费、工会经费、其他交通费、税金及附加费用、其他商品和服务支出等。</w:t>
      </w:r>
    </w:p>
    <w:p>
      <w:pPr>
        <w:spacing w:line="600" w:lineRule="exact"/>
        <w:ind w:firstLine="640"/>
        <w:outlineLvl w:val="1"/>
        <w:rPr>
          <w:rStyle w:val="28"/>
          <w:rFonts w:ascii="黑体" w:hAnsi="黑体" w:eastAsia="黑体"/>
          <w:b w:val="0"/>
          <w:color w:val="auto"/>
          <w:highlight w:val="none"/>
        </w:rPr>
      </w:pPr>
      <w:bookmarkStart w:id="31" w:name="_Toc15396609"/>
      <w:bookmarkStart w:id="32" w:name="_Toc15377215"/>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31"/>
      <w:bookmarkEnd w:id="32"/>
    </w:p>
    <w:p>
      <w:pPr>
        <w:spacing w:line="600" w:lineRule="exact"/>
        <w:ind w:firstLine="640"/>
        <w:outlineLvl w:val="2"/>
        <w:rPr>
          <w:rFonts w:ascii="仿宋" w:hAnsi="仿宋" w:eastAsia="仿宋"/>
          <w:b/>
          <w:color w:val="auto"/>
          <w:sz w:val="32"/>
          <w:szCs w:val="32"/>
          <w:highlight w:val="none"/>
        </w:rPr>
      </w:pPr>
      <w:bookmarkStart w:id="33" w:name="_Toc15377216"/>
      <w:r>
        <w:rPr>
          <w:rFonts w:hint="eastAsia" w:ascii="仿宋" w:hAnsi="仿宋" w:eastAsia="仿宋"/>
          <w:b/>
          <w:color w:val="auto"/>
          <w:sz w:val="32"/>
          <w:szCs w:val="32"/>
          <w:highlight w:val="none"/>
        </w:rPr>
        <w:t>（一）“三公”经费财政拨款支出决算总体情况说明</w:t>
      </w:r>
      <w:bookmarkEnd w:id="3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6.19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，主要是</w:t>
      </w:r>
      <w:r>
        <w:rPr>
          <w:rFonts w:hint="eastAsia" w:ascii="仿宋" w:hAnsi="仿宋" w:eastAsia="仿宋"/>
          <w:color w:val="auto"/>
          <w:sz w:val="32"/>
          <w:szCs w:val="32"/>
          <w:highlight w:val="none"/>
          <w:lang w:eastAsia="zh-CN"/>
        </w:rPr>
        <w:t>各专业每年至少有两至三次上级来人调研、检查、考核等，包括省级部门来人调研</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4" w:name="_Toc15377217"/>
      <w:r>
        <w:rPr>
          <w:rFonts w:hint="eastAsia" w:ascii="仿宋" w:hAnsi="仿宋" w:eastAsia="仿宋"/>
          <w:b/>
          <w:color w:val="auto"/>
          <w:sz w:val="32"/>
          <w:szCs w:val="32"/>
          <w:highlight w:val="none"/>
        </w:rPr>
        <w:t>（二）“三公”经费财政拨款支出决算具体情况说明</w:t>
      </w:r>
      <w:bookmarkEnd w:id="34"/>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6.19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10"/>
        <w:rPr>
          <w:rFonts w:hint="eastAsia" w:ascii="仿宋" w:hAnsi="仿宋" w:eastAsia="仿宋"/>
          <w:color w:val="auto"/>
          <w:sz w:val="32"/>
          <w:szCs w:val="32"/>
          <w:highlight w:val="none"/>
        </w:rPr>
      </w:pPr>
    </w:p>
    <w:p>
      <w:pPr>
        <w:pStyle w:val="10"/>
        <w:rPr>
          <w:rFonts w:hint="eastAsia" w:ascii="仿宋" w:hAnsi="仿宋" w:eastAsia="仿宋"/>
          <w:color w:val="auto"/>
          <w:sz w:val="32"/>
          <w:szCs w:val="32"/>
          <w:highlight w:val="none"/>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0"/>
        <w:rPr>
          <w:rFonts w:hint="eastAsia" w:ascii="仿宋" w:hAnsi="仿宋" w:eastAsia="仿宋"/>
          <w:color w:val="auto"/>
          <w:sz w:val="32"/>
          <w:szCs w:val="32"/>
          <w:highlight w:val="none"/>
        </w:rPr>
      </w:pP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年初未安排预算，因公出国</w:t>
      </w:r>
      <w:r>
        <w:rPr>
          <w:rFonts w:hint="eastAsia" w:ascii="仿宋_GB2312" w:eastAsia="仿宋_GB2312"/>
          <w:color w:val="auto"/>
          <w:sz w:val="32"/>
          <w:szCs w:val="32"/>
          <w:highlight w:val="none"/>
        </w:rPr>
        <w:t>（境）</w:t>
      </w:r>
      <w:r>
        <w:rPr>
          <w:rFonts w:hint="eastAsia" w:ascii="仿宋_GB2312" w:eastAsia="仿宋_GB2312"/>
          <w:color w:val="auto"/>
          <w:sz w:val="32"/>
          <w:szCs w:val="32"/>
          <w:highlight w:val="none"/>
          <w:lang w:val="en-US" w:eastAsia="zh-CN"/>
        </w:rPr>
        <w:t>支出决算较2020年无变化。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年初未安排预算</w:t>
      </w:r>
      <w:r>
        <w:rPr>
          <w:rStyle w:val="17"/>
          <w:rFonts w:hint="eastAsia" w:ascii="仿宋" w:hAnsi="仿宋" w:eastAsia="仿宋"/>
          <w:b w:val="0"/>
          <w:bCs/>
          <w:color w:val="auto"/>
          <w:sz w:val="32"/>
          <w:szCs w:val="32"/>
          <w:highlight w:val="none"/>
        </w:rPr>
        <w:t>。</w:t>
      </w:r>
    </w:p>
    <w:p>
      <w:pPr>
        <w:pageBreakBefore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6.19</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0.41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减少接待次数和接待标准</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6.19</w:t>
      </w:r>
      <w:r>
        <w:rPr>
          <w:rFonts w:hint="eastAsia" w:ascii="仿宋_GB2312" w:eastAsia="仿宋_GB2312"/>
          <w:color w:val="auto"/>
          <w:sz w:val="32"/>
          <w:szCs w:val="32"/>
          <w:highlight w:val="none"/>
        </w:rPr>
        <w:t>万元，主要用于执行公务、开展业务活动开支用餐费等。国内公务接待</w:t>
      </w:r>
      <w:r>
        <w:rPr>
          <w:rFonts w:hint="eastAsia" w:ascii="仿宋_GB2312" w:eastAsia="仿宋_GB2312"/>
          <w:color w:val="auto"/>
          <w:sz w:val="32"/>
          <w:szCs w:val="32"/>
          <w:highlight w:val="none"/>
          <w:lang w:val="en-US" w:eastAsia="zh-CN"/>
        </w:rPr>
        <w:t>131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1296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6.19</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各专业接待省、市两级的业务领导调研、检查等工作的接待费。省市两级接待主要部门是省市统计局和省调查总和市调查队。</w:t>
      </w:r>
    </w:p>
    <w:p>
      <w:pPr>
        <w:spacing w:line="600" w:lineRule="exact"/>
        <w:ind w:firstLine="645"/>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35" w:name="_Toc15377218"/>
      <w:bookmarkStart w:id="36" w:name="_Toc15396610"/>
      <w:r>
        <w:rPr>
          <w:rFonts w:hint="eastAsia" w:ascii="仿宋_GB2312" w:eastAsia="仿宋_GB2312"/>
          <w:color w:val="auto"/>
          <w:sz w:val="32"/>
          <w:szCs w:val="32"/>
          <w:highlight w:val="none"/>
          <w:lang w:eastAsia="zh-CN"/>
        </w:rPr>
        <w:t>。</w:t>
      </w:r>
    </w:p>
    <w:p>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35"/>
      <w:bookmarkEnd w:id="3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28"/>
          <w:rFonts w:ascii="黑体" w:hAnsi="黑体" w:eastAsia="黑体"/>
          <w:b w:val="0"/>
          <w:color w:val="auto"/>
          <w:highlight w:val="none"/>
        </w:rPr>
      </w:pPr>
      <w:bookmarkStart w:id="37" w:name="_Toc15377219"/>
      <w:bookmarkStart w:id="38" w:name="_Toc15396611"/>
      <w:r>
        <w:rPr>
          <w:rStyle w:val="28"/>
          <w:rFonts w:hint="eastAsia" w:ascii="黑体" w:hAnsi="黑体" w:eastAsia="黑体"/>
          <w:b w:val="0"/>
          <w:color w:val="auto"/>
          <w:highlight w:val="none"/>
          <w:lang w:eastAsia="zh-CN"/>
        </w:rPr>
        <w:t>九、</w:t>
      </w:r>
      <w:r>
        <w:rPr>
          <w:rStyle w:val="28"/>
          <w:rFonts w:hint="eastAsia" w:ascii="黑体" w:hAnsi="黑体" w:eastAsia="黑体"/>
          <w:b w:val="0"/>
          <w:color w:val="auto"/>
          <w:highlight w:val="none"/>
        </w:rPr>
        <w:t>国有资本经营预算支出决算情况说明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0"/>
        </w:numPr>
        <w:spacing w:line="600" w:lineRule="exact"/>
        <w:ind w:firstLine="640" w:firstLineChars="200"/>
        <w:outlineLvl w:val="1"/>
        <w:rPr>
          <w:rStyle w:val="28"/>
          <w:rFonts w:hint="eastAsia" w:ascii="黑体" w:hAnsi="黑体" w:eastAsia="黑体"/>
          <w:b w:val="0"/>
          <w:color w:val="auto"/>
          <w:highlight w:val="none"/>
        </w:rPr>
      </w:pPr>
      <w:bookmarkStart w:id="39" w:name="_Toc15396612"/>
      <w:bookmarkStart w:id="40" w:name="_Toc15377221"/>
      <w:r>
        <w:rPr>
          <w:rStyle w:val="28"/>
          <w:rFonts w:hint="eastAsia" w:ascii="黑体" w:hAnsi="黑体" w:eastAsia="黑体"/>
          <w:b w:val="0"/>
          <w:color w:val="auto"/>
          <w:highlight w:val="none"/>
          <w:lang w:val="en-US" w:eastAsia="zh-CN"/>
        </w:rPr>
        <w:t>十、预算绩效管理情况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住户调查等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pStyle w:val="2"/>
        <w:rPr>
          <w:rFonts w:hint="eastAsia"/>
        </w:rPr>
      </w:pPr>
    </w:p>
    <w:p>
      <w:pPr>
        <w:numPr>
          <w:ilvl w:val="0"/>
          <w:numId w:val="0"/>
        </w:numPr>
        <w:spacing w:line="600" w:lineRule="exact"/>
        <w:ind w:firstLine="640" w:firstLineChars="200"/>
        <w:outlineLvl w:val="1"/>
        <w:rPr>
          <w:rStyle w:val="28"/>
          <w:rFonts w:hint="eastAsia" w:ascii="黑体" w:hAnsi="黑体" w:eastAsia="黑体"/>
          <w:b w:val="0"/>
          <w:color w:val="auto"/>
          <w:highlight w:val="none"/>
        </w:rPr>
      </w:pPr>
      <w:r>
        <w:rPr>
          <w:rStyle w:val="28"/>
          <w:rFonts w:hint="eastAsia" w:ascii="黑体" w:hAnsi="黑体" w:eastAsia="黑体"/>
          <w:b w:val="0"/>
          <w:color w:val="auto"/>
          <w:highlight w:val="none"/>
          <w:lang w:eastAsia="zh-CN"/>
        </w:rPr>
        <w:t>十一、</w:t>
      </w:r>
      <w:r>
        <w:rPr>
          <w:rStyle w:val="28"/>
          <w:rFonts w:hint="eastAsia" w:ascii="黑体" w:hAnsi="黑体" w:eastAsia="黑体"/>
          <w:b w:val="0"/>
          <w:color w:val="auto"/>
          <w:highlight w:val="none"/>
        </w:rPr>
        <w:t>其他重要事项的情况说明</w:t>
      </w:r>
      <w:bookmarkEnd w:id="39"/>
      <w:bookmarkEnd w:id="40"/>
    </w:p>
    <w:p>
      <w:pPr>
        <w:spacing w:line="600" w:lineRule="exact"/>
        <w:ind w:firstLine="643" w:firstLineChars="200"/>
        <w:outlineLvl w:val="2"/>
        <w:rPr>
          <w:rFonts w:ascii="仿宋" w:hAnsi="仿宋" w:eastAsia="仿宋"/>
          <w:color w:val="auto"/>
          <w:sz w:val="32"/>
          <w:szCs w:val="32"/>
          <w:highlight w:val="none"/>
        </w:rPr>
      </w:pPr>
      <w:bookmarkStart w:id="41" w:name="_Toc15377222"/>
      <w:r>
        <w:rPr>
          <w:rFonts w:hint="eastAsia" w:ascii="仿宋" w:hAnsi="仿宋" w:eastAsia="仿宋"/>
          <w:b/>
          <w:color w:val="auto"/>
          <w:sz w:val="32"/>
          <w:szCs w:val="32"/>
          <w:highlight w:val="none"/>
        </w:rPr>
        <w:t>（一）机关运行经费支出情况</w:t>
      </w:r>
      <w:bookmarkEnd w:id="41"/>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广元市昭化区统计局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42.55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5.39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11.24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减少第七次全国人口普查和全国脱贫普查两项大型普查。</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3"/>
      <w:r>
        <w:rPr>
          <w:rFonts w:hint="eastAsia" w:ascii="仿宋" w:hAnsi="仿宋" w:eastAsia="仿宋"/>
          <w:b/>
          <w:color w:val="auto"/>
          <w:sz w:val="32"/>
          <w:szCs w:val="32"/>
          <w:highlight w:val="none"/>
        </w:rPr>
        <w:t>（二）政府采购支出情况</w:t>
      </w:r>
      <w:bookmarkEnd w:id="4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广元市昭化区统计局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4"/>
      <w:r>
        <w:rPr>
          <w:rFonts w:hint="eastAsia" w:ascii="仿宋" w:hAnsi="仿宋" w:eastAsia="仿宋"/>
          <w:b/>
          <w:color w:val="auto"/>
          <w:sz w:val="32"/>
          <w:szCs w:val="32"/>
          <w:highlight w:val="none"/>
        </w:rPr>
        <w:t>（三）国有资产占有使用情况</w:t>
      </w:r>
      <w:bookmarkEnd w:id="43"/>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广元市昭化区统计局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hint="eastAsia" w:ascii="黑体" w:hAnsi="黑体" w:eastAsia="黑体"/>
          <w:color w:val="auto"/>
          <w:sz w:val="44"/>
          <w:szCs w:val="44"/>
          <w:highlight w:val="none"/>
        </w:rPr>
      </w:pPr>
      <w:bookmarkStart w:id="44" w:name="_Toc15396613"/>
      <w:bookmarkStart w:id="45" w:name="_Toc15377225"/>
    </w:p>
    <w:p>
      <w:pPr>
        <w:widowControl/>
        <w:jc w:val="left"/>
        <w:rPr>
          <w:rFonts w:hint="eastAsia" w:ascii="黑体" w:hAnsi="黑体" w:eastAsia="黑体"/>
          <w:color w:val="auto"/>
          <w:sz w:val="44"/>
          <w:szCs w:val="44"/>
          <w:highlight w:val="none"/>
        </w:rPr>
      </w:pPr>
    </w:p>
    <w:p>
      <w:pPr>
        <w:widowControl/>
        <w:jc w:val="center"/>
        <w:rPr>
          <w:rStyle w:val="27"/>
          <w:rFonts w:ascii="黑体" w:hAnsi="黑体" w:eastAsia="黑体"/>
          <w:b w:val="0"/>
          <w:color w:val="auto"/>
          <w:highlight w:val="none"/>
        </w:rPr>
      </w:pPr>
      <w:r>
        <w:rPr>
          <w:rFonts w:hint="eastAsia" w:ascii="黑体" w:hAnsi="黑体" w:eastAsia="黑体"/>
          <w:color w:val="auto"/>
          <w:sz w:val="44"/>
          <w:szCs w:val="44"/>
          <w:highlight w:val="none"/>
          <w:lang w:val="en-US" w:eastAsia="zh-CN"/>
        </w:rPr>
        <w:t xml:space="preserve">第三部分 </w:t>
      </w:r>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44"/>
      <w:bookmarkEnd w:id="45"/>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9.</w:t>
      </w:r>
      <w:r>
        <w:rPr>
          <w:rStyle w:val="17"/>
          <w:rFonts w:hint="eastAsia" w:ascii="仿宋_GB2312" w:hAnsi="仿宋_GB2312" w:eastAsia="仿宋_GB2312" w:cs="仿宋_GB2312"/>
          <w:b w:val="0"/>
          <w:bCs w:val="0"/>
          <w:color w:val="auto"/>
          <w:sz w:val="32"/>
          <w:szCs w:val="32"/>
          <w:highlight w:val="none"/>
        </w:rPr>
        <w:t>一般公共服务（类）</w:t>
      </w:r>
      <w:r>
        <w:rPr>
          <w:rFonts w:hint="eastAsia" w:ascii="仿宋_GB2312" w:hAnsi="仿宋_GB2312" w:eastAsia="仿宋_GB2312" w:cs="仿宋_GB2312"/>
          <w:b w:val="0"/>
          <w:bCs w:val="0"/>
          <w:color w:val="auto"/>
          <w:sz w:val="32"/>
          <w:szCs w:val="32"/>
          <w:lang w:eastAsia="zh-CN"/>
        </w:rPr>
        <w:t>统计信息事务</w:t>
      </w:r>
      <w:r>
        <w:rPr>
          <w:rStyle w:val="17"/>
          <w:rFonts w:hint="eastAsia" w:ascii="仿宋_GB2312" w:hAnsi="仿宋_GB2312" w:eastAsia="仿宋_GB2312" w:cs="仿宋_GB2312"/>
          <w:b w:val="0"/>
          <w:bCs w:val="0"/>
          <w:color w:val="auto"/>
          <w:sz w:val="32"/>
          <w:szCs w:val="32"/>
          <w:highlight w:val="none"/>
        </w:rPr>
        <w:t>（款）</w:t>
      </w:r>
      <w:r>
        <w:rPr>
          <w:rFonts w:hint="eastAsia" w:ascii="仿宋_GB2312" w:hAnsi="仿宋_GB2312" w:eastAsia="仿宋_GB2312" w:cs="仿宋_GB2312"/>
          <w:b w:val="0"/>
          <w:bCs w:val="0"/>
          <w:color w:val="auto"/>
          <w:sz w:val="32"/>
          <w:szCs w:val="32"/>
        </w:rPr>
        <w:t>行政运行</w:t>
      </w:r>
      <w:r>
        <w:rPr>
          <w:rStyle w:val="17"/>
          <w:rFonts w:hint="eastAsia" w:ascii="仿宋_GB2312" w:hAnsi="仿宋_GB2312" w:eastAsia="仿宋_GB2312" w:cs="仿宋_GB2312"/>
          <w:b w:val="0"/>
          <w:bCs w:val="0"/>
          <w:color w:val="auto"/>
          <w:sz w:val="32"/>
          <w:szCs w:val="32"/>
          <w:highlight w:val="none"/>
        </w:rPr>
        <w:t xml:space="preserve">（项）: </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:主要用于保障机关单位正常运转，支持机关单位履行职能，保障各项业务正常开展，以及基本项目正常实施所需的支付。一般公共服务类科目反映政府提供一般公共服务的支出。</w:t>
      </w:r>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Style w:val="17"/>
          <w:rFonts w:hint="eastAsia" w:ascii="仿宋_GB2312" w:hAnsi="仿宋_GB2312" w:eastAsia="仿宋_GB2312" w:cs="仿宋_GB2312"/>
          <w:b w:val="0"/>
          <w:bCs w:val="0"/>
          <w:color w:val="auto"/>
          <w:sz w:val="32"/>
          <w:szCs w:val="32"/>
          <w:highlight w:val="none"/>
        </w:rPr>
        <w:t>社会保障和就业（类）</w:t>
      </w:r>
      <w:r>
        <w:rPr>
          <w:rStyle w:val="17"/>
          <w:rFonts w:hint="eastAsia" w:ascii="仿宋_GB2312" w:hAnsi="仿宋_GB2312" w:eastAsia="仿宋_GB2312" w:cs="仿宋_GB2312"/>
          <w:b w:val="0"/>
          <w:bCs w:val="0"/>
          <w:color w:val="000000"/>
          <w:sz w:val="32"/>
          <w:szCs w:val="32"/>
        </w:rPr>
        <w:t>行政事业单位离退休</w:t>
      </w:r>
      <w:r>
        <w:rPr>
          <w:rStyle w:val="17"/>
          <w:rFonts w:hint="eastAsia" w:ascii="仿宋_GB2312" w:hAnsi="仿宋_GB2312" w:eastAsia="仿宋_GB2312" w:cs="仿宋_GB2312"/>
          <w:b w:val="0"/>
          <w:bCs w:val="0"/>
          <w:color w:val="auto"/>
          <w:sz w:val="32"/>
          <w:szCs w:val="32"/>
          <w:highlight w:val="none"/>
        </w:rPr>
        <w:t>（款）</w:t>
      </w:r>
      <w:r>
        <w:rPr>
          <w:rStyle w:val="17"/>
          <w:rFonts w:hint="eastAsia" w:ascii="仿宋_GB2312" w:hAnsi="仿宋_GB2312" w:eastAsia="仿宋_GB2312" w:cs="仿宋_GB2312"/>
          <w:b w:val="0"/>
          <w:bCs w:val="0"/>
          <w:color w:val="000000"/>
          <w:sz w:val="32"/>
          <w:szCs w:val="32"/>
        </w:rPr>
        <w:t>机关事业单位基本养老保险缴费支出</w:t>
      </w:r>
      <w:r>
        <w:rPr>
          <w:rStyle w:val="17"/>
          <w:rFonts w:hint="eastAsia" w:ascii="仿宋_GB2312" w:hAnsi="仿宋_GB2312" w:eastAsia="仿宋_GB2312" w:cs="仿宋_GB2312"/>
          <w:b w:val="0"/>
          <w:bCs w:val="0"/>
          <w:color w:val="auto"/>
          <w:sz w:val="32"/>
          <w:szCs w:val="32"/>
          <w:highlight w:val="none"/>
        </w:rPr>
        <w:t>（项）:</w:t>
      </w:r>
      <w:r>
        <w:rPr>
          <w:rFonts w:hint="eastAsia" w:ascii="仿宋_GB2312" w:eastAsia="仿宋_GB2312"/>
          <w:color w:val="auto"/>
          <w:sz w:val="32"/>
          <w:szCs w:val="32"/>
          <w:highlight w:val="none"/>
        </w:rPr>
        <w:t>指</w:t>
      </w:r>
      <w:r>
        <w:rPr>
          <w:rFonts w:hint="eastAsia" w:ascii="仿宋_GB2312" w:hAnsi="仿宋_GB2312" w:eastAsia="仿宋_GB2312" w:cs="仿宋_GB2312"/>
          <w:i w:val="0"/>
          <w:caps w:val="0"/>
          <w:color w:val="000000"/>
          <w:spacing w:val="0"/>
          <w:sz w:val="32"/>
          <w:szCs w:val="32"/>
          <w:shd w:val="clear" w:fill="FFFFFF"/>
        </w:rPr>
        <w:t>实施养老保险制度后，部门按规定由单位缴纳的基本养老保险费支出</w:t>
      </w:r>
      <w:r>
        <w:rPr>
          <w:rFonts w:hint="eastAsia" w:ascii="仿宋_GB2312" w:hAnsi="仿宋_GB2312" w:eastAsia="仿宋_GB2312" w:cs="仿宋_GB2312"/>
          <w:i w:val="0"/>
          <w:caps w:val="0"/>
          <w:color w:val="000000"/>
          <w:spacing w:val="0"/>
          <w:sz w:val="32"/>
          <w:szCs w:val="32"/>
          <w:shd w:val="clear" w:fill="FFFFFF"/>
          <w:lang w:eastAsia="zh-CN"/>
        </w:rPr>
        <w:t>和，</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ascii="仿宋_GB2312" w:eastAsia="仿宋_GB2312"/>
          <w:color w:val="auto"/>
          <w:sz w:val="32"/>
          <w:szCs w:val="32"/>
          <w:highlight w:val="none"/>
        </w:rPr>
        <w:t>11.</w:t>
      </w:r>
      <w:r>
        <w:rPr>
          <w:rFonts w:hint="eastAsia" w:ascii="仿宋_GB2312" w:hAnsi="仿宋_GB2312" w:eastAsia="仿宋_GB2312" w:cs="仿宋_GB2312"/>
          <w:b w:val="0"/>
          <w:bCs w:val="0"/>
          <w:color w:val="auto"/>
          <w:sz w:val="32"/>
          <w:szCs w:val="32"/>
          <w:highlight w:val="none"/>
        </w:rPr>
        <w:t>卫生健康</w:t>
      </w:r>
      <w:r>
        <w:rPr>
          <w:rStyle w:val="17"/>
          <w:rFonts w:hint="eastAsia" w:ascii="仿宋_GB2312" w:hAnsi="仿宋_GB2312" w:eastAsia="仿宋_GB2312" w:cs="仿宋_GB2312"/>
          <w:b w:val="0"/>
          <w:bCs w:val="0"/>
          <w:color w:val="auto"/>
          <w:sz w:val="32"/>
          <w:szCs w:val="32"/>
          <w:highlight w:val="none"/>
        </w:rPr>
        <w:t>（类）</w:t>
      </w:r>
      <w:r>
        <w:rPr>
          <w:rStyle w:val="17"/>
          <w:rFonts w:hint="eastAsia" w:ascii="仿宋_GB2312" w:hAnsi="仿宋_GB2312" w:eastAsia="仿宋_GB2312" w:cs="仿宋_GB2312"/>
          <w:b w:val="0"/>
          <w:bCs w:val="0"/>
          <w:color w:val="000000"/>
          <w:sz w:val="32"/>
          <w:szCs w:val="32"/>
        </w:rPr>
        <w:t>行政事业单位医疗</w:t>
      </w:r>
      <w:r>
        <w:rPr>
          <w:rStyle w:val="17"/>
          <w:rFonts w:hint="eastAsia" w:ascii="仿宋_GB2312" w:hAnsi="仿宋_GB2312" w:eastAsia="仿宋_GB2312" w:cs="仿宋_GB2312"/>
          <w:b w:val="0"/>
          <w:bCs w:val="0"/>
          <w:color w:val="auto"/>
          <w:sz w:val="32"/>
          <w:szCs w:val="32"/>
          <w:highlight w:val="none"/>
        </w:rPr>
        <w:t>（款）</w:t>
      </w:r>
      <w:r>
        <w:rPr>
          <w:rStyle w:val="17"/>
          <w:rFonts w:hint="eastAsia" w:ascii="仿宋_GB2312" w:hAnsi="仿宋_GB2312" w:eastAsia="仿宋_GB2312" w:cs="仿宋_GB2312"/>
          <w:b w:val="0"/>
          <w:bCs w:val="0"/>
          <w:color w:val="000000"/>
          <w:sz w:val="32"/>
          <w:szCs w:val="32"/>
        </w:rPr>
        <w:t>行政单位医疗</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sz w:val="32"/>
          <w:szCs w:val="32"/>
          <w:highlight w:val="none"/>
        </w:rPr>
        <w:t>：指</w:t>
      </w:r>
      <w:r>
        <w:rPr>
          <w:rFonts w:hint="eastAsia" w:ascii="仿宋_GB2312" w:hAnsi="仿宋_GB2312" w:eastAsia="仿宋_GB2312" w:cs="仿宋_GB2312"/>
          <w:b w:val="0"/>
          <w:bCs w:val="0"/>
          <w:i w:val="0"/>
          <w:caps w:val="0"/>
          <w:color w:val="000000"/>
          <w:spacing w:val="0"/>
          <w:sz w:val="32"/>
          <w:szCs w:val="32"/>
          <w:shd w:val="clear" w:fill="FFFFFF"/>
        </w:rPr>
        <w:t>单位工伤、失业保险缴费支出</w:t>
      </w:r>
      <w:r>
        <w:rPr>
          <w:rFonts w:hint="eastAsia" w:ascii="仿宋_GB2312" w:hAnsi="仿宋_GB2312" w:eastAsia="仿宋_GB2312" w:cs="仿宋_GB2312"/>
          <w:b w:val="0"/>
          <w:bCs w:val="0"/>
          <w:i w:val="0"/>
          <w:caps w:val="0"/>
          <w:color w:val="000000"/>
          <w:spacing w:val="0"/>
          <w:sz w:val="32"/>
          <w:szCs w:val="32"/>
          <w:shd w:val="clear" w:fill="FFFFFF"/>
          <w:lang w:eastAsia="zh-CN"/>
        </w:rPr>
        <w:t>，</w:t>
      </w:r>
      <w:r>
        <w:rPr>
          <w:rFonts w:hint="eastAsia" w:ascii="仿宋_GB2312" w:hAnsi="仿宋_GB2312" w:eastAsia="仿宋_GB2312" w:cs="仿宋_GB2312"/>
          <w:b w:val="0"/>
          <w:bCs w:val="0"/>
          <w:i w:val="0"/>
          <w:caps w:val="0"/>
          <w:color w:val="000000"/>
          <w:spacing w:val="0"/>
          <w:sz w:val="32"/>
          <w:szCs w:val="32"/>
          <w:shd w:val="clear" w:fill="FFFFFF"/>
        </w:rPr>
        <w:t>单位基本医疗保险缴费支出</w:t>
      </w:r>
      <w:r>
        <w:rPr>
          <w:rFonts w:hint="eastAsia" w:ascii="仿宋_GB2312" w:hAnsi="仿宋_GB2312" w:eastAsia="仿宋_GB2312" w:cs="仿宋_GB2312"/>
          <w:b w:val="0"/>
          <w:bCs w:val="0"/>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rPr>
      </w:pPr>
      <w:r>
        <w:rPr>
          <w:rFonts w:ascii="仿宋_GB2312" w:eastAsia="仿宋_GB2312"/>
          <w:color w:val="auto"/>
          <w:sz w:val="32"/>
          <w:szCs w:val="32"/>
          <w:highlight w:val="none"/>
        </w:rPr>
        <w:t>12.</w:t>
      </w:r>
      <w:r>
        <w:rPr>
          <w:rFonts w:hint="eastAsia" w:ascii="仿宋_GB2312" w:hAnsi="仿宋_GB2312" w:eastAsia="仿宋_GB2312" w:cs="仿宋_GB2312"/>
          <w:b w:val="0"/>
          <w:bCs/>
          <w:color w:val="000000"/>
          <w:sz w:val="32"/>
          <w:szCs w:val="32"/>
        </w:rPr>
        <w:t>住房保障支出（类）住房改革支出（款）住房公积金（项）：</w:t>
      </w:r>
      <w:r>
        <w:rPr>
          <w:rFonts w:hint="eastAsia" w:ascii="仿宋_GB2312" w:hAnsi="仿宋_GB2312" w:eastAsia="仿宋_GB2312" w:cs="仿宋_GB2312"/>
          <w:b w:val="0"/>
          <w:bCs/>
          <w:color w:val="auto"/>
          <w:sz w:val="32"/>
          <w:szCs w:val="32"/>
          <w:highlight w:val="none"/>
        </w:rPr>
        <w:t>指</w:t>
      </w:r>
      <w:r>
        <w:rPr>
          <w:rFonts w:hint="eastAsia" w:ascii="仿宋_GB2312" w:hAnsi="仿宋_GB2312" w:eastAsia="仿宋_GB2312" w:cs="仿宋_GB2312"/>
          <w:b w:val="0"/>
          <w:bCs/>
          <w:i w:val="0"/>
          <w:caps w:val="0"/>
          <w:color w:val="000000"/>
          <w:spacing w:val="0"/>
          <w:sz w:val="32"/>
          <w:szCs w:val="32"/>
          <w:shd w:val="clear" w:fill="FFFFFF"/>
        </w:rPr>
        <w:t>单位按人力资源和社会保障部、</w:t>
      </w:r>
      <w:r>
        <w:rPr>
          <w:rFonts w:hint="eastAsia" w:ascii="仿宋_GB2312" w:hAnsi="仿宋_GB2312" w:eastAsia="仿宋_GB2312" w:cs="仿宋_GB2312"/>
          <w:i w:val="0"/>
          <w:caps w:val="0"/>
          <w:color w:val="000000"/>
          <w:spacing w:val="0"/>
          <w:sz w:val="32"/>
          <w:szCs w:val="32"/>
          <w:shd w:val="clear" w:fill="FFFFFF"/>
        </w:rPr>
        <w:t>财政部规定的基本工资和津贴补贴以及规定比例为职工缴纳的住房公积金支出</w:t>
      </w:r>
      <w:r>
        <w:rPr>
          <w:rFonts w:hint="eastAsia" w:ascii="仿宋_GB2312" w:hAnsi="仿宋_GB2312" w:eastAsia="仿宋_GB2312" w:cs="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rPr>
          <w:rFonts w:ascii="仿宋_GB2312" w:eastAsia="仿宋_GB2312" w:cs="黑体"/>
          <w:color w:val="auto"/>
          <w:sz w:val="32"/>
          <w:szCs w:val="32"/>
          <w:highlight w:val="none"/>
        </w:rPr>
      </w:pPr>
    </w:p>
    <w:p>
      <w:pPr>
        <w:spacing w:line="600" w:lineRule="exact"/>
        <w:jc w:val="center"/>
        <w:outlineLvl w:val="0"/>
        <w:rPr>
          <w:rStyle w:val="27"/>
          <w:rFonts w:ascii="黑体" w:hAnsi="黑体" w:eastAsia="黑体"/>
          <w:b w:val="0"/>
          <w:color w:val="auto"/>
          <w:highlight w:val="none"/>
        </w:rPr>
      </w:pPr>
      <w:bookmarkStart w:id="46" w:name="_Toc15377226"/>
      <w:r>
        <w:rPr>
          <w:rFonts w:ascii="宋体"/>
          <w:b/>
          <w:color w:val="auto"/>
          <w:sz w:val="44"/>
          <w:szCs w:val="44"/>
          <w:highlight w:val="none"/>
        </w:rPr>
        <w:br w:type="page"/>
      </w:r>
      <w:bookmarkStart w:id="47"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47"/>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0"/>
        <w:gridCol w:w="1016"/>
        <w:gridCol w:w="1634"/>
        <w:gridCol w:w="2350"/>
        <w:gridCol w:w="827"/>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28"/>
                <w:szCs w:val="28"/>
                <w:u w:val="none"/>
              </w:rPr>
            </w:pPr>
            <w:bookmarkStart w:id="48" w:name="_Toc15396618"/>
            <w:r>
              <w:rPr>
                <w:rFonts w:hint="eastAsia" w:ascii="宋体" w:hAnsi="宋体" w:cs="宋体"/>
                <w:b/>
                <w:i w:val="0"/>
                <w:color w:val="auto"/>
                <w:sz w:val="28"/>
                <w:szCs w:val="28"/>
                <w:highlight w:val="none"/>
                <w:u w:val="none"/>
                <w:lang w:val="en-US" w:eastAsia="zh-CN"/>
              </w:rPr>
              <w:t>广元市昭化区统计局</w:t>
            </w:r>
            <w:r>
              <w:rPr>
                <w:rFonts w:hint="eastAsia" w:ascii="宋体" w:hAnsi="宋体" w:eastAsia="宋体" w:cs="宋体"/>
                <w:b/>
                <w:i w:val="0"/>
                <w:color w:val="auto"/>
                <w:sz w:val="28"/>
                <w:szCs w:val="28"/>
                <w:highlight w:val="none"/>
                <w:u w:val="none"/>
                <w:lang w:val="en-US" w:eastAsia="zh-CN"/>
              </w:rPr>
              <w:t>2021年</w:t>
            </w:r>
            <w:r>
              <w:rPr>
                <w:rFonts w:hint="eastAsia" w:ascii="宋体" w:hAnsi="宋体" w:cs="宋体"/>
                <w:b/>
                <w:i w:val="0"/>
                <w:color w:val="auto"/>
                <w:sz w:val="28"/>
                <w:szCs w:val="28"/>
                <w:highlight w:val="none"/>
                <w:u w:val="none"/>
                <w:lang w:val="en-US" w:eastAsia="zh-CN"/>
              </w:rPr>
              <w:t>住户调查</w:t>
            </w:r>
            <w:r>
              <w:rPr>
                <w:rFonts w:hint="eastAsia" w:ascii="宋体" w:hAnsi="宋体" w:eastAsia="宋体" w:cs="宋体"/>
                <w:b/>
                <w:i w:val="0"/>
                <w:color w:val="auto"/>
                <w:sz w:val="28"/>
                <w:szCs w:val="28"/>
                <w:highlight w:val="none"/>
                <w:u w:val="none"/>
                <w:lang w:val="en-US" w:eastAsia="zh-CN"/>
              </w:rPr>
              <w:t>绩效目标自评</w:t>
            </w:r>
            <w:r>
              <w:rPr>
                <w:rFonts w:hint="eastAsia" w:ascii="宋体" w:hAnsi="宋体" w:cs="宋体"/>
                <w:b/>
                <w:i w:val="0"/>
                <w:color w:val="auto"/>
                <w:sz w:val="28"/>
                <w:szCs w:val="28"/>
                <w:highlight w:val="none"/>
                <w:u w:val="none"/>
                <w:lang w:val="en-US" w:eastAsia="zh-CN"/>
              </w:rPr>
              <w:t>表</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4" w:hRule="atLeast"/>
        </w:trPr>
        <w:tc>
          <w:tcPr>
            <w:tcW w:w="2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主管部门及代码</w:t>
            </w:r>
          </w:p>
        </w:tc>
        <w:tc>
          <w:tcPr>
            <w:tcW w:w="3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广元市昭化区统计局410401</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广元市昭化区统计局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预算数：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50" w:hRule="atLeast"/>
        </w:trPr>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26" w:hRule="atLeast"/>
        </w:trPr>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其他资金</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完成情况</w:t>
            </w:r>
          </w:p>
        </w:tc>
        <w:tc>
          <w:tcPr>
            <w:tcW w:w="5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预期目标</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67" w:hRule="atLeast"/>
        </w:trPr>
        <w:tc>
          <w:tcPr>
            <w:tcW w:w="13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2"/>
                <w:szCs w:val="22"/>
                <w:u w:val="none"/>
              </w:rPr>
            </w:pPr>
          </w:p>
        </w:tc>
        <w:tc>
          <w:tcPr>
            <w:tcW w:w="5000"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202</w:t>
            </w:r>
            <w:r>
              <w:rPr>
                <w:rFonts w:hint="eastAsia" w:ascii="宋体" w:hAnsi="宋体" w:cs="宋体"/>
                <w:i w:val="0"/>
                <w:color w:val="auto"/>
                <w:sz w:val="22"/>
                <w:szCs w:val="22"/>
                <w:u w:val="none"/>
                <w:lang w:val="en-US" w:eastAsia="zh-CN"/>
              </w:rPr>
              <w:t>1</w:t>
            </w:r>
            <w:r>
              <w:rPr>
                <w:rFonts w:hint="eastAsia" w:ascii="宋体" w:hAnsi="宋体" w:eastAsia="宋体" w:cs="宋体"/>
                <w:i w:val="0"/>
                <w:color w:val="auto"/>
                <w:sz w:val="22"/>
                <w:szCs w:val="22"/>
                <w:u w:val="none"/>
              </w:rPr>
              <w:t>年，在区委政府的领导下，使区人均收入在2021年基础上增长10-15%，该项工作立争在全市排列1-2位。</w:t>
            </w:r>
          </w:p>
        </w:tc>
        <w:tc>
          <w:tcPr>
            <w:tcW w:w="3237"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已完成预期目标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年度绩效指标完成情况</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预期指标值</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数量指标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完成规定的各季度的目标任务</w:t>
            </w: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质量指标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统计数据匹配度</w:t>
            </w: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时效指标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按季度分析限时完成</w:t>
            </w: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按时发布</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按时发布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成本指标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项目总成本</w:t>
            </w: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48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经济效益  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社会效益  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olor w:val="000000"/>
                <w:sz w:val="28"/>
                <w:szCs w:val="28"/>
                <w:u w:val="none"/>
              </w:rPr>
              <w:t>向区委政府提供详细发展数据，助力经济社会发展</w:t>
            </w: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olor w:val="000000"/>
                <w:sz w:val="28"/>
                <w:szCs w:val="28"/>
                <w:u w:val="none"/>
              </w:rPr>
              <w:t>分析报告</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06"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生态效益  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2"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可持续影响 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olor w:val="000000"/>
                <w:sz w:val="28"/>
                <w:szCs w:val="28"/>
                <w:u w:val="none"/>
              </w:rPr>
              <w:t>常年开展，持续开展调查</w:t>
            </w: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120户/年</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度指标</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指标</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olor w:val="000000"/>
                <w:kern w:val="0"/>
                <w:sz w:val="28"/>
                <w:szCs w:val="28"/>
                <w:u w:val="none"/>
                <w:lang w:val="en-US" w:eastAsia="zh-CN" w:bidi="ar"/>
              </w:rPr>
              <w:t>接待对象满意度</w:t>
            </w:r>
          </w:p>
        </w:tc>
        <w:tc>
          <w:tcPr>
            <w:tcW w:w="82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olor w:val="000000"/>
                <w:kern w:val="0"/>
                <w:sz w:val="28"/>
                <w:szCs w:val="28"/>
                <w:u w:val="none"/>
                <w:lang w:val="en-US" w:eastAsia="zh-CN" w:bidi="ar"/>
              </w:rPr>
              <w:t>≥95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100%</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46"/>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2"/>
    </w:p>
    <w:p>
      <w:pPr>
        <w:pStyle w:val="4"/>
        <w:rPr>
          <w:rStyle w:val="28"/>
          <w:rFonts w:ascii="仿宋" w:hAnsi="仿宋" w:eastAsia="仿宋"/>
          <w:b w:val="0"/>
          <w:bCs w:val="0"/>
          <w:color w:val="auto"/>
          <w:highlight w:val="none"/>
        </w:rPr>
      </w:pPr>
      <w:bookmarkStart w:id="53"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58"/>
    </w:p>
    <w:p>
      <w:pPr>
        <w:pStyle w:val="4"/>
        <w:rPr>
          <w:rFonts w:ascii="仿宋" w:hAnsi="仿宋" w:eastAsia="仿宋"/>
          <w:color w:val="auto"/>
          <w:highlight w:val="none"/>
        </w:rPr>
      </w:pPr>
      <w:bookmarkStart w:id="59"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59"/>
    </w:p>
    <w:p>
      <w:pPr>
        <w:pStyle w:val="4"/>
        <w:rPr>
          <w:rFonts w:ascii="仿宋" w:hAnsi="仿宋" w:eastAsia="仿宋"/>
          <w:color w:val="auto"/>
          <w:highlight w:val="none"/>
        </w:rPr>
      </w:pPr>
      <w:bookmarkStart w:id="60"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60"/>
    </w:p>
    <w:p>
      <w:pPr>
        <w:pStyle w:val="4"/>
        <w:rPr>
          <w:rStyle w:val="28"/>
          <w:rFonts w:hint="eastAsia" w:ascii="仿宋" w:hAnsi="仿宋" w:eastAsia="仿宋"/>
          <w:b w:val="0"/>
          <w:bCs w:val="0"/>
          <w:color w:val="auto"/>
          <w:highlight w:val="none"/>
        </w:rPr>
      </w:pPr>
      <w:bookmarkStart w:id="61"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61"/>
    </w:p>
    <w:p>
      <w:pPr>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F414159"/>
    <w:multiLevelType w:val="singleLevel"/>
    <w:tmpl w:val="7F41415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NmFhOTE5MWJlODRkODc5YzM2ZjkzNjQ5NWMxYj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4A136C"/>
    <w:rsid w:val="0994355E"/>
    <w:rsid w:val="0A2032A3"/>
    <w:rsid w:val="0B8A37D8"/>
    <w:rsid w:val="0CF35720"/>
    <w:rsid w:val="109334AA"/>
    <w:rsid w:val="10C055FF"/>
    <w:rsid w:val="118107EC"/>
    <w:rsid w:val="11DD6519"/>
    <w:rsid w:val="16BB723D"/>
    <w:rsid w:val="17817EDE"/>
    <w:rsid w:val="18015F3F"/>
    <w:rsid w:val="1B2E76FB"/>
    <w:rsid w:val="1BE8440E"/>
    <w:rsid w:val="1D155CEE"/>
    <w:rsid w:val="1DBF6905"/>
    <w:rsid w:val="1E6B31F5"/>
    <w:rsid w:val="20F57F95"/>
    <w:rsid w:val="240371BF"/>
    <w:rsid w:val="25C741E6"/>
    <w:rsid w:val="27842671"/>
    <w:rsid w:val="29FD04D3"/>
    <w:rsid w:val="2A49048E"/>
    <w:rsid w:val="2ABE7A3E"/>
    <w:rsid w:val="2ACB73AD"/>
    <w:rsid w:val="2BA97FFE"/>
    <w:rsid w:val="2C1E076E"/>
    <w:rsid w:val="2EFA178C"/>
    <w:rsid w:val="2F230642"/>
    <w:rsid w:val="2FAD32FA"/>
    <w:rsid w:val="308E5F8F"/>
    <w:rsid w:val="30B46D73"/>
    <w:rsid w:val="319F7F4E"/>
    <w:rsid w:val="327E5282"/>
    <w:rsid w:val="38F82E09"/>
    <w:rsid w:val="397321C6"/>
    <w:rsid w:val="39AE70AB"/>
    <w:rsid w:val="3A721B7B"/>
    <w:rsid w:val="3C0C0783"/>
    <w:rsid w:val="3EC314F9"/>
    <w:rsid w:val="3F795B0E"/>
    <w:rsid w:val="3F9F3A96"/>
    <w:rsid w:val="428071B1"/>
    <w:rsid w:val="436B3733"/>
    <w:rsid w:val="47654BEE"/>
    <w:rsid w:val="493C27E9"/>
    <w:rsid w:val="496F39ED"/>
    <w:rsid w:val="49FF41D3"/>
    <w:rsid w:val="4A185DC8"/>
    <w:rsid w:val="4BE068DB"/>
    <w:rsid w:val="4BF6002B"/>
    <w:rsid w:val="4CC60D90"/>
    <w:rsid w:val="4ECE2238"/>
    <w:rsid w:val="50C51101"/>
    <w:rsid w:val="51DB4B86"/>
    <w:rsid w:val="524468EE"/>
    <w:rsid w:val="54D31593"/>
    <w:rsid w:val="55333C3E"/>
    <w:rsid w:val="5A0E58C7"/>
    <w:rsid w:val="640240B0"/>
    <w:rsid w:val="64CA39A1"/>
    <w:rsid w:val="6C4A05C8"/>
    <w:rsid w:val="72734D90"/>
    <w:rsid w:val="74E366CA"/>
    <w:rsid w:val="75453893"/>
    <w:rsid w:val="76C95FA5"/>
    <w:rsid w:val="79E7B28D"/>
    <w:rsid w:val="7ACF3C5D"/>
    <w:rsid w:val="7CBE4AD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beforeLines="30"/>
    </w:pPr>
    <w:rPr>
      <w:rFonts w:ascii="仿宋_GB2312" w:eastAsia="仿宋_GB2312"/>
      <w:kern w:val="0"/>
      <w:sz w:val="30"/>
    </w:rPr>
  </w:style>
  <w:style w:type="paragraph" w:styleId="6">
    <w:name w:val="Body Text Indent"/>
    <w:basedOn w:val="1"/>
    <w:next w:val="7"/>
    <w:qFormat/>
    <w:uiPriority w:val="99"/>
    <w:pPr>
      <w:ind w:firstLine="630"/>
      <w:jc w:val="left"/>
    </w:pPr>
    <w:rPr>
      <w:rFonts w:eastAsia="黑体"/>
      <w:sz w:val="32"/>
      <w:szCs w:val="32"/>
    </w:rPr>
  </w:style>
  <w:style w:type="paragraph" w:styleId="7">
    <w:name w:val="Body Text First Indent 2"/>
    <w:basedOn w:val="6"/>
    <w:next w:val="1"/>
    <w:qFormat/>
    <w:uiPriority w:val="99"/>
    <w:pPr>
      <w:spacing w:after="120"/>
      <w:ind w:left="420" w:leftChars="200" w:firstLine="42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UserStyle_0"/>
    <w:qFormat/>
    <w:uiPriority w:val="0"/>
    <w:pPr>
      <w:spacing w:after="160" w:line="259" w:lineRule="auto"/>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6700;&#38754;\&#19968;&#20307;&#21270;&#20250;&#35745;&#26680;&#31639;\&#24050;&#26377;&#29992;&#27454;&#35745;&#21010;&#38656;&#25919;&#24220;&#32479;&#31609;&#25910;&#2223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700;&#38754;\&#19968;&#20307;&#21270;&#20250;&#35745;&#26680;&#31639;\&#24050;&#26377;&#29992;&#27454;&#35745;&#21010;&#38656;&#25919;&#24220;&#32479;&#31609;&#25910;&#2223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6700;&#38754;\&#19968;&#20307;&#21270;&#20250;&#35745;&#26680;&#31639;\&#24050;&#26377;&#29992;&#27454;&#35745;&#21010;&#38656;&#25919;&#24220;&#32479;&#31609;&#25910;&#22238;.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6700;&#38754;\&#19968;&#20307;&#21270;&#20250;&#35745;&#26680;&#31639;\&#24050;&#26377;&#29992;&#27454;&#35745;&#21010;&#38656;&#25919;&#24220;&#32479;&#31609;&#25910;&#2223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6700;&#38754;\&#19968;&#20307;&#21270;&#20250;&#35745;&#26680;&#31639;\&#24050;&#26377;&#29992;&#27454;&#35745;&#21010;&#38656;&#25919;&#24220;&#32479;&#31609;&#25910;&#22238;.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6700;&#38754;\&#19968;&#20307;&#21270;&#20250;&#35745;&#26680;&#31639;\&#24050;&#26377;&#29992;&#27454;&#35745;&#21010;&#38656;&#25919;&#24220;&#32479;&#31609;&#25910;&#22238;.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6700;&#38754;\&#19968;&#20307;&#21270;&#20250;&#35745;&#26680;&#31639;\&#24050;&#26377;&#29992;&#27454;&#35745;&#21010;&#38656;&#25919;&#24220;&#32479;&#31609;&#25910;&#2223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p>
        </c:rich>
      </c:tx>
      <c:layout/>
      <c:overlay val="0"/>
      <c:spPr>
        <a:noFill/>
        <a:ln>
          <a:noFill/>
        </a:ln>
        <a:effectLst/>
      </c:spPr>
    </c:title>
    <c:autoTitleDeleted val="0"/>
    <c:plotArea>
      <c:layout/>
      <c:barChart>
        <c:barDir val="col"/>
        <c:grouping val="clustered"/>
        <c:varyColors val="0"/>
        <c:ser>
          <c:idx val="0"/>
          <c:order val="0"/>
          <c:tx>
            <c:strRef>
              <c:f>[已有用款计划需政府统筹收回.xlsx]Sheet2!$B$20</c:f>
              <c:strCache>
                <c:ptCount val="1"/>
                <c:pt idx="0">
                  <c:v>收入</c:v>
                </c:pt>
              </c:strCache>
            </c:strRef>
          </c:tx>
          <c:spPr>
            <a:solidFill>
              <a:schemeClr val="accent1"/>
            </a:solidFill>
            <a:ln>
              <a:noFill/>
            </a:ln>
            <a:effectLst/>
          </c:spPr>
          <c:invertIfNegative val="0"/>
          <c:dLbls>
            <c:delete val="1"/>
          </c:dLbls>
          <c:cat>
            <c:strRef>
              <c:f>[已有用款计划需政府统筹收回.xlsx]Sheet2!$C$19:$D$19</c:f>
              <c:strCache>
                <c:ptCount val="2"/>
                <c:pt idx="0">
                  <c:v>2020年</c:v>
                </c:pt>
                <c:pt idx="1">
                  <c:v>2021年</c:v>
                </c:pt>
              </c:strCache>
            </c:strRef>
          </c:cat>
          <c:val>
            <c:numRef>
              <c:f>[已有用款计划需政府统筹收回.xlsx]Sheet2!$C$20:$D$20</c:f>
              <c:numCache>
                <c:formatCode>General</c:formatCode>
                <c:ptCount val="2"/>
                <c:pt idx="0">
                  <c:v>311.64</c:v>
                </c:pt>
                <c:pt idx="1">
                  <c:v>320.2</c:v>
                </c:pt>
              </c:numCache>
            </c:numRef>
          </c:val>
        </c:ser>
        <c:ser>
          <c:idx val="1"/>
          <c:order val="1"/>
          <c:tx>
            <c:strRef>
              <c:f>[已有用款计划需政府统筹收回.xlsx]Sheet2!$B$21</c:f>
              <c:strCache>
                <c:ptCount val="1"/>
                <c:pt idx="0">
                  <c:v>支出</c:v>
                </c:pt>
              </c:strCache>
            </c:strRef>
          </c:tx>
          <c:spPr>
            <a:solidFill>
              <a:schemeClr val="accent2"/>
            </a:solidFill>
            <a:ln>
              <a:noFill/>
            </a:ln>
            <a:effectLst/>
          </c:spPr>
          <c:invertIfNegative val="0"/>
          <c:dLbls>
            <c:delete val="1"/>
          </c:dLbls>
          <c:cat>
            <c:strRef>
              <c:f>[已有用款计划需政府统筹收回.xlsx]Sheet2!$C$19:$D$19</c:f>
              <c:strCache>
                <c:ptCount val="2"/>
                <c:pt idx="0">
                  <c:v>2020年</c:v>
                </c:pt>
                <c:pt idx="1">
                  <c:v>2021年</c:v>
                </c:pt>
              </c:strCache>
            </c:strRef>
          </c:cat>
          <c:val>
            <c:numRef>
              <c:f>[已有用款计划需政府统筹收回.xlsx]Sheet2!$C$21:$D$21</c:f>
              <c:numCache>
                <c:formatCode>General</c:formatCode>
                <c:ptCount val="2"/>
                <c:pt idx="0">
                  <c:v>311.64</c:v>
                </c:pt>
                <c:pt idx="1">
                  <c:v>320.2</c:v>
                </c:pt>
              </c:numCache>
            </c:numRef>
          </c:val>
        </c:ser>
        <c:dLbls>
          <c:showLegendKey val="0"/>
          <c:showVal val="0"/>
          <c:showCatName val="0"/>
          <c:showSerName val="0"/>
          <c:showPercent val="0"/>
          <c:showBubbleSize val="0"/>
        </c:dLbls>
        <c:gapWidth val="219"/>
        <c:overlap val="-27"/>
        <c:axId val="10396856"/>
        <c:axId val="217492367"/>
      </c:barChart>
      <c:catAx>
        <c:axId val="10396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492367"/>
        <c:crosses val="autoZero"/>
        <c:auto val="1"/>
        <c:lblAlgn val="ctr"/>
        <c:lblOffset val="100"/>
        <c:noMultiLvlLbl val="0"/>
      </c:catAx>
      <c:valAx>
        <c:axId val="217492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968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0"/>
          <c:order val="0"/>
          <c:tx>
            <c:strRef>
              <c:f>[已有用款计划需政府统筹收回.xlsx]Sheet2!$B$13</c:f>
              <c:strCache>
                <c:ptCount val="1"/>
                <c:pt idx="0">
                  <c:v>2021年</c:v>
                </c:pt>
              </c:strCache>
            </c:strRef>
          </c:tx>
          <c:spPr/>
          <c:explosion val="0"/>
          <c:dPt>
            <c:idx val="0"/>
            <c:bubble3D val="0"/>
            <c:spPr>
              <a:solidFill>
                <a:schemeClr val="accent1"/>
              </a:solidFill>
              <a:ln w="19050">
                <a:solidFill>
                  <a:schemeClr val="lt1"/>
                </a:solidFill>
              </a:ln>
              <a:effectLst/>
            </c:spPr>
          </c:dPt>
          <c:dLbls>
            <c:delete val="1"/>
          </c:dLbls>
          <c:cat>
            <c:strRef>
              <c:f>[已有用款计划需政府统筹收回.xlsx]Sheet2!$C$12</c:f>
              <c:strCache>
                <c:ptCount val="1"/>
                <c:pt idx="0">
                  <c:v>一般公共预算财政拨款收入</c:v>
                </c:pt>
              </c:strCache>
            </c:strRef>
          </c:cat>
          <c:val>
            <c:numRef>
              <c:f>[已有用款计划需政府统筹收回.xlsx]Sheet2!$C$13</c:f>
              <c:numCache>
                <c:formatCode>General</c:formatCode>
                <c:ptCount val="1"/>
                <c:pt idx="0">
                  <c:v>320.2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tx>
            <c:strRef>
              <c:f>[已有用款计划需政府统筹收回.xlsx]Sheet2!$B$28</c:f>
              <c:strCache>
                <c:ptCount val="1"/>
                <c:pt idx="0">
                  <c:v>2021年</c:v>
                </c:pt>
              </c:strCache>
            </c:strRef>
          </c:tx>
          <c:spPr/>
          <c:explosion val="0"/>
          <c:dPt>
            <c:idx val="0"/>
            <c:bubble3D val="0"/>
            <c:spPr>
              <a:solidFill>
                <a:schemeClr val="accent1"/>
              </a:solidFill>
              <a:ln w="19050">
                <a:solidFill>
                  <a:schemeClr val="lt1"/>
                </a:solidFill>
              </a:ln>
              <a:effectLst/>
            </c:spPr>
          </c:dPt>
          <c:dLbls>
            <c:delete val="1"/>
          </c:dLbls>
          <c:cat>
            <c:strRef>
              <c:f>[已有用款计划需政府统筹收回.xlsx]Sheet2!$C$27</c:f>
              <c:strCache>
                <c:ptCount val="1"/>
                <c:pt idx="0">
                  <c:v>基本支出</c:v>
                </c:pt>
              </c:strCache>
            </c:strRef>
          </c:cat>
          <c:val>
            <c:numRef>
              <c:f>[已有用款计划需政府统筹收回.xlsx]Sheet2!$C$28</c:f>
              <c:numCache>
                <c:formatCode>General</c:formatCode>
                <c:ptCount val="1"/>
                <c:pt idx="0">
                  <c:v>320.2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[已有用款计划需政府统筹收回.xlsx]Sheet2!$B$20</c:f>
              <c:strCache>
                <c:ptCount val="1"/>
                <c:pt idx="0">
                  <c:v>收入</c:v>
                </c:pt>
              </c:strCache>
            </c:strRef>
          </c:tx>
          <c:spPr>
            <a:solidFill>
              <a:schemeClr val="accent1"/>
            </a:solidFill>
            <a:ln>
              <a:noFill/>
            </a:ln>
            <a:effectLst/>
          </c:spPr>
          <c:invertIfNegative val="0"/>
          <c:dLbls>
            <c:delete val="1"/>
          </c:dLbls>
          <c:cat>
            <c:strRef>
              <c:f>[已有用款计划需政府统筹收回.xlsx]Sheet2!$C$19:$D$19</c:f>
              <c:strCache>
                <c:ptCount val="2"/>
                <c:pt idx="0">
                  <c:v>2020年</c:v>
                </c:pt>
                <c:pt idx="1">
                  <c:v>2021年</c:v>
                </c:pt>
              </c:strCache>
            </c:strRef>
          </c:cat>
          <c:val>
            <c:numRef>
              <c:f>[已有用款计划需政府统筹收回.xlsx]Sheet2!$C$20:$D$20</c:f>
              <c:numCache>
                <c:formatCode>General</c:formatCode>
                <c:ptCount val="2"/>
                <c:pt idx="0">
                  <c:v>311.64</c:v>
                </c:pt>
                <c:pt idx="1">
                  <c:v>320.2</c:v>
                </c:pt>
              </c:numCache>
            </c:numRef>
          </c:val>
        </c:ser>
        <c:ser>
          <c:idx val="1"/>
          <c:order val="1"/>
          <c:tx>
            <c:strRef>
              <c:f>[已有用款计划需政府统筹收回.xlsx]Sheet2!$B$21</c:f>
              <c:strCache>
                <c:ptCount val="1"/>
                <c:pt idx="0">
                  <c:v>支出</c:v>
                </c:pt>
              </c:strCache>
            </c:strRef>
          </c:tx>
          <c:spPr>
            <a:solidFill>
              <a:schemeClr val="accent2"/>
            </a:solidFill>
            <a:ln>
              <a:noFill/>
            </a:ln>
            <a:effectLst/>
          </c:spPr>
          <c:invertIfNegative val="0"/>
          <c:dLbls>
            <c:delete val="1"/>
          </c:dLbls>
          <c:cat>
            <c:strRef>
              <c:f>[已有用款计划需政府统筹收回.xlsx]Sheet2!$C$19:$D$19</c:f>
              <c:strCache>
                <c:ptCount val="2"/>
                <c:pt idx="0">
                  <c:v>2020年</c:v>
                </c:pt>
                <c:pt idx="1">
                  <c:v>2021年</c:v>
                </c:pt>
              </c:strCache>
            </c:strRef>
          </c:cat>
          <c:val>
            <c:numRef>
              <c:f>[已有用款计划需政府统筹收回.xlsx]Sheet2!$C$21:$D$21</c:f>
              <c:numCache>
                <c:formatCode>General</c:formatCode>
                <c:ptCount val="2"/>
                <c:pt idx="0">
                  <c:v>311.64</c:v>
                </c:pt>
                <c:pt idx="1">
                  <c:v>320.2</c:v>
                </c:pt>
              </c:numCache>
            </c:numRef>
          </c:val>
        </c:ser>
        <c:dLbls>
          <c:showLegendKey val="0"/>
          <c:showVal val="0"/>
          <c:showCatName val="0"/>
          <c:showSerName val="0"/>
          <c:showPercent val="0"/>
          <c:showBubbleSize val="0"/>
        </c:dLbls>
        <c:gapWidth val="219"/>
        <c:overlap val="-27"/>
        <c:axId val="542127160"/>
        <c:axId val="315408768"/>
      </c:barChart>
      <c:catAx>
        <c:axId val="5421271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5408768"/>
        <c:crosses val="autoZero"/>
        <c:auto val="1"/>
        <c:lblAlgn val="ctr"/>
        <c:lblOffset val="100"/>
        <c:noMultiLvlLbl val="0"/>
      </c:catAx>
      <c:valAx>
        <c:axId val="31540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1271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图5：一般公共预算财政拨款支出决算变动情况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[已有用款计划需政府统筹收回.xlsx]Sheet2!$C$35</c:f>
              <c:strCache>
                <c:ptCount val="1"/>
                <c:pt idx="0">
                  <c:v>一般公共预算财政拨款支出</c:v>
                </c:pt>
              </c:strCache>
            </c:strRef>
          </c:tx>
          <c:spPr>
            <a:solidFill>
              <a:schemeClr val="accent1"/>
            </a:solidFill>
            <a:ln>
              <a:noFill/>
            </a:ln>
            <a:effectLst/>
          </c:spPr>
          <c:invertIfNegative val="0"/>
          <c:dLbls>
            <c:delete val="1"/>
          </c:dLbls>
          <c:cat>
            <c:strRef>
              <c:f>[已有用款计划需政府统筹收回.xlsx]Sheet2!$B$36:$B$37</c:f>
              <c:strCache>
                <c:ptCount val="2"/>
                <c:pt idx="0">
                  <c:v>2020年</c:v>
                </c:pt>
                <c:pt idx="1">
                  <c:v>2021年</c:v>
                </c:pt>
              </c:strCache>
            </c:strRef>
          </c:cat>
          <c:val>
            <c:numRef>
              <c:f>[已有用款计划需政府统筹收回.xlsx]Sheet2!$C$36:$C$37</c:f>
              <c:numCache>
                <c:formatCode>General</c:formatCode>
                <c:ptCount val="2"/>
                <c:pt idx="0">
                  <c:v>311.64</c:v>
                </c:pt>
                <c:pt idx="1">
                  <c:v>320.2</c:v>
                </c:pt>
              </c:numCache>
            </c:numRef>
          </c:val>
        </c:ser>
        <c:dLbls>
          <c:showLegendKey val="0"/>
          <c:showVal val="0"/>
          <c:showCatName val="0"/>
          <c:showSerName val="0"/>
          <c:showPercent val="0"/>
          <c:showBubbleSize val="0"/>
        </c:dLbls>
        <c:gapWidth val="219"/>
        <c:overlap val="-27"/>
        <c:axId val="20396967"/>
        <c:axId val="480524849"/>
      </c:barChart>
      <c:catAx>
        <c:axId val="203969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524849"/>
        <c:crosses val="autoZero"/>
        <c:auto val="1"/>
        <c:lblAlgn val="ctr"/>
        <c:lblOffset val="100"/>
        <c:noMultiLvlLbl val="0"/>
      </c:catAx>
      <c:valAx>
        <c:axId val="4805248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96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tx>
            <c:strRef>
              <c:f>[已有用款计划需政府统筹收回.xlsx]Sheet2!$G$35</c:f>
              <c:strCache>
                <c:ptCount val="1"/>
                <c:pt idx="0">
                  <c:v>2021年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[已有用款计划需政府统筹收回.xlsx]Sheet2!$F$36:$F$39</c:f>
              <c:strCache>
                <c:ptCount val="4"/>
                <c:pt idx="0">
                  <c:v>一般公共服务</c:v>
                </c:pt>
                <c:pt idx="1">
                  <c:v>社会保障和就业</c:v>
                </c:pt>
                <c:pt idx="2">
                  <c:v>卫生健康支出</c:v>
                </c:pt>
                <c:pt idx="3">
                  <c:v>住房保障支出</c:v>
                </c:pt>
              </c:strCache>
            </c:strRef>
          </c:cat>
          <c:val>
            <c:numRef>
              <c:f>[已有用款计划需政府统筹收回.xlsx]Sheet2!$G$36:$G$39</c:f>
              <c:numCache>
                <c:formatCode>General</c:formatCode>
                <c:ptCount val="4"/>
                <c:pt idx="0">
                  <c:v>267.93</c:v>
                </c:pt>
                <c:pt idx="1">
                  <c:v>24.6</c:v>
                </c:pt>
                <c:pt idx="2">
                  <c:v>12.5</c:v>
                </c:pt>
                <c:pt idx="3">
                  <c:v>15.17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图7：“三公”经费财政拨款支出结构</a:t>
            </a:r>
          </a:p>
        </c:rich>
      </c:tx>
      <c:layout/>
      <c:overlay val="0"/>
      <c:spPr>
        <a:noFill/>
        <a:ln>
          <a:noFill/>
        </a:ln>
        <a:effectLst/>
      </c:spPr>
    </c:title>
    <c:autoTitleDeleted val="0"/>
    <c:plotArea>
      <c:layout/>
      <c:pieChart>
        <c:varyColors val="1"/>
        <c:ser>
          <c:idx val="0"/>
          <c:order val="0"/>
          <c:tx>
            <c:strRef>
              <c:f>[已有用款计划需政府统筹收回.xlsx]Sheet2!$L$37</c:f>
              <c:strCache>
                <c:ptCount val="1"/>
                <c:pt idx="0">
                  <c:v>2021年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[已有用款计划需政府统筹收回.xlsx]Sheet2!$M$36:$O$36</c:f>
              <c:strCache>
                <c:ptCount val="3"/>
                <c:pt idx="0">
                  <c:v>公务接待费</c:v>
                </c:pt>
                <c:pt idx="1">
                  <c:v>因公出国（境）费</c:v>
                </c:pt>
                <c:pt idx="2">
                  <c:v>公务用车购置及运行维护费</c:v>
                </c:pt>
              </c:strCache>
            </c:strRef>
          </c:cat>
          <c:val>
            <c:numRef>
              <c:f>[已有用款计划需政府统筹收回.xlsx]Sheet2!$M$37:$O$37</c:f>
              <c:numCache>
                <c:formatCode>General</c:formatCode>
                <c:ptCount val="3"/>
                <c:pt idx="0">
                  <c:v>6.19</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6399</Words>
  <Characters>9078</Characters>
  <Lines>61</Lines>
  <Paragraphs>17</Paragraphs>
  <TotalTime>11</TotalTime>
  <ScaleCrop>false</ScaleCrop>
  <LinksUpToDate>false</LinksUpToDate>
  <CharactersWithSpaces>9123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2023-09-06T06:46:12Z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CB7BCC537AF043F190553F806C717EC1_13</vt:lpwstr>
  </property>
</Properties>
</file>