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215" w:type="dxa"/>
        <w:jc w:val="center"/>
        <w:tblCellSpacing w:w="0"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638"/>
        <w:gridCol w:w="1542"/>
        <w:gridCol w:w="1246"/>
        <w:gridCol w:w="972"/>
        <w:gridCol w:w="1997"/>
        <w:gridCol w:w="1263"/>
        <w:gridCol w:w="2065"/>
        <w:gridCol w:w="1959"/>
        <w:gridCol w:w="1115"/>
        <w:gridCol w:w="418"/>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auto"/>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pPr>
            <w:r>
              <w:rPr>
                <w:rFonts w:ascii="黑体" w:eastAsia="黑体" w:cs="黑体" w:hAnsiTheme="minorHAnsi"/>
                <w:kern w:val="0"/>
                <w:sz w:val="20"/>
                <w:szCs w:val="20"/>
                <w:lang w:val="en-US" w:eastAsia="zh-CN" w:bidi="ar"/>
              </w:rPr>
              <w:t>号</w:t>
            </w:r>
            <w:r>
              <w:rPr>
                <w:rFonts w:asciiTheme="minorHAnsi" w:hAnsiTheme="minorHAnsi" w:eastAsiaTheme="minorEastAsia" w:cstheme="minorBidi"/>
                <w:kern w:val="0"/>
                <w:sz w:val="24"/>
                <w:szCs w:val="24"/>
                <w:lang w:val="en-US" w:eastAsia="zh-CN" w:bidi="ar"/>
              </w:rPr>
              <w:t xml:space="preserve"> </w:t>
            </w:r>
          </w:p>
        </w:tc>
        <w:tc>
          <w:tcPr>
            <w:tcW w:w="1542"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行政处罚决定书文号</w:t>
            </w:r>
            <w:r>
              <w:rPr>
                <w:rFonts w:asciiTheme="minorHAnsi" w:hAnsiTheme="minorHAnsi" w:eastAsiaTheme="minorEastAsia" w:cstheme="minorBidi"/>
                <w:kern w:val="0"/>
                <w:sz w:val="24"/>
                <w:szCs w:val="24"/>
                <w:lang w:val="en-US" w:eastAsia="zh-CN" w:bidi="ar"/>
              </w:rPr>
              <w:t xml:space="preserve"> </w:t>
            </w: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案件名称</w:t>
            </w:r>
            <w:r>
              <w:rPr>
                <w:rFonts w:asciiTheme="minorHAnsi" w:hAnsiTheme="minorHAnsi" w:eastAsiaTheme="minorEastAsia" w:cstheme="minorBidi"/>
                <w:kern w:val="0"/>
                <w:sz w:val="24"/>
                <w:szCs w:val="24"/>
                <w:lang w:val="en-US" w:eastAsia="zh-CN" w:bidi="ar"/>
              </w:rPr>
              <w:t xml:space="preserve"> </w:t>
            </w: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违法企业名称</w:t>
            </w:r>
            <w:r>
              <w:rPr>
                <w:rFonts w:asciiTheme="minorHAnsi" w:hAnsiTheme="minorHAnsi" w:eastAsiaTheme="minorEastAsia" w:cstheme="minorBidi"/>
                <w:kern w:val="0"/>
                <w:sz w:val="24"/>
                <w:szCs w:val="24"/>
                <w:lang w:val="en-US" w:eastAsia="zh-CN" w:bidi="ar"/>
              </w:rPr>
              <w:t xml:space="preserve"> </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代码</w:t>
            </w:r>
            <w:r>
              <w:rPr>
                <w:rFonts w:asciiTheme="minorHAnsi" w:hAnsiTheme="minorHAnsi" w:eastAsiaTheme="minorEastAsia" w:cstheme="minorBidi"/>
                <w:kern w:val="0"/>
                <w:sz w:val="24"/>
                <w:szCs w:val="24"/>
                <w:lang w:val="en-US" w:eastAsia="zh-CN" w:bidi="ar"/>
              </w:rPr>
              <w:t xml:space="preserve"> </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法定代表人姓名</w:t>
            </w:r>
            <w:r>
              <w:rPr>
                <w:rFonts w:asciiTheme="minorHAnsi" w:hAnsiTheme="minorHAnsi" w:eastAsiaTheme="minorEastAsia" w:cstheme="minorBidi"/>
                <w:kern w:val="0"/>
                <w:sz w:val="24"/>
                <w:szCs w:val="24"/>
                <w:lang w:val="en-US" w:eastAsia="zh-CN" w:bidi="ar"/>
              </w:rPr>
              <w:t xml:space="preserve"> </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主要违法事实</w:t>
            </w:r>
            <w:r>
              <w:rPr>
                <w:rFonts w:asciiTheme="minorHAnsi" w:hAnsiTheme="minorHAnsi" w:eastAsiaTheme="minorEastAsia" w:cstheme="minorBidi"/>
                <w:kern w:val="0"/>
                <w:sz w:val="24"/>
                <w:szCs w:val="24"/>
                <w:lang w:val="en-US" w:eastAsia="zh-CN" w:bidi="ar"/>
              </w:rPr>
              <w:t xml:space="preserve"> </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行政处罚的种类和依据</w:t>
            </w:r>
            <w:r>
              <w:rPr>
                <w:rFonts w:asciiTheme="minorHAnsi" w:hAnsiTheme="minorHAnsi" w:eastAsiaTheme="minorEastAsia" w:cstheme="minorBidi"/>
                <w:kern w:val="0"/>
                <w:sz w:val="24"/>
                <w:szCs w:val="24"/>
                <w:lang w:val="en-US" w:eastAsia="zh-CN" w:bidi="ar"/>
              </w:rPr>
              <w:t xml:space="preserve"> </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行政处罚的履行方式</w:t>
            </w:r>
            <w:r>
              <w:rPr>
                <w:rFonts w:asciiTheme="minorHAnsi" w:hAnsiTheme="minorHAnsi" w:eastAsiaTheme="minorEastAsia" w:cstheme="minorBidi"/>
                <w:kern w:val="0"/>
                <w:sz w:val="24"/>
                <w:szCs w:val="24"/>
                <w:lang w:val="en-US" w:eastAsia="zh-CN" w:bidi="ar"/>
              </w:rPr>
              <w:t xml:space="preserve"> </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黑体" w:eastAsia="黑体" w:cs="黑体" w:hAnsiTheme="minorHAnsi"/>
                <w:kern w:val="0"/>
                <w:sz w:val="20"/>
                <w:szCs w:val="20"/>
                <w:lang w:val="en-US" w:eastAsia="zh-CN" w:bidi="ar"/>
              </w:rPr>
              <w:t>作出处罚的机关名称</w:t>
            </w:r>
            <w:r>
              <w:rPr>
                <w:rFonts w:asciiTheme="minorHAnsi" w:hAnsiTheme="minorHAnsi" w:eastAsiaTheme="minorEastAsia" w:cstheme="minorBidi"/>
                <w:kern w:val="0"/>
                <w:sz w:val="24"/>
                <w:szCs w:val="24"/>
                <w:lang w:val="en-US" w:eastAsia="zh-CN" w:bidi="ar"/>
              </w:rPr>
              <w:t xml:space="preserve">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1542"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广元市昭化区一分利风味小吃使用清洗消毒不合格的餐具案</w:t>
            </w: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宋体" w:hAnsi="宋体" w:eastAsia="宋体" w:cs="宋体"/>
                <w:i w:val="0"/>
                <w:color w:val="2C3E50"/>
                <w:kern w:val="0"/>
                <w:sz w:val="22"/>
                <w:szCs w:val="22"/>
                <w:u w:val="none"/>
                <w:lang w:val="en-US" w:eastAsia="zh-CN" w:bidi="ar"/>
              </w:rPr>
              <w:t>广元市昭化区一分利风味小吃</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92510811MA692RPMX3</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汪锐</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使用清洗流消毒不合格的餐饮具</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《四川省食品小作坊、小经营店及摊贩管理条例》第八条第（七）项，《四川省食品小作坊、小经营店及摊贩管理条例》第四十一条。给予警告</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xml:space="preserve">自动履行 </w:t>
            </w:r>
          </w:p>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xml:space="preserve"> </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w:t>
            </w:r>
            <w:r>
              <w:rPr>
                <w:rFonts w:asciiTheme="minorHAnsi" w:hAnsiTheme="minorHAnsi" w:eastAsiaTheme="minorEastAsia" w:cstheme="minorBidi"/>
                <w:kern w:val="0"/>
                <w:sz w:val="24"/>
                <w:szCs w:val="24"/>
                <w:lang w:val="en-US" w:eastAsia="zh-CN" w:bidi="ar"/>
              </w:rPr>
              <w:t xml:space="preserve"> </w:t>
            </w:r>
          </w:p>
        </w:tc>
        <w:tc>
          <w:tcPr>
            <w:tcW w:w="15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广元市昭化区贯家小吃店使用清洗消毒不合格的餐具案</w:t>
            </w:r>
          </w:p>
        </w:tc>
        <w:tc>
          <w:tcPr>
            <w:tcW w:w="97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宋体" w:hAnsi="宋体" w:eastAsia="宋体" w:cs="宋体"/>
                <w:i w:val="0"/>
                <w:color w:val="000000"/>
                <w:kern w:val="0"/>
                <w:sz w:val="22"/>
                <w:szCs w:val="22"/>
                <w:u w:val="none"/>
                <w:lang w:val="en-US" w:eastAsia="zh-CN" w:bidi="ar"/>
              </w:rPr>
              <w:t>广元市昭化区贯家小吃店</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w:t>
            </w:r>
            <w:bookmarkStart w:id="0" w:name="_GoBack"/>
            <w:bookmarkEnd w:id="0"/>
            <w:r>
              <w:rPr>
                <w:rFonts w:hint="eastAsia" w:ascii="仿宋_GB2312" w:hAnsi="仿宋_GB2312" w:eastAsia="仿宋_GB2312" w:cs="仿宋_GB2312"/>
                <w:sz w:val="21"/>
                <w:szCs w:val="21"/>
                <w:lang w:val="en-US" w:eastAsia="zh-CN"/>
              </w:rPr>
              <w:t>811MA67HP7T7R</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高成会</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使用清洗流消毒不合格的餐饮具</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《四川省食品小作坊、小经营店及摊贩管理条例》第八条第（七）项，《四川省食品小作坊、小经营店及摊贩管理条例》第四十一条。给予警告</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广元市昭化区元坝镇清林饭店使用清洗消毒不合格的餐具案</w:t>
            </w:r>
          </w:p>
        </w:tc>
        <w:tc>
          <w:tcPr>
            <w:tcW w:w="97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宋体" w:hAnsi="宋体" w:eastAsia="宋体" w:cs="宋体"/>
                <w:i w:val="0"/>
                <w:color w:val="000000"/>
                <w:kern w:val="0"/>
                <w:sz w:val="22"/>
                <w:szCs w:val="22"/>
                <w:u w:val="none"/>
                <w:lang w:val="en-US" w:eastAsia="zh-CN" w:bidi="ar"/>
              </w:rPr>
              <w:t>广元市昭化区元坝镇清林饭店</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92510811MA633UM5XX</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张碧华</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使用清洗流消毒不合格的餐饮具</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《四川省食品小作坊、小经营店及摊贩管理条例》第八条第（七）项，《四川省食品小作坊、小经营店及摊贩管理条例》第四十一条。给予警告</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广元市昭化区永兴药膳米粉店使用清洗消毒不合格的餐具案</w:t>
            </w:r>
          </w:p>
        </w:tc>
        <w:tc>
          <w:tcPr>
            <w:tcW w:w="97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宋体" w:hAnsi="宋体" w:eastAsia="宋体" w:cs="宋体"/>
                <w:i w:val="0"/>
                <w:color w:val="2C3E50"/>
                <w:kern w:val="0"/>
                <w:sz w:val="22"/>
                <w:szCs w:val="22"/>
                <w:u w:val="none"/>
                <w:lang w:val="en-US" w:eastAsia="zh-CN" w:bidi="ar"/>
              </w:rPr>
              <w:t>广元市昭化区永兴药膳米粉店</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925108MA668KNT5K</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罗国</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使用清洗流消毒不合格的餐饮具</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《四川省食品小作坊、小经营店及摊贩管理条例》第八条第（七）项，《四川省食品小作坊、小经营店及摊贩管理条例》第四十一条。给予警告</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广元市昭化区家乐小吃店使用清洗消毒不合格的餐具案</w:t>
            </w:r>
          </w:p>
        </w:tc>
        <w:tc>
          <w:tcPr>
            <w:tcW w:w="97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宋体" w:hAnsi="宋体" w:eastAsia="宋体" w:cs="宋体"/>
                <w:i w:val="0"/>
                <w:color w:val="2C3E50"/>
                <w:kern w:val="0"/>
                <w:sz w:val="22"/>
                <w:szCs w:val="22"/>
                <w:u w:val="none"/>
                <w:lang w:val="en-US" w:eastAsia="zh-CN" w:bidi="ar"/>
              </w:rPr>
              <w:t>广元市昭化区家乐小吃店</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92510811MA66NE6X54</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高天静</w:t>
            </w:r>
          </w:p>
        </w:tc>
        <w:tc>
          <w:tcPr>
            <w:tcW w:w="206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使用清洗流消毒不合格的餐饮具</w:t>
            </w:r>
          </w:p>
        </w:tc>
        <w:tc>
          <w:tcPr>
            <w:tcW w:w="1959" w:type="dxa"/>
            <w:shd w:val="clear" w:color="auto" w:fill="auto"/>
            <w:vAlign w:val="center"/>
          </w:tcPr>
          <w:p>
            <w:pPr>
              <w:keepNext w:val="0"/>
              <w:keepLines w:val="0"/>
              <w:widowControl/>
              <w:suppressLineNumbers w:val="0"/>
              <w:spacing w:before="0" w:beforeAutospacing="1" w:after="0" w:afterAutospacing="1"/>
              <w:ind w:left="0" w:leftChars="0"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《四川省食品小作坊、小经营店及摊贩管理条例》第八条第（七）项，《四川省食品小作坊、小经营店及摊贩管理条例》第四十一条。给予警告</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kern w:val="0"/>
                <w:sz w:val="21"/>
                <w:szCs w:val="21"/>
                <w:lang w:val="en-US" w:eastAsia="zh-CN" w:bidi="ar"/>
              </w:rPr>
              <w:t>6</w:t>
            </w:r>
            <w:r>
              <w:rPr>
                <w:rFonts w:asciiTheme="minorHAnsi" w:hAnsiTheme="minorHAnsi" w:eastAsiaTheme="minorEastAsia" w:cstheme="minorBidi"/>
                <w:kern w:val="0"/>
                <w:sz w:val="21"/>
                <w:szCs w:val="21"/>
                <w:lang w:val="en-US" w:eastAsia="zh-CN" w:bidi="ar"/>
              </w:rPr>
              <w:t xml:space="preserve"> </w:t>
            </w: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广元放牛娃商贸有限公司经营超范围使用食品添加剂的预包装食品案</w:t>
            </w: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宋体" w:hAnsi="宋体" w:eastAsia="宋体" w:cs="宋体"/>
                <w:i w:val="0"/>
                <w:color w:val="2C3E50"/>
                <w:kern w:val="0"/>
                <w:sz w:val="22"/>
                <w:szCs w:val="22"/>
                <w:u w:val="none"/>
                <w:lang w:val="en-US" w:eastAsia="zh-CN" w:bidi="ar"/>
              </w:rPr>
              <w:t>广元放牛娃商贸有限公司</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92510811MA63QD5BXN</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肖艳伟</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销售超范围使用食品添加剂的泡姜、泡红椒</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《中华人民共和国食品安全法》第三十四条第（四）项，《中华人民共和国食品安全法》第一百二十四十条第一款第（三）项。给予没收所得、罚款。</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15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广元市昭化区虎跳老酒坊生产经营超范围使用食品添加剂制售白酒案</w:t>
            </w:r>
          </w:p>
        </w:tc>
        <w:tc>
          <w:tcPr>
            <w:tcW w:w="97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宋体" w:hAnsi="宋体" w:eastAsia="宋体" w:cs="宋体"/>
                <w:i w:val="0"/>
                <w:color w:val="2C3E50"/>
                <w:kern w:val="0"/>
                <w:sz w:val="22"/>
                <w:szCs w:val="22"/>
                <w:u w:val="none"/>
                <w:lang w:val="en-US" w:eastAsia="zh-CN" w:bidi="ar"/>
              </w:rPr>
              <w:t>广元市昭化区虎跳老酒坊</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92510811MA636JB72R</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罗开蓉</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生产的白酒中加入甜蜜素</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《四川省食品小作坊、小经营店及摊贩管理条例》第八条第（七）项，《四川省食品小作坊、小经营店及摊贩管理条例》第四十一条。给予罚款。</w:t>
            </w: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p>
        </w:tc>
        <w:tc>
          <w:tcPr>
            <w:tcW w:w="154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广元市昭化区龚氏白酒坊超范围使用食品添加剂制售白酒案</w:t>
            </w: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宋体" w:hAnsi="宋体" w:eastAsia="宋体" w:cs="宋体"/>
                <w:i w:val="0"/>
                <w:color w:val="2C3E50"/>
                <w:kern w:val="0"/>
                <w:sz w:val="22"/>
                <w:szCs w:val="22"/>
                <w:u w:val="none"/>
                <w:lang w:val="en-US" w:eastAsia="zh-CN" w:bidi="ar"/>
              </w:rPr>
              <w:t>广元市昭化区龚氏白酒坊</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92510811MA62F4GUXC</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张君华</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生产的白酒中加入甜蜜素</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《四川省食品小作坊、小经营店及摊贩管理条例》第八条第（七）项，《四川省食品小作坊、小经营店及摊贩管理条例》第四十一条。给予罚款。</w:t>
            </w: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w:t>
            </w: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u w:val="none"/>
                <w:lang w:val="en-US" w:eastAsia="zh-CN" w:bidi="ar"/>
              </w:rPr>
            </w:pPr>
          </w:p>
        </w:tc>
        <w:tc>
          <w:tcPr>
            <w:tcW w:w="124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2C3E50"/>
                <w:kern w:val="2"/>
                <w:sz w:val="22"/>
                <w:szCs w:val="22"/>
                <w:u w:val="none"/>
                <w:lang w:val="en-US" w:eastAsia="zh-CN" w:bidi="ar-SA"/>
              </w:rPr>
            </w:pPr>
            <w:r>
              <w:rPr>
                <w:rFonts w:hint="eastAsia" w:ascii="宋体" w:hAnsi="宋体" w:eastAsia="宋体" w:cs="宋体"/>
                <w:i w:val="0"/>
                <w:color w:val="2C3E50"/>
                <w:kern w:val="0"/>
                <w:sz w:val="22"/>
                <w:szCs w:val="22"/>
                <w:u w:val="none"/>
                <w:lang w:val="en-US" w:eastAsia="zh-CN" w:bidi="ar"/>
              </w:rPr>
              <w:t>广元市昭化区辰翊超市经营添加食品添加剂以外的化学物质和其他可能危害人体健康物质的豆芽案</w:t>
            </w: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宋体" w:hAnsi="宋体" w:eastAsia="宋体" w:cs="宋体"/>
                <w:i w:val="0"/>
                <w:color w:val="2C3E50"/>
                <w:kern w:val="0"/>
                <w:sz w:val="22"/>
                <w:szCs w:val="22"/>
                <w:u w:val="none"/>
                <w:lang w:val="en-US" w:eastAsia="zh-CN" w:bidi="ar"/>
              </w:rPr>
              <w:t>广元市昭化区辰翊超市</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92510811MA65796Ｅ83</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ascii="����" w:hAnsi="����" w:eastAsia="����" w:cs="����"/>
                <w:color w:val="163188"/>
                <w:sz w:val="18"/>
                <w:szCs w:val="18"/>
              </w:rPr>
              <w:t>俞霞</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r>
              <w:rPr>
                <w:rFonts w:hint="eastAsia" w:ascii="仿宋" w:hAnsi="仿宋" w:eastAsia="仿宋" w:cs="仿宋"/>
                <w:sz w:val="21"/>
                <w:szCs w:val="21"/>
                <w:lang w:eastAsia="zh-CN"/>
              </w:rPr>
              <w:t>经营含有国家禁止添加的</w:t>
            </w:r>
            <w:r>
              <w:rPr>
                <w:rFonts w:hint="eastAsia" w:ascii="仿宋" w:hAnsi="仿宋" w:eastAsia="仿宋" w:cs="仿宋"/>
                <w:i w:val="0"/>
                <w:caps w:val="0"/>
                <w:color w:val="333333"/>
                <w:spacing w:val="0"/>
                <w:sz w:val="21"/>
                <w:szCs w:val="21"/>
                <w:shd w:val="clear" w:fill="FFFFFF"/>
              </w:rPr>
              <w:t>4-氯苯氧乙酸钠</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《四川省食品小作坊、小经营店及摊贩管理条例》第九条第一款第（一）项，《四川省食品小作坊、小经营店及摊贩管理条例》第四十二条。没收违法所得，给予罚款。</w:t>
            </w: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广元市昭化区市场监督管理局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w:t>
            </w:r>
          </w:p>
        </w:tc>
        <w:tc>
          <w:tcPr>
            <w:tcW w:w="1542" w:type="dxa"/>
            <w:shd w:val="clear" w:color="auto" w:fill="auto"/>
            <w:vAlign w:val="top"/>
          </w:tcPr>
          <w:p>
            <w:pPr>
              <w:keepNext w:val="0"/>
              <w:keepLines w:val="0"/>
              <w:widowControl/>
              <w:suppressLineNumbers w:val="0"/>
              <w:jc w:val="center"/>
              <w:textAlignment w:val="top"/>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广昭市监处</w:t>
            </w:r>
            <w:r>
              <w:rPr>
                <w:rFonts w:hint="eastAsia" w:ascii="PMingLiU" w:hAnsi="PMingLiU" w:eastAsia="PMingLiU" w:cs="PMingLiU"/>
                <w:color w:val="000000"/>
                <w:sz w:val="21"/>
                <w:szCs w:val="21"/>
                <w:lang w:eastAsia="zh-CN"/>
              </w:rPr>
              <w:t>［</w:t>
            </w:r>
            <w:r>
              <w:rPr>
                <w:rFonts w:hint="eastAsia" w:ascii="仿宋_GB2312" w:hAnsi="仿宋_GB2312" w:eastAsia="仿宋_GB2312" w:cs="仿宋_GB2312"/>
                <w:color w:val="000000"/>
                <w:sz w:val="21"/>
                <w:szCs w:val="21"/>
                <w:lang w:val="en-US" w:eastAsia="zh-CN"/>
              </w:rPr>
              <w:t>2019</w:t>
            </w:r>
            <w:r>
              <w:rPr>
                <w:rFonts w:hint="eastAsia" w:ascii="PMingLiU" w:hAnsi="PMingLiU" w:eastAsia="PMingLiU" w:cs="PMingLiU"/>
                <w:color w:val="000000"/>
                <w:sz w:val="21"/>
                <w:szCs w:val="21"/>
                <w:lang w:val="en-US" w:eastAsia="zh-CN"/>
              </w:rPr>
              <w:t>］</w:t>
            </w:r>
            <w:r>
              <w:rPr>
                <w:rFonts w:hint="eastAsia" w:ascii="仿宋_GB2312" w:hAnsi="仿宋_GB2312" w:eastAsia="仿宋_GB2312" w:cs="仿宋_GB2312"/>
                <w:color w:val="000000"/>
                <w:sz w:val="21"/>
                <w:szCs w:val="21"/>
                <w:lang w:val="en-US" w:eastAsia="zh-CN"/>
              </w:rPr>
              <w:t>73号</w:t>
            </w: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r>
              <w:rPr>
                <w:rFonts w:hint="eastAsia" w:ascii="仿宋_GB2312" w:hAnsi="仿宋_GB2312" w:eastAsia="仿宋_GB2312" w:cs="仿宋_GB2312"/>
                <w:b/>
                <w:kern w:val="0"/>
                <w:sz w:val="21"/>
                <w:szCs w:val="21"/>
                <w:lang w:eastAsia="zh-CN"/>
              </w:rPr>
              <w:t>广元市昭化区磨滩镇卫生院使用失效医疗器械案</w:t>
            </w: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
                <w:kern w:val="0"/>
                <w:sz w:val="21"/>
                <w:szCs w:val="21"/>
                <w:lang w:eastAsia="zh-CN"/>
              </w:rPr>
              <w:t>广元市昭化区磨滩镇卫生院</w:t>
            </w: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color w:val="000000"/>
                <w:kern w:val="2"/>
                <w:sz w:val="21"/>
                <w:szCs w:val="21"/>
                <w:lang w:val="en-US" w:eastAsia="zh-CN" w:bidi="ar"/>
              </w:rPr>
            </w:pPr>
            <w:r>
              <w:rPr>
                <w:rFonts w:hint="eastAsia" w:ascii="仿宋_GB2312" w:hAnsi="仿宋_GB2312" w:eastAsia="仿宋_GB2312" w:cs="仿宋_GB2312"/>
                <w:color w:val="000000"/>
                <w:kern w:val="2"/>
                <w:sz w:val="21"/>
                <w:szCs w:val="21"/>
                <w:lang w:val="en-US" w:eastAsia="zh-CN" w:bidi="ar"/>
              </w:rPr>
              <w:t>12510702771654125Ｘ</w:t>
            </w: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徐元华</w:t>
            </w: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使用失效的注射器</w:t>
            </w: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《医疗器械监督管理条例》第四十条，《医疗器械监督管理条例》第六十六条第（三）项。没收产品，罚款。</w:t>
            </w: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自动履行</w:t>
            </w:r>
          </w:p>
        </w:tc>
        <w:tc>
          <w:tcPr>
            <w:tcW w:w="418" w:type="dxa"/>
            <w:shd w:val="clear" w:color="auto" w:fill="auto"/>
            <w:vAlign w:val="center"/>
          </w:tcPr>
          <w:p>
            <w:pPr>
              <w:keepNext w:val="0"/>
              <w:keepLines w:val="0"/>
              <w:widowControl/>
              <w:suppressLineNumbers w:val="0"/>
              <w:spacing w:before="0" w:beforeAutospacing="1" w:after="0" w:afterAutospacing="1"/>
              <w:ind w:left="0" w:right="0"/>
              <w:jc w:val="cente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1"/>
                <w:szCs w:val="21"/>
                <w:lang w:val="en-US" w:eastAsia="zh-CN" w:bidi="ar"/>
              </w:rPr>
            </w:pP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lang w:eastAsia="zh-CN"/>
              </w:rPr>
            </w:pP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color w:val="000000"/>
                <w:kern w:val="2"/>
                <w:sz w:val="21"/>
                <w:szCs w:val="21"/>
                <w:lang w:val="en-US" w:eastAsia="zh-CN" w:bidi="ar"/>
              </w:rPr>
            </w:pP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p>
        </w:tc>
        <w:tc>
          <w:tcPr>
            <w:tcW w:w="418"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0"/>
                <w:sz w:val="20"/>
                <w:szCs w:val="20"/>
                <w:lang w:val="en-US" w:eastAsia="zh-CN" w:bidi="ar"/>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1"/>
                <w:szCs w:val="21"/>
                <w:lang w:val="en-US" w:eastAsia="zh-CN" w:bidi="ar"/>
              </w:rPr>
            </w:pP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lang w:eastAsia="zh-CN"/>
              </w:rPr>
            </w:pP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color w:val="000000"/>
                <w:kern w:val="2"/>
                <w:sz w:val="21"/>
                <w:szCs w:val="21"/>
                <w:lang w:val="en-US" w:eastAsia="zh-CN" w:bidi="ar"/>
              </w:rPr>
            </w:pP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p>
        </w:tc>
        <w:tc>
          <w:tcPr>
            <w:tcW w:w="418"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0"/>
                <w:sz w:val="20"/>
                <w:szCs w:val="20"/>
                <w:lang w:val="en-US" w:eastAsia="zh-CN" w:bidi="ar"/>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1"/>
                <w:szCs w:val="21"/>
                <w:lang w:val="en-US" w:eastAsia="zh-CN" w:bidi="ar"/>
              </w:rPr>
            </w:pP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lang w:eastAsia="zh-CN"/>
              </w:rPr>
            </w:pP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color w:val="000000"/>
                <w:kern w:val="2"/>
                <w:sz w:val="21"/>
                <w:szCs w:val="21"/>
                <w:lang w:val="en-US" w:eastAsia="zh-CN" w:bidi="ar"/>
              </w:rPr>
            </w:pP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p>
        </w:tc>
        <w:tc>
          <w:tcPr>
            <w:tcW w:w="418"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0"/>
                <w:sz w:val="20"/>
                <w:szCs w:val="20"/>
                <w:lang w:val="en-US" w:eastAsia="zh-CN" w:bidi="ar"/>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1"/>
                <w:szCs w:val="21"/>
                <w:lang w:val="en-US" w:eastAsia="zh-CN" w:bidi="ar"/>
              </w:rPr>
            </w:pP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lang w:eastAsia="zh-CN"/>
              </w:rPr>
            </w:pP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color w:val="000000"/>
                <w:kern w:val="2"/>
                <w:sz w:val="21"/>
                <w:szCs w:val="21"/>
                <w:lang w:val="en-US" w:eastAsia="zh-CN" w:bidi="ar"/>
              </w:rPr>
            </w:pP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p>
        </w:tc>
        <w:tc>
          <w:tcPr>
            <w:tcW w:w="418"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0"/>
                <w:sz w:val="20"/>
                <w:szCs w:val="20"/>
                <w:lang w:val="en-US" w:eastAsia="zh-CN" w:bidi="ar"/>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1"/>
                <w:szCs w:val="21"/>
                <w:lang w:val="en-US" w:eastAsia="zh-CN" w:bidi="ar"/>
              </w:rPr>
            </w:pP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lang w:eastAsia="zh-CN"/>
              </w:rPr>
            </w:pP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color w:val="000000"/>
                <w:kern w:val="2"/>
                <w:sz w:val="21"/>
                <w:szCs w:val="21"/>
                <w:lang w:val="en-US" w:eastAsia="zh-CN" w:bidi="ar"/>
              </w:rPr>
            </w:pP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仿宋_GB2312" w:hAnsi="仿宋_GB2312" w:eastAsia="仿宋_GB2312" w:cs="仿宋_GB2312"/>
                <w:sz w:val="21"/>
                <w:szCs w:val="21"/>
                <w:lang w:val="en-US" w:eastAsia="zh-CN"/>
              </w:rPr>
            </w:pP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115"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sz w:val="21"/>
                <w:szCs w:val="21"/>
                <w:lang w:eastAsia="zh-CN"/>
              </w:rPr>
            </w:pPr>
          </w:p>
        </w:tc>
        <w:tc>
          <w:tcPr>
            <w:tcW w:w="418"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0"/>
                <w:sz w:val="20"/>
                <w:szCs w:val="20"/>
                <w:lang w:val="en-US" w:eastAsia="zh-CN" w:bidi="ar"/>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PrEx>
        <w:trPr>
          <w:tblCellSpacing w:w="0" w:type="dxa"/>
          <w:jc w:val="center"/>
        </w:trPr>
        <w:tc>
          <w:tcPr>
            <w:tcW w:w="638" w:type="dxa"/>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kern w:val="0"/>
                <w:sz w:val="21"/>
                <w:szCs w:val="21"/>
                <w:lang w:val="en-US" w:eastAsia="zh-CN" w:bidi="ar"/>
              </w:rPr>
            </w:pPr>
          </w:p>
        </w:tc>
        <w:tc>
          <w:tcPr>
            <w:tcW w:w="1542"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sz w:val="21"/>
                <w:szCs w:val="21"/>
                <w:lang w:eastAsia="zh-CN"/>
              </w:rPr>
            </w:pPr>
          </w:p>
        </w:tc>
        <w:tc>
          <w:tcPr>
            <w:tcW w:w="1246"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972"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b/>
                <w:kern w:val="0"/>
                <w:sz w:val="21"/>
                <w:szCs w:val="21"/>
                <w:lang w:eastAsia="zh-CN"/>
              </w:rPr>
            </w:pPr>
          </w:p>
        </w:tc>
        <w:tc>
          <w:tcPr>
            <w:tcW w:w="1997"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color w:val="000000"/>
                <w:kern w:val="2"/>
                <w:sz w:val="21"/>
                <w:szCs w:val="21"/>
                <w:lang w:val="en-US" w:eastAsia="zh-CN" w:bidi="ar"/>
              </w:rPr>
            </w:pPr>
          </w:p>
        </w:tc>
        <w:tc>
          <w:tcPr>
            <w:tcW w:w="1263"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206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959"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1115" w:type="dxa"/>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lang w:eastAsia="zh-CN"/>
              </w:rPr>
            </w:pPr>
          </w:p>
        </w:tc>
        <w:tc>
          <w:tcPr>
            <w:tcW w:w="418" w:type="dxa"/>
            <w:shd w:val="clear" w:color="auto" w:fill="auto"/>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0"/>
                <w:sz w:val="20"/>
                <w:szCs w:val="20"/>
                <w:lang w:val="en-US" w:eastAsia="zh-CN" w:bidi="ar"/>
              </w:rPr>
            </w:pP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auto"/>
    <w:pitch w:val="default"/>
    <w:sig w:usb0="00000000" w:usb1="00000000" w:usb2="00000016" w:usb3="00000000" w:csb0="00040001" w:csb1="00000000"/>
  </w:font>
  <w:font w:name="PMingLiU">
    <w:panose1 w:val="02020300000000000000"/>
    <w:charset w:val="88"/>
    <w:family w:val="auto"/>
    <w:pitch w:val="default"/>
    <w:sig w:usb0="00000003" w:usb1="082E0000" w:usb2="00000016" w:usb3="00000000" w:csb0="00100001"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窗体顶端</w:t>
    </w:r>
  </w:p>
  <w:p>
    <w:pPr>
      <w:pStyle w:val="17"/>
    </w:pPr>
    <w:r>
      <w:t>窗体底端</w:t>
    </w:r>
  </w:p>
  <w:p>
    <w:pPr>
      <w:pStyle w:val="4"/>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广元市昭化区</w:t>
    </w:r>
    <w:r>
      <w:rPr>
        <w:rFonts w:hint="eastAsia" w:ascii="方正小标宋简体" w:hAnsi="方正小标宋简体" w:eastAsia="方正小标宋简体" w:cs="方正小标宋简体"/>
        <w:sz w:val="44"/>
        <w:szCs w:val="44"/>
        <w:lang w:val="en-US" w:eastAsia="zh-CN"/>
      </w:rPr>
      <w:t>2019年行政处罚案件公示表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46A85"/>
    <w:rsid w:val="0326375B"/>
    <w:rsid w:val="05646A85"/>
    <w:rsid w:val="0B8E59FD"/>
    <w:rsid w:val="163C5BE2"/>
    <w:rsid w:val="17640700"/>
    <w:rsid w:val="17F64800"/>
    <w:rsid w:val="221417B1"/>
    <w:rsid w:val="26B174CF"/>
    <w:rsid w:val="27D17744"/>
    <w:rsid w:val="335B3DDA"/>
    <w:rsid w:val="3C3B44A1"/>
    <w:rsid w:val="3C534933"/>
    <w:rsid w:val="42925C6B"/>
    <w:rsid w:val="44F477AA"/>
    <w:rsid w:val="46F95CEF"/>
    <w:rsid w:val="4A1910E3"/>
    <w:rsid w:val="4CF7177E"/>
    <w:rsid w:val="50110C74"/>
    <w:rsid w:val="57E94284"/>
    <w:rsid w:val="5B09025C"/>
    <w:rsid w:val="5C3B31AE"/>
    <w:rsid w:val="5E8C2EAE"/>
    <w:rsid w:val="625B6F2D"/>
    <w:rsid w:val="65225512"/>
    <w:rsid w:val="654C0C43"/>
    <w:rsid w:val="65795F93"/>
    <w:rsid w:val="66144B8F"/>
    <w:rsid w:val="68522142"/>
    <w:rsid w:val="6DAA00EF"/>
    <w:rsid w:val="6E595418"/>
    <w:rsid w:val="776E5AA8"/>
    <w:rsid w:val="7B50444C"/>
    <w:rsid w:val="7C986E2E"/>
    <w:rsid w:val="7D277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yperlink"/>
    <w:basedOn w:val="5"/>
    <w:qFormat/>
    <w:uiPriority w:val="0"/>
    <w:rPr>
      <w:color w:val="0000FF"/>
      <w:u w:val="none"/>
    </w:rPr>
  </w:style>
  <w:style w:type="character" w:customStyle="1" w:styleId="11">
    <w:name w:val="first-child"/>
    <w:basedOn w:val="5"/>
    <w:qFormat/>
    <w:uiPriority w:val="0"/>
  </w:style>
  <w:style w:type="character" w:customStyle="1" w:styleId="12">
    <w:name w:val="hover13"/>
    <w:basedOn w:val="5"/>
    <w:qFormat/>
    <w:uiPriority w:val="0"/>
  </w:style>
  <w:style w:type="character" w:customStyle="1" w:styleId="13">
    <w:name w:val="hover14"/>
    <w:basedOn w:val="5"/>
    <w:qFormat/>
    <w:uiPriority w:val="0"/>
  </w:style>
  <w:style w:type="character" w:customStyle="1" w:styleId="14">
    <w:name w:val="hover15"/>
    <w:basedOn w:val="5"/>
    <w:qFormat/>
    <w:uiPriority w:val="0"/>
  </w:style>
  <w:style w:type="character" w:customStyle="1" w:styleId="15">
    <w:name w:val="layui-layer-tabnow"/>
    <w:basedOn w:val="5"/>
    <w:qFormat/>
    <w:uiPriority w:val="0"/>
    <w:rPr>
      <w:bdr w:val="single" w:color="CCCCCC" w:sz="6" w:space="0"/>
      <w:shd w:val="clear" w:fill="FFFFFF"/>
    </w:rPr>
  </w:style>
  <w:style w:type="paragraph" w:customStyle="1" w:styleId="16">
    <w:name w:val="_Style 12"/>
    <w:basedOn w:val="1"/>
    <w:next w:val="1"/>
    <w:qFormat/>
    <w:uiPriority w:val="0"/>
    <w:pPr>
      <w:pBdr>
        <w:bottom w:val="single" w:color="auto" w:sz="6" w:space="1"/>
      </w:pBdr>
      <w:jc w:val="center"/>
    </w:pPr>
    <w:rPr>
      <w:rFonts w:ascii="Arial" w:eastAsia="宋体"/>
      <w:vanish/>
      <w:sz w:val="16"/>
    </w:rPr>
  </w:style>
  <w:style w:type="paragraph" w:customStyle="1" w:styleId="17">
    <w:name w:val="_Style 13"/>
    <w:basedOn w:val="1"/>
    <w:next w:val="1"/>
    <w:qFormat/>
    <w:uiPriority w:val="0"/>
    <w:pPr>
      <w:pBdr>
        <w:top w:val="single" w:color="auto" w:sz="6" w:space="1"/>
      </w:pBdr>
      <w:jc w:val="center"/>
    </w:pPr>
    <w:rPr>
      <w:rFonts w:ascii="Arial" w:eastAsia="宋体"/>
      <w:vanish/>
      <w:sz w:val="16"/>
    </w:rPr>
  </w:style>
  <w:style w:type="character" w:customStyle="1" w:styleId="18">
    <w:name w:val="font01"/>
    <w:basedOn w:val="5"/>
    <w:qFormat/>
    <w:uiPriority w:val="0"/>
    <w:rPr>
      <w:rFonts w:hint="eastAsia" w:ascii="宋体" w:hAnsi="宋体" w:eastAsia="宋体" w:cs="宋体"/>
      <w:color w:val="000000"/>
      <w:sz w:val="24"/>
      <w:szCs w:val="24"/>
      <w:u w:val="none"/>
    </w:rPr>
  </w:style>
  <w:style w:type="character" w:customStyle="1" w:styleId="19">
    <w:name w:val="red"/>
    <w:basedOn w:val="5"/>
    <w:qFormat/>
    <w:uiPriority w:val="0"/>
    <w:rPr>
      <w:color w:val="FF0000"/>
    </w:rPr>
  </w:style>
  <w:style w:type="character" w:customStyle="1" w:styleId="20">
    <w:name w:val="default"/>
    <w:basedOn w:val="5"/>
    <w:qFormat/>
    <w:uiPriority w:val="0"/>
  </w:style>
  <w:style w:type="character" w:customStyle="1" w:styleId="21">
    <w:name w:val="brt"/>
    <w:basedOn w:val="5"/>
    <w:qFormat/>
    <w:uiPriority w:val="0"/>
  </w:style>
  <w:style w:type="character" w:customStyle="1" w:styleId="22">
    <w:name w:val="num"/>
    <w:basedOn w:val="5"/>
    <w:qFormat/>
    <w:uiPriority w:val="0"/>
    <w:rPr>
      <w:rFonts w:ascii="Arial" w:hAnsi="Arial" w:cs="Arial"/>
      <w:color w:val="FFFFFF"/>
      <w:sz w:val="16"/>
      <w:szCs w:val="16"/>
    </w:rPr>
  </w:style>
  <w:style w:type="character" w:customStyle="1" w:styleId="23">
    <w:name w:val="blf"/>
    <w:basedOn w:val="5"/>
    <w:qFormat/>
    <w:uiPriority w:val="0"/>
  </w:style>
  <w:style w:type="character" w:customStyle="1" w:styleId="24">
    <w:name w:val="show2"/>
    <w:basedOn w:val="5"/>
    <w:qFormat/>
    <w:uiPriority w:val="0"/>
  </w:style>
  <w:style w:type="character" w:customStyle="1" w:styleId="25">
    <w:name w:val="show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2017-12-14T02:02:00Z</dcterms:created>
  <dc:creator>风清云淡</dc:creator>
  <cp:lastModifiedBy>杨涛</cp:lastModifiedBy>
  <cp:lastPrinted>2017-12-14T06:52:00Z</cp:lastPrinted>
  <dcterms:modified xsi:type="dcterms:W3CDTF">2019-12-19T03:05:55Z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