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before="0" w:after="0" w:line="576" w:lineRule="exact"/>
      </w:pPr>
      <w:r>
        <w:rPr>
          <w:rFonts w:hint="eastAsia" w:ascii="黑体" w:hAnsi="黑体" w:eastAsia="黑体" w:cs="黑体"/>
          <w:b w:val="0"/>
          <w:bCs w:val="0"/>
        </w:rPr>
        <w:t>附件3</w:t>
      </w:r>
    </w:p>
    <w:p>
      <w:pPr>
        <w:pStyle w:val="3"/>
        <w:jc w:val="center"/>
        <w:rPr>
          <w:rFonts w:ascii="方正小标宋简体" w:hAnsi="方正小标宋简体" w:eastAsia="方正小标宋简体" w:cs="方正小标宋简体"/>
          <w:sz w:val="48"/>
          <w:szCs w:val="44"/>
        </w:rPr>
      </w:pPr>
      <w:bookmarkStart w:id="0" w:name="_GoBack"/>
      <w:r>
        <w:rPr>
          <w:rFonts w:hint="eastAsia" w:ascii="方正小标宋简体" w:hAnsi="方正小标宋简体" w:eastAsia="方正小标宋简体" w:cs="方正小标宋简体"/>
          <w:sz w:val="48"/>
          <w:szCs w:val="44"/>
        </w:rPr>
        <w:t>竞争性磋商综合评价细则</w:t>
      </w:r>
    </w:p>
    <w:bookmarkEnd w:id="0"/>
    <w:tbl>
      <w:tblPr>
        <w:tblStyle w:val="5"/>
        <w:tblW w:w="131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275"/>
        <w:gridCol w:w="915"/>
        <w:gridCol w:w="9459"/>
        <w:gridCol w:w="7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widowControl/>
              <w:spacing w:line="360" w:lineRule="auto"/>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序号</w:t>
            </w:r>
          </w:p>
        </w:tc>
        <w:tc>
          <w:tcPr>
            <w:tcW w:w="1275" w:type="dxa"/>
            <w:vAlign w:val="center"/>
          </w:tcPr>
          <w:p>
            <w:pPr>
              <w:widowControl/>
              <w:spacing w:line="360" w:lineRule="auto"/>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评分因素</w:t>
            </w:r>
          </w:p>
          <w:p>
            <w:pPr>
              <w:widowControl/>
              <w:spacing w:line="360" w:lineRule="auto"/>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及权重</w:t>
            </w:r>
          </w:p>
        </w:tc>
        <w:tc>
          <w:tcPr>
            <w:tcW w:w="915" w:type="dxa"/>
            <w:vAlign w:val="center"/>
          </w:tcPr>
          <w:p>
            <w:pPr>
              <w:widowControl/>
              <w:spacing w:line="360" w:lineRule="auto"/>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分值</w:t>
            </w:r>
          </w:p>
        </w:tc>
        <w:tc>
          <w:tcPr>
            <w:tcW w:w="9459" w:type="dxa"/>
            <w:vAlign w:val="center"/>
          </w:tcPr>
          <w:p>
            <w:pPr>
              <w:widowControl/>
              <w:spacing w:line="360" w:lineRule="auto"/>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评分标准</w:t>
            </w:r>
          </w:p>
        </w:tc>
        <w:tc>
          <w:tcPr>
            <w:tcW w:w="788" w:type="dxa"/>
            <w:vAlign w:val="center"/>
          </w:tcPr>
          <w:p>
            <w:pPr>
              <w:widowControl/>
              <w:spacing w:line="360" w:lineRule="auto"/>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127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报价</w:t>
            </w:r>
          </w:p>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w:t>
            </w:r>
            <w:r>
              <w:rPr>
                <w:rFonts w:hint="eastAsia" w:asciiTheme="minorEastAsia" w:hAnsiTheme="minorEastAsia" w:eastAsiaTheme="minorEastAsia" w:cstheme="minorEastAsia"/>
                <w:sz w:val="24"/>
                <w:lang w:val="en-US" w:eastAsia="zh-CN"/>
              </w:rPr>
              <w:t>20</w:t>
            </w:r>
            <w:r>
              <w:rPr>
                <w:rFonts w:hint="eastAsia" w:asciiTheme="minorEastAsia" w:hAnsiTheme="minorEastAsia" w:eastAsiaTheme="minorEastAsia" w:cstheme="minorEastAsia"/>
                <w:sz w:val="24"/>
              </w:rPr>
              <w:t>%)</w:t>
            </w:r>
          </w:p>
        </w:tc>
        <w:tc>
          <w:tcPr>
            <w:tcW w:w="915" w:type="dxa"/>
            <w:vAlign w:val="center"/>
          </w:tcPr>
          <w:p>
            <w:pPr>
              <w:widowControl/>
              <w:spacing w:line="360" w:lineRule="auto"/>
              <w:jc w:val="center"/>
              <w:rPr>
                <w:rFonts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20</w:t>
            </w:r>
          </w:p>
        </w:tc>
        <w:tc>
          <w:tcPr>
            <w:tcW w:w="9459" w:type="dxa"/>
            <w:vAlign w:val="center"/>
          </w:tcPr>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以满足招标文件要求且投标价格最低的投标报价为评标基准价，其价格分为满分。其他投标人的价格分统一按照下列公式计算：投标报价得分=（评标基准价／投标报价）×分值</w:t>
            </w:r>
            <w:r>
              <w:rPr>
                <w:rFonts w:hint="eastAsia" w:asciiTheme="minorEastAsia" w:hAnsiTheme="minorEastAsia" w:eastAsiaTheme="minorEastAsia" w:cstheme="minorEastAsia"/>
                <w:kern w:val="0"/>
                <w:sz w:val="24"/>
              </w:rPr>
              <w:t>。</w:t>
            </w:r>
          </w:p>
        </w:tc>
        <w:tc>
          <w:tcPr>
            <w:tcW w:w="788"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127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服务方案(36%)</w:t>
            </w:r>
          </w:p>
        </w:tc>
        <w:tc>
          <w:tcPr>
            <w:tcW w:w="91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36分</w:t>
            </w:r>
          </w:p>
        </w:tc>
        <w:tc>
          <w:tcPr>
            <w:tcW w:w="9459" w:type="dxa"/>
            <w:vAlign w:val="center"/>
          </w:tcPr>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根据供应商针对本项目提供的服务方案进行综合评审，包含：①项目工作目标；②工作组织结构；③抽检要求；④工作安排；⑤工作制度；⑥项目实施依据；⑦抽样工作准备；⑧抽样工作实施方案；⑨检验检测工作实施方案；⑩食品安全应急预案处置机制；⑪与采购人沟通汇报方案；⑫食品安全风险趋势作分析和判断。各项内容为专门针对本项目编制，符合本项目实际情况，能够保障项目顺利实施的得36分；每有一项缺失的扣3分，每有一项内容存在错误或不足的扣1.5分，扣完为止。注：内容存在错误或不足是指：</w:t>
            </w:r>
            <w:r>
              <w:rPr>
                <w:rFonts w:hint="eastAsia" w:asciiTheme="minorEastAsia" w:hAnsiTheme="minorEastAsia" w:eastAsiaTheme="minorEastAsia" w:cstheme="minorEastAsia"/>
                <w:kern w:val="0"/>
                <w:sz w:val="24"/>
              </w:rPr>
              <w:t>存在不适用项目实际情况的情形、凭空编造、方案中内容前后不一致、前后逻辑错误、前后矛盾、涉及的规范及标准错误、地点区域错误、内容缺失、不符合采购需求、方案标题与实际内容不相符合、方案不全面等</w:t>
            </w:r>
            <w:r>
              <w:rPr>
                <w:rFonts w:hint="eastAsia" w:asciiTheme="minorEastAsia" w:hAnsiTheme="minorEastAsia" w:eastAsiaTheme="minorEastAsia" w:cstheme="minorEastAsia"/>
                <w:sz w:val="24"/>
              </w:rPr>
              <w:t>。</w:t>
            </w:r>
          </w:p>
        </w:tc>
        <w:tc>
          <w:tcPr>
            <w:tcW w:w="788"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技术类评分因素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2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127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供应商实验室设备能力</w:t>
            </w:r>
          </w:p>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（23%）</w:t>
            </w:r>
          </w:p>
        </w:tc>
        <w:tc>
          <w:tcPr>
            <w:tcW w:w="91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color w:val="auto"/>
                <w:sz w:val="24"/>
              </w:rPr>
              <w:t>23</w:t>
            </w:r>
            <w:r>
              <w:rPr>
                <w:rFonts w:hint="eastAsia" w:asciiTheme="minorEastAsia" w:hAnsiTheme="minorEastAsia" w:eastAsiaTheme="minorEastAsia" w:cstheme="minorEastAsia"/>
                <w:sz w:val="24"/>
              </w:rPr>
              <w:t>分</w:t>
            </w:r>
          </w:p>
        </w:tc>
        <w:tc>
          <w:tcPr>
            <w:tcW w:w="9459" w:type="dxa"/>
            <w:vAlign w:val="center"/>
          </w:tcPr>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1.供应商满足本项目服务要求设备基础上，拟投入的实验室检测工作仪器设备：</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（1）气相色谱仪有1台的得1分，本项最高3分。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（2）液相色谱仪或高效液相色谱仪1台的得1分，本项最高3 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（3）气相色谱质谱联用仪有1台得1分，本项最高3分。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（4）液相色谱质谱仪有1台的得1分，本项最高3分。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（5）电感耦合等离子体发射光谱仪有1台的得1分，本项最高2分。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（6）原子吸收分光光度计有1台的得1分，本项最高2分。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（7）同时具备电感耦合等离子体质谱仪和原子荧光光度计得2分，其中少一项设备不得分。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注：1）自有设备提供以上设备的购置发票和“检定或校准”证书复印件。2）租赁设备提供以上设备的租赁合同复印件、“检定或校准”证书复印件、租赁公司的设备购置发票复印件和租赁费用任意一次转款凭证复印件。未按以上要求提供证明材料的不得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2.供应商具有食品样品冷藏</w:t>
            </w:r>
            <w:r>
              <w:rPr>
                <w:rFonts w:hint="eastAsia" w:asciiTheme="minorEastAsia" w:hAnsiTheme="minorEastAsia" w:eastAsiaTheme="minorEastAsia" w:cstheme="minorEastAsia"/>
                <w:color w:val="000000" w:themeColor="text1"/>
                <w:sz w:val="24"/>
                <w14:textFill>
                  <w14:solidFill>
                    <w14:schemeClr w14:val="tx1"/>
                  </w14:solidFill>
                </w14:textFill>
              </w:rPr>
              <w:t>冻库得3分</w:t>
            </w:r>
            <w:r>
              <w:rPr>
                <w:rFonts w:hint="eastAsia" w:asciiTheme="minorEastAsia" w:hAnsiTheme="minorEastAsia" w:eastAsiaTheme="minorEastAsia" w:cstheme="minorEastAsia"/>
                <w:sz w:val="24"/>
              </w:rPr>
              <w:t>。</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注：提供冷藏冻库建设合同复印件、冷藏冻库照片和发票复印件；未按以上要求提供证明材料的不得分。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3.供应商具有专用抽样车辆或冷链运输车，每有一辆的得0.5分，最多</w:t>
            </w:r>
            <w:r>
              <w:rPr>
                <w:rFonts w:hint="eastAsia" w:asciiTheme="minorEastAsia" w:hAnsiTheme="minorEastAsia" w:eastAsiaTheme="minorEastAsia" w:cstheme="minorEastAsia"/>
                <w:color w:val="auto"/>
                <w:sz w:val="24"/>
              </w:rPr>
              <w:t>得2分</w:t>
            </w:r>
            <w:r>
              <w:rPr>
                <w:rFonts w:hint="eastAsia" w:asciiTheme="minorEastAsia" w:hAnsiTheme="minorEastAsia" w:eastAsiaTheme="minorEastAsia" w:cstheme="minorEastAsia"/>
                <w:sz w:val="24"/>
              </w:rPr>
              <w:t>。</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注：提供抽样车辆行驶证（年审合格）复印件、车辆照片和车辆发票。未按以上要求提供证明材料的不得分。</w:t>
            </w:r>
          </w:p>
        </w:tc>
        <w:tc>
          <w:tcPr>
            <w:tcW w:w="788"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技术类评分因素</w:t>
            </w:r>
          </w:p>
          <w:p>
            <w:pPr>
              <w:widowControl/>
              <w:spacing w:line="360" w:lineRule="auto"/>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725" w:type="dxa"/>
            <w:vMerge w:val="restart"/>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1275" w:type="dxa"/>
            <w:vMerge w:val="restart"/>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拟为本项目配置的技术人员（14%）</w:t>
            </w:r>
          </w:p>
        </w:tc>
        <w:tc>
          <w:tcPr>
            <w:tcW w:w="915" w:type="dxa"/>
            <w:vMerge w:val="restart"/>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14分（1-5项人员不重复计算得分）</w:t>
            </w:r>
          </w:p>
        </w:tc>
        <w:tc>
          <w:tcPr>
            <w:tcW w:w="9459" w:type="dxa"/>
            <w:vAlign w:val="center"/>
          </w:tcPr>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1.供应商针对本项目服务团队人员中每有1名专业抽样人员的得0.2分，本项最高得2分。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2.供应商针对本项目服务团队人员中的每有1名专业检测人员的得0.2分，本项最高得2分。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注：（1）涉及抽样人员需提供有效的身份证、抽样证和供应商与相关人员的劳动关系证明材料复印件并加盖供应商鲜章。</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（2）涉及检测人员需提供有效的身份证、上岗证明和供应商与相关人员的劳动关系证明材料复印件并加盖供应商鲜章。</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（3）以上人员缺少任何一样证明材料均不得分。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3.供应商针对本项目服务团队人员中具有（食品类或预防医学类或卫生类或技术监督类或检验类或生物类相关专业）高级及以上职称每有1人得1分，最多得4分，未提供不得分。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注：（1）提供相关人员的身份证、职称证和供应商与相关人员的劳动关系证明材料复印件并加盖供应商鲜章。</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（2）以上人员缺少任何一样证明材料均不得分。</w:t>
            </w:r>
          </w:p>
        </w:tc>
        <w:tc>
          <w:tcPr>
            <w:tcW w:w="788"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Merge w:val="continue"/>
            <w:vAlign w:val="center"/>
          </w:tcPr>
          <w:p>
            <w:pPr>
              <w:widowControl/>
              <w:spacing w:line="360" w:lineRule="auto"/>
              <w:jc w:val="center"/>
              <w:rPr>
                <w:rFonts w:asciiTheme="minorEastAsia" w:hAnsiTheme="minorEastAsia" w:eastAsiaTheme="minorEastAsia" w:cstheme="minorEastAsia"/>
                <w:sz w:val="24"/>
              </w:rPr>
            </w:pPr>
          </w:p>
        </w:tc>
        <w:tc>
          <w:tcPr>
            <w:tcW w:w="1275" w:type="dxa"/>
            <w:vMerge w:val="continue"/>
            <w:vAlign w:val="center"/>
          </w:tcPr>
          <w:p>
            <w:pPr>
              <w:widowControl/>
              <w:spacing w:line="360" w:lineRule="auto"/>
              <w:jc w:val="center"/>
              <w:rPr>
                <w:rFonts w:asciiTheme="minorEastAsia" w:hAnsiTheme="minorEastAsia" w:eastAsiaTheme="minorEastAsia" w:cstheme="minorEastAsia"/>
                <w:sz w:val="24"/>
              </w:rPr>
            </w:pPr>
          </w:p>
        </w:tc>
        <w:tc>
          <w:tcPr>
            <w:tcW w:w="915" w:type="dxa"/>
            <w:vMerge w:val="continue"/>
            <w:vAlign w:val="center"/>
          </w:tcPr>
          <w:p>
            <w:pPr>
              <w:widowControl/>
              <w:spacing w:line="360" w:lineRule="auto"/>
              <w:jc w:val="center"/>
              <w:rPr>
                <w:rFonts w:asciiTheme="minorEastAsia" w:hAnsiTheme="minorEastAsia" w:eastAsiaTheme="minorEastAsia" w:cstheme="minorEastAsia"/>
                <w:sz w:val="24"/>
              </w:rPr>
            </w:pPr>
          </w:p>
        </w:tc>
        <w:tc>
          <w:tcPr>
            <w:tcW w:w="9459" w:type="dxa"/>
            <w:vAlign w:val="center"/>
          </w:tcPr>
          <w:p>
            <w:pPr>
              <w:widowControl/>
              <w:numPr>
                <w:ilvl w:val="0"/>
                <w:numId w:val="1"/>
              </w:num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供应商针对本项目配备的项目负责人具有（食品类或医学类或卫生类或技术监督类或检验类或生物类相关专业）副高级及以上职称得2分，没有或未提供不得分。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注：（1）供应商需提供相关人员职称证书复印件及在本单位任职的证明材料复印件加盖供应商公章。</w:t>
            </w:r>
          </w:p>
          <w:p>
            <w:pPr>
              <w:keepNext/>
              <w:keepLines/>
              <w:widowControl/>
              <w:spacing w:line="360" w:lineRule="auto"/>
              <w:outlineLvl w:val="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（2）以上人员缺少任何一样证明材料均不得分。</w:t>
            </w:r>
          </w:p>
        </w:tc>
        <w:tc>
          <w:tcPr>
            <w:tcW w:w="788"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725" w:type="dxa"/>
            <w:vMerge w:val="continue"/>
            <w:vAlign w:val="center"/>
          </w:tcPr>
          <w:p>
            <w:pPr>
              <w:widowControl/>
              <w:spacing w:line="360" w:lineRule="auto"/>
              <w:jc w:val="center"/>
              <w:rPr>
                <w:rFonts w:asciiTheme="minorEastAsia" w:hAnsiTheme="minorEastAsia" w:eastAsiaTheme="minorEastAsia" w:cstheme="minorEastAsia"/>
                <w:sz w:val="24"/>
              </w:rPr>
            </w:pPr>
          </w:p>
        </w:tc>
        <w:tc>
          <w:tcPr>
            <w:tcW w:w="1275" w:type="dxa"/>
            <w:vMerge w:val="continue"/>
            <w:vAlign w:val="center"/>
          </w:tcPr>
          <w:p>
            <w:pPr>
              <w:widowControl/>
              <w:spacing w:line="360" w:lineRule="auto"/>
              <w:jc w:val="center"/>
              <w:rPr>
                <w:rFonts w:asciiTheme="minorEastAsia" w:hAnsiTheme="minorEastAsia" w:eastAsiaTheme="minorEastAsia" w:cstheme="minorEastAsia"/>
                <w:sz w:val="24"/>
              </w:rPr>
            </w:pPr>
          </w:p>
        </w:tc>
        <w:tc>
          <w:tcPr>
            <w:tcW w:w="915" w:type="dxa"/>
            <w:vMerge w:val="continue"/>
            <w:vAlign w:val="center"/>
          </w:tcPr>
          <w:p>
            <w:pPr>
              <w:widowControl/>
              <w:spacing w:line="360" w:lineRule="auto"/>
              <w:jc w:val="center"/>
              <w:rPr>
                <w:rFonts w:asciiTheme="minorEastAsia" w:hAnsiTheme="minorEastAsia" w:eastAsiaTheme="minorEastAsia" w:cstheme="minorEastAsia"/>
                <w:sz w:val="24"/>
              </w:rPr>
            </w:pPr>
          </w:p>
        </w:tc>
        <w:tc>
          <w:tcPr>
            <w:tcW w:w="9459" w:type="dxa"/>
            <w:vAlign w:val="center"/>
          </w:tcPr>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5.供应商针对本项目服务团队每有1名省级或以上食品检查员参与项目的得4分；供应商对本项目服务团队每有1名市级食品检查员参与项目的得2分；本项最多得4分。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注：（1）供应商需提供相关人员技术职称证（检查员证）、人社部门出具的证明材料复印件并加盖供应商鲜章。</w:t>
            </w:r>
          </w:p>
          <w:p>
            <w:pPr>
              <w:keepNext/>
              <w:keepLines/>
              <w:widowControl/>
              <w:spacing w:line="360" w:lineRule="auto"/>
              <w:outlineLvl w:val="1"/>
              <w:rPr>
                <w:rFonts w:asciiTheme="minorEastAsia" w:hAnsiTheme="minorEastAsia" w:eastAsiaTheme="minorEastAsia" w:cstheme="minorEastAsia"/>
                <w:b/>
                <w:bCs/>
                <w:sz w:val="24"/>
              </w:rPr>
            </w:pPr>
            <w:r>
              <w:rPr>
                <w:rFonts w:hint="eastAsia" w:asciiTheme="minorEastAsia" w:hAnsiTheme="minorEastAsia" w:eastAsiaTheme="minorEastAsia" w:cstheme="minorEastAsia"/>
                <w:sz w:val="24"/>
              </w:rPr>
              <w:t>（2）以上人员缺少任何一样证明材料均不得分。</w:t>
            </w:r>
          </w:p>
        </w:tc>
        <w:tc>
          <w:tcPr>
            <w:tcW w:w="788"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127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供应商综合实力(2%)</w:t>
            </w:r>
          </w:p>
        </w:tc>
        <w:tc>
          <w:tcPr>
            <w:tcW w:w="91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2分</w:t>
            </w:r>
          </w:p>
        </w:tc>
        <w:tc>
          <w:tcPr>
            <w:tcW w:w="9459" w:type="dxa"/>
            <w:vAlign w:val="center"/>
          </w:tcPr>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1.供应商2018年以来参加食品农产品类能力验证或测量审核获得满意结果1次得0.2分，最多得2分。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注：提供能力验证或测量审核满意结果通知复印件，未提供的不得分。</w:t>
            </w:r>
          </w:p>
        </w:tc>
        <w:tc>
          <w:tcPr>
            <w:tcW w:w="788"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w:t>
            </w:r>
          </w:p>
        </w:tc>
        <w:tc>
          <w:tcPr>
            <w:tcW w:w="127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项目经验</w:t>
            </w:r>
          </w:p>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915" w:type="dxa"/>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color w:val="auto"/>
                <w:sz w:val="24"/>
              </w:rPr>
              <w:t>5分</w:t>
            </w:r>
          </w:p>
        </w:tc>
        <w:tc>
          <w:tcPr>
            <w:tcW w:w="9459" w:type="dxa"/>
            <w:vAlign w:val="center"/>
          </w:tcPr>
          <w:p>
            <w:pPr>
              <w:widowControl/>
              <w:spacing w:line="360" w:lineRule="auto"/>
              <w:rPr>
                <w:rFonts w:asciiTheme="minorEastAsia" w:hAnsiTheme="minorEastAsia" w:eastAsiaTheme="minorEastAsia" w:cstheme="minorEastAsia"/>
                <w:color w:val="auto"/>
                <w:sz w:val="24"/>
              </w:rPr>
            </w:pPr>
            <w:r>
              <w:rPr>
                <w:rFonts w:hint="eastAsia" w:asciiTheme="minorEastAsia" w:hAnsiTheme="minorEastAsia" w:eastAsiaTheme="minorEastAsia" w:cstheme="minorEastAsia"/>
                <w:sz w:val="24"/>
              </w:rPr>
              <w:t>供应商2019年1月1日（含）以来，承担过类似项目的，每有1次得0.5分，最</w:t>
            </w:r>
            <w:r>
              <w:rPr>
                <w:rFonts w:hint="eastAsia" w:asciiTheme="minorEastAsia" w:hAnsiTheme="minorEastAsia" w:eastAsiaTheme="minorEastAsia" w:cstheme="minorEastAsia"/>
                <w:color w:val="auto"/>
                <w:sz w:val="24"/>
              </w:rPr>
              <w:t>多得5分。</w:t>
            </w:r>
          </w:p>
          <w:p>
            <w:pPr>
              <w:widowControl/>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color w:val="auto"/>
                <w:sz w:val="24"/>
              </w:rPr>
              <w:t>注：供应商需提供中标（成交）通知书或合同复印件并加盖供应商鲜章。</w:t>
            </w:r>
          </w:p>
        </w:tc>
        <w:tc>
          <w:tcPr>
            <w:tcW w:w="788" w:type="dxa"/>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0" w:type="dxa"/>
            <w:gridSpan w:val="2"/>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总分</w:t>
            </w:r>
          </w:p>
        </w:tc>
        <w:tc>
          <w:tcPr>
            <w:tcW w:w="11162" w:type="dxa"/>
            <w:gridSpan w:val="3"/>
            <w:vAlign w:val="center"/>
          </w:tcPr>
          <w:p>
            <w:pPr>
              <w:widowControl/>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100分</w:t>
            </w:r>
          </w:p>
        </w:tc>
      </w:tr>
    </w:tbl>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2010601030101010101"/>
    <w:charset w:val="86"/>
    <w:family w:val="auto"/>
    <w:pitch w:val="default"/>
    <w:sig w:usb0="00000000" w:usb1="00000000" w:usb2="00000000" w:usb3="00000000" w:csb0="00040000" w:csb1="00000000"/>
  </w:font>
  <w:font w:name="MS PGothic">
    <w:panose1 w:val="020B0600070205080204"/>
    <w:charset w:val="80"/>
    <w:family w:val="auto"/>
    <w:pitch w:val="default"/>
    <w:sig w:usb0="E00002FF" w:usb1="6AC7FDFB" w:usb2="00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0E670BB"/>
    <w:multiLevelType w:val="singleLevel"/>
    <w:tmpl w:val="10E670BB"/>
    <w:lvl w:ilvl="0" w:tentative="0">
      <w:start w:val="4"/>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czNzEzZDI2MjdiZjg1MTkxOWM4OWFlMjZhYmQ0YmUifQ=="/>
  </w:docVars>
  <w:rsids>
    <w:rsidRoot w:val="3B3D3FAF"/>
    <w:rsid w:val="3B3D3F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semiHidden/>
    <w:unhideWhenUsed/>
    <w:qFormat/>
    <w:uiPriority w:val="0"/>
    <w:pPr>
      <w:keepNext/>
      <w:keepLines/>
      <w:outlineLvl w:val="1"/>
    </w:pPr>
    <w:rPr>
      <w:b/>
      <w:sz w:val="30"/>
    </w:rPr>
  </w:style>
  <w:style w:type="paragraph" w:styleId="4">
    <w:name w:val="heading 3"/>
    <w:basedOn w:val="1"/>
    <w:next w:val="1"/>
    <w:semiHidden/>
    <w:unhideWhenUsed/>
    <w:qFormat/>
    <w:uiPriority w:val="9"/>
    <w:pPr>
      <w:keepNext/>
      <w:keepLines/>
      <w:spacing w:before="260" w:after="260" w:line="416" w:lineRule="auto"/>
      <w:outlineLvl w:val="2"/>
    </w:pPr>
    <w:rPr>
      <w:b/>
      <w:bCs/>
      <w:sz w:val="32"/>
      <w:szCs w:val="32"/>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index 8"/>
    <w:basedOn w:val="1"/>
    <w:next w:val="1"/>
    <w:qFormat/>
    <w:uiPriority w:val="0"/>
    <w:pPr>
      <w:spacing w:line="276" w:lineRule="auto"/>
      <w:jc w:val="left"/>
    </w:pPr>
    <w:rPr>
      <w:rFonts w:ascii="宋体" w:hAnsi="宋体"/>
      <w:color w:val="FF000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2022-05-23T09:59:00Z</dcterms:created>
  <dc:creator>小太阳</dc:creator>
  <cp:lastModifiedBy>小太阳</cp:lastModifiedBy>
  <dcterms:modified xsi:type="dcterms:W3CDTF">2022-05-23T09:59:35Z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9A1925EC05504989A146B3AAA3344417</vt:lpwstr>
  </property>
</Properties>
</file>