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oter1.xml" ContentType="application/vnd.openxmlformats-officedocument.wordprocessingml.footer+xml"/>
  <Override PartName="/word/footer2.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79571395">
      <w:pPr>
        <w:pageBreakBefore w:val="0"/>
        <w:widowControl w:val="0"/>
        <w:kinsoku/>
        <w:wordWrap/>
        <w:overflowPunct/>
        <w:topLinePunct w:val="0"/>
        <w:autoSpaceDE/>
        <w:autoSpaceDN/>
        <w:bidi w:val="0"/>
        <w:adjustRightInd/>
        <w:snapToGrid/>
        <w:spacing w:line="576" w:lineRule="exact"/>
        <w:ind w:left="0" w:firstLine="880" w:firstLineChars="200"/>
        <w:jc w:val="center"/>
        <w:textAlignment w:val="auto"/>
        <w:rPr>
          <w:rFonts w:hint="eastAsia" w:ascii="方正小标宋简体" w:hAnsi="方正小标宋简体" w:eastAsia="方正小标宋简体" w:cs="方正小标宋简体"/>
          <w:color w:val="000000"/>
          <w:sz w:val="44"/>
          <w:szCs w:val="44"/>
          <w:lang w:val="en-US"/>
        </w:rPr>
      </w:pPr>
      <w:bookmarkStart w:id="0" w:name="_Toc27889"/>
      <w:bookmarkStart w:id="1" w:name="_Toc12193"/>
      <w:r>
        <w:rPr>
          <w:rFonts w:hint="eastAsia" w:ascii="方正小标宋简体" w:hAnsi="方正小标宋简体" w:eastAsia="方正小标宋简体" w:cs="方正小标宋简体"/>
          <w:color w:val="000000"/>
          <w:sz w:val="44"/>
          <w:szCs w:val="44"/>
          <w:lang w:val="en-US" w:eastAsia="zh-CN"/>
        </w:rPr>
        <w:t>广元市昭化区市场监督管理局</w:t>
      </w:r>
      <w:bookmarkEnd w:id="0"/>
      <w:bookmarkEnd w:id="1"/>
    </w:p>
    <w:p w14:paraId="279596E9">
      <w:pPr>
        <w:pageBreakBefore w:val="0"/>
        <w:widowControl w:val="0"/>
        <w:kinsoku/>
        <w:wordWrap/>
        <w:overflowPunct/>
        <w:topLinePunct w:val="0"/>
        <w:autoSpaceDE/>
        <w:autoSpaceDN/>
        <w:bidi w:val="0"/>
        <w:adjustRightInd/>
        <w:snapToGrid/>
        <w:spacing w:line="576" w:lineRule="exact"/>
        <w:ind w:left="0" w:firstLine="880" w:firstLineChars="200"/>
        <w:jc w:val="center"/>
        <w:textAlignment w:val="auto"/>
        <w:rPr>
          <w:rFonts w:hint="eastAsia" w:ascii="方正小标宋简体" w:hAnsi="方正小标宋简体" w:eastAsia="方正小标宋简体" w:cs="方正小标宋简体"/>
          <w:color w:val="000000"/>
          <w:sz w:val="44"/>
          <w:szCs w:val="44"/>
          <w:lang w:val="en-US" w:eastAsia="zh-CN"/>
        </w:rPr>
      </w:pPr>
      <w:r>
        <w:rPr>
          <w:rFonts w:hint="eastAsia" w:ascii="方正小标宋简体" w:hAnsi="方正小标宋简体" w:eastAsia="方正小标宋简体" w:cs="方正小标宋简体"/>
          <w:color w:val="000000"/>
          <w:sz w:val="44"/>
          <w:szCs w:val="44"/>
          <w:lang w:val="en-US" w:eastAsia="zh-CN"/>
        </w:rPr>
        <w:t>2025年部门预算编制说明</w:t>
      </w:r>
    </w:p>
    <w:p w14:paraId="4143CAC8">
      <w:pPr>
        <w:jc w:val="both"/>
        <w:rPr>
          <w:rFonts w:hint="default" w:ascii="Times New Roman" w:hAnsi="Times New Roman" w:eastAsia="仿宋_GB2312" w:cs="Times New Roman"/>
          <w:i w:val="0"/>
          <w:caps w:val="0"/>
          <w:color w:val="000000" w:themeColor="text1"/>
          <w:spacing w:val="0"/>
          <w:sz w:val="32"/>
          <w:szCs w:val="32"/>
          <w:highlight w:val="none"/>
          <w14:textFill>
            <w14:solidFill>
              <w14:schemeClr w14:val="tx1"/>
            </w14:solidFill>
          </w14:textFill>
        </w:rPr>
      </w:pPr>
      <w:bookmarkStart w:id="78" w:name="_GoBack"/>
      <w:bookmarkEnd w:id="78"/>
    </w:p>
    <w:sdt>
      <w:sdtPr>
        <w:rPr>
          <w:rFonts w:hint="default" w:ascii="Times New Roman" w:hAnsi="Times New Roman" w:eastAsia="方正小标宋简体" w:cs="Times New Roman"/>
          <w:color w:val="auto"/>
          <w:kern w:val="2"/>
          <w:sz w:val="44"/>
          <w:szCs w:val="44"/>
          <w:lang w:val="en-US" w:eastAsia="zh-CN" w:bidi="ar-SA"/>
        </w:rPr>
        <w:id w:val="147456100"/>
        <w15:color w:val="DBDBDB"/>
        <w:docPartObj>
          <w:docPartGallery w:val="Table of Contents"/>
          <w:docPartUnique/>
        </w:docPartObj>
      </w:sdtPr>
      <w:sdtEndPr>
        <w:rPr>
          <w:rFonts w:hint="default" w:ascii="Times New Roman" w:hAnsi="Times New Roman" w:eastAsia="黑体" w:cs="Times New Roman"/>
          <w:b/>
          <w:color w:val="auto"/>
          <w:kern w:val="2"/>
          <w:sz w:val="21"/>
          <w:szCs w:val="32"/>
          <w:lang w:val="en-US" w:eastAsia="zh-CN" w:bidi="ar-SA"/>
        </w:rPr>
      </w:sdtEndPr>
      <w:sdtContent>
        <w:p w14:paraId="3318F912">
          <w:pPr>
            <w:spacing w:before="0" w:beforeLines="0" w:after="0" w:afterLines="0" w:line="240" w:lineRule="auto"/>
            <w:ind w:left="0" w:leftChars="0" w:right="0" w:rightChars="0" w:firstLine="0" w:firstLineChars="0"/>
            <w:jc w:val="center"/>
            <w:rPr>
              <w:rFonts w:hint="default" w:ascii="Times New Roman" w:hAnsi="Times New Roman" w:eastAsia="方正小标宋简体" w:cs="Times New Roman"/>
              <w:sz w:val="44"/>
              <w:szCs w:val="44"/>
            </w:rPr>
          </w:pPr>
          <w:r>
            <w:rPr>
              <w:rFonts w:hint="default" w:ascii="Times New Roman" w:hAnsi="Times New Roman" w:eastAsia="方正小标宋简体" w:cs="Times New Roman"/>
              <w:sz w:val="44"/>
              <w:szCs w:val="44"/>
            </w:rPr>
            <w:t>目</w:t>
          </w:r>
          <w:r>
            <w:rPr>
              <w:rFonts w:hint="default" w:ascii="Times New Roman" w:hAnsi="Times New Roman" w:eastAsia="方正小标宋简体" w:cs="Times New Roman"/>
              <w:sz w:val="44"/>
              <w:szCs w:val="44"/>
              <w:lang w:val="en-US" w:eastAsia="zh-CN"/>
            </w:rPr>
            <w:t xml:space="preserve">     </w:t>
          </w:r>
          <w:r>
            <w:rPr>
              <w:rFonts w:hint="default" w:ascii="Times New Roman" w:hAnsi="Times New Roman" w:eastAsia="方正小标宋简体" w:cs="Times New Roman"/>
              <w:sz w:val="44"/>
              <w:szCs w:val="44"/>
            </w:rPr>
            <w:t>录</w:t>
          </w:r>
        </w:p>
        <w:p w14:paraId="4C85DD2B">
          <w:pPr>
            <w:pStyle w:val="10"/>
            <w:tabs>
              <w:tab w:val="right" w:leader="dot" w:pos="8845"/>
            </w:tabs>
            <w:rPr>
              <w:rFonts w:hint="default" w:ascii="Times New Roman" w:hAnsi="Times New Roman" w:cs="Times New Roman"/>
              <w:sz w:val="32"/>
              <w:szCs w:val="32"/>
            </w:rPr>
          </w:pPr>
          <w:r>
            <w:rPr>
              <w:rFonts w:hint="default" w:ascii="Times New Roman" w:hAnsi="Times New Roman" w:eastAsia="黑体" w:cs="Times New Roman"/>
              <w:sz w:val="32"/>
              <w:szCs w:val="32"/>
              <w:lang w:val="en-US" w:eastAsia="zh-CN"/>
            </w:rPr>
            <w:fldChar w:fldCharType="begin"/>
          </w:r>
          <w:r>
            <w:rPr>
              <w:rFonts w:hint="default" w:ascii="Times New Roman" w:hAnsi="Times New Roman" w:eastAsia="黑体" w:cs="Times New Roman"/>
              <w:sz w:val="32"/>
              <w:szCs w:val="32"/>
              <w:lang w:val="en-US" w:eastAsia="zh-CN"/>
            </w:rPr>
            <w:instrText xml:space="preserve">TOC \o "1-2" \h \u</w:instrText>
          </w:r>
          <w:r>
            <w:rPr>
              <w:rFonts w:hint="default" w:ascii="Times New Roman" w:hAnsi="Times New Roman" w:eastAsia="黑体" w:cs="Times New Roman"/>
              <w:sz w:val="32"/>
              <w:szCs w:val="32"/>
              <w:lang w:val="en-US" w:eastAsia="zh-CN"/>
            </w:rPr>
            <w:fldChar w:fldCharType="separate"/>
          </w:r>
          <w:r>
            <w:fldChar w:fldCharType="begin"/>
          </w:r>
          <w:r>
            <w:instrText xml:space="preserve"> HYPERLINK \l "_Toc2979" </w:instrText>
          </w:r>
          <w:r>
            <w:fldChar w:fldCharType="separate"/>
          </w:r>
          <w:r>
            <w:rPr>
              <w:rFonts w:hint="default" w:ascii="Times New Roman" w:hAnsi="Times New Roman" w:eastAsia="黑体" w:cs="Times New Roman"/>
              <w:sz w:val="32"/>
              <w:szCs w:val="32"/>
              <w:lang w:val="en-US" w:eastAsia="zh-CN"/>
            </w:rPr>
            <w:t>一、基本职能及主要工作</w:t>
          </w:r>
          <w:r>
            <w:rPr>
              <w:rFonts w:hint="default" w:ascii="Times New Roman" w:hAnsi="Times New Roman" w:cs="Times New Roman"/>
              <w:sz w:val="32"/>
              <w:szCs w:val="32"/>
            </w:rPr>
            <w:tab/>
          </w:r>
          <w:r>
            <w:rPr>
              <w:rFonts w:hint="default" w:ascii="Times New Roman" w:hAnsi="Times New Roman" w:cs="Times New Roman"/>
              <w:sz w:val="32"/>
              <w:szCs w:val="32"/>
            </w:rPr>
            <w:fldChar w:fldCharType="begin"/>
          </w:r>
          <w:r>
            <w:rPr>
              <w:rFonts w:hint="default" w:ascii="Times New Roman" w:hAnsi="Times New Roman" w:cs="Times New Roman"/>
              <w:sz w:val="32"/>
              <w:szCs w:val="32"/>
            </w:rPr>
            <w:instrText xml:space="preserve"> PAGEREF _Toc2979 \h </w:instrText>
          </w:r>
          <w:r>
            <w:rPr>
              <w:rFonts w:hint="default" w:ascii="Times New Roman" w:hAnsi="Times New Roman" w:cs="Times New Roman"/>
              <w:sz w:val="32"/>
              <w:szCs w:val="32"/>
            </w:rPr>
            <w:fldChar w:fldCharType="separate"/>
          </w:r>
          <w:r>
            <w:rPr>
              <w:rFonts w:hint="default" w:ascii="Times New Roman" w:hAnsi="Times New Roman" w:cs="Times New Roman"/>
              <w:sz w:val="32"/>
              <w:szCs w:val="32"/>
            </w:rPr>
            <w:t>1</w:t>
          </w:r>
          <w:r>
            <w:rPr>
              <w:rFonts w:hint="default" w:ascii="Times New Roman" w:hAnsi="Times New Roman" w:cs="Times New Roman"/>
              <w:sz w:val="32"/>
              <w:szCs w:val="32"/>
            </w:rPr>
            <w:fldChar w:fldCharType="end"/>
          </w:r>
          <w:r>
            <w:rPr>
              <w:rFonts w:hint="default" w:ascii="Times New Roman" w:hAnsi="Times New Roman" w:cs="Times New Roman"/>
              <w:sz w:val="32"/>
              <w:szCs w:val="32"/>
            </w:rPr>
            <w:fldChar w:fldCharType="end"/>
          </w:r>
        </w:p>
        <w:p w14:paraId="17813751">
          <w:pPr>
            <w:pStyle w:val="12"/>
            <w:tabs>
              <w:tab w:val="right" w:leader="dot" w:pos="8845"/>
            </w:tabs>
            <w:rPr>
              <w:rFonts w:hint="default" w:ascii="Times New Roman" w:hAnsi="Times New Roman" w:eastAsia="楷体_GB2312" w:cs="Times New Roman"/>
              <w:sz w:val="32"/>
              <w:szCs w:val="32"/>
            </w:rPr>
          </w:pPr>
          <w:r>
            <w:fldChar w:fldCharType="begin"/>
          </w:r>
          <w:r>
            <w:instrText xml:space="preserve"> HYPERLINK \l "_Toc10939" </w:instrText>
          </w:r>
          <w:r>
            <w:fldChar w:fldCharType="separate"/>
          </w:r>
          <w:r>
            <w:rPr>
              <w:rFonts w:hint="default" w:ascii="Times New Roman" w:hAnsi="Times New Roman" w:eastAsia="楷体_GB2312" w:cs="Times New Roman"/>
              <w:bCs/>
              <w:sz w:val="32"/>
              <w:szCs w:val="32"/>
            </w:rPr>
            <w:t>（一）昭化区市场监督管理局职能简介</w:t>
          </w:r>
          <w:r>
            <w:rPr>
              <w:rFonts w:hint="default" w:ascii="Times New Roman" w:hAnsi="Times New Roman" w:eastAsia="楷体_GB2312" w:cs="Times New Roman"/>
              <w:sz w:val="32"/>
              <w:szCs w:val="32"/>
            </w:rPr>
            <w:tab/>
          </w:r>
          <w:r>
            <w:rPr>
              <w:rFonts w:hint="default" w:ascii="Times New Roman" w:hAnsi="Times New Roman" w:eastAsia="楷体_GB2312" w:cs="Times New Roman"/>
              <w:sz w:val="32"/>
              <w:szCs w:val="32"/>
            </w:rPr>
            <w:fldChar w:fldCharType="begin"/>
          </w:r>
          <w:r>
            <w:rPr>
              <w:rFonts w:hint="default" w:ascii="Times New Roman" w:hAnsi="Times New Roman" w:eastAsia="楷体_GB2312" w:cs="Times New Roman"/>
              <w:sz w:val="32"/>
              <w:szCs w:val="32"/>
            </w:rPr>
            <w:instrText xml:space="preserve"> PAGEREF _Toc10939 \h </w:instrText>
          </w:r>
          <w:r>
            <w:rPr>
              <w:rFonts w:hint="default" w:ascii="Times New Roman" w:hAnsi="Times New Roman" w:eastAsia="楷体_GB2312" w:cs="Times New Roman"/>
              <w:sz w:val="32"/>
              <w:szCs w:val="32"/>
            </w:rPr>
            <w:fldChar w:fldCharType="separate"/>
          </w:r>
          <w:r>
            <w:rPr>
              <w:rFonts w:hint="default" w:ascii="Times New Roman" w:hAnsi="Times New Roman" w:eastAsia="楷体_GB2312" w:cs="Times New Roman"/>
              <w:sz w:val="32"/>
              <w:szCs w:val="32"/>
            </w:rPr>
            <w:t>1</w:t>
          </w:r>
          <w:r>
            <w:rPr>
              <w:rFonts w:hint="default" w:ascii="Times New Roman" w:hAnsi="Times New Roman" w:eastAsia="楷体_GB2312" w:cs="Times New Roman"/>
              <w:sz w:val="32"/>
              <w:szCs w:val="32"/>
            </w:rPr>
            <w:fldChar w:fldCharType="end"/>
          </w:r>
          <w:r>
            <w:rPr>
              <w:rFonts w:hint="default" w:ascii="Times New Roman" w:hAnsi="Times New Roman" w:eastAsia="楷体_GB2312" w:cs="Times New Roman"/>
              <w:sz w:val="32"/>
              <w:szCs w:val="32"/>
            </w:rPr>
            <w:fldChar w:fldCharType="end"/>
          </w:r>
        </w:p>
        <w:p w14:paraId="3D4D58D7">
          <w:pPr>
            <w:pStyle w:val="12"/>
            <w:tabs>
              <w:tab w:val="right" w:leader="dot" w:pos="8845"/>
            </w:tabs>
            <w:rPr>
              <w:rFonts w:hint="default" w:ascii="Times New Roman" w:hAnsi="Times New Roman" w:eastAsia="楷体_GB2312" w:cs="Times New Roman"/>
              <w:sz w:val="32"/>
              <w:szCs w:val="32"/>
            </w:rPr>
          </w:pPr>
          <w:r>
            <w:fldChar w:fldCharType="begin"/>
          </w:r>
          <w:r>
            <w:instrText xml:space="preserve"> HYPERLINK \l "_Toc11801" </w:instrText>
          </w:r>
          <w:r>
            <w:fldChar w:fldCharType="separate"/>
          </w:r>
          <w:r>
            <w:rPr>
              <w:rFonts w:hint="default" w:ascii="Times New Roman" w:hAnsi="Times New Roman" w:eastAsia="楷体_GB2312" w:cs="Times New Roman"/>
              <w:bCs/>
              <w:sz w:val="32"/>
              <w:szCs w:val="32"/>
            </w:rPr>
            <w:t>（二）昭化区市场监督管理局202</w:t>
          </w:r>
          <w:r>
            <w:rPr>
              <w:rFonts w:hint="default" w:ascii="Times New Roman" w:hAnsi="Times New Roman" w:eastAsia="楷体_GB2312" w:cs="Times New Roman"/>
              <w:bCs/>
              <w:sz w:val="32"/>
              <w:szCs w:val="32"/>
              <w:lang w:val="en-US" w:eastAsia="zh-CN"/>
            </w:rPr>
            <w:t>5</w:t>
          </w:r>
          <w:r>
            <w:rPr>
              <w:rFonts w:hint="default" w:ascii="Times New Roman" w:hAnsi="Times New Roman" w:eastAsia="楷体_GB2312" w:cs="Times New Roman"/>
              <w:bCs/>
              <w:sz w:val="32"/>
              <w:szCs w:val="32"/>
            </w:rPr>
            <w:t>年重点工作</w:t>
          </w:r>
          <w:r>
            <w:rPr>
              <w:rFonts w:hint="default" w:ascii="Times New Roman" w:hAnsi="Times New Roman" w:eastAsia="楷体_GB2312" w:cs="Times New Roman"/>
              <w:sz w:val="32"/>
              <w:szCs w:val="32"/>
            </w:rPr>
            <w:tab/>
          </w:r>
          <w:r>
            <w:rPr>
              <w:rFonts w:hint="default" w:ascii="Times New Roman" w:hAnsi="Times New Roman" w:eastAsia="楷体_GB2312" w:cs="Times New Roman"/>
              <w:sz w:val="32"/>
              <w:szCs w:val="32"/>
            </w:rPr>
            <w:fldChar w:fldCharType="begin"/>
          </w:r>
          <w:r>
            <w:rPr>
              <w:rFonts w:hint="default" w:ascii="Times New Roman" w:hAnsi="Times New Roman" w:eastAsia="楷体_GB2312" w:cs="Times New Roman"/>
              <w:sz w:val="32"/>
              <w:szCs w:val="32"/>
            </w:rPr>
            <w:instrText xml:space="preserve"> PAGEREF _Toc11801 \h </w:instrText>
          </w:r>
          <w:r>
            <w:rPr>
              <w:rFonts w:hint="default" w:ascii="Times New Roman" w:hAnsi="Times New Roman" w:eastAsia="楷体_GB2312" w:cs="Times New Roman"/>
              <w:sz w:val="32"/>
              <w:szCs w:val="32"/>
            </w:rPr>
            <w:fldChar w:fldCharType="separate"/>
          </w:r>
          <w:r>
            <w:rPr>
              <w:rFonts w:hint="default" w:ascii="Times New Roman" w:hAnsi="Times New Roman" w:eastAsia="楷体_GB2312" w:cs="Times New Roman"/>
              <w:sz w:val="32"/>
              <w:szCs w:val="32"/>
            </w:rPr>
            <w:t>2</w:t>
          </w:r>
          <w:r>
            <w:rPr>
              <w:rFonts w:hint="default" w:ascii="Times New Roman" w:hAnsi="Times New Roman" w:eastAsia="楷体_GB2312" w:cs="Times New Roman"/>
              <w:sz w:val="32"/>
              <w:szCs w:val="32"/>
            </w:rPr>
            <w:fldChar w:fldCharType="end"/>
          </w:r>
          <w:r>
            <w:rPr>
              <w:rFonts w:hint="default" w:ascii="Times New Roman" w:hAnsi="Times New Roman" w:eastAsia="楷体_GB2312" w:cs="Times New Roman"/>
              <w:sz w:val="32"/>
              <w:szCs w:val="32"/>
            </w:rPr>
            <w:fldChar w:fldCharType="end"/>
          </w:r>
        </w:p>
        <w:p w14:paraId="454873FB">
          <w:pPr>
            <w:pStyle w:val="10"/>
            <w:tabs>
              <w:tab w:val="right" w:leader="dot" w:pos="8845"/>
            </w:tabs>
            <w:rPr>
              <w:rFonts w:hint="default" w:ascii="Times New Roman" w:hAnsi="Times New Roman" w:cs="Times New Roman"/>
              <w:sz w:val="32"/>
              <w:szCs w:val="32"/>
            </w:rPr>
          </w:pPr>
          <w:r>
            <w:fldChar w:fldCharType="begin"/>
          </w:r>
          <w:r>
            <w:instrText xml:space="preserve"> HYPERLINK \l "_Toc19332" </w:instrText>
          </w:r>
          <w:r>
            <w:fldChar w:fldCharType="separate"/>
          </w:r>
          <w:r>
            <w:rPr>
              <w:rFonts w:hint="default" w:ascii="Times New Roman" w:hAnsi="Times New Roman" w:eastAsia="黑体" w:cs="Times New Roman"/>
              <w:sz w:val="32"/>
              <w:szCs w:val="32"/>
              <w:lang w:val="en-US" w:eastAsia="zh-CN"/>
            </w:rPr>
            <w:t>二、部门预算单位构成</w:t>
          </w:r>
          <w:r>
            <w:rPr>
              <w:rFonts w:hint="default" w:ascii="Times New Roman" w:hAnsi="Times New Roman" w:cs="Times New Roman"/>
              <w:sz w:val="32"/>
              <w:szCs w:val="32"/>
            </w:rPr>
            <w:tab/>
          </w:r>
          <w:r>
            <w:rPr>
              <w:rFonts w:hint="default" w:ascii="Times New Roman" w:hAnsi="Times New Roman" w:cs="Times New Roman"/>
              <w:sz w:val="32"/>
              <w:szCs w:val="32"/>
            </w:rPr>
            <w:fldChar w:fldCharType="begin"/>
          </w:r>
          <w:r>
            <w:rPr>
              <w:rFonts w:hint="default" w:ascii="Times New Roman" w:hAnsi="Times New Roman" w:cs="Times New Roman"/>
              <w:sz w:val="32"/>
              <w:szCs w:val="32"/>
            </w:rPr>
            <w:instrText xml:space="preserve"> PAGEREF _Toc19332 \h </w:instrText>
          </w:r>
          <w:r>
            <w:rPr>
              <w:rFonts w:hint="default" w:ascii="Times New Roman" w:hAnsi="Times New Roman" w:cs="Times New Roman"/>
              <w:sz w:val="32"/>
              <w:szCs w:val="32"/>
            </w:rPr>
            <w:fldChar w:fldCharType="separate"/>
          </w:r>
          <w:r>
            <w:rPr>
              <w:rFonts w:hint="default" w:ascii="Times New Roman" w:hAnsi="Times New Roman" w:cs="Times New Roman"/>
              <w:sz w:val="32"/>
              <w:szCs w:val="32"/>
            </w:rPr>
            <w:t>3</w:t>
          </w:r>
          <w:r>
            <w:rPr>
              <w:rFonts w:hint="default" w:ascii="Times New Roman" w:hAnsi="Times New Roman" w:cs="Times New Roman"/>
              <w:sz w:val="32"/>
              <w:szCs w:val="32"/>
            </w:rPr>
            <w:fldChar w:fldCharType="end"/>
          </w:r>
          <w:r>
            <w:rPr>
              <w:rFonts w:hint="default" w:ascii="Times New Roman" w:hAnsi="Times New Roman" w:cs="Times New Roman"/>
              <w:sz w:val="32"/>
              <w:szCs w:val="32"/>
            </w:rPr>
            <w:fldChar w:fldCharType="end"/>
          </w:r>
        </w:p>
        <w:p w14:paraId="777F291F">
          <w:pPr>
            <w:pStyle w:val="10"/>
            <w:tabs>
              <w:tab w:val="right" w:leader="dot" w:pos="8845"/>
            </w:tabs>
            <w:rPr>
              <w:rFonts w:hint="default" w:ascii="Times New Roman" w:hAnsi="Times New Roman" w:cs="Times New Roman"/>
              <w:sz w:val="32"/>
              <w:szCs w:val="32"/>
            </w:rPr>
          </w:pPr>
          <w:r>
            <w:fldChar w:fldCharType="begin"/>
          </w:r>
          <w:r>
            <w:instrText xml:space="preserve"> HYPERLINK \l "_Toc24674" </w:instrText>
          </w:r>
          <w:r>
            <w:fldChar w:fldCharType="separate"/>
          </w:r>
          <w:r>
            <w:rPr>
              <w:rFonts w:hint="default" w:ascii="Times New Roman" w:hAnsi="Times New Roman" w:eastAsia="黑体" w:cs="Times New Roman"/>
              <w:sz w:val="32"/>
              <w:szCs w:val="32"/>
              <w:lang w:val="en-US" w:eastAsia="zh-CN"/>
            </w:rPr>
            <w:t>三、收支预算情况说明</w:t>
          </w:r>
          <w:r>
            <w:rPr>
              <w:rFonts w:hint="default" w:ascii="Times New Roman" w:hAnsi="Times New Roman" w:cs="Times New Roman"/>
              <w:sz w:val="32"/>
              <w:szCs w:val="32"/>
            </w:rPr>
            <w:tab/>
          </w:r>
          <w:r>
            <w:rPr>
              <w:rFonts w:hint="default" w:ascii="Times New Roman" w:hAnsi="Times New Roman" w:cs="Times New Roman"/>
              <w:sz w:val="32"/>
              <w:szCs w:val="32"/>
            </w:rPr>
            <w:fldChar w:fldCharType="begin"/>
          </w:r>
          <w:r>
            <w:rPr>
              <w:rFonts w:hint="default" w:ascii="Times New Roman" w:hAnsi="Times New Roman" w:cs="Times New Roman"/>
              <w:sz w:val="32"/>
              <w:szCs w:val="32"/>
            </w:rPr>
            <w:instrText xml:space="preserve"> PAGEREF _Toc24674 \h </w:instrText>
          </w:r>
          <w:r>
            <w:rPr>
              <w:rFonts w:hint="default" w:ascii="Times New Roman" w:hAnsi="Times New Roman" w:cs="Times New Roman"/>
              <w:sz w:val="32"/>
              <w:szCs w:val="32"/>
            </w:rPr>
            <w:fldChar w:fldCharType="separate"/>
          </w:r>
          <w:r>
            <w:rPr>
              <w:rFonts w:hint="default" w:ascii="Times New Roman" w:hAnsi="Times New Roman" w:cs="Times New Roman"/>
              <w:sz w:val="32"/>
              <w:szCs w:val="32"/>
            </w:rPr>
            <w:t>3</w:t>
          </w:r>
          <w:r>
            <w:rPr>
              <w:rFonts w:hint="default" w:ascii="Times New Roman" w:hAnsi="Times New Roman" w:cs="Times New Roman"/>
              <w:sz w:val="32"/>
              <w:szCs w:val="32"/>
            </w:rPr>
            <w:fldChar w:fldCharType="end"/>
          </w:r>
          <w:r>
            <w:rPr>
              <w:rFonts w:hint="default" w:ascii="Times New Roman" w:hAnsi="Times New Roman" w:cs="Times New Roman"/>
              <w:sz w:val="32"/>
              <w:szCs w:val="32"/>
            </w:rPr>
            <w:fldChar w:fldCharType="end"/>
          </w:r>
        </w:p>
        <w:p w14:paraId="24032A72">
          <w:pPr>
            <w:pStyle w:val="12"/>
            <w:tabs>
              <w:tab w:val="right" w:leader="dot" w:pos="8845"/>
            </w:tabs>
            <w:rPr>
              <w:rFonts w:hint="default" w:ascii="Times New Roman" w:hAnsi="Times New Roman" w:cs="Times New Roman"/>
              <w:sz w:val="32"/>
              <w:szCs w:val="32"/>
            </w:rPr>
          </w:pPr>
          <w:r>
            <w:fldChar w:fldCharType="begin"/>
          </w:r>
          <w:r>
            <w:instrText xml:space="preserve"> HYPERLINK \l "_Toc28502" </w:instrText>
          </w:r>
          <w:r>
            <w:fldChar w:fldCharType="separate"/>
          </w:r>
          <w:r>
            <w:rPr>
              <w:rFonts w:hint="default" w:ascii="Times New Roman" w:hAnsi="Times New Roman" w:eastAsia="楷体_GB2312" w:cs="Times New Roman"/>
              <w:sz w:val="32"/>
              <w:szCs w:val="32"/>
              <w:lang w:val="en-US" w:eastAsia="zh-CN"/>
            </w:rPr>
            <w:t>（一）收入预算情况</w:t>
          </w:r>
          <w:r>
            <w:rPr>
              <w:rFonts w:hint="default" w:ascii="Times New Roman" w:hAnsi="Times New Roman" w:cs="Times New Roman"/>
              <w:sz w:val="32"/>
              <w:szCs w:val="32"/>
            </w:rPr>
            <w:tab/>
          </w:r>
          <w:r>
            <w:rPr>
              <w:rFonts w:hint="default" w:ascii="Times New Roman" w:hAnsi="Times New Roman" w:cs="Times New Roman"/>
              <w:sz w:val="32"/>
              <w:szCs w:val="32"/>
            </w:rPr>
            <w:fldChar w:fldCharType="begin"/>
          </w:r>
          <w:r>
            <w:rPr>
              <w:rFonts w:hint="default" w:ascii="Times New Roman" w:hAnsi="Times New Roman" w:cs="Times New Roman"/>
              <w:sz w:val="32"/>
              <w:szCs w:val="32"/>
            </w:rPr>
            <w:instrText xml:space="preserve"> PAGEREF _Toc28502 \h </w:instrText>
          </w:r>
          <w:r>
            <w:rPr>
              <w:rFonts w:hint="default" w:ascii="Times New Roman" w:hAnsi="Times New Roman" w:cs="Times New Roman"/>
              <w:sz w:val="32"/>
              <w:szCs w:val="32"/>
            </w:rPr>
            <w:fldChar w:fldCharType="separate"/>
          </w:r>
          <w:r>
            <w:rPr>
              <w:rFonts w:hint="default" w:ascii="Times New Roman" w:hAnsi="Times New Roman" w:cs="Times New Roman"/>
              <w:sz w:val="32"/>
              <w:szCs w:val="32"/>
            </w:rPr>
            <w:t>4</w:t>
          </w:r>
          <w:r>
            <w:rPr>
              <w:rFonts w:hint="default" w:ascii="Times New Roman" w:hAnsi="Times New Roman" w:cs="Times New Roman"/>
              <w:sz w:val="32"/>
              <w:szCs w:val="32"/>
            </w:rPr>
            <w:fldChar w:fldCharType="end"/>
          </w:r>
          <w:r>
            <w:rPr>
              <w:rFonts w:hint="default" w:ascii="Times New Roman" w:hAnsi="Times New Roman" w:cs="Times New Roman"/>
              <w:sz w:val="32"/>
              <w:szCs w:val="32"/>
            </w:rPr>
            <w:fldChar w:fldCharType="end"/>
          </w:r>
        </w:p>
        <w:p w14:paraId="53F665E0">
          <w:pPr>
            <w:pStyle w:val="12"/>
            <w:tabs>
              <w:tab w:val="right" w:leader="dot" w:pos="8845"/>
            </w:tabs>
            <w:rPr>
              <w:rFonts w:hint="default" w:ascii="Times New Roman" w:hAnsi="Times New Roman" w:cs="Times New Roman"/>
              <w:sz w:val="32"/>
              <w:szCs w:val="32"/>
            </w:rPr>
          </w:pPr>
          <w:r>
            <w:fldChar w:fldCharType="begin"/>
          </w:r>
          <w:r>
            <w:instrText xml:space="preserve"> HYPERLINK \l "_Toc23294" </w:instrText>
          </w:r>
          <w:r>
            <w:fldChar w:fldCharType="separate"/>
          </w:r>
          <w:r>
            <w:rPr>
              <w:rFonts w:hint="default" w:ascii="Times New Roman" w:hAnsi="Times New Roman" w:eastAsia="楷体_GB2312" w:cs="Times New Roman"/>
              <w:sz w:val="32"/>
              <w:szCs w:val="32"/>
              <w:lang w:val="en-US" w:eastAsia="zh-CN"/>
            </w:rPr>
            <w:t>（二）支出预算情况</w:t>
          </w:r>
          <w:r>
            <w:rPr>
              <w:rFonts w:hint="default" w:ascii="Times New Roman" w:hAnsi="Times New Roman" w:cs="Times New Roman"/>
              <w:sz w:val="32"/>
              <w:szCs w:val="32"/>
            </w:rPr>
            <w:tab/>
          </w:r>
          <w:r>
            <w:rPr>
              <w:rFonts w:hint="default" w:ascii="Times New Roman" w:hAnsi="Times New Roman" w:cs="Times New Roman"/>
              <w:sz w:val="32"/>
              <w:szCs w:val="32"/>
            </w:rPr>
            <w:fldChar w:fldCharType="begin"/>
          </w:r>
          <w:r>
            <w:rPr>
              <w:rFonts w:hint="default" w:ascii="Times New Roman" w:hAnsi="Times New Roman" w:cs="Times New Roman"/>
              <w:sz w:val="32"/>
              <w:szCs w:val="32"/>
            </w:rPr>
            <w:instrText xml:space="preserve"> PAGEREF _Toc23294 \h </w:instrText>
          </w:r>
          <w:r>
            <w:rPr>
              <w:rFonts w:hint="default" w:ascii="Times New Roman" w:hAnsi="Times New Roman" w:cs="Times New Roman"/>
              <w:sz w:val="32"/>
              <w:szCs w:val="32"/>
            </w:rPr>
            <w:fldChar w:fldCharType="separate"/>
          </w:r>
          <w:r>
            <w:rPr>
              <w:rFonts w:hint="default" w:ascii="Times New Roman" w:hAnsi="Times New Roman" w:cs="Times New Roman"/>
              <w:sz w:val="32"/>
              <w:szCs w:val="32"/>
            </w:rPr>
            <w:t>4</w:t>
          </w:r>
          <w:r>
            <w:rPr>
              <w:rFonts w:hint="default" w:ascii="Times New Roman" w:hAnsi="Times New Roman" w:cs="Times New Roman"/>
              <w:sz w:val="32"/>
              <w:szCs w:val="32"/>
            </w:rPr>
            <w:fldChar w:fldCharType="end"/>
          </w:r>
          <w:r>
            <w:rPr>
              <w:rFonts w:hint="default" w:ascii="Times New Roman" w:hAnsi="Times New Roman" w:cs="Times New Roman"/>
              <w:sz w:val="32"/>
              <w:szCs w:val="32"/>
            </w:rPr>
            <w:fldChar w:fldCharType="end"/>
          </w:r>
        </w:p>
        <w:p w14:paraId="38E2EF1F">
          <w:pPr>
            <w:pStyle w:val="10"/>
            <w:tabs>
              <w:tab w:val="right" w:leader="dot" w:pos="8845"/>
            </w:tabs>
            <w:rPr>
              <w:rFonts w:hint="default" w:ascii="Times New Roman" w:hAnsi="Times New Roman" w:cs="Times New Roman"/>
              <w:sz w:val="32"/>
              <w:szCs w:val="32"/>
            </w:rPr>
          </w:pPr>
          <w:r>
            <w:fldChar w:fldCharType="begin"/>
          </w:r>
          <w:r>
            <w:instrText xml:space="preserve"> HYPERLINK \l "_Toc2794" </w:instrText>
          </w:r>
          <w:r>
            <w:fldChar w:fldCharType="separate"/>
          </w:r>
          <w:r>
            <w:rPr>
              <w:rFonts w:hint="default" w:ascii="Times New Roman" w:hAnsi="Times New Roman" w:eastAsia="黑体" w:cs="Times New Roman"/>
              <w:sz w:val="32"/>
              <w:szCs w:val="32"/>
              <w:lang w:val="en-US" w:eastAsia="zh-CN"/>
            </w:rPr>
            <w:t>四、财政拨款收支预算情况说明</w:t>
          </w:r>
          <w:r>
            <w:rPr>
              <w:rFonts w:hint="default" w:ascii="Times New Roman" w:hAnsi="Times New Roman" w:cs="Times New Roman"/>
              <w:sz w:val="32"/>
              <w:szCs w:val="32"/>
            </w:rPr>
            <w:tab/>
          </w:r>
          <w:r>
            <w:rPr>
              <w:rFonts w:hint="default" w:ascii="Times New Roman" w:hAnsi="Times New Roman" w:cs="Times New Roman"/>
              <w:sz w:val="32"/>
              <w:szCs w:val="32"/>
            </w:rPr>
            <w:fldChar w:fldCharType="begin"/>
          </w:r>
          <w:r>
            <w:rPr>
              <w:rFonts w:hint="default" w:ascii="Times New Roman" w:hAnsi="Times New Roman" w:cs="Times New Roman"/>
              <w:sz w:val="32"/>
              <w:szCs w:val="32"/>
            </w:rPr>
            <w:instrText xml:space="preserve"> PAGEREF _Toc2794 \h </w:instrText>
          </w:r>
          <w:r>
            <w:rPr>
              <w:rFonts w:hint="default" w:ascii="Times New Roman" w:hAnsi="Times New Roman" w:cs="Times New Roman"/>
              <w:sz w:val="32"/>
              <w:szCs w:val="32"/>
            </w:rPr>
            <w:fldChar w:fldCharType="separate"/>
          </w:r>
          <w:r>
            <w:rPr>
              <w:rFonts w:hint="default" w:ascii="Times New Roman" w:hAnsi="Times New Roman" w:cs="Times New Roman"/>
              <w:sz w:val="32"/>
              <w:szCs w:val="32"/>
            </w:rPr>
            <w:t>4</w:t>
          </w:r>
          <w:r>
            <w:rPr>
              <w:rFonts w:hint="default" w:ascii="Times New Roman" w:hAnsi="Times New Roman" w:cs="Times New Roman"/>
              <w:sz w:val="32"/>
              <w:szCs w:val="32"/>
            </w:rPr>
            <w:fldChar w:fldCharType="end"/>
          </w:r>
          <w:r>
            <w:rPr>
              <w:rFonts w:hint="default" w:ascii="Times New Roman" w:hAnsi="Times New Roman" w:cs="Times New Roman"/>
              <w:sz w:val="32"/>
              <w:szCs w:val="32"/>
            </w:rPr>
            <w:fldChar w:fldCharType="end"/>
          </w:r>
        </w:p>
        <w:p w14:paraId="4968BFA7">
          <w:pPr>
            <w:pStyle w:val="10"/>
            <w:tabs>
              <w:tab w:val="right" w:leader="dot" w:pos="8845"/>
            </w:tabs>
            <w:rPr>
              <w:rFonts w:hint="default" w:ascii="Times New Roman" w:hAnsi="Times New Roman" w:cs="Times New Roman"/>
              <w:sz w:val="32"/>
              <w:szCs w:val="32"/>
            </w:rPr>
          </w:pPr>
          <w:r>
            <w:fldChar w:fldCharType="begin"/>
          </w:r>
          <w:r>
            <w:instrText xml:space="preserve"> HYPERLINK \l "_Toc11565" </w:instrText>
          </w:r>
          <w:r>
            <w:fldChar w:fldCharType="separate"/>
          </w:r>
          <w:r>
            <w:rPr>
              <w:rFonts w:hint="default" w:ascii="Times New Roman" w:hAnsi="Times New Roman" w:eastAsia="黑体" w:cs="Times New Roman"/>
              <w:sz w:val="32"/>
              <w:szCs w:val="32"/>
              <w:lang w:val="en-US" w:eastAsia="zh-CN"/>
            </w:rPr>
            <w:t>五、一般公共预算当年拨款情况说明</w:t>
          </w:r>
          <w:r>
            <w:rPr>
              <w:rFonts w:hint="default" w:ascii="Times New Roman" w:hAnsi="Times New Roman" w:cs="Times New Roman"/>
              <w:sz w:val="32"/>
              <w:szCs w:val="32"/>
            </w:rPr>
            <w:tab/>
          </w:r>
          <w:r>
            <w:rPr>
              <w:rFonts w:hint="default" w:ascii="Times New Roman" w:hAnsi="Times New Roman" w:cs="Times New Roman"/>
              <w:sz w:val="32"/>
              <w:szCs w:val="32"/>
            </w:rPr>
            <w:fldChar w:fldCharType="begin"/>
          </w:r>
          <w:r>
            <w:rPr>
              <w:rFonts w:hint="default" w:ascii="Times New Roman" w:hAnsi="Times New Roman" w:cs="Times New Roman"/>
              <w:sz w:val="32"/>
              <w:szCs w:val="32"/>
            </w:rPr>
            <w:instrText xml:space="preserve"> PAGEREF _Toc11565 \h </w:instrText>
          </w:r>
          <w:r>
            <w:rPr>
              <w:rFonts w:hint="default" w:ascii="Times New Roman" w:hAnsi="Times New Roman" w:cs="Times New Roman"/>
              <w:sz w:val="32"/>
              <w:szCs w:val="32"/>
            </w:rPr>
            <w:fldChar w:fldCharType="separate"/>
          </w:r>
          <w:r>
            <w:rPr>
              <w:rFonts w:hint="default" w:ascii="Times New Roman" w:hAnsi="Times New Roman" w:cs="Times New Roman"/>
              <w:sz w:val="32"/>
              <w:szCs w:val="32"/>
            </w:rPr>
            <w:t>5</w:t>
          </w:r>
          <w:r>
            <w:rPr>
              <w:rFonts w:hint="default" w:ascii="Times New Roman" w:hAnsi="Times New Roman" w:cs="Times New Roman"/>
              <w:sz w:val="32"/>
              <w:szCs w:val="32"/>
            </w:rPr>
            <w:fldChar w:fldCharType="end"/>
          </w:r>
          <w:r>
            <w:rPr>
              <w:rFonts w:hint="default" w:ascii="Times New Roman" w:hAnsi="Times New Roman" w:cs="Times New Roman"/>
              <w:sz w:val="32"/>
              <w:szCs w:val="32"/>
            </w:rPr>
            <w:fldChar w:fldCharType="end"/>
          </w:r>
        </w:p>
        <w:p w14:paraId="0FDECB24">
          <w:pPr>
            <w:pStyle w:val="12"/>
            <w:tabs>
              <w:tab w:val="right" w:leader="dot" w:pos="8845"/>
            </w:tabs>
            <w:rPr>
              <w:rFonts w:hint="default" w:ascii="Times New Roman" w:hAnsi="Times New Roman" w:cs="Times New Roman"/>
              <w:sz w:val="32"/>
              <w:szCs w:val="32"/>
            </w:rPr>
          </w:pPr>
          <w:r>
            <w:fldChar w:fldCharType="begin"/>
          </w:r>
          <w:r>
            <w:instrText xml:space="preserve"> HYPERLINK \l "_Toc20542" </w:instrText>
          </w:r>
          <w:r>
            <w:fldChar w:fldCharType="separate"/>
          </w:r>
          <w:r>
            <w:rPr>
              <w:rFonts w:hint="default" w:ascii="Times New Roman" w:hAnsi="Times New Roman" w:eastAsia="楷体_GB2312" w:cs="Times New Roman"/>
              <w:sz w:val="32"/>
              <w:szCs w:val="32"/>
              <w:lang w:val="en-US" w:eastAsia="zh-CN"/>
            </w:rPr>
            <w:t>（一）一般公共预算当年拨款规模变化情况</w:t>
          </w:r>
          <w:r>
            <w:rPr>
              <w:rFonts w:hint="default" w:ascii="Times New Roman" w:hAnsi="Times New Roman" w:cs="Times New Roman"/>
              <w:sz w:val="32"/>
              <w:szCs w:val="32"/>
            </w:rPr>
            <w:tab/>
          </w:r>
          <w:r>
            <w:rPr>
              <w:rFonts w:hint="default" w:ascii="Times New Roman" w:hAnsi="Times New Roman" w:cs="Times New Roman"/>
              <w:sz w:val="32"/>
              <w:szCs w:val="32"/>
            </w:rPr>
            <w:fldChar w:fldCharType="begin"/>
          </w:r>
          <w:r>
            <w:rPr>
              <w:rFonts w:hint="default" w:ascii="Times New Roman" w:hAnsi="Times New Roman" w:cs="Times New Roman"/>
              <w:sz w:val="32"/>
              <w:szCs w:val="32"/>
            </w:rPr>
            <w:instrText xml:space="preserve"> PAGEREF _Toc20542 \h </w:instrText>
          </w:r>
          <w:r>
            <w:rPr>
              <w:rFonts w:hint="default" w:ascii="Times New Roman" w:hAnsi="Times New Roman" w:cs="Times New Roman"/>
              <w:sz w:val="32"/>
              <w:szCs w:val="32"/>
            </w:rPr>
            <w:fldChar w:fldCharType="separate"/>
          </w:r>
          <w:r>
            <w:rPr>
              <w:rFonts w:hint="default" w:ascii="Times New Roman" w:hAnsi="Times New Roman" w:cs="Times New Roman"/>
              <w:sz w:val="32"/>
              <w:szCs w:val="32"/>
            </w:rPr>
            <w:t>5</w:t>
          </w:r>
          <w:r>
            <w:rPr>
              <w:rFonts w:hint="default" w:ascii="Times New Roman" w:hAnsi="Times New Roman" w:cs="Times New Roman"/>
              <w:sz w:val="32"/>
              <w:szCs w:val="32"/>
            </w:rPr>
            <w:fldChar w:fldCharType="end"/>
          </w:r>
          <w:r>
            <w:rPr>
              <w:rFonts w:hint="default" w:ascii="Times New Roman" w:hAnsi="Times New Roman" w:cs="Times New Roman"/>
              <w:sz w:val="32"/>
              <w:szCs w:val="32"/>
            </w:rPr>
            <w:fldChar w:fldCharType="end"/>
          </w:r>
        </w:p>
        <w:p w14:paraId="3E030989">
          <w:pPr>
            <w:pStyle w:val="12"/>
            <w:tabs>
              <w:tab w:val="right" w:leader="dot" w:pos="8845"/>
            </w:tabs>
            <w:rPr>
              <w:rFonts w:hint="default" w:ascii="Times New Roman" w:hAnsi="Times New Roman" w:cs="Times New Roman"/>
              <w:sz w:val="32"/>
              <w:szCs w:val="32"/>
            </w:rPr>
          </w:pPr>
          <w:r>
            <w:fldChar w:fldCharType="begin"/>
          </w:r>
          <w:r>
            <w:instrText xml:space="preserve"> HYPERLINK \l "_Toc10669" </w:instrText>
          </w:r>
          <w:r>
            <w:fldChar w:fldCharType="separate"/>
          </w:r>
          <w:r>
            <w:rPr>
              <w:rFonts w:hint="default" w:ascii="Times New Roman" w:hAnsi="Times New Roman" w:eastAsia="楷体_GB2312" w:cs="Times New Roman"/>
              <w:sz w:val="32"/>
              <w:szCs w:val="32"/>
              <w:lang w:val="en-US" w:eastAsia="zh-CN"/>
            </w:rPr>
            <w:t>（二）一般公共预算当年拨款结构情况</w:t>
          </w:r>
          <w:r>
            <w:rPr>
              <w:rFonts w:hint="default" w:ascii="Times New Roman" w:hAnsi="Times New Roman" w:cs="Times New Roman"/>
              <w:sz w:val="32"/>
              <w:szCs w:val="32"/>
            </w:rPr>
            <w:tab/>
          </w:r>
          <w:r>
            <w:rPr>
              <w:rFonts w:hint="default" w:ascii="Times New Roman" w:hAnsi="Times New Roman" w:cs="Times New Roman"/>
              <w:sz w:val="32"/>
              <w:szCs w:val="32"/>
            </w:rPr>
            <w:fldChar w:fldCharType="begin"/>
          </w:r>
          <w:r>
            <w:rPr>
              <w:rFonts w:hint="default" w:ascii="Times New Roman" w:hAnsi="Times New Roman" w:cs="Times New Roman"/>
              <w:sz w:val="32"/>
              <w:szCs w:val="32"/>
            </w:rPr>
            <w:instrText xml:space="preserve"> PAGEREF _Toc10669 \h </w:instrText>
          </w:r>
          <w:r>
            <w:rPr>
              <w:rFonts w:hint="default" w:ascii="Times New Roman" w:hAnsi="Times New Roman" w:cs="Times New Roman"/>
              <w:sz w:val="32"/>
              <w:szCs w:val="32"/>
            </w:rPr>
            <w:fldChar w:fldCharType="separate"/>
          </w:r>
          <w:r>
            <w:rPr>
              <w:rFonts w:hint="default" w:ascii="Times New Roman" w:hAnsi="Times New Roman" w:cs="Times New Roman"/>
              <w:sz w:val="32"/>
              <w:szCs w:val="32"/>
            </w:rPr>
            <w:t>5</w:t>
          </w:r>
          <w:r>
            <w:rPr>
              <w:rFonts w:hint="default" w:ascii="Times New Roman" w:hAnsi="Times New Roman" w:cs="Times New Roman"/>
              <w:sz w:val="32"/>
              <w:szCs w:val="32"/>
            </w:rPr>
            <w:fldChar w:fldCharType="end"/>
          </w:r>
          <w:r>
            <w:rPr>
              <w:rFonts w:hint="default" w:ascii="Times New Roman" w:hAnsi="Times New Roman" w:cs="Times New Roman"/>
              <w:sz w:val="32"/>
              <w:szCs w:val="32"/>
            </w:rPr>
            <w:fldChar w:fldCharType="end"/>
          </w:r>
        </w:p>
        <w:p w14:paraId="75152AA2">
          <w:pPr>
            <w:pStyle w:val="12"/>
            <w:tabs>
              <w:tab w:val="right" w:leader="dot" w:pos="8845"/>
            </w:tabs>
            <w:rPr>
              <w:rFonts w:hint="default" w:ascii="Times New Roman" w:hAnsi="Times New Roman" w:cs="Times New Roman"/>
              <w:sz w:val="32"/>
              <w:szCs w:val="32"/>
            </w:rPr>
          </w:pPr>
          <w:r>
            <w:fldChar w:fldCharType="begin"/>
          </w:r>
          <w:r>
            <w:instrText xml:space="preserve"> HYPERLINK \l "_Toc29932" </w:instrText>
          </w:r>
          <w:r>
            <w:fldChar w:fldCharType="separate"/>
          </w:r>
          <w:r>
            <w:rPr>
              <w:rFonts w:hint="default" w:ascii="Times New Roman" w:hAnsi="Times New Roman" w:eastAsia="楷体_GB2312" w:cs="Times New Roman"/>
              <w:sz w:val="32"/>
              <w:szCs w:val="32"/>
              <w:lang w:val="en-US" w:eastAsia="zh-CN"/>
            </w:rPr>
            <w:t>（三）一般公共预算当年拨款具体使用情况</w:t>
          </w:r>
          <w:r>
            <w:rPr>
              <w:rFonts w:hint="default" w:ascii="Times New Roman" w:hAnsi="Times New Roman" w:cs="Times New Roman"/>
              <w:sz w:val="32"/>
              <w:szCs w:val="32"/>
            </w:rPr>
            <w:tab/>
          </w:r>
          <w:r>
            <w:rPr>
              <w:rFonts w:hint="default" w:ascii="Times New Roman" w:hAnsi="Times New Roman" w:cs="Times New Roman"/>
              <w:sz w:val="32"/>
              <w:szCs w:val="32"/>
            </w:rPr>
            <w:fldChar w:fldCharType="begin"/>
          </w:r>
          <w:r>
            <w:rPr>
              <w:rFonts w:hint="default" w:ascii="Times New Roman" w:hAnsi="Times New Roman" w:cs="Times New Roman"/>
              <w:sz w:val="32"/>
              <w:szCs w:val="32"/>
            </w:rPr>
            <w:instrText xml:space="preserve"> PAGEREF _Toc29932 \h </w:instrText>
          </w:r>
          <w:r>
            <w:rPr>
              <w:rFonts w:hint="default" w:ascii="Times New Roman" w:hAnsi="Times New Roman" w:cs="Times New Roman"/>
              <w:sz w:val="32"/>
              <w:szCs w:val="32"/>
            </w:rPr>
            <w:fldChar w:fldCharType="separate"/>
          </w:r>
          <w:r>
            <w:rPr>
              <w:rFonts w:hint="default" w:ascii="Times New Roman" w:hAnsi="Times New Roman" w:cs="Times New Roman"/>
              <w:sz w:val="32"/>
              <w:szCs w:val="32"/>
            </w:rPr>
            <w:t>5</w:t>
          </w:r>
          <w:r>
            <w:rPr>
              <w:rFonts w:hint="default" w:ascii="Times New Roman" w:hAnsi="Times New Roman" w:cs="Times New Roman"/>
              <w:sz w:val="32"/>
              <w:szCs w:val="32"/>
            </w:rPr>
            <w:fldChar w:fldCharType="end"/>
          </w:r>
          <w:r>
            <w:rPr>
              <w:rFonts w:hint="default" w:ascii="Times New Roman" w:hAnsi="Times New Roman" w:cs="Times New Roman"/>
              <w:sz w:val="32"/>
              <w:szCs w:val="32"/>
            </w:rPr>
            <w:fldChar w:fldCharType="end"/>
          </w:r>
        </w:p>
        <w:p w14:paraId="27F64C80">
          <w:pPr>
            <w:pStyle w:val="10"/>
            <w:tabs>
              <w:tab w:val="right" w:leader="dot" w:pos="8845"/>
            </w:tabs>
            <w:rPr>
              <w:rFonts w:hint="default" w:ascii="Times New Roman" w:hAnsi="Times New Roman" w:cs="Times New Roman"/>
              <w:sz w:val="32"/>
              <w:szCs w:val="32"/>
            </w:rPr>
          </w:pPr>
          <w:r>
            <w:fldChar w:fldCharType="begin"/>
          </w:r>
          <w:r>
            <w:instrText xml:space="preserve"> HYPERLINK \l "_Toc28217" </w:instrText>
          </w:r>
          <w:r>
            <w:fldChar w:fldCharType="separate"/>
          </w:r>
          <w:r>
            <w:rPr>
              <w:rFonts w:hint="default" w:ascii="Times New Roman" w:hAnsi="Times New Roman" w:eastAsia="黑体" w:cs="Times New Roman"/>
              <w:sz w:val="32"/>
              <w:szCs w:val="32"/>
              <w:lang w:val="en-US" w:eastAsia="zh-CN"/>
            </w:rPr>
            <w:t>六、一般公共预算基本支出情况说明</w:t>
          </w:r>
          <w:r>
            <w:rPr>
              <w:rFonts w:hint="default" w:ascii="Times New Roman" w:hAnsi="Times New Roman" w:cs="Times New Roman"/>
              <w:sz w:val="32"/>
              <w:szCs w:val="32"/>
            </w:rPr>
            <w:tab/>
          </w:r>
          <w:r>
            <w:rPr>
              <w:rFonts w:hint="default" w:ascii="Times New Roman" w:hAnsi="Times New Roman" w:cs="Times New Roman"/>
              <w:sz w:val="32"/>
              <w:szCs w:val="32"/>
            </w:rPr>
            <w:fldChar w:fldCharType="begin"/>
          </w:r>
          <w:r>
            <w:rPr>
              <w:rFonts w:hint="default" w:ascii="Times New Roman" w:hAnsi="Times New Roman" w:cs="Times New Roman"/>
              <w:sz w:val="32"/>
              <w:szCs w:val="32"/>
            </w:rPr>
            <w:instrText xml:space="preserve"> PAGEREF _Toc28217 \h </w:instrText>
          </w:r>
          <w:r>
            <w:rPr>
              <w:rFonts w:hint="default" w:ascii="Times New Roman" w:hAnsi="Times New Roman" w:cs="Times New Roman"/>
              <w:sz w:val="32"/>
              <w:szCs w:val="32"/>
            </w:rPr>
            <w:fldChar w:fldCharType="separate"/>
          </w:r>
          <w:r>
            <w:rPr>
              <w:rFonts w:hint="default" w:ascii="Times New Roman" w:hAnsi="Times New Roman" w:cs="Times New Roman"/>
              <w:sz w:val="32"/>
              <w:szCs w:val="32"/>
            </w:rPr>
            <w:t>7</w:t>
          </w:r>
          <w:r>
            <w:rPr>
              <w:rFonts w:hint="default" w:ascii="Times New Roman" w:hAnsi="Times New Roman" w:cs="Times New Roman"/>
              <w:sz w:val="32"/>
              <w:szCs w:val="32"/>
            </w:rPr>
            <w:fldChar w:fldCharType="end"/>
          </w:r>
          <w:r>
            <w:rPr>
              <w:rFonts w:hint="default" w:ascii="Times New Roman" w:hAnsi="Times New Roman" w:cs="Times New Roman"/>
              <w:sz w:val="32"/>
              <w:szCs w:val="32"/>
            </w:rPr>
            <w:fldChar w:fldCharType="end"/>
          </w:r>
        </w:p>
        <w:p w14:paraId="5A178FC8">
          <w:pPr>
            <w:pStyle w:val="10"/>
            <w:tabs>
              <w:tab w:val="right" w:leader="dot" w:pos="8845"/>
            </w:tabs>
            <w:rPr>
              <w:rFonts w:hint="default" w:ascii="Times New Roman" w:hAnsi="Times New Roman" w:cs="Times New Roman"/>
              <w:sz w:val="32"/>
              <w:szCs w:val="32"/>
            </w:rPr>
          </w:pPr>
          <w:r>
            <w:fldChar w:fldCharType="begin"/>
          </w:r>
          <w:r>
            <w:instrText xml:space="preserve"> HYPERLINK \l "_Toc3107" </w:instrText>
          </w:r>
          <w:r>
            <w:fldChar w:fldCharType="separate"/>
          </w:r>
          <w:r>
            <w:rPr>
              <w:rFonts w:hint="default" w:ascii="Times New Roman" w:hAnsi="Times New Roman" w:eastAsia="黑体" w:cs="Times New Roman"/>
              <w:sz w:val="32"/>
              <w:szCs w:val="32"/>
              <w:lang w:val="en-US" w:eastAsia="zh-CN"/>
            </w:rPr>
            <w:t>七、“三公”经费财政拨款预算安排情况说明</w:t>
          </w:r>
          <w:r>
            <w:rPr>
              <w:rFonts w:hint="default" w:ascii="Times New Roman" w:hAnsi="Times New Roman" w:cs="Times New Roman"/>
              <w:sz w:val="32"/>
              <w:szCs w:val="32"/>
            </w:rPr>
            <w:tab/>
          </w:r>
          <w:r>
            <w:rPr>
              <w:rFonts w:hint="default" w:ascii="Times New Roman" w:hAnsi="Times New Roman" w:cs="Times New Roman"/>
              <w:sz w:val="32"/>
              <w:szCs w:val="32"/>
            </w:rPr>
            <w:fldChar w:fldCharType="begin"/>
          </w:r>
          <w:r>
            <w:rPr>
              <w:rFonts w:hint="default" w:ascii="Times New Roman" w:hAnsi="Times New Roman" w:cs="Times New Roman"/>
              <w:sz w:val="32"/>
              <w:szCs w:val="32"/>
            </w:rPr>
            <w:instrText xml:space="preserve"> PAGEREF _Toc3107 \h </w:instrText>
          </w:r>
          <w:r>
            <w:rPr>
              <w:rFonts w:hint="default" w:ascii="Times New Roman" w:hAnsi="Times New Roman" w:cs="Times New Roman"/>
              <w:sz w:val="32"/>
              <w:szCs w:val="32"/>
            </w:rPr>
            <w:fldChar w:fldCharType="separate"/>
          </w:r>
          <w:r>
            <w:rPr>
              <w:rFonts w:hint="default" w:ascii="Times New Roman" w:hAnsi="Times New Roman" w:cs="Times New Roman"/>
              <w:sz w:val="32"/>
              <w:szCs w:val="32"/>
            </w:rPr>
            <w:t>8</w:t>
          </w:r>
          <w:r>
            <w:rPr>
              <w:rFonts w:hint="default" w:ascii="Times New Roman" w:hAnsi="Times New Roman" w:cs="Times New Roman"/>
              <w:sz w:val="32"/>
              <w:szCs w:val="32"/>
            </w:rPr>
            <w:fldChar w:fldCharType="end"/>
          </w:r>
          <w:r>
            <w:rPr>
              <w:rFonts w:hint="default" w:ascii="Times New Roman" w:hAnsi="Times New Roman" w:cs="Times New Roman"/>
              <w:sz w:val="32"/>
              <w:szCs w:val="32"/>
            </w:rPr>
            <w:fldChar w:fldCharType="end"/>
          </w:r>
        </w:p>
        <w:p w14:paraId="25377A8E">
          <w:pPr>
            <w:pStyle w:val="12"/>
            <w:tabs>
              <w:tab w:val="right" w:leader="dot" w:pos="8845"/>
            </w:tabs>
            <w:rPr>
              <w:rFonts w:hint="default" w:ascii="Times New Roman" w:hAnsi="Times New Roman" w:cs="Times New Roman"/>
              <w:sz w:val="32"/>
              <w:szCs w:val="32"/>
            </w:rPr>
          </w:pPr>
          <w:r>
            <w:fldChar w:fldCharType="begin"/>
          </w:r>
          <w:r>
            <w:instrText xml:space="preserve"> HYPERLINK \l "_Toc1055" </w:instrText>
          </w:r>
          <w:r>
            <w:fldChar w:fldCharType="separate"/>
          </w:r>
          <w:r>
            <w:rPr>
              <w:rFonts w:hint="default" w:ascii="Times New Roman" w:hAnsi="Times New Roman" w:eastAsia="楷体_GB2312" w:cs="Times New Roman"/>
              <w:sz w:val="32"/>
              <w:szCs w:val="32"/>
              <w:lang w:val="en-US" w:eastAsia="zh-CN"/>
            </w:rPr>
            <w:t>（一）公务接待费</w:t>
          </w:r>
          <w:r>
            <w:rPr>
              <w:rFonts w:hint="default" w:ascii="Times New Roman" w:hAnsi="Times New Roman" w:cs="Times New Roman"/>
              <w:sz w:val="32"/>
              <w:szCs w:val="32"/>
            </w:rPr>
            <w:tab/>
          </w:r>
          <w:r>
            <w:rPr>
              <w:rFonts w:hint="default" w:ascii="Times New Roman" w:hAnsi="Times New Roman" w:cs="Times New Roman"/>
              <w:sz w:val="32"/>
              <w:szCs w:val="32"/>
            </w:rPr>
            <w:fldChar w:fldCharType="begin"/>
          </w:r>
          <w:r>
            <w:rPr>
              <w:rFonts w:hint="default" w:ascii="Times New Roman" w:hAnsi="Times New Roman" w:cs="Times New Roman"/>
              <w:sz w:val="32"/>
              <w:szCs w:val="32"/>
            </w:rPr>
            <w:instrText xml:space="preserve"> PAGEREF _Toc1055 \h </w:instrText>
          </w:r>
          <w:r>
            <w:rPr>
              <w:rFonts w:hint="default" w:ascii="Times New Roman" w:hAnsi="Times New Roman" w:cs="Times New Roman"/>
              <w:sz w:val="32"/>
              <w:szCs w:val="32"/>
            </w:rPr>
            <w:fldChar w:fldCharType="separate"/>
          </w:r>
          <w:r>
            <w:rPr>
              <w:rFonts w:hint="default" w:ascii="Times New Roman" w:hAnsi="Times New Roman" w:cs="Times New Roman"/>
              <w:sz w:val="32"/>
              <w:szCs w:val="32"/>
            </w:rPr>
            <w:t>8</w:t>
          </w:r>
          <w:r>
            <w:rPr>
              <w:rFonts w:hint="default" w:ascii="Times New Roman" w:hAnsi="Times New Roman" w:cs="Times New Roman"/>
              <w:sz w:val="32"/>
              <w:szCs w:val="32"/>
            </w:rPr>
            <w:fldChar w:fldCharType="end"/>
          </w:r>
          <w:r>
            <w:rPr>
              <w:rFonts w:hint="default" w:ascii="Times New Roman" w:hAnsi="Times New Roman" w:cs="Times New Roman"/>
              <w:sz w:val="32"/>
              <w:szCs w:val="32"/>
            </w:rPr>
            <w:fldChar w:fldCharType="end"/>
          </w:r>
        </w:p>
        <w:p w14:paraId="5DACBF94">
          <w:pPr>
            <w:pStyle w:val="12"/>
            <w:tabs>
              <w:tab w:val="right" w:leader="dot" w:pos="8845"/>
            </w:tabs>
            <w:rPr>
              <w:rFonts w:hint="default" w:ascii="Times New Roman" w:hAnsi="Times New Roman" w:cs="Times New Roman"/>
              <w:sz w:val="32"/>
              <w:szCs w:val="32"/>
            </w:rPr>
          </w:pPr>
          <w:r>
            <w:fldChar w:fldCharType="begin"/>
          </w:r>
          <w:r>
            <w:instrText xml:space="preserve"> HYPERLINK \l "_Toc6510" </w:instrText>
          </w:r>
          <w:r>
            <w:fldChar w:fldCharType="separate"/>
          </w:r>
          <w:r>
            <w:rPr>
              <w:rFonts w:hint="default" w:ascii="Times New Roman" w:hAnsi="Times New Roman" w:eastAsia="楷体_GB2312" w:cs="Times New Roman"/>
              <w:sz w:val="32"/>
              <w:szCs w:val="32"/>
              <w:lang w:val="en-US" w:eastAsia="zh-CN"/>
            </w:rPr>
            <w:t>（二） 公务用车购置及运行维护费</w:t>
          </w:r>
          <w:r>
            <w:rPr>
              <w:rFonts w:hint="default" w:ascii="Times New Roman" w:hAnsi="Times New Roman" w:cs="Times New Roman"/>
              <w:sz w:val="32"/>
              <w:szCs w:val="32"/>
            </w:rPr>
            <w:tab/>
          </w:r>
          <w:r>
            <w:rPr>
              <w:rFonts w:hint="default" w:ascii="Times New Roman" w:hAnsi="Times New Roman" w:cs="Times New Roman"/>
              <w:sz w:val="32"/>
              <w:szCs w:val="32"/>
            </w:rPr>
            <w:fldChar w:fldCharType="begin"/>
          </w:r>
          <w:r>
            <w:rPr>
              <w:rFonts w:hint="default" w:ascii="Times New Roman" w:hAnsi="Times New Roman" w:cs="Times New Roman"/>
              <w:sz w:val="32"/>
              <w:szCs w:val="32"/>
            </w:rPr>
            <w:instrText xml:space="preserve"> PAGEREF _Toc6510 \h </w:instrText>
          </w:r>
          <w:r>
            <w:rPr>
              <w:rFonts w:hint="default" w:ascii="Times New Roman" w:hAnsi="Times New Roman" w:cs="Times New Roman"/>
              <w:sz w:val="32"/>
              <w:szCs w:val="32"/>
            </w:rPr>
            <w:fldChar w:fldCharType="separate"/>
          </w:r>
          <w:r>
            <w:rPr>
              <w:rFonts w:hint="default" w:ascii="Times New Roman" w:hAnsi="Times New Roman" w:cs="Times New Roman"/>
              <w:sz w:val="32"/>
              <w:szCs w:val="32"/>
            </w:rPr>
            <w:t>8</w:t>
          </w:r>
          <w:r>
            <w:rPr>
              <w:rFonts w:hint="default" w:ascii="Times New Roman" w:hAnsi="Times New Roman" w:cs="Times New Roman"/>
              <w:sz w:val="32"/>
              <w:szCs w:val="32"/>
            </w:rPr>
            <w:fldChar w:fldCharType="end"/>
          </w:r>
          <w:r>
            <w:rPr>
              <w:rFonts w:hint="default" w:ascii="Times New Roman" w:hAnsi="Times New Roman" w:cs="Times New Roman"/>
              <w:sz w:val="32"/>
              <w:szCs w:val="32"/>
            </w:rPr>
            <w:fldChar w:fldCharType="end"/>
          </w:r>
        </w:p>
        <w:p w14:paraId="311DFAD6">
          <w:pPr>
            <w:pStyle w:val="12"/>
            <w:tabs>
              <w:tab w:val="right" w:leader="dot" w:pos="8845"/>
            </w:tabs>
            <w:rPr>
              <w:rFonts w:hint="default" w:ascii="Times New Roman" w:hAnsi="Times New Roman" w:cs="Times New Roman"/>
              <w:sz w:val="32"/>
              <w:szCs w:val="32"/>
            </w:rPr>
          </w:pPr>
          <w:r>
            <w:fldChar w:fldCharType="begin"/>
          </w:r>
          <w:r>
            <w:instrText xml:space="preserve"> HYPERLINK \l "_Toc19049" </w:instrText>
          </w:r>
          <w:r>
            <w:fldChar w:fldCharType="separate"/>
          </w:r>
          <w:r>
            <w:rPr>
              <w:rFonts w:hint="default" w:ascii="Times New Roman" w:hAnsi="Times New Roman" w:eastAsia="仿宋_GB2312" w:cs="Times New Roman"/>
              <w:sz w:val="32"/>
              <w:szCs w:val="32"/>
              <w:lang w:val="en-US" w:eastAsia="zh-CN"/>
            </w:rPr>
            <w:t>（</w:t>
          </w:r>
          <w:r>
            <w:rPr>
              <w:rFonts w:hint="default" w:ascii="Times New Roman" w:hAnsi="Times New Roman" w:eastAsia="楷体_GB2312" w:cs="Times New Roman"/>
              <w:sz w:val="32"/>
              <w:szCs w:val="32"/>
              <w:lang w:val="en-US" w:eastAsia="zh-CN"/>
            </w:rPr>
            <w:t>三）因公出国（境）经费</w:t>
          </w:r>
          <w:r>
            <w:rPr>
              <w:rFonts w:hint="default" w:ascii="Times New Roman" w:hAnsi="Times New Roman" w:cs="Times New Roman"/>
              <w:sz w:val="32"/>
              <w:szCs w:val="32"/>
            </w:rPr>
            <w:tab/>
          </w:r>
          <w:r>
            <w:rPr>
              <w:rFonts w:hint="default" w:ascii="Times New Roman" w:hAnsi="Times New Roman" w:cs="Times New Roman"/>
              <w:sz w:val="32"/>
              <w:szCs w:val="32"/>
            </w:rPr>
            <w:fldChar w:fldCharType="begin"/>
          </w:r>
          <w:r>
            <w:rPr>
              <w:rFonts w:hint="default" w:ascii="Times New Roman" w:hAnsi="Times New Roman" w:cs="Times New Roman"/>
              <w:sz w:val="32"/>
              <w:szCs w:val="32"/>
            </w:rPr>
            <w:instrText xml:space="preserve"> PAGEREF _Toc19049 \h </w:instrText>
          </w:r>
          <w:r>
            <w:rPr>
              <w:rFonts w:hint="default" w:ascii="Times New Roman" w:hAnsi="Times New Roman" w:cs="Times New Roman"/>
              <w:sz w:val="32"/>
              <w:szCs w:val="32"/>
            </w:rPr>
            <w:fldChar w:fldCharType="separate"/>
          </w:r>
          <w:r>
            <w:rPr>
              <w:rFonts w:hint="default" w:ascii="Times New Roman" w:hAnsi="Times New Roman" w:cs="Times New Roman"/>
              <w:sz w:val="32"/>
              <w:szCs w:val="32"/>
            </w:rPr>
            <w:t>9</w:t>
          </w:r>
          <w:r>
            <w:rPr>
              <w:rFonts w:hint="default" w:ascii="Times New Roman" w:hAnsi="Times New Roman" w:cs="Times New Roman"/>
              <w:sz w:val="32"/>
              <w:szCs w:val="32"/>
            </w:rPr>
            <w:fldChar w:fldCharType="end"/>
          </w:r>
          <w:r>
            <w:rPr>
              <w:rFonts w:hint="default" w:ascii="Times New Roman" w:hAnsi="Times New Roman" w:cs="Times New Roman"/>
              <w:sz w:val="32"/>
              <w:szCs w:val="32"/>
            </w:rPr>
            <w:fldChar w:fldCharType="end"/>
          </w:r>
        </w:p>
        <w:p w14:paraId="051F54EA">
          <w:pPr>
            <w:pStyle w:val="10"/>
            <w:tabs>
              <w:tab w:val="right" w:leader="dot" w:pos="8845"/>
            </w:tabs>
            <w:rPr>
              <w:rFonts w:hint="default" w:ascii="Times New Roman" w:hAnsi="Times New Roman" w:cs="Times New Roman"/>
              <w:sz w:val="32"/>
              <w:szCs w:val="32"/>
            </w:rPr>
          </w:pPr>
          <w:r>
            <w:fldChar w:fldCharType="begin"/>
          </w:r>
          <w:r>
            <w:instrText xml:space="preserve"> HYPERLINK \l "_Toc27310" </w:instrText>
          </w:r>
          <w:r>
            <w:fldChar w:fldCharType="separate"/>
          </w:r>
          <w:r>
            <w:rPr>
              <w:rFonts w:hint="default" w:ascii="Times New Roman" w:hAnsi="Times New Roman" w:eastAsia="黑体" w:cs="Times New Roman"/>
              <w:sz w:val="32"/>
              <w:szCs w:val="32"/>
              <w:lang w:val="en-US" w:eastAsia="zh-CN"/>
            </w:rPr>
            <w:t>八、政府性基金预算支出情况说明</w:t>
          </w:r>
          <w:r>
            <w:rPr>
              <w:rFonts w:hint="default" w:ascii="Times New Roman" w:hAnsi="Times New Roman" w:cs="Times New Roman"/>
              <w:sz w:val="32"/>
              <w:szCs w:val="32"/>
            </w:rPr>
            <w:tab/>
          </w:r>
          <w:r>
            <w:rPr>
              <w:rFonts w:hint="default" w:ascii="Times New Roman" w:hAnsi="Times New Roman" w:cs="Times New Roman"/>
              <w:sz w:val="32"/>
              <w:szCs w:val="32"/>
            </w:rPr>
            <w:fldChar w:fldCharType="begin"/>
          </w:r>
          <w:r>
            <w:rPr>
              <w:rFonts w:hint="default" w:ascii="Times New Roman" w:hAnsi="Times New Roman" w:cs="Times New Roman"/>
              <w:sz w:val="32"/>
              <w:szCs w:val="32"/>
            </w:rPr>
            <w:instrText xml:space="preserve"> PAGEREF _Toc27310 \h </w:instrText>
          </w:r>
          <w:r>
            <w:rPr>
              <w:rFonts w:hint="default" w:ascii="Times New Roman" w:hAnsi="Times New Roman" w:cs="Times New Roman"/>
              <w:sz w:val="32"/>
              <w:szCs w:val="32"/>
            </w:rPr>
            <w:fldChar w:fldCharType="separate"/>
          </w:r>
          <w:r>
            <w:rPr>
              <w:rFonts w:hint="default" w:ascii="Times New Roman" w:hAnsi="Times New Roman" w:cs="Times New Roman"/>
              <w:sz w:val="32"/>
              <w:szCs w:val="32"/>
            </w:rPr>
            <w:t>9</w:t>
          </w:r>
          <w:r>
            <w:rPr>
              <w:rFonts w:hint="default" w:ascii="Times New Roman" w:hAnsi="Times New Roman" w:cs="Times New Roman"/>
              <w:sz w:val="32"/>
              <w:szCs w:val="32"/>
            </w:rPr>
            <w:fldChar w:fldCharType="end"/>
          </w:r>
          <w:r>
            <w:rPr>
              <w:rFonts w:hint="default" w:ascii="Times New Roman" w:hAnsi="Times New Roman" w:cs="Times New Roman"/>
              <w:sz w:val="32"/>
              <w:szCs w:val="32"/>
            </w:rPr>
            <w:fldChar w:fldCharType="end"/>
          </w:r>
        </w:p>
        <w:p w14:paraId="20D101E5">
          <w:pPr>
            <w:pStyle w:val="10"/>
            <w:tabs>
              <w:tab w:val="right" w:leader="dot" w:pos="8845"/>
            </w:tabs>
            <w:rPr>
              <w:rFonts w:hint="default" w:ascii="Times New Roman" w:hAnsi="Times New Roman" w:cs="Times New Roman"/>
              <w:sz w:val="32"/>
              <w:szCs w:val="32"/>
            </w:rPr>
          </w:pPr>
          <w:r>
            <w:fldChar w:fldCharType="begin"/>
          </w:r>
          <w:r>
            <w:instrText xml:space="preserve"> HYPERLINK \l "_Toc7789" </w:instrText>
          </w:r>
          <w:r>
            <w:fldChar w:fldCharType="separate"/>
          </w:r>
          <w:r>
            <w:rPr>
              <w:rFonts w:hint="default" w:ascii="Times New Roman" w:hAnsi="Times New Roman" w:eastAsia="黑体" w:cs="Times New Roman"/>
              <w:sz w:val="32"/>
              <w:szCs w:val="32"/>
              <w:lang w:val="en-US" w:eastAsia="zh-CN"/>
            </w:rPr>
            <w:t>九、国有资本经营预算支出情况说明</w:t>
          </w:r>
          <w:r>
            <w:rPr>
              <w:rFonts w:hint="default" w:ascii="Times New Roman" w:hAnsi="Times New Roman" w:cs="Times New Roman"/>
              <w:sz w:val="32"/>
              <w:szCs w:val="32"/>
            </w:rPr>
            <w:tab/>
          </w:r>
          <w:r>
            <w:rPr>
              <w:rFonts w:hint="default" w:ascii="Times New Roman" w:hAnsi="Times New Roman" w:cs="Times New Roman"/>
              <w:sz w:val="32"/>
              <w:szCs w:val="32"/>
            </w:rPr>
            <w:fldChar w:fldCharType="begin"/>
          </w:r>
          <w:r>
            <w:rPr>
              <w:rFonts w:hint="default" w:ascii="Times New Roman" w:hAnsi="Times New Roman" w:cs="Times New Roman"/>
              <w:sz w:val="32"/>
              <w:szCs w:val="32"/>
            </w:rPr>
            <w:instrText xml:space="preserve"> PAGEREF _Toc7789 \h </w:instrText>
          </w:r>
          <w:r>
            <w:rPr>
              <w:rFonts w:hint="default" w:ascii="Times New Roman" w:hAnsi="Times New Roman" w:cs="Times New Roman"/>
              <w:sz w:val="32"/>
              <w:szCs w:val="32"/>
            </w:rPr>
            <w:fldChar w:fldCharType="separate"/>
          </w:r>
          <w:r>
            <w:rPr>
              <w:rFonts w:hint="default" w:ascii="Times New Roman" w:hAnsi="Times New Roman" w:cs="Times New Roman"/>
              <w:sz w:val="32"/>
              <w:szCs w:val="32"/>
            </w:rPr>
            <w:t>9</w:t>
          </w:r>
          <w:r>
            <w:rPr>
              <w:rFonts w:hint="default" w:ascii="Times New Roman" w:hAnsi="Times New Roman" w:cs="Times New Roman"/>
              <w:sz w:val="32"/>
              <w:szCs w:val="32"/>
            </w:rPr>
            <w:fldChar w:fldCharType="end"/>
          </w:r>
          <w:r>
            <w:rPr>
              <w:rFonts w:hint="default" w:ascii="Times New Roman" w:hAnsi="Times New Roman" w:cs="Times New Roman"/>
              <w:sz w:val="32"/>
              <w:szCs w:val="32"/>
            </w:rPr>
            <w:fldChar w:fldCharType="end"/>
          </w:r>
        </w:p>
        <w:p w14:paraId="13BD7D1E">
          <w:pPr>
            <w:pStyle w:val="10"/>
            <w:tabs>
              <w:tab w:val="right" w:leader="dot" w:pos="8845"/>
            </w:tabs>
            <w:rPr>
              <w:rFonts w:hint="default" w:ascii="Times New Roman" w:hAnsi="Times New Roman" w:cs="Times New Roman"/>
              <w:sz w:val="32"/>
              <w:szCs w:val="32"/>
            </w:rPr>
          </w:pPr>
          <w:r>
            <w:fldChar w:fldCharType="begin"/>
          </w:r>
          <w:r>
            <w:instrText xml:space="preserve"> HYPERLINK \l "_Toc31477" </w:instrText>
          </w:r>
          <w:r>
            <w:fldChar w:fldCharType="separate"/>
          </w:r>
          <w:r>
            <w:rPr>
              <w:rFonts w:hint="default" w:ascii="Times New Roman" w:hAnsi="Times New Roman" w:eastAsia="黑体" w:cs="Times New Roman"/>
              <w:sz w:val="32"/>
              <w:szCs w:val="32"/>
              <w:lang w:val="en-US" w:eastAsia="zh-CN"/>
            </w:rPr>
            <w:t>十、其他重要事项的情况说明</w:t>
          </w:r>
          <w:r>
            <w:rPr>
              <w:rFonts w:hint="default" w:ascii="Times New Roman" w:hAnsi="Times New Roman" w:cs="Times New Roman"/>
              <w:sz w:val="32"/>
              <w:szCs w:val="32"/>
            </w:rPr>
            <w:tab/>
          </w:r>
          <w:r>
            <w:rPr>
              <w:rFonts w:hint="default" w:ascii="Times New Roman" w:hAnsi="Times New Roman" w:cs="Times New Roman"/>
              <w:sz w:val="32"/>
              <w:szCs w:val="32"/>
            </w:rPr>
            <w:fldChar w:fldCharType="begin"/>
          </w:r>
          <w:r>
            <w:rPr>
              <w:rFonts w:hint="default" w:ascii="Times New Roman" w:hAnsi="Times New Roman" w:cs="Times New Roman"/>
              <w:sz w:val="32"/>
              <w:szCs w:val="32"/>
            </w:rPr>
            <w:instrText xml:space="preserve"> PAGEREF _Toc31477 \h </w:instrText>
          </w:r>
          <w:r>
            <w:rPr>
              <w:rFonts w:hint="default" w:ascii="Times New Roman" w:hAnsi="Times New Roman" w:cs="Times New Roman"/>
              <w:sz w:val="32"/>
              <w:szCs w:val="32"/>
            </w:rPr>
            <w:fldChar w:fldCharType="separate"/>
          </w:r>
          <w:r>
            <w:rPr>
              <w:rFonts w:hint="default" w:ascii="Times New Roman" w:hAnsi="Times New Roman" w:cs="Times New Roman"/>
              <w:sz w:val="32"/>
              <w:szCs w:val="32"/>
            </w:rPr>
            <w:t>9</w:t>
          </w:r>
          <w:r>
            <w:rPr>
              <w:rFonts w:hint="default" w:ascii="Times New Roman" w:hAnsi="Times New Roman" w:cs="Times New Roman"/>
              <w:sz w:val="32"/>
              <w:szCs w:val="32"/>
            </w:rPr>
            <w:fldChar w:fldCharType="end"/>
          </w:r>
          <w:r>
            <w:rPr>
              <w:rFonts w:hint="default" w:ascii="Times New Roman" w:hAnsi="Times New Roman" w:cs="Times New Roman"/>
              <w:sz w:val="32"/>
              <w:szCs w:val="32"/>
            </w:rPr>
            <w:fldChar w:fldCharType="end"/>
          </w:r>
        </w:p>
        <w:p w14:paraId="13A36DEE">
          <w:pPr>
            <w:pStyle w:val="12"/>
            <w:tabs>
              <w:tab w:val="right" w:leader="dot" w:pos="8845"/>
            </w:tabs>
            <w:rPr>
              <w:rFonts w:hint="default" w:ascii="Times New Roman" w:hAnsi="Times New Roman" w:cs="Times New Roman"/>
              <w:sz w:val="32"/>
              <w:szCs w:val="32"/>
            </w:rPr>
          </w:pPr>
          <w:r>
            <w:fldChar w:fldCharType="begin"/>
          </w:r>
          <w:r>
            <w:instrText xml:space="preserve"> HYPERLINK \l "_Toc7618" </w:instrText>
          </w:r>
          <w:r>
            <w:fldChar w:fldCharType="separate"/>
          </w:r>
          <w:r>
            <w:rPr>
              <w:rFonts w:hint="default" w:ascii="Times New Roman" w:hAnsi="Times New Roman" w:eastAsia="楷体_GB2312" w:cs="Times New Roman"/>
              <w:sz w:val="32"/>
              <w:szCs w:val="32"/>
              <w:lang w:val="en-US" w:eastAsia="zh-CN"/>
            </w:rPr>
            <w:t>（一）机关运行经费</w:t>
          </w:r>
          <w:r>
            <w:rPr>
              <w:rFonts w:hint="default" w:ascii="Times New Roman" w:hAnsi="Times New Roman" w:cs="Times New Roman"/>
              <w:sz w:val="32"/>
              <w:szCs w:val="32"/>
            </w:rPr>
            <w:tab/>
          </w:r>
          <w:r>
            <w:rPr>
              <w:rFonts w:hint="default" w:ascii="Times New Roman" w:hAnsi="Times New Roman" w:cs="Times New Roman"/>
              <w:sz w:val="32"/>
              <w:szCs w:val="32"/>
            </w:rPr>
            <w:fldChar w:fldCharType="begin"/>
          </w:r>
          <w:r>
            <w:rPr>
              <w:rFonts w:hint="default" w:ascii="Times New Roman" w:hAnsi="Times New Roman" w:cs="Times New Roman"/>
              <w:sz w:val="32"/>
              <w:szCs w:val="32"/>
            </w:rPr>
            <w:instrText xml:space="preserve"> PAGEREF _Toc7618 \h </w:instrText>
          </w:r>
          <w:r>
            <w:rPr>
              <w:rFonts w:hint="default" w:ascii="Times New Roman" w:hAnsi="Times New Roman" w:cs="Times New Roman"/>
              <w:sz w:val="32"/>
              <w:szCs w:val="32"/>
            </w:rPr>
            <w:fldChar w:fldCharType="separate"/>
          </w:r>
          <w:r>
            <w:rPr>
              <w:rFonts w:hint="default" w:ascii="Times New Roman" w:hAnsi="Times New Roman" w:cs="Times New Roman"/>
              <w:sz w:val="32"/>
              <w:szCs w:val="32"/>
            </w:rPr>
            <w:t>9</w:t>
          </w:r>
          <w:r>
            <w:rPr>
              <w:rFonts w:hint="default" w:ascii="Times New Roman" w:hAnsi="Times New Roman" w:cs="Times New Roman"/>
              <w:sz w:val="32"/>
              <w:szCs w:val="32"/>
            </w:rPr>
            <w:fldChar w:fldCharType="end"/>
          </w:r>
          <w:r>
            <w:rPr>
              <w:rFonts w:hint="default" w:ascii="Times New Roman" w:hAnsi="Times New Roman" w:cs="Times New Roman"/>
              <w:sz w:val="32"/>
              <w:szCs w:val="32"/>
            </w:rPr>
            <w:fldChar w:fldCharType="end"/>
          </w:r>
        </w:p>
        <w:p w14:paraId="1DAC5B4D">
          <w:pPr>
            <w:pStyle w:val="12"/>
            <w:tabs>
              <w:tab w:val="right" w:leader="dot" w:pos="8845"/>
            </w:tabs>
            <w:rPr>
              <w:rFonts w:hint="default" w:ascii="Times New Roman" w:hAnsi="Times New Roman" w:cs="Times New Roman"/>
              <w:sz w:val="32"/>
              <w:szCs w:val="32"/>
            </w:rPr>
          </w:pPr>
          <w:r>
            <w:fldChar w:fldCharType="begin"/>
          </w:r>
          <w:r>
            <w:instrText xml:space="preserve"> HYPERLINK \l "_Toc27936" </w:instrText>
          </w:r>
          <w:r>
            <w:fldChar w:fldCharType="separate"/>
          </w:r>
          <w:r>
            <w:rPr>
              <w:rFonts w:hint="default" w:ascii="Times New Roman" w:hAnsi="Times New Roman" w:eastAsia="楷体_GB2312" w:cs="Times New Roman"/>
              <w:sz w:val="32"/>
              <w:szCs w:val="32"/>
              <w:lang w:val="en-US" w:eastAsia="zh-CN"/>
            </w:rPr>
            <w:t>（二）政府采购情况</w:t>
          </w:r>
          <w:r>
            <w:rPr>
              <w:rFonts w:hint="default" w:ascii="Times New Roman" w:hAnsi="Times New Roman" w:cs="Times New Roman"/>
              <w:sz w:val="32"/>
              <w:szCs w:val="32"/>
            </w:rPr>
            <w:tab/>
          </w:r>
          <w:r>
            <w:rPr>
              <w:rFonts w:hint="default" w:ascii="Times New Roman" w:hAnsi="Times New Roman" w:cs="Times New Roman"/>
              <w:sz w:val="32"/>
              <w:szCs w:val="32"/>
            </w:rPr>
            <w:fldChar w:fldCharType="begin"/>
          </w:r>
          <w:r>
            <w:rPr>
              <w:rFonts w:hint="default" w:ascii="Times New Roman" w:hAnsi="Times New Roman" w:cs="Times New Roman"/>
              <w:sz w:val="32"/>
              <w:szCs w:val="32"/>
            </w:rPr>
            <w:instrText xml:space="preserve"> PAGEREF _Toc27936 \h </w:instrText>
          </w:r>
          <w:r>
            <w:rPr>
              <w:rFonts w:hint="default" w:ascii="Times New Roman" w:hAnsi="Times New Roman" w:cs="Times New Roman"/>
              <w:sz w:val="32"/>
              <w:szCs w:val="32"/>
            </w:rPr>
            <w:fldChar w:fldCharType="separate"/>
          </w:r>
          <w:r>
            <w:rPr>
              <w:rFonts w:hint="default" w:ascii="Times New Roman" w:hAnsi="Times New Roman" w:cs="Times New Roman"/>
              <w:sz w:val="32"/>
              <w:szCs w:val="32"/>
            </w:rPr>
            <w:t>9</w:t>
          </w:r>
          <w:r>
            <w:rPr>
              <w:rFonts w:hint="default" w:ascii="Times New Roman" w:hAnsi="Times New Roman" w:cs="Times New Roman"/>
              <w:sz w:val="32"/>
              <w:szCs w:val="32"/>
            </w:rPr>
            <w:fldChar w:fldCharType="end"/>
          </w:r>
          <w:r>
            <w:rPr>
              <w:rFonts w:hint="default" w:ascii="Times New Roman" w:hAnsi="Times New Roman" w:cs="Times New Roman"/>
              <w:sz w:val="32"/>
              <w:szCs w:val="32"/>
            </w:rPr>
            <w:fldChar w:fldCharType="end"/>
          </w:r>
        </w:p>
        <w:p w14:paraId="3622BF0D">
          <w:pPr>
            <w:pStyle w:val="12"/>
            <w:tabs>
              <w:tab w:val="right" w:leader="dot" w:pos="8845"/>
            </w:tabs>
            <w:rPr>
              <w:rFonts w:hint="default" w:ascii="Times New Roman" w:hAnsi="Times New Roman" w:cs="Times New Roman"/>
              <w:sz w:val="32"/>
              <w:szCs w:val="32"/>
            </w:rPr>
          </w:pPr>
          <w:r>
            <w:fldChar w:fldCharType="begin"/>
          </w:r>
          <w:r>
            <w:instrText xml:space="preserve"> HYPERLINK \l "_Toc29926" </w:instrText>
          </w:r>
          <w:r>
            <w:fldChar w:fldCharType="separate"/>
          </w:r>
          <w:r>
            <w:rPr>
              <w:rFonts w:hint="default" w:ascii="Times New Roman" w:hAnsi="Times New Roman" w:eastAsia="楷体_GB2312" w:cs="Times New Roman"/>
              <w:sz w:val="32"/>
              <w:szCs w:val="32"/>
              <w:lang w:val="en-US" w:eastAsia="zh-CN"/>
            </w:rPr>
            <w:t>（三）国有资产占有使用情况</w:t>
          </w:r>
          <w:r>
            <w:rPr>
              <w:rFonts w:hint="default" w:ascii="Times New Roman" w:hAnsi="Times New Roman" w:cs="Times New Roman"/>
              <w:sz w:val="32"/>
              <w:szCs w:val="32"/>
            </w:rPr>
            <w:tab/>
          </w:r>
          <w:r>
            <w:rPr>
              <w:rFonts w:hint="default" w:ascii="Times New Roman" w:hAnsi="Times New Roman" w:cs="Times New Roman"/>
              <w:sz w:val="32"/>
              <w:szCs w:val="32"/>
            </w:rPr>
            <w:fldChar w:fldCharType="begin"/>
          </w:r>
          <w:r>
            <w:rPr>
              <w:rFonts w:hint="default" w:ascii="Times New Roman" w:hAnsi="Times New Roman" w:cs="Times New Roman"/>
              <w:sz w:val="32"/>
              <w:szCs w:val="32"/>
            </w:rPr>
            <w:instrText xml:space="preserve"> PAGEREF _Toc29926 \h </w:instrText>
          </w:r>
          <w:r>
            <w:rPr>
              <w:rFonts w:hint="default" w:ascii="Times New Roman" w:hAnsi="Times New Roman" w:cs="Times New Roman"/>
              <w:sz w:val="32"/>
              <w:szCs w:val="32"/>
            </w:rPr>
            <w:fldChar w:fldCharType="separate"/>
          </w:r>
          <w:r>
            <w:rPr>
              <w:rFonts w:hint="default" w:ascii="Times New Roman" w:hAnsi="Times New Roman" w:cs="Times New Roman"/>
              <w:sz w:val="32"/>
              <w:szCs w:val="32"/>
            </w:rPr>
            <w:t>9</w:t>
          </w:r>
          <w:r>
            <w:rPr>
              <w:rFonts w:hint="default" w:ascii="Times New Roman" w:hAnsi="Times New Roman" w:cs="Times New Roman"/>
              <w:sz w:val="32"/>
              <w:szCs w:val="32"/>
            </w:rPr>
            <w:fldChar w:fldCharType="end"/>
          </w:r>
          <w:r>
            <w:rPr>
              <w:rFonts w:hint="default" w:ascii="Times New Roman" w:hAnsi="Times New Roman" w:cs="Times New Roman"/>
              <w:sz w:val="32"/>
              <w:szCs w:val="32"/>
            </w:rPr>
            <w:fldChar w:fldCharType="end"/>
          </w:r>
        </w:p>
        <w:p w14:paraId="700C065B">
          <w:pPr>
            <w:pStyle w:val="12"/>
            <w:tabs>
              <w:tab w:val="right" w:leader="dot" w:pos="8845"/>
            </w:tabs>
            <w:rPr>
              <w:rFonts w:hint="default" w:ascii="Times New Roman" w:hAnsi="Times New Roman" w:cs="Times New Roman"/>
              <w:sz w:val="32"/>
              <w:szCs w:val="32"/>
            </w:rPr>
          </w:pPr>
          <w:r>
            <w:fldChar w:fldCharType="begin"/>
          </w:r>
          <w:r>
            <w:instrText xml:space="preserve"> HYPERLINK \l "_Toc25702" </w:instrText>
          </w:r>
          <w:r>
            <w:fldChar w:fldCharType="separate"/>
          </w:r>
          <w:r>
            <w:rPr>
              <w:rFonts w:hint="default" w:ascii="Times New Roman" w:hAnsi="Times New Roman" w:eastAsia="楷体_GB2312" w:cs="Times New Roman"/>
              <w:sz w:val="32"/>
              <w:szCs w:val="32"/>
              <w:lang w:val="en-US" w:eastAsia="zh-CN"/>
            </w:rPr>
            <w:t>（四）绩效目标设置情况</w:t>
          </w:r>
          <w:r>
            <w:rPr>
              <w:rFonts w:hint="default" w:ascii="Times New Roman" w:hAnsi="Times New Roman" w:cs="Times New Roman"/>
              <w:sz w:val="32"/>
              <w:szCs w:val="32"/>
            </w:rPr>
            <w:tab/>
          </w:r>
          <w:r>
            <w:rPr>
              <w:rFonts w:hint="default" w:ascii="Times New Roman" w:hAnsi="Times New Roman" w:cs="Times New Roman"/>
              <w:sz w:val="32"/>
              <w:szCs w:val="32"/>
            </w:rPr>
            <w:fldChar w:fldCharType="begin"/>
          </w:r>
          <w:r>
            <w:rPr>
              <w:rFonts w:hint="default" w:ascii="Times New Roman" w:hAnsi="Times New Roman" w:cs="Times New Roman"/>
              <w:sz w:val="32"/>
              <w:szCs w:val="32"/>
            </w:rPr>
            <w:instrText xml:space="preserve"> PAGEREF _Toc25702 \h </w:instrText>
          </w:r>
          <w:r>
            <w:rPr>
              <w:rFonts w:hint="default" w:ascii="Times New Roman" w:hAnsi="Times New Roman" w:cs="Times New Roman"/>
              <w:sz w:val="32"/>
              <w:szCs w:val="32"/>
            </w:rPr>
            <w:fldChar w:fldCharType="separate"/>
          </w:r>
          <w:r>
            <w:rPr>
              <w:rFonts w:hint="default" w:ascii="Times New Roman" w:hAnsi="Times New Roman" w:cs="Times New Roman"/>
              <w:sz w:val="32"/>
              <w:szCs w:val="32"/>
            </w:rPr>
            <w:t>9</w:t>
          </w:r>
          <w:r>
            <w:rPr>
              <w:rFonts w:hint="default" w:ascii="Times New Roman" w:hAnsi="Times New Roman" w:cs="Times New Roman"/>
              <w:sz w:val="32"/>
              <w:szCs w:val="32"/>
            </w:rPr>
            <w:fldChar w:fldCharType="end"/>
          </w:r>
          <w:r>
            <w:rPr>
              <w:rFonts w:hint="default" w:ascii="Times New Roman" w:hAnsi="Times New Roman" w:cs="Times New Roman"/>
              <w:sz w:val="32"/>
              <w:szCs w:val="32"/>
            </w:rPr>
            <w:fldChar w:fldCharType="end"/>
          </w:r>
        </w:p>
        <w:p w14:paraId="14B169D4">
          <w:pPr>
            <w:pStyle w:val="10"/>
            <w:tabs>
              <w:tab w:val="right" w:leader="dot" w:pos="8845"/>
            </w:tabs>
            <w:rPr>
              <w:rFonts w:hint="default" w:ascii="Times New Roman" w:hAnsi="Times New Roman" w:cs="Times New Roman"/>
              <w:sz w:val="32"/>
              <w:szCs w:val="32"/>
            </w:rPr>
          </w:pPr>
          <w:r>
            <w:fldChar w:fldCharType="begin"/>
          </w:r>
          <w:r>
            <w:instrText xml:space="preserve"> HYPERLINK \l "_Toc2079" </w:instrText>
          </w:r>
          <w:r>
            <w:fldChar w:fldCharType="separate"/>
          </w:r>
          <w:r>
            <w:rPr>
              <w:rFonts w:hint="default" w:ascii="Times New Roman" w:hAnsi="Times New Roman" w:eastAsia="黑体" w:cs="Times New Roman"/>
              <w:sz w:val="32"/>
              <w:szCs w:val="32"/>
              <w:lang w:val="en-US" w:eastAsia="zh-CN"/>
            </w:rPr>
            <w:t>十一、名词解释</w:t>
          </w:r>
          <w:r>
            <w:rPr>
              <w:rFonts w:hint="default" w:ascii="Times New Roman" w:hAnsi="Times New Roman" w:cs="Times New Roman"/>
              <w:sz w:val="32"/>
              <w:szCs w:val="32"/>
            </w:rPr>
            <w:tab/>
          </w:r>
          <w:r>
            <w:rPr>
              <w:rFonts w:hint="default" w:ascii="Times New Roman" w:hAnsi="Times New Roman" w:cs="Times New Roman"/>
              <w:sz w:val="32"/>
              <w:szCs w:val="32"/>
            </w:rPr>
            <w:fldChar w:fldCharType="begin"/>
          </w:r>
          <w:r>
            <w:rPr>
              <w:rFonts w:hint="default" w:ascii="Times New Roman" w:hAnsi="Times New Roman" w:cs="Times New Roman"/>
              <w:sz w:val="32"/>
              <w:szCs w:val="32"/>
            </w:rPr>
            <w:instrText xml:space="preserve"> PAGEREF _Toc2079 \h </w:instrText>
          </w:r>
          <w:r>
            <w:rPr>
              <w:rFonts w:hint="default" w:ascii="Times New Roman" w:hAnsi="Times New Roman" w:cs="Times New Roman"/>
              <w:sz w:val="32"/>
              <w:szCs w:val="32"/>
            </w:rPr>
            <w:fldChar w:fldCharType="separate"/>
          </w:r>
          <w:r>
            <w:rPr>
              <w:rFonts w:hint="default" w:ascii="Times New Roman" w:hAnsi="Times New Roman" w:cs="Times New Roman"/>
              <w:sz w:val="32"/>
              <w:szCs w:val="32"/>
            </w:rPr>
            <w:t>10</w:t>
          </w:r>
          <w:r>
            <w:rPr>
              <w:rFonts w:hint="default" w:ascii="Times New Roman" w:hAnsi="Times New Roman" w:cs="Times New Roman"/>
              <w:sz w:val="32"/>
              <w:szCs w:val="32"/>
            </w:rPr>
            <w:fldChar w:fldCharType="end"/>
          </w:r>
          <w:r>
            <w:rPr>
              <w:rFonts w:hint="default" w:ascii="Times New Roman" w:hAnsi="Times New Roman" w:cs="Times New Roman"/>
              <w:sz w:val="32"/>
              <w:szCs w:val="32"/>
            </w:rPr>
            <w:fldChar w:fldCharType="end"/>
          </w:r>
        </w:p>
        <w:p w14:paraId="325B0178">
          <w:pPr>
            <w:pStyle w:val="12"/>
            <w:tabs>
              <w:tab w:val="right" w:leader="dot" w:pos="8845"/>
            </w:tabs>
            <w:rPr>
              <w:rFonts w:hint="default" w:ascii="Times New Roman" w:hAnsi="Times New Roman" w:cs="Times New Roman"/>
              <w:sz w:val="32"/>
              <w:szCs w:val="32"/>
            </w:rPr>
          </w:pPr>
        </w:p>
        <w:p w14:paraId="181A3502">
          <w:pPr>
            <w:pStyle w:val="12"/>
            <w:tabs>
              <w:tab w:val="right" w:leader="dot" w:pos="8845"/>
            </w:tabs>
            <w:rPr>
              <w:rFonts w:hint="default" w:ascii="Times New Roman" w:hAnsi="Times New Roman" w:cs="Times New Roman"/>
            </w:rPr>
          </w:pPr>
        </w:p>
        <w:p w14:paraId="372E9F97">
          <w:pPr>
            <w:keepNext w:val="0"/>
            <w:keepLines w:val="0"/>
            <w:pageBreakBefore w:val="0"/>
            <w:widowControl w:val="0"/>
            <w:kinsoku/>
            <w:wordWrap/>
            <w:overflowPunct/>
            <w:topLinePunct w:val="0"/>
            <w:autoSpaceDE/>
            <w:autoSpaceDN/>
            <w:bidi w:val="0"/>
            <w:adjustRightInd/>
            <w:snapToGrid/>
            <w:spacing w:line="576" w:lineRule="exact"/>
            <w:ind w:firstLine="420" w:firstLineChars="200"/>
            <w:textAlignment w:val="auto"/>
            <w:rPr>
              <w:rFonts w:hint="default" w:ascii="Times New Roman" w:hAnsi="Times New Roman" w:eastAsia="黑体" w:cs="Times New Roman"/>
              <w:sz w:val="32"/>
              <w:szCs w:val="32"/>
              <w:lang w:val="en-US" w:eastAsia="zh-CN"/>
            </w:rPr>
          </w:pPr>
          <w:r>
            <w:rPr>
              <w:rFonts w:hint="default" w:ascii="Times New Roman" w:hAnsi="Times New Roman" w:eastAsia="黑体" w:cs="Times New Roman"/>
              <w:szCs w:val="32"/>
              <w:lang w:val="en-US" w:eastAsia="zh-CN"/>
            </w:rPr>
            <w:fldChar w:fldCharType="end"/>
          </w:r>
        </w:p>
      </w:sdtContent>
    </w:sdt>
    <w:p w14:paraId="588DA255">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outlineLvl w:val="9"/>
        <w:rPr>
          <w:rFonts w:hint="default" w:ascii="Times New Roman" w:hAnsi="Times New Roman" w:eastAsia="黑体" w:cs="Times New Roman"/>
          <w:sz w:val="32"/>
          <w:szCs w:val="32"/>
          <w:lang w:val="en-US" w:eastAsia="zh-CN"/>
        </w:rPr>
        <w:sectPr>
          <w:footerReference r:id="rId3" w:type="default"/>
          <w:pgSz w:w="11906" w:h="16838"/>
          <w:pgMar w:top="2098" w:right="1474" w:bottom="1984" w:left="1587" w:header="720" w:footer="1559" w:gutter="0"/>
          <w:pgNumType w:fmt="decimal"/>
          <w:cols w:space="720" w:num="1"/>
          <w:docGrid w:type="lines" w:linePitch="312" w:charSpace="0"/>
        </w:sectPr>
      </w:pPr>
      <w:bookmarkStart w:id="2" w:name="_Toc19055"/>
    </w:p>
    <w:p w14:paraId="0CB2D788">
      <w:pPr>
        <w:keepNext w:val="0"/>
        <w:keepLines w:val="0"/>
        <w:pageBreakBefore w:val="0"/>
        <w:widowControl w:val="0"/>
        <w:kinsoku/>
        <w:wordWrap/>
        <w:overflowPunct/>
        <w:topLinePunct w:val="0"/>
        <w:autoSpaceDE/>
        <w:autoSpaceDN/>
        <w:bidi w:val="0"/>
        <w:adjustRightInd/>
        <w:snapToGrid/>
        <w:spacing w:line="576" w:lineRule="exact"/>
        <w:ind w:left="0" w:firstLine="640" w:firstLineChars="200"/>
        <w:textAlignment w:val="auto"/>
        <w:outlineLvl w:val="0"/>
        <w:rPr>
          <w:rFonts w:hint="default" w:ascii="Times New Roman" w:hAnsi="Times New Roman" w:eastAsia="黑体" w:cs="Times New Roman"/>
          <w:sz w:val="32"/>
          <w:szCs w:val="32"/>
        </w:rPr>
      </w:pPr>
      <w:bookmarkStart w:id="3" w:name="_Toc2979"/>
      <w:r>
        <w:rPr>
          <w:rFonts w:hint="default" w:ascii="Times New Roman" w:hAnsi="Times New Roman" w:eastAsia="黑体" w:cs="Times New Roman"/>
          <w:sz w:val="32"/>
          <w:szCs w:val="32"/>
          <w:lang w:val="en-US" w:eastAsia="zh-CN"/>
        </w:rPr>
        <w:t>一、基本职能及主要工作</w:t>
      </w:r>
      <w:bookmarkEnd w:id="2"/>
      <w:bookmarkEnd w:id="3"/>
    </w:p>
    <w:p w14:paraId="46091CE9">
      <w:pPr>
        <w:pStyle w:val="3"/>
        <w:pageBreakBefore w:val="0"/>
        <w:widowControl w:val="0"/>
        <w:kinsoku/>
        <w:wordWrap/>
        <w:overflowPunct/>
        <w:topLinePunct w:val="0"/>
        <w:autoSpaceDE/>
        <w:autoSpaceDN/>
        <w:bidi w:val="0"/>
        <w:adjustRightInd/>
        <w:snapToGrid/>
        <w:spacing w:line="576" w:lineRule="exact"/>
        <w:ind w:left="0" w:firstLine="643" w:firstLineChars="200"/>
        <w:textAlignment w:val="auto"/>
        <w:outlineLvl w:val="1"/>
        <w:rPr>
          <w:rFonts w:hint="default" w:ascii="Times New Roman" w:hAnsi="Times New Roman" w:cs="Times New Roman"/>
          <w:b/>
          <w:bCs/>
          <w:color w:val="000000"/>
          <w:sz w:val="32"/>
          <w:szCs w:val="32"/>
        </w:rPr>
      </w:pPr>
      <w:bookmarkStart w:id="4" w:name="_Toc16944"/>
      <w:bookmarkStart w:id="5" w:name="_Toc10939"/>
      <w:bookmarkStart w:id="6" w:name="_Toc9621"/>
      <w:r>
        <w:rPr>
          <w:rFonts w:hint="default" w:ascii="Times New Roman" w:hAnsi="Times New Roman" w:cs="Times New Roman"/>
          <w:b/>
          <w:bCs/>
          <w:color w:val="000000"/>
          <w:sz w:val="32"/>
          <w:szCs w:val="32"/>
        </w:rPr>
        <w:t>（一）昭化区市场监督管理局职能简介</w:t>
      </w:r>
      <w:bookmarkEnd w:id="4"/>
      <w:bookmarkEnd w:id="5"/>
      <w:bookmarkEnd w:id="6"/>
    </w:p>
    <w:p w14:paraId="791A7AA4">
      <w:pPr>
        <w:pageBreakBefore w:val="0"/>
        <w:widowControl w:val="0"/>
        <w:kinsoku/>
        <w:wordWrap/>
        <w:overflowPunct/>
        <w:topLinePunct w:val="0"/>
        <w:autoSpaceDE/>
        <w:autoSpaceDN/>
        <w:bidi w:val="0"/>
        <w:adjustRightInd/>
        <w:snapToGrid/>
        <w:spacing w:line="576" w:lineRule="exact"/>
        <w:ind w:left="0" w:firstLine="640" w:firstLineChars="200"/>
        <w:textAlignment w:val="auto"/>
        <w:rPr>
          <w:rFonts w:hint="default" w:ascii="Times New Roman" w:hAnsi="Times New Roman" w:eastAsia="仿宋_GB2312" w:cs="Times New Roman"/>
          <w:color w:val="000000"/>
          <w:sz w:val="32"/>
          <w:szCs w:val="32"/>
        </w:rPr>
      </w:pPr>
      <w:r>
        <w:rPr>
          <w:rFonts w:hint="default" w:ascii="Times New Roman" w:hAnsi="Times New Roman" w:eastAsia="仿宋_GB2312" w:cs="Times New Roman"/>
          <w:color w:val="000000"/>
          <w:sz w:val="32"/>
          <w:szCs w:val="32"/>
        </w:rPr>
        <w:t>昭化区市场监督管理局贯彻落实党中央关于市场监督管理工作的方针政策和省委、市委、区委的决策部署，在履行职责过程中加强党对市场监督管理工作的集中统一领导。其主要职能有：</w:t>
      </w:r>
    </w:p>
    <w:p w14:paraId="5B1DA121">
      <w:pPr>
        <w:pageBreakBefore w:val="0"/>
        <w:widowControl w:val="0"/>
        <w:kinsoku/>
        <w:wordWrap/>
        <w:overflowPunct/>
        <w:topLinePunct w:val="0"/>
        <w:autoSpaceDE/>
        <w:autoSpaceDN/>
        <w:bidi w:val="0"/>
        <w:adjustRightInd/>
        <w:snapToGrid/>
        <w:spacing w:line="576" w:lineRule="exact"/>
        <w:ind w:left="0" w:firstLine="640" w:firstLineChars="200"/>
        <w:textAlignment w:val="auto"/>
        <w:rPr>
          <w:rFonts w:hint="default" w:ascii="Times New Roman" w:hAnsi="Times New Roman" w:eastAsia="仿宋_GB2312" w:cs="Times New Roman"/>
          <w:color w:val="000000"/>
          <w:sz w:val="32"/>
          <w:szCs w:val="32"/>
        </w:rPr>
      </w:pPr>
      <w:r>
        <w:rPr>
          <w:rFonts w:hint="default" w:ascii="Times New Roman" w:hAnsi="Times New Roman" w:eastAsia="仿宋_GB2312" w:cs="Times New Roman"/>
          <w:color w:val="000000"/>
          <w:sz w:val="32"/>
          <w:szCs w:val="32"/>
        </w:rPr>
        <w:t>1.负责全区市场综合监督管理工作；</w:t>
      </w:r>
    </w:p>
    <w:p w14:paraId="5C1EC979">
      <w:pPr>
        <w:pageBreakBefore w:val="0"/>
        <w:widowControl w:val="0"/>
        <w:kinsoku/>
        <w:wordWrap/>
        <w:overflowPunct/>
        <w:topLinePunct w:val="0"/>
        <w:autoSpaceDE/>
        <w:autoSpaceDN/>
        <w:bidi w:val="0"/>
        <w:adjustRightInd/>
        <w:snapToGrid/>
        <w:spacing w:line="576" w:lineRule="exact"/>
        <w:ind w:left="0" w:firstLine="640" w:firstLineChars="200"/>
        <w:textAlignment w:val="auto"/>
        <w:rPr>
          <w:rFonts w:hint="default" w:ascii="Times New Roman" w:hAnsi="Times New Roman" w:eastAsia="仿宋_GB2312" w:cs="Times New Roman"/>
          <w:color w:val="000000"/>
          <w:sz w:val="32"/>
          <w:szCs w:val="32"/>
        </w:rPr>
      </w:pPr>
      <w:r>
        <w:rPr>
          <w:rFonts w:hint="default" w:ascii="Times New Roman" w:hAnsi="Times New Roman" w:eastAsia="仿宋_GB2312" w:cs="Times New Roman"/>
          <w:color w:val="000000"/>
          <w:sz w:val="32"/>
          <w:szCs w:val="32"/>
        </w:rPr>
        <w:t>2.负责全区市场主体统一登记注册；</w:t>
      </w:r>
    </w:p>
    <w:p w14:paraId="45ED704D">
      <w:pPr>
        <w:pageBreakBefore w:val="0"/>
        <w:widowControl w:val="0"/>
        <w:kinsoku/>
        <w:wordWrap/>
        <w:overflowPunct/>
        <w:topLinePunct w:val="0"/>
        <w:autoSpaceDE/>
        <w:autoSpaceDN/>
        <w:bidi w:val="0"/>
        <w:adjustRightInd/>
        <w:snapToGrid/>
        <w:spacing w:line="576" w:lineRule="exact"/>
        <w:ind w:left="0" w:firstLine="640" w:firstLineChars="200"/>
        <w:textAlignment w:val="auto"/>
        <w:rPr>
          <w:rFonts w:hint="default" w:ascii="Times New Roman" w:hAnsi="Times New Roman" w:eastAsia="仿宋_GB2312" w:cs="Times New Roman"/>
          <w:color w:val="000000"/>
          <w:sz w:val="32"/>
          <w:szCs w:val="32"/>
        </w:rPr>
      </w:pPr>
      <w:r>
        <w:rPr>
          <w:rFonts w:hint="default" w:ascii="Times New Roman" w:hAnsi="Times New Roman" w:eastAsia="仿宋_GB2312" w:cs="Times New Roman"/>
          <w:color w:val="000000"/>
          <w:sz w:val="32"/>
          <w:szCs w:val="32"/>
        </w:rPr>
        <w:t>3.负责组织和指导全区市场监管综合执法工作；</w:t>
      </w:r>
    </w:p>
    <w:p w14:paraId="570927C8">
      <w:pPr>
        <w:pageBreakBefore w:val="0"/>
        <w:widowControl w:val="0"/>
        <w:kinsoku/>
        <w:wordWrap/>
        <w:overflowPunct/>
        <w:topLinePunct w:val="0"/>
        <w:autoSpaceDE/>
        <w:autoSpaceDN/>
        <w:bidi w:val="0"/>
        <w:adjustRightInd/>
        <w:snapToGrid/>
        <w:spacing w:line="576" w:lineRule="exact"/>
        <w:ind w:left="0" w:firstLine="640" w:firstLineChars="200"/>
        <w:textAlignment w:val="auto"/>
        <w:rPr>
          <w:rFonts w:hint="default" w:ascii="Times New Roman" w:hAnsi="Times New Roman" w:eastAsia="仿宋_GB2312" w:cs="Times New Roman"/>
          <w:color w:val="000000"/>
          <w:sz w:val="32"/>
          <w:szCs w:val="32"/>
        </w:rPr>
      </w:pPr>
      <w:r>
        <w:rPr>
          <w:rFonts w:hint="default" w:ascii="Times New Roman" w:hAnsi="Times New Roman" w:eastAsia="仿宋_GB2312" w:cs="Times New Roman"/>
          <w:color w:val="000000"/>
          <w:sz w:val="32"/>
          <w:szCs w:val="32"/>
        </w:rPr>
        <w:t>4.负责全区反垄断统一执法；</w:t>
      </w:r>
    </w:p>
    <w:p w14:paraId="3F271A38">
      <w:pPr>
        <w:pageBreakBefore w:val="0"/>
        <w:widowControl w:val="0"/>
        <w:kinsoku/>
        <w:wordWrap/>
        <w:overflowPunct/>
        <w:topLinePunct w:val="0"/>
        <w:autoSpaceDE/>
        <w:autoSpaceDN/>
        <w:bidi w:val="0"/>
        <w:adjustRightInd/>
        <w:snapToGrid/>
        <w:spacing w:line="576" w:lineRule="exact"/>
        <w:ind w:left="0" w:firstLine="640" w:firstLineChars="200"/>
        <w:textAlignment w:val="auto"/>
        <w:rPr>
          <w:rFonts w:hint="default" w:ascii="Times New Roman" w:hAnsi="Times New Roman" w:eastAsia="仿宋_GB2312" w:cs="Times New Roman"/>
          <w:color w:val="000000"/>
          <w:sz w:val="32"/>
          <w:szCs w:val="32"/>
        </w:rPr>
      </w:pPr>
      <w:r>
        <w:rPr>
          <w:rFonts w:hint="default" w:ascii="Times New Roman" w:hAnsi="Times New Roman" w:eastAsia="仿宋_GB2312" w:cs="Times New Roman"/>
          <w:color w:val="000000"/>
          <w:sz w:val="32"/>
          <w:szCs w:val="32"/>
        </w:rPr>
        <w:t>5.负责监督管理全区市场秩序；</w:t>
      </w:r>
    </w:p>
    <w:p w14:paraId="0D7627E9">
      <w:pPr>
        <w:pageBreakBefore w:val="0"/>
        <w:widowControl w:val="0"/>
        <w:kinsoku/>
        <w:wordWrap/>
        <w:overflowPunct/>
        <w:topLinePunct w:val="0"/>
        <w:autoSpaceDE/>
        <w:autoSpaceDN/>
        <w:bidi w:val="0"/>
        <w:adjustRightInd/>
        <w:snapToGrid/>
        <w:spacing w:line="576" w:lineRule="exact"/>
        <w:ind w:left="0" w:firstLine="640" w:firstLineChars="200"/>
        <w:textAlignment w:val="auto"/>
        <w:rPr>
          <w:rFonts w:hint="default" w:ascii="Times New Roman" w:hAnsi="Times New Roman" w:eastAsia="仿宋_GB2312" w:cs="Times New Roman"/>
          <w:color w:val="000000"/>
          <w:sz w:val="32"/>
          <w:szCs w:val="32"/>
        </w:rPr>
      </w:pPr>
      <w:r>
        <w:rPr>
          <w:rFonts w:hint="default" w:ascii="Times New Roman" w:hAnsi="Times New Roman" w:eastAsia="仿宋_GB2312" w:cs="Times New Roman"/>
          <w:color w:val="000000"/>
          <w:sz w:val="32"/>
          <w:szCs w:val="32"/>
        </w:rPr>
        <w:t>6.负责全区宏观质量管理；</w:t>
      </w:r>
    </w:p>
    <w:p w14:paraId="587A02B2">
      <w:pPr>
        <w:pageBreakBefore w:val="0"/>
        <w:widowControl w:val="0"/>
        <w:kinsoku/>
        <w:wordWrap/>
        <w:overflowPunct/>
        <w:topLinePunct w:val="0"/>
        <w:autoSpaceDE/>
        <w:autoSpaceDN/>
        <w:bidi w:val="0"/>
        <w:adjustRightInd/>
        <w:snapToGrid/>
        <w:spacing w:line="576" w:lineRule="exact"/>
        <w:ind w:left="0" w:firstLine="640" w:firstLineChars="200"/>
        <w:textAlignment w:val="auto"/>
        <w:rPr>
          <w:rFonts w:hint="default" w:ascii="Times New Roman" w:hAnsi="Times New Roman" w:eastAsia="仿宋_GB2312" w:cs="Times New Roman"/>
          <w:color w:val="000000"/>
          <w:sz w:val="32"/>
          <w:szCs w:val="32"/>
        </w:rPr>
      </w:pPr>
      <w:r>
        <w:rPr>
          <w:rFonts w:hint="default" w:ascii="Times New Roman" w:hAnsi="Times New Roman" w:eastAsia="仿宋_GB2312" w:cs="Times New Roman"/>
          <w:color w:val="000000"/>
          <w:sz w:val="32"/>
          <w:szCs w:val="32"/>
        </w:rPr>
        <w:t>7.负责全区产品质量安全监督管理；</w:t>
      </w:r>
    </w:p>
    <w:p w14:paraId="1685FE7F">
      <w:pPr>
        <w:pageBreakBefore w:val="0"/>
        <w:widowControl w:val="0"/>
        <w:kinsoku/>
        <w:wordWrap/>
        <w:overflowPunct/>
        <w:topLinePunct w:val="0"/>
        <w:autoSpaceDE/>
        <w:autoSpaceDN/>
        <w:bidi w:val="0"/>
        <w:adjustRightInd/>
        <w:snapToGrid/>
        <w:spacing w:line="576" w:lineRule="exact"/>
        <w:ind w:left="0" w:firstLine="640" w:firstLineChars="200"/>
        <w:textAlignment w:val="auto"/>
        <w:rPr>
          <w:rFonts w:hint="default" w:ascii="Times New Roman" w:hAnsi="Times New Roman" w:eastAsia="仿宋_GB2312" w:cs="Times New Roman"/>
          <w:color w:val="000000"/>
          <w:sz w:val="32"/>
          <w:szCs w:val="32"/>
        </w:rPr>
      </w:pPr>
      <w:r>
        <w:rPr>
          <w:rFonts w:hint="default" w:ascii="Times New Roman" w:hAnsi="Times New Roman" w:eastAsia="仿宋_GB2312" w:cs="Times New Roman"/>
          <w:color w:val="000000"/>
          <w:sz w:val="32"/>
          <w:szCs w:val="32"/>
        </w:rPr>
        <w:t>8.负责全区特种设备安全监督管理；</w:t>
      </w:r>
    </w:p>
    <w:p w14:paraId="41F9DD16">
      <w:pPr>
        <w:pageBreakBefore w:val="0"/>
        <w:widowControl w:val="0"/>
        <w:kinsoku/>
        <w:wordWrap/>
        <w:overflowPunct/>
        <w:topLinePunct w:val="0"/>
        <w:autoSpaceDE/>
        <w:autoSpaceDN/>
        <w:bidi w:val="0"/>
        <w:adjustRightInd/>
        <w:snapToGrid/>
        <w:spacing w:line="576" w:lineRule="exact"/>
        <w:ind w:left="0" w:firstLine="640" w:firstLineChars="200"/>
        <w:textAlignment w:val="auto"/>
        <w:rPr>
          <w:rFonts w:hint="default" w:ascii="Times New Roman" w:hAnsi="Times New Roman" w:eastAsia="仿宋_GB2312" w:cs="Times New Roman"/>
          <w:color w:val="000000"/>
          <w:sz w:val="32"/>
          <w:szCs w:val="32"/>
        </w:rPr>
      </w:pPr>
      <w:r>
        <w:rPr>
          <w:rFonts w:hint="default" w:ascii="Times New Roman" w:hAnsi="Times New Roman" w:eastAsia="仿宋_GB2312" w:cs="Times New Roman"/>
          <w:color w:val="000000"/>
          <w:sz w:val="32"/>
          <w:szCs w:val="32"/>
        </w:rPr>
        <w:t>9.负责全区食品安全监督管理综合协调；</w:t>
      </w:r>
    </w:p>
    <w:p w14:paraId="4457A0E1">
      <w:pPr>
        <w:pageBreakBefore w:val="0"/>
        <w:widowControl w:val="0"/>
        <w:kinsoku/>
        <w:wordWrap/>
        <w:overflowPunct/>
        <w:topLinePunct w:val="0"/>
        <w:autoSpaceDE/>
        <w:autoSpaceDN/>
        <w:bidi w:val="0"/>
        <w:adjustRightInd/>
        <w:snapToGrid/>
        <w:spacing w:line="576" w:lineRule="exact"/>
        <w:ind w:left="0" w:firstLine="640" w:firstLineChars="200"/>
        <w:textAlignment w:val="auto"/>
        <w:rPr>
          <w:rFonts w:hint="default" w:ascii="Times New Roman" w:hAnsi="Times New Roman" w:eastAsia="仿宋_GB2312" w:cs="Times New Roman"/>
          <w:color w:val="000000"/>
          <w:sz w:val="32"/>
          <w:szCs w:val="32"/>
        </w:rPr>
      </w:pPr>
      <w:r>
        <w:rPr>
          <w:rFonts w:hint="default" w:ascii="Times New Roman" w:hAnsi="Times New Roman" w:eastAsia="仿宋_GB2312" w:cs="Times New Roman"/>
          <w:color w:val="000000"/>
          <w:sz w:val="32"/>
          <w:szCs w:val="32"/>
        </w:rPr>
        <w:t>10.负责全区食品安全监督管理；</w:t>
      </w:r>
    </w:p>
    <w:p w14:paraId="3B83D767">
      <w:pPr>
        <w:pageBreakBefore w:val="0"/>
        <w:widowControl w:val="0"/>
        <w:kinsoku/>
        <w:wordWrap/>
        <w:overflowPunct/>
        <w:topLinePunct w:val="0"/>
        <w:autoSpaceDE/>
        <w:autoSpaceDN/>
        <w:bidi w:val="0"/>
        <w:adjustRightInd/>
        <w:snapToGrid/>
        <w:spacing w:line="576" w:lineRule="exact"/>
        <w:ind w:left="0" w:firstLine="640" w:firstLineChars="200"/>
        <w:textAlignment w:val="auto"/>
        <w:rPr>
          <w:rFonts w:hint="default" w:ascii="Times New Roman" w:hAnsi="Times New Roman" w:eastAsia="仿宋_GB2312" w:cs="Times New Roman"/>
          <w:color w:val="000000"/>
          <w:sz w:val="32"/>
          <w:szCs w:val="32"/>
        </w:rPr>
      </w:pPr>
      <w:r>
        <w:rPr>
          <w:rFonts w:hint="default" w:ascii="Times New Roman" w:hAnsi="Times New Roman" w:eastAsia="仿宋_GB2312" w:cs="Times New Roman"/>
          <w:color w:val="000000"/>
          <w:sz w:val="32"/>
          <w:szCs w:val="32"/>
        </w:rPr>
        <w:t>11.负责统一管理全区计量工作；</w:t>
      </w:r>
    </w:p>
    <w:p w14:paraId="31258BC7">
      <w:pPr>
        <w:pageBreakBefore w:val="0"/>
        <w:widowControl w:val="0"/>
        <w:kinsoku/>
        <w:wordWrap/>
        <w:overflowPunct/>
        <w:topLinePunct w:val="0"/>
        <w:autoSpaceDE/>
        <w:autoSpaceDN/>
        <w:bidi w:val="0"/>
        <w:adjustRightInd/>
        <w:snapToGrid/>
        <w:spacing w:line="576" w:lineRule="exact"/>
        <w:ind w:left="0" w:firstLine="640" w:firstLineChars="200"/>
        <w:textAlignment w:val="auto"/>
        <w:rPr>
          <w:rFonts w:hint="default" w:ascii="Times New Roman" w:hAnsi="Times New Roman" w:eastAsia="仿宋_GB2312" w:cs="Times New Roman"/>
          <w:color w:val="000000"/>
          <w:sz w:val="32"/>
          <w:szCs w:val="32"/>
        </w:rPr>
      </w:pPr>
      <w:r>
        <w:rPr>
          <w:rFonts w:hint="default" w:ascii="Times New Roman" w:hAnsi="Times New Roman" w:eastAsia="仿宋_GB2312" w:cs="Times New Roman"/>
          <w:color w:val="000000"/>
          <w:sz w:val="32"/>
          <w:szCs w:val="32"/>
        </w:rPr>
        <w:t>12.负责统一管理全区标准化工作；</w:t>
      </w:r>
    </w:p>
    <w:p w14:paraId="2B94ABEB">
      <w:pPr>
        <w:pageBreakBefore w:val="0"/>
        <w:widowControl w:val="0"/>
        <w:kinsoku/>
        <w:wordWrap/>
        <w:overflowPunct/>
        <w:topLinePunct w:val="0"/>
        <w:autoSpaceDE/>
        <w:autoSpaceDN/>
        <w:bidi w:val="0"/>
        <w:adjustRightInd/>
        <w:snapToGrid/>
        <w:spacing w:line="576" w:lineRule="exact"/>
        <w:ind w:left="0" w:firstLine="640" w:firstLineChars="200"/>
        <w:textAlignment w:val="auto"/>
        <w:rPr>
          <w:rFonts w:hint="default" w:ascii="Times New Roman" w:hAnsi="Times New Roman" w:eastAsia="仿宋_GB2312" w:cs="Times New Roman"/>
          <w:color w:val="000000"/>
          <w:sz w:val="32"/>
          <w:szCs w:val="32"/>
        </w:rPr>
      </w:pPr>
      <w:r>
        <w:rPr>
          <w:rFonts w:hint="default" w:ascii="Times New Roman" w:hAnsi="Times New Roman" w:eastAsia="仿宋_GB2312" w:cs="Times New Roman"/>
          <w:color w:val="000000"/>
          <w:sz w:val="32"/>
          <w:szCs w:val="32"/>
        </w:rPr>
        <w:t>13.负责统一管理全区检验检测工作；</w:t>
      </w:r>
    </w:p>
    <w:p w14:paraId="75328DE2">
      <w:pPr>
        <w:pageBreakBefore w:val="0"/>
        <w:widowControl w:val="0"/>
        <w:kinsoku/>
        <w:wordWrap/>
        <w:overflowPunct/>
        <w:topLinePunct w:val="0"/>
        <w:autoSpaceDE/>
        <w:autoSpaceDN/>
        <w:bidi w:val="0"/>
        <w:adjustRightInd/>
        <w:snapToGrid/>
        <w:spacing w:line="576" w:lineRule="exact"/>
        <w:ind w:left="0" w:firstLine="640" w:firstLineChars="200"/>
        <w:textAlignment w:val="auto"/>
        <w:rPr>
          <w:rFonts w:hint="default" w:ascii="Times New Roman" w:hAnsi="Times New Roman" w:eastAsia="仿宋_GB2312" w:cs="Times New Roman"/>
          <w:color w:val="000000"/>
          <w:sz w:val="32"/>
          <w:szCs w:val="32"/>
        </w:rPr>
      </w:pPr>
      <w:r>
        <w:rPr>
          <w:rFonts w:hint="default" w:ascii="Times New Roman" w:hAnsi="Times New Roman" w:eastAsia="仿宋_GB2312" w:cs="Times New Roman"/>
          <w:color w:val="000000"/>
          <w:sz w:val="32"/>
          <w:szCs w:val="32"/>
        </w:rPr>
        <w:t>14.负责统一管理全区认证认可工作；</w:t>
      </w:r>
    </w:p>
    <w:p w14:paraId="2E858011">
      <w:pPr>
        <w:pageBreakBefore w:val="0"/>
        <w:widowControl w:val="0"/>
        <w:kinsoku/>
        <w:wordWrap/>
        <w:overflowPunct/>
        <w:topLinePunct w:val="0"/>
        <w:autoSpaceDE/>
        <w:autoSpaceDN/>
        <w:bidi w:val="0"/>
        <w:adjustRightInd/>
        <w:snapToGrid/>
        <w:spacing w:line="576" w:lineRule="exact"/>
        <w:ind w:left="0" w:firstLine="640" w:firstLineChars="200"/>
        <w:textAlignment w:val="auto"/>
        <w:rPr>
          <w:rFonts w:hint="default" w:ascii="Times New Roman" w:hAnsi="Times New Roman" w:eastAsia="仿宋_GB2312" w:cs="Times New Roman"/>
          <w:color w:val="000000"/>
          <w:sz w:val="32"/>
          <w:szCs w:val="32"/>
        </w:rPr>
      </w:pPr>
      <w:r>
        <w:rPr>
          <w:rFonts w:hint="default" w:ascii="Times New Roman" w:hAnsi="Times New Roman" w:eastAsia="仿宋_GB2312" w:cs="Times New Roman"/>
          <w:color w:val="000000"/>
          <w:sz w:val="32"/>
          <w:szCs w:val="32"/>
        </w:rPr>
        <w:t>15.负责市场监督管理科技和信息化建设；</w:t>
      </w:r>
    </w:p>
    <w:p w14:paraId="324F8E5A">
      <w:pPr>
        <w:pageBreakBefore w:val="0"/>
        <w:widowControl w:val="0"/>
        <w:kinsoku/>
        <w:wordWrap/>
        <w:overflowPunct/>
        <w:topLinePunct w:val="0"/>
        <w:autoSpaceDE/>
        <w:autoSpaceDN/>
        <w:bidi w:val="0"/>
        <w:adjustRightInd/>
        <w:snapToGrid/>
        <w:spacing w:line="576" w:lineRule="exact"/>
        <w:ind w:left="0" w:firstLine="640" w:firstLineChars="200"/>
        <w:textAlignment w:val="auto"/>
        <w:rPr>
          <w:rFonts w:hint="default" w:ascii="Times New Roman" w:hAnsi="Times New Roman" w:eastAsia="仿宋_GB2312" w:cs="Times New Roman"/>
          <w:color w:val="000000"/>
          <w:sz w:val="32"/>
          <w:szCs w:val="32"/>
        </w:rPr>
      </w:pPr>
      <w:r>
        <w:rPr>
          <w:rFonts w:hint="default" w:ascii="Times New Roman" w:hAnsi="Times New Roman" w:eastAsia="仿宋_GB2312" w:cs="Times New Roman"/>
          <w:color w:val="000000"/>
          <w:sz w:val="32"/>
          <w:szCs w:val="32"/>
        </w:rPr>
        <w:t>16.负责全区药品、医疗器械和化妆品安全监督管理；</w:t>
      </w:r>
    </w:p>
    <w:p w14:paraId="340109B3">
      <w:pPr>
        <w:pageBreakBefore w:val="0"/>
        <w:widowControl w:val="0"/>
        <w:kinsoku/>
        <w:wordWrap/>
        <w:overflowPunct/>
        <w:topLinePunct w:val="0"/>
        <w:autoSpaceDE/>
        <w:autoSpaceDN/>
        <w:bidi w:val="0"/>
        <w:adjustRightInd/>
        <w:snapToGrid/>
        <w:spacing w:line="576" w:lineRule="exact"/>
        <w:ind w:left="0" w:firstLine="640" w:firstLineChars="200"/>
        <w:textAlignment w:val="auto"/>
        <w:rPr>
          <w:rFonts w:hint="default" w:ascii="Times New Roman" w:hAnsi="Times New Roman" w:eastAsia="仿宋_GB2312" w:cs="Times New Roman"/>
          <w:color w:val="000000"/>
          <w:sz w:val="32"/>
          <w:szCs w:val="32"/>
        </w:rPr>
      </w:pPr>
      <w:r>
        <w:rPr>
          <w:rFonts w:hint="default" w:ascii="Times New Roman" w:hAnsi="Times New Roman" w:eastAsia="仿宋_GB2312" w:cs="Times New Roman"/>
          <w:color w:val="000000"/>
          <w:sz w:val="32"/>
          <w:szCs w:val="32"/>
        </w:rPr>
        <w:t>17.负责全区知识产权战略和规划的制定，负责知识产权的保护，负责组织指导商标、专利执法工作；</w:t>
      </w:r>
    </w:p>
    <w:p w14:paraId="4EC30477">
      <w:pPr>
        <w:pageBreakBefore w:val="0"/>
        <w:widowControl w:val="0"/>
        <w:kinsoku/>
        <w:wordWrap/>
        <w:overflowPunct/>
        <w:topLinePunct w:val="0"/>
        <w:autoSpaceDE/>
        <w:autoSpaceDN/>
        <w:bidi w:val="0"/>
        <w:adjustRightInd/>
        <w:snapToGrid/>
        <w:spacing w:line="576" w:lineRule="exact"/>
        <w:ind w:left="0" w:firstLine="640" w:firstLineChars="200"/>
        <w:textAlignment w:val="auto"/>
        <w:rPr>
          <w:rFonts w:hint="default" w:ascii="Times New Roman" w:hAnsi="Times New Roman" w:eastAsia="仿宋_GB2312" w:cs="Times New Roman"/>
          <w:color w:val="000000"/>
          <w:sz w:val="32"/>
          <w:szCs w:val="32"/>
        </w:rPr>
      </w:pPr>
      <w:r>
        <w:rPr>
          <w:rFonts w:hint="default" w:ascii="Times New Roman" w:hAnsi="Times New Roman" w:eastAsia="仿宋_GB2312" w:cs="Times New Roman"/>
          <w:color w:val="000000"/>
          <w:sz w:val="32"/>
          <w:szCs w:val="32"/>
        </w:rPr>
        <w:t>18.贯彻落实中央、省委、市委和区委关于加强民营经济党组织建设有关要求；</w:t>
      </w:r>
    </w:p>
    <w:p w14:paraId="7AA3C58E">
      <w:pPr>
        <w:pageBreakBefore w:val="0"/>
        <w:widowControl w:val="0"/>
        <w:kinsoku/>
        <w:wordWrap/>
        <w:overflowPunct/>
        <w:topLinePunct w:val="0"/>
        <w:autoSpaceDE/>
        <w:autoSpaceDN/>
        <w:bidi w:val="0"/>
        <w:adjustRightInd/>
        <w:snapToGrid/>
        <w:spacing w:line="576" w:lineRule="exact"/>
        <w:ind w:left="0" w:firstLine="640" w:firstLineChars="200"/>
        <w:textAlignment w:val="auto"/>
        <w:rPr>
          <w:rFonts w:hint="default" w:ascii="Times New Roman" w:hAnsi="Times New Roman" w:eastAsia="仿宋_GB2312" w:cs="Times New Roman"/>
          <w:color w:val="000000"/>
          <w:sz w:val="32"/>
          <w:szCs w:val="32"/>
        </w:rPr>
      </w:pPr>
      <w:r>
        <w:rPr>
          <w:rFonts w:hint="default" w:ascii="Times New Roman" w:hAnsi="Times New Roman" w:eastAsia="仿宋_GB2312" w:cs="Times New Roman"/>
          <w:color w:val="000000"/>
          <w:sz w:val="32"/>
          <w:szCs w:val="32"/>
        </w:rPr>
        <w:t>19.负责职责范围内的安全生产和职业健康、生态环境保护、审批服务便民等工作；</w:t>
      </w:r>
    </w:p>
    <w:p w14:paraId="0A714C9E">
      <w:pPr>
        <w:pageBreakBefore w:val="0"/>
        <w:widowControl w:val="0"/>
        <w:kinsoku/>
        <w:wordWrap/>
        <w:overflowPunct/>
        <w:topLinePunct w:val="0"/>
        <w:autoSpaceDE/>
        <w:autoSpaceDN/>
        <w:bidi w:val="0"/>
        <w:adjustRightInd/>
        <w:snapToGrid/>
        <w:spacing w:line="576" w:lineRule="exact"/>
        <w:ind w:left="0" w:firstLine="640" w:firstLineChars="200"/>
        <w:textAlignment w:val="auto"/>
        <w:rPr>
          <w:rFonts w:hint="default" w:ascii="Times New Roman" w:hAnsi="Times New Roman" w:eastAsia="仿宋_GB2312" w:cs="Times New Roman"/>
          <w:sz w:val="32"/>
        </w:rPr>
      </w:pPr>
      <w:r>
        <w:rPr>
          <w:rFonts w:hint="default" w:ascii="Times New Roman" w:hAnsi="Times New Roman" w:eastAsia="仿宋_GB2312" w:cs="Times New Roman"/>
          <w:sz w:val="32"/>
        </w:rPr>
        <w:t>20.完成区委区政府交办的其他任务。</w:t>
      </w:r>
      <w:bookmarkStart w:id="7" w:name="_Toc31552"/>
      <w:bookmarkEnd w:id="7"/>
    </w:p>
    <w:p w14:paraId="5453D360">
      <w:pPr>
        <w:pStyle w:val="5"/>
        <w:pageBreakBefore w:val="0"/>
        <w:widowControl w:val="0"/>
        <w:kinsoku/>
        <w:wordWrap/>
        <w:overflowPunct/>
        <w:topLinePunct w:val="0"/>
        <w:autoSpaceDE/>
        <w:autoSpaceDN/>
        <w:bidi w:val="0"/>
        <w:adjustRightInd/>
        <w:snapToGrid/>
        <w:spacing w:after="0" w:line="576" w:lineRule="exact"/>
        <w:ind w:left="0" w:firstLine="643" w:firstLineChars="200"/>
        <w:jc w:val="both"/>
        <w:textAlignment w:val="auto"/>
        <w:outlineLvl w:val="1"/>
        <w:rPr>
          <w:rFonts w:hint="default" w:ascii="Times New Roman" w:hAnsi="Times New Roman" w:eastAsia="楷体_GB2312" w:cs="Times New Roman"/>
          <w:b/>
          <w:bCs/>
          <w:color w:val="000000"/>
          <w:sz w:val="32"/>
          <w:szCs w:val="32"/>
        </w:rPr>
      </w:pPr>
      <w:bookmarkStart w:id="8" w:name="_Toc30893"/>
      <w:bookmarkStart w:id="9" w:name="_Toc11801"/>
      <w:r>
        <w:rPr>
          <w:rFonts w:hint="default" w:ascii="Times New Roman" w:hAnsi="Times New Roman" w:eastAsia="楷体_GB2312" w:cs="Times New Roman"/>
          <w:b/>
          <w:bCs/>
          <w:color w:val="000000"/>
          <w:sz w:val="32"/>
          <w:szCs w:val="32"/>
        </w:rPr>
        <w:t>（二）昭化区市场监督管理局202</w:t>
      </w:r>
      <w:r>
        <w:rPr>
          <w:rFonts w:hint="default" w:ascii="Times New Roman" w:hAnsi="Times New Roman" w:eastAsia="楷体_GB2312" w:cs="Times New Roman"/>
          <w:b/>
          <w:bCs/>
          <w:color w:val="000000"/>
          <w:sz w:val="32"/>
          <w:szCs w:val="32"/>
          <w:lang w:val="en-US" w:eastAsia="zh-CN"/>
        </w:rPr>
        <w:t>5</w:t>
      </w:r>
      <w:r>
        <w:rPr>
          <w:rFonts w:hint="default" w:ascii="Times New Roman" w:hAnsi="Times New Roman" w:eastAsia="楷体_GB2312" w:cs="Times New Roman"/>
          <w:b/>
          <w:bCs/>
          <w:color w:val="000000"/>
          <w:sz w:val="32"/>
          <w:szCs w:val="32"/>
        </w:rPr>
        <w:t>年重点工作</w:t>
      </w:r>
      <w:bookmarkEnd w:id="8"/>
      <w:bookmarkEnd w:id="9"/>
    </w:p>
    <w:p w14:paraId="0E1BC3D1">
      <w:pPr>
        <w:ind w:firstLine="640" w:firstLineChars="200"/>
        <w:rPr>
          <w:rFonts w:hint="default" w:ascii="Times New Roman" w:hAnsi="Times New Roman" w:eastAsia="仿宋_GB2312" w:cs="Times New Roman"/>
          <w:sz w:val="32"/>
          <w:szCs w:val="32"/>
          <w:lang w:eastAsia="zh-CN"/>
        </w:rPr>
      </w:pPr>
      <w:r>
        <w:rPr>
          <w:rFonts w:hint="default" w:ascii="Times New Roman" w:hAnsi="Times New Roman" w:eastAsia="仿宋_GB2312" w:cs="Times New Roman"/>
          <w:sz w:val="32"/>
          <w:szCs w:val="32"/>
          <w:lang w:eastAsia="zh-CN"/>
        </w:rPr>
        <w:t>一是聚焦党的建设。坚持把学习贯彻习近平新时代中国特色社会主义思想和习近平总书记</w:t>
      </w:r>
      <w:r>
        <w:rPr>
          <w:rFonts w:hint="eastAsia" w:ascii="Times New Roman" w:hAnsi="Times New Roman" w:eastAsia="仿宋_GB2312" w:cs="Times New Roman"/>
          <w:sz w:val="32"/>
          <w:szCs w:val="32"/>
          <w:lang w:val="en-US" w:eastAsia="zh-CN"/>
        </w:rPr>
        <w:t>来川视察重要</w:t>
      </w:r>
      <w:r>
        <w:rPr>
          <w:rFonts w:hint="default" w:ascii="Times New Roman" w:hAnsi="Times New Roman" w:eastAsia="仿宋_GB2312" w:cs="Times New Roman"/>
          <w:sz w:val="32"/>
          <w:szCs w:val="32"/>
          <w:lang w:eastAsia="zh-CN"/>
        </w:rPr>
        <w:t>指示精神，以及贯彻党的二十大精神</w:t>
      </w:r>
      <w:r>
        <w:rPr>
          <w:rFonts w:hint="eastAsia" w:ascii="Times New Roman" w:hAnsi="Times New Roman" w:eastAsia="仿宋_GB2312" w:cs="Times New Roman"/>
          <w:sz w:val="32"/>
          <w:szCs w:val="32"/>
          <w:lang w:val="en-US" w:eastAsia="zh-CN"/>
        </w:rPr>
        <w:t>和二十届三中全会精神</w:t>
      </w:r>
      <w:r>
        <w:rPr>
          <w:rFonts w:hint="default" w:ascii="Times New Roman" w:hAnsi="Times New Roman" w:eastAsia="仿宋_GB2312" w:cs="Times New Roman"/>
          <w:sz w:val="32"/>
          <w:szCs w:val="32"/>
          <w:lang w:eastAsia="zh-CN"/>
        </w:rPr>
        <w:t>作为首要政治任务，坚持全面从严治党，坚定拥护“两个确立”、坚决做到“两个维护”，坚定不移将昭化市场监管系统打造成一支</w:t>
      </w:r>
      <w:r>
        <w:rPr>
          <w:rFonts w:hint="default" w:ascii="Times New Roman" w:hAnsi="Times New Roman" w:eastAsia="仿宋_GB2312" w:cs="Times New Roman"/>
          <w:sz w:val="32"/>
          <w:szCs w:val="32"/>
          <w:lang w:val="en-US" w:eastAsia="zh-CN"/>
        </w:rPr>
        <w:t>让</w:t>
      </w:r>
      <w:r>
        <w:rPr>
          <w:rFonts w:hint="default" w:ascii="Times New Roman" w:hAnsi="Times New Roman" w:eastAsia="仿宋_GB2312" w:cs="Times New Roman"/>
          <w:sz w:val="32"/>
          <w:szCs w:val="32"/>
          <w:lang w:eastAsia="zh-CN"/>
        </w:rPr>
        <w:t>党委政府放心，人民群众满意的综合执法队伍。</w:t>
      </w:r>
    </w:p>
    <w:p w14:paraId="634FB1C6">
      <w:pPr>
        <w:pStyle w:val="5"/>
        <w:pageBreakBefore w:val="0"/>
        <w:widowControl w:val="0"/>
        <w:kinsoku/>
        <w:wordWrap/>
        <w:overflowPunct/>
        <w:topLinePunct w:val="0"/>
        <w:autoSpaceDE/>
        <w:autoSpaceDN/>
        <w:bidi w:val="0"/>
        <w:adjustRightInd/>
        <w:snapToGrid/>
        <w:spacing w:after="0" w:line="576" w:lineRule="exact"/>
        <w:ind w:left="0" w:firstLine="640" w:firstLineChars="200"/>
        <w:jc w:val="both"/>
        <w:textAlignment w:val="auto"/>
        <w:rPr>
          <w:rFonts w:hint="default" w:ascii="Times New Roman" w:hAnsi="Times New Roman" w:eastAsia="仿宋_GB2312" w:cs="Times New Roman"/>
          <w:sz w:val="32"/>
          <w:szCs w:val="32"/>
          <w:lang w:eastAsia="zh-CN"/>
        </w:rPr>
      </w:pPr>
      <w:r>
        <w:rPr>
          <w:rFonts w:hint="default" w:ascii="Times New Roman" w:hAnsi="Times New Roman" w:eastAsia="仿宋_GB2312" w:cs="Times New Roman"/>
          <w:sz w:val="32"/>
          <w:szCs w:val="32"/>
          <w:lang w:eastAsia="zh-CN"/>
        </w:rPr>
        <w:t>二是聚焦守牢安全底线。进一步强化“三品一特”安全监管</w:t>
      </w:r>
      <w:r>
        <w:rPr>
          <w:rFonts w:hint="eastAsia" w:ascii="Times New Roman" w:hAnsi="Times New Roman" w:eastAsia="仿宋_GB2312" w:cs="Times New Roman"/>
          <w:sz w:val="32"/>
          <w:szCs w:val="32"/>
          <w:lang w:eastAsia="zh-CN"/>
        </w:rPr>
        <w:t>，</w:t>
      </w:r>
      <w:r>
        <w:rPr>
          <w:rFonts w:hint="default" w:ascii="Times New Roman" w:hAnsi="Times New Roman" w:eastAsia="仿宋_GB2312" w:cs="Times New Roman"/>
          <w:sz w:val="32"/>
          <w:szCs w:val="32"/>
          <w:lang w:eastAsia="zh-CN"/>
        </w:rPr>
        <w:t>深入开展食品安全、药品安全、产品质量安全和特种设备安全的风险隐患排查治理，守住市场监管领域安全底线。</w:t>
      </w:r>
    </w:p>
    <w:p w14:paraId="557CE2D2">
      <w:pPr>
        <w:pStyle w:val="5"/>
        <w:pageBreakBefore w:val="0"/>
        <w:widowControl w:val="0"/>
        <w:kinsoku/>
        <w:wordWrap/>
        <w:overflowPunct/>
        <w:topLinePunct w:val="0"/>
        <w:autoSpaceDE/>
        <w:autoSpaceDN/>
        <w:bidi w:val="0"/>
        <w:adjustRightInd/>
        <w:snapToGrid/>
        <w:spacing w:after="0" w:line="576" w:lineRule="exact"/>
        <w:ind w:left="0" w:firstLine="640" w:firstLineChars="200"/>
        <w:jc w:val="both"/>
        <w:textAlignment w:val="auto"/>
        <w:rPr>
          <w:rFonts w:hint="default" w:ascii="Times New Roman" w:hAnsi="Times New Roman" w:eastAsia="仿宋_GB2312" w:cs="Times New Roman"/>
          <w:sz w:val="32"/>
          <w:szCs w:val="32"/>
          <w:lang w:eastAsia="zh-CN"/>
        </w:rPr>
      </w:pPr>
      <w:r>
        <w:rPr>
          <w:rFonts w:hint="default" w:ascii="Times New Roman" w:hAnsi="Times New Roman" w:eastAsia="仿宋_GB2312" w:cs="Times New Roman"/>
          <w:sz w:val="32"/>
          <w:szCs w:val="32"/>
          <w:lang w:eastAsia="zh-CN"/>
        </w:rPr>
        <w:t>三是聚焦高质量发展。充分发挥质量支撑和标准引领作用，推动“茯苓种植”省级农业标准化示范项目建设。进一步推进质量和知识产权强国建设，继续培育企业争创“市长质量奖”及“天府质量奖”等品牌荣誉，持续开展以技术、标准、管理、品牌、服务为核心的各类帮扶。</w:t>
      </w:r>
    </w:p>
    <w:p w14:paraId="7364CAF0">
      <w:pPr>
        <w:pStyle w:val="5"/>
        <w:pageBreakBefore w:val="0"/>
        <w:widowControl w:val="0"/>
        <w:kinsoku/>
        <w:wordWrap/>
        <w:overflowPunct/>
        <w:topLinePunct w:val="0"/>
        <w:autoSpaceDE/>
        <w:autoSpaceDN/>
        <w:bidi w:val="0"/>
        <w:adjustRightInd/>
        <w:snapToGrid/>
        <w:spacing w:after="0" w:line="576" w:lineRule="exact"/>
        <w:ind w:left="0" w:firstLine="640" w:firstLineChars="200"/>
        <w:jc w:val="both"/>
        <w:textAlignment w:val="auto"/>
        <w:rPr>
          <w:rFonts w:hint="default" w:ascii="Times New Roman" w:hAnsi="Times New Roman" w:eastAsia="仿宋_GB2312" w:cs="Times New Roman"/>
          <w:sz w:val="32"/>
          <w:szCs w:val="32"/>
          <w:lang w:eastAsia="zh-CN"/>
        </w:rPr>
      </w:pPr>
      <w:r>
        <w:rPr>
          <w:rFonts w:hint="default" w:ascii="Times New Roman" w:hAnsi="Times New Roman" w:eastAsia="仿宋_GB2312" w:cs="Times New Roman"/>
          <w:sz w:val="32"/>
          <w:szCs w:val="32"/>
          <w:lang w:eastAsia="zh-CN"/>
        </w:rPr>
        <w:t>四是聚焦高效办成一件事改革。紧紧围绕优化营商环境目标，持续优化企业开办流程，压缩开办时间，为个体</w:t>
      </w:r>
      <w:r>
        <w:rPr>
          <w:rFonts w:hint="eastAsia" w:ascii="Times New Roman" w:hAnsi="Times New Roman" w:eastAsia="仿宋_GB2312" w:cs="Times New Roman"/>
          <w:sz w:val="32"/>
          <w:szCs w:val="32"/>
          <w:lang w:val="en-US" w:eastAsia="zh-CN"/>
        </w:rPr>
        <w:t>工商</w:t>
      </w:r>
      <w:r>
        <w:rPr>
          <w:rFonts w:hint="default" w:ascii="Times New Roman" w:hAnsi="Times New Roman" w:eastAsia="仿宋_GB2312" w:cs="Times New Roman"/>
          <w:sz w:val="32"/>
          <w:szCs w:val="32"/>
          <w:lang w:eastAsia="zh-CN"/>
        </w:rPr>
        <w:t>户转型升级为企业提供更多便利。</w:t>
      </w:r>
    </w:p>
    <w:p w14:paraId="1504C448">
      <w:pPr>
        <w:pStyle w:val="5"/>
        <w:pageBreakBefore w:val="0"/>
        <w:widowControl w:val="0"/>
        <w:kinsoku/>
        <w:wordWrap/>
        <w:overflowPunct/>
        <w:topLinePunct w:val="0"/>
        <w:autoSpaceDE/>
        <w:autoSpaceDN/>
        <w:bidi w:val="0"/>
        <w:adjustRightInd/>
        <w:snapToGrid/>
        <w:spacing w:after="0" w:line="576" w:lineRule="exact"/>
        <w:ind w:left="0" w:firstLine="640" w:firstLineChars="200"/>
        <w:jc w:val="both"/>
        <w:textAlignment w:val="auto"/>
        <w:rPr>
          <w:rFonts w:hint="default" w:ascii="Times New Roman" w:hAnsi="Times New Roman" w:eastAsia="仿宋_GB2312" w:cs="Times New Roman"/>
          <w:sz w:val="32"/>
          <w:szCs w:val="32"/>
          <w:lang w:eastAsia="zh-CN"/>
        </w:rPr>
      </w:pPr>
      <w:r>
        <w:rPr>
          <w:rFonts w:hint="default" w:ascii="Times New Roman" w:hAnsi="Times New Roman" w:eastAsia="仿宋_GB2312" w:cs="Times New Roman"/>
          <w:sz w:val="32"/>
          <w:szCs w:val="32"/>
          <w:lang w:eastAsia="zh-CN"/>
        </w:rPr>
        <w:t>五是聚焦全面实施公平竞争审查。认真贯彻执行《公平竞争审查条例》和即将出台的四川省公平竞争审查办法，营造更加公平公正的市场竞争秩序。</w:t>
      </w:r>
    </w:p>
    <w:p w14:paraId="2B95CB01">
      <w:pPr>
        <w:pStyle w:val="5"/>
        <w:pageBreakBefore w:val="0"/>
        <w:widowControl w:val="0"/>
        <w:kinsoku/>
        <w:wordWrap/>
        <w:overflowPunct/>
        <w:topLinePunct w:val="0"/>
        <w:autoSpaceDE/>
        <w:autoSpaceDN/>
        <w:bidi w:val="0"/>
        <w:adjustRightInd/>
        <w:snapToGrid/>
        <w:spacing w:after="0" w:line="576" w:lineRule="exact"/>
        <w:ind w:left="0" w:firstLine="640" w:firstLineChars="200"/>
        <w:jc w:val="both"/>
        <w:textAlignment w:val="auto"/>
        <w:rPr>
          <w:rFonts w:hint="default" w:ascii="Times New Roman" w:hAnsi="Times New Roman" w:eastAsia="仿宋_GB2312" w:cs="Times New Roman"/>
          <w:sz w:val="32"/>
          <w:szCs w:val="32"/>
          <w:lang w:eastAsia="zh-CN"/>
        </w:rPr>
      </w:pPr>
      <w:r>
        <w:rPr>
          <w:rFonts w:hint="default" w:ascii="Times New Roman" w:hAnsi="Times New Roman" w:eastAsia="仿宋_GB2312" w:cs="Times New Roman"/>
          <w:sz w:val="32"/>
          <w:szCs w:val="32"/>
          <w:lang w:eastAsia="zh-CN"/>
        </w:rPr>
        <w:t>六是聚焦党风廉政建设。扎实开展行风建设三年攻坚2025年行动，持续开展群众身边不正之风和腐败问题集中整治，有效防范执法违纪违法风险。</w:t>
      </w:r>
    </w:p>
    <w:p w14:paraId="7DF114C0">
      <w:pPr>
        <w:pStyle w:val="5"/>
        <w:pageBreakBefore w:val="0"/>
        <w:widowControl w:val="0"/>
        <w:kinsoku/>
        <w:wordWrap/>
        <w:overflowPunct/>
        <w:topLinePunct w:val="0"/>
        <w:autoSpaceDE/>
        <w:autoSpaceDN/>
        <w:bidi w:val="0"/>
        <w:adjustRightInd/>
        <w:snapToGrid/>
        <w:spacing w:after="0" w:line="576" w:lineRule="exact"/>
        <w:ind w:left="0" w:firstLine="640" w:firstLineChars="200"/>
        <w:jc w:val="both"/>
        <w:textAlignment w:val="auto"/>
        <w:rPr>
          <w:rFonts w:hint="default" w:ascii="Times New Roman" w:hAnsi="Times New Roman" w:eastAsia="仿宋_GB2312" w:cs="Times New Roman"/>
          <w:sz w:val="32"/>
          <w:szCs w:val="32"/>
          <w:lang w:eastAsia="zh-CN"/>
        </w:rPr>
      </w:pPr>
      <w:r>
        <w:rPr>
          <w:rFonts w:hint="default" w:ascii="Times New Roman" w:hAnsi="Times New Roman" w:eastAsia="仿宋_GB2312" w:cs="Times New Roman"/>
          <w:sz w:val="32"/>
          <w:szCs w:val="32"/>
          <w:lang w:eastAsia="zh-CN"/>
        </w:rPr>
        <w:t>七是聚焦案件查办。继续擦亮昭化“春雷行动”和“铁拳”行动品牌，</w:t>
      </w:r>
      <w:r>
        <w:rPr>
          <w:rFonts w:hint="default" w:ascii="Times New Roman" w:hAnsi="Times New Roman" w:eastAsia="仿宋_GB2312" w:cs="Times New Roman"/>
          <w:sz w:val="32"/>
          <w:szCs w:val="32"/>
          <w:lang w:val="en-US" w:eastAsia="zh-CN"/>
        </w:rPr>
        <w:t>严厉查处</w:t>
      </w:r>
      <w:r>
        <w:rPr>
          <w:rFonts w:hint="default" w:ascii="Times New Roman" w:hAnsi="Times New Roman" w:eastAsia="仿宋_GB2312" w:cs="Times New Roman"/>
          <w:sz w:val="32"/>
          <w:szCs w:val="32"/>
          <w:lang w:eastAsia="zh-CN"/>
        </w:rPr>
        <w:t>一批群众反映强烈、社会危害大、违法行为性质影响恶劣的案件。</w:t>
      </w:r>
    </w:p>
    <w:p w14:paraId="2072D239">
      <w:pPr>
        <w:pStyle w:val="5"/>
        <w:pageBreakBefore w:val="0"/>
        <w:widowControl w:val="0"/>
        <w:kinsoku/>
        <w:wordWrap/>
        <w:overflowPunct/>
        <w:topLinePunct w:val="0"/>
        <w:autoSpaceDE/>
        <w:autoSpaceDN/>
        <w:bidi w:val="0"/>
        <w:adjustRightInd/>
        <w:snapToGrid/>
        <w:spacing w:after="0" w:line="576" w:lineRule="exact"/>
        <w:ind w:left="0" w:firstLine="640" w:firstLineChars="200"/>
        <w:jc w:val="both"/>
        <w:textAlignment w:val="auto"/>
        <w:rPr>
          <w:rFonts w:hint="default" w:ascii="Times New Roman" w:hAnsi="Times New Roman" w:eastAsia="仿宋_GB2312" w:cs="Times New Roman"/>
          <w:sz w:val="32"/>
          <w:szCs w:val="32"/>
          <w:lang w:eastAsia="zh-CN"/>
        </w:rPr>
      </w:pPr>
      <w:r>
        <w:rPr>
          <w:rFonts w:hint="default" w:ascii="Times New Roman" w:hAnsi="Times New Roman" w:eastAsia="仿宋_GB2312" w:cs="Times New Roman"/>
          <w:sz w:val="32"/>
          <w:szCs w:val="32"/>
          <w:lang w:eastAsia="zh-CN"/>
        </w:rPr>
        <w:t>八是聚焦维护市场秩序。严查不正当竞争行为，强化网络交易、广告监管、价格监管，净化市场环境，坚决保护消费者合法权益。</w:t>
      </w:r>
    </w:p>
    <w:p w14:paraId="32B51DDF">
      <w:pPr>
        <w:keepNext w:val="0"/>
        <w:keepLines w:val="0"/>
        <w:pageBreakBefore w:val="0"/>
        <w:widowControl w:val="0"/>
        <w:kinsoku/>
        <w:wordWrap/>
        <w:overflowPunct/>
        <w:topLinePunct w:val="0"/>
        <w:autoSpaceDE/>
        <w:autoSpaceDN/>
        <w:bidi w:val="0"/>
        <w:adjustRightInd/>
        <w:snapToGrid/>
        <w:spacing w:line="576" w:lineRule="exact"/>
        <w:ind w:left="0" w:firstLine="640" w:firstLineChars="200"/>
        <w:textAlignment w:val="auto"/>
        <w:outlineLvl w:val="0"/>
        <w:rPr>
          <w:rFonts w:hint="default" w:ascii="Times New Roman" w:hAnsi="Times New Roman" w:eastAsia="黑体" w:cs="Times New Roman"/>
          <w:sz w:val="32"/>
          <w:szCs w:val="32"/>
          <w:lang w:val="en-US" w:eastAsia="zh-CN"/>
        </w:rPr>
      </w:pPr>
      <w:bookmarkStart w:id="10" w:name="_Toc19332"/>
      <w:bookmarkStart w:id="11" w:name="_Toc4969"/>
      <w:r>
        <w:rPr>
          <w:rFonts w:hint="default" w:ascii="Times New Roman" w:hAnsi="Times New Roman" w:eastAsia="黑体" w:cs="Times New Roman"/>
          <w:sz w:val="32"/>
          <w:szCs w:val="32"/>
          <w:lang w:val="en-US" w:eastAsia="zh-CN"/>
        </w:rPr>
        <w:t>二、部门预算单位构成</w:t>
      </w:r>
      <w:bookmarkEnd w:id="10"/>
      <w:bookmarkEnd w:id="11"/>
    </w:p>
    <w:p w14:paraId="6E160A6C">
      <w:pPr>
        <w:pageBreakBefore w:val="0"/>
        <w:widowControl w:val="0"/>
        <w:kinsoku/>
        <w:wordWrap/>
        <w:overflowPunct/>
        <w:topLinePunct w:val="0"/>
        <w:autoSpaceDE/>
        <w:autoSpaceDN/>
        <w:bidi w:val="0"/>
        <w:adjustRightInd/>
        <w:snapToGrid/>
        <w:spacing w:line="576" w:lineRule="exact"/>
        <w:ind w:left="0" w:firstLine="640" w:firstLineChars="200"/>
        <w:textAlignment w:val="auto"/>
        <w:rPr>
          <w:rFonts w:hint="default" w:ascii="Times New Roman" w:hAnsi="Times New Roman" w:eastAsia="仿宋_GB2312" w:cs="Times New Roman"/>
          <w:sz w:val="32"/>
          <w:szCs w:val="32"/>
          <w:lang w:val="en-US" w:eastAsia="zh-CN"/>
        </w:rPr>
      </w:pPr>
      <w:r>
        <w:rPr>
          <w:rFonts w:hint="default" w:ascii="Times New Roman" w:hAnsi="Times New Roman" w:eastAsia="仿宋_GB2312" w:cs="Times New Roman"/>
          <w:color w:val="000000"/>
          <w:sz w:val="32"/>
          <w:szCs w:val="32"/>
        </w:rPr>
        <w:t>昭化区市场监督管理局属一级预算单位，与区市场监管综合行政执法大队实行“局队合一”，同时挂广元市昭化区食品安全委员会办公室牌子。其下属事业单位</w:t>
      </w:r>
      <w:r>
        <w:rPr>
          <w:rFonts w:hint="eastAsia" w:ascii="Times New Roman" w:hAnsi="Times New Roman" w:eastAsia="仿宋_GB2312" w:cs="Times New Roman"/>
          <w:color w:val="000000"/>
          <w:sz w:val="32"/>
          <w:szCs w:val="32"/>
          <w:lang w:val="en-US" w:eastAsia="zh-CN"/>
        </w:rPr>
        <w:t>3个，主要包括</w:t>
      </w:r>
      <w:r>
        <w:rPr>
          <w:rFonts w:hint="default" w:ascii="Times New Roman" w:hAnsi="Times New Roman" w:eastAsia="仿宋_GB2312" w:cs="Times New Roman"/>
          <w:color w:val="000000"/>
          <w:sz w:val="32"/>
          <w:szCs w:val="32"/>
        </w:rPr>
        <w:t>：广元市昭化区市场监督事务中心、广元市昭化区消费者权益服务中心、广元市昭化区市场监督信息中心，无下属二级预算单位。</w:t>
      </w:r>
    </w:p>
    <w:p w14:paraId="6CBAAE94">
      <w:pPr>
        <w:keepNext w:val="0"/>
        <w:keepLines w:val="0"/>
        <w:pageBreakBefore w:val="0"/>
        <w:widowControl w:val="0"/>
        <w:kinsoku/>
        <w:wordWrap/>
        <w:overflowPunct/>
        <w:topLinePunct w:val="0"/>
        <w:autoSpaceDE/>
        <w:autoSpaceDN/>
        <w:bidi w:val="0"/>
        <w:adjustRightInd/>
        <w:snapToGrid/>
        <w:spacing w:line="576" w:lineRule="exact"/>
        <w:ind w:left="0" w:firstLine="640" w:firstLineChars="200"/>
        <w:textAlignment w:val="auto"/>
        <w:outlineLvl w:val="0"/>
        <w:rPr>
          <w:rFonts w:hint="default" w:ascii="Times New Roman" w:hAnsi="Times New Roman" w:eastAsia="黑体" w:cs="Times New Roman"/>
          <w:sz w:val="32"/>
          <w:szCs w:val="32"/>
        </w:rPr>
      </w:pPr>
      <w:bookmarkStart w:id="12" w:name="_Toc24674"/>
      <w:bookmarkStart w:id="13" w:name="_Toc588"/>
      <w:r>
        <w:rPr>
          <w:rFonts w:hint="default" w:ascii="Times New Roman" w:hAnsi="Times New Roman" w:eastAsia="黑体" w:cs="Times New Roman"/>
          <w:sz w:val="32"/>
          <w:szCs w:val="32"/>
          <w:lang w:val="en-US" w:eastAsia="zh-CN"/>
        </w:rPr>
        <w:t>三、收支预算情况说明</w:t>
      </w:r>
      <w:bookmarkEnd w:id="12"/>
      <w:bookmarkEnd w:id="13"/>
    </w:p>
    <w:p w14:paraId="483997DE">
      <w:pPr>
        <w:pageBreakBefore w:val="0"/>
        <w:widowControl w:val="0"/>
        <w:kinsoku/>
        <w:wordWrap/>
        <w:overflowPunct/>
        <w:topLinePunct w:val="0"/>
        <w:autoSpaceDE/>
        <w:autoSpaceDN/>
        <w:bidi w:val="0"/>
        <w:adjustRightInd/>
        <w:snapToGrid/>
        <w:spacing w:line="576" w:lineRule="exact"/>
        <w:ind w:left="0" w:firstLine="640" w:firstLineChars="200"/>
        <w:textAlignment w:val="auto"/>
        <w:rPr>
          <w:rFonts w:hint="default" w:ascii="Times New Roman" w:hAnsi="Times New Roman" w:eastAsia="仿宋_GB2312" w:cs="Times New Roman"/>
          <w:color w:val="000000"/>
          <w:sz w:val="32"/>
          <w:szCs w:val="32"/>
        </w:rPr>
      </w:pPr>
      <w:r>
        <w:rPr>
          <w:rFonts w:hint="default" w:ascii="Times New Roman" w:hAnsi="Times New Roman" w:eastAsia="仿宋_GB2312" w:cs="Times New Roman"/>
          <w:color w:val="000000"/>
          <w:sz w:val="32"/>
          <w:szCs w:val="32"/>
        </w:rPr>
        <w:t>按照综合预算的原则，昭化区市场监督管理局所有收入和支出均纳入部门预算管理。收入包括：一般公共预算拨款收入；支出包括：一般公共服务支出、社会保障和就业支出、卫生健康支出、住房保障支出</w:t>
      </w:r>
      <w:r>
        <w:rPr>
          <w:rFonts w:hint="default" w:ascii="Times New Roman" w:hAnsi="Times New Roman" w:eastAsia="仿宋_GB2312" w:cs="Times New Roman"/>
          <w:color w:val="000000"/>
          <w:sz w:val="32"/>
          <w:szCs w:val="32"/>
          <w:lang w:eastAsia="zh-CN"/>
        </w:rPr>
        <w:t>。</w:t>
      </w:r>
      <w:r>
        <w:rPr>
          <w:rFonts w:hint="default" w:ascii="Times New Roman" w:hAnsi="Times New Roman" w:eastAsia="仿宋_GB2312" w:cs="Times New Roman"/>
          <w:color w:val="000000"/>
          <w:sz w:val="32"/>
          <w:szCs w:val="32"/>
        </w:rPr>
        <w:t>昭化区市场监督管理局</w:t>
      </w:r>
      <w:r>
        <w:rPr>
          <w:rFonts w:hint="default" w:ascii="Times New Roman" w:hAnsi="Times New Roman" w:eastAsia="仿宋_GB2312" w:cs="Times New Roman"/>
          <w:sz w:val="32"/>
          <w:szCs w:val="32"/>
          <w:lang w:val="en-US" w:eastAsia="zh-CN"/>
        </w:rPr>
        <w:t>2025年收支预算总数1225.19万元,比2024年收支预算总数减少36.97万元，</w:t>
      </w:r>
      <w:r>
        <w:rPr>
          <w:rFonts w:hint="default" w:ascii="Times New Roman" w:hAnsi="Times New Roman" w:eastAsia="仿宋_GB2312" w:cs="Times New Roman"/>
          <w:color w:val="000000"/>
          <w:sz w:val="32"/>
          <w:szCs w:val="32"/>
        </w:rPr>
        <w:t>主要原因是202</w:t>
      </w:r>
      <w:r>
        <w:rPr>
          <w:rFonts w:hint="default" w:ascii="Times New Roman" w:hAnsi="Times New Roman" w:eastAsia="仿宋_GB2312" w:cs="Times New Roman"/>
          <w:color w:val="000000"/>
          <w:sz w:val="32"/>
          <w:szCs w:val="32"/>
          <w:lang w:val="en-US" w:eastAsia="zh-CN"/>
        </w:rPr>
        <w:t>4</w:t>
      </w:r>
      <w:r>
        <w:rPr>
          <w:rFonts w:hint="default" w:ascii="Times New Roman" w:hAnsi="Times New Roman" w:eastAsia="仿宋_GB2312" w:cs="Times New Roman"/>
          <w:color w:val="000000"/>
          <w:sz w:val="32"/>
          <w:szCs w:val="32"/>
        </w:rPr>
        <w:t>年在职人员减少，人员经费</w:t>
      </w:r>
      <w:r>
        <w:rPr>
          <w:rFonts w:hint="default" w:ascii="Times New Roman" w:hAnsi="Times New Roman" w:eastAsia="仿宋_GB2312" w:cs="Times New Roman"/>
          <w:color w:val="000000"/>
          <w:sz w:val="32"/>
          <w:szCs w:val="32"/>
          <w:lang w:eastAsia="zh-CN"/>
        </w:rPr>
        <w:t>及公用经费</w:t>
      </w:r>
      <w:r>
        <w:rPr>
          <w:rFonts w:hint="default" w:ascii="Times New Roman" w:hAnsi="Times New Roman" w:eastAsia="仿宋_GB2312" w:cs="Times New Roman"/>
          <w:color w:val="000000"/>
          <w:sz w:val="32"/>
          <w:szCs w:val="32"/>
        </w:rPr>
        <w:t>减少。</w:t>
      </w:r>
    </w:p>
    <w:p w14:paraId="65B8AD9F">
      <w:pPr>
        <w:pStyle w:val="5"/>
        <w:pageBreakBefore w:val="0"/>
        <w:widowControl w:val="0"/>
        <w:kinsoku/>
        <w:wordWrap/>
        <w:overflowPunct/>
        <w:topLinePunct w:val="0"/>
        <w:autoSpaceDE/>
        <w:autoSpaceDN/>
        <w:bidi w:val="0"/>
        <w:adjustRightInd/>
        <w:snapToGrid/>
        <w:spacing w:after="0" w:line="576" w:lineRule="exact"/>
        <w:ind w:left="0" w:firstLine="643" w:firstLineChars="200"/>
        <w:jc w:val="both"/>
        <w:textAlignment w:val="auto"/>
        <w:outlineLvl w:val="1"/>
        <w:rPr>
          <w:rFonts w:hint="default" w:ascii="Times New Roman" w:hAnsi="Times New Roman" w:eastAsia="楷体_GB2312" w:cs="Times New Roman"/>
          <w:b/>
          <w:bCs/>
          <w:color w:val="000000"/>
          <w:sz w:val="32"/>
          <w:szCs w:val="32"/>
          <w:lang w:val="en-US" w:eastAsia="zh-CN"/>
        </w:rPr>
      </w:pPr>
      <w:bookmarkStart w:id="14" w:name="_Toc28502"/>
      <w:bookmarkStart w:id="15" w:name="_Toc19277"/>
      <w:r>
        <w:rPr>
          <w:rFonts w:hint="default" w:ascii="Times New Roman" w:hAnsi="Times New Roman" w:eastAsia="楷体_GB2312" w:cs="Times New Roman"/>
          <w:b/>
          <w:bCs/>
          <w:color w:val="000000"/>
          <w:sz w:val="32"/>
          <w:szCs w:val="32"/>
          <w:lang w:val="en-US" w:eastAsia="zh-CN"/>
        </w:rPr>
        <w:t>（一）收入预算情况</w:t>
      </w:r>
      <w:bookmarkEnd w:id="14"/>
      <w:bookmarkEnd w:id="15"/>
    </w:p>
    <w:p w14:paraId="14234BA4">
      <w:pPr>
        <w:keepNext w:val="0"/>
        <w:keepLines w:val="0"/>
        <w:pageBreakBefore w:val="0"/>
        <w:widowControl w:val="0"/>
        <w:kinsoku/>
        <w:wordWrap/>
        <w:overflowPunct/>
        <w:topLinePunct w:val="0"/>
        <w:autoSpaceDE/>
        <w:autoSpaceDN/>
        <w:bidi w:val="0"/>
        <w:adjustRightInd/>
        <w:snapToGrid/>
        <w:spacing w:line="576" w:lineRule="exact"/>
        <w:ind w:left="0" w:firstLine="640" w:firstLineChars="200"/>
        <w:textAlignment w:val="auto"/>
        <w:rPr>
          <w:rFonts w:hint="default" w:ascii="Times New Roman" w:hAnsi="Times New Roman" w:eastAsia="仿宋_GB2312" w:cs="Times New Roman"/>
          <w:sz w:val="32"/>
          <w:szCs w:val="32"/>
          <w:lang w:val="en-US" w:eastAsia="zh-CN"/>
        </w:rPr>
      </w:pPr>
      <w:r>
        <w:rPr>
          <w:rFonts w:hint="default" w:ascii="Times New Roman" w:hAnsi="Times New Roman" w:eastAsia="仿宋_GB2312" w:cs="Times New Roman"/>
          <w:color w:val="000000"/>
          <w:sz w:val="32"/>
          <w:szCs w:val="32"/>
        </w:rPr>
        <w:t>昭化区市场监督管理局</w:t>
      </w:r>
      <w:r>
        <w:rPr>
          <w:rFonts w:hint="default" w:ascii="Times New Roman" w:hAnsi="Times New Roman" w:eastAsia="仿宋_GB2312" w:cs="Times New Roman"/>
          <w:sz w:val="32"/>
          <w:szCs w:val="32"/>
          <w:lang w:val="en-US" w:eastAsia="zh-CN"/>
        </w:rPr>
        <w:t>2025年收入预算1225.19万元，其中：上年结转0万元，占0%；一般公共预算拨款收入1225.19万元，占100%；政府性基金预算拨款收入0万元，占0%；事业收入0万元，占0%；其他收入0万元，占0%。</w:t>
      </w:r>
    </w:p>
    <w:p w14:paraId="2FB32E64">
      <w:pPr>
        <w:pStyle w:val="5"/>
        <w:pageBreakBefore w:val="0"/>
        <w:widowControl w:val="0"/>
        <w:kinsoku/>
        <w:wordWrap/>
        <w:overflowPunct/>
        <w:topLinePunct w:val="0"/>
        <w:autoSpaceDE/>
        <w:autoSpaceDN/>
        <w:bidi w:val="0"/>
        <w:adjustRightInd/>
        <w:snapToGrid/>
        <w:spacing w:after="0" w:line="576" w:lineRule="exact"/>
        <w:ind w:left="0" w:firstLine="643" w:firstLineChars="200"/>
        <w:jc w:val="both"/>
        <w:textAlignment w:val="auto"/>
        <w:outlineLvl w:val="1"/>
        <w:rPr>
          <w:rFonts w:hint="default" w:ascii="Times New Roman" w:hAnsi="Times New Roman" w:eastAsia="楷体_GB2312" w:cs="Times New Roman"/>
          <w:b/>
          <w:bCs/>
          <w:color w:val="000000"/>
          <w:sz w:val="32"/>
          <w:szCs w:val="32"/>
          <w:lang w:val="en-US" w:eastAsia="zh-CN"/>
        </w:rPr>
      </w:pPr>
      <w:bookmarkStart w:id="16" w:name="_Toc23294"/>
      <w:bookmarkStart w:id="17" w:name="_Toc30337"/>
      <w:r>
        <w:rPr>
          <w:rFonts w:hint="default" w:ascii="Times New Roman" w:hAnsi="Times New Roman" w:eastAsia="楷体_GB2312" w:cs="Times New Roman"/>
          <w:b/>
          <w:bCs/>
          <w:color w:val="000000"/>
          <w:sz w:val="32"/>
          <w:szCs w:val="32"/>
          <w:lang w:val="en-US" w:eastAsia="zh-CN"/>
        </w:rPr>
        <w:t>（二）支出预算情况</w:t>
      </w:r>
      <w:bookmarkEnd w:id="16"/>
      <w:bookmarkEnd w:id="17"/>
    </w:p>
    <w:p w14:paraId="64F71779">
      <w:pPr>
        <w:keepNext w:val="0"/>
        <w:keepLines w:val="0"/>
        <w:pageBreakBefore w:val="0"/>
        <w:widowControl w:val="0"/>
        <w:kinsoku/>
        <w:wordWrap/>
        <w:overflowPunct/>
        <w:topLinePunct w:val="0"/>
        <w:autoSpaceDE/>
        <w:autoSpaceDN/>
        <w:bidi w:val="0"/>
        <w:adjustRightInd/>
        <w:snapToGrid/>
        <w:spacing w:line="576" w:lineRule="exact"/>
        <w:ind w:left="0" w:firstLine="640" w:firstLineChars="200"/>
        <w:textAlignment w:val="auto"/>
        <w:rPr>
          <w:rFonts w:hint="default" w:ascii="Times New Roman" w:hAnsi="Times New Roman" w:eastAsia="仿宋_GB2312" w:cs="Times New Roman"/>
          <w:b w:val="0"/>
          <w:bCs w:val="0"/>
          <w:sz w:val="32"/>
          <w:szCs w:val="32"/>
          <w:lang w:val="en-US" w:eastAsia="zh-CN"/>
        </w:rPr>
      </w:pPr>
      <w:r>
        <w:rPr>
          <w:rFonts w:hint="default" w:ascii="Times New Roman" w:hAnsi="Times New Roman" w:eastAsia="仿宋_GB2312" w:cs="Times New Roman"/>
          <w:color w:val="000000"/>
          <w:sz w:val="32"/>
          <w:szCs w:val="32"/>
        </w:rPr>
        <w:t>昭化区市场监督管理局</w:t>
      </w:r>
      <w:r>
        <w:rPr>
          <w:rFonts w:hint="default" w:ascii="Times New Roman" w:hAnsi="Times New Roman" w:eastAsia="仿宋_GB2312" w:cs="Times New Roman"/>
          <w:sz w:val="32"/>
          <w:szCs w:val="32"/>
          <w:lang w:val="en-US" w:eastAsia="zh-CN"/>
        </w:rPr>
        <w:t>2025年支出预算1225.19万元，其中：基本支出1036.24万元，占84.58%；项目支出188.95万元，占15.42%</w:t>
      </w:r>
      <w:r>
        <w:rPr>
          <w:rFonts w:hint="default" w:ascii="Times New Roman" w:hAnsi="Times New Roman" w:eastAsia="仿宋_GB2312" w:cs="Times New Roman"/>
          <w:b w:val="0"/>
          <w:bCs w:val="0"/>
          <w:sz w:val="32"/>
          <w:szCs w:val="32"/>
          <w:lang w:val="en-US" w:eastAsia="zh-CN"/>
        </w:rPr>
        <w:t>。</w:t>
      </w:r>
    </w:p>
    <w:p w14:paraId="3B08D3CE">
      <w:pPr>
        <w:keepNext w:val="0"/>
        <w:keepLines w:val="0"/>
        <w:pageBreakBefore w:val="0"/>
        <w:widowControl w:val="0"/>
        <w:kinsoku/>
        <w:wordWrap/>
        <w:overflowPunct/>
        <w:topLinePunct w:val="0"/>
        <w:autoSpaceDE/>
        <w:autoSpaceDN/>
        <w:bidi w:val="0"/>
        <w:adjustRightInd/>
        <w:snapToGrid/>
        <w:spacing w:line="576" w:lineRule="exact"/>
        <w:ind w:left="0" w:firstLine="640" w:firstLineChars="200"/>
        <w:textAlignment w:val="auto"/>
        <w:outlineLvl w:val="0"/>
        <w:rPr>
          <w:rFonts w:hint="default" w:ascii="Times New Roman" w:hAnsi="Times New Roman" w:eastAsia="黑体" w:cs="Times New Roman"/>
          <w:sz w:val="32"/>
          <w:szCs w:val="32"/>
        </w:rPr>
      </w:pPr>
      <w:bookmarkStart w:id="18" w:name="_Toc2794"/>
      <w:bookmarkStart w:id="19" w:name="_Toc19628"/>
      <w:r>
        <w:rPr>
          <w:rFonts w:hint="default" w:ascii="Times New Roman" w:hAnsi="Times New Roman" w:eastAsia="黑体" w:cs="Times New Roman"/>
          <w:sz w:val="32"/>
          <w:szCs w:val="32"/>
          <w:lang w:val="en-US" w:eastAsia="zh-CN"/>
        </w:rPr>
        <w:t>四、财政拨款收支预算情况说明</w:t>
      </w:r>
      <w:bookmarkEnd w:id="18"/>
      <w:bookmarkEnd w:id="19"/>
    </w:p>
    <w:p w14:paraId="7AF041B6">
      <w:pPr>
        <w:pageBreakBefore w:val="0"/>
        <w:widowControl w:val="0"/>
        <w:kinsoku/>
        <w:wordWrap/>
        <w:overflowPunct/>
        <w:topLinePunct w:val="0"/>
        <w:autoSpaceDE/>
        <w:autoSpaceDN/>
        <w:bidi w:val="0"/>
        <w:adjustRightInd/>
        <w:snapToGrid/>
        <w:spacing w:line="576" w:lineRule="exact"/>
        <w:ind w:left="0" w:firstLine="640" w:firstLineChars="200"/>
        <w:textAlignment w:val="auto"/>
        <w:rPr>
          <w:rFonts w:hint="default" w:ascii="Times New Roman" w:hAnsi="Times New Roman" w:eastAsia="仿宋_GB2312" w:cs="Times New Roman"/>
          <w:b/>
          <w:bCs/>
          <w:sz w:val="32"/>
          <w:szCs w:val="32"/>
          <w:lang w:val="en-US" w:eastAsia="zh-CN"/>
        </w:rPr>
      </w:pPr>
      <w:r>
        <w:rPr>
          <w:rFonts w:hint="default" w:ascii="Times New Roman" w:hAnsi="Times New Roman" w:eastAsia="仿宋_GB2312" w:cs="Times New Roman"/>
          <w:color w:val="000000"/>
          <w:sz w:val="32"/>
          <w:szCs w:val="32"/>
        </w:rPr>
        <w:t>昭化区市场监督管理局</w:t>
      </w:r>
      <w:r>
        <w:rPr>
          <w:rFonts w:hint="default" w:ascii="Times New Roman" w:hAnsi="Times New Roman" w:eastAsia="仿宋_GB2312" w:cs="Times New Roman"/>
          <w:sz w:val="32"/>
          <w:szCs w:val="32"/>
          <w:lang w:val="en-US" w:eastAsia="zh-CN"/>
        </w:rPr>
        <w:t>2025年财政拨款收支预算总数1225.19万元,比2024年财政拨款收支预算总数增减少36.97万元，</w:t>
      </w:r>
      <w:r>
        <w:rPr>
          <w:rFonts w:hint="default" w:ascii="Times New Roman" w:hAnsi="Times New Roman" w:eastAsia="仿宋_GB2312" w:cs="Times New Roman"/>
          <w:color w:val="000000"/>
          <w:sz w:val="32"/>
          <w:szCs w:val="32"/>
        </w:rPr>
        <w:t>主要原因是202</w:t>
      </w:r>
      <w:r>
        <w:rPr>
          <w:rFonts w:hint="default" w:ascii="Times New Roman" w:hAnsi="Times New Roman" w:eastAsia="仿宋_GB2312" w:cs="Times New Roman"/>
          <w:color w:val="000000"/>
          <w:sz w:val="32"/>
          <w:szCs w:val="32"/>
          <w:lang w:val="en-US" w:eastAsia="zh-CN"/>
        </w:rPr>
        <w:t>4</w:t>
      </w:r>
      <w:r>
        <w:rPr>
          <w:rFonts w:hint="default" w:ascii="Times New Roman" w:hAnsi="Times New Roman" w:eastAsia="仿宋_GB2312" w:cs="Times New Roman"/>
          <w:color w:val="000000"/>
          <w:sz w:val="32"/>
          <w:szCs w:val="32"/>
        </w:rPr>
        <w:t>年在职人员减少，人员经费</w:t>
      </w:r>
      <w:r>
        <w:rPr>
          <w:rFonts w:hint="default" w:ascii="Times New Roman" w:hAnsi="Times New Roman" w:eastAsia="仿宋_GB2312" w:cs="Times New Roman"/>
          <w:color w:val="000000"/>
          <w:sz w:val="32"/>
          <w:szCs w:val="32"/>
          <w:lang w:eastAsia="zh-CN"/>
        </w:rPr>
        <w:t>及公用经费</w:t>
      </w:r>
      <w:r>
        <w:rPr>
          <w:rFonts w:hint="default" w:ascii="Times New Roman" w:hAnsi="Times New Roman" w:eastAsia="仿宋_GB2312" w:cs="Times New Roman"/>
          <w:color w:val="000000"/>
          <w:sz w:val="32"/>
          <w:szCs w:val="32"/>
        </w:rPr>
        <w:t>减少。</w:t>
      </w:r>
    </w:p>
    <w:p w14:paraId="3AECB8F9">
      <w:pPr>
        <w:keepNext w:val="0"/>
        <w:keepLines w:val="0"/>
        <w:pageBreakBefore w:val="0"/>
        <w:widowControl w:val="0"/>
        <w:kinsoku/>
        <w:wordWrap/>
        <w:overflowPunct/>
        <w:topLinePunct w:val="0"/>
        <w:autoSpaceDE/>
        <w:autoSpaceDN/>
        <w:bidi w:val="0"/>
        <w:adjustRightInd/>
        <w:snapToGrid/>
        <w:spacing w:line="576" w:lineRule="exact"/>
        <w:ind w:left="0" w:firstLine="640" w:firstLineChars="200"/>
        <w:textAlignment w:val="auto"/>
        <w:rPr>
          <w:rFonts w:hint="default" w:ascii="Times New Roman" w:hAnsi="Times New Roman" w:eastAsia="仿宋_GB2312" w:cs="Times New Roman"/>
          <w:sz w:val="32"/>
          <w:szCs w:val="32"/>
          <w:lang w:val="en-US" w:eastAsia="zh-CN"/>
        </w:rPr>
      </w:pPr>
      <w:r>
        <w:rPr>
          <w:rFonts w:hint="default" w:ascii="Times New Roman" w:hAnsi="Times New Roman" w:eastAsia="仿宋_GB2312" w:cs="Times New Roman"/>
          <w:sz w:val="32"/>
          <w:szCs w:val="32"/>
          <w:lang w:val="en-US" w:eastAsia="zh-CN"/>
        </w:rPr>
        <w:t>收入包括：本年一般公共预算拨款收入1225.19万元、政府性基金预算拨款收入0万元；支出包括：一般公共服务支出945.16万元、社会保障和就业支出168.36万元、卫生健康支出36.19万元、住房保障支出75.48万元。</w:t>
      </w:r>
    </w:p>
    <w:p w14:paraId="457E20DD">
      <w:pPr>
        <w:keepNext w:val="0"/>
        <w:keepLines w:val="0"/>
        <w:pageBreakBefore w:val="0"/>
        <w:widowControl w:val="0"/>
        <w:kinsoku/>
        <w:wordWrap/>
        <w:overflowPunct/>
        <w:topLinePunct w:val="0"/>
        <w:autoSpaceDE/>
        <w:autoSpaceDN/>
        <w:bidi w:val="0"/>
        <w:adjustRightInd/>
        <w:snapToGrid/>
        <w:spacing w:line="576" w:lineRule="exact"/>
        <w:ind w:left="0" w:firstLine="640" w:firstLineChars="200"/>
        <w:textAlignment w:val="auto"/>
        <w:outlineLvl w:val="0"/>
        <w:rPr>
          <w:rFonts w:hint="default" w:ascii="Times New Roman" w:hAnsi="Times New Roman" w:eastAsia="黑体" w:cs="Times New Roman"/>
          <w:sz w:val="32"/>
          <w:szCs w:val="32"/>
          <w:lang w:val="en-US" w:eastAsia="zh-CN"/>
        </w:rPr>
      </w:pPr>
      <w:bookmarkStart w:id="20" w:name="_Toc11565"/>
      <w:bookmarkStart w:id="21" w:name="_Toc17283"/>
      <w:r>
        <w:rPr>
          <w:rFonts w:hint="default" w:ascii="Times New Roman" w:hAnsi="Times New Roman" w:eastAsia="黑体" w:cs="Times New Roman"/>
          <w:sz w:val="32"/>
          <w:szCs w:val="32"/>
          <w:lang w:val="en-US" w:eastAsia="zh-CN"/>
        </w:rPr>
        <w:t>五、一般公共预算当年拨款情况说明</w:t>
      </w:r>
      <w:bookmarkEnd w:id="20"/>
      <w:bookmarkEnd w:id="21"/>
    </w:p>
    <w:p w14:paraId="4A9F1731">
      <w:pPr>
        <w:pStyle w:val="5"/>
        <w:pageBreakBefore w:val="0"/>
        <w:widowControl w:val="0"/>
        <w:kinsoku/>
        <w:wordWrap/>
        <w:overflowPunct/>
        <w:topLinePunct w:val="0"/>
        <w:autoSpaceDE/>
        <w:autoSpaceDN/>
        <w:bidi w:val="0"/>
        <w:adjustRightInd/>
        <w:snapToGrid/>
        <w:spacing w:after="0" w:line="576" w:lineRule="exact"/>
        <w:ind w:left="0" w:firstLine="643" w:firstLineChars="200"/>
        <w:jc w:val="both"/>
        <w:textAlignment w:val="auto"/>
        <w:outlineLvl w:val="1"/>
        <w:rPr>
          <w:rFonts w:hint="default" w:ascii="Times New Roman" w:hAnsi="Times New Roman" w:eastAsia="楷体_GB2312" w:cs="Times New Roman"/>
          <w:b/>
          <w:bCs/>
          <w:color w:val="000000"/>
          <w:sz w:val="32"/>
          <w:szCs w:val="32"/>
          <w:lang w:val="en-US" w:eastAsia="zh-CN"/>
        </w:rPr>
      </w:pPr>
      <w:bookmarkStart w:id="22" w:name="_Toc20542"/>
      <w:bookmarkStart w:id="23" w:name="_Toc12522"/>
      <w:r>
        <w:rPr>
          <w:rFonts w:hint="default" w:ascii="Times New Roman" w:hAnsi="Times New Roman" w:eastAsia="楷体_GB2312" w:cs="Times New Roman"/>
          <w:b/>
          <w:bCs/>
          <w:color w:val="000000"/>
          <w:sz w:val="32"/>
          <w:szCs w:val="32"/>
          <w:lang w:val="en-US" w:eastAsia="zh-CN"/>
        </w:rPr>
        <w:t>（一）一般公共预算当年拨款规模变化情况</w:t>
      </w:r>
      <w:bookmarkEnd w:id="22"/>
      <w:bookmarkEnd w:id="23"/>
    </w:p>
    <w:p w14:paraId="6D2B9FB1">
      <w:pPr>
        <w:pageBreakBefore w:val="0"/>
        <w:widowControl w:val="0"/>
        <w:kinsoku/>
        <w:wordWrap/>
        <w:overflowPunct/>
        <w:topLinePunct w:val="0"/>
        <w:autoSpaceDE/>
        <w:autoSpaceDN/>
        <w:bidi w:val="0"/>
        <w:adjustRightInd/>
        <w:snapToGrid/>
        <w:spacing w:line="576" w:lineRule="exact"/>
        <w:ind w:left="0" w:firstLine="640" w:firstLineChars="200"/>
        <w:textAlignment w:val="auto"/>
        <w:rPr>
          <w:rFonts w:hint="default" w:ascii="Times New Roman" w:hAnsi="Times New Roman" w:eastAsia="仿宋_GB2312" w:cs="Times New Roman"/>
          <w:color w:val="000000"/>
          <w:sz w:val="32"/>
          <w:szCs w:val="32"/>
        </w:rPr>
      </w:pPr>
      <w:r>
        <w:rPr>
          <w:rFonts w:hint="default" w:ascii="Times New Roman" w:hAnsi="Times New Roman" w:eastAsia="仿宋_GB2312" w:cs="Times New Roman"/>
          <w:color w:val="000000"/>
          <w:sz w:val="32"/>
          <w:szCs w:val="32"/>
        </w:rPr>
        <w:t>昭化区市场监督管理局</w:t>
      </w:r>
      <w:r>
        <w:rPr>
          <w:rFonts w:hint="default" w:ascii="Times New Roman" w:hAnsi="Times New Roman" w:eastAsia="仿宋_GB2312" w:cs="Times New Roman"/>
          <w:sz w:val="32"/>
          <w:szCs w:val="32"/>
          <w:lang w:val="en-US" w:eastAsia="zh-CN"/>
        </w:rPr>
        <w:t>2025年一般公共预算当年拨款1225.19万元，比2024年预算数减少36.97万元，</w:t>
      </w:r>
      <w:r>
        <w:rPr>
          <w:rFonts w:hint="default" w:ascii="Times New Roman" w:hAnsi="Times New Roman" w:eastAsia="仿宋_GB2312" w:cs="Times New Roman"/>
          <w:color w:val="000000"/>
          <w:sz w:val="32"/>
          <w:szCs w:val="32"/>
        </w:rPr>
        <w:t>主要原因是202</w:t>
      </w:r>
      <w:r>
        <w:rPr>
          <w:rFonts w:hint="default" w:ascii="Times New Roman" w:hAnsi="Times New Roman" w:eastAsia="仿宋_GB2312" w:cs="Times New Roman"/>
          <w:color w:val="000000"/>
          <w:sz w:val="32"/>
          <w:szCs w:val="32"/>
          <w:lang w:val="en-US" w:eastAsia="zh-CN"/>
        </w:rPr>
        <w:t>4</w:t>
      </w:r>
      <w:r>
        <w:rPr>
          <w:rFonts w:hint="default" w:ascii="Times New Roman" w:hAnsi="Times New Roman" w:eastAsia="仿宋_GB2312" w:cs="Times New Roman"/>
          <w:color w:val="000000"/>
          <w:sz w:val="32"/>
          <w:szCs w:val="32"/>
        </w:rPr>
        <w:t>年在职人员减少，人员经费</w:t>
      </w:r>
      <w:r>
        <w:rPr>
          <w:rFonts w:hint="default" w:ascii="Times New Roman" w:hAnsi="Times New Roman" w:eastAsia="仿宋_GB2312" w:cs="Times New Roman"/>
          <w:color w:val="000000"/>
          <w:sz w:val="32"/>
          <w:szCs w:val="32"/>
          <w:lang w:eastAsia="zh-CN"/>
        </w:rPr>
        <w:t>及公用经费</w:t>
      </w:r>
      <w:r>
        <w:rPr>
          <w:rFonts w:hint="default" w:ascii="Times New Roman" w:hAnsi="Times New Roman" w:eastAsia="仿宋_GB2312" w:cs="Times New Roman"/>
          <w:color w:val="000000"/>
          <w:sz w:val="32"/>
          <w:szCs w:val="32"/>
        </w:rPr>
        <w:t>减少。</w:t>
      </w:r>
    </w:p>
    <w:p w14:paraId="5C143591">
      <w:pPr>
        <w:pStyle w:val="5"/>
        <w:pageBreakBefore w:val="0"/>
        <w:widowControl w:val="0"/>
        <w:kinsoku/>
        <w:wordWrap/>
        <w:overflowPunct/>
        <w:topLinePunct w:val="0"/>
        <w:autoSpaceDE/>
        <w:autoSpaceDN/>
        <w:bidi w:val="0"/>
        <w:adjustRightInd/>
        <w:snapToGrid/>
        <w:spacing w:after="0" w:line="576" w:lineRule="exact"/>
        <w:ind w:left="0" w:firstLine="643" w:firstLineChars="200"/>
        <w:jc w:val="both"/>
        <w:textAlignment w:val="auto"/>
        <w:outlineLvl w:val="1"/>
        <w:rPr>
          <w:rFonts w:hint="default" w:ascii="Times New Roman" w:hAnsi="Times New Roman" w:eastAsia="楷体_GB2312" w:cs="Times New Roman"/>
          <w:b/>
          <w:bCs/>
          <w:color w:val="000000"/>
          <w:sz w:val="32"/>
          <w:szCs w:val="32"/>
          <w:lang w:val="en-US" w:eastAsia="zh-CN"/>
        </w:rPr>
      </w:pPr>
      <w:bookmarkStart w:id="24" w:name="_Toc10669"/>
      <w:bookmarkStart w:id="25" w:name="_Toc31010"/>
      <w:r>
        <w:rPr>
          <w:rFonts w:hint="default" w:ascii="Times New Roman" w:hAnsi="Times New Roman" w:eastAsia="楷体_GB2312" w:cs="Times New Roman"/>
          <w:b/>
          <w:bCs/>
          <w:color w:val="000000"/>
          <w:sz w:val="32"/>
          <w:szCs w:val="32"/>
          <w:lang w:val="en-US" w:eastAsia="zh-CN"/>
        </w:rPr>
        <w:t>（二）一般公共预算当年拨款结构情况</w:t>
      </w:r>
      <w:bookmarkEnd w:id="24"/>
      <w:bookmarkEnd w:id="25"/>
    </w:p>
    <w:p w14:paraId="4BB02B72">
      <w:pPr>
        <w:keepNext w:val="0"/>
        <w:keepLines w:val="0"/>
        <w:pageBreakBefore w:val="0"/>
        <w:widowControl w:val="0"/>
        <w:kinsoku/>
        <w:wordWrap/>
        <w:overflowPunct/>
        <w:topLinePunct w:val="0"/>
        <w:autoSpaceDE/>
        <w:autoSpaceDN/>
        <w:bidi w:val="0"/>
        <w:adjustRightInd/>
        <w:snapToGrid/>
        <w:spacing w:line="576" w:lineRule="exact"/>
        <w:ind w:left="0" w:firstLine="640" w:firstLineChars="200"/>
        <w:textAlignment w:val="auto"/>
        <w:rPr>
          <w:rFonts w:hint="default" w:ascii="Times New Roman" w:hAnsi="Times New Roman" w:eastAsia="仿宋_GB2312" w:cs="Times New Roman"/>
          <w:sz w:val="32"/>
          <w:szCs w:val="32"/>
          <w:lang w:val="en-US" w:eastAsia="zh-CN"/>
        </w:rPr>
      </w:pPr>
      <w:r>
        <w:rPr>
          <w:rFonts w:hint="default" w:ascii="Times New Roman" w:hAnsi="Times New Roman" w:eastAsia="仿宋_GB2312" w:cs="Times New Roman"/>
          <w:sz w:val="32"/>
          <w:szCs w:val="32"/>
          <w:lang w:val="en-US" w:eastAsia="zh-CN"/>
        </w:rPr>
        <w:t>一般公共服务支出945.16万元，占77.14%；社会保障和就业支出168.36万元，占13.74%；卫生健康支出36.19万元，占2.95%；住房保障支出75.48万元，占6.17%。</w:t>
      </w:r>
    </w:p>
    <w:p w14:paraId="43BF2BC5">
      <w:pPr>
        <w:pStyle w:val="5"/>
        <w:pageBreakBefore w:val="0"/>
        <w:widowControl w:val="0"/>
        <w:kinsoku/>
        <w:wordWrap/>
        <w:overflowPunct/>
        <w:topLinePunct w:val="0"/>
        <w:autoSpaceDE/>
        <w:autoSpaceDN/>
        <w:bidi w:val="0"/>
        <w:adjustRightInd/>
        <w:snapToGrid/>
        <w:spacing w:after="0" w:line="576" w:lineRule="exact"/>
        <w:ind w:left="0" w:firstLine="643" w:firstLineChars="200"/>
        <w:jc w:val="both"/>
        <w:textAlignment w:val="auto"/>
        <w:outlineLvl w:val="1"/>
        <w:rPr>
          <w:rFonts w:hint="default" w:ascii="Times New Roman" w:hAnsi="Times New Roman" w:eastAsia="楷体_GB2312" w:cs="Times New Roman"/>
          <w:b/>
          <w:bCs/>
          <w:color w:val="000000"/>
          <w:sz w:val="32"/>
          <w:szCs w:val="32"/>
          <w:lang w:val="en-US" w:eastAsia="zh-CN"/>
        </w:rPr>
      </w:pPr>
      <w:bookmarkStart w:id="26" w:name="_Toc29932"/>
      <w:bookmarkStart w:id="27" w:name="_Toc7330"/>
      <w:r>
        <w:rPr>
          <w:rFonts w:hint="default" w:ascii="Times New Roman" w:hAnsi="Times New Roman" w:eastAsia="楷体_GB2312" w:cs="Times New Roman"/>
          <w:b/>
          <w:bCs/>
          <w:color w:val="000000"/>
          <w:sz w:val="32"/>
          <w:szCs w:val="32"/>
          <w:lang w:val="en-US" w:eastAsia="zh-CN"/>
        </w:rPr>
        <w:t>（三）一般公共预算当年拨款具体使用情况</w:t>
      </w:r>
      <w:bookmarkEnd w:id="26"/>
      <w:bookmarkEnd w:id="27"/>
    </w:p>
    <w:p w14:paraId="4B387BD2">
      <w:pPr>
        <w:pageBreakBefore w:val="0"/>
        <w:widowControl w:val="0"/>
        <w:kinsoku/>
        <w:wordWrap/>
        <w:overflowPunct/>
        <w:topLinePunct w:val="0"/>
        <w:autoSpaceDE/>
        <w:autoSpaceDN/>
        <w:bidi w:val="0"/>
        <w:adjustRightInd/>
        <w:snapToGrid/>
        <w:spacing w:line="576" w:lineRule="exact"/>
        <w:ind w:left="0" w:firstLine="640" w:firstLineChars="200"/>
        <w:textAlignment w:val="auto"/>
        <w:rPr>
          <w:rFonts w:hint="default" w:ascii="Times New Roman" w:hAnsi="Times New Roman" w:eastAsia="仿宋_GB2312" w:cs="Times New Roman"/>
          <w:color w:val="000000"/>
          <w:sz w:val="32"/>
          <w:szCs w:val="32"/>
        </w:rPr>
      </w:pPr>
      <w:r>
        <w:rPr>
          <w:rFonts w:hint="default" w:ascii="Times New Roman" w:hAnsi="Times New Roman" w:eastAsia="仿宋_GB2312" w:cs="Times New Roman"/>
          <w:sz w:val="32"/>
          <w:szCs w:val="32"/>
          <w:lang w:val="en-US" w:eastAsia="zh-CN"/>
        </w:rPr>
        <w:t>1.</w:t>
      </w:r>
      <w:r>
        <w:rPr>
          <w:rFonts w:hint="default" w:ascii="Times New Roman" w:hAnsi="Times New Roman" w:eastAsia="仿宋_GB2312" w:cs="Times New Roman"/>
          <w:color w:val="000000"/>
          <w:sz w:val="32"/>
          <w:szCs w:val="32"/>
        </w:rPr>
        <w:t>一般公共服务支出（类）市场监督管理事务（款）行政运行（项）202</w:t>
      </w:r>
      <w:r>
        <w:rPr>
          <w:rFonts w:hint="default" w:ascii="Times New Roman" w:hAnsi="Times New Roman" w:eastAsia="仿宋_GB2312" w:cs="Times New Roman"/>
          <w:color w:val="000000"/>
          <w:sz w:val="32"/>
          <w:szCs w:val="32"/>
          <w:lang w:val="en-US" w:eastAsia="zh-CN"/>
        </w:rPr>
        <w:t>5</w:t>
      </w:r>
      <w:r>
        <w:rPr>
          <w:rFonts w:hint="default" w:ascii="Times New Roman" w:hAnsi="Times New Roman" w:eastAsia="仿宋_GB2312" w:cs="Times New Roman"/>
          <w:color w:val="000000"/>
          <w:sz w:val="32"/>
          <w:szCs w:val="32"/>
        </w:rPr>
        <w:t>年预算数为</w:t>
      </w:r>
      <w:r>
        <w:rPr>
          <w:rFonts w:hint="default" w:ascii="Times New Roman" w:hAnsi="Times New Roman" w:eastAsia="仿宋_GB2312" w:cs="Times New Roman"/>
          <w:color w:val="000000"/>
          <w:sz w:val="32"/>
          <w:szCs w:val="32"/>
          <w:lang w:val="en-US" w:eastAsia="zh-CN"/>
        </w:rPr>
        <w:t>574.96</w:t>
      </w:r>
      <w:r>
        <w:rPr>
          <w:rFonts w:hint="default" w:ascii="Times New Roman" w:hAnsi="Times New Roman" w:eastAsia="仿宋_GB2312" w:cs="Times New Roman"/>
          <w:color w:val="000000"/>
          <w:sz w:val="32"/>
          <w:szCs w:val="32"/>
        </w:rPr>
        <w:t>万元，主要用于：局机关事业单位正常运转的基本支出，包括基本工资、津贴补贴等人员经费以及办公费、印刷费、水电费</w:t>
      </w:r>
      <w:r>
        <w:rPr>
          <w:rFonts w:hint="default" w:ascii="Times New Roman" w:hAnsi="Times New Roman" w:eastAsia="仿宋_GB2312" w:cs="Times New Roman"/>
          <w:color w:val="000000"/>
          <w:sz w:val="32"/>
          <w:szCs w:val="32"/>
          <w:lang w:eastAsia="zh-CN"/>
        </w:rPr>
        <w:t>、</w:t>
      </w:r>
      <w:r>
        <w:rPr>
          <w:rFonts w:hint="default" w:ascii="Times New Roman" w:hAnsi="Times New Roman" w:eastAsia="仿宋_GB2312" w:cs="Times New Roman"/>
          <w:color w:val="000000"/>
          <w:sz w:val="32"/>
          <w:szCs w:val="32"/>
        </w:rPr>
        <w:t>基层人员乡镇补贴等日常公用经费,保障部门正常运转。</w:t>
      </w:r>
    </w:p>
    <w:p w14:paraId="27712131">
      <w:pPr>
        <w:pageBreakBefore w:val="0"/>
        <w:widowControl w:val="0"/>
        <w:kinsoku/>
        <w:wordWrap/>
        <w:overflowPunct/>
        <w:topLinePunct w:val="0"/>
        <w:autoSpaceDE/>
        <w:autoSpaceDN/>
        <w:bidi w:val="0"/>
        <w:adjustRightInd/>
        <w:snapToGrid/>
        <w:spacing w:line="576" w:lineRule="exact"/>
        <w:ind w:left="0" w:firstLine="640" w:firstLineChars="200"/>
        <w:textAlignment w:val="auto"/>
        <w:rPr>
          <w:rFonts w:hint="default" w:ascii="Times New Roman" w:hAnsi="Times New Roman" w:eastAsia="仿宋_GB2312" w:cs="Times New Roman"/>
          <w:color w:val="000000"/>
          <w:sz w:val="32"/>
          <w:szCs w:val="32"/>
        </w:rPr>
      </w:pPr>
      <w:r>
        <w:rPr>
          <w:rFonts w:hint="default" w:ascii="Times New Roman" w:hAnsi="Times New Roman" w:eastAsia="仿宋_GB2312" w:cs="Times New Roman"/>
          <w:sz w:val="32"/>
          <w:szCs w:val="32"/>
          <w:lang w:val="en-US" w:eastAsia="zh-CN"/>
        </w:rPr>
        <w:t>2.</w:t>
      </w:r>
      <w:r>
        <w:rPr>
          <w:rFonts w:hint="default" w:ascii="Times New Roman" w:hAnsi="Times New Roman" w:eastAsia="仿宋_GB2312" w:cs="Times New Roman"/>
          <w:color w:val="000000"/>
          <w:sz w:val="32"/>
          <w:szCs w:val="32"/>
        </w:rPr>
        <w:t>一般公共服务（类）市场监督管理事务（款）市场主体管理（项）202</w:t>
      </w:r>
      <w:r>
        <w:rPr>
          <w:rFonts w:hint="default" w:ascii="Times New Roman" w:hAnsi="Times New Roman" w:eastAsia="仿宋_GB2312" w:cs="Times New Roman"/>
          <w:color w:val="000000"/>
          <w:sz w:val="32"/>
          <w:szCs w:val="32"/>
          <w:lang w:val="en-US" w:eastAsia="zh-CN"/>
        </w:rPr>
        <w:t>5</w:t>
      </w:r>
      <w:r>
        <w:rPr>
          <w:rFonts w:hint="default" w:ascii="Times New Roman" w:hAnsi="Times New Roman" w:eastAsia="仿宋_GB2312" w:cs="Times New Roman"/>
          <w:color w:val="000000"/>
          <w:sz w:val="32"/>
          <w:szCs w:val="32"/>
        </w:rPr>
        <w:t>年预算数为</w:t>
      </w:r>
      <w:r>
        <w:rPr>
          <w:rFonts w:hint="default" w:ascii="Times New Roman" w:hAnsi="Times New Roman" w:eastAsia="仿宋_GB2312" w:cs="Times New Roman"/>
          <w:color w:val="000000"/>
          <w:sz w:val="32"/>
          <w:szCs w:val="32"/>
          <w:lang w:val="en-US" w:eastAsia="zh-CN"/>
        </w:rPr>
        <w:t>40</w:t>
      </w:r>
      <w:r>
        <w:rPr>
          <w:rFonts w:hint="default" w:ascii="Times New Roman" w:hAnsi="Times New Roman" w:eastAsia="仿宋_GB2312" w:cs="Times New Roman"/>
          <w:color w:val="000000"/>
          <w:sz w:val="32"/>
          <w:szCs w:val="32"/>
        </w:rPr>
        <w:t>万元，主要用于：营商环境提升；企业信用信息核查、营业执照印制等经费。</w:t>
      </w:r>
    </w:p>
    <w:p w14:paraId="1FC45130">
      <w:pPr>
        <w:pageBreakBefore w:val="0"/>
        <w:widowControl w:val="0"/>
        <w:kinsoku/>
        <w:wordWrap/>
        <w:overflowPunct/>
        <w:topLinePunct w:val="0"/>
        <w:autoSpaceDE/>
        <w:autoSpaceDN/>
        <w:bidi w:val="0"/>
        <w:adjustRightInd/>
        <w:snapToGrid/>
        <w:spacing w:line="576" w:lineRule="exact"/>
        <w:ind w:left="0" w:firstLine="640" w:firstLineChars="200"/>
        <w:textAlignment w:val="auto"/>
        <w:rPr>
          <w:rFonts w:hint="default" w:ascii="Times New Roman" w:hAnsi="Times New Roman" w:eastAsia="仿宋_GB2312" w:cs="Times New Roman"/>
          <w:color w:val="000000"/>
          <w:sz w:val="32"/>
          <w:szCs w:val="32"/>
        </w:rPr>
      </w:pPr>
      <w:r>
        <w:rPr>
          <w:rFonts w:hint="default" w:ascii="Times New Roman" w:hAnsi="Times New Roman" w:eastAsia="仿宋_GB2312" w:cs="Times New Roman"/>
          <w:sz w:val="32"/>
          <w:szCs w:val="32"/>
          <w:lang w:val="en-US" w:eastAsia="zh-CN"/>
        </w:rPr>
        <w:t>3.</w:t>
      </w:r>
      <w:r>
        <w:rPr>
          <w:rFonts w:hint="default" w:ascii="Times New Roman" w:hAnsi="Times New Roman" w:eastAsia="仿宋_GB2312" w:cs="Times New Roman"/>
          <w:color w:val="000000"/>
          <w:sz w:val="32"/>
          <w:szCs w:val="32"/>
        </w:rPr>
        <w:t>一般公共服务（类）市场监督管理事务（款）质量基础（项）202</w:t>
      </w:r>
      <w:r>
        <w:rPr>
          <w:rFonts w:hint="default" w:ascii="Times New Roman" w:hAnsi="Times New Roman" w:eastAsia="仿宋_GB2312" w:cs="Times New Roman"/>
          <w:color w:val="000000"/>
          <w:sz w:val="32"/>
          <w:szCs w:val="32"/>
          <w:lang w:val="en-US" w:eastAsia="zh-CN"/>
        </w:rPr>
        <w:t>5</w:t>
      </w:r>
      <w:r>
        <w:rPr>
          <w:rFonts w:hint="default" w:ascii="Times New Roman" w:hAnsi="Times New Roman" w:eastAsia="仿宋_GB2312" w:cs="Times New Roman"/>
          <w:color w:val="000000"/>
          <w:sz w:val="32"/>
          <w:szCs w:val="32"/>
        </w:rPr>
        <w:t>年预算数为1</w:t>
      </w:r>
      <w:r>
        <w:rPr>
          <w:rFonts w:hint="default" w:ascii="Times New Roman" w:hAnsi="Times New Roman" w:eastAsia="仿宋_GB2312" w:cs="Times New Roman"/>
          <w:color w:val="000000"/>
          <w:sz w:val="32"/>
          <w:szCs w:val="32"/>
          <w:lang w:val="en-US" w:eastAsia="zh-CN"/>
        </w:rPr>
        <w:t>5</w:t>
      </w:r>
      <w:r>
        <w:rPr>
          <w:rFonts w:hint="default" w:ascii="Times New Roman" w:hAnsi="Times New Roman" w:eastAsia="仿宋_GB2312" w:cs="Times New Roman"/>
          <w:color w:val="000000"/>
          <w:sz w:val="32"/>
          <w:szCs w:val="32"/>
        </w:rPr>
        <w:t>万元，主要用于产品的监督抽检、计量器具的检定、监督及农业标准化示范区创建工作等经费。</w:t>
      </w:r>
    </w:p>
    <w:p w14:paraId="484F613F">
      <w:pPr>
        <w:pageBreakBefore w:val="0"/>
        <w:widowControl w:val="0"/>
        <w:kinsoku/>
        <w:wordWrap/>
        <w:overflowPunct/>
        <w:topLinePunct w:val="0"/>
        <w:autoSpaceDE/>
        <w:autoSpaceDN/>
        <w:bidi w:val="0"/>
        <w:adjustRightInd/>
        <w:snapToGrid/>
        <w:spacing w:line="576" w:lineRule="exact"/>
        <w:ind w:left="0" w:firstLine="640" w:firstLineChars="200"/>
        <w:textAlignment w:val="auto"/>
        <w:rPr>
          <w:rFonts w:hint="default" w:ascii="Times New Roman" w:hAnsi="Times New Roman" w:eastAsia="仿宋_GB2312" w:cs="Times New Roman"/>
          <w:color w:val="000000"/>
          <w:sz w:val="32"/>
          <w:szCs w:val="32"/>
          <w:lang w:val="en-US" w:eastAsia="zh-CN"/>
        </w:rPr>
      </w:pPr>
      <w:r>
        <w:rPr>
          <w:rFonts w:hint="default" w:ascii="Times New Roman" w:hAnsi="Times New Roman" w:eastAsia="仿宋_GB2312" w:cs="Times New Roman"/>
          <w:color w:val="000000"/>
          <w:sz w:val="32"/>
          <w:szCs w:val="32"/>
          <w:lang w:val="en-US" w:eastAsia="zh-CN"/>
        </w:rPr>
        <w:t>4</w:t>
      </w:r>
      <w:r>
        <w:rPr>
          <w:rFonts w:hint="default" w:ascii="Times New Roman" w:hAnsi="Times New Roman" w:eastAsia="仿宋_GB2312" w:cs="Times New Roman"/>
          <w:color w:val="000000"/>
          <w:sz w:val="32"/>
          <w:szCs w:val="32"/>
        </w:rPr>
        <w:t>.一般公共服务（类）市场监督管理事务（款）质量安全监管（项）202</w:t>
      </w:r>
      <w:r>
        <w:rPr>
          <w:rFonts w:hint="default" w:ascii="Times New Roman" w:hAnsi="Times New Roman" w:eastAsia="仿宋_GB2312" w:cs="Times New Roman"/>
          <w:color w:val="000000"/>
          <w:sz w:val="32"/>
          <w:szCs w:val="32"/>
          <w:lang w:val="en-US" w:eastAsia="zh-CN"/>
        </w:rPr>
        <w:t>5</w:t>
      </w:r>
      <w:r>
        <w:rPr>
          <w:rFonts w:hint="default" w:ascii="Times New Roman" w:hAnsi="Times New Roman" w:eastAsia="仿宋_GB2312" w:cs="Times New Roman"/>
          <w:color w:val="000000"/>
          <w:sz w:val="32"/>
          <w:szCs w:val="32"/>
        </w:rPr>
        <w:t>年预算数为20万元，主要用于构建特种设备智慧监管模式等质量安全监管经费</w:t>
      </w:r>
      <w:r>
        <w:rPr>
          <w:rFonts w:hint="default" w:ascii="Times New Roman" w:hAnsi="Times New Roman" w:eastAsia="仿宋_GB2312" w:cs="Times New Roman"/>
          <w:color w:val="000000"/>
          <w:sz w:val="32"/>
          <w:szCs w:val="32"/>
          <w:lang w:val="en-US" w:eastAsia="zh-CN"/>
        </w:rPr>
        <w:t>.</w:t>
      </w:r>
    </w:p>
    <w:p w14:paraId="14EF9416">
      <w:pPr>
        <w:pageBreakBefore w:val="0"/>
        <w:widowControl w:val="0"/>
        <w:kinsoku/>
        <w:wordWrap/>
        <w:overflowPunct/>
        <w:topLinePunct w:val="0"/>
        <w:autoSpaceDE/>
        <w:autoSpaceDN/>
        <w:bidi w:val="0"/>
        <w:adjustRightInd/>
        <w:snapToGrid/>
        <w:spacing w:line="576" w:lineRule="exact"/>
        <w:ind w:left="0" w:firstLine="640" w:firstLineChars="200"/>
        <w:textAlignment w:val="auto"/>
        <w:rPr>
          <w:rFonts w:hint="default" w:ascii="Times New Roman" w:hAnsi="Times New Roman" w:eastAsia="仿宋_GB2312" w:cs="Times New Roman"/>
          <w:color w:val="000000"/>
          <w:sz w:val="32"/>
          <w:szCs w:val="32"/>
        </w:rPr>
      </w:pPr>
      <w:r>
        <w:rPr>
          <w:rFonts w:hint="default" w:ascii="Times New Roman" w:hAnsi="Times New Roman" w:eastAsia="仿宋_GB2312" w:cs="Times New Roman"/>
          <w:color w:val="000000"/>
          <w:sz w:val="32"/>
          <w:szCs w:val="32"/>
          <w:lang w:val="en-US" w:eastAsia="zh-CN"/>
        </w:rPr>
        <w:t>5</w:t>
      </w:r>
      <w:r>
        <w:rPr>
          <w:rFonts w:hint="default" w:ascii="Times New Roman" w:hAnsi="Times New Roman" w:eastAsia="仿宋_GB2312" w:cs="Times New Roman"/>
          <w:color w:val="000000"/>
          <w:sz w:val="32"/>
          <w:szCs w:val="32"/>
        </w:rPr>
        <w:t>.一般公共服务（类）市场监督管理事务（款）食品安全监管理事务（项）202</w:t>
      </w:r>
      <w:r>
        <w:rPr>
          <w:rFonts w:hint="default" w:ascii="Times New Roman" w:hAnsi="Times New Roman" w:eastAsia="仿宋_GB2312" w:cs="Times New Roman"/>
          <w:color w:val="000000"/>
          <w:sz w:val="32"/>
          <w:szCs w:val="32"/>
          <w:lang w:val="en-US" w:eastAsia="zh-CN"/>
        </w:rPr>
        <w:t>5</w:t>
      </w:r>
      <w:r>
        <w:rPr>
          <w:rFonts w:hint="default" w:ascii="Times New Roman" w:hAnsi="Times New Roman" w:eastAsia="仿宋_GB2312" w:cs="Times New Roman"/>
          <w:color w:val="000000"/>
          <w:sz w:val="32"/>
          <w:szCs w:val="32"/>
        </w:rPr>
        <w:t>年预算数为57万元，主要用于：食品及食用农产品安全抽检；食品、药品安全投诉举报奖励；食品安全快检车辆运行，食品药品医疗器械及化妆品监管</w:t>
      </w:r>
      <w:r>
        <w:rPr>
          <w:rFonts w:hint="default" w:ascii="Times New Roman" w:hAnsi="Times New Roman" w:eastAsia="仿宋_GB2312" w:cs="Times New Roman"/>
          <w:color w:val="000000"/>
          <w:sz w:val="32"/>
          <w:szCs w:val="32"/>
          <w:lang w:eastAsia="zh-CN"/>
        </w:rPr>
        <w:t>；</w:t>
      </w:r>
      <w:r>
        <w:rPr>
          <w:rFonts w:hint="default" w:ascii="Times New Roman" w:hAnsi="Times New Roman" w:eastAsia="仿宋_GB2312" w:cs="Times New Roman"/>
          <w:color w:val="000000"/>
          <w:sz w:val="32"/>
          <w:szCs w:val="32"/>
        </w:rPr>
        <w:t>网络维护等经费。</w:t>
      </w:r>
    </w:p>
    <w:p w14:paraId="2E49E49D">
      <w:pPr>
        <w:pageBreakBefore w:val="0"/>
        <w:widowControl w:val="0"/>
        <w:kinsoku/>
        <w:wordWrap/>
        <w:overflowPunct/>
        <w:topLinePunct w:val="0"/>
        <w:autoSpaceDE/>
        <w:autoSpaceDN/>
        <w:bidi w:val="0"/>
        <w:adjustRightInd/>
        <w:snapToGrid/>
        <w:spacing w:line="576" w:lineRule="exact"/>
        <w:ind w:left="0" w:firstLine="640" w:firstLineChars="200"/>
        <w:textAlignment w:val="auto"/>
        <w:rPr>
          <w:rFonts w:hint="default" w:ascii="Times New Roman" w:hAnsi="Times New Roman" w:eastAsia="仿宋_GB2312" w:cs="Times New Roman"/>
          <w:color w:val="000000"/>
          <w:sz w:val="32"/>
          <w:szCs w:val="32"/>
        </w:rPr>
      </w:pPr>
      <w:r>
        <w:rPr>
          <w:rFonts w:hint="default" w:ascii="Times New Roman" w:hAnsi="Times New Roman" w:eastAsia="仿宋_GB2312" w:cs="Times New Roman"/>
          <w:sz w:val="32"/>
          <w:szCs w:val="32"/>
          <w:lang w:val="en-US" w:eastAsia="zh-CN"/>
        </w:rPr>
        <w:t>6.</w:t>
      </w:r>
      <w:r>
        <w:rPr>
          <w:rFonts w:hint="default" w:ascii="Times New Roman" w:hAnsi="Times New Roman" w:eastAsia="仿宋_GB2312" w:cs="Times New Roman"/>
          <w:color w:val="000000"/>
          <w:sz w:val="32"/>
          <w:szCs w:val="32"/>
        </w:rPr>
        <w:t>一般公共服务支出（类）市场监督管理事务（款）</w:t>
      </w:r>
      <w:r>
        <w:rPr>
          <w:rFonts w:hint="default" w:ascii="Times New Roman" w:hAnsi="Times New Roman" w:eastAsia="仿宋_GB2312" w:cs="Times New Roman"/>
          <w:color w:val="000000"/>
          <w:sz w:val="32"/>
          <w:szCs w:val="32"/>
          <w:lang w:eastAsia="zh-CN"/>
        </w:rPr>
        <w:t>事业</w:t>
      </w:r>
      <w:r>
        <w:rPr>
          <w:rFonts w:hint="default" w:ascii="Times New Roman" w:hAnsi="Times New Roman" w:eastAsia="仿宋_GB2312" w:cs="Times New Roman"/>
          <w:color w:val="000000"/>
          <w:sz w:val="32"/>
          <w:szCs w:val="32"/>
        </w:rPr>
        <w:t>运行（项）202</w:t>
      </w:r>
      <w:r>
        <w:rPr>
          <w:rFonts w:hint="default" w:ascii="Times New Roman" w:hAnsi="Times New Roman" w:eastAsia="仿宋_GB2312" w:cs="Times New Roman"/>
          <w:color w:val="000000"/>
          <w:sz w:val="32"/>
          <w:szCs w:val="32"/>
          <w:lang w:val="en-US" w:eastAsia="zh-CN"/>
        </w:rPr>
        <w:t>5</w:t>
      </w:r>
      <w:r>
        <w:rPr>
          <w:rFonts w:hint="default" w:ascii="Times New Roman" w:hAnsi="Times New Roman" w:eastAsia="仿宋_GB2312" w:cs="Times New Roman"/>
          <w:color w:val="000000"/>
          <w:sz w:val="32"/>
          <w:szCs w:val="32"/>
        </w:rPr>
        <w:t>年预算数为</w:t>
      </w:r>
      <w:r>
        <w:rPr>
          <w:rFonts w:hint="default" w:ascii="Times New Roman" w:hAnsi="Times New Roman" w:eastAsia="仿宋_GB2312" w:cs="Times New Roman"/>
          <w:color w:val="000000"/>
          <w:sz w:val="32"/>
          <w:szCs w:val="32"/>
          <w:lang w:val="en-US" w:eastAsia="zh-CN"/>
        </w:rPr>
        <w:t>187.2</w:t>
      </w:r>
      <w:r>
        <w:rPr>
          <w:rFonts w:hint="default" w:ascii="Times New Roman" w:hAnsi="Times New Roman" w:eastAsia="仿宋_GB2312" w:cs="Times New Roman"/>
          <w:color w:val="000000"/>
          <w:sz w:val="32"/>
          <w:szCs w:val="32"/>
        </w:rPr>
        <w:t>万元，主要用于：局机关事业单位正常运转的基本支出，包括</w:t>
      </w:r>
      <w:r>
        <w:rPr>
          <w:rFonts w:hint="default" w:ascii="Times New Roman" w:hAnsi="Times New Roman" w:eastAsia="仿宋_GB2312" w:cs="Times New Roman"/>
          <w:color w:val="000000"/>
          <w:sz w:val="32"/>
          <w:szCs w:val="32"/>
          <w:lang w:eastAsia="zh-CN"/>
        </w:rPr>
        <w:t>事业人员</w:t>
      </w:r>
      <w:r>
        <w:rPr>
          <w:rFonts w:hint="default" w:ascii="Times New Roman" w:hAnsi="Times New Roman" w:eastAsia="仿宋_GB2312" w:cs="Times New Roman"/>
          <w:color w:val="000000"/>
          <w:sz w:val="32"/>
          <w:szCs w:val="32"/>
        </w:rPr>
        <w:t>基本工资、津贴补贴等经费以及办公费、印刷费、水电费</w:t>
      </w:r>
      <w:r>
        <w:rPr>
          <w:rFonts w:hint="default" w:ascii="Times New Roman" w:hAnsi="Times New Roman" w:eastAsia="仿宋_GB2312" w:cs="Times New Roman"/>
          <w:color w:val="000000"/>
          <w:sz w:val="32"/>
          <w:szCs w:val="32"/>
          <w:lang w:eastAsia="zh-CN"/>
        </w:rPr>
        <w:t>、</w:t>
      </w:r>
      <w:r>
        <w:rPr>
          <w:rFonts w:hint="default" w:ascii="Times New Roman" w:hAnsi="Times New Roman" w:eastAsia="仿宋_GB2312" w:cs="Times New Roman"/>
          <w:color w:val="000000"/>
          <w:sz w:val="32"/>
          <w:szCs w:val="32"/>
        </w:rPr>
        <w:t>等日常公用经费,保障部门正常运转。</w:t>
      </w:r>
    </w:p>
    <w:p w14:paraId="71C76C29">
      <w:pPr>
        <w:pageBreakBefore w:val="0"/>
        <w:widowControl w:val="0"/>
        <w:kinsoku/>
        <w:wordWrap/>
        <w:overflowPunct/>
        <w:topLinePunct w:val="0"/>
        <w:autoSpaceDE/>
        <w:autoSpaceDN/>
        <w:bidi w:val="0"/>
        <w:adjustRightInd/>
        <w:snapToGrid/>
        <w:spacing w:line="576" w:lineRule="exact"/>
        <w:ind w:left="0" w:firstLine="640" w:firstLineChars="200"/>
        <w:textAlignment w:val="auto"/>
        <w:rPr>
          <w:rFonts w:hint="default" w:ascii="Times New Roman" w:hAnsi="Times New Roman" w:eastAsia="仿宋_GB2312" w:cs="Times New Roman"/>
          <w:color w:val="000000"/>
          <w:sz w:val="32"/>
          <w:szCs w:val="32"/>
        </w:rPr>
      </w:pPr>
      <w:r>
        <w:rPr>
          <w:rFonts w:hint="default" w:ascii="Times New Roman" w:hAnsi="Times New Roman" w:eastAsia="仿宋_GB2312" w:cs="Times New Roman"/>
          <w:color w:val="000000"/>
          <w:sz w:val="32"/>
          <w:szCs w:val="32"/>
        </w:rPr>
        <w:t>7.一般公共服务（类）市场监督管理事务（款）其他市场监督管理事务（项）202</w:t>
      </w:r>
      <w:r>
        <w:rPr>
          <w:rFonts w:hint="default" w:ascii="Times New Roman" w:hAnsi="Times New Roman" w:eastAsia="仿宋_GB2312" w:cs="Times New Roman"/>
          <w:color w:val="000000"/>
          <w:sz w:val="32"/>
          <w:szCs w:val="32"/>
          <w:lang w:val="en-US" w:eastAsia="zh-CN"/>
        </w:rPr>
        <w:t>5</w:t>
      </w:r>
      <w:r>
        <w:rPr>
          <w:rFonts w:hint="default" w:ascii="Times New Roman" w:hAnsi="Times New Roman" w:eastAsia="仿宋_GB2312" w:cs="Times New Roman"/>
          <w:color w:val="000000"/>
          <w:sz w:val="32"/>
          <w:szCs w:val="32"/>
        </w:rPr>
        <w:t>年预算数为</w:t>
      </w:r>
      <w:r>
        <w:rPr>
          <w:rFonts w:hint="default" w:ascii="Times New Roman" w:hAnsi="Times New Roman" w:eastAsia="仿宋_GB2312" w:cs="Times New Roman"/>
          <w:color w:val="000000"/>
          <w:sz w:val="32"/>
          <w:szCs w:val="32"/>
          <w:lang w:val="en-US" w:eastAsia="zh-CN"/>
        </w:rPr>
        <w:t>51</w:t>
      </w:r>
      <w:r>
        <w:rPr>
          <w:rFonts w:hint="default" w:ascii="Times New Roman" w:hAnsi="Times New Roman" w:eastAsia="仿宋_GB2312" w:cs="Times New Roman"/>
          <w:color w:val="000000"/>
          <w:sz w:val="32"/>
          <w:szCs w:val="32"/>
        </w:rPr>
        <w:t>万元，主要用于：机关单位向上争取资金、临聘人员工资</w:t>
      </w:r>
      <w:r>
        <w:rPr>
          <w:rFonts w:hint="default" w:ascii="Times New Roman" w:hAnsi="Times New Roman" w:eastAsia="仿宋_GB2312" w:cs="Times New Roman"/>
          <w:color w:val="000000"/>
          <w:sz w:val="32"/>
          <w:szCs w:val="32"/>
          <w:lang w:eastAsia="zh-CN"/>
        </w:rPr>
        <w:t>、知识产权保护工作、消委会及个私协会</w:t>
      </w:r>
      <w:r>
        <w:rPr>
          <w:rFonts w:hint="default" w:ascii="Times New Roman" w:hAnsi="Times New Roman" w:eastAsia="仿宋_GB2312" w:cs="Times New Roman"/>
          <w:color w:val="000000"/>
          <w:sz w:val="32"/>
          <w:szCs w:val="32"/>
        </w:rPr>
        <w:t>等项目资金。</w:t>
      </w:r>
    </w:p>
    <w:p w14:paraId="2C240773">
      <w:pPr>
        <w:pageBreakBefore w:val="0"/>
        <w:widowControl w:val="0"/>
        <w:kinsoku/>
        <w:wordWrap/>
        <w:overflowPunct/>
        <w:topLinePunct w:val="0"/>
        <w:autoSpaceDE/>
        <w:autoSpaceDN/>
        <w:bidi w:val="0"/>
        <w:adjustRightInd/>
        <w:snapToGrid/>
        <w:spacing w:line="576" w:lineRule="exact"/>
        <w:ind w:left="0" w:firstLine="640" w:firstLineChars="200"/>
        <w:textAlignment w:val="auto"/>
        <w:rPr>
          <w:rFonts w:hint="default" w:ascii="Times New Roman" w:hAnsi="Times New Roman" w:eastAsia="仿宋_GB2312" w:cs="Times New Roman"/>
          <w:color w:val="000000"/>
          <w:sz w:val="32"/>
          <w:szCs w:val="32"/>
        </w:rPr>
      </w:pPr>
      <w:r>
        <w:rPr>
          <w:rFonts w:hint="default" w:ascii="Times New Roman" w:hAnsi="Times New Roman" w:eastAsia="仿宋_GB2312" w:cs="Times New Roman"/>
          <w:color w:val="000000"/>
          <w:sz w:val="32"/>
          <w:szCs w:val="32"/>
        </w:rPr>
        <w:t>8.社会保障和就业（类）行政事业单位养老支出（款）行政单位离退休（项）202</w:t>
      </w:r>
      <w:r>
        <w:rPr>
          <w:rFonts w:hint="default" w:ascii="Times New Roman" w:hAnsi="Times New Roman" w:eastAsia="仿宋_GB2312" w:cs="Times New Roman"/>
          <w:color w:val="000000"/>
          <w:sz w:val="32"/>
          <w:szCs w:val="32"/>
          <w:lang w:val="en-US" w:eastAsia="zh-CN"/>
        </w:rPr>
        <w:t>5</w:t>
      </w:r>
      <w:r>
        <w:rPr>
          <w:rFonts w:hint="default" w:ascii="Times New Roman" w:hAnsi="Times New Roman" w:eastAsia="仿宋_GB2312" w:cs="Times New Roman"/>
          <w:color w:val="000000"/>
          <w:sz w:val="32"/>
          <w:szCs w:val="32"/>
        </w:rPr>
        <w:t>年预算数为6</w:t>
      </w:r>
      <w:r>
        <w:rPr>
          <w:rFonts w:hint="default" w:ascii="Times New Roman" w:hAnsi="Times New Roman" w:eastAsia="仿宋_GB2312" w:cs="Times New Roman"/>
          <w:color w:val="000000"/>
          <w:sz w:val="32"/>
          <w:szCs w:val="32"/>
          <w:lang w:val="en-US" w:eastAsia="zh-CN"/>
        </w:rPr>
        <w:t>6</w:t>
      </w:r>
      <w:r>
        <w:rPr>
          <w:rFonts w:hint="default" w:ascii="Times New Roman" w:hAnsi="Times New Roman" w:eastAsia="仿宋_GB2312" w:cs="Times New Roman"/>
          <w:color w:val="000000"/>
          <w:sz w:val="32"/>
          <w:szCs w:val="32"/>
        </w:rPr>
        <w:t>万元，主要用于：机关及参公管理事业单位离退休人员经费支出。</w:t>
      </w:r>
    </w:p>
    <w:p w14:paraId="53CF37B5">
      <w:pPr>
        <w:pageBreakBefore w:val="0"/>
        <w:widowControl w:val="0"/>
        <w:kinsoku/>
        <w:wordWrap/>
        <w:overflowPunct/>
        <w:topLinePunct w:val="0"/>
        <w:autoSpaceDE/>
        <w:autoSpaceDN/>
        <w:bidi w:val="0"/>
        <w:adjustRightInd/>
        <w:snapToGrid/>
        <w:spacing w:line="576" w:lineRule="exact"/>
        <w:ind w:left="0" w:firstLine="640" w:firstLineChars="200"/>
        <w:textAlignment w:val="auto"/>
        <w:rPr>
          <w:rFonts w:hint="default" w:ascii="Times New Roman" w:hAnsi="Times New Roman" w:eastAsia="仿宋_GB2312" w:cs="Times New Roman"/>
          <w:color w:val="000000"/>
          <w:sz w:val="32"/>
          <w:szCs w:val="32"/>
        </w:rPr>
      </w:pPr>
      <w:r>
        <w:rPr>
          <w:rFonts w:hint="default" w:ascii="Times New Roman" w:hAnsi="Times New Roman" w:eastAsia="仿宋_GB2312" w:cs="Times New Roman"/>
          <w:color w:val="000000"/>
          <w:sz w:val="32"/>
          <w:szCs w:val="32"/>
        </w:rPr>
        <w:t>9.社会保障和就业（类）行政事业单位养老支出（款）机关事业单位基本养老保险缴费支出（项）202</w:t>
      </w:r>
      <w:r>
        <w:rPr>
          <w:rFonts w:hint="default" w:ascii="Times New Roman" w:hAnsi="Times New Roman" w:eastAsia="仿宋_GB2312" w:cs="Times New Roman"/>
          <w:color w:val="000000"/>
          <w:sz w:val="32"/>
          <w:szCs w:val="32"/>
          <w:lang w:val="en-US" w:eastAsia="zh-CN"/>
        </w:rPr>
        <w:t>5</w:t>
      </w:r>
      <w:r>
        <w:rPr>
          <w:rFonts w:hint="default" w:ascii="Times New Roman" w:hAnsi="Times New Roman" w:eastAsia="仿宋_GB2312" w:cs="Times New Roman"/>
          <w:color w:val="000000"/>
          <w:sz w:val="32"/>
          <w:szCs w:val="32"/>
        </w:rPr>
        <w:t>年预算数为</w:t>
      </w:r>
      <w:r>
        <w:rPr>
          <w:rFonts w:hint="default" w:ascii="Times New Roman" w:hAnsi="Times New Roman" w:eastAsia="仿宋_GB2312" w:cs="Times New Roman"/>
          <w:color w:val="000000"/>
          <w:sz w:val="32"/>
          <w:szCs w:val="32"/>
          <w:lang w:val="en-US" w:eastAsia="zh-CN"/>
        </w:rPr>
        <w:t>100.64</w:t>
      </w:r>
      <w:r>
        <w:rPr>
          <w:rFonts w:hint="default" w:ascii="Times New Roman" w:hAnsi="Times New Roman" w:eastAsia="仿宋_GB2312" w:cs="Times New Roman"/>
          <w:color w:val="000000"/>
          <w:sz w:val="32"/>
          <w:szCs w:val="32"/>
        </w:rPr>
        <w:t>万元，主要用于：实施养老保险制度由单位缴纳的基本养老保险支出。</w:t>
      </w:r>
    </w:p>
    <w:p w14:paraId="75FF183B">
      <w:pPr>
        <w:pageBreakBefore w:val="0"/>
        <w:widowControl w:val="0"/>
        <w:kinsoku/>
        <w:wordWrap/>
        <w:overflowPunct/>
        <w:topLinePunct w:val="0"/>
        <w:autoSpaceDE/>
        <w:autoSpaceDN/>
        <w:bidi w:val="0"/>
        <w:adjustRightInd/>
        <w:snapToGrid/>
        <w:spacing w:line="576" w:lineRule="exact"/>
        <w:ind w:left="0" w:firstLine="640" w:firstLineChars="200"/>
        <w:textAlignment w:val="auto"/>
        <w:rPr>
          <w:rFonts w:hint="default" w:ascii="Times New Roman" w:hAnsi="Times New Roman" w:eastAsia="仿宋_GB2312" w:cs="Times New Roman"/>
          <w:color w:val="000000"/>
          <w:sz w:val="32"/>
          <w:szCs w:val="32"/>
        </w:rPr>
      </w:pPr>
      <w:r>
        <w:rPr>
          <w:rFonts w:hint="default" w:ascii="Times New Roman" w:hAnsi="Times New Roman" w:eastAsia="仿宋_GB2312" w:cs="Times New Roman"/>
          <w:color w:val="000000"/>
          <w:sz w:val="32"/>
          <w:szCs w:val="32"/>
        </w:rPr>
        <w:t>1</w:t>
      </w:r>
      <w:r>
        <w:rPr>
          <w:rFonts w:hint="default" w:ascii="Times New Roman" w:hAnsi="Times New Roman" w:eastAsia="仿宋_GB2312" w:cs="Times New Roman"/>
          <w:color w:val="000000"/>
          <w:sz w:val="32"/>
          <w:szCs w:val="32"/>
          <w:lang w:val="en-US" w:eastAsia="zh-CN"/>
        </w:rPr>
        <w:t>0</w:t>
      </w:r>
      <w:r>
        <w:rPr>
          <w:rFonts w:hint="default" w:ascii="Times New Roman" w:hAnsi="Times New Roman" w:eastAsia="仿宋_GB2312" w:cs="Times New Roman"/>
          <w:color w:val="000000"/>
          <w:sz w:val="32"/>
          <w:szCs w:val="32"/>
        </w:rPr>
        <w:t>.一般公共服务（类）市场监督管理支出（款）其他社会保障和就业支出（项）202</w:t>
      </w:r>
      <w:r>
        <w:rPr>
          <w:rFonts w:hint="default" w:ascii="Times New Roman" w:hAnsi="Times New Roman" w:eastAsia="仿宋_GB2312" w:cs="Times New Roman"/>
          <w:color w:val="000000"/>
          <w:sz w:val="32"/>
          <w:szCs w:val="32"/>
          <w:lang w:val="en-US" w:eastAsia="zh-CN"/>
        </w:rPr>
        <w:t>5</w:t>
      </w:r>
      <w:r>
        <w:rPr>
          <w:rFonts w:hint="default" w:ascii="Times New Roman" w:hAnsi="Times New Roman" w:eastAsia="仿宋_GB2312" w:cs="Times New Roman"/>
          <w:color w:val="000000"/>
          <w:sz w:val="32"/>
          <w:szCs w:val="32"/>
        </w:rPr>
        <w:t>年预算数为</w:t>
      </w:r>
      <w:r>
        <w:rPr>
          <w:rFonts w:hint="default" w:ascii="Times New Roman" w:hAnsi="Times New Roman" w:eastAsia="仿宋_GB2312" w:cs="Times New Roman"/>
          <w:color w:val="000000"/>
          <w:sz w:val="32"/>
          <w:szCs w:val="32"/>
          <w:lang w:val="en-US" w:eastAsia="zh-CN"/>
        </w:rPr>
        <w:t>1.72</w:t>
      </w:r>
      <w:r>
        <w:rPr>
          <w:rFonts w:hint="default" w:ascii="Times New Roman" w:hAnsi="Times New Roman" w:eastAsia="仿宋_GB2312" w:cs="Times New Roman"/>
          <w:color w:val="000000"/>
          <w:sz w:val="32"/>
          <w:szCs w:val="32"/>
        </w:rPr>
        <w:t>万元，主要用于：实施行政人员及事业人员工伤、失业保险支出。</w:t>
      </w:r>
    </w:p>
    <w:p w14:paraId="2A0E17EA">
      <w:pPr>
        <w:pStyle w:val="2"/>
        <w:pageBreakBefore w:val="0"/>
        <w:widowControl w:val="0"/>
        <w:kinsoku/>
        <w:wordWrap/>
        <w:overflowPunct/>
        <w:topLinePunct w:val="0"/>
        <w:autoSpaceDE/>
        <w:autoSpaceDN/>
        <w:bidi w:val="0"/>
        <w:adjustRightInd/>
        <w:snapToGrid/>
        <w:spacing w:line="576" w:lineRule="exact"/>
        <w:ind w:left="0" w:leftChars="0" w:firstLine="640" w:firstLineChars="200"/>
        <w:textAlignment w:val="auto"/>
        <w:rPr>
          <w:rFonts w:hint="default" w:ascii="Times New Roman" w:hAnsi="Times New Roman" w:eastAsia="仿宋_GB2312" w:cs="Times New Roman"/>
          <w:color w:val="000000"/>
          <w:sz w:val="32"/>
          <w:szCs w:val="32"/>
        </w:rPr>
      </w:pPr>
      <w:r>
        <w:rPr>
          <w:rFonts w:hint="default" w:ascii="Times New Roman" w:hAnsi="Times New Roman" w:eastAsia="仿宋_GB2312" w:cs="Times New Roman"/>
          <w:color w:val="000000"/>
          <w:sz w:val="32"/>
          <w:szCs w:val="32"/>
        </w:rPr>
        <w:t>1</w:t>
      </w:r>
      <w:r>
        <w:rPr>
          <w:rFonts w:hint="default" w:ascii="Times New Roman" w:hAnsi="Times New Roman" w:eastAsia="仿宋_GB2312" w:cs="Times New Roman"/>
          <w:color w:val="000000"/>
          <w:sz w:val="32"/>
          <w:szCs w:val="32"/>
          <w:lang w:val="en-US" w:eastAsia="zh-CN"/>
        </w:rPr>
        <w:t>1</w:t>
      </w:r>
      <w:r>
        <w:rPr>
          <w:rFonts w:hint="default" w:ascii="Times New Roman" w:hAnsi="Times New Roman" w:eastAsia="仿宋_GB2312" w:cs="Times New Roman"/>
          <w:color w:val="000000"/>
          <w:sz w:val="32"/>
          <w:szCs w:val="32"/>
        </w:rPr>
        <w:t>.卫生健康（类）行政事业单位医疗（款）行政单位医疗（项</w:t>
      </w:r>
      <w:r>
        <w:rPr>
          <w:rFonts w:hint="default" w:ascii="Times New Roman" w:hAnsi="Times New Roman" w:eastAsia="仿宋_GB2312" w:cs="Times New Roman"/>
          <w:color w:val="000000"/>
          <w:sz w:val="32"/>
          <w:szCs w:val="32"/>
          <w:lang w:eastAsia="zh-CN"/>
        </w:rPr>
        <w:t>）</w:t>
      </w:r>
      <w:r>
        <w:rPr>
          <w:rFonts w:hint="default" w:ascii="Times New Roman" w:hAnsi="Times New Roman" w:eastAsia="仿宋_GB2312" w:cs="Times New Roman"/>
          <w:color w:val="000000"/>
          <w:sz w:val="32"/>
          <w:szCs w:val="32"/>
        </w:rPr>
        <w:t>202</w:t>
      </w:r>
      <w:r>
        <w:rPr>
          <w:rFonts w:hint="default" w:ascii="Times New Roman" w:hAnsi="Times New Roman" w:eastAsia="仿宋_GB2312" w:cs="Times New Roman"/>
          <w:color w:val="000000"/>
          <w:sz w:val="32"/>
          <w:szCs w:val="32"/>
          <w:lang w:val="en-US" w:eastAsia="zh-CN"/>
        </w:rPr>
        <w:t>5</w:t>
      </w:r>
      <w:r>
        <w:rPr>
          <w:rFonts w:hint="default" w:ascii="Times New Roman" w:hAnsi="Times New Roman" w:eastAsia="仿宋_GB2312" w:cs="Times New Roman"/>
          <w:color w:val="000000"/>
          <w:sz w:val="32"/>
          <w:szCs w:val="32"/>
        </w:rPr>
        <w:t>年预算数为</w:t>
      </w:r>
      <w:r>
        <w:rPr>
          <w:rFonts w:hint="default" w:ascii="Times New Roman" w:hAnsi="Times New Roman" w:eastAsia="仿宋_GB2312" w:cs="Times New Roman"/>
          <w:color w:val="000000"/>
          <w:sz w:val="32"/>
          <w:szCs w:val="32"/>
          <w:lang w:val="en-US" w:eastAsia="zh-CN"/>
        </w:rPr>
        <w:t>26.43</w:t>
      </w:r>
      <w:r>
        <w:rPr>
          <w:rFonts w:hint="default" w:ascii="Times New Roman" w:hAnsi="Times New Roman" w:eastAsia="仿宋_GB2312" w:cs="Times New Roman"/>
          <w:color w:val="000000"/>
          <w:sz w:val="32"/>
          <w:szCs w:val="32"/>
        </w:rPr>
        <w:t>万元，主要用于：机关及参公管理事业单位按规定由单位缴纳的基本医疗保险支出</w:t>
      </w:r>
    </w:p>
    <w:p w14:paraId="5D58AF32">
      <w:pPr>
        <w:pageBreakBefore w:val="0"/>
        <w:widowControl w:val="0"/>
        <w:kinsoku/>
        <w:wordWrap/>
        <w:overflowPunct/>
        <w:topLinePunct w:val="0"/>
        <w:autoSpaceDE/>
        <w:autoSpaceDN/>
        <w:bidi w:val="0"/>
        <w:adjustRightInd/>
        <w:snapToGrid/>
        <w:spacing w:line="576" w:lineRule="exact"/>
        <w:ind w:left="0" w:firstLine="640" w:firstLineChars="200"/>
        <w:textAlignment w:val="auto"/>
        <w:rPr>
          <w:rFonts w:hint="default" w:ascii="Times New Roman" w:hAnsi="Times New Roman" w:eastAsia="仿宋_GB2312" w:cs="Times New Roman"/>
          <w:color w:val="000000"/>
          <w:sz w:val="32"/>
          <w:szCs w:val="32"/>
        </w:rPr>
      </w:pPr>
      <w:r>
        <w:rPr>
          <w:rFonts w:hint="default" w:ascii="Times New Roman" w:hAnsi="Times New Roman" w:eastAsia="仿宋_GB2312" w:cs="Times New Roman"/>
          <w:color w:val="000000"/>
          <w:sz w:val="32"/>
          <w:szCs w:val="32"/>
        </w:rPr>
        <w:t>1</w:t>
      </w:r>
      <w:r>
        <w:rPr>
          <w:rFonts w:hint="default" w:ascii="Times New Roman" w:hAnsi="Times New Roman" w:eastAsia="仿宋_GB2312" w:cs="Times New Roman"/>
          <w:color w:val="000000"/>
          <w:sz w:val="32"/>
          <w:szCs w:val="32"/>
          <w:lang w:val="en-US" w:eastAsia="zh-CN"/>
        </w:rPr>
        <w:t>2</w:t>
      </w:r>
      <w:r>
        <w:rPr>
          <w:rFonts w:hint="default" w:ascii="Times New Roman" w:hAnsi="Times New Roman" w:eastAsia="仿宋_GB2312" w:cs="Times New Roman"/>
          <w:color w:val="000000"/>
          <w:sz w:val="32"/>
          <w:szCs w:val="32"/>
        </w:rPr>
        <w:t>.卫生健康（类）行政事业单位医疗（款）事业单位医疗（项）202</w:t>
      </w:r>
      <w:r>
        <w:rPr>
          <w:rFonts w:hint="default" w:ascii="Times New Roman" w:hAnsi="Times New Roman" w:eastAsia="仿宋_GB2312" w:cs="Times New Roman"/>
          <w:color w:val="000000"/>
          <w:sz w:val="32"/>
          <w:szCs w:val="32"/>
          <w:lang w:val="en-US" w:eastAsia="zh-CN"/>
        </w:rPr>
        <w:t>8</w:t>
      </w:r>
      <w:r>
        <w:rPr>
          <w:rFonts w:hint="default" w:ascii="Times New Roman" w:hAnsi="Times New Roman" w:eastAsia="仿宋_GB2312" w:cs="Times New Roman"/>
          <w:color w:val="000000"/>
          <w:sz w:val="32"/>
          <w:szCs w:val="32"/>
        </w:rPr>
        <w:t>年预算数为</w:t>
      </w:r>
      <w:r>
        <w:rPr>
          <w:rFonts w:hint="default" w:ascii="Times New Roman" w:hAnsi="Times New Roman" w:eastAsia="仿宋_GB2312" w:cs="Times New Roman"/>
          <w:color w:val="000000"/>
          <w:sz w:val="32"/>
          <w:szCs w:val="32"/>
          <w:lang w:val="en-US" w:eastAsia="zh-CN"/>
        </w:rPr>
        <w:t>9.76</w:t>
      </w:r>
      <w:r>
        <w:rPr>
          <w:rFonts w:hint="default" w:ascii="Times New Roman" w:hAnsi="Times New Roman" w:eastAsia="仿宋_GB2312" w:cs="Times New Roman"/>
          <w:color w:val="000000"/>
          <w:sz w:val="32"/>
          <w:szCs w:val="32"/>
        </w:rPr>
        <w:t>万元，主要用于：部门下属事业单位按规定由单位缴纳的基本医疗保险支出。</w:t>
      </w:r>
    </w:p>
    <w:p w14:paraId="6826C24D">
      <w:pPr>
        <w:pageBreakBefore w:val="0"/>
        <w:widowControl w:val="0"/>
        <w:kinsoku/>
        <w:wordWrap/>
        <w:overflowPunct/>
        <w:topLinePunct w:val="0"/>
        <w:autoSpaceDE/>
        <w:autoSpaceDN/>
        <w:bidi w:val="0"/>
        <w:adjustRightInd/>
        <w:snapToGrid/>
        <w:spacing w:line="576" w:lineRule="exact"/>
        <w:ind w:left="0" w:firstLine="640" w:firstLineChars="200"/>
        <w:textAlignment w:val="auto"/>
        <w:rPr>
          <w:rFonts w:hint="default" w:ascii="Times New Roman" w:hAnsi="Times New Roman" w:eastAsia="仿宋_GB2312" w:cs="Times New Roman"/>
          <w:color w:val="000000"/>
          <w:sz w:val="32"/>
          <w:szCs w:val="32"/>
        </w:rPr>
      </w:pPr>
      <w:r>
        <w:rPr>
          <w:rFonts w:hint="default" w:ascii="Times New Roman" w:hAnsi="Times New Roman" w:eastAsia="仿宋_GB2312" w:cs="Times New Roman"/>
          <w:color w:val="000000"/>
          <w:sz w:val="32"/>
          <w:szCs w:val="32"/>
          <w:lang w:val="en-US" w:eastAsia="zh-CN"/>
        </w:rPr>
        <w:t>13</w:t>
      </w:r>
      <w:r>
        <w:rPr>
          <w:rFonts w:hint="default" w:ascii="Times New Roman" w:hAnsi="Times New Roman" w:eastAsia="仿宋_GB2312" w:cs="Times New Roman"/>
          <w:color w:val="000000"/>
          <w:sz w:val="32"/>
          <w:szCs w:val="32"/>
        </w:rPr>
        <w:t>住房保障（类）住房改革支出（款）住房公积金（项）202</w:t>
      </w:r>
      <w:r>
        <w:rPr>
          <w:rFonts w:hint="default" w:ascii="Times New Roman" w:hAnsi="Times New Roman" w:eastAsia="仿宋_GB2312" w:cs="Times New Roman"/>
          <w:color w:val="000000"/>
          <w:sz w:val="32"/>
          <w:szCs w:val="32"/>
          <w:lang w:val="en-US" w:eastAsia="zh-CN"/>
        </w:rPr>
        <w:t>5</w:t>
      </w:r>
      <w:r>
        <w:rPr>
          <w:rFonts w:hint="default" w:ascii="Times New Roman" w:hAnsi="Times New Roman" w:eastAsia="仿宋_GB2312" w:cs="Times New Roman"/>
          <w:color w:val="000000"/>
          <w:sz w:val="32"/>
          <w:szCs w:val="32"/>
        </w:rPr>
        <w:t>年预算数为</w:t>
      </w:r>
      <w:r>
        <w:rPr>
          <w:rFonts w:hint="default" w:ascii="Times New Roman" w:hAnsi="Times New Roman" w:eastAsia="仿宋_GB2312" w:cs="Times New Roman"/>
          <w:color w:val="000000"/>
          <w:sz w:val="32"/>
          <w:szCs w:val="32"/>
          <w:lang w:val="en-US" w:eastAsia="zh-CN"/>
        </w:rPr>
        <w:t>75.48</w:t>
      </w:r>
      <w:r>
        <w:rPr>
          <w:rFonts w:hint="default" w:ascii="Times New Roman" w:hAnsi="Times New Roman" w:eastAsia="仿宋_GB2312" w:cs="Times New Roman"/>
          <w:color w:val="000000"/>
          <w:sz w:val="32"/>
          <w:szCs w:val="32"/>
        </w:rPr>
        <w:t>万元，主要用于：部门按规定为职工缴纳的住房公积金支出。</w:t>
      </w:r>
    </w:p>
    <w:p w14:paraId="597EBC55">
      <w:pPr>
        <w:keepNext w:val="0"/>
        <w:keepLines w:val="0"/>
        <w:pageBreakBefore w:val="0"/>
        <w:widowControl w:val="0"/>
        <w:kinsoku/>
        <w:wordWrap/>
        <w:overflowPunct/>
        <w:topLinePunct w:val="0"/>
        <w:autoSpaceDE/>
        <w:autoSpaceDN/>
        <w:bidi w:val="0"/>
        <w:adjustRightInd/>
        <w:snapToGrid/>
        <w:spacing w:line="576" w:lineRule="exact"/>
        <w:ind w:left="0" w:firstLine="640" w:firstLineChars="200"/>
        <w:textAlignment w:val="auto"/>
        <w:outlineLvl w:val="0"/>
        <w:rPr>
          <w:rFonts w:hint="default" w:ascii="Times New Roman" w:hAnsi="Times New Roman" w:eastAsia="黑体" w:cs="Times New Roman"/>
          <w:sz w:val="32"/>
          <w:szCs w:val="32"/>
        </w:rPr>
      </w:pPr>
      <w:bookmarkStart w:id="28" w:name="_Toc28217"/>
      <w:bookmarkStart w:id="29" w:name="_Toc30036"/>
      <w:r>
        <w:rPr>
          <w:rFonts w:hint="default" w:ascii="Times New Roman" w:hAnsi="Times New Roman" w:eastAsia="黑体" w:cs="Times New Roman"/>
          <w:sz w:val="32"/>
          <w:szCs w:val="32"/>
          <w:lang w:val="en-US" w:eastAsia="zh-CN"/>
        </w:rPr>
        <w:t>六、一般公共预算基本支出情况说明</w:t>
      </w:r>
      <w:bookmarkEnd w:id="28"/>
      <w:bookmarkEnd w:id="29"/>
    </w:p>
    <w:p w14:paraId="1DC9DB9C">
      <w:pPr>
        <w:keepNext w:val="0"/>
        <w:keepLines w:val="0"/>
        <w:pageBreakBefore w:val="0"/>
        <w:widowControl w:val="0"/>
        <w:kinsoku/>
        <w:wordWrap/>
        <w:overflowPunct/>
        <w:topLinePunct w:val="0"/>
        <w:autoSpaceDE/>
        <w:autoSpaceDN/>
        <w:bidi w:val="0"/>
        <w:adjustRightInd/>
        <w:snapToGrid/>
        <w:spacing w:line="576" w:lineRule="exact"/>
        <w:ind w:left="0" w:firstLine="640" w:firstLineChars="200"/>
        <w:textAlignment w:val="auto"/>
        <w:rPr>
          <w:rFonts w:hint="default" w:ascii="Times New Roman" w:hAnsi="Times New Roman" w:eastAsia="仿宋_GB2312" w:cs="Times New Roman"/>
          <w:sz w:val="32"/>
          <w:szCs w:val="32"/>
          <w:lang w:val="en-US" w:eastAsia="zh-CN"/>
        </w:rPr>
      </w:pPr>
      <w:r>
        <w:rPr>
          <w:rFonts w:hint="default" w:ascii="Times New Roman" w:hAnsi="Times New Roman" w:eastAsia="仿宋_GB2312" w:cs="Times New Roman"/>
          <w:color w:val="000000"/>
          <w:sz w:val="32"/>
          <w:szCs w:val="32"/>
        </w:rPr>
        <w:t>昭化区市场监督管理局</w:t>
      </w:r>
      <w:r>
        <w:rPr>
          <w:rFonts w:hint="default" w:ascii="Times New Roman" w:hAnsi="Times New Roman" w:eastAsia="仿宋_GB2312" w:cs="Times New Roman"/>
          <w:sz w:val="32"/>
          <w:szCs w:val="32"/>
          <w:lang w:val="en-US" w:eastAsia="zh-CN"/>
        </w:rPr>
        <w:t>2025年一般公共预算基本支出1036.24万元，其中：</w:t>
      </w:r>
    </w:p>
    <w:p w14:paraId="796C75FA">
      <w:pPr>
        <w:keepNext w:val="0"/>
        <w:keepLines w:val="0"/>
        <w:pageBreakBefore w:val="0"/>
        <w:widowControl w:val="0"/>
        <w:kinsoku/>
        <w:wordWrap/>
        <w:overflowPunct/>
        <w:topLinePunct w:val="0"/>
        <w:autoSpaceDE/>
        <w:autoSpaceDN/>
        <w:bidi w:val="0"/>
        <w:adjustRightInd/>
        <w:snapToGrid/>
        <w:spacing w:line="576" w:lineRule="exact"/>
        <w:ind w:left="0"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lang w:val="en-US" w:eastAsia="zh-CN"/>
        </w:rPr>
        <w:t>人员经费914.74万元，主要包括：基本工资、津贴补贴、奖金、社会保险缴费、住房公积金、等支出。</w:t>
      </w:r>
    </w:p>
    <w:p w14:paraId="275804CC">
      <w:pPr>
        <w:keepNext w:val="0"/>
        <w:keepLines w:val="0"/>
        <w:pageBreakBefore w:val="0"/>
        <w:widowControl w:val="0"/>
        <w:kinsoku/>
        <w:wordWrap/>
        <w:overflowPunct/>
        <w:topLinePunct w:val="0"/>
        <w:autoSpaceDE/>
        <w:autoSpaceDN/>
        <w:bidi w:val="0"/>
        <w:adjustRightInd/>
        <w:snapToGrid/>
        <w:spacing w:line="576" w:lineRule="exact"/>
        <w:ind w:left="0" w:firstLine="640" w:firstLineChars="200"/>
        <w:textAlignment w:val="auto"/>
        <w:rPr>
          <w:rFonts w:hint="default" w:ascii="Times New Roman" w:hAnsi="Times New Roman" w:eastAsia="仿宋_GB2312" w:cs="Times New Roman"/>
          <w:sz w:val="32"/>
          <w:szCs w:val="32"/>
          <w:lang w:val="en-US" w:eastAsia="zh-CN"/>
        </w:rPr>
      </w:pPr>
      <w:r>
        <w:rPr>
          <w:rFonts w:hint="default" w:ascii="Times New Roman" w:hAnsi="Times New Roman" w:eastAsia="仿宋_GB2312" w:cs="Times New Roman"/>
          <w:sz w:val="32"/>
          <w:szCs w:val="32"/>
          <w:lang w:val="en-US" w:eastAsia="zh-CN"/>
        </w:rPr>
        <w:t>公用经费121.5万元，主要包括：办公费、印刷费、水费、电费、邮电费、物业管理费、差旅费、维修（护）费、会议费、培训费、公务接待费、劳务费、工会经费、公务用车运行维护费、其他交通费用等支出。</w:t>
      </w:r>
    </w:p>
    <w:p w14:paraId="38B102FB">
      <w:pPr>
        <w:keepNext w:val="0"/>
        <w:keepLines w:val="0"/>
        <w:pageBreakBefore w:val="0"/>
        <w:widowControl w:val="0"/>
        <w:kinsoku/>
        <w:wordWrap/>
        <w:overflowPunct/>
        <w:topLinePunct w:val="0"/>
        <w:autoSpaceDE/>
        <w:autoSpaceDN/>
        <w:bidi w:val="0"/>
        <w:adjustRightInd/>
        <w:snapToGrid/>
        <w:spacing w:line="576" w:lineRule="exact"/>
        <w:ind w:left="0" w:firstLine="640" w:firstLineChars="200"/>
        <w:textAlignment w:val="auto"/>
        <w:outlineLvl w:val="0"/>
        <w:rPr>
          <w:rFonts w:hint="default" w:ascii="Times New Roman" w:hAnsi="Times New Roman" w:eastAsia="黑体" w:cs="Times New Roman"/>
          <w:sz w:val="32"/>
          <w:szCs w:val="32"/>
        </w:rPr>
      </w:pPr>
      <w:bookmarkStart w:id="30" w:name="_Toc15001"/>
      <w:bookmarkStart w:id="31" w:name="_Toc3107"/>
      <w:r>
        <w:rPr>
          <w:rFonts w:hint="default" w:ascii="Times New Roman" w:hAnsi="Times New Roman" w:eastAsia="黑体" w:cs="Times New Roman"/>
          <w:sz w:val="32"/>
          <w:szCs w:val="32"/>
          <w:lang w:val="en-US" w:eastAsia="zh-CN"/>
        </w:rPr>
        <w:t>七、“三公”经费财政拨款预算安排情况说明</w:t>
      </w:r>
      <w:bookmarkEnd w:id="30"/>
      <w:bookmarkEnd w:id="31"/>
    </w:p>
    <w:p w14:paraId="562B8511">
      <w:pPr>
        <w:keepNext w:val="0"/>
        <w:keepLines w:val="0"/>
        <w:pageBreakBefore w:val="0"/>
        <w:widowControl w:val="0"/>
        <w:kinsoku/>
        <w:wordWrap/>
        <w:overflowPunct/>
        <w:topLinePunct w:val="0"/>
        <w:autoSpaceDE/>
        <w:autoSpaceDN/>
        <w:bidi w:val="0"/>
        <w:adjustRightInd/>
        <w:snapToGrid/>
        <w:spacing w:line="576" w:lineRule="exact"/>
        <w:ind w:left="0" w:firstLine="640" w:firstLineChars="200"/>
        <w:textAlignment w:val="auto"/>
        <w:rPr>
          <w:rFonts w:hint="default" w:ascii="Times New Roman" w:hAnsi="Times New Roman" w:eastAsia="仿宋_GB2312" w:cs="Times New Roman"/>
          <w:color w:val="000000"/>
          <w:sz w:val="32"/>
          <w:szCs w:val="32"/>
        </w:rPr>
      </w:pPr>
      <w:r>
        <w:rPr>
          <w:rFonts w:hint="default" w:ascii="Times New Roman" w:hAnsi="Times New Roman" w:eastAsia="仿宋_GB2312" w:cs="Times New Roman"/>
          <w:color w:val="000000"/>
          <w:sz w:val="32"/>
          <w:szCs w:val="32"/>
        </w:rPr>
        <w:t>昭化区市场监督管理局</w:t>
      </w:r>
      <w:r>
        <w:rPr>
          <w:rFonts w:hint="default" w:ascii="Times New Roman" w:hAnsi="Times New Roman" w:eastAsia="仿宋_GB2312" w:cs="Times New Roman"/>
          <w:sz w:val="32"/>
          <w:szCs w:val="32"/>
          <w:lang w:val="en-US" w:eastAsia="zh-CN"/>
        </w:rPr>
        <w:t>2025年“三公”经费财政拨款预算数16.1万元，其中：公务接待费3.15万元，公务用车购置及运行维护费12.95万元，</w:t>
      </w:r>
      <w:r>
        <w:rPr>
          <w:rFonts w:hint="default" w:ascii="Times New Roman" w:hAnsi="Times New Roman" w:eastAsia="仿宋_GB2312" w:cs="Times New Roman"/>
          <w:color w:val="000000"/>
          <w:sz w:val="32"/>
          <w:szCs w:val="32"/>
        </w:rPr>
        <w:t>因公出国（境）经费0万元。</w:t>
      </w:r>
    </w:p>
    <w:p w14:paraId="3E06DF42">
      <w:pPr>
        <w:pStyle w:val="5"/>
        <w:pageBreakBefore w:val="0"/>
        <w:widowControl w:val="0"/>
        <w:kinsoku/>
        <w:wordWrap/>
        <w:overflowPunct/>
        <w:topLinePunct w:val="0"/>
        <w:autoSpaceDE/>
        <w:autoSpaceDN/>
        <w:bidi w:val="0"/>
        <w:adjustRightInd/>
        <w:snapToGrid/>
        <w:spacing w:after="0" w:line="576" w:lineRule="exact"/>
        <w:ind w:left="0" w:firstLine="643" w:firstLineChars="200"/>
        <w:jc w:val="both"/>
        <w:textAlignment w:val="auto"/>
        <w:outlineLvl w:val="1"/>
        <w:rPr>
          <w:rFonts w:hint="default" w:ascii="Times New Roman" w:hAnsi="Times New Roman" w:eastAsia="楷体_GB2312" w:cs="Times New Roman"/>
          <w:b/>
          <w:bCs/>
          <w:color w:val="000000"/>
          <w:sz w:val="32"/>
          <w:szCs w:val="32"/>
          <w:lang w:val="en-US" w:eastAsia="zh-CN"/>
        </w:rPr>
      </w:pPr>
      <w:bookmarkStart w:id="32" w:name="_Toc29160"/>
      <w:bookmarkStart w:id="33" w:name="_Toc1055"/>
      <w:r>
        <w:rPr>
          <w:rFonts w:hint="default" w:ascii="Times New Roman" w:hAnsi="Times New Roman" w:eastAsia="楷体_GB2312" w:cs="Times New Roman"/>
          <w:b/>
          <w:bCs/>
          <w:color w:val="000000"/>
          <w:sz w:val="32"/>
          <w:szCs w:val="32"/>
          <w:lang w:val="en-US" w:eastAsia="zh-CN"/>
        </w:rPr>
        <w:t>（一）公务接待费</w:t>
      </w:r>
      <w:bookmarkEnd w:id="32"/>
      <w:bookmarkEnd w:id="33"/>
    </w:p>
    <w:p w14:paraId="12A7D41B">
      <w:pPr>
        <w:pageBreakBefore w:val="0"/>
        <w:widowControl w:val="0"/>
        <w:kinsoku/>
        <w:wordWrap/>
        <w:overflowPunct/>
        <w:topLinePunct w:val="0"/>
        <w:autoSpaceDE/>
        <w:autoSpaceDN/>
        <w:bidi w:val="0"/>
        <w:adjustRightInd/>
        <w:snapToGrid/>
        <w:spacing w:line="576" w:lineRule="exact"/>
        <w:ind w:left="0" w:firstLine="640" w:firstLineChars="200"/>
        <w:textAlignment w:val="auto"/>
        <w:rPr>
          <w:rFonts w:hint="default" w:ascii="Times New Roman" w:hAnsi="Times New Roman" w:eastAsia="仿宋_GB2312" w:cs="Times New Roman"/>
          <w:color w:val="000000"/>
          <w:sz w:val="32"/>
          <w:szCs w:val="32"/>
          <w:lang w:val="en-US" w:eastAsia="zh-CN"/>
        </w:rPr>
      </w:pPr>
      <w:r>
        <w:rPr>
          <w:rFonts w:hint="default" w:ascii="Times New Roman" w:hAnsi="Times New Roman" w:eastAsia="仿宋_GB2312" w:cs="Times New Roman"/>
          <w:color w:val="000000"/>
          <w:sz w:val="32"/>
          <w:szCs w:val="32"/>
        </w:rPr>
        <w:t>公务接待费与202</w:t>
      </w:r>
      <w:r>
        <w:rPr>
          <w:rFonts w:hint="default" w:ascii="Times New Roman" w:hAnsi="Times New Roman" w:eastAsia="仿宋_GB2312" w:cs="Times New Roman"/>
          <w:color w:val="000000"/>
          <w:sz w:val="32"/>
          <w:szCs w:val="32"/>
          <w:lang w:val="en-US" w:eastAsia="zh-CN"/>
        </w:rPr>
        <w:t>4</w:t>
      </w:r>
      <w:r>
        <w:rPr>
          <w:rFonts w:hint="default" w:ascii="Times New Roman" w:hAnsi="Times New Roman" w:eastAsia="仿宋_GB2312" w:cs="Times New Roman"/>
          <w:color w:val="000000"/>
          <w:sz w:val="32"/>
          <w:szCs w:val="32"/>
        </w:rPr>
        <w:t>年预算相比下降0.</w:t>
      </w:r>
      <w:r>
        <w:rPr>
          <w:rFonts w:hint="default" w:ascii="Times New Roman" w:hAnsi="Times New Roman" w:eastAsia="仿宋_GB2312" w:cs="Times New Roman"/>
          <w:color w:val="000000"/>
          <w:sz w:val="32"/>
          <w:szCs w:val="32"/>
          <w:lang w:val="en-US" w:eastAsia="zh-CN"/>
        </w:rPr>
        <w:t>12</w:t>
      </w:r>
      <w:r>
        <w:rPr>
          <w:rFonts w:hint="default" w:ascii="Times New Roman" w:hAnsi="Times New Roman" w:eastAsia="仿宋_GB2312" w:cs="Times New Roman"/>
          <w:color w:val="000000"/>
          <w:sz w:val="32"/>
          <w:szCs w:val="32"/>
        </w:rPr>
        <w:t>%。主要原因是按照党中央、国务院关于过“紧日子”和坚持厉行节约反对浪费的要求，进一步减少公务接待费支出</w:t>
      </w:r>
      <w:r>
        <w:rPr>
          <w:rFonts w:hint="default" w:ascii="Times New Roman" w:hAnsi="Times New Roman" w:eastAsia="仿宋_GB2312" w:cs="Times New Roman"/>
          <w:color w:val="000000"/>
          <w:sz w:val="32"/>
          <w:szCs w:val="32"/>
          <w:lang w:val="en-US" w:eastAsia="zh-CN"/>
        </w:rPr>
        <w:t>.</w:t>
      </w:r>
    </w:p>
    <w:p w14:paraId="12EDDA48">
      <w:pPr>
        <w:keepNext w:val="0"/>
        <w:keepLines w:val="0"/>
        <w:pageBreakBefore w:val="0"/>
        <w:widowControl w:val="0"/>
        <w:kinsoku/>
        <w:wordWrap/>
        <w:overflowPunct/>
        <w:topLinePunct w:val="0"/>
        <w:autoSpaceDE/>
        <w:autoSpaceDN/>
        <w:bidi w:val="0"/>
        <w:adjustRightInd/>
        <w:snapToGrid/>
        <w:spacing w:line="576" w:lineRule="exact"/>
        <w:ind w:left="0" w:firstLine="640" w:firstLineChars="200"/>
        <w:textAlignment w:val="auto"/>
        <w:rPr>
          <w:rFonts w:hint="default" w:ascii="Times New Roman" w:hAnsi="Times New Roman" w:eastAsia="仿宋_GB2312" w:cs="Times New Roman"/>
          <w:b/>
          <w:bCs/>
          <w:sz w:val="32"/>
          <w:szCs w:val="32"/>
        </w:rPr>
      </w:pPr>
      <w:r>
        <w:rPr>
          <w:rFonts w:hint="default" w:ascii="Times New Roman" w:hAnsi="Times New Roman" w:eastAsia="仿宋_GB2312" w:cs="Times New Roman"/>
          <w:sz w:val="32"/>
          <w:szCs w:val="32"/>
          <w:lang w:val="en-US" w:eastAsia="zh-CN"/>
        </w:rPr>
        <w:t>2025年公务接待费计划用于执行接待考察调研、检查指导等公务活动开支的交通费、住宿费、用餐费等。</w:t>
      </w:r>
    </w:p>
    <w:p w14:paraId="5D5C9422">
      <w:pPr>
        <w:keepNext w:val="0"/>
        <w:keepLines w:val="0"/>
        <w:pageBreakBefore w:val="0"/>
        <w:widowControl w:val="0"/>
        <w:numPr>
          <w:ilvl w:val="0"/>
          <w:numId w:val="1"/>
        </w:numPr>
        <w:kinsoku/>
        <w:wordWrap/>
        <w:overflowPunct/>
        <w:topLinePunct w:val="0"/>
        <w:autoSpaceDE/>
        <w:autoSpaceDN/>
        <w:bidi w:val="0"/>
        <w:adjustRightInd/>
        <w:snapToGrid/>
        <w:spacing w:line="576" w:lineRule="exact"/>
        <w:ind w:left="0" w:firstLine="643" w:firstLineChars="200"/>
        <w:textAlignment w:val="auto"/>
        <w:outlineLvl w:val="1"/>
        <w:rPr>
          <w:rFonts w:hint="default" w:ascii="Times New Roman" w:hAnsi="Times New Roman" w:eastAsia="楷体_GB2312" w:cs="Times New Roman"/>
          <w:b/>
          <w:bCs/>
          <w:sz w:val="32"/>
          <w:szCs w:val="32"/>
          <w:lang w:val="en-US" w:eastAsia="zh-CN"/>
        </w:rPr>
      </w:pPr>
      <w:bookmarkStart w:id="34" w:name="_Toc6510"/>
      <w:bookmarkStart w:id="35" w:name="_Toc5909"/>
      <w:r>
        <w:rPr>
          <w:rFonts w:hint="default" w:ascii="Times New Roman" w:hAnsi="Times New Roman" w:eastAsia="楷体_GB2312" w:cs="Times New Roman"/>
          <w:b/>
          <w:bCs/>
          <w:sz w:val="32"/>
          <w:szCs w:val="32"/>
          <w:lang w:val="en-US" w:eastAsia="zh-CN"/>
        </w:rPr>
        <w:t>公务用车购置及运行维护费</w:t>
      </w:r>
      <w:bookmarkEnd w:id="34"/>
      <w:bookmarkEnd w:id="35"/>
    </w:p>
    <w:p w14:paraId="5CA2D1D8">
      <w:pPr>
        <w:rPr>
          <w:rFonts w:hint="default" w:ascii="Times New Roman" w:hAnsi="Times New Roman" w:eastAsia="仿宋_GB2312" w:cs="Times New Roman"/>
          <w:b/>
          <w:bCs/>
          <w:sz w:val="32"/>
          <w:szCs w:val="32"/>
          <w:lang w:val="en-US" w:eastAsia="zh-CN"/>
        </w:rPr>
      </w:pPr>
      <w:r>
        <w:rPr>
          <w:rFonts w:hint="default" w:ascii="Times New Roman" w:hAnsi="Times New Roman" w:eastAsia="仿宋_GB2312" w:cs="Times New Roman"/>
          <w:sz w:val="32"/>
          <w:szCs w:val="32"/>
          <w:lang w:val="en-US" w:eastAsia="zh-CN"/>
        </w:rPr>
        <w:t>公务用车购置及运行维护费与2024年预算相比下降</w:t>
      </w:r>
      <w:r>
        <w:rPr>
          <w:rFonts w:hint="default" w:ascii="Times New Roman" w:hAnsi="Times New Roman" w:eastAsia="仿宋_GB2312" w:cs="Times New Roman"/>
          <w:color w:val="000000"/>
          <w:sz w:val="32"/>
          <w:szCs w:val="32"/>
          <w:lang w:val="en-US" w:eastAsia="zh-CN"/>
        </w:rPr>
        <w:t>0.03</w:t>
      </w:r>
      <w:r>
        <w:rPr>
          <w:rFonts w:hint="default" w:ascii="Times New Roman" w:hAnsi="Times New Roman" w:eastAsia="仿宋_GB2312" w:cs="Times New Roman"/>
          <w:color w:val="000000"/>
          <w:sz w:val="32"/>
          <w:szCs w:val="32"/>
        </w:rPr>
        <w:t>%</w:t>
      </w:r>
      <w:r>
        <w:rPr>
          <w:rFonts w:hint="default" w:ascii="Times New Roman" w:hAnsi="Times New Roman" w:eastAsia="仿宋_GB2312" w:cs="Times New Roman"/>
          <w:sz w:val="32"/>
          <w:szCs w:val="32"/>
          <w:lang w:val="en-US" w:eastAsia="zh-CN"/>
        </w:rPr>
        <w:t>，主要原因是</w:t>
      </w:r>
      <w:r>
        <w:rPr>
          <w:rFonts w:hint="default" w:ascii="Times New Roman" w:hAnsi="Times New Roman" w:eastAsia="仿宋_GB2312" w:cs="Times New Roman"/>
          <w:color w:val="000000"/>
          <w:sz w:val="32"/>
          <w:szCs w:val="32"/>
        </w:rPr>
        <w:t>按照党中央、国务院关于过“紧日子”</w:t>
      </w:r>
      <w:r>
        <w:rPr>
          <w:rFonts w:hint="default" w:ascii="Times New Roman" w:hAnsi="Times New Roman" w:eastAsia="仿宋_GB2312" w:cs="Times New Roman"/>
          <w:color w:val="000000"/>
          <w:sz w:val="32"/>
          <w:szCs w:val="32"/>
          <w:lang w:eastAsia="zh-CN"/>
        </w:rPr>
        <w:t>的要求，全局统筹各业务股室工作，加强对公务用车管理，厉行节约。</w:t>
      </w:r>
    </w:p>
    <w:p w14:paraId="4A855C43">
      <w:pPr>
        <w:pageBreakBefore w:val="0"/>
        <w:widowControl w:val="0"/>
        <w:kinsoku/>
        <w:wordWrap/>
        <w:overflowPunct/>
        <w:topLinePunct w:val="0"/>
        <w:autoSpaceDE/>
        <w:autoSpaceDN/>
        <w:bidi w:val="0"/>
        <w:adjustRightInd/>
        <w:snapToGrid/>
        <w:spacing w:line="576" w:lineRule="exact"/>
        <w:ind w:left="0" w:firstLine="640" w:firstLineChars="200"/>
        <w:textAlignment w:val="auto"/>
        <w:rPr>
          <w:rFonts w:hint="default" w:ascii="Times New Roman" w:hAnsi="Times New Roman" w:eastAsia="仿宋_GB2312" w:cs="Times New Roman"/>
          <w:color w:val="000000"/>
          <w:sz w:val="32"/>
          <w:szCs w:val="32"/>
        </w:rPr>
      </w:pPr>
      <w:r>
        <w:rPr>
          <w:rFonts w:hint="default" w:ascii="Times New Roman" w:hAnsi="Times New Roman" w:eastAsia="仿宋_GB2312" w:cs="Times New Roman"/>
          <w:color w:val="000000"/>
          <w:sz w:val="32"/>
          <w:szCs w:val="32"/>
          <w:lang w:eastAsia="zh-CN"/>
        </w:rPr>
        <w:t>昭化区</w:t>
      </w:r>
      <w:r>
        <w:rPr>
          <w:rFonts w:hint="eastAsia" w:ascii="Times New Roman" w:hAnsi="Times New Roman" w:eastAsia="仿宋_GB2312" w:cs="Times New Roman"/>
          <w:color w:val="000000"/>
          <w:sz w:val="32"/>
          <w:szCs w:val="32"/>
          <w:lang w:eastAsia="zh-CN"/>
        </w:rPr>
        <w:t>市场监管局</w:t>
      </w:r>
      <w:r>
        <w:rPr>
          <w:rFonts w:hint="default" w:ascii="Times New Roman" w:hAnsi="Times New Roman" w:eastAsia="仿宋_GB2312" w:cs="Times New Roman"/>
          <w:color w:val="000000"/>
          <w:sz w:val="32"/>
          <w:szCs w:val="32"/>
        </w:rPr>
        <w:t>现有公务用车5辆，其中：轿车</w:t>
      </w:r>
      <w:r>
        <w:rPr>
          <w:rFonts w:hint="default" w:ascii="Times New Roman" w:hAnsi="Times New Roman" w:eastAsia="仿宋_GB2312" w:cs="Times New Roman"/>
          <w:color w:val="000000"/>
          <w:sz w:val="32"/>
          <w:szCs w:val="32"/>
          <w:lang w:val="en-US" w:eastAsia="zh-CN"/>
        </w:rPr>
        <w:t>3</w:t>
      </w:r>
      <w:r>
        <w:rPr>
          <w:rFonts w:hint="default" w:ascii="Times New Roman" w:hAnsi="Times New Roman" w:eastAsia="仿宋_GB2312" w:cs="Times New Roman"/>
          <w:color w:val="000000"/>
          <w:sz w:val="32"/>
          <w:szCs w:val="32"/>
        </w:rPr>
        <w:t>辆，越野车</w:t>
      </w:r>
      <w:r>
        <w:rPr>
          <w:rFonts w:hint="default" w:ascii="Times New Roman" w:hAnsi="Times New Roman" w:eastAsia="仿宋_GB2312" w:cs="Times New Roman"/>
          <w:color w:val="000000"/>
          <w:sz w:val="32"/>
          <w:szCs w:val="32"/>
          <w:lang w:val="en-US" w:eastAsia="zh-CN"/>
        </w:rPr>
        <w:t>1</w:t>
      </w:r>
      <w:r>
        <w:rPr>
          <w:rFonts w:hint="default" w:ascii="Times New Roman" w:hAnsi="Times New Roman" w:eastAsia="仿宋_GB2312" w:cs="Times New Roman"/>
          <w:color w:val="000000"/>
          <w:sz w:val="32"/>
          <w:szCs w:val="32"/>
        </w:rPr>
        <w:t>辆，特种车1辆（食品安全快速抽检车）</w:t>
      </w:r>
    </w:p>
    <w:p w14:paraId="56E3E32B">
      <w:pPr>
        <w:keepNext w:val="0"/>
        <w:keepLines w:val="0"/>
        <w:pageBreakBefore w:val="0"/>
        <w:widowControl w:val="0"/>
        <w:kinsoku/>
        <w:wordWrap/>
        <w:overflowPunct/>
        <w:topLinePunct w:val="0"/>
        <w:autoSpaceDE/>
        <w:autoSpaceDN/>
        <w:bidi w:val="0"/>
        <w:adjustRightInd/>
        <w:snapToGrid/>
        <w:spacing w:line="576" w:lineRule="exact"/>
        <w:ind w:left="0" w:firstLine="640" w:firstLineChars="200"/>
        <w:textAlignment w:val="auto"/>
        <w:rPr>
          <w:rFonts w:hint="default" w:ascii="Times New Roman" w:hAnsi="Times New Roman" w:eastAsia="仿宋_GB2312" w:cs="Times New Roman"/>
          <w:sz w:val="32"/>
          <w:szCs w:val="32"/>
          <w:lang w:val="en-US" w:eastAsia="zh-CN"/>
        </w:rPr>
      </w:pPr>
      <w:r>
        <w:rPr>
          <w:rFonts w:hint="default" w:ascii="Times New Roman" w:hAnsi="Times New Roman" w:eastAsia="仿宋_GB2312" w:cs="Times New Roman"/>
          <w:sz w:val="32"/>
          <w:szCs w:val="32"/>
          <w:lang w:val="en-US" w:eastAsia="zh-CN"/>
        </w:rPr>
        <w:t>2025年未安排公务用车购置费。</w:t>
      </w:r>
    </w:p>
    <w:p w14:paraId="32B4B2BA">
      <w:pPr>
        <w:pageBreakBefore w:val="0"/>
        <w:widowControl w:val="0"/>
        <w:kinsoku/>
        <w:wordWrap/>
        <w:overflowPunct/>
        <w:topLinePunct w:val="0"/>
        <w:autoSpaceDE/>
        <w:autoSpaceDN/>
        <w:bidi w:val="0"/>
        <w:adjustRightInd/>
        <w:snapToGrid/>
        <w:spacing w:line="576" w:lineRule="exact"/>
        <w:ind w:left="0" w:firstLine="640" w:firstLineChars="200"/>
        <w:textAlignment w:val="auto"/>
        <w:rPr>
          <w:rFonts w:hint="default" w:ascii="Times New Roman" w:hAnsi="Times New Roman" w:eastAsia="仿宋_GB2312" w:cs="Times New Roman"/>
          <w:color w:val="000000"/>
          <w:sz w:val="32"/>
          <w:szCs w:val="32"/>
        </w:rPr>
      </w:pPr>
      <w:r>
        <w:rPr>
          <w:rFonts w:hint="default" w:ascii="Times New Roman" w:hAnsi="Times New Roman" w:eastAsia="仿宋_GB2312" w:cs="Times New Roman"/>
          <w:sz w:val="32"/>
          <w:szCs w:val="32"/>
          <w:lang w:val="en-US" w:eastAsia="zh-CN"/>
        </w:rPr>
        <w:t>2025年安排公务用车运行维护费12.95万元，</w:t>
      </w:r>
      <w:r>
        <w:rPr>
          <w:rFonts w:hint="default" w:ascii="Times New Roman" w:hAnsi="Times New Roman" w:eastAsia="仿宋_GB2312" w:cs="Times New Roman"/>
          <w:color w:val="000000"/>
          <w:sz w:val="32"/>
          <w:szCs w:val="32"/>
        </w:rPr>
        <w:t>用于4辆</w:t>
      </w:r>
      <w:r>
        <w:rPr>
          <w:rFonts w:hint="default" w:ascii="Times New Roman" w:hAnsi="Times New Roman" w:eastAsia="仿宋_GB2312" w:cs="Times New Roman"/>
          <w:color w:val="000000"/>
          <w:sz w:val="32"/>
          <w:szCs w:val="32"/>
          <w:lang w:eastAsia="zh-CN"/>
        </w:rPr>
        <w:t>执法</w:t>
      </w:r>
      <w:r>
        <w:rPr>
          <w:rFonts w:hint="default" w:ascii="Times New Roman" w:hAnsi="Times New Roman" w:eastAsia="仿宋_GB2312" w:cs="Times New Roman"/>
          <w:color w:val="000000"/>
          <w:sz w:val="32"/>
          <w:szCs w:val="32"/>
        </w:rPr>
        <w:t>用车及1辆食品安全快速抽检车燃油、过路（桥）、维修、保险等方面支出，主要保障开展食品安全、药品安全、特种设备安全保障及质量安全监管等工作。</w:t>
      </w:r>
    </w:p>
    <w:p w14:paraId="3CD135CD">
      <w:pPr>
        <w:keepNext w:val="0"/>
        <w:keepLines w:val="0"/>
        <w:pageBreakBefore w:val="0"/>
        <w:widowControl w:val="0"/>
        <w:kinsoku/>
        <w:wordWrap/>
        <w:overflowPunct/>
        <w:topLinePunct w:val="0"/>
        <w:autoSpaceDE/>
        <w:autoSpaceDN/>
        <w:bidi w:val="0"/>
        <w:adjustRightInd/>
        <w:snapToGrid/>
        <w:spacing w:line="576" w:lineRule="exact"/>
        <w:ind w:left="0" w:firstLine="643" w:firstLineChars="200"/>
        <w:textAlignment w:val="auto"/>
        <w:outlineLvl w:val="1"/>
        <w:rPr>
          <w:rFonts w:hint="default" w:ascii="Times New Roman" w:hAnsi="Times New Roman" w:eastAsia="仿宋_GB2312" w:cs="Times New Roman"/>
          <w:b/>
          <w:bCs/>
          <w:sz w:val="32"/>
          <w:szCs w:val="32"/>
          <w:lang w:val="en-US" w:eastAsia="zh-CN"/>
        </w:rPr>
      </w:pPr>
      <w:bookmarkStart w:id="36" w:name="_Toc19049"/>
      <w:bookmarkStart w:id="37" w:name="_Toc25845"/>
      <w:r>
        <w:rPr>
          <w:rFonts w:hint="default" w:ascii="Times New Roman" w:hAnsi="Times New Roman" w:eastAsia="仿宋_GB2312" w:cs="Times New Roman"/>
          <w:b/>
          <w:bCs/>
          <w:sz w:val="32"/>
          <w:szCs w:val="32"/>
          <w:lang w:val="en-US" w:eastAsia="zh-CN"/>
        </w:rPr>
        <w:t>（</w:t>
      </w:r>
      <w:r>
        <w:rPr>
          <w:rFonts w:hint="default" w:ascii="Times New Roman" w:hAnsi="Times New Roman" w:eastAsia="楷体_GB2312" w:cs="Times New Roman"/>
          <w:b/>
          <w:bCs/>
          <w:sz w:val="32"/>
          <w:szCs w:val="32"/>
          <w:lang w:val="en-US" w:eastAsia="zh-CN"/>
        </w:rPr>
        <w:t>三）因公出国（境）经费</w:t>
      </w:r>
      <w:bookmarkEnd w:id="36"/>
      <w:bookmarkEnd w:id="37"/>
    </w:p>
    <w:p w14:paraId="6A62182C">
      <w:pPr>
        <w:keepNext w:val="0"/>
        <w:keepLines w:val="0"/>
        <w:pageBreakBefore w:val="0"/>
        <w:widowControl w:val="0"/>
        <w:kinsoku/>
        <w:wordWrap/>
        <w:overflowPunct/>
        <w:topLinePunct w:val="0"/>
        <w:autoSpaceDE/>
        <w:autoSpaceDN/>
        <w:bidi w:val="0"/>
        <w:adjustRightInd/>
        <w:snapToGrid/>
        <w:spacing w:line="576" w:lineRule="exact"/>
        <w:ind w:left="0" w:firstLine="640" w:firstLineChars="200"/>
        <w:textAlignment w:val="auto"/>
        <w:rPr>
          <w:rFonts w:hint="default" w:ascii="Times New Roman" w:hAnsi="Times New Roman" w:eastAsia="仿宋_GB2312" w:cs="Times New Roman"/>
          <w:color w:val="000000"/>
          <w:sz w:val="32"/>
          <w:szCs w:val="32"/>
        </w:rPr>
      </w:pPr>
      <w:r>
        <w:rPr>
          <w:rFonts w:hint="default" w:ascii="Times New Roman" w:hAnsi="Times New Roman" w:eastAsia="仿宋_GB2312" w:cs="Times New Roman"/>
          <w:color w:val="000000"/>
          <w:sz w:val="32"/>
          <w:szCs w:val="32"/>
        </w:rPr>
        <w:t>因公出国经费与202</w:t>
      </w:r>
      <w:r>
        <w:rPr>
          <w:rFonts w:hint="default" w:ascii="Times New Roman" w:hAnsi="Times New Roman" w:eastAsia="仿宋_GB2312" w:cs="Times New Roman"/>
          <w:color w:val="000000"/>
          <w:sz w:val="32"/>
          <w:szCs w:val="32"/>
          <w:lang w:val="en-US" w:eastAsia="zh-CN"/>
        </w:rPr>
        <w:t>4</w:t>
      </w:r>
      <w:r>
        <w:rPr>
          <w:rFonts w:hint="default" w:ascii="Times New Roman" w:hAnsi="Times New Roman" w:eastAsia="仿宋_GB2312" w:cs="Times New Roman"/>
          <w:color w:val="000000"/>
          <w:sz w:val="32"/>
          <w:szCs w:val="32"/>
        </w:rPr>
        <w:t>年预算相比持平，无因公出差经费</w:t>
      </w:r>
    </w:p>
    <w:p w14:paraId="08A52738">
      <w:pPr>
        <w:keepNext w:val="0"/>
        <w:keepLines w:val="0"/>
        <w:pageBreakBefore w:val="0"/>
        <w:widowControl w:val="0"/>
        <w:kinsoku/>
        <w:wordWrap/>
        <w:overflowPunct/>
        <w:topLinePunct w:val="0"/>
        <w:autoSpaceDE/>
        <w:autoSpaceDN/>
        <w:bidi w:val="0"/>
        <w:adjustRightInd/>
        <w:snapToGrid/>
        <w:spacing w:line="576" w:lineRule="exact"/>
        <w:ind w:left="0" w:firstLine="640" w:firstLineChars="200"/>
        <w:textAlignment w:val="auto"/>
        <w:outlineLvl w:val="0"/>
        <w:rPr>
          <w:rFonts w:hint="default" w:ascii="Times New Roman" w:hAnsi="Times New Roman" w:eastAsia="黑体" w:cs="Times New Roman"/>
          <w:sz w:val="32"/>
          <w:szCs w:val="32"/>
          <w:lang w:val="en-US" w:eastAsia="zh-CN"/>
        </w:rPr>
      </w:pPr>
      <w:bookmarkStart w:id="38" w:name="_Toc27310"/>
      <w:bookmarkStart w:id="39" w:name="_Toc9996"/>
      <w:r>
        <w:rPr>
          <w:rFonts w:hint="default" w:ascii="Times New Roman" w:hAnsi="Times New Roman" w:eastAsia="黑体" w:cs="Times New Roman"/>
          <w:sz w:val="32"/>
          <w:szCs w:val="32"/>
          <w:lang w:val="en-US" w:eastAsia="zh-CN"/>
        </w:rPr>
        <w:t>八、政府性基金预算支出情况说明</w:t>
      </w:r>
      <w:bookmarkEnd w:id="38"/>
      <w:bookmarkEnd w:id="39"/>
    </w:p>
    <w:p w14:paraId="66EE67B1">
      <w:pPr>
        <w:keepNext w:val="0"/>
        <w:keepLines w:val="0"/>
        <w:pageBreakBefore w:val="0"/>
        <w:widowControl w:val="0"/>
        <w:kinsoku/>
        <w:wordWrap/>
        <w:overflowPunct/>
        <w:topLinePunct w:val="0"/>
        <w:autoSpaceDE/>
        <w:autoSpaceDN/>
        <w:bidi w:val="0"/>
        <w:adjustRightInd/>
        <w:snapToGrid/>
        <w:spacing w:line="576" w:lineRule="exact"/>
        <w:ind w:left="0"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color w:val="000000"/>
          <w:sz w:val="32"/>
          <w:szCs w:val="32"/>
          <w:lang w:eastAsia="zh-CN"/>
        </w:rPr>
        <w:t>昭化区</w:t>
      </w:r>
      <w:r>
        <w:rPr>
          <w:rFonts w:hint="eastAsia" w:ascii="Times New Roman" w:hAnsi="Times New Roman" w:eastAsia="仿宋_GB2312" w:cs="Times New Roman"/>
          <w:color w:val="000000"/>
          <w:sz w:val="32"/>
          <w:szCs w:val="32"/>
          <w:lang w:eastAsia="zh-CN"/>
        </w:rPr>
        <w:t>市场监管局</w:t>
      </w:r>
      <w:r>
        <w:rPr>
          <w:rFonts w:hint="default" w:ascii="Times New Roman" w:hAnsi="Times New Roman" w:eastAsia="仿宋_GB2312" w:cs="Times New Roman"/>
          <w:sz w:val="32"/>
          <w:szCs w:val="32"/>
          <w:lang w:val="en-US" w:eastAsia="zh-CN"/>
        </w:rPr>
        <w:t>2025年无政府性基金预算拨款安排的支出。</w:t>
      </w:r>
    </w:p>
    <w:p w14:paraId="5645C2AB">
      <w:pPr>
        <w:keepNext w:val="0"/>
        <w:keepLines w:val="0"/>
        <w:pageBreakBefore w:val="0"/>
        <w:widowControl w:val="0"/>
        <w:kinsoku/>
        <w:wordWrap/>
        <w:overflowPunct/>
        <w:topLinePunct w:val="0"/>
        <w:autoSpaceDE/>
        <w:autoSpaceDN/>
        <w:bidi w:val="0"/>
        <w:adjustRightInd/>
        <w:snapToGrid/>
        <w:spacing w:line="576" w:lineRule="exact"/>
        <w:ind w:left="0" w:firstLine="640" w:firstLineChars="200"/>
        <w:textAlignment w:val="auto"/>
        <w:outlineLvl w:val="0"/>
        <w:rPr>
          <w:rFonts w:hint="default" w:ascii="Times New Roman" w:hAnsi="Times New Roman" w:eastAsia="黑体" w:cs="Times New Roman"/>
          <w:sz w:val="32"/>
          <w:szCs w:val="32"/>
          <w:lang w:val="en-US" w:eastAsia="zh-CN"/>
        </w:rPr>
      </w:pPr>
      <w:bookmarkStart w:id="40" w:name="_Toc29137"/>
      <w:bookmarkStart w:id="41" w:name="_Toc7789"/>
      <w:r>
        <w:rPr>
          <w:rFonts w:hint="default" w:ascii="Times New Roman" w:hAnsi="Times New Roman" w:eastAsia="黑体" w:cs="Times New Roman"/>
          <w:sz w:val="32"/>
          <w:szCs w:val="32"/>
          <w:lang w:val="en-US" w:eastAsia="zh-CN"/>
        </w:rPr>
        <w:t>九、国有资本经营预算支出情况说明</w:t>
      </w:r>
      <w:bookmarkEnd w:id="40"/>
      <w:bookmarkEnd w:id="41"/>
    </w:p>
    <w:p w14:paraId="23A76650">
      <w:pPr>
        <w:keepNext w:val="0"/>
        <w:keepLines w:val="0"/>
        <w:pageBreakBefore w:val="0"/>
        <w:widowControl w:val="0"/>
        <w:kinsoku/>
        <w:wordWrap/>
        <w:overflowPunct/>
        <w:topLinePunct w:val="0"/>
        <w:autoSpaceDE/>
        <w:autoSpaceDN/>
        <w:bidi w:val="0"/>
        <w:adjustRightInd/>
        <w:snapToGrid/>
        <w:spacing w:line="576" w:lineRule="exact"/>
        <w:ind w:left="0"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color w:val="000000"/>
          <w:sz w:val="32"/>
          <w:szCs w:val="32"/>
          <w:lang w:eastAsia="zh-CN"/>
        </w:rPr>
        <w:t>昭化区市场监</w:t>
      </w:r>
      <w:r>
        <w:rPr>
          <w:rFonts w:hint="eastAsia" w:ascii="Times New Roman" w:hAnsi="Times New Roman" w:eastAsia="仿宋_GB2312" w:cs="Times New Roman"/>
          <w:color w:val="000000"/>
          <w:sz w:val="32"/>
          <w:szCs w:val="32"/>
          <w:lang w:eastAsia="zh-CN"/>
        </w:rPr>
        <w:t>管</w:t>
      </w:r>
      <w:r>
        <w:rPr>
          <w:rFonts w:hint="default" w:ascii="Times New Roman" w:hAnsi="Times New Roman" w:eastAsia="仿宋_GB2312" w:cs="Times New Roman"/>
          <w:color w:val="000000"/>
          <w:sz w:val="32"/>
          <w:szCs w:val="32"/>
          <w:lang w:eastAsia="zh-CN"/>
        </w:rPr>
        <w:t>局</w:t>
      </w:r>
      <w:r>
        <w:rPr>
          <w:rFonts w:hint="default" w:ascii="Times New Roman" w:hAnsi="Times New Roman" w:eastAsia="仿宋_GB2312" w:cs="Times New Roman"/>
          <w:sz w:val="32"/>
          <w:szCs w:val="32"/>
          <w:lang w:val="en-US" w:eastAsia="zh-CN"/>
        </w:rPr>
        <w:t>2025年无国有资本经营预算拨款安排的支出。</w:t>
      </w:r>
    </w:p>
    <w:p w14:paraId="1B2FCD07">
      <w:pPr>
        <w:keepNext w:val="0"/>
        <w:keepLines w:val="0"/>
        <w:pageBreakBefore w:val="0"/>
        <w:widowControl w:val="0"/>
        <w:kinsoku/>
        <w:wordWrap/>
        <w:overflowPunct/>
        <w:topLinePunct w:val="0"/>
        <w:autoSpaceDE/>
        <w:autoSpaceDN/>
        <w:bidi w:val="0"/>
        <w:adjustRightInd/>
        <w:snapToGrid/>
        <w:spacing w:line="576" w:lineRule="exact"/>
        <w:ind w:left="0" w:firstLine="640" w:firstLineChars="200"/>
        <w:textAlignment w:val="auto"/>
        <w:outlineLvl w:val="0"/>
        <w:rPr>
          <w:rFonts w:hint="default" w:ascii="Times New Roman" w:hAnsi="Times New Roman" w:eastAsia="黑体" w:cs="Times New Roman"/>
          <w:sz w:val="32"/>
          <w:szCs w:val="32"/>
        </w:rPr>
      </w:pPr>
      <w:bookmarkStart w:id="42" w:name="_Toc31477"/>
      <w:bookmarkStart w:id="43" w:name="_Toc25044"/>
      <w:r>
        <w:rPr>
          <w:rFonts w:hint="default" w:ascii="Times New Roman" w:hAnsi="Times New Roman" w:eastAsia="黑体" w:cs="Times New Roman"/>
          <w:sz w:val="32"/>
          <w:szCs w:val="32"/>
          <w:lang w:val="en-US" w:eastAsia="zh-CN"/>
        </w:rPr>
        <w:t>十、其他重要事项的情况说明</w:t>
      </w:r>
      <w:bookmarkEnd w:id="42"/>
      <w:bookmarkEnd w:id="43"/>
    </w:p>
    <w:p w14:paraId="474F5D05">
      <w:pPr>
        <w:keepNext w:val="0"/>
        <w:keepLines w:val="0"/>
        <w:pageBreakBefore w:val="0"/>
        <w:widowControl w:val="0"/>
        <w:kinsoku/>
        <w:wordWrap/>
        <w:overflowPunct/>
        <w:topLinePunct w:val="0"/>
        <w:autoSpaceDE/>
        <w:autoSpaceDN/>
        <w:bidi w:val="0"/>
        <w:adjustRightInd/>
        <w:snapToGrid/>
        <w:spacing w:line="576" w:lineRule="exact"/>
        <w:ind w:left="0" w:firstLine="643" w:firstLineChars="200"/>
        <w:textAlignment w:val="auto"/>
        <w:outlineLvl w:val="1"/>
        <w:rPr>
          <w:rFonts w:hint="default" w:ascii="Times New Roman" w:hAnsi="Times New Roman" w:eastAsia="楷体_GB2312" w:cs="Times New Roman"/>
          <w:b/>
          <w:bCs/>
          <w:i w:val="0"/>
          <w:iCs w:val="0"/>
          <w:sz w:val="32"/>
          <w:szCs w:val="32"/>
          <w:u w:val="none"/>
          <w:lang w:val="en-US" w:eastAsia="zh-CN"/>
        </w:rPr>
      </w:pPr>
      <w:bookmarkStart w:id="44" w:name="_Toc22149"/>
      <w:bookmarkStart w:id="45" w:name="_Toc7618"/>
      <w:r>
        <w:rPr>
          <w:rFonts w:hint="default" w:ascii="Times New Roman" w:hAnsi="Times New Roman" w:eastAsia="楷体_GB2312" w:cs="Times New Roman"/>
          <w:b/>
          <w:bCs/>
          <w:i w:val="0"/>
          <w:iCs w:val="0"/>
          <w:sz w:val="32"/>
          <w:szCs w:val="32"/>
          <w:u w:val="none"/>
          <w:lang w:val="en-US" w:eastAsia="zh-CN"/>
        </w:rPr>
        <w:t>（一）机关运行经费</w:t>
      </w:r>
      <w:bookmarkEnd w:id="44"/>
      <w:bookmarkEnd w:id="45"/>
    </w:p>
    <w:p w14:paraId="471D0B3A">
      <w:pPr>
        <w:keepNext w:val="0"/>
        <w:keepLines w:val="0"/>
        <w:pageBreakBefore w:val="0"/>
        <w:widowControl w:val="0"/>
        <w:kinsoku/>
        <w:wordWrap/>
        <w:overflowPunct/>
        <w:topLinePunct w:val="0"/>
        <w:autoSpaceDE/>
        <w:autoSpaceDN/>
        <w:bidi w:val="0"/>
        <w:adjustRightInd/>
        <w:snapToGrid/>
        <w:spacing w:line="576" w:lineRule="exact"/>
        <w:ind w:left="0" w:firstLine="640" w:firstLineChars="200"/>
        <w:textAlignment w:val="auto"/>
        <w:rPr>
          <w:rFonts w:hint="default" w:ascii="Times New Roman" w:hAnsi="Times New Roman" w:eastAsia="仿宋_GB2312" w:cs="Times New Roman"/>
          <w:sz w:val="32"/>
          <w:szCs w:val="32"/>
          <w:lang w:val="en-US" w:eastAsia="zh-CN"/>
        </w:rPr>
      </w:pPr>
      <w:r>
        <w:rPr>
          <w:rFonts w:hint="default" w:ascii="Times New Roman" w:hAnsi="Times New Roman" w:eastAsia="仿宋_GB2312" w:cs="Times New Roman"/>
          <w:sz w:val="32"/>
          <w:szCs w:val="32"/>
          <w:lang w:val="en-US" w:eastAsia="zh-CN"/>
        </w:rPr>
        <w:t>2025年，</w:t>
      </w:r>
      <w:r>
        <w:rPr>
          <w:rFonts w:hint="default" w:ascii="Times New Roman" w:hAnsi="Times New Roman" w:eastAsia="仿宋_GB2312" w:cs="Times New Roman"/>
          <w:color w:val="000000"/>
          <w:sz w:val="32"/>
          <w:szCs w:val="32"/>
        </w:rPr>
        <w:t>昭化区市场监督管理</w:t>
      </w:r>
      <w:r>
        <w:rPr>
          <w:rFonts w:hint="default" w:ascii="Times New Roman" w:hAnsi="Times New Roman" w:eastAsia="仿宋_GB2312" w:cs="Times New Roman"/>
          <w:color w:val="000000"/>
          <w:sz w:val="32"/>
          <w:szCs w:val="32"/>
          <w:lang w:eastAsia="zh-CN"/>
        </w:rPr>
        <w:t>局</w:t>
      </w:r>
      <w:r>
        <w:rPr>
          <w:rFonts w:hint="default" w:ascii="Times New Roman" w:hAnsi="Times New Roman" w:eastAsia="仿宋_GB2312" w:cs="Times New Roman"/>
          <w:color w:val="000000"/>
          <w:sz w:val="32"/>
          <w:szCs w:val="32"/>
        </w:rPr>
        <w:t>机关及其3家下属事业单位的运行经费财政拨款预算为</w:t>
      </w:r>
      <w:r>
        <w:rPr>
          <w:rFonts w:hint="default" w:ascii="Times New Roman" w:hAnsi="Times New Roman" w:eastAsia="仿宋_GB2312" w:cs="Times New Roman"/>
          <w:color w:val="000000"/>
          <w:sz w:val="32"/>
          <w:szCs w:val="32"/>
          <w:lang w:val="en-US" w:eastAsia="zh-CN"/>
        </w:rPr>
        <w:t>121.5</w:t>
      </w:r>
      <w:r>
        <w:rPr>
          <w:rFonts w:hint="default" w:ascii="Times New Roman" w:hAnsi="Times New Roman" w:eastAsia="仿宋_GB2312" w:cs="Times New Roman"/>
          <w:color w:val="000000"/>
          <w:sz w:val="32"/>
          <w:szCs w:val="32"/>
        </w:rPr>
        <w:t>万元，比202</w:t>
      </w:r>
      <w:r>
        <w:rPr>
          <w:rFonts w:hint="default" w:ascii="Times New Roman" w:hAnsi="Times New Roman" w:eastAsia="仿宋_GB2312" w:cs="Times New Roman"/>
          <w:color w:val="000000"/>
          <w:sz w:val="32"/>
          <w:szCs w:val="32"/>
          <w:lang w:val="en-US" w:eastAsia="zh-CN"/>
        </w:rPr>
        <w:t>4</w:t>
      </w:r>
      <w:r>
        <w:rPr>
          <w:rFonts w:hint="default" w:ascii="Times New Roman" w:hAnsi="Times New Roman" w:eastAsia="仿宋_GB2312" w:cs="Times New Roman"/>
          <w:color w:val="000000"/>
          <w:sz w:val="32"/>
          <w:szCs w:val="32"/>
        </w:rPr>
        <w:t>年预算减少</w:t>
      </w:r>
      <w:r>
        <w:rPr>
          <w:rFonts w:hint="default" w:ascii="Times New Roman" w:hAnsi="Times New Roman" w:eastAsia="仿宋_GB2312" w:cs="Times New Roman"/>
          <w:color w:val="000000"/>
          <w:sz w:val="32"/>
          <w:szCs w:val="32"/>
          <w:lang w:val="en-US" w:eastAsia="zh-CN"/>
        </w:rPr>
        <w:t>4.23</w:t>
      </w:r>
      <w:r>
        <w:rPr>
          <w:rFonts w:hint="default" w:ascii="Times New Roman" w:hAnsi="Times New Roman" w:eastAsia="仿宋_GB2312" w:cs="Times New Roman"/>
          <w:color w:val="000000"/>
          <w:sz w:val="32"/>
          <w:szCs w:val="32"/>
        </w:rPr>
        <w:t>万元，下降</w:t>
      </w:r>
      <w:r>
        <w:rPr>
          <w:rFonts w:hint="default" w:ascii="Times New Roman" w:hAnsi="Times New Roman" w:eastAsia="仿宋_GB2312" w:cs="Times New Roman"/>
          <w:color w:val="000000"/>
          <w:sz w:val="32"/>
          <w:szCs w:val="32"/>
          <w:lang w:val="en-US" w:eastAsia="zh-CN"/>
        </w:rPr>
        <w:t>3.48</w:t>
      </w:r>
      <w:r>
        <w:rPr>
          <w:rFonts w:hint="default" w:ascii="Times New Roman" w:hAnsi="Times New Roman" w:eastAsia="仿宋_GB2312" w:cs="Times New Roman"/>
          <w:color w:val="000000"/>
          <w:sz w:val="32"/>
          <w:szCs w:val="32"/>
        </w:rPr>
        <w:t>%。主要原因是202</w:t>
      </w:r>
      <w:r>
        <w:rPr>
          <w:rFonts w:hint="default" w:ascii="Times New Roman" w:hAnsi="Times New Roman" w:eastAsia="仿宋_GB2312" w:cs="Times New Roman"/>
          <w:color w:val="000000"/>
          <w:sz w:val="32"/>
          <w:szCs w:val="32"/>
          <w:lang w:val="en-US" w:eastAsia="zh-CN"/>
        </w:rPr>
        <w:t>5</w:t>
      </w:r>
      <w:r>
        <w:rPr>
          <w:rFonts w:hint="default" w:ascii="Times New Roman" w:hAnsi="Times New Roman" w:eastAsia="仿宋_GB2312" w:cs="Times New Roman"/>
          <w:color w:val="000000"/>
          <w:sz w:val="32"/>
          <w:szCs w:val="32"/>
        </w:rPr>
        <w:t>年单位人员减少。</w:t>
      </w:r>
    </w:p>
    <w:p w14:paraId="3052FAC6">
      <w:pPr>
        <w:keepNext w:val="0"/>
        <w:keepLines w:val="0"/>
        <w:pageBreakBefore w:val="0"/>
        <w:widowControl w:val="0"/>
        <w:kinsoku/>
        <w:wordWrap/>
        <w:overflowPunct/>
        <w:topLinePunct w:val="0"/>
        <w:autoSpaceDE/>
        <w:autoSpaceDN/>
        <w:bidi w:val="0"/>
        <w:adjustRightInd/>
        <w:snapToGrid/>
        <w:spacing w:line="576" w:lineRule="exact"/>
        <w:ind w:left="0" w:firstLine="643" w:firstLineChars="200"/>
        <w:textAlignment w:val="auto"/>
        <w:outlineLvl w:val="1"/>
        <w:rPr>
          <w:rFonts w:hint="default" w:ascii="Times New Roman" w:hAnsi="Times New Roman" w:eastAsia="楷体_GB2312" w:cs="Times New Roman"/>
          <w:b/>
          <w:bCs/>
          <w:i w:val="0"/>
          <w:iCs w:val="0"/>
          <w:sz w:val="32"/>
          <w:szCs w:val="32"/>
          <w:u w:val="none"/>
          <w:lang w:val="en-US" w:eastAsia="zh-CN"/>
        </w:rPr>
      </w:pPr>
      <w:bookmarkStart w:id="46" w:name="_Toc18739"/>
      <w:bookmarkStart w:id="47" w:name="_Toc27936"/>
      <w:r>
        <w:rPr>
          <w:rFonts w:hint="default" w:ascii="Times New Roman" w:hAnsi="Times New Roman" w:eastAsia="楷体_GB2312" w:cs="Times New Roman"/>
          <w:b/>
          <w:bCs/>
          <w:i w:val="0"/>
          <w:iCs w:val="0"/>
          <w:sz w:val="32"/>
          <w:szCs w:val="32"/>
          <w:u w:val="none"/>
          <w:lang w:val="en-US" w:eastAsia="zh-CN"/>
        </w:rPr>
        <w:t>（二）政府采购情况</w:t>
      </w:r>
      <w:bookmarkEnd w:id="46"/>
      <w:bookmarkEnd w:id="47"/>
    </w:p>
    <w:p w14:paraId="2C53F608">
      <w:pPr>
        <w:pageBreakBefore w:val="0"/>
        <w:widowControl w:val="0"/>
        <w:kinsoku/>
        <w:wordWrap/>
        <w:overflowPunct/>
        <w:topLinePunct w:val="0"/>
        <w:autoSpaceDE/>
        <w:autoSpaceDN/>
        <w:bidi w:val="0"/>
        <w:adjustRightInd/>
        <w:snapToGrid/>
        <w:spacing w:line="576" w:lineRule="exact"/>
        <w:ind w:left="0" w:firstLine="640" w:firstLineChars="200"/>
        <w:textAlignment w:val="auto"/>
        <w:rPr>
          <w:rFonts w:hint="default" w:ascii="Times New Roman" w:hAnsi="Times New Roman" w:eastAsia="仿宋_GB2312" w:cs="Times New Roman"/>
          <w:color w:val="000000"/>
          <w:sz w:val="32"/>
          <w:szCs w:val="32"/>
        </w:rPr>
      </w:pPr>
      <w:r>
        <w:rPr>
          <w:rFonts w:hint="default" w:ascii="Times New Roman" w:hAnsi="Times New Roman" w:eastAsia="仿宋_GB2312" w:cs="Times New Roman"/>
          <w:sz w:val="32"/>
          <w:szCs w:val="32"/>
          <w:lang w:val="en-US" w:eastAsia="zh-CN"/>
        </w:rPr>
        <w:t>2025年，</w:t>
      </w:r>
      <w:r>
        <w:rPr>
          <w:rFonts w:hint="default" w:ascii="Times New Roman" w:hAnsi="Times New Roman" w:eastAsia="仿宋_GB2312" w:cs="Times New Roman"/>
          <w:color w:val="000000"/>
          <w:sz w:val="32"/>
          <w:szCs w:val="32"/>
        </w:rPr>
        <w:t>本单位本年度无政府采购预算。</w:t>
      </w:r>
    </w:p>
    <w:p w14:paraId="2972B060">
      <w:pPr>
        <w:keepNext w:val="0"/>
        <w:keepLines w:val="0"/>
        <w:pageBreakBefore w:val="0"/>
        <w:widowControl w:val="0"/>
        <w:kinsoku/>
        <w:wordWrap/>
        <w:overflowPunct/>
        <w:topLinePunct w:val="0"/>
        <w:autoSpaceDE/>
        <w:autoSpaceDN/>
        <w:bidi w:val="0"/>
        <w:adjustRightInd/>
        <w:snapToGrid/>
        <w:spacing w:line="576" w:lineRule="exact"/>
        <w:ind w:left="0" w:firstLine="643" w:firstLineChars="200"/>
        <w:textAlignment w:val="auto"/>
        <w:outlineLvl w:val="1"/>
        <w:rPr>
          <w:rFonts w:hint="default" w:ascii="Times New Roman" w:hAnsi="Times New Roman" w:eastAsia="楷体_GB2312" w:cs="Times New Roman"/>
          <w:b/>
          <w:bCs/>
          <w:i w:val="0"/>
          <w:iCs w:val="0"/>
          <w:sz w:val="32"/>
          <w:szCs w:val="32"/>
          <w:u w:val="none"/>
          <w:lang w:val="en-US" w:eastAsia="zh-CN"/>
        </w:rPr>
      </w:pPr>
      <w:bookmarkStart w:id="48" w:name="_Toc25114"/>
      <w:bookmarkStart w:id="49" w:name="_Toc29926"/>
      <w:r>
        <w:rPr>
          <w:rFonts w:hint="default" w:ascii="Times New Roman" w:hAnsi="Times New Roman" w:eastAsia="楷体_GB2312" w:cs="Times New Roman"/>
          <w:b/>
          <w:bCs/>
          <w:i w:val="0"/>
          <w:iCs w:val="0"/>
          <w:sz w:val="32"/>
          <w:szCs w:val="32"/>
          <w:u w:val="none"/>
          <w:lang w:val="en-US" w:eastAsia="zh-CN"/>
        </w:rPr>
        <w:t>（三）国有资产占有使用情况</w:t>
      </w:r>
      <w:bookmarkEnd w:id="48"/>
      <w:bookmarkEnd w:id="49"/>
    </w:p>
    <w:p w14:paraId="5E87CDF0">
      <w:pPr>
        <w:keepNext w:val="0"/>
        <w:keepLines w:val="0"/>
        <w:pageBreakBefore w:val="0"/>
        <w:widowControl w:val="0"/>
        <w:kinsoku/>
        <w:wordWrap/>
        <w:overflowPunct/>
        <w:topLinePunct w:val="0"/>
        <w:autoSpaceDE/>
        <w:autoSpaceDN/>
        <w:bidi w:val="0"/>
        <w:adjustRightInd/>
        <w:snapToGrid/>
        <w:spacing w:line="576" w:lineRule="exact"/>
        <w:ind w:left="0" w:firstLine="640" w:firstLineChars="200"/>
        <w:textAlignment w:val="auto"/>
        <w:rPr>
          <w:rFonts w:hint="default" w:ascii="Times New Roman" w:hAnsi="Times New Roman" w:eastAsia="仿宋_GB2312" w:cs="Times New Roman"/>
          <w:sz w:val="32"/>
          <w:szCs w:val="32"/>
          <w:lang w:val="en-US" w:eastAsia="zh-CN"/>
        </w:rPr>
      </w:pPr>
      <w:r>
        <w:rPr>
          <w:rFonts w:hint="default" w:ascii="Times New Roman" w:hAnsi="Times New Roman" w:eastAsia="仿宋_GB2312" w:cs="Times New Roman"/>
          <w:sz w:val="32"/>
          <w:szCs w:val="32"/>
          <w:lang w:val="en-US" w:eastAsia="zh-CN"/>
        </w:rPr>
        <w:t>截至2024年底，</w:t>
      </w:r>
      <w:r>
        <w:rPr>
          <w:rFonts w:hint="default" w:ascii="Times New Roman" w:hAnsi="Times New Roman" w:eastAsia="仿宋_GB2312" w:cs="Times New Roman"/>
          <w:color w:val="000000"/>
          <w:sz w:val="32"/>
          <w:szCs w:val="32"/>
        </w:rPr>
        <w:t>昭化区市场监督管理</w:t>
      </w:r>
      <w:r>
        <w:rPr>
          <w:rFonts w:hint="default" w:ascii="Times New Roman" w:hAnsi="Times New Roman" w:eastAsia="仿宋_GB2312" w:cs="Times New Roman"/>
          <w:color w:val="000000"/>
          <w:sz w:val="32"/>
          <w:szCs w:val="32"/>
          <w:lang w:eastAsia="zh-CN"/>
        </w:rPr>
        <w:t>局</w:t>
      </w:r>
      <w:r>
        <w:rPr>
          <w:rFonts w:hint="default" w:ascii="Times New Roman" w:hAnsi="Times New Roman" w:eastAsia="仿宋_GB2312" w:cs="Times New Roman"/>
          <w:sz w:val="32"/>
          <w:szCs w:val="32"/>
          <w:lang w:val="en-US" w:eastAsia="zh-CN"/>
        </w:rPr>
        <w:t>共有车辆5辆，其中，领导干部用车0辆、定向保障用车0辆、执法执勤用车4辆，</w:t>
      </w:r>
      <w:r>
        <w:rPr>
          <w:rFonts w:hint="default" w:ascii="Times New Roman" w:hAnsi="Times New Roman" w:eastAsia="仿宋_GB2312" w:cs="Times New Roman"/>
          <w:color w:val="000000"/>
          <w:sz w:val="32"/>
          <w:szCs w:val="32"/>
        </w:rPr>
        <w:t>特种车1辆。单位价值200万元以上大型设备0台（套）</w:t>
      </w:r>
      <w:r>
        <w:rPr>
          <w:rFonts w:hint="default" w:ascii="Times New Roman" w:hAnsi="Times New Roman" w:eastAsia="仿宋_GB2312" w:cs="Times New Roman"/>
          <w:sz w:val="32"/>
          <w:szCs w:val="32"/>
          <w:lang w:val="en-US" w:eastAsia="zh-CN"/>
        </w:rPr>
        <w:t>。</w:t>
      </w:r>
    </w:p>
    <w:p w14:paraId="395E59E7">
      <w:pPr>
        <w:pageBreakBefore w:val="0"/>
        <w:widowControl w:val="0"/>
        <w:kinsoku/>
        <w:wordWrap/>
        <w:overflowPunct/>
        <w:topLinePunct w:val="0"/>
        <w:autoSpaceDE/>
        <w:autoSpaceDN/>
        <w:bidi w:val="0"/>
        <w:adjustRightInd/>
        <w:snapToGrid/>
        <w:spacing w:line="576" w:lineRule="exact"/>
        <w:ind w:left="0" w:firstLine="640" w:firstLineChars="200"/>
        <w:textAlignment w:val="auto"/>
        <w:rPr>
          <w:rFonts w:hint="default" w:ascii="Times New Roman" w:hAnsi="Times New Roman" w:eastAsia="仿宋_GB2312" w:cs="Times New Roman"/>
          <w:color w:val="000000"/>
          <w:sz w:val="32"/>
          <w:szCs w:val="32"/>
        </w:rPr>
      </w:pPr>
      <w:r>
        <w:rPr>
          <w:rFonts w:hint="default" w:ascii="Times New Roman" w:hAnsi="Times New Roman" w:eastAsia="仿宋_GB2312" w:cs="Times New Roman"/>
          <w:sz w:val="32"/>
          <w:szCs w:val="32"/>
          <w:lang w:val="en-US" w:eastAsia="zh-CN"/>
        </w:rPr>
        <w:t>2025年</w:t>
      </w:r>
      <w:r>
        <w:rPr>
          <w:rFonts w:hint="default" w:ascii="Times New Roman" w:hAnsi="Times New Roman" w:eastAsia="仿宋_GB2312" w:cs="Times New Roman"/>
          <w:color w:val="000000"/>
          <w:sz w:val="32"/>
          <w:szCs w:val="32"/>
        </w:rPr>
        <w:t>部门预算安排车辆购置经费及大型设备购置经费0万元。</w:t>
      </w:r>
    </w:p>
    <w:p w14:paraId="1BA04B57">
      <w:pPr>
        <w:keepNext w:val="0"/>
        <w:keepLines w:val="0"/>
        <w:pageBreakBefore w:val="0"/>
        <w:widowControl w:val="0"/>
        <w:kinsoku/>
        <w:wordWrap/>
        <w:overflowPunct/>
        <w:topLinePunct w:val="0"/>
        <w:autoSpaceDE/>
        <w:autoSpaceDN/>
        <w:bidi w:val="0"/>
        <w:adjustRightInd/>
        <w:snapToGrid/>
        <w:spacing w:line="576" w:lineRule="exact"/>
        <w:ind w:left="0" w:firstLine="643" w:firstLineChars="200"/>
        <w:textAlignment w:val="auto"/>
        <w:outlineLvl w:val="1"/>
        <w:rPr>
          <w:rFonts w:hint="default" w:ascii="Times New Roman" w:hAnsi="Times New Roman" w:eastAsia="楷体_GB2312" w:cs="Times New Roman"/>
          <w:b/>
          <w:bCs/>
          <w:i w:val="0"/>
          <w:iCs w:val="0"/>
          <w:sz w:val="32"/>
          <w:szCs w:val="32"/>
          <w:u w:val="none"/>
          <w:lang w:val="en-US" w:eastAsia="zh-CN"/>
        </w:rPr>
      </w:pPr>
      <w:bookmarkStart w:id="50" w:name="_Toc23292"/>
      <w:bookmarkStart w:id="51" w:name="_Toc25702"/>
      <w:r>
        <w:rPr>
          <w:rFonts w:hint="default" w:ascii="Times New Roman" w:hAnsi="Times New Roman" w:eastAsia="楷体_GB2312" w:cs="Times New Roman"/>
          <w:b/>
          <w:bCs/>
          <w:i w:val="0"/>
          <w:iCs w:val="0"/>
          <w:sz w:val="32"/>
          <w:szCs w:val="32"/>
          <w:u w:val="none"/>
          <w:lang w:val="en-US" w:eastAsia="zh-CN"/>
        </w:rPr>
        <w:t>（四）绩效目标设置情况</w:t>
      </w:r>
      <w:bookmarkEnd w:id="50"/>
      <w:bookmarkEnd w:id="51"/>
    </w:p>
    <w:p w14:paraId="5B8DE6DD">
      <w:pPr>
        <w:keepNext w:val="0"/>
        <w:keepLines w:val="0"/>
        <w:pageBreakBefore w:val="0"/>
        <w:widowControl w:val="0"/>
        <w:kinsoku/>
        <w:wordWrap/>
        <w:overflowPunct/>
        <w:topLinePunct w:val="0"/>
        <w:autoSpaceDE/>
        <w:autoSpaceDN/>
        <w:bidi w:val="0"/>
        <w:adjustRightInd/>
        <w:snapToGrid/>
        <w:spacing w:line="576" w:lineRule="exact"/>
        <w:ind w:left="0" w:firstLine="640" w:firstLineChars="200"/>
        <w:textAlignment w:val="auto"/>
        <w:rPr>
          <w:rFonts w:hint="default" w:ascii="Times New Roman" w:hAnsi="Times New Roman" w:eastAsia="仿宋_GB2312" w:cs="Times New Roman"/>
          <w:sz w:val="32"/>
          <w:szCs w:val="32"/>
          <w:lang w:val="en-US" w:eastAsia="zh-CN"/>
        </w:rPr>
      </w:pPr>
      <w:r>
        <w:rPr>
          <w:rFonts w:hint="default" w:ascii="Times New Roman" w:hAnsi="Times New Roman" w:eastAsia="仿宋_GB2312" w:cs="Times New Roman"/>
          <w:sz w:val="32"/>
          <w:szCs w:val="32"/>
          <w:lang w:val="en-US" w:eastAsia="zh-CN"/>
        </w:rPr>
        <w:t>2025年</w:t>
      </w:r>
      <w:r>
        <w:rPr>
          <w:rFonts w:hint="default" w:ascii="Times New Roman" w:hAnsi="Times New Roman" w:eastAsia="仿宋_GB2312" w:cs="Times New Roman"/>
          <w:color w:val="000000"/>
          <w:sz w:val="32"/>
          <w:szCs w:val="32"/>
        </w:rPr>
        <w:t>昭化区市场监督管理</w:t>
      </w:r>
      <w:r>
        <w:rPr>
          <w:rFonts w:hint="default" w:ascii="Times New Roman" w:hAnsi="Times New Roman" w:eastAsia="仿宋_GB2312" w:cs="Times New Roman"/>
          <w:color w:val="000000"/>
          <w:sz w:val="32"/>
          <w:szCs w:val="32"/>
          <w:lang w:eastAsia="zh-CN"/>
        </w:rPr>
        <w:t>局</w:t>
      </w:r>
      <w:r>
        <w:rPr>
          <w:rFonts w:hint="default" w:ascii="Times New Roman" w:hAnsi="Times New Roman" w:eastAsia="仿宋_GB2312" w:cs="Times New Roman"/>
          <w:sz w:val="32"/>
          <w:szCs w:val="32"/>
          <w:lang w:val="en-US" w:eastAsia="zh-CN"/>
        </w:rPr>
        <w:t>开展绩效目标管理的项目</w:t>
      </w:r>
      <w:r>
        <w:rPr>
          <w:rFonts w:hint="eastAsia" w:ascii="Times New Roman" w:hAnsi="Times New Roman" w:eastAsia="仿宋_GB2312" w:cs="Times New Roman"/>
          <w:sz w:val="32"/>
          <w:szCs w:val="32"/>
          <w:lang w:val="en-US" w:eastAsia="zh-CN"/>
        </w:rPr>
        <w:t>12</w:t>
      </w:r>
      <w:r>
        <w:rPr>
          <w:rFonts w:hint="default" w:ascii="Times New Roman" w:hAnsi="Times New Roman" w:eastAsia="仿宋_GB2312" w:cs="Times New Roman"/>
          <w:sz w:val="32"/>
          <w:szCs w:val="32"/>
          <w:lang w:val="en-US" w:eastAsia="zh-CN"/>
        </w:rPr>
        <w:t>个，涉及预算</w:t>
      </w:r>
      <w:r>
        <w:rPr>
          <w:rFonts w:hint="eastAsia" w:ascii="Times New Roman" w:hAnsi="Times New Roman" w:eastAsia="仿宋_GB2312" w:cs="Times New Roman"/>
          <w:sz w:val="32"/>
          <w:szCs w:val="32"/>
          <w:lang w:val="en-US" w:eastAsia="zh-CN"/>
        </w:rPr>
        <w:t>310.45</w:t>
      </w:r>
      <w:r>
        <w:rPr>
          <w:rFonts w:hint="default" w:ascii="Times New Roman" w:hAnsi="Times New Roman" w:eastAsia="仿宋_GB2312" w:cs="Times New Roman"/>
          <w:sz w:val="32"/>
          <w:szCs w:val="32"/>
          <w:lang w:val="en-US" w:eastAsia="zh-CN"/>
        </w:rPr>
        <w:t>万元。其中：人员类项目（定额公用经费、公务交通补贴）</w:t>
      </w:r>
      <w:r>
        <w:rPr>
          <w:rFonts w:hint="eastAsia" w:ascii="Times New Roman" w:hAnsi="Times New Roman" w:eastAsia="仿宋_GB2312" w:cs="Times New Roman"/>
          <w:sz w:val="32"/>
          <w:szCs w:val="32"/>
          <w:lang w:val="en-US" w:eastAsia="zh-CN"/>
        </w:rPr>
        <w:t>3</w:t>
      </w:r>
      <w:r>
        <w:rPr>
          <w:rFonts w:hint="default" w:ascii="Times New Roman" w:hAnsi="Times New Roman" w:eastAsia="仿宋_GB2312" w:cs="Times New Roman"/>
          <w:sz w:val="32"/>
          <w:szCs w:val="32"/>
          <w:lang w:val="en-US" w:eastAsia="zh-CN"/>
        </w:rPr>
        <w:t xml:space="preserve">个，涉及预算 </w:t>
      </w:r>
      <w:r>
        <w:rPr>
          <w:rFonts w:hint="eastAsia" w:ascii="Times New Roman" w:hAnsi="Times New Roman" w:eastAsia="仿宋_GB2312" w:cs="Times New Roman"/>
          <w:sz w:val="32"/>
          <w:szCs w:val="32"/>
          <w:lang w:val="en-US" w:eastAsia="zh-CN"/>
        </w:rPr>
        <w:t>121.5</w:t>
      </w:r>
      <w:r>
        <w:rPr>
          <w:rFonts w:hint="default" w:ascii="Times New Roman" w:hAnsi="Times New Roman" w:eastAsia="仿宋_GB2312" w:cs="Times New Roman"/>
          <w:sz w:val="32"/>
          <w:szCs w:val="32"/>
          <w:lang w:val="en-US" w:eastAsia="zh-CN"/>
        </w:rPr>
        <w:t>万元；运转类项目</w:t>
      </w:r>
      <w:r>
        <w:rPr>
          <w:rFonts w:hint="eastAsia" w:ascii="Times New Roman" w:hAnsi="Times New Roman" w:eastAsia="仿宋_GB2312" w:cs="Times New Roman"/>
          <w:sz w:val="32"/>
          <w:szCs w:val="32"/>
          <w:lang w:val="en-US" w:eastAsia="zh-CN"/>
        </w:rPr>
        <w:t>8</w:t>
      </w:r>
      <w:r>
        <w:rPr>
          <w:rFonts w:hint="default" w:ascii="Times New Roman" w:hAnsi="Times New Roman" w:eastAsia="仿宋_GB2312" w:cs="Times New Roman"/>
          <w:sz w:val="32"/>
          <w:szCs w:val="32"/>
          <w:lang w:val="en-US" w:eastAsia="zh-CN"/>
        </w:rPr>
        <w:t>个，涉及预算</w:t>
      </w:r>
      <w:r>
        <w:rPr>
          <w:rFonts w:hint="eastAsia" w:ascii="Times New Roman" w:hAnsi="Times New Roman" w:eastAsia="仿宋_GB2312" w:cs="Times New Roman"/>
          <w:sz w:val="32"/>
          <w:szCs w:val="32"/>
          <w:lang w:val="en-US" w:eastAsia="zh-CN"/>
        </w:rPr>
        <w:t>183.95</w:t>
      </w:r>
      <w:r>
        <w:rPr>
          <w:rFonts w:hint="default" w:ascii="Times New Roman" w:hAnsi="Times New Roman" w:eastAsia="仿宋_GB2312" w:cs="Times New Roman"/>
          <w:sz w:val="32"/>
          <w:szCs w:val="32"/>
          <w:lang w:val="en-US" w:eastAsia="zh-CN"/>
        </w:rPr>
        <w:t>万元；特定目标类项目1个，涉及预算5万元。</w:t>
      </w:r>
    </w:p>
    <w:p w14:paraId="2C34BD3B">
      <w:pPr>
        <w:keepNext w:val="0"/>
        <w:keepLines w:val="0"/>
        <w:pageBreakBefore w:val="0"/>
        <w:widowControl w:val="0"/>
        <w:kinsoku/>
        <w:wordWrap/>
        <w:overflowPunct/>
        <w:topLinePunct w:val="0"/>
        <w:autoSpaceDE/>
        <w:autoSpaceDN/>
        <w:bidi w:val="0"/>
        <w:adjustRightInd/>
        <w:snapToGrid/>
        <w:spacing w:line="576" w:lineRule="exact"/>
        <w:ind w:left="0" w:firstLine="640" w:firstLineChars="200"/>
        <w:textAlignment w:val="auto"/>
        <w:outlineLvl w:val="0"/>
        <w:rPr>
          <w:rFonts w:hint="default" w:ascii="Times New Roman" w:hAnsi="Times New Roman" w:eastAsia="黑体" w:cs="Times New Roman"/>
          <w:sz w:val="32"/>
          <w:szCs w:val="32"/>
        </w:rPr>
      </w:pPr>
      <w:bookmarkStart w:id="52" w:name="_Toc8769"/>
      <w:bookmarkStart w:id="53" w:name="_Toc2079"/>
      <w:r>
        <w:rPr>
          <w:rFonts w:hint="default" w:ascii="Times New Roman" w:hAnsi="Times New Roman" w:eastAsia="黑体" w:cs="Times New Roman"/>
          <w:sz w:val="32"/>
          <w:szCs w:val="32"/>
          <w:lang w:val="en-US" w:eastAsia="zh-CN"/>
        </w:rPr>
        <w:t>十一、名词解释</w:t>
      </w:r>
      <w:bookmarkEnd w:id="52"/>
      <w:bookmarkEnd w:id="53"/>
    </w:p>
    <w:p w14:paraId="6E480196">
      <w:pPr>
        <w:pageBreakBefore w:val="0"/>
        <w:widowControl w:val="0"/>
        <w:kinsoku/>
        <w:wordWrap/>
        <w:overflowPunct/>
        <w:topLinePunct w:val="0"/>
        <w:autoSpaceDE/>
        <w:autoSpaceDN/>
        <w:bidi w:val="0"/>
        <w:adjustRightInd/>
        <w:snapToGrid/>
        <w:spacing w:line="576" w:lineRule="exact"/>
        <w:ind w:left="0" w:firstLine="643" w:firstLineChars="200"/>
        <w:textAlignment w:val="auto"/>
        <w:outlineLvl w:val="1"/>
        <w:rPr>
          <w:rFonts w:hint="default" w:ascii="Times New Roman" w:hAnsi="Times New Roman" w:eastAsia="Times New Roman" w:cs="Times New Roman"/>
          <w:color w:val="000000"/>
          <w:sz w:val="32"/>
          <w:szCs w:val="32"/>
        </w:rPr>
      </w:pPr>
      <w:bookmarkStart w:id="54" w:name="_Toc165"/>
      <w:bookmarkStart w:id="55" w:name="_Toc29238"/>
      <w:r>
        <w:rPr>
          <w:rFonts w:hint="default" w:ascii="Times New Roman" w:hAnsi="Times New Roman" w:eastAsia="楷体_GB2312" w:cs="Times New Roman"/>
          <w:b/>
          <w:bCs/>
          <w:color w:val="000000"/>
          <w:sz w:val="32"/>
          <w:szCs w:val="32"/>
        </w:rPr>
        <w:t>（一）一般公共预算拨款收入：</w:t>
      </w:r>
      <w:r>
        <w:rPr>
          <w:rFonts w:hint="default" w:ascii="Times New Roman" w:hAnsi="Times New Roman" w:eastAsia="仿宋_GB2312" w:cs="Times New Roman"/>
          <w:color w:val="000000"/>
          <w:sz w:val="32"/>
          <w:szCs w:val="32"/>
        </w:rPr>
        <w:t>指区级财政当年拨付的资金。</w:t>
      </w:r>
      <w:bookmarkEnd w:id="54"/>
      <w:bookmarkEnd w:id="55"/>
      <w:r>
        <w:rPr>
          <w:rFonts w:hint="default" w:ascii="Times New Roman" w:hAnsi="Times New Roman" w:eastAsia="仿宋_GB2312" w:cs="Times New Roman"/>
          <w:color w:val="000000"/>
          <w:sz w:val="32"/>
          <w:szCs w:val="32"/>
        </w:rPr>
        <w:t xml:space="preserve"> </w:t>
      </w:r>
      <w:r>
        <w:rPr>
          <w:rFonts w:hint="default" w:ascii="Times New Roman" w:hAnsi="Times New Roman" w:cs="Times New Roman"/>
          <w:color w:val="000000"/>
          <w:sz w:val="32"/>
          <w:szCs w:val="32"/>
        </w:rPr>
        <w:t>　</w:t>
      </w:r>
    </w:p>
    <w:p w14:paraId="09AD0D20">
      <w:pPr>
        <w:pageBreakBefore w:val="0"/>
        <w:widowControl w:val="0"/>
        <w:kinsoku/>
        <w:wordWrap/>
        <w:overflowPunct/>
        <w:topLinePunct w:val="0"/>
        <w:autoSpaceDE/>
        <w:autoSpaceDN/>
        <w:bidi w:val="0"/>
        <w:adjustRightInd/>
        <w:snapToGrid/>
        <w:spacing w:line="576" w:lineRule="exact"/>
        <w:ind w:left="0" w:firstLine="643" w:firstLineChars="200"/>
        <w:textAlignment w:val="auto"/>
        <w:outlineLvl w:val="1"/>
        <w:rPr>
          <w:rFonts w:hint="default" w:ascii="Times New Roman" w:hAnsi="Times New Roman" w:eastAsia="Times New Roman" w:cs="Times New Roman"/>
          <w:color w:val="000000"/>
          <w:sz w:val="32"/>
          <w:szCs w:val="32"/>
        </w:rPr>
      </w:pPr>
      <w:bookmarkStart w:id="56" w:name="_Toc28766"/>
      <w:r>
        <w:rPr>
          <w:rFonts w:hint="default" w:ascii="Times New Roman" w:hAnsi="Times New Roman" w:eastAsia="楷体_GB2312" w:cs="Times New Roman"/>
          <w:b/>
          <w:bCs/>
          <w:color w:val="000000"/>
          <w:sz w:val="32"/>
          <w:szCs w:val="32"/>
        </w:rPr>
        <w:t>（二）一般公共服务（类）市场监督管理（款）行政运行（项）：</w:t>
      </w:r>
      <w:r>
        <w:rPr>
          <w:rFonts w:hint="default" w:ascii="Times New Roman" w:hAnsi="Times New Roman" w:eastAsia="仿宋_GB2312" w:cs="Times New Roman"/>
          <w:color w:val="000000"/>
          <w:sz w:val="32"/>
          <w:szCs w:val="32"/>
        </w:rPr>
        <w:t>指</w:t>
      </w:r>
      <w:r>
        <w:rPr>
          <w:rFonts w:hint="eastAsia" w:ascii="Times New Roman" w:hAnsi="Times New Roman" w:eastAsia="仿宋_GB2312" w:cs="Times New Roman"/>
          <w:color w:val="000000"/>
          <w:sz w:val="32"/>
          <w:szCs w:val="32"/>
          <w:lang w:eastAsia="zh-CN"/>
        </w:rPr>
        <w:t>市场监督管理</w:t>
      </w:r>
      <w:r>
        <w:rPr>
          <w:rFonts w:hint="eastAsia" w:ascii="Times New Roman" w:hAnsi="Times New Roman" w:eastAsia="仿宋_GB2312" w:cs="Times New Roman"/>
          <w:color w:val="000000"/>
          <w:sz w:val="32"/>
          <w:szCs w:val="32"/>
          <w:lang w:val="en-US" w:eastAsia="zh-CN"/>
        </w:rPr>
        <w:t>局</w:t>
      </w:r>
      <w:r>
        <w:rPr>
          <w:rFonts w:hint="default" w:ascii="Times New Roman" w:hAnsi="Times New Roman" w:eastAsia="仿宋_GB2312" w:cs="Times New Roman"/>
          <w:color w:val="000000"/>
          <w:sz w:val="32"/>
          <w:szCs w:val="32"/>
        </w:rPr>
        <w:t>机关单位用于保障机构正常运行、开展日常工作的基本支出。</w:t>
      </w:r>
      <w:bookmarkEnd w:id="56"/>
    </w:p>
    <w:p w14:paraId="457F82E5">
      <w:pPr>
        <w:pageBreakBefore w:val="0"/>
        <w:widowControl w:val="0"/>
        <w:kinsoku/>
        <w:wordWrap/>
        <w:overflowPunct/>
        <w:topLinePunct w:val="0"/>
        <w:autoSpaceDE/>
        <w:autoSpaceDN/>
        <w:bidi w:val="0"/>
        <w:adjustRightInd/>
        <w:snapToGrid/>
        <w:spacing w:line="576" w:lineRule="exact"/>
        <w:ind w:left="0" w:firstLine="643" w:firstLineChars="200"/>
        <w:textAlignment w:val="auto"/>
        <w:outlineLvl w:val="1"/>
        <w:rPr>
          <w:rFonts w:hint="default" w:ascii="Times New Roman" w:hAnsi="Times New Roman" w:eastAsia="仿宋_GB2312" w:cs="Times New Roman"/>
          <w:color w:val="000000"/>
          <w:sz w:val="32"/>
          <w:szCs w:val="32"/>
        </w:rPr>
      </w:pPr>
      <w:bookmarkStart w:id="57" w:name="_Toc19473"/>
      <w:r>
        <w:rPr>
          <w:rFonts w:hint="default" w:ascii="Times New Roman" w:hAnsi="Times New Roman" w:eastAsia="楷体_GB2312" w:cs="Times New Roman"/>
          <w:b/>
          <w:bCs/>
          <w:color w:val="000000"/>
          <w:sz w:val="32"/>
          <w:szCs w:val="32"/>
        </w:rPr>
        <w:t>（三）一般公共服务（类）市场监督管理（款）市场主体管理（项）：</w:t>
      </w:r>
      <w:r>
        <w:rPr>
          <w:rFonts w:hint="default" w:ascii="Times New Roman" w:hAnsi="Times New Roman" w:eastAsia="仿宋_GB2312" w:cs="Times New Roman"/>
          <w:color w:val="000000"/>
          <w:sz w:val="32"/>
          <w:szCs w:val="32"/>
        </w:rPr>
        <w:t>指市场准入、行政许可、信用监管等市场主体管理专项工作支出。</w:t>
      </w:r>
      <w:bookmarkEnd w:id="57"/>
    </w:p>
    <w:p w14:paraId="6F99A20A">
      <w:pPr>
        <w:pageBreakBefore w:val="0"/>
        <w:widowControl w:val="0"/>
        <w:kinsoku/>
        <w:wordWrap/>
        <w:overflowPunct/>
        <w:topLinePunct w:val="0"/>
        <w:autoSpaceDE/>
        <w:autoSpaceDN/>
        <w:bidi w:val="0"/>
        <w:adjustRightInd/>
        <w:snapToGrid/>
        <w:spacing w:line="576" w:lineRule="exact"/>
        <w:ind w:left="0" w:firstLine="643" w:firstLineChars="200"/>
        <w:textAlignment w:val="auto"/>
        <w:outlineLvl w:val="1"/>
        <w:rPr>
          <w:rFonts w:hint="default" w:ascii="Times New Roman" w:hAnsi="Times New Roman" w:eastAsia="Times New Roman" w:cs="Times New Roman"/>
          <w:color w:val="000000"/>
          <w:sz w:val="32"/>
          <w:szCs w:val="32"/>
        </w:rPr>
      </w:pPr>
      <w:bookmarkStart w:id="58" w:name="_Toc21542"/>
      <w:r>
        <w:rPr>
          <w:rFonts w:hint="default" w:ascii="Times New Roman" w:hAnsi="Times New Roman" w:eastAsia="楷体_GB2312" w:cs="Times New Roman"/>
          <w:b/>
          <w:bCs/>
          <w:color w:val="000000"/>
          <w:sz w:val="32"/>
          <w:szCs w:val="32"/>
        </w:rPr>
        <w:t>（四）一般公共服务（类）市场监督管理（款）药品事务（项）：</w:t>
      </w:r>
      <w:r>
        <w:rPr>
          <w:rFonts w:hint="default" w:ascii="Times New Roman" w:hAnsi="Times New Roman" w:eastAsia="仿宋_GB2312" w:cs="Times New Roman"/>
          <w:color w:val="000000"/>
          <w:sz w:val="32"/>
          <w:szCs w:val="32"/>
        </w:rPr>
        <w:t>指药品（含中药、民族药）监督管理方面的支出。</w:t>
      </w:r>
      <w:bookmarkEnd w:id="58"/>
    </w:p>
    <w:p w14:paraId="26B06DA7">
      <w:pPr>
        <w:pageBreakBefore w:val="0"/>
        <w:widowControl w:val="0"/>
        <w:kinsoku/>
        <w:wordWrap/>
        <w:overflowPunct/>
        <w:topLinePunct w:val="0"/>
        <w:autoSpaceDE/>
        <w:autoSpaceDN/>
        <w:bidi w:val="0"/>
        <w:adjustRightInd/>
        <w:snapToGrid/>
        <w:spacing w:line="576" w:lineRule="exact"/>
        <w:ind w:left="0" w:firstLine="643" w:firstLineChars="200"/>
        <w:textAlignment w:val="auto"/>
        <w:outlineLvl w:val="1"/>
        <w:rPr>
          <w:rFonts w:hint="default" w:ascii="Times New Roman" w:hAnsi="Times New Roman" w:eastAsia="仿宋_GB2312" w:cs="Times New Roman"/>
          <w:color w:val="000000"/>
          <w:sz w:val="32"/>
          <w:szCs w:val="32"/>
        </w:rPr>
      </w:pPr>
      <w:bookmarkStart w:id="59" w:name="_Toc20815"/>
      <w:r>
        <w:rPr>
          <w:rFonts w:hint="default" w:ascii="Times New Roman" w:hAnsi="Times New Roman" w:eastAsia="楷体_GB2312" w:cs="Times New Roman"/>
          <w:b/>
          <w:bCs/>
          <w:color w:val="000000"/>
          <w:sz w:val="32"/>
          <w:szCs w:val="32"/>
        </w:rPr>
        <w:t>（五）一般公共服务（类）市场监督管理（款）食品安全监管（项）：</w:t>
      </w:r>
      <w:r>
        <w:rPr>
          <w:rFonts w:hint="default" w:ascii="Times New Roman" w:hAnsi="Times New Roman" w:eastAsia="仿宋_GB2312" w:cs="Times New Roman"/>
          <w:color w:val="000000"/>
          <w:sz w:val="32"/>
          <w:szCs w:val="32"/>
        </w:rPr>
        <w:t>指食品安全监管等专项工作支出。</w:t>
      </w:r>
      <w:bookmarkEnd w:id="59"/>
    </w:p>
    <w:p w14:paraId="3FBE9CB1">
      <w:pPr>
        <w:pageBreakBefore w:val="0"/>
        <w:widowControl w:val="0"/>
        <w:kinsoku/>
        <w:wordWrap/>
        <w:overflowPunct/>
        <w:topLinePunct w:val="0"/>
        <w:autoSpaceDE/>
        <w:autoSpaceDN/>
        <w:bidi w:val="0"/>
        <w:adjustRightInd/>
        <w:snapToGrid/>
        <w:spacing w:line="576" w:lineRule="exact"/>
        <w:ind w:left="0" w:firstLine="643" w:firstLineChars="200"/>
        <w:textAlignment w:val="auto"/>
        <w:outlineLvl w:val="1"/>
        <w:rPr>
          <w:rFonts w:hint="default" w:ascii="Times New Roman" w:hAnsi="Times New Roman" w:eastAsia="仿宋_GB2312" w:cs="Times New Roman"/>
          <w:color w:val="000000"/>
          <w:sz w:val="32"/>
          <w:szCs w:val="32"/>
        </w:rPr>
      </w:pPr>
      <w:bookmarkStart w:id="60" w:name="_Toc9416"/>
      <w:r>
        <w:rPr>
          <w:rFonts w:hint="default" w:ascii="Times New Roman" w:hAnsi="Times New Roman" w:eastAsia="楷体_GB2312" w:cs="Times New Roman"/>
          <w:b/>
          <w:bCs/>
          <w:color w:val="000000"/>
          <w:sz w:val="32"/>
          <w:szCs w:val="32"/>
        </w:rPr>
        <w:t>（六）一般公共服务（类）市场监督管理（款）质量基础（项）：</w:t>
      </w:r>
      <w:r>
        <w:rPr>
          <w:rFonts w:hint="default" w:ascii="Times New Roman" w:hAnsi="Times New Roman" w:eastAsia="仿宋_GB2312" w:cs="Times New Roman"/>
          <w:color w:val="000000"/>
          <w:sz w:val="32"/>
          <w:szCs w:val="32"/>
        </w:rPr>
        <w:t>指计量、标准、认证认可、检验监测等质量基础专项工作支出。</w:t>
      </w:r>
      <w:bookmarkEnd w:id="60"/>
    </w:p>
    <w:p w14:paraId="32DB2482">
      <w:pPr>
        <w:pageBreakBefore w:val="0"/>
        <w:widowControl w:val="0"/>
        <w:kinsoku/>
        <w:wordWrap/>
        <w:overflowPunct/>
        <w:topLinePunct w:val="0"/>
        <w:autoSpaceDE/>
        <w:autoSpaceDN/>
        <w:bidi w:val="0"/>
        <w:adjustRightInd/>
        <w:snapToGrid/>
        <w:spacing w:line="576" w:lineRule="exact"/>
        <w:ind w:left="0" w:firstLine="643" w:firstLineChars="200"/>
        <w:textAlignment w:val="auto"/>
        <w:outlineLvl w:val="1"/>
        <w:rPr>
          <w:rFonts w:hint="default" w:ascii="Times New Roman" w:hAnsi="Times New Roman" w:eastAsia="仿宋_GB2312" w:cs="Times New Roman"/>
          <w:color w:val="000000"/>
          <w:sz w:val="32"/>
          <w:szCs w:val="32"/>
        </w:rPr>
      </w:pPr>
      <w:bookmarkStart w:id="61" w:name="_Toc26605"/>
      <w:r>
        <w:rPr>
          <w:rFonts w:hint="default" w:ascii="Times New Roman" w:hAnsi="Times New Roman" w:eastAsia="楷体_GB2312" w:cs="Times New Roman"/>
          <w:b/>
          <w:bCs/>
          <w:color w:val="000000"/>
          <w:sz w:val="32"/>
          <w:szCs w:val="32"/>
        </w:rPr>
        <w:t>（七）一般公共服务（类）市场监督管理（款）质量安全监管（项）：</w:t>
      </w:r>
      <w:r>
        <w:rPr>
          <w:rFonts w:hint="default" w:ascii="Times New Roman" w:hAnsi="Times New Roman" w:eastAsia="仿宋_GB2312" w:cs="Times New Roman"/>
          <w:color w:val="000000"/>
          <w:sz w:val="32"/>
          <w:szCs w:val="32"/>
        </w:rPr>
        <w:t>指产品质量安全监管、特种设备安全监管等质量监管专项工作支出。</w:t>
      </w:r>
      <w:bookmarkEnd w:id="61"/>
    </w:p>
    <w:p w14:paraId="5E4F6B05">
      <w:pPr>
        <w:pageBreakBefore w:val="0"/>
        <w:widowControl w:val="0"/>
        <w:kinsoku/>
        <w:wordWrap/>
        <w:overflowPunct/>
        <w:topLinePunct w:val="0"/>
        <w:autoSpaceDE/>
        <w:autoSpaceDN/>
        <w:bidi w:val="0"/>
        <w:adjustRightInd/>
        <w:snapToGrid/>
        <w:spacing w:line="576" w:lineRule="exact"/>
        <w:ind w:left="0" w:firstLine="643" w:firstLineChars="200"/>
        <w:textAlignment w:val="auto"/>
        <w:outlineLvl w:val="1"/>
        <w:rPr>
          <w:rFonts w:hint="default" w:ascii="Times New Roman" w:hAnsi="Times New Roman" w:eastAsia="仿宋_GB2312" w:cs="Times New Roman"/>
          <w:color w:val="000000"/>
          <w:sz w:val="32"/>
          <w:szCs w:val="32"/>
        </w:rPr>
      </w:pPr>
      <w:bookmarkStart w:id="62" w:name="_Toc19066"/>
      <w:r>
        <w:rPr>
          <w:rFonts w:hint="default" w:ascii="Times New Roman" w:hAnsi="Times New Roman" w:eastAsia="楷体_GB2312" w:cs="Times New Roman"/>
          <w:b/>
          <w:bCs/>
          <w:color w:val="000000"/>
          <w:sz w:val="32"/>
          <w:szCs w:val="32"/>
        </w:rPr>
        <w:t>（八）一般公共服务（类）市场监督管理（款）事业运行（项）：</w:t>
      </w:r>
      <w:r>
        <w:rPr>
          <w:rFonts w:hint="default" w:ascii="Times New Roman" w:hAnsi="Times New Roman" w:eastAsia="仿宋_GB2312" w:cs="Times New Roman"/>
          <w:color w:val="000000"/>
          <w:sz w:val="32"/>
          <w:szCs w:val="32"/>
        </w:rPr>
        <w:t>广元市昭化区市场监督事务中心、广元市昭化区消费者权益服务中心、广元市昭化区市场监督信息中心用于保障机构正常运行、开展日常工作的基本支出。</w:t>
      </w:r>
      <w:bookmarkEnd w:id="62"/>
    </w:p>
    <w:p w14:paraId="70AD488A">
      <w:pPr>
        <w:pageBreakBefore w:val="0"/>
        <w:widowControl w:val="0"/>
        <w:kinsoku/>
        <w:wordWrap/>
        <w:overflowPunct/>
        <w:topLinePunct w:val="0"/>
        <w:autoSpaceDE/>
        <w:autoSpaceDN/>
        <w:bidi w:val="0"/>
        <w:adjustRightInd/>
        <w:snapToGrid/>
        <w:spacing w:line="576" w:lineRule="exact"/>
        <w:ind w:left="0" w:firstLine="643" w:firstLineChars="200"/>
        <w:textAlignment w:val="auto"/>
        <w:outlineLvl w:val="1"/>
        <w:rPr>
          <w:rFonts w:hint="default" w:ascii="Times New Roman" w:hAnsi="Times New Roman" w:eastAsia="仿宋_GB2312" w:cs="Times New Roman"/>
          <w:color w:val="000000"/>
          <w:sz w:val="32"/>
          <w:szCs w:val="32"/>
        </w:rPr>
      </w:pPr>
      <w:bookmarkStart w:id="63" w:name="_Toc12496"/>
      <w:r>
        <w:rPr>
          <w:rFonts w:hint="default" w:ascii="Times New Roman" w:hAnsi="Times New Roman" w:eastAsia="楷体_GB2312" w:cs="Times New Roman"/>
          <w:b/>
          <w:bCs/>
          <w:color w:val="000000"/>
          <w:sz w:val="32"/>
          <w:szCs w:val="32"/>
        </w:rPr>
        <w:t>（九）一般公共服务（类）市场监督管理（款）其他市场监督管理（项）：</w:t>
      </w:r>
      <w:r>
        <w:rPr>
          <w:rFonts w:hint="default" w:ascii="Times New Roman" w:hAnsi="Times New Roman" w:eastAsia="仿宋_GB2312" w:cs="Times New Roman"/>
          <w:color w:val="000000"/>
          <w:sz w:val="32"/>
          <w:szCs w:val="32"/>
        </w:rPr>
        <w:t>指市场监督管理除上述项目外，开展其他市场监</w:t>
      </w:r>
      <w:r>
        <w:rPr>
          <w:rFonts w:hint="eastAsia" w:ascii="Times New Roman" w:hAnsi="Times New Roman" w:eastAsia="仿宋_GB2312" w:cs="Times New Roman"/>
          <w:color w:val="000000"/>
          <w:sz w:val="32"/>
          <w:szCs w:val="32"/>
          <w:lang w:eastAsia="zh-CN"/>
        </w:rPr>
        <w:t>管</w:t>
      </w:r>
      <w:r>
        <w:rPr>
          <w:rFonts w:hint="default" w:ascii="Times New Roman" w:hAnsi="Times New Roman" w:eastAsia="仿宋_GB2312" w:cs="Times New Roman"/>
          <w:color w:val="000000"/>
          <w:sz w:val="32"/>
          <w:szCs w:val="32"/>
        </w:rPr>
        <w:t>面专门性工作任务的项目支出，如争取资金、招商引资等的相关支出。</w:t>
      </w:r>
      <w:bookmarkEnd w:id="63"/>
    </w:p>
    <w:p w14:paraId="1D04010C">
      <w:pPr>
        <w:pageBreakBefore w:val="0"/>
        <w:widowControl w:val="0"/>
        <w:kinsoku/>
        <w:wordWrap/>
        <w:overflowPunct/>
        <w:topLinePunct w:val="0"/>
        <w:autoSpaceDE/>
        <w:autoSpaceDN/>
        <w:bidi w:val="0"/>
        <w:adjustRightInd/>
        <w:snapToGrid/>
        <w:spacing w:line="576" w:lineRule="exact"/>
        <w:ind w:left="0" w:firstLine="643" w:firstLineChars="200"/>
        <w:textAlignment w:val="auto"/>
        <w:outlineLvl w:val="1"/>
        <w:rPr>
          <w:rFonts w:hint="default" w:ascii="Times New Roman" w:hAnsi="Times New Roman" w:eastAsia="仿宋_GB2312" w:cs="Times New Roman"/>
          <w:color w:val="000000"/>
          <w:sz w:val="32"/>
          <w:szCs w:val="32"/>
        </w:rPr>
      </w:pPr>
      <w:bookmarkStart w:id="64" w:name="_Toc24072"/>
      <w:r>
        <w:rPr>
          <w:rFonts w:hint="default" w:ascii="Times New Roman" w:hAnsi="Times New Roman" w:eastAsia="楷体_GB2312" w:cs="Times New Roman"/>
          <w:b/>
          <w:bCs/>
          <w:color w:val="000000"/>
          <w:sz w:val="32"/>
          <w:szCs w:val="32"/>
        </w:rPr>
        <w:t>（十）社会保障和就业（类）行政事业单位养老支出（款）事业单位离退休（项）：</w:t>
      </w:r>
      <w:r>
        <w:rPr>
          <w:rFonts w:hint="default" w:ascii="Times New Roman" w:hAnsi="Times New Roman" w:eastAsia="仿宋_GB2312" w:cs="Times New Roman"/>
          <w:color w:val="000000"/>
          <w:sz w:val="32"/>
          <w:szCs w:val="32"/>
        </w:rPr>
        <w:t>指事业单位离退休人员的支出。</w:t>
      </w:r>
      <w:bookmarkEnd w:id="64"/>
    </w:p>
    <w:p w14:paraId="44461542">
      <w:pPr>
        <w:pageBreakBefore w:val="0"/>
        <w:widowControl w:val="0"/>
        <w:kinsoku/>
        <w:wordWrap/>
        <w:overflowPunct/>
        <w:topLinePunct w:val="0"/>
        <w:autoSpaceDE/>
        <w:autoSpaceDN/>
        <w:bidi w:val="0"/>
        <w:adjustRightInd/>
        <w:snapToGrid/>
        <w:spacing w:line="576" w:lineRule="exact"/>
        <w:ind w:left="0" w:firstLine="643" w:firstLineChars="200"/>
        <w:textAlignment w:val="auto"/>
        <w:outlineLvl w:val="1"/>
        <w:rPr>
          <w:rFonts w:hint="default" w:ascii="Times New Roman" w:hAnsi="Times New Roman" w:eastAsia="仿宋_GB2312" w:cs="Times New Roman"/>
          <w:color w:val="000000"/>
          <w:sz w:val="32"/>
          <w:szCs w:val="32"/>
        </w:rPr>
      </w:pPr>
      <w:bookmarkStart w:id="65" w:name="_Toc22309"/>
      <w:r>
        <w:rPr>
          <w:rFonts w:hint="default" w:ascii="Times New Roman" w:hAnsi="Times New Roman" w:eastAsia="楷体_GB2312" w:cs="Times New Roman"/>
          <w:b/>
          <w:bCs/>
          <w:color w:val="000000"/>
          <w:sz w:val="32"/>
          <w:szCs w:val="32"/>
        </w:rPr>
        <w:t>（十一）社会保障和就业（类）行政事业单位养老支出（款）行政单位离退休（项）：</w:t>
      </w:r>
      <w:r>
        <w:rPr>
          <w:rFonts w:hint="default" w:ascii="Times New Roman" w:hAnsi="Times New Roman" w:eastAsia="仿宋_GB2312" w:cs="Times New Roman"/>
          <w:color w:val="000000"/>
          <w:sz w:val="32"/>
          <w:szCs w:val="32"/>
        </w:rPr>
        <w:t>指行政及参公管理事业单位离退休人员的支出。</w:t>
      </w:r>
      <w:bookmarkEnd w:id="65"/>
    </w:p>
    <w:p w14:paraId="3F97413C">
      <w:pPr>
        <w:pageBreakBefore w:val="0"/>
        <w:widowControl w:val="0"/>
        <w:kinsoku/>
        <w:wordWrap/>
        <w:overflowPunct/>
        <w:topLinePunct w:val="0"/>
        <w:autoSpaceDE/>
        <w:autoSpaceDN/>
        <w:bidi w:val="0"/>
        <w:adjustRightInd/>
        <w:snapToGrid/>
        <w:spacing w:line="576" w:lineRule="exact"/>
        <w:ind w:left="0" w:firstLine="643" w:firstLineChars="200"/>
        <w:textAlignment w:val="auto"/>
        <w:outlineLvl w:val="1"/>
        <w:rPr>
          <w:rFonts w:hint="default" w:ascii="Times New Roman" w:hAnsi="Times New Roman" w:eastAsia="仿宋_GB2312" w:cs="Times New Roman"/>
          <w:color w:val="000000"/>
          <w:sz w:val="32"/>
          <w:szCs w:val="32"/>
        </w:rPr>
      </w:pPr>
      <w:bookmarkStart w:id="66" w:name="_Toc17714"/>
      <w:r>
        <w:rPr>
          <w:rFonts w:hint="default" w:ascii="Times New Roman" w:hAnsi="Times New Roman" w:eastAsia="楷体_GB2312" w:cs="Times New Roman"/>
          <w:b/>
          <w:bCs/>
          <w:color w:val="000000"/>
          <w:sz w:val="32"/>
          <w:szCs w:val="32"/>
        </w:rPr>
        <w:t>（十二）社会保障和就业（类）行政事业单位养老支出（款）机关事业单位基本养老保险缴费支出（项）：</w:t>
      </w:r>
      <w:r>
        <w:rPr>
          <w:rFonts w:hint="default" w:ascii="Times New Roman" w:hAnsi="Times New Roman" w:eastAsia="仿宋_GB2312" w:cs="Times New Roman"/>
          <w:color w:val="000000"/>
          <w:sz w:val="32"/>
          <w:szCs w:val="32"/>
        </w:rPr>
        <w:t>指部门实施养老保险制度由单位缴纳的养老保险的支出。</w:t>
      </w:r>
      <w:bookmarkEnd w:id="66"/>
    </w:p>
    <w:p w14:paraId="763C9E67">
      <w:pPr>
        <w:pageBreakBefore w:val="0"/>
        <w:widowControl w:val="0"/>
        <w:kinsoku/>
        <w:wordWrap/>
        <w:overflowPunct/>
        <w:topLinePunct w:val="0"/>
        <w:autoSpaceDE/>
        <w:autoSpaceDN/>
        <w:bidi w:val="0"/>
        <w:adjustRightInd/>
        <w:snapToGrid/>
        <w:spacing w:line="576" w:lineRule="exact"/>
        <w:ind w:left="0" w:firstLine="643" w:firstLineChars="200"/>
        <w:textAlignment w:val="auto"/>
        <w:outlineLvl w:val="1"/>
        <w:rPr>
          <w:rFonts w:hint="default" w:ascii="Times New Roman" w:hAnsi="Times New Roman" w:eastAsia="仿宋_GB2312" w:cs="Times New Roman"/>
          <w:color w:val="000000"/>
          <w:sz w:val="32"/>
          <w:szCs w:val="32"/>
        </w:rPr>
      </w:pPr>
      <w:bookmarkStart w:id="67" w:name="_Toc7112"/>
      <w:r>
        <w:rPr>
          <w:rFonts w:hint="default" w:ascii="Times New Roman" w:hAnsi="Times New Roman" w:eastAsia="楷体_GB2312" w:cs="Times New Roman"/>
          <w:b/>
          <w:bCs/>
          <w:color w:val="000000"/>
          <w:sz w:val="32"/>
          <w:szCs w:val="32"/>
        </w:rPr>
        <w:t>（十三）社会保障和就业（类）行政事业单位养老支出（款）机关事业单位职业年金缴费支出（项）：</w:t>
      </w:r>
      <w:r>
        <w:rPr>
          <w:rFonts w:hint="default" w:ascii="Times New Roman" w:hAnsi="Times New Roman" w:eastAsia="仿宋_GB2312" w:cs="Times New Roman"/>
          <w:color w:val="000000"/>
          <w:sz w:val="32"/>
          <w:szCs w:val="32"/>
        </w:rPr>
        <w:t>指部门实施养老保险制度由单位缴纳的职业年金的支出。</w:t>
      </w:r>
      <w:bookmarkEnd w:id="67"/>
    </w:p>
    <w:p w14:paraId="4220D3A9">
      <w:pPr>
        <w:pageBreakBefore w:val="0"/>
        <w:widowControl w:val="0"/>
        <w:kinsoku/>
        <w:wordWrap/>
        <w:overflowPunct/>
        <w:topLinePunct w:val="0"/>
        <w:autoSpaceDE/>
        <w:autoSpaceDN/>
        <w:bidi w:val="0"/>
        <w:adjustRightInd/>
        <w:snapToGrid/>
        <w:spacing w:line="576" w:lineRule="exact"/>
        <w:ind w:left="0" w:firstLine="643" w:firstLineChars="200"/>
        <w:textAlignment w:val="auto"/>
        <w:outlineLvl w:val="1"/>
        <w:rPr>
          <w:rFonts w:hint="default" w:ascii="Times New Roman" w:hAnsi="Times New Roman" w:eastAsia="仿宋_GB2312" w:cs="Times New Roman"/>
          <w:color w:val="000000"/>
          <w:sz w:val="32"/>
          <w:szCs w:val="32"/>
        </w:rPr>
      </w:pPr>
      <w:bookmarkStart w:id="68" w:name="_Toc28418"/>
      <w:r>
        <w:rPr>
          <w:rFonts w:hint="default" w:ascii="Times New Roman" w:hAnsi="Times New Roman" w:eastAsia="楷体_GB2312" w:cs="Times New Roman"/>
          <w:b/>
          <w:bCs/>
          <w:color w:val="000000"/>
          <w:sz w:val="32"/>
          <w:szCs w:val="32"/>
        </w:rPr>
        <w:t>（十四）卫生健康（类）行政事业单位医疗（款）行政单位医疗（项）：</w:t>
      </w:r>
      <w:r>
        <w:rPr>
          <w:rFonts w:hint="default" w:ascii="Times New Roman" w:hAnsi="Times New Roman" w:eastAsia="仿宋_GB2312" w:cs="Times New Roman"/>
          <w:color w:val="000000"/>
          <w:sz w:val="32"/>
          <w:szCs w:val="32"/>
        </w:rPr>
        <w:t>指机关及参公管理事业单位用于单位应缴纳基本医疗保险支出。</w:t>
      </w:r>
      <w:bookmarkEnd w:id="68"/>
    </w:p>
    <w:p w14:paraId="6A48AA08">
      <w:pPr>
        <w:pageBreakBefore w:val="0"/>
        <w:widowControl w:val="0"/>
        <w:kinsoku/>
        <w:wordWrap/>
        <w:overflowPunct/>
        <w:topLinePunct w:val="0"/>
        <w:autoSpaceDE/>
        <w:autoSpaceDN/>
        <w:bidi w:val="0"/>
        <w:adjustRightInd/>
        <w:snapToGrid/>
        <w:spacing w:line="576" w:lineRule="exact"/>
        <w:ind w:left="0" w:firstLine="643" w:firstLineChars="200"/>
        <w:textAlignment w:val="auto"/>
        <w:outlineLvl w:val="1"/>
        <w:rPr>
          <w:rFonts w:hint="default" w:ascii="Times New Roman" w:hAnsi="Times New Roman" w:eastAsia="仿宋_GB2312" w:cs="Times New Roman"/>
          <w:color w:val="000000"/>
          <w:sz w:val="32"/>
          <w:szCs w:val="32"/>
        </w:rPr>
      </w:pPr>
      <w:bookmarkStart w:id="69" w:name="_Toc1236"/>
      <w:r>
        <w:rPr>
          <w:rFonts w:hint="default" w:ascii="Times New Roman" w:hAnsi="Times New Roman" w:eastAsia="楷体_GB2312" w:cs="Times New Roman"/>
          <w:b/>
          <w:bCs/>
          <w:color w:val="000000"/>
          <w:sz w:val="32"/>
          <w:szCs w:val="32"/>
        </w:rPr>
        <w:t>（十五）卫生健康（类）行政事业单位医疗（款）事业单位医疗（项）：</w:t>
      </w:r>
      <w:r>
        <w:rPr>
          <w:rFonts w:hint="default" w:ascii="Times New Roman" w:hAnsi="Times New Roman" w:eastAsia="仿宋_GB2312" w:cs="Times New Roman"/>
          <w:color w:val="000000"/>
          <w:sz w:val="32"/>
          <w:szCs w:val="32"/>
        </w:rPr>
        <w:t>指事业单位用于单位应缴纳基本医疗保险支出。</w:t>
      </w:r>
      <w:bookmarkEnd w:id="69"/>
    </w:p>
    <w:p w14:paraId="359E0D43">
      <w:pPr>
        <w:pageBreakBefore w:val="0"/>
        <w:widowControl w:val="0"/>
        <w:kinsoku/>
        <w:wordWrap/>
        <w:overflowPunct/>
        <w:topLinePunct w:val="0"/>
        <w:autoSpaceDE/>
        <w:autoSpaceDN/>
        <w:bidi w:val="0"/>
        <w:adjustRightInd/>
        <w:snapToGrid/>
        <w:spacing w:line="576" w:lineRule="exact"/>
        <w:ind w:left="0" w:firstLine="643" w:firstLineChars="200"/>
        <w:textAlignment w:val="auto"/>
        <w:outlineLvl w:val="1"/>
        <w:rPr>
          <w:rFonts w:hint="default" w:ascii="Times New Roman" w:hAnsi="Times New Roman" w:eastAsia="Times New Roman" w:cs="Times New Roman"/>
          <w:color w:val="000000"/>
          <w:sz w:val="32"/>
          <w:szCs w:val="32"/>
        </w:rPr>
      </w:pPr>
      <w:bookmarkStart w:id="70" w:name="_Toc6027"/>
      <w:r>
        <w:rPr>
          <w:rFonts w:hint="default" w:ascii="Times New Roman" w:hAnsi="Times New Roman" w:eastAsia="楷体_GB2312" w:cs="Times New Roman"/>
          <w:b/>
          <w:bCs/>
          <w:color w:val="000000"/>
          <w:sz w:val="32"/>
          <w:szCs w:val="32"/>
        </w:rPr>
        <w:t>（十六）住房保障（类）住房改革支出（款）住房公积金（项）：</w:t>
      </w:r>
      <w:r>
        <w:rPr>
          <w:rFonts w:hint="default" w:ascii="Times New Roman" w:hAnsi="Times New Roman" w:eastAsia="仿宋_GB2312" w:cs="Times New Roman"/>
          <w:color w:val="000000"/>
          <w:sz w:val="32"/>
          <w:szCs w:val="32"/>
        </w:rPr>
        <w:t>指按照《住房公积金管理条例》的规定，由单位及其在职职工缴存的长期住房储金。</w:t>
      </w:r>
      <w:bookmarkEnd w:id="70"/>
    </w:p>
    <w:p w14:paraId="1144F076">
      <w:pPr>
        <w:pageBreakBefore w:val="0"/>
        <w:widowControl w:val="0"/>
        <w:kinsoku/>
        <w:wordWrap/>
        <w:overflowPunct/>
        <w:topLinePunct w:val="0"/>
        <w:autoSpaceDE/>
        <w:autoSpaceDN/>
        <w:bidi w:val="0"/>
        <w:adjustRightInd/>
        <w:snapToGrid/>
        <w:spacing w:line="576" w:lineRule="exact"/>
        <w:ind w:left="0" w:firstLine="643" w:firstLineChars="200"/>
        <w:textAlignment w:val="auto"/>
        <w:outlineLvl w:val="1"/>
        <w:rPr>
          <w:rFonts w:hint="default" w:ascii="Times New Roman" w:hAnsi="Times New Roman" w:eastAsia="仿宋_GB2312" w:cs="Times New Roman"/>
          <w:color w:val="000000"/>
          <w:sz w:val="32"/>
          <w:szCs w:val="32"/>
        </w:rPr>
      </w:pPr>
      <w:bookmarkStart w:id="71" w:name="_Toc6864"/>
      <w:r>
        <w:rPr>
          <w:rFonts w:hint="default" w:ascii="Times New Roman" w:hAnsi="Times New Roman" w:eastAsia="楷体_GB2312" w:cs="Times New Roman"/>
          <w:b/>
          <w:bCs/>
          <w:color w:val="000000"/>
          <w:sz w:val="32"/>
          <w:szCs w:val="32"/>
        </w:rPr>
        <w:t>（十七）基本支出：</w:t>
      </w:r>
      <w:r>
        <w:rPr>
          <w:rFonts w:hint="default" w:ascii="Times New Roman" w:hAnsi="Times New Roman" w:eastAsia="仿宋_GB2312" w:cs="Times New Roman"/>
          <w:color w:val="000000"/>
          <w:sz w:val="32"/>
          <w:szCs w:val="32"/>
        </w:rPr>
        <w:t>指为保证机构正常运转，完成日常工作任务而发生的人员支出和公用支出。</w:t>
      </w:r>
      <w:bookmarkEnd w:id="71"/>
    </w:p>
    <w:p w14:paraId="165BC44B">
      <w:pPr>
        <w:pageBreakBefore w:val="0"/>
        <w:widowControl w:val="0"/>
        <w:kinsoku/>
        <w:wordWrap/>
        <w:overflowPunct/>
        <w:topLinePunct w:val="0"/>
        <w:autoSpaceDE/>
        <w:autoSpaceDN/>
        <w:bidi w:val="0"/>
        <w:adjustRightInd/>
        <w:snapToGrid/>
        <w:spacing w:line="576" w:lineRule="exact"/>
        <w:ind w:left="0" w:firstLine="643" w:firstLineChars="200"/>
        <w:textAlignment w:val="auto"/>
        <w:outlineLvl w:val="1"/>
        <w:rPr>
          <w:rFonts w:hint="default" w:ascii="Times New Roman" w:hAnsi="Times New Roman" w:eastAsia="仿宋_GB2312" w:cs="Times New Roman"/>
          <w:color w:val="000000"/>
          <w:sz w:val="32"/>
          <w:szCs w:val="32"/>
        </w:rPr>
      </w:pPr>
      <w:bookmarkStart w:id="72" w:name="_Toc30455"/>
      <w:r>
        <w:rPr>
          <w:rFonts w:hint="default" w:ascii="Times New Roman" w:hAnsi="Times New Roman" w:eastAsia="楷体_GB2312" w:cs="Times New Roman"/>
          <w:b/>
          <w:bCs/>
          <w:color w:val="000000"/>
          <w:sz w:val="32"/>
          <w:szCs w:val="32"/>
        </w:rPr>
        <w:t>（十八）项目支出：</w:t>
      </w:r>
      <w:r>
        <w:rPr>
          <w:rFonts w:hint="default" w:ascii="Times New Roman" w:hAnsi="Times New Roman" w:eastAsia="仿宋_GB2312" w:cs="Times New Roman"/>
          <w:color w:val="000000"/>
          <w:sz w:val="32"/>
          <w:szCs w:val="32"/>
        </w:rPr>
        <w:t>指在基本支出之外为完成特定行政任务和事业发展目标所发生的支出。</w:t>
      </w:r>
      <w:bookmarkEnd w:id="72"/>
    </w:p>
    <w:p w14:paraId="6B4D4D67">
      <w:pPr>
        <w:pageBreakBefore w:val="0"/>
        <w:widowControl w:val="0"/>
        <w:kinsoku/>
        <w:wordWrap/>
        <w:overflowPunct/>
        <w:topLinePunct w:val="0"/>
        <w:autoSpaceDE/>
        <w:autoSpaceDN/>
        <w:bidi w:val="0"/>
        <w:adjustRightInd/>
        <w:snapToGrid/>
        <w:spacing w:line="576" w:lineRule="exact"/>
        <w:ind w:left="0" w:firstLine="643" w:firstLineChars="200"/>
        <w:textAlignment w:val="auto"/>
        <w:outlineLvl w:val="1"/>
        <w:rPr>
          <w:rFonts w:hint="default" w:ascii="Times New Roman" w:hAnsi="Times New Roman" w:eastAsia="仿宋_GB2312" w:cs="Times New Roman"/>
          <w:color w:val="000000"/>
          <w:sz w:val="32"/>
          <w:szCs w:val="32"/>
        </w:rPr>
      </w:pPr>
      <w:bookmarkStart w:id="73" w:name="_Toc10253"/>
      <w:r>
        <w:rPr>
          <w:rFonts w:hint="default" w:ascii="Times New Roman" w:hAnsi="Times New Roman" w:eastAsia="楷体_GB2312" w:cs="Times New Roman"/>
          <w:b/>
          <w:bCs/>
          <w:color w:val="000000"/>
          <w:sz w:val="32"/>
          <w:szCs w:val="32"/>
        </w:rPr>
        <w:t>（十九）“三公”经费：</w:t>
      </w:r>
      <w:r>
        <w:rPr>
          <w:rFonts w:hint="default" w:ascii="Times New Roman" w:hAnsi="Times New Roman" w:eastAsia="仿宋_GB2312" w:cs="Times New Roman"/>
          <w:color w:val="000000"/>
          <w:sz w:val="32"/>
          <w:szCs w:val="32"/>
        </w:rPr>
        <w:t>纳入财政厅预算管理的“三公”经费，是指部门用财政拨款安排的因公出国（境）费、公务用车购置及运行费和公务接待费。其中，因公出国（境）费反映单位公务出国（境）的国际旅费、国外城市间交通费、住宿费、伙食费、培训费、公杂费等支出；公务用车购置及运行费反映单位公务用车车辆购置支出（含车辆购置税）及租用费、燃料费、维修费、过路过桥费、保险费等支出；公务接待费反映单位按规定开支的各类公务接待（含外宾接待）支出。</w:t>
      </w:r>
      <w:bookmarkEnd w:id="73"/>
    </w:p>
    <w:p w14:paraId="4D33B268">
      <w:pPr>
        <w:pageBreakBefore w:val="0"/>
        <w:widowControl w:val="0"/>
        <w:kinsoku/>
        <w:wordWrap/>
        <w:overflowPunct/>
        <w:topLinePunct w:val="0"/>
        <w:autoSpaceDE/>
        <w:autoSpaceDN/>
        <w:bidi w:val="0"/>
        <w:adjustRightInd/>
        <w:snapToGrid/>
        <w:spacing w:line="576" w:lineRule="exact"/>
        <w:ind w:left="0" w:firstLine="643" w:firstLineChars="200"/>
        <w:textAlignment w:val="auto"/>
        <w:outlineLvl w:val="1"/>
        <w:rPr>
          <w:rFonts w:hint="default" w:ascii="Times New Roman" w:hAnsi="Times New Roman" w:eastAsia="仿宋_GB2312" w:cs="Times New Roman"/>
          <w:color w:val="000000"/>
          <w:sz w:val="32"/>
          <w:szCs w:val="32"/>
        </w:rPr>
      </w:pPr>
      <w:bookmarkStart w:id="74" w:name="_Toc7641"/>
      <w:r>
        <w:rPr>
          <w:rFonts w:hint="default" w:ascii="Times New Roman" w:hAnsi="Times New Roman" w:eastAsia="楷体_GB2312" w:cs="Times New Roman"/>
          <w:b/>
          <w:bCs/>
          <w:color w:val="000000"/>
          <w:sz w:val="32"/>
          <w:szCs w:val="32"/>
        </w:rPr>
        <w:t>（二十）机关运行经费：</w:t>
      </w:r>
      <w:r>
        <w:rPr>
          <w:rFonts w:hint="default" w:ascii="Times New Roman" w:hAnsi="Times New Roman" w:eastAsia="仿宋_GB2312" w:cs="Times New Roman"/>
          <w:color w:val="000000"/>
          <w:sz w:val="32"/>
          <w:szCs w:val="32"/>
        </w:rPr>
        <w:t>为保障行政单位（包括参照公务员法管理的事业单位）运行用于购买货物和服务的各项资金，包括办公及印刷费、邮电费、差旅费、会议费、培训费、福利费、日常维修费、专用材料及一般设备购置费、办公用房水电费、办公用房物业管理费、公务用车运行维护费以及其他费用。</w:t>
      </w:r>
      <w:bookmarkEnd w:id="74"/>
    </w:p>
    <w:p w14:paraId="42F7B044">
      <w:pPr>
        <w:pageBreakBefore w:val="0"/>
        <w:widowControl w:val="0"/>
        <w:kinsoku/>
        <w:wordWrap/>
        <w:overflowPunct/>
        <w:topLinePunct w:val="0"/>
        <w:autoSpaceDE/>
        <w:autoSpaceDN/>
        <w:bidi w:val="0"/>
        <w:adjustRightInd/>
        <w:snapToGrid/>
        <w:spacing w:line="576" w:lineRule="exact"/>
        <w:ind w:firstLine="640" w:firstLineChars="200"/>
        <w:textAlignment w:val="auto"/>
        <w:rPr>
          <w:rFonts w:hint="default" w:ascii="Times New Roman" w:hAnsi="Times New Roman" w:eastAsia="仿宋_GB2312" w:cs="Times New Roman"/>
          <w:color w:val="000000"/>
          <w:sz w:val="32"/>
          <w:szCs w:val="32"/>
        </w:rPr>
      </w:pPr>
      <w:bookmarkStart w:id="75" w:name="_Toc4857"/>
    </w:p>
    <w:p w14:paraId="59A2284D">
      <w:pPr>
        <w:pageBreakBefore w:val="0"/>
        <w:widowControl w:val="0"/>
        <w:kinsoku/>
        <w:wordWrap/>
        <w:overflowPunct/>
        <w:topLinePunct w:val="0"/>
        <w:autoSpaceDE/>
        <w:autoSpaceDN/>
        <w:bidi w:val="0"/>
        <w:adjustRightInd/>
        <w:snapToGrid/>
        <w:spacing w:line="576" w:lineRule="exact"/>
        <w:ind w:firstLine="640" w:firstLineChars="200"/>
        <w:textAlignment w:val="auto"/>
        <w:rPr>
          <w:rFonts w:hint="default" w:ascii="Times New Roman" w:hAnsi="Times New Roman" w:eastAsia="仿宋_GB2312" w:cs="Times New Roman"/>
          <w:color w:val="000000"/>
          <w:sz w:val="32"/>
          <w:szCs w:val="32"/>
        </w:rPr>
      </w:pPr>
    </w:p>
    <w:p w14:paraId="7F5DDAE2">
      <w:pPr>
        <w:pageBreakBefore w:val="0"/>
        <w:widowControl w:val="0"/>
        <w:kinsoku/>
        <w:wordWrap/>
        <w:overflowPunct/>
        <w:topLinePunct w:val="0"/>
        <w:autoSpaceDE/>
        <w:autoSpaceDN/>
        <w:bidi w:val="0"/>
        <w:adjustRightInd/>
        <w:snapToGrid/>
        <w:spacing w:line="576" w:lineRule="exact"/>
        <w:ind w:firstLine="640" w:firstLineChars="200"/>
        <w:textAlignment w:val="auto"/>
        <w:rPr>
          <w:rFonts w:hint="default" w:ascii="Times New Roman" w:hAnsi="Times New Roman" w:eastAsia="仿宋_GB2312" w:cs="Times New Roman"/>
          <w:color w:val="000000"/>
          <w:sz w:val="32"/>
          <w:szCs w:val="32"/>
        </w:rPr>
      </w:pPr>
      <w:r>
        <w:rPr>
          <w:rFonts w:hint="default" w:ascii="Times New Roman" w:hAnsi="Times New Roman" w:eastAsia="仿宋_GB2312" w:cs="Times New Roman"/>
          <w:color w:val="000000"/>
          <w:sz w:val="32"/>
          <w:szCs w:val="32"/>
        </w:rPr>
        <w:t>附件：1.部门预算公开表</w:t>
      </w:r>
      <w:bookmarkEnd w:id="75"/>
    </w:p>
    <w:p w14:paraId="1DA7CE6C">
      <w:pPr>
        <w:pageBreakBefore w:val="0"/>
        <w:widowControl w:val="0"/>
        <w:kinsoku/>
        <w:wordWrap/>
        <w:overflowPunct/>
        <w:topLinePunct w:val="0"/>
        <w:autoSpaceDE/>
        <w:autoSpaceDN/>
        <w:bidi w:val="0"/>
        <w:adjustRightInd/>
        <w:snapToGrid/>
        <w:spacing w:line="576" w:lineRule="exact"/>
        <w:ind w:firstLine="1600" w:firstLineChars="500"/>
        <w:textAlignment w:val="auto"/>
        <w:rPr>
          <w:rFonts w:hint="default" w:ascii="Times New Roman" w:hAnsi="Times New Roman" w:eastAsia="仿宋_GB2312" w:cs="Times New Roman"/>
          <w:color w:val="000000"/>
          <w:sz w:val="32"/>
          <w:szCs w:val="32"/>
        </w:rPr>
      </w:pPr>
      <w:bookmarkStart w:id="76" w:name="_Toc27655"/>
      <w:r>
        <w:rPr>
          <w:rFonts w:hint="default" w:ascii="Times New Roman" w:hAnsi="Times New Roman" w:eastAsia="仿宋_GB2312" w:cs="Times New Roman"/>
          <w:color w:val="000000"/>
          <w:sz w:val="32"/>
          <w:szCs w:val="32"/>
        </w:rPr>
        <w:t>2.项目支出绩效目标表</w:t>
      </w:r>
      <w:bookmarkEnd w:id="76"/>
    </w:p>
    <w:p w14:paraId="265C82FB">
      <w:pPr>
        <w:pageBreakBefore w:val="0"/>
        <w:widowControl w:val="0"/>
        <w:kinsoku/>
        <w:wordWrap/>
        <w:overflowPunct/>
        <w:topLinePunct w:val="0"/>
        <w:autoSpaceDE/>
        <w:autoSpaceDN/>
        <w:bidi w:val="0"/>
        <w:adjustRightInd/>
        <w:snapToGrid/>
        <w:spacing w:line="576" w:lineRule="exact"/>
        <w:ind w:firstLine="1600" w:firstLineChars="500"/>
        <w:textAlignment w:val="auto"/>
        <w:rPr>
          <w:rFonts w:hint="default" w:ascii="Times New Roman" w:hAnsi="Times New Roman" w:eastAsia="仿宋_GB2312" w:cs="Times New Roman"/>
          <w:color w:val="000000"/>
          <w:sz w:val="32"/>
          <w:szCs w:val="32"/>
        </w:rPr>
      </w:pPr>
      <w:bookmarkStart w:id="77" w:name="_Toc3225"/>
      <w:r>
        <w:rPr>
          <w:rFonts w:hint="default" w:ascii="Times New Roman" w:hAnsi="Times New Roman" w:eastAsia="仿宋_GB2312" w:cs="Times New Roman"/>
          <w:color w:val="000000"/>
          <w:sz w:val="32"/>
          <w:szCs w:val="32"/>
        </w:rPr>
        <w:t>3.部门整体支出绩效目标表</w:t>
      </w:r>
      <w:bookmarkEnd w:id="77"/>
    </w:p>
    <w:p w14:paraId="38A42A3B">
      <w:pPr>
        <w:pageBreakBefore w:val="0"/>
        <w:widowControl w:val="0"/>
        <w:kinsoku/>
        <w:wordWrap/>
        <w:overflowPunct/>
        <w:topLinePunct w:val="0"/>
        <w:autoSpaceDE/>
        <w:autoSpaceDN/>
        <w:bidi w:val="0"/>
        <w:adjustRightInd/>
        <w:snapToGrid/>
        <w:spacing w:line="576" w:lineRule="exact"/>
        <w:ind w:firstLine="640" w:firstLineChars="200"/>
        <w:textAlignment w:val="auto"/>
        <w:rPr>
          <w:rFonts w:hint="default" w:ascii="Times New Roman" w:hAnsi="Times New Roman" w:eastAsia="Times New Roman" w:cs="Times New Roman"/>
          <w:b/>
          <w:bCs/>
          <w:color w:val="000000"/>
          <w:sz w:val="32"/>
          <w:szCs w:val="32"/>
          <w:lang w:eastAsia="zh-CN"/>
        </w:rPr>
      </w:pPr>
    </w:p>
    <w:sectPr>
      <w:footerReference r:id="rId4" w:type="default"/>
      <w:pgSz w:w="11906" w:h="16838"/>
      <w:pgMar w:top="2098" w:right="1474" w:bottom="1984" w:left="1587" w:header="720" w:footer="1559" w:gutter="0"/>
      <w:pgNumType w:fmt="decimal" w:start="1"/>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auto"/>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embedRegular r:id="rId1" w:fontKey="{18B991C4-2D2F-47E5-8E89-7B26A844F874}"/>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楷体_GB2312">
    <w:panose1 w:val="02010609030101010101"/>
    <w:charset w:val="86"/>
    <w:family w:val="auto"/>
    <w:pitch w:val="default"/>
    <w:sig w:usb0="00000001" w:usb1="080E0000" w:usb2="00000000" w:usb3="00000000" w:csb0="00040000" w:csb1="00000000"/>
    <w:embedRegular r:id="rId2" w:fontKey="{66E6F2F7-8C34-443D-AACF-D13AA8BDC82A}"/>
  </w:font>
  <w:font w:name="Liberation Sans">
    <w:altName w:val="Segoe Print"/>
    <w:panose1 w:val="020B0604020202020204"/>
    <w:charset w:val="00"/>
    <w:family w:val="auto"/>
    <w:pitch w:val="default"/>
    <w:sig w:usb0="00000000" w:usb1="00000000" w:usb2="00000000" w:usb3="00000000" w:csb0="6000009F" w:csb1="DFD70000"/>
  </w:font>
  <w:font w:name="Segoe Print">
    <w:panose1 w:val="02000600000000000000"/>
    <w:charset w:val="00"/>
    <w:family w:val="auto"/>
    <w:pitch w:val="default"/>
    <w:sig w:usb0="0000028F" w:usb1="00000000" w:usb2="00000000" w:usb3="00000000" w:csb0="2000009F" w:csb1="47010000"/>
  </w:font>
  <w:font w:name="Noto Sans CJK SC Regular">
    <w:altName w:val="宋体"/>
    <w:panose1 w:val="020B0500000000000000"/>
    <w:charset w:val="86"/>
    <w:family w:val="auto"/>
    <w:pitch w:val="default"/>
    <w:sig w:usb0="00000000" w:usb1="00000000" w:usb2="00000016" w:usb3="00000000" w:csb0="602E0107" w:csb1="00000000"/>
  </w:font>
  <w:font w:name="方正小标宋简体">
    <w:panose1 w:val="02000000000000000000"/>
    <w:charset w:val="86"/>
    <w:family w:val="auto"/>
    <w:pitch w:val="default"/>
    <w:sig w:usb0="00000001" w:usb1="08000000" w:usb2="00000000" w:usb3="00000000" w:csb0="00040000" w:csb1="00000000"/>
    <w:embedRegular r:id="rId3" w:fontKey="{EA77BDE3-5478-4889-BFEF-290156BDA33E}"/>
  </w:font>
  <w:font w:name="仿宋_GB2312">
    <w:altName w:val="仿宋"/>
    <w:panose1 w:val="02010609030101010101"/>
    <w:charset w:val="86"/>
    <w:family w:val="auto"/>
    <w:pitch w:val="default"/>
    <w:sig w:usb0="00000000" w:usb1="00000000" w:usb2="00000000" w:usb3="00000000" w:csb0="00040000" w:csb1="00000000"/>
    <w:embedRegular r:id="rId4" w:fontKey="{05F42979-6B02-44BC-B3FB-6663A1B3479E}"/>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2EB3E98">
    <w:pPr>
      <w:pStyle w:val="8"/>
    </w:pPr>
    <w:r>
      <w:rPr>
        <w:sz w:val="18"/>
      </w:rP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1828800" cy="1828800"/>
              <wp:effectExtent l="0" t="0" r="0" b="0"/>
              <wp:wrapNone/>
              <wp:docPr id="69" name="文本框 1"/>
              <wp:cNvGraphicFramePr/>
              <a:graphic xmlns:a="http://schemas.openxmlformats.org/drawingml/2006/main">
                <a:graphicData uri="http://schemas.microsoft.com/office/word/2010/wordprocessingShape">
                  <wps:wsp>
                    <wps:cNvSpPr/>
                    <wps:spPr>
                      <a:xfrm>
                        <a:off x="0" y="0"/>
                        <a:ext cx="1828800" cy="1828800"/>
                      </a:xfrm>
                      <a:prstGeom prst="rect">
                        <a:avLst/>
                      </a:prstGeom>
                      <a:noFill/>
                      <a:ln>
                        <a:noFill/>
                      </a:ln>
                    </wps:spPr>
                    <wps:txbx>
                      <w:txbxContent>
                        <w:p w14:paraId="670955B1">
                          <w:pPr>
                            <w:pStyle w:val="8"/>
                            <w:rPr>
                              <w:rFonts w:hint="eastAsia" w:ascii="宋体" w:hAnsi="宋体" w:eastAsia="宋体" w:cs="宋体"/>
                              <w:sz w:val="28"/>
                              <w:szCs w:val="28"/>
                            </w:rPr>
                          </w:pPr>
                          <w:r>
                            <w:rPr>
                              <w:rFonts w:hint="eastAsia" w:ascii="宋体" w:hAnsi="宋体" w:eastAsia="宋体" w:cs="宋体"/>
                              <w:sz w:val="28"/>
                              <w:szCs w:val="28"/>
                            </w:rPr>
                            <w:t xml:space="preserve">— </w:t>
                          </w: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  \* MERGEFORMAT </w:instrText>
                          </w:r>
                          <w:r>
                            <w:rPr>
                              <w:rFonts w:hint="eastAsia" w:ascii="宋体" w:hAnsi="宋体" w:eastAsia="宋体" w:cs="宋体"/>
                              <w:sz w:val="28"/>
                              <w:szCs w:val="28"/>
                            </w:rPr>
                            <w:fldChar w:fldCharType="separate"/>
                          </w:r>
                          <w:r>
                            <w:rPr>
                              <w:rFonts w:hint="eastAsia" w:ascii="宋体" w:hAnsi="宋体" w:eastAsia="宋体" w:cs="宋体"/>
                              <w:sz w:val="28"/>
                              <w:szCs w:val="28"/>
                            </w:rPr>
                            <w:t>1</w:t>
                          </w:r>
                          <w:r>
                            <w:rPr>
                              <w:rFonts w:hint="eastAsia" w:ascii="宋体" w:hAnsi="宋体" w:eastAsia="宋体" w:cs="宋体"/>
                              <w:sz w:val="28"/>
                              <w:szCs w:val="28"/>
                            </w:rPr>
                            <w:fldChar w:fldCharType="end"/>
                          </w:r>
                          <w:r>
                            <w:rPr>
                              <w:rFonts w:hint="eastAsia" w:ascii="宋体" w:hAnsi="宋体" w:eastAsia="宋体" w:cs="宋体"/>
                              <w:sz w:val="28"/>
                              <w:szCs w:val="28"/>
                            </w:rPr>
                            <w:t xml:space="preserve"> —</w:t>
                          </w:r>
                        </w:p>
                      </w:txbxContent>
                    </wps:txbx>
                    <wps:bodyPr rot="0" spcFirstLastPara="0" vertOverflow="overflow" horzOverflow="overflow" vert="horz" wrap="none" lIns="0" tIns="0" rIns="0" bIns="0" numCol="1" anchor="t" upright="0">
                      <a:spAutoFit/>
                    </wps:bodyPr>
                  </wps:wsp>
                </a:graphicData>
              </a:graphic>
            </wp:anchor>
          </w:drawing>
        </mc:Choice>
        <mc:Fallback>
          <w:pict>
            <v:rect id="文本框 1" o:spid="_x0000_s1026" o:spt="1" style="position:absolute;left:0pt;margin-top:0pt;height:144pt;width:144pt;mso-position-horizontal:outside;mso-position-horizontal-relative:margin;mso-wrap-style:none;z-index:251659264;mso-width-relative:page;mso-height-relative:page;" filled="f" stroked="f" coordsize="21600,21600" o:gfxdata="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">
              <v:fill on="f" focussize="0,0"/>
              <v:stroke on="f"/>
              <v:imagedata o:title=""/>
              <o:lock v:ext="edit" aspectratio="f"/>
              <v:textbox inset="0mm,0mm,0mm,0mm" style="mso-fit-shape-to-text:t;">
                <w:txbxContent>
                  <w:p w14:paraId="670955B1">
                    <w:pPr>
                      <w:pStyle w:val="8"/>
                      <w:rPr>
                        <w:rFonts w:hint="eastAsia" w:ascii="宋体" w:hAnsi="宋体" w:eastAsia="宋体" w:cs="宋体"/>
                        <w:sz w:val="28"/>
                        <w:szCs w:val="28"/>
                      </w:rPr>
                    </w:pPr>
                    <w:r>
                      <w:rPr>
                        <w:rFonts w:hint="eastAsia" w:ascii="宋体" w:hAnsi="宋体" w:eastAsia="宋体" w:cs="宋体"/>
                        <w:sz w:val="28"/>
                        <w:szCs w:val="28"/>
                      </w:rPr>
                      <w:t xml:space="preserve">— </w:t>
                    </w: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  \* MERGEFORMAT </w:instrText>
                    </w:r>
                    <w:r>
                      <w:rPr>
                        <w:rFonts w:hint="eastAsia" w:ascii="宋体" w:hAnsi="宋体" w:eastAsia="宋体" w:cs="宋体"/>
                        <w:sz w:val="28"/>
                        <w:szCs w:val="28"/>
                      </w:rPr>
                      <w:fldChar w:fldCharType="separate"/>
                    </w:r>
                    <w:r>
                      <w:rPr>
                        <w:rFonts w:hint="eastAsia" w:ascii="宋体" w:hAnsi="宋体" w:eastAsia="宋体" w:cs="宋体"/>
                        <w:sz w:val="28"/>
                        <w:szCs w:val="28"/>
                      </w:rPr>
                      <w:t>1</w:t>
                    </w:r>
                    <w:r>
                      <w:rPr>
                        <w:rFonts w:hint="eastAsia" w:ascii="宋体" w:hAnsi="宋体" w:eastAsia="宋体" w:cs="宋体"/>
                        <w:sz w:val="28"/>
                        <w:szCs w:val="28"/>
                      </w:rPr>
                      <w:fldChar w:fldCharType="end"/>
                    </w:r>
                    <w:r>
                      <w:rPr>
                        <w:rFonts w:hint="eastAsia" w:ascii="宋体" w:hAnsi="宋体" w:eastAsia="宋体" w:cs="宋体"/>
                        <w:sz w:val="28"/>
                        <w:szCs w:val="28"/>
                      </w:rPr>
                      <w:t xml:space="preserve"> —</w:t>
                    </w:r>
                  </w:p>
                </w:txbxContent>
              </v:textbox>
            </v:rect>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EFB0F30">
    <w:pPr>
      <w:pStyle w:val="8"/>
    </w:pPr>
    <w:r>
      <w:rPr>
        <w:sz w:val="18"/>
      </w:rPr>
      <mc:AlternateContent>
        <mc:Choice Requires="wps">
          <w:drawing>
            <wp:anchor distT="0" distB="0" distL="114300" distR="114300" simplePos="0" relativeHeight="251660288" behindDoc="0" locked="0" layoutInCell="1" allowOverlap="1">
              <wp:simplePos x="0" y="0"/>
              <wp:positionH relativeFrom="margin">
                <wp:align>outside</wp:align>
              </wp:positionH>
              <wp:positionV relativeFrom="paragraph">
                <wp:posOffset>0</wp:posOffset>
              </wp:positionV>
              <wp:extent cx="1828800" cy="1828800"/>
              <wp:effectExtent l="0" t="0" r="0" b="0"/>
              <wp:wrapNone/>
              <wp:docPr id="70" name="文本框 2"/>
              <wp:cNvGraphicFramePr/>
              <a:graphic xmlns:a="http://schemas.openxmlformats.org/drawingml/2006/main">
                <a:graphicData uri="http://schemas.microsoft.com/office/word/2010/wordprocessingShape">
                  <wps:wsp>
                    <wps:cNvSpPr/>
                    <wps:spPr>
                      <a:xfrm>
                        <a:off x="0" y="0"/>
                        <a:ext cx="1828800" cy="1828800"/>
                      </a:xfrm>
                      <a:prstGeom prst="rect">
                        <a:avLst/>
                      </a:prstGeom>
                      <a:noFill/>
                      <a:ln>
                        <a:noFill/>
                      </a:ln>
                    </wps:spPr>
                    <wps:txbx>
                      <w:txbxContent>
                        <w:p w14:paraId="22CEBC5C">
                          <w:pPr>
                            <w:pStyle w:val="8"/>
                            <w:rPr>
                              <w:rFonts w:hint="eastAsia" w:ascii="宋体" w:hAnsi="宋体" w:eastAsia="宋体" w:cs="宋体"/>
                              <w:sz w:val="28"/>
                              <w:szCs w:val="28"/>
                            </w:rPr>
                          </w:pPr>
                          <w:r>
                            <w:rPr>
                              <w:rFonts w:hint="eastAsia" w:ascii="宋体" w:hAnsi="宋体" w:eastAsia="宋体" w:cs="宋体"/>
                              <w:sz w:val="28"/>
                              <w:szCs w:val="28"/>
                            </w:rPr>
                            <w:t xml:space="preserve">— </w:t>
                          </w: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  \* MERGEFORMAT </w:instrText>
                          </w:r>
                          <w:r>
                            <w:rPr>
                              <w:rFonts w:hint="eastAsia" w:ascii="宋体" w:hAnsi="宋体" w:eastAsia="宋体" w:cs="宋体"/>
                              <w:sz w:val="28"/>
                              <w:szCs w:val="28"/>
                            </w:rPr>
                            <w:fldChar w:fldCharType="separate"/>
                          </w:r>
                          <w:r>
                            <w:rPr>
                              <w:rFonts w:hint="eastAsia" w:ascii="宋体" w:hAnsi="宋体" w:eastAsia="宋体" w:cs="宋体"/>
                              <w:sz w:val="28"/>
                              <w:szCs w:val="28"/>
                            </w:rPr>
                            <w:t>1</w:t>
                          </w:r>
                          <w:r>
                            <w:rPr>
                              <w:rFonts w:hint="eastAsia" w:ascii="宋体" w:hAnsi="宋体" w:eastAsia="宋体" w:cs="宋体"/>
                              <w:sz w:val="28"/>
                              <w:szCs w:val="28"/>
                            </w:rPr>
                            <w:fldChar w:fldCharType="end"/>
                          </w:r>
                          <w:r>
                            <w:rPr>
                              <w:rFonts w:hint="eastAsia" w:ascii="宋体" w:hAnsi="宋体" w:eastAsia="宋体" w:cs="宋体"/>
                              <w:sz w:val="28"/>
                              <w:szCs w:val="28"/>
                            </w:rPr>
                            <w:t xml:space="preserve"> —</w:t>
                          </w:r>
                        </w:p>
                      </w:txbxContent>
                    </wps:txbx>
                    <wps:bodyPr rot="0" spcFirstLastPara="0" vertOverflow="overflow" horzOverflow="overflow" vert="horz" wrap="none" lIns="0" tIns="0" rIns="0" bIns="0" numCol="1" anchor="t" upright="0">
                      <a:spAutoFit/>
                    </wps:bodyPr>
                  </wps:wsp>
                </a:graphicData>
              </a:graphic>
            </wp:anchor>
          </w:drawing>
        </mc:Choice>
        <mc:Fallback>
          <w:pict>
            <v:rect id="文本框 2" o:spid="_x0000_s1026" o:spt="1" style="position:absolute;left:0pt;margin-top:0pt;height:144pt;width:144pt;mso-position-horizontal:outside;mso-position-horizontal-relative:margin;mso-wrap-style:none;z-index:251660288;mso-width-relative:page;mso-height-relative:page;" filled="f" stroked="f" coordsize="21600,21600" o:gfxdata="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">
              <v:fill on="f" focussize="0,0"/>
              <v:stroke on="f"/>
              <v:imagedata o:title=""/>
              <o:lock v:ext="edit" aspectratio="f"/>
              <v:textbox inset="0mm,0mm,0mm,0mm" style="mso-fit-shape-to-text:t;">
                <w:txbxContent>
                  <w:p w14:paraId="22CEBC5C">
                    <w:pPr>
                      <w:pStyle w:val="8"/>
                      <w:rPr>
                        <w:rFonts w:hint="eastAsia" w:ascii="宋体" w:hAnsi="宋体" w:eastAsia="宋体" w:cs="宋体"/>
                        <w:sz w:val="28"/>
                        <w:szCs w:val="28"/>
                      </w:rPr>
                    </w:pPr>
                    <w:r>
                      <w:rPr>
                        <w:rFonts w:hint="eastAsia" w:ascii="宋体" w:hAnsi="宋体" w:eastAsia="宋体" w:cs="宋体"/>
                        <w:sz w:val="28"/>
                        <w:szCs w:val="28"/>
                      </w:rPr>
                      <w:t xml:space="preserve">— </w:t>
                    </w: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  \* MERGEFORMAT </w:instrText>
                    </w:r>
                    <w:r>
                      <w:rPr>
                        <w:rFonts w:hint="eastAsia" w:ascii="宋体" w:hAnsi="宋体" w:eastAsia="宋体" w:cs="宋体"/>
                        <w:sz w:val="28"/>
                        <w:szCs w:val="28"/>
                      </w:rPr>
                      <w:fldChar w:fldCharType="separate"/>
                    </w:r>
                    <w:r>
                      <w:rPr>
                        <w:rFonts w:hint="eastAsia" w:ascii="宋体" w:hAnsi="宋体" w:eastAsia="宋体" w:cs="宋体"/>
                        <w:sz w:val="28"/>
                        <w:szCs w:val="28"/>
                      </w:rPr>
                      <w:t>1</w:t>
                    </w:r>
                    <w:r>
                      <w:rPr>
                        <w:rFonts w:hint="eastAsia" w:ascii="宋体" w:hAnsi="宋体" w:eastAsia="宋体" w:cs="宋体"/>
                        <w:sz w:val="28"/>
                        <w:szCs w:val="28"/>
                      </w:rPr>
                      <w:fldChar w:fldCharType="end"/>
                    </w:r>
                    <w:r>
                      <w:rPr>
                        <w:rFonts w:hint="eastAsia" w:ascii="宋体" w:hAnsi="宋体" w:eastAsia="宋体" w:cs="宋体"/>
                        <w:sz w:val="28"/>
                        <w:szCs w:val="28"/>
                      </w:rPr>
                      <w:t xml:space="preserve"> —</w:t>
                    </w:r>
                  </w:p>
                </w:txbxContent>
              </v:textbox>
            </v:rect>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7213FEF4"/>
    <w:multiLevelType w:val="singleLevel"/>
    <w:tmpl w:val="7213FEF4"/>
    <w:lvl w:ilvl="0" w:tentative="0">
      <w:start w:val="2"/>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30"/>
  <w:displayBackgroundShape w:val="1"/>
  <w:bordersDoNotSurroundHeader w:val="0"/>
  <w:bordersDoNotSurroundFooter w:val="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cumentProtection w:enforcement="0"/>
  <w:defaultTabStop w:val="420"/>
  <w:drawingGridHorizontalSpacing w:val="1"/>
  <w:drawingGridVerticalSpacing w:val="1"/>
  <w:doNotUseMarginsForDrawingGridOrigin w:val="1"/>
  <w:drawingGridHorizontalOrigin w:val="0"/>
  <w:drawingGridVerticalOrigin w:val="0"/>
  <w:noPunctuationKerning w:val="1"/>
  <w:characterSpacingControl w:val="compressPunctuation"/>
  <w:doNotValidateAgainstSchema/>
  <w:doNotDemarcateInvalidXml/>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jA5MTA1ZTAyZGI3MjQ3ZTVjOTZkNzMyMzEzZGQxOTcifQ=="/>
  </w:docVars>
  <w:rsids>
    <w:rsidRoot w:val="00000000"/>
    <w:rsid w:val="0BBB4A5E"/>
    <w:rsid w:val="12E837D0"/>
    <w:rsid w:val="1AE20AA7"/>
    <w:rsid w:val="1E697BE8"/>
    <w:rsid w:val="5D3242BD"/>
  </w:rsids>
  <m:mathPr>
    <m:brkBin m:val="before"/>
    <m:brkBinSub m:val="--"/>
    <m:smallFrac m:val="0"/>
    <m:dispDef/>
    <m:lMargin m:val="0"/>
    <m:rMargin m:val="0"/>
    <m:defJc m:val="centerGroup"/>
    <m:preSp m:val="0"/>
    <m:postSp m:val="0"/>
    <m:interSp m:val="0"/>
    <m:intraSp m:val="0"/>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oNotEmbedSmartTag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99"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nhideWhenUsed="0" w:uiPriority="0" w:semiHidden="0" w:name="caption"/>
    <w:lsdException w:qFormat="1" w:unhideWhenUsed="0" w:uiPriority="99"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semiHidden="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qFormat="1" w:unhideWhenUsed="0" w:uiPriority="0" w:semiHidden="0" w:name="Body Text First Indent 2"/>
    <w:lsdException w:uiPriority="99"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iPriority="99"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suppressAutoHyphens/>
      <w:bidi w:val="0"/>
      <w:jc w:val="both"/>
    </w:pPr>
    <w:rPr>
      <w:rFonts w:ascii="Calibri" w:hAnsi="Calibri" w:eastAsia="宋体" w:cs="Times New Roman"/>
      <w:color w:val="auto"/>
      <w:kern w:val="2"/>
      <w:sz w:val="21"/>
      <w:szCs w:val="24"/>
      <w:lang w:val="en-US" w:eastAsia="zh-CN" w:bidi="ar-SA"/>
    </w:rPr>
  </w:style>
  <w:style w:type="paragraph" w:styleId="3">
    <w:name w:val="heading 2"/>
    <w:basedOn w:val="1"/>
    <w:next w:val="1"/>
    <w:qFormat/>
    <w:uiPriority w:val="99"/>
    <w:pPr>
      <w:keepNext/>
      <w:keepLines/>
      <w:spacing w:line="576" w:lineRule="exact"/>
      <w:outlineLvl w:val="1"/>
    </w:pPr>
    <w:rPr>
      <w:rFonts w:ascii="Arial" w:hAnsi="Arial" w:eastAsia="楷体_GB2312"/>
    </w:rPr>
  </w:style>
  <w:style w:type="character" w:default="1" w:styleId="16">
    <w:name w:val="Default Paragraph Font"/>
    <w:qFormat/>
    <w:uiPriority w:val="0"/>
  </w:style>
  <w:style w:type="table" w:default="1" w:styleId="14">
    <w:name w:val="Normal Table"/>
    <w:semiHidden/>
    <w:qFormat/>
    <w:uiPriority w:val="0"/>
    <w:tblPr>
      <w:tblCellMar>
        <w:top w:w="0" w:type="dxa"/>
        <w:left w:w="108" w:type="dxa"/>
        <w:bottom w:w="0" w:type="dxa"/>
        <w:right w:w="108" w:type="dxa"/>
      </w:tblCellMar>
    </w:tblPr>
  </w:style>
  <w:style w:type="paragraph" w:styleId="2">
    <w:name w:val="table of figures"/>
    <w:basedOn w:val="1"/>
    <w:next w:val="1"/>
    <w:qFormat/>
    <w:uiPriority w:val="99"/>
    <w:pPr>
      <w:ind w:left="200" w:leftChars="200" w:hanging="200" w:hangingChars="200"/>
    </w:pPr>
  </w:style>
  <w:style w:type="paragraph" w:styleId="4">
    <w:name w:val="caption"/>
    <w:basedOn w:val="1"/>
    <w:next w:val="1"/>
    <w:qFormat/>
    <w:uiPriority w:val="0"/>
    <w:pPr>
      <w:widowControl w:val="0"/>
      <w:suppressLineNumbers/>
      <w:suppressAutoHyphens/>
      <w:spacing w:before="120" w:after="120"/>
    </w:pPr>
    <w:rPr>
      <w:i/>
      <w:iCs/>
      <w:sz w:val="24"/>
      <w:szCs w:val="24"/>
    </w:rPr>
  </w:style>
  <w:style w:type="paragraph" w:styleId="5">
    <w:name w:val="Body Text"/>
    <w:basedOn w:val="1"/>
    <w:qFormat/>
    <w:uiPriority w:val="0"/>
    <w:pPr>
      <w:spacing w:before="0" w:after="140" w:line="276" w:lineRule="auto"/>
    </w:pPr>
  </w:style>
  <w:style w:type="paragraph" w:styleId="6">
    <w:name w:val="Body Text Indent"/>
    <w:basedOn w:val="1"/>
    <w:next w:val="7"/>
    <w:qFormat/>
    <w:uiPriority w:val="0"/>
    <w:pPr>
      <w:ind w:left="420" w:leftChars="200"/>
    </w:pPr>
  </w:style>
  <w:style w:type="paragraph" w:styleId="7">
    <w:name w:val="Body Text First Indent 2"/>
    <w:basedOn w:val="6"/>
    <w:next w:val="1"/>
    <w:qFormat/>
    <w:uiPriority w:val="0"/>
    <w:pPr>
      <w:ind w:firstLine="420" w:firstLineChars="200"/>
    </w:pPr>
  </w:style>
  <w:style w:type="paragraph" w:styleId="8">
    <w:name w:val="footer"/>
    <w:basedOn w:val="1"/>
    <w:qFormat/>
    <w:uiPriority w:val="0"/>
    <w:pPr>
      <w:tabs>
        <w:tab w:val="center" w:pos="4153"/>
        <w:tab w:val="right" w:pos="8306"/>
      </w:tabs>
      <w:snapToGrid w:val="0"/>
      <w:jc w:val="left"/>
    </w:pPr>
    <w:rPr>
      <w:sz w:val="18"/>
    </w:rPr>
  </w:style>
  <w:style w:type="paragraph" w:styleId="9">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10">
    <w:name w:val="toc 1"/>
    <w:basedOn w:val="1"/>
    <w:next w:val="1"/>
    <w:qFormat/>
    <w:uiPriority w:val="0"/>
  </w:style>
  <w:style w:type="paragraph" w:styleId="11">
    <w:name w:val="List"/>
    <w:basedOn w:val="5"/>
    <w:qFormat/>
    <w:uiPriority w:val="0"/>
  </w:style>
  <w:style w:type="paragraph" w:styleId="12">
    <w:name w:val="toc 2"/>
    <w:basedOn w:val="1"/>
    <w:next w:val="1"/>
    <w:qFormat/>
    <w:uiPriority w:val="0"/>
    <w:pPr>
      <w:ind w:left="420" w:leftChars="200"/>
    </w:pPr>
  </w:style>
  <w:style w:type="paragraph" w:styleId="13">
    <w:name w:val="Normal (Web)"/>
    <w:basedOn w:val="1"/>
    <w:qFormat/>
    <w:uiPriority w:val="0"/>
    <w:rPr>
      <w:sz w:val="24"/>
    </w:rPr>
  </w:style>
  <w:style w:type="table" w:styleId="15">
    <w:name w:val="Table Grid"/>
    <w:qFormat/>
    <w:uiPriority w:val="0"/>
    <w:tblP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
  </w:style>
  <w:style w:type="character" w:customStyle="1" w:styleId="17">
    <w:name w:val="默认段落字体1"/>
    <w:qFormat/>
    <w:uiPriority w:val="0"/>
  </w:style>
  <w:style w:type="paragraph" w:customStyle="1" w:styleId="18">
    <w:name w:val="Heading"/>
    <w:basedOn w:val="1"/>
    <w:next w:val="5"/>
    <w:qFormat/>
    <w:uiPriority w:val="0"/>
    <w:pPr>
      <w:keepNext/>
      <w:widowControl w:val="0"/>
      <w:suppressAutoHyphens/>
      <w:spacing w:before="240" w:after="120"/>
    </w:pPr>
    <w:rPr>
      <w:rFonts w:ascii="Liberation Sans" w:hAnsi="Liberation Sans" w:eastAsia="Noto Sans CJK SC Regular" w:cs="Noto Sans CJK SC Regular"/>
      <w:sz w:val="28"/>
      <w:szCs w:val="28"/>
      <w:lang w:bidi="ar-SA"/>
    </w:rPr>
  </w:style>
  <w:style w:type="paragraph" w:customStyle="1" w:styleId="19">
    <w:name w:val="Index"/>
    <w:basedOn w:val="1"/>
    <w:qFormat/>
    <w:uiPriority w:val="0"/>
    <w:pPr>
      <w:widowControl w:val="0"/>
      <w:suppressLineNumbers/>
      <w:suppressAutoHyphens/>
    </w:pPr>
  </w:style>
  <w:style w:type="paragraph" w:customStyle="1" w:styleId="20">
    <w:name w:val="WPSOffice手动目录 1"/>
    <w:qFormat/>
    <w:uiPriority w:val="0"/>
    <w:pPr>
      <w:ind w:leftChars="0"/>
    </w:pPr>
    <w:rPr>
      <w:rFonts w:ascii="Times New Roman" w:hAnsi="Times New Roman" w:eastAsia="宋体" w:cs="Times New Roman"/>
      <w:sz w:val="20"/>
      <w:szCs w:val="20"/>
    </w:rPr>
  </w:style>
  <w:style w:type="paragraph" w:customStyle="1" w:styleId="21">
    <w:name w:val="WPSOffice手动目录 2"/>
    <w:qFormat/>
    <w:uiPriority w:val="0"/>
    <w:pPr>
      <w:ind w:leftChars="200"/>
    </w:pPr>
    <w:rPr>
      <w:rFonts w:ascii="Times New Roman" w:hAnsi="Times New Roman" w:eastAsia="宋体" w:cs="Times New Roman"/>
      <w:sz w:val="20"/>
      <w:szCs w:val="20"/>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Pages>15</Pages>
  <Words>5996</Words>
  <Characters>6417</Characters>
  <TotalTime>175</TotalTime>
  <ScaleCrop>false</ScaleCrop>
  <LinksUpToDate>false</LinksUpToDate>
  <CharactersWithSpaces>6501</CharactersWithSpaces>
  <Application>WPS Office_12.1.0.20260_F1E327BC-269C-435d-A152-05C5408002CA</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2018-11-29T09:47:00Z</dcterms:created>
  <dc:creator>admin</dc:creator>
  <cp:lastModifiedBy>昭化融媒体</cp:lastModifiedBy>
  <cp:lastPrinted>2025-02-13T03:31:00Z</cp:lastPrinted>
  <dcterms:modified xsi:type="dcterms:W3CDTF">2025-02-17T01:10:35Z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2052-12.1.0.20260</vt:lpwstr>
  </property>
  <property fmtid="{D5CDD505-2E9C-101B-9397-08002B2CF9AE}" pid="3" name="ICV">
    <vt:lpwstr>092DC543224F4EC19104D0D3F909CA3A_13</vt:lpwstr>
  </property>
  <property fmtid="{D5CDD505-2E9C-101B-9397-08002B2CF9AE}" pid="4" name="KSOTemplateDocerSaveRecord">
    <vt:lpwstr>eyJoZGlkIjoiMGVhYTg4NGNkZWJkODFjNzcyZDRjM2M4Y2UzNjI5ZmUiLCJ1c2VySWQiOiI2MTE2MzEwMDYifQ==</vt:lpwstr>
  </property>
</Properties>
</file>