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6"/>
          <w:szCs w:val="56"/>
        </w:rPr>
      </w:pPr>
      <w:bookmarkStart w:id="1" w:name="_Toc15396475"/>
      <w:bookmarkStart w:id="2" w:name="_Toc15377193"/>
      <w:bookmarkStart w:id="3" w:name="_Toc15378441"/>
      <w:bookmarkStart w:id="4" w:name="_Toc15396597"/>
      <w:bookmarkStart w:id="5" w:name="_Toc15377425"/>
      <w:r>
        <w:rPr>
          <w:rFonts w:ascii="黑体" w:hAnsi="黑体" w:eastAsia="黑体"/>
          <w:color w:val="000000"/>
          <w:sz w:val="56"/>
          <w:szCs w:val="56"/>
        </w:rPr>
        <w:t>201</w:t>
      </w:r>
      <w:r>
        <w:rPr>
          <w:rFonts w:hint="eastAsia" w:ascii="黑体" w:hAnsi="黑体" w:eastAsia="黑体"/>
          <w:color w:val="000000"/>
          <w:sz w:val="56"/>
          <w:szCs w:val="56"/>
        </w:rPr>
        <w:t>9</w:t>
      </w:r>
      <w:r>
        <w:rPr>
          <w:rFonts w:hint="eastAsia" w:ascii="方正小标宋简体" w:hAnsi="宋体" w:eastAsia="方正小标宋简体"/>
          <w:color w:val="000000"/>
          <w:sz w:val="56"/>
          <w:szCs w:val="5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6"/>
          <w:szCs w:val="56"/>
        </w:rPr>
      </w:pPr>
      <w:bookmarkStart w:id="6" w:name="_Toc15377426"/>
      <w:bookmarkStart w:id="7" w:name="_Toc15396598"/>
      <w:bookmarkStart w:id="8" w:name="_Toc15396476"/>
      <w:bookmarkStart w:id="9" w:name="_Toc15378442"/>
      <w:bookmarkStart w:id="10" w:name="_Toc15377194"/>
      <w:r>
        <w:rPr>
          <w:rFonts w:hint="eastAsia" w:ascii="方正小标宋简体" w:hAnsi="宋体" w:eastAsia="方正小标宋简体"/>
          <w:color w:val="000000"/>
          <w:sz w:val="56"/>
          <w:szCs w:val="56"/>
        </w:rPr>
        <w:t>四川省</w:t>
      </w:r>
      <w:bookmarkEnd w:id="0"/>
      <w:bookmarkStart w:id="11" w:name="_Toc15306268"/>
      <w:r>
        <w:rPr>
          <w:rFonts w:hint="eastAsia" w:ascii="方正小标宋简体" w:hAnsi="宋体" w:eastAsia="方正小标宋简体"/>
          <w:color w:val="000000"/>
          <w:sz w:val="56"/>
          <w:szCs w:val="56"/>
          <w:lang w:eastAsia="zh-CN"/>
        </w:rPr>
        <w:t>广元市昭化区残疾人联合会</w:t>
      </w:r>
      <w:r>
        <w:rPr>
          <w:rFonts w:hint="eastAsia" w:ascii="方正小标宋简体" w:hAnsi="宋体" w:eastAsia="方正小标宋简体"/>
          <w:color w:val="000000"/>
          <w:sz w:val="56"/>
          <w:szCs w:val="5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line="600" w:lineRule="exact"/>
        <w:ind w:firstLine="672" w:firstLineChars="210"/>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hAnsi="仿宋_GB2312" w:cs="仿宋_GB2312"/>
          <w:bCs/>
          <w:color w:val="auto"/>
          <w:sz w:val="32"/>
          <w:szCs w:val="32"/>
        </w:rPr>
        <w:t>一</w:t>
      </w:r>
      <w:r>
        <w:rPr>
          <w:rFonts w:hint="eastAsia" w:hAnsi="仿宋_GB2312" w:cs="仿宋_GB2312"/>
          <w:color w:val="auto"/>
          <w:sz w:val="32"/>
          <w:szCs w:val="32"/>
        </w:rPr>
        <w:t>是贯彻落实《中华人民共和国残疾人保障法》，开展残疾人康复、教育、培训、劳动就业、扶贫、文化、体育、辅助器具供应、社会保障、残疾预防和无障碍设施协调等工作，创造良好环境和条件，扶助残疾人平等参与社会活动。二是参与研究和撰写全区助残规范性文件、发展规划、年度计划和对有关业务领域的工作进行指导和管理。听取残疾人意见，反映残疾人需求，维护残疾人合法权益，为残疾人提供服务。三是团结、教育遵守法律、履行义务，发扬乐观进取精神，自尊、自信、自强、自立。四是弘扬人道主义，宣传残疾人事业，沟通政府、社会、残疾人之间的联系，动员社会理解、尊重、关心、帮助残疾人。五是承担区政府残疾人工作委员会的日常工作。开展残疾人事业的交流与合作。六是对各类残疾人社会组织进行指导、监督和管理。七是推进政务信息公开，建立健全息公开工作制度，面向社会公开有关政务信息。八是承办区委、区政府及上级业务部门交办的其它事项。</w:t>
      </w:r>
    </w:p>
    <w:p>
      <w:pPr>
        <w:keepNext w:val="0"/>
        <w:keepLines w:val="0"/>
        <w:pageBreakBefore w:val="0"/>
        <w:widowControl w:val="0"/>
        <w:kinsoku/>
        <w:overflowPunct/>
        <w:topLinePunct w:val="0"/>
        <w:autoSpaceDE/>
        <w:autoSpaceDN/>
        <w:bidi w:val="0"/>
        <w:adjustRightInd/>
        <w:snapToGrid/>
        <w:spacing w:line="536" w:lineRule="exact"/>
        <w:ind w:firstLine="640" w:firstLineChars="200"/>
        <w:textAlignment w:val="auto"/>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keepNext w:val="0"/>
        <w:keepLines w:val="0"/>
        <w:pageBreakBefore w:val="0"/>
        <w:widowControl w:val="0"/>
        <w:kinsoku/>
        <w:overflowPunct/>
        <w:topLinePunct w:val="0"/>
        <w:autoSpaceDE/>
        <w:autoSpaceDN/>
        <w:bidi w:val="0"/>
        <w:adjustRightInd/>
        <w:snapToGrid/>
        <w:spacing w:line="536" w:lineRule="exact"/>
        <w:ind w:firstLine="640" w:firstLineChars="200"/>
        <w:textAlignment w:val="auto"/>
        <w:rPr>
          <w:rFonts w:hint="eastAsia" w:ascii="仿宋" w:hAnsi="仿宋" w:eastAsia="仿宋" w:cs="仿宋"/>
          <w:color w:val="auto"/>
          <w:kern w:val="0"/>
          <w:sz w:val="32"/>
          <w:szCs w:val="32"/>
          <w:u w:val="none" w:color="000000"/>
        </w:rPr>
      </w:pPr>
      <w:r>
        <w:rPr>
          <w:rFonts w:hint="eastAsia" w:ascii="仿宋" w:hAnsi="仿宋" w:eastAsia="仿宋" w:cs="仿宋"/>
          <w:color w:val="auto"/>
          <w:sz w:val="32"/>
          <w:szCs w:val="32"/>
          <w:lang w:eastAsia="zh-CN"/>
        </w:rPr>
        <w:t>一、“量服”平台持证残疾人入库率。</w:t>
      </w:r>
      <w:r>
        <w:rPr>
          <w:rFonts w:hint="eastAsia" w:ascii="仿宋" w:hAnsi="仿宋" w:eastAsia="仿宋" w:cs="仿宋"/>
          <w:color w:val="auto"/>
          <w:sz w:val="32"/>
          <w:szCs w:val="32"/>
        </w:rPr>
        <w:t>我区全年实现“量服”平台</w:t>
      </w:r>
      <w:r>
        <w:rPr>
          <w:rFonts w:hint="eastAsia" w:ascii="仿宋" w:hAnsi="仿宋" w:eastAsia="仿宋" w:cs="仿宋"/>
          <w:color w:val="auto"/>
          <w:kern w:val="0"/>
          <w:sz w:val="32"/>
          <w:szCs w:val="32"/>
          <w:u w:val="none" w:color="000000"/>
        </w:rPr>
        <w:t>持证残疾人7</w:t>
      </w:r>
      <w:r>
        <w:rPr>
          <w:rFonts w:hint="eastAsia" w:ascii="仿宋" w:hAnsi="仿宋" w:eastAsia="仿宋" w:cs="仿宋"/>
          <w:color w:val="auto"/>
          <w:kern w:val="0"/>
          <w:sz w:val="32"/>
          <w:szCs w:val="32"/>
          <w:u w:val="none" w:color="000000"/>
          <w:lang w:val="en-US" w:eastAsia="zh-CN"/>
        </w:rPr>
        <w:t>132</w:t>
      </w:r>
      <w:r>
        <w:rPr>
          <w:rFonts w:hint="eastAsia" w:ascii="仿宋" w:hAnsi="仿宋" w:eastAsia="仿宋" w:cs="仿宋"/>
          <w:color w:val="auto"/>
          <w:kern w:val="0"/>
          <w:sz w:val="32"/>
          <w:szCs w:val="32"/>
          <w:u w:val="none" w:color="000000"/>
        </w:rPr>
        <w:t>人入库，入库率达</w:t>
      </w:r>
      <w:r>
        <w:rPr>
          <w:rFonts w:hint="eastAsia" w:ascii="仿宋" w:hAnsi="仿宋" w:eastAsia="仿宋" w:cs="仿宋"/>
          <w:color w:val="auto"/>
          <w:kern w:val="0"/>
          <w:sz w:val="32"/>
          <w:szCs w:val="32"/>
          <w:u w:val="none" w:color="000000"/>
          <w:lang w:val="en-US" w:eastAsia="zh-CN"/>
        </w:rPr>
        <w:t>100</w:t>
      </w:r>
      <w:r>
        <w:rPr>
          <w:rFonts w:hint="eastAsia" w:ascii="仿宋" w:hAnsi="仿宋" w:eastAsia="仿宋" w:cs="仿宋"/>
          <w:color w:val="auto"/>
          <w:kern w:val="0"/>
          <w:sz w:val="32"/>
          <w:szCs w:val="32"/>
          <w:u w:val="none" w:color="000000"/>
        </w:rPr>
        <w:t>%。</w:t>
      </w:r>
    </w:p>
    <w:p>
      <w:pPr>
        <w:keepNext w:val="0"/>
        <w:keepLines w:val="0"/>
        <w:pageBreakBefore w:val="0"/>
        <w:widowControl w:val="0"/>
        <w:kinsoku/>
        <w:overflowPunct/>
        <w:topLinePunct w:val="0"/>
        <w:autoSpaceDE/>
        <w:autoSpaceDN/>
        <w:bidi w:val="0"/>
        <w:adjustRightInd/>
        <w:snapToGrid/>
        <w:spacing w:line="536" w:lineRule="exact"/>
        <w:ind w:firstLine="640" w:firstLineChars="200"/>
        <w:textAlignment w:val="auto"/>
        <w:rPr>
          <w:rFonts w:hint="eastAsia" w:ascii="仿宋" w:hAnsi="仿宋" w:eastAsia="仿宋" w:cs="仿宋"/>
          <w:color w:val="auto"/>
          <w:kern w:val="0"/>
          <w:sz w:val="32"/>
          <w:szCs w:val="32"/>
          <w:u w:val="none" w:color="000000"/>
          <w:lang w:val="en-US" w:eastAsia="zh-CN"/>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、“量服”分析和转化情况。</w:t>
      </w:r>
      <w:r>
        <w:rPr>
          <w:rFonts w:hint="eastAsia" w:ascii="仿宋" w:hAnsi="仿宋" w:eastAsia="仿宋" w:cs="仿宋"/>
          <w:color w:val="auto"/>
          <w:sz w:val="32"/>
          <w:szCs w:val="32"/>
        </w:rPr>
        <w:t>我区</w:t>
      </w:r>
      <w:r>
        <w:rPr>
          <w:rFonts w:hint="eastAsia" w:ascii="仿宋" w:hAnsi="仿宋" w:eastAsia="仿宋" w:cs="仿宋"/>
          <w:color w:val="auto"/>
          <w:kern w:val="0"/>
          <w:sz w:val="32"/>
          <w:szCs w:val="32"/>
          <w:u w:val="none" w:color="000000"/>
          <w:lang w:val="en-US" w:eastAsia="zh-CN"/>
        </w:rPr>
        <w:t>从7月起坚持每月底召开一次全区“量服”分析会，各股室认真严肃地分析指出全区29个乡镇（街道）存在的问题，并督促及时整改。同时，我们注重“督办转化、项目转化和制度转化”，对残疾人住房安全问题、残疾儿童入学问题、重度护理补贴问题等开展了督办转化。对在网上分析和入户调研时发现的诸如医保、社保、重补、困补等政策有未落实的情况，我们及时将有关情况反馈到相关部门，并督促及时落实；对应享受有关政策红利未享受的，我会及时将名单交由有关部门进行识别、确定，尽快完成落实。将贫困残疾人“两不愁三保障”数据与相关部门比对，全面实现数据一致，应享受政策全部享受到位。</w:t>
      </w:r>
    </w:p>
    <w:p>
      <w:pPr>
        <w:keepNext w:val="0"/>
        <w:keepLines w:val="0"/>
        <w:pageBreakBefore w:val="0"/>
        <w:widowControl w:val="0"/>
        <w:kinsoku/>
        <w:overflowPunct/>
        <w:topLinePunct w:val="0"/>
        <w:autoSpaceDE/>
        <w:autoSpaceDN/>
        <w:bidi w:val="0"/>
        <w:adjustRightInd/>
        <w:snapToGrid/>
        <w:spacing w:line="536" w:lineRule="exact"/>
        <w:ind w:firstLine="640" w:firstLineChars="200"/>
        <w:textAlignment w:val="auto"/>
        <w:rPr>
          <w:rFonts w:hint="eastAsia" w:ascii="仿宋" w:hAnsi="仿宋" w:eastAsia="仿宋" w:cs="仿宋"/>
          <w:color w:val="auto"/>
          <w:kern w:val="0"/>
          <w:sz w:val="32"/>
          <w:szCs w:val="32"/>
          <w:u w:val="none" w:color="000000"/>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实现全区有需求的残疾</w:t>
      </w:r>
      <w:r>
        <w:rPr>
          <w:rFonts w:hint="eastAsia" w:ascii="仿宋" w:hAnsi="仿宋" w:eastAsia="仿宋" w:cs="仿宋"/>
          <w:color w:val="auto"/>
          <w:sz w:val="32"/>
          <w:szCs w:val="32"/>
          <w:lang w:val="en-US" w:eastAsia="zh-CN"/>
        </w:rPr>
        <w:t>人基本康复服务覆盖率93%、基本型辅具适配率100%。</w:t>
      </w:r>
    </w:p>
    <w:p>
      <w:pPr>
        <w:keepNext w:val="0"/>
        <w:keepLines w:val="0"/>
        <w:pageBreakBefore w:val="0"/>
        <w:widowControl w:val="0"/>
        <w:kinsoku/>
        <w:overflowPunct/>
        <w:topLinePunct w:val="0"/>
        <w:autoSpaceDE/>
        <w:autoSpaceDN/>
        <w:bidi w:val="0"/>
        <w:adjustRightInd/>
        <w:snapToGrid/>
        <w:spacing w:line="53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、市残联下达各项目标任务完成情况</w:t>
      </w:r>
    </w:p>
    <w:p>
      <w:pPr>
        <w:keepNext w:val="0"/>
        <w:keepLines w:val="0"/>
        <w:pageBreakBefore w:val="0"/>
        <w:widowControl w:val="0"/>
        <w:kinsoku/>
        <w:overflowPunct/>
        <w:topLinePunct w:val="0"/>
        <w:autoSpaceDE/>
        <w:autoSpaceDN/>
        <w:bidi w:val="0"/>
        <w:adjustRightInd/>
        <w:snapToGrid/>
        <w:spacing w:line="536" w:lineRule="exact"/>
        <w:ind w:firstLine="643" w:firstLineChars="200"/>
        <w:textAlignment w:val="auto"/>
        <w:rPr>
          <w:rFonts w:hint="eastAsia" w:ascii="仿宋" w:hAnsi="仿宋" w:eastAsia="仿宋" w:cs="仿宋"/>
          <w:color w:val="auto"/>
          <w:kern w:val="0"/>
          <w:sz w:val="32"/>
          <w:szCs w:val="32"/>
          <w:u w:val="none" w:color="000000"/>
          <w:lang w:val="en-US" w:eastAsia="zh-CN"/>
        </w:rPr>
      </w:pPr>
      <w:r>
        <w:rPr>
          <w:rFonts w:hint="eastAsia" w:ascii="仿宋" w:hAnsi="仿宋" w:eastAsia="仿宋" w:cs="仿宋"/>
          <w:b/>
          <w:bCs/>
          <w:color w:val="auto"/>
          <w:sz w:val="32"/>
          <w:szCs w:val="32"/>
          <w:lang w:val="en-US" w:eastAsia="zh-CN"/>
        </w:rPr>
        <w:t>1.教育就业工作：</w:t>
      </w:r>
      <w:r>
        <w:rPr>
          <w:rFonts w:hint="eastAsia" w:ascii="仿宋" w:hAnsi="仿宋" w:eastAsia="仿宋" w:cs="仿宋"/>
          <w:color w:val="auto"/>
          <w:kern w:val="0"/>
          <w:sz w:val="32"/>
          <w:szCs w:val="32"/>
          <w:u w:val="none" w:color="000000"/>
          <w:lang w:val="en-US" w:eastAsia="zh-CN"/>
        </w:rPr>
        <w:t>2019年为残疾人大学新生和残疾人家庭子女大学新生发放教育资助金13人4.2万元；发放残疾人就业（创业）补贴377人30.2万元，完成率107%；开展残疾人技能培训105人，完成率210%；开展农村残疾人实用技术培训456人，完成率101%；发放残疾人扶贫对象生活补贴510人61.48万元，切实做到了据实补贴，应补尽补；开展托养服务50人，完成率250%；扶持农村贫困残疾人发展生产482人，完成率107%；落实残疾人“双创”基地1个，完成率50%；举办残疾人就业招聘会1场，完成率50%。</w:t>
      </w:r>
    </w:p>
    <w:p>
      <w:pPr>
        <w:keepNext w:val="0"/>
        <w:keepLines w:val="0"/>
        <w:pageBreakBefore w:val="0"/>
        <w:widowControl w:val="0"/>
        <w:kinsoku/>
        <w:overflowPunct/>
        <w:topLinePunct w:val="0"/>
        <w:autoSpaceDE/>
        <w:autoSpaceDN/>
        <w:bidi w:val="0"/>
        <w:adjustRightInd/>
        <w:snapToGrid/>
        <w:spacing w:line="536" w:lineRule="exact"/>
        <w:ind w:firstLine="643" w:firstLineChars="200"/>
        <w:textAlignment w:val="auto"/>
        <w:rPr>
          <w:rFonts w:hint="eastAsia" w:ascii="仿宋" w:hAnsi="仿宋" w:eastAsia="仿宋" w:cs="仿宋"/>
          <w:color w:val="auto"/>
          <w:kern w:val="0"/>
          <w:sz w:val="32"/>
          <w:szCs w:val="32"/>
          <w:u w:val="none" w:color="000000"/>
          <w:lang w:val="en-US" w:eastAsia="zh-CN"/>
        </w:rPr>
      </w:pPr>
      <w:r>
        <w:rPr>
          <w:rFonts w:hint="eastAsia" w:ascii="仿宋" w:hAnsi="仿宋" w:eastAsia="仿宋" w:cs="仿宋"/>
          <w:b/>
          <w:bCs/>
          <w:color w:val="auto"/>
          <w:sz w:val="32"/>
          <w:szCs w:val="32"/>
          <w:lang w:val="en-US" w:eastAsia="zh-CN"/>
        </w:rPr>
        <w:t>2.康复工作:</w:t>
      </w:r>
      <w:r>
        <w:rPr>
          <w:rFonts w:hint="eastAsia" w:ascii="仿宋" w:hAnsi="仿宋" w:eastAsia="仿宋" w:cs="仿宋"/>
          <w:color w:val="auto"/>
          <w:sz w:val="32"/>
          <w:szCs w:val="32"/>
        </w:rPr>
        <w:t>出台了《广元市昭化区残疾儿童康复救助实施方案》;实施盲人定向行</w:t>
      </w:r>
      <w:r>
        <w:rPr>
          <w:rFonts w:hint="eastAsia" w:ascii="仿宋" w:hAnsi="仿宋" w:eastAsia="仿宋" w:cs="仿宋"/>
          <w:color w:val="auto"/>
          <w:kern w:val="0"/>
          <w:sz w:val="32"/>
          <w:szCs w:val="32"/>
          <w:u w:val="none" w:color="000000"/>
          <w:lang w:val="en-US" w:eastAsia="zh-CN"/>
        </w:rPr>
        <w:t>走30人，完成率100%；实施听力残疾儿童康复训练6人，人工耳蜗植入1人，完成率150%;实施脑瘫儿童康复训练20人，完成率100%；实施智力儿童康复训练12人，完成率120%；为42名精神病残疾人提供门诊服药补助，完成率105%；由龙泉贝爱儿童康复中心提供技术支持，实施孤独症儿童康复训练4人，培训康复老师1名，完成率100%；为355名残疾人适配辅具416件，完成率139%；为10名残疾人安装假肢，完成目标任务100%。</w:t>
      </w:r>
    </w:p>
    <w:p>
      <w:pPr>
        <w:keepNext w:val="0"/>
        <w:keepLines w:val="0"/>
        <w:pageBreakBefore w:val="0"/>
        <w:widowControl w:val="0"/>
        <w:kinsoku/>
        <w:overflowPunct/>
        <w:topLinePunct w:val="0"/>
        <w:autoSpaceDE/>
        <w:autoSpaceDN/>
        <w:bidi w:val="0"/>
        <w:adjustRightInd/>
        <w:snapToGrid/>
        <w:spacing w:line="536" w:lineRule="exact"/>
        <w:ind w:firstLine="643" w:firstLineChars="200"/>
        <w:textAlignment w:val="auto"/>
        <w:rPr>
          <w:rFonts w:ascii="仿宋" w:hAnsi="仿宋" w:eastAsia="仿宋"/>
          <w:bCs/>
          <w:color w:val="000000"/>
          <w:sz w:val="32"/>
          <w:szCs w:val="32"/>
        </w:rPr>
      </w:pPr>
      <w:r>
        <w:rPr>
          <w:rFonts w:hint="eastAsia" w:ascii="仿宋" w:hAnsi="仿宋" w:eastAsia="仿宋" w:cs="仿宋"/>
          <w:b/>
          <w:bCs/>
          <w:color w:val="auto"/>
          <w:sz w:val="32"/>
          <w:szCs w:val="32"/>
          <w:lang w:val="en-US" w:eastAsia="zh-CN"/>
        </w:rPr>
        <w:t>3.组宣维权工作</w:t>
      </w:r>
      <w:r>
        <w:rPr>
          <w:rFonts w:hint="eastAsia" w:ascii="仿宋" w:hAnsi="仿宋" w:eastAsia="仿宋" w:cs="仿宋"/>
          <w:color w:val="auto"/>
          <w:sz w:val="32"/>
          <w:szCs w:val="32"/>
          <w:lang w:val="en-US" w:eastAsia="zh-CN"/>
        </w:rPr>
        <w:t>：</w:t>
      </w:r>
      <w:r>
        <w:rPr>
          <w:rFonts w:hint="eastAsia" w:ascii="仿宋" w:hAnsi="仿宋" w:eastAsia="仿宋" w:cs="仿宋"/>
          <w:color w:val="auto"/>
          <w:kern w:val="0"/>
          <w:sz w:val="32"/>
          <w:szCs w:val="32"/>
          <w:u w:val="none" w:color="000000"/>
          <w:lang w:val="en-US" w:eastAsia="zh-CN"/>
        </w:rPr>
        <w:t>在卫子镇、梅树乡实施残疾人家庭无障碍改造50户，完成目标任务104%；发放机动轮椅车燃油补贴58人2.117万元；开展文化进家庭“五个一”活动，深入残疾人家庭199户，完成率99%。</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640" w:firstLineChars="200"/>
        <w:rPr>
          <w:rFonts w:ascii="仿宋" w:hAnsi="仿宋" w:eastAsia="仿宋"/>
          <w:color w:val="000000"/>
          <w:kern w:val="0"/>
          <w:sz w:val="32"/>
          <w:szCs w:val="32"/>
        </w:rPr>
      </w:pPr>
      <w:r>
        <w:rPr>
          <w:rFonts w:hint="eastAsia" w:ascii="仿宋" w:hAnsi="仿宋" w:eastAsia="仿宋"/>
          <w:sz w:val="32"/>
          <w:szCs w:val="32"/>
          <w:lang w:eastAsia="zh-CN"/>
        </w:rPr>
        <w:t>区残联</w:t>
      </w:r>
      <w:r>
        <w:rPr>
          <w:rFonts w:hint="eastAsia" w:ascii="仿宋" w:hAnsi="仿宋" w:eastAsia="仿宋"/>
          <w:sz w:val="32"/>
          <w:szCs w:val="32"/>
        </w:rPr>
        <w:t>下属</w:t>
      </w:r>
      <w:r>
        <w:rPr>
          <w:rFonts w:hint="eastAsia" w:ascii="仿宋" w:hAnsi="仿宋" w:eastAsia="仿宋"/>
          <w:sz w:val="32"/>
          <w:szCs w:val="32"/>
          <w:lang w:eastAsia="zh-CN"/>
        </w:rPr>
        <w:t>事业</w:t>
      </w:r>
      <w:r>
        <w:rPr>
          <w:rFonts w:hint="eastAsia" w:ascii="仿宋" w:hAnsi="仿宋" w:eastAsia="仿宋"/>
          <w:sz w:val="32"/>
          <w:szCs w:val="32"/>
        </w:rPr>
        <w:t>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869.13</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103.33</w:t>
      </w:r>
      <w:r>
        <w:rPr>
          <w:rFonts w:hint="eastAsia" w:ascii="仿宋" w:hAnsi="仿宋" w:eastAsia="仿宋"/>
          <w:color w:val="000000"/>
          <w:sz w:val="32"/>
          <w:szCs w:val="32"/>
        </w:rPr>
        <w:t>万元，增长</w:t>
      </w:r>
      <w:r>
        <w:rPr>
          <w:rFonts w:hint="eastAsia" w:ascii="仿宋" w:hAnsi="仿宋" w:eastAsia="仿宋"/>
          <w:color w:val="000000"/>
          <w:sz w:val="32"/>
          <w:szCs w:val="32"/>
          <w:lang w:eastAsia="zh-CN"/>
        </w:rPr>
        <w:t>了</w:t>
      </w:r>
      <w:r>
        <w:rPr>
          <w:rFonts w:hint="eastAsia" w:ascii="仿宋" w:hAnsi="仿宋" w:eastAsia="仿宋"/>
          <w:color w:val="000000"/>
          <w:sz w:val="32"/>
          <w:szCs w:val="32"/>
          <w:lang w:val="en-US" w:eastAsia="zh-CN"/>
        </w:rPr>
        <w:t>13.51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残疾人事业发展补助项目增加。</w:t>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430.57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399.57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430.57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438.56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132.79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30.28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305.76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69.72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Start w:id="30" w:name="_Toc15396606"/>
      <w:bookmarkStart w:id="31" w:name="_Toc15377208"/>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869.13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103.33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13.51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残疾人事业发展补助项目增加</w:t>
      </w:r>
    </w:p>
    <w:p>
      <w:pPr>
        <w:spacing w:line="600" w:lineRule="exact"/>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399.57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92.8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23.45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6.23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残疾人事业发展补助项目增加。</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ascii="仿宋" w:hAnsi="仿宋" w:eastAsia="仿宋"/>
          <w:color w:val="000000" w:themeColor="text1"/>
          <w:sz w:val="32"/>
          <w:szCs w:val="32"/>
        </w:rPr>
        <w:t>201</w:t>
      </w:r>
      <w:r>
        <w:rPr>
          <w:rFonts w:hint="eastAsia" w:ascii="仿宋" w:hAnsi="仿宋" w:eastAsia="仿宋"/>
          <w:color w:val="000000" w:themeColor="text1"/>
          <w:sz w:val="32"/>
          <w:szCs w:val="32"/>
        </w:rPr>
        <w:t>9年一般公共预算财政拨款支出</w:t>
      </w:r>
      <w:r>
        <w:rPr>
          <w:rFonts w:hint="eastAsia" w:ascii="仿宋" w:hAnsi="仿宋" w:eastAsia="仿宋"/>
          <w:color w:val="000000" w:themeColor="text1"/>
          <w:sz w:val="32"/>
          <w:szCs w:val="32"/>
          <w:lang w:val="en-US" w:eastAsia="zh-CN"/>
        </w:rPr>
        <w:t>399.57</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24.74</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5</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243.89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71.82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5.35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8.72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eastAsia="zh-CN"/>
        </w:rPr>
        <w:t>东西部扶贫协作</w:t>
      </w:r>
      <w:r>
        <w:rPr>
          <w:rFonts w:hint="eastAsia" w:ascii="仿宋" w:hAnsi="仿宋" w:eastAsia="仿宋"/>
          <w:color w:val="000000" w:themeColor="text1"/>
          <w:sz w:val="32"/>
          <w:szCs w:val="32"/>
          <w:lang w:val="en-US" w:eastAsia="zh-CN"/>
        </w:rPr>
        <w:t>50万元，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10</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；其他支出</w:t>
      </w:r>
      <w:r>
        <w:rPr>
          <w:rFonts w:hint="eastAsia" w:ascii="仿宋" w:hAnsi="仿宋" w:eastAsia="仿宋"/>
          <w:color w:val="000000" w:themeColor="text1"/>
          <w:sz w:val="32"/>
          <w:szCs w:val="32"/>
          <w:lang w:val="en-US" w:eastAsia="zh-CN"/>
        </w:rPr>
        <w:t>67.58万元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14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399.57</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left="479" w:leftChars="228" w:firstLine="482" w:firstLineChars="150"/>
        <w:rPr>
          <w:rFonts w:hint="eastAsia" w:ascii="仿宋_GB2312" w:eastAsia="仿宋_GB2312"/>
          <w:color w:val="000000"/>
          <w:sz w:val="32"/>
          <w:szCs w:val="32"/>
          <w:highlight w:val="none"/>
        </w:rPr>
      </w:pPr>
      <w:r>
        <w:rPr>
          <w:rStyle w:val="15"/>
          <w:rFonts w:hint="eastAsia" w:ascii="仿宋_GB2312" w:eastAsia="仿宋_GB2312"/>
          <w:color w:val="000000"/>
          <w:sz w:val="32"/>
          <w:szCs w:val="32"/>
          <w:highlight w:val="none"/>
        </w:rPr>
        <w:t>1.社会保障和就业（类）行政事业单位离退休（款）  机关事业单位基本养老保险缴费支出（项）:</w:t>
      </w:r>
      <w:r>
        <w:rPr>
          <w:rFonts w:hint="eastAsia" w:ascii="仿宋_GB2312" w:eastAsia="仿宋_GB2312"/>
          <w:color w:val="000000"/>
          <w:sz w:val="32"/>
          <w:szCs w:val="32"/>
          <w:highlight w:val="none"/>
          <w:lang w:eastAsia="zh-CN"/>
        </w:rPr>
        <w:t>2019</w:t>
      </w:r>
      <w:r>
        <w:rPr>
          <w:rFonts w:hint="eastAsia" w:ascii="仿宋_GB2312" w:eastAsia="仿宋_GB2312"/>
          <w:color w:val="000000"/>
          <w:sz w:val="32"/>
          <w:szCs w:val="32"/>
          <w:highlight w:val="none"/>
        </w:rPr>
        <w:t>年决算数为</w:t>
      </w:r>
      <w:r>
        <w:rPr>
          <w:rFonts w:hint="eastAsia" w:ascii="仿宋_GB2312" w:eastAsia="仿宋_GB2312"/>
          <w:color w:val="000000"/>
          <w:sz w:val="32"/>
          <w:szCs w:val="32"/>
          <w:highlight w:val="none"/>
          <w:lang w:val="en-US" w:eastAsia="zh-CN"/>
        </w:rPr>
        <w:t>10.35</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91.4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，减少的原因是人员调出</w:t>
      </w:r>
      <w:r>
        <w:rPr>
          <w:rFonts w:hint="eastAsia" w:ascii="仿宋_GB2312" w:eastAsia="仿宋_GB2312"/>
          <w:color w:val="000000"/>
          <w:sz w:val="32"/>
          <w:szCs w:val="32"/>
          <w:highlight w:val="none"/>
        </w:rPr>
        <w:t>。</w:t>
      </w:r>
    </w:p>
    <w:p>
      <w:pPr>
        <w:spacing w:line="600" w:lineRule="exact"/>
        <w:ind w:left="479" w:leftChars="228" w:firstLine="482" w:firstLineChars="150"/>
        <w:rPr>
          <w:rFonts w:hint="eastAsia" w:ascii="仿宋_GB2312" w:eastAsia="仿宋_GB2312"/>
          <w:color w:val="000000"/>
          <w:sz w:val="32"/>
          <w:szCs w:val="32"/>
          <w:highlight w:val="none"/>
        </w:rPr>
      </w:pPr>
      <w:r>
        <w:rPr>
          <w:rStyle w:val="15"/>
          <w:rFonts w:hint="eastAsia" w:ascii="仿宋_GB2312" w:eastAsia="仿宋_GB2312"/>
          <w:color w:val="000000"/>
          <w:sz w:val="32"/>
          <w:szCs w:val="32"/>
          <w:highlight w:val="none"/>
        </w:rPr>
        <w:t>2. 社会保障和就业（类）残疾人事业（款）行政运行（项）：</w:t>
      </w:r>
      <w:r>
        <w:rPr>
          <w:rFonts w:hint="eastAsia" w:ascii="仿宋_GB2312" w:eastAsia="仿宋_GB2312"/>
          <w:color w:val="000000"/>
          <w:sz w:val="32"/>
          <w:szCs w:val="32"/>
          <w:highlight w:val="none"/>
          <w:lang w:eastAsia="zh-CN"/>
        </w:rPr>
        <w:t>2019</w:t>
      </w:r>
      <w:r>
        <w:rPr>
          <w:rFonts w:hint="eastAsia" w:ascii="仿宋_GB2312" w:eastAsia="仿宋_GB2312"/>
          <w:color w:val="000000"/>
          <w:sz w:val="32"/>
          <w:szCs w:val="32"/>
          <w:highlight w:val="none"/>
        </w:rPr>
        <w:t>年决算数为</w:t>
      </w:r>
      <w:r>
        <w:rPr>
          <w:rFonts w:hint="eastAsia" w:ascii="仿宋_GB2312" w:eastAsia="仿宋_GB2312"/>
          <w:color w:val="000000"/>
          <w:sz w:val="32"/>
          <w:szCs w:val="32"/>
          <w:highlight w:val="none"/>
          <w:lang w:val="en-US" w:eastAsia="zh-CN"/>
        </w:rPr>
        <w:t>108.38</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95.1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，减少的原因是项目还未结算</w:t>
      </w:r>
      <w:r>
        <w:rPr>
          <w:rFonts w:hint="eastAsia" w:ascii="仿宋_GB2312" w:eastAsia="仿宋_GB2312"/>
          <w:color w:val="000000"/>
          <w:sz w:val="32"/>
          <w:szCs w:val="32"/>
          <w:highlight w:val="none"/>
        </w:rPr>
        <w:t>。</w:t>
      </w:r>
    </w:p>
    <w:p>
      <w:pPr>
        <w:spacing w:line="600" w:lineRule="exact"/>
        <w:ind w:left="479" w:leftChars="228" w:firstLine="482" w:firstLineChars="150"/>
        <w:rPr>
          <w:rFonts w:hint="eastAsia" w:ascii="仿宋_GB2312" w:eastAsia="仿宋_GB2312"/>
          <w:color w:val="000000"/>
          <w:sz w:val="32"/>
          <w:szCs w:val="32"/>
          <w:highlight w:val="none"/>
        </w:rPr>
      </w:pPr>
      <w:r>
        <w:rPr>
          <w:rStyle w:val="15"/>
          <w:rFonts w:hint="eastAsia" w:ascii="仿宋_GB2312" w:eastAsia="仿宋_GB2312"/>
          <w:color w:val="000000"/>
          <w:sz w:val="32"/>
          <w:szCs w:val="32"/>
          <w:highlight w:val="none"/>
        </w:rPr>
        <w:t>3. 社会保障和就业（类）残疾人事业（款） 残疾人</w:t>
      </w:r>
      <w:r>
        <w:rPr>
          <w:rStyle w:val="15"/>
          <w:rFonts w:hint="eastAsia" w:ascii="仿宋_GB2312" w:eastAsia="仿宋_GB2312"/>
          <w:color w:val="000000"/>
          <w:sz w:val="32"/>
          <w:szCs w:val="32"/>
          <w:highlight w:val="none"/>
          <w:lang w:eastAsia="zh-CN"/>
        </w:rPr>
        <w:t>扶贫和就业</w:t>
      </w:r>
      <w:r>
        <w:rPr>
          <w:rStyle w:val="15"/>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2019</w:t>
      </w:r>
      <w:r>
        <w:rPr>
          <w:rFonts w:hint="eastAsia" w:ascii="仿宋_GB2312" w:eastAsia="仿宋_GB2312"/>
          <w:color w:val="000000"/>
          <w:sz w:val="32"/>
          <w:szCs w:val="32"/>
          <w:highlight w:val="none"/>
        </w:rPr>
        <w:t>年决算数为</w:t>
      </w:r>
      <w:r>
        <w:rPr>
          <w:rFonts w:hint="eastAsia" w:ascii="仿宋_GB2312" w:eastAsia="仿宋_GB2312"/>
          <w:color w:val="000000"/>
          <w:sz w:val="32"/>
          <w:szCs w:val="32"/>
          <w:highlight w:val="none"/>
          <w:lang w:val="en-US" w:eastAsia="zh-CN"/>
        </w:rPr>
        <w:t>38.25</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76.5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，减少的原因是项目还未结算</w:t>
      </w:r>
      <w:r>
        <w:rPr>
          <w:rFonts w:hint="eastAsia" w:ascii="仿宋_GB2312" w:eastAsia="仿宋_GB2312"/>
          <w:color w:val="000000"/>
          <w:sz w:val="32"/>
          <w:szCs w:val="32"/>
          <w:highlight w:val="none"/>
        </w:rPr>
        <w:t>。</w:t>
      </w:r>
    </w:p>
    <w:p>
      <w:pPr>
        <w:spacing w:line="600" w:lineRule="exact"/>
        <w:ind w:left="479" w:leftChars="228" w:firstLine="482" w:firstLineChars="150"/>
        <w:rPr>
          <w:rFonts w:hint="eastAsia" w:ascii="仿宋_GB2312" w:eastAsia="仿宋_GB2312"/>
          <w:color w:val="000000"/>
          <w:sz w:val="32"/>
          <w:szCs w:val="32"/>
          <w:highlight w:val="none"/>
        </w:rPr>
      </w:pPr>
      <w:r>
        <w:rPr>
          <w:rStyle w:val="15"/>
          <w:rFonts w:hint="eastAsia" w:ascii="仿宋_GB2312" w:eastAsia="仿宋_GB2312"/>
          <w:color w:val="000000"/>
          <w:sz w:val="32"/>
          <w:szCs w:val="32"/>
          <w:highlight w:val="none"/>
        </w:rPr>
        <w:t>4. 社会保障和就业（类）残疾人事业（款）</w:t>
      </w:r>
      <w:r>
        <w:rPr>
          <w:rStyle w:val="15"/>
          <w:rFonts w:hint="eastAsia" w:ascii="仿宋_GB2312" w:eastAsia="仿宋_GB2312"/>
          <w:color w:val="000000"/>
          <w:sz w:val="32"/>
          <w:szCs w:val="32"/>
          <w:highlight w:val="none"/>
          <w:lang w:eastAsia="zh-CN"/>
        </w:rPr>
        <w:t>其他残疾人事业支出</w:t>
      </w:r>
      <w:r>
        <w:rPr>
          <w:rStyle w:val="15"/>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2019</w:t>
      </w:r>
      <w:r>
        <w:rPr>
          <w:rFonts w:hint="eastAsia" w:ascii="仿宋_GB2312" w:eastAsia="仿宋_GB2312"/>
          <w:color w:val="000000"/>
          <w:sz w:val="32"/>
          <w:szCs w:val="32"/>
          <w:highlight w:val="none"/>
        </w:rPr>
        <w:t>年决算数为</w:t>
      </w:r>
      <w:r>
        <w:rPr>
          <w:rFonts w:hint="eastAsia" w:ascii="仿宋_GB2312" w:eastAsia="仿宋_GB2312"/>
          <w:color w:val="000000"/>
          <w:sz w:val="32"/>
          <w:szCs w:val="32"/>
          <w:highlight w:val="none"/>
          <w:lang w:val="en-US" w:eastAsia="zh-CN"/>
        </w:rPr>
        <w:t>162.29</w:t>
      </w:r>
      <w:r>
        <w:rPr>
          <w:rFonts w:hint="eastAsia" w:ascii="仿宋_GB2312" w:eastAsia="仿宋_GB2312"/>
          <w:color w:val="000000"/>
          <w:sz w:val="32"/>
          <w:szCs w:val="32"/>
          <w:highlight w:val="none"/>
        </w:rPr>
        <w:t>万元，完成预算</w:t>
      </w:r>
      <w:r>
        <w:rPr>
          <w:rFonts w:hint="eastAsia" w:ascii="仿宋_GB2312" w:eastAsia="仿宋_GB2312"/>
          <w:color w:val="000000"/>
          <w:sz w:val="32"/>
          <w:szCs w:val="32"/>
          <w:highlight w:val="none"/>
          <w:lang w:val="en-US" w:eastAsia="zh-CN"/>
        </w:rPr>
        <w:t>103</w:t>
      </w:r>
      <w:r>
        <w:rPr>
          <w:rFonts w:hint="eastAsia" w:ascii="仿宋_GB2312" w:eastAsia="仿宋_GB2312"/>
          <w:color w:val="000000"/>
          <w:sz w:val="32"/>
          <w:szCs w:val="32"/>
          <w:highlight w:val="none"/>
        </w:rPr>
        <w:t>%。</w:t>
      </w:r>
    </w:p>
    <w:p>
      <w:pPr>
        <w:spacing w:line="600" w:lineRule="exact"/>
        <w:ind w:left="479" w:leftChars="228" w:firstLine="480" w:firstLineChars="15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Style w:val="15"/>
          <w:rFonts w:hint="eastAsia" w:ascii="仿宋_GB2312" w:eastAsia="仿宋_GB2312"/>
          <w:color w:val="auto"/>
          <w:sz w:val="32"/>
          <w:szCs w:val="32"/>
          <w:highlight w:val="none"/>
          <w:lang w:val="en-US" w:eastAsia="zh-CN"/>
        </w:rPr>
        <w:t>5</w:t>
      </w:r>
      <w:r>
        <w:rPr>
          <w:rStyle w:val="15"/>
          <w:rFonts w:hint="eastAsia" w:ascii="仿宋_GB2312" w:eastAsia="仿宋_GB2312"/>
          <w:b/>
          <w:bCs/>
          <w:color w:val="000000"/>
          <w:sz w:val="32"/>
          <w:szCs w:val="32"/>
          <w:highlight w:val="none"/>
          <w:lang w:val="en-US" w:eastAsia="zh-CN"/>
        </w:rPr>
        <w:t>.</w:t>
      </w:r>
      <w:r>
        <w:rPr>
          <w:rStyle w:val="15"/>
          <w:rFonts w:hint="eastAsia" w:ascii="仿宋_GB2312" w:eastAsia="仿宋_GB2312"/>
          <w:b/>
          <w:bCs/>
          <w:color w:val="000000"/>
          <w:sz w:val="32"/>
          <w:szCs w:val="32"/>
          <w:highlight w:val="none"/>
        </w:rPr>
        <w:t>医疗卫生与计划生育（类）医疗保障（款）事业单位医疗（项）:</w:t>
      </w:r>
      <w:r>
        <w:rPr>
          <w:rFonts w:hint="eastAsia" w:ascii="仿宋_GB2312" w:eastAsia="仿宋_GB2312"/>
          <w:color w:val="000000"/>
          <w:sz w:val="32"/>
          <w:szCs w:val="32"/>
          <w:highlight w:val="none"/>
          <w:lang w:eastAsia="zh-CN"/>
        </w:rPr>
        <w:t>2019年决算数为</w:t>
      </w:r>
      <w:r>
        <w:rPr>
          <w:rFonts w:hint="eastAsia" w:ascii="仿宋_GB2312" w:eastAsia="仿宋_GB2312"/>
          <w:color w:val="000000"/>
          <w:sz w:val="32"/>
          <w:szCs w:val="32"/>
          <w:highlight w:val="none"/>
          <w:lang w:val="en-US" w:eastAsia="zh-CN"/>
        </w:rPr>
        <w:t>5.35</w:t>
      </w:r>
      <w:r>
        <w:rPr>
          <w:rFonts w:hint="eastAsia" w:ascii="仿宋_GB2312" w:eastAsia="仿宋_GB2312"/>
          <w:color w:val="000000"/>
          <w:sz w:val="32"/>
          <w:szCs w:val="32"/>
          <w:highlight w:val="none"/>
          <w:lang w:eastAsia="zh-CN"/>
        </w:rPr>
        <w:t>万元，完成预算100%。</w:t>
      </w:r>
    </w:p>
    <w:p>
      <w:pPr>
        <w:spacing w:line="600" w:lineRule="exact"/>
        <w:ind w:left="479" w:leftChars="228" w:firstLine="482" w:firstLineChars="150"/>
        <w:rPr>
          <w:rFonts w:hint="eastAsia" w:ascii="仿宋_GB2312" w:eastAsia="仿宋_GB2312"/>
          <w:color w:val="000000"/>
          <w:sz w:val="32"/>
          <w:szCs w:val="32"/>
          <w:highlight w:val="none"/>
          <w:lang w:eastAsia="zh-CN"/>
        </w:rPr>
      </w:pPr>
      <w:r>
        <w:rPr>
          <w:rStyle w:val="15"/>
          <w:rFonts w:hint="eastAsia" w:ascii="仿宋_GB2312" w:eastAsia="仿宋_GB2312"/>
          <w:b/>
          <w:bCs/>
          <w:color w:val="000000"/>
          <w:sz w:val="32"/>
          <w:szCs w:val="32"/>
          <w:highlight w:val="none"/>
          <w:lang w:val="en-US" w:eastAsia="zh-CN"/>
        </w:rPr>
        <w:t>6</w:t>
      </w:r>
      <w:r>
        <w:rPr>
          <w:rStyle w:val="15"/>
          <w:rFonts w:hint="eastAsia" w:ascii="仿宋_GB2312" w:eastAsia="仿宋_GB2312"/>
          <w:b/>
          <w:bCs/>
          <w:color w:val="000000"/>
          <w:sz w:val="32"/>
          <w:szCs w:val="32"/>
          <w:highlight w:val="none"/>
        </w:rPr>
        <w:t>、住房保障（类）住房改革（款）住房公积金（项）：</w:t>
      </w:r>
      <w:r>
        <w:rPr>
          <w:rFonts w:hint="eastAsia" w:ascii="仿宋_GB2312" w:eastAsia="仿宋_GB2312"/>
          <w:color w:val="000000"/>
          <w:sz w:val="32"/>
          <w:szCs w:val="32"/>
          <w:highlight w:val="none"/>
          <w:lang w:eastAsia="zh-CN"/>
        </w:rPr>
        <w:t>2019年决算数为</w:t>
      </w:r>
      <w:r>
        <w:rPr>
          <w:rFonts w:hint="eastAsia" w:ascii="仿宋_GB2312" w:eastAsia="仿宋_GB2312"/>
          <w:color w:val="000000"/>
          <w:sz w:val="32"/>
          <w:szCs w:val="32"/>
          <w:highlight w:val="none"/>
          <w:lang w:val="en-US" w:eastAsia="zh-CN"/>
        </w:rPr>
        <w:t>8.72</w:t>
      </w:r>
      <w:r>
        <w:rPr>
          <w:rFonts w:hint="eastAsia" w:ascii="仿宋_GB2312" w:eastAsia="仿宋_GB2312"/>
          <w:color w:val="000000"/>
          <w:sz w:val="32"/>
          <w:szCs w:val="32"/>
          <w:highlight w:val="none"/>
          <w:lang w:eastAsia="zh-CN"/>
        </w:rPr>
        <w:t>万元，完成预算100%。</w:t>
      </w:r>
    </w:p>
    <w:p>
      <w:pPr>
        <w:spacing w:line="600" w:lineRule="exact"/>
        <w:ind w:left="479" w:leftChars="228" w:firstLine="482" w:firstLineChars="150"/>
        <w:rPr>
          <w:rFonts w:ascii="仿宋" w:hAnsi="仿宋" w:eastAsia="仿宋"/>
          <w:b/>
          <w:color w:val="000000"/>
          <w:sz w:val="32"/>
          <w:szCs w:val="32"/>
        </w:rPr>
      </w:pPr>
      <w:r>
        <w:rPr>
          <w:rStyle w:val="15"/>
          <w:rFonts w:hint="eastAsia" w:ascii="仿宋_GB2312" w:eastAsia="仿宋_GB2312"/>
          <w:b/>
          <w:bCs/>
          <w:color w:val="000000"/>
          <w:sz w:val="32"/>
          <w:szCs w:val="32"/>
          <w:highlight w:val="none"/>
          <w:lang w:val="en-US" w:eastAsia="zh-CN"/>
        </w:rPr>
        <w:t>7、农林水支出（类）扶贫（款）其他扶贫支出-东西部扶贫协作（项）：</w:t>
      </w:r>
      <w:r>
        <w:rPr>
          <w:rFonts w:hint="eastAsia" w:ascii="仿宋_GB2312" w:eastAsia="仿宋_GB2312"/>
          <w:color w:val="000000"/>
          <w:sz w:val="32"/>
          <w:szCs w:val="32"/>
          <w:highlight w:val="none"/>
          <w:lang w:eastAsia="zh-CN"/>
        </w:rPr>
        <w:t>2019年决算数为</w:t>
      </w:r>
      <w:r>
        <w:rPr>
          <w:rFonts w:hint="eastAsia" w:ascii="仿宋_GB2312" w:eastAsia="仿宋_GB2312"/>
          <w:color w:val="000000"/>
          <w:sz w:val="32"/>
          <w:szCs w:val="32"/>
          <w:highlight w:val="none"/>
          <w:lang w:val="en-US" w:eastAsia="zh-CN"/>
        </w:rPr>
        <w:t>50</w:t>
      </w:r>
      <w:r>
        <w:rPr>
          <w:rFonts w:hint="eastAsia" w:ascii="仿宋_GB2312" w:eastAsia="仿宋_GB2312"/>
          <w:color w:val="000000"/>
          <w:sz w:val="32"/>
          <w:szCs w:val="32"/>
          <w:highlight w:val="none"/>
          <w:lang w:eastAsia="zh-CN"/>
        </w:rPr>
        <w:t>万元，完成预算100%。</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132.79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110.85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21.94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1.49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eastAsia="仿宋_GB2312"/>
          <w:color w:val="000000"/>
          <w:sz w:val="32"/>
          <w:szCs w:val="32"/>
        </w:rPr>
        <w:t>决算数小于预算数的主要原因是</w:t>
      </w:r>
      <w:r>
        <w:rPr>
          <w:rFonts w:hint="eastAsia" w:ascii="仿宋_GB2312" w:eastAsia="仿宋_GB2312"/>
          <w:color w:val="000000"/>
          <w:sz w:val="32"/>
          <w:szCs w:val="32"/>
          <w:lang w:eastAsia="zh-CN"/>
        </w:rPr>
        <w:t>严格控制经费</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1.49</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0.6</w:t>
      </w:r>
      <w:r>
        <w:rPr>
          <w:rFonts w:ascii="仿宋_GB2312" w:eastAsia="仿宋_GB2312"/>
          <w:color w:val="000000"/>
          <w:sz w:val="32"/>
          <w:szCs w:val="32"/>
        </w:rPr>
        <w:t>%</w:t>
      </w:r>
      <w:r>
        <w:rPr>
          <w:rFonts w:hint="eastAsia" w:ascii="仿宋_GB2312" w:eastAsia="仿宋_GB2312"/>
          <w:color w:val="000000"/>
          <w:sz w:val="32"/>
          <w:szCs w:val="32"/>
        </w:rPr>
        <w:t>。主要原因是主要原因是</w:t>
      </w:r>
      <w:r>
        <w:rPr>
          <w:rFonts w:hint="eastAsia" w:ascii="仿宋_GB2312" w:eastAsia="仿宋_GB2312"/>
          <w:color w:val="000000"/>
          <w:sz w:val="32"/>
          <w:szCs w:val="32"/>
          <w:lang w:eastAsia="zh-CN"/>
        </w:rPr>
        <w:t>严格控制费用支出。</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1.49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开展残疾人工作、</w:t>
      </w:r>
      <w:r>
        <w:rPr>
          <w:rFonts w:hint="eastAsia" w:ascii="仿宋_GB2312" w:eastAsia="仿宋_GB2312"/>
          <w:color w:val="000000"/>
          <w:sz w:val="32"/>
          <w:szCs w:val="32"/>
        </w:rPr>
        <w:t>执行公务、开展业务活动开支的交通费、住宿费、用餐费等。国内公务接待</w:t>
      </w:r>
      <w:r>
        <w:rPr>
          <w:rFonts w:hint="eastAsia" w:ascii="仿宋_GB2312" w:eastAsia="仿宋_GB2312"/>
          <w:color w:val="000000"/>
          <w:sz w:val="32"/>
          <w:szCs w:val="32"/>
          <w:lang w:val="en-US" w:eastAsia="zh-CN"/>
        </w:rPr>
        <w:t>91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1443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1.49</w:t>
      </w:r>
      <w:r>
        <w:rPr>
          <w:rFonts w:hint="eastAsia" w:ascii="仿宋_GB2312" w:eastAsia="仿宋_GB2312"/>
          <w:color w:val="000000"/>
          <w:sz w:val="32"/>
          <w:szCs w:val="32"/>
        </w:rPr>
        <w:t>万元，具体内容包括：接待省、市残联检查</w:t>
      </w:r>
      <w:r>
        <w:rPr>
          <w:rFonts w:hint="eastAsia" w:ascii="仿宋_GB2312" w:eastAsia="仿宋_GB2312"/>
          <w:color w:val="000000"/>
          <w:sz w:val="32"/>
          <w:szCs w:val="32"/>
          <w:lang w:eastAsia="zh-CN"/>
        </w:rPr>
        <w:t>督查等</w:t>
      </w:r>
      <w:r>
        <w:rPr>
          <w:rFonts w:hint="eastAsia" w:ascii="仿宋_GB2312" w:eastAsia="仿宋_GB2312"/>
          <w:color w:val="000000"/>
          <w:sz w:val="32"/>
          <w:szCs w:val="32"/>
        </w:rPr>
        <w:t>工作支出</w:t>
      </w:r>
      <w:r>
        <w:rPr>
          <w:rFonts w:hint="eastAsia" w:ascii="仿宋_GB2312" w:eastAsia="仿宋_GB2312"/>
          <w:color w:val="000000"/>
          <w:sz w:val="32"/>
          <w:szCs w:val="32"/>
          <w:lang w:val="en-US" w:eastAsia="zh-CN"/>
        </w:rPr>
        <w:t>1.49</w:t>
      </w:r>
      <w:r>
        <w:rPr>
          <w:rFonts w:hint="eastAsia" w:ascii="仿宋_GB2312" w:eastAsia="仿宋_GB2312"/>
          <w:color w:val="000000"/>
          <w:sz w:val="32"/>
          <w:szCs w:val="32"/>
        </w:rPr>
        <w:t>万元。</w:t>
      </w:r>
    </w:p>
    <w:p>
      <w:pPr>
        <w:spacing w:line="600" w:lineRule="exact"/>
        <w:ind w:firstLine="643" w:firstLineChars="200"/>
        <w:rPr>
          <w:rFonts w:hint="eastAsia" w:ascii="黑体"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bookmarkStart w:id="46" w:name="_Toc15377218"/>
      <w:bookmarkStart w:id="47" w:name="_Toc15396610"/>
      <w:r>
        <w:rPr>
          <w:rFonts w:hint="eastAsia" w:ascii="仿宋_GB2312" w:eastAsia="仿宋_GB2312"/>
          <w:color w:val="000000" w:themeColor="text1"/>
          <w:sz w:val="32"/>
          <w:szCs w:val="32"/>
          <w:lang w:eastAsia="zh-CN"/>
        </w:rPr>
        <w:t>。</w:t>
      </w: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区残联</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22.88</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11.28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sz w:val="32"/>
          <w:szCs w:val="32"/>
          <w:lang w:eastAsia="zh-CN"/>
        </w:rPr>
        <w:t>扶贫开支加大和机关搬迁办公室花费搬迁费用。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区残联</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58.9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58</w:t>
      </w:r>
      <w:r>
        <w:rPr>
          <w:rFonts w:hint="eastAsia" w:ascii="仿宋_GB2312" w:eastAsia="仿宋_GB2312"/>
          <w:color w:val="000000"/>
          <w:sz w:val="32"/>
          <w:szCs w:val="32"/>
        </w:rPr>
        <w:t>万元。主要用于</w:t>
      </w:r>
      <w:r>
        <w:rPr>
          <w:rFonts w:hint="eastAsia" w:ascii="仿宋_GB2312" w:eastAsia="仿宋_GB2312"/>
          <w:color w:val="000000"/>
          <w:sz w:val="32"/>
          <w:szCs w:val="32"/>
          <w:highlight w:val="none"/>
          <w:lang w:eastAsia="zh-CN"/>
        </w:rPr>
        <w:t>残疾人居家无障碍改造</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outlineLvl w:val="2"/>
        <w:rPr>
          <w:rFonts w:hint="eastAsia" w:ascii="仿宋" w:hAnsi="仿宋" w:eastAsia="仿宋_GB2312"/>
          <w:b/>
          <w:color w:val="00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区残联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numPr>
          <w:ilvl w:val="0"/>
          <w:numId w:val="3"/>
        </w:numPr>
        <w:autoSpaceDE w:val="0"/>
        <w:autoSpaceDN w:val="0"/>
        <w:adjustRightIn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eastAsia="仿宋_GB2312"/>
          <w:b/>
          <w:color w:val="000000"/>
          <w:sz w:val="32"/>
          <w:szCs w:val="32"/>
        </w:rPr>
        <w:t>预算绩效情况</w:t>
      </w:r>
      <w:bookmarkStart w:id="73" w:name="_GoBack"/>
      <w:bookmarkEnd w:id="73"/>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建档立卡残疾人扶贫对象生活补贴</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pPr>
        <w:spacing w:line="600" w:lineRule="atLeast"/>
        <w:ind w:firstLine="640" w:firstLineChars="200"/>
        <w:rPr>
          <w:rFonts w:hint="eastAsia" w:ascii="仿宋_GB2312" w:eastAsia="仿宋_GB2312"/>
          <w:color w:val="000000"/>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eastAsia="仿宋_GB2312"/>
          <w:color w:val="000000"/>
          <w:sz w:val="32"/>
          <w:szCs w:val="32"/>
        </w:rPr>
        <w:t>按照预算绩效管理要求，本部门对201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97</w:t>
      </w:r>
      <w:r>
        <w:rPr>
          <w:rFonts w:hint="eastAsia" w:ascii="仿宋_GB2312" w:eastAsia="仿宋_GB2312"/>
          <w:color w:val="000000"/>
          <w:sz w:val="32"/>
          <w:szCs w:val="32"/>
        </w:rPr>
        <w:t>分，</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个项目支出绩效评价，从评价情况来看</w:t>
      </w:r>
      <w:r>
        <w:rPr>
          <w:rFonts w:hint="eastAsia" w:ascii="仿宋_GB2312" w:eastAsia="仿宋_GB2312"/>
          <w:color w:val="000000"/>
          <w:sz w:val="32"/>
          <w:szCs w:val="32"/>
        </w:rPr>
        <w:t>本部门对</w:t>
      </w:r>
      <w:r>
        <w:rPr>
          <w:rFonts w:hint="eastAsia" w:ascii="仿宋_GB2312" w:eastAsia="仿宋_GB2312"/>
          <w:color w:val="000000"/>
          <w:sz w:val="32"/>
          <w:szCs w:val="32"/>
          <w:lang w:eastAsia="zh-CN"/>
        </w:rPr>
        <w:t>残疾人扶贫对象生活费补贴</w:t>
      </w:r>
      <w:r>
        <w:rPr>
          <w:rFonts w:hint="eastAsia" w:ascii="仿宋_GB2312" w:eastAsia="仿宋_GB2312"/>
          <w:color w:val="000000"/>
          <w:sz w:val="32"/>
          <w:szCs w:val="32"/>
        </w:rPr>
        <w:t>项目开展了绩效评价，得分为</w:t>
      </w:r>
      <w:r>
        <w:rPr>
          <w:rFonts w:hint="eastAsia" w:ascii="仿宋_GB2312" w:eastAsia="仿宋_GB2312"/>
          <w:color w:val="000000"/>
          <w:sz w:val="32"/>
          <w:szCs w:val="32"/>
          <w:lang w:val="en-US" w:eastAsia="zh-CN"/>
        </w:rPr>
        <w:t>98</w:t>
      </w:r>
      <w:r>
        <w:rPr>
          <w:rFonts w:hint="eastAsia" w:ascii="仿宋_GB2312" w:eastAsia="仿宋_GB2312"/>
          <w:color w:val="000000"/>
          <w:sz w:val="32"/>
          <w:szCs w:val="32"/>
        </w:rPr>
        <w:t>分</w:t>
      </w:r>
      <w:r>
        <w:rPr>
          <w:rFonts w:hint="eastAsia" w:ascii="仿宋_GB2312" w:eastAsia="仿宋_GB2312"/>
          <w:color w:val="000000"/>
          <w:sz w:val="32"/>
          <w:szCs w:val="32"/>
          <w:lang w:eastAsia="zh-CN"/>
        </w:rPr>
        <w:t>。</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pPr>
        <w:spacing w:line="600" w:lineRule="atLeast"/>
        <w:ind w:firstLine="640" w:firstLineChars="200"/>
        <w:rPr>
          <w:rFonts w:hint="default" w:eastAsia="仿宋_GB2312"/>
          <w:sz w:val="32"/>
          <w:szCs w:val="32"/>
        </w:rPr>
      </w:pPr>
      <w:r>
        <w:rPr>
          <w:rFonts w:hint="eastAsia" w:ascii="仿宋_GB2312" w:eastAsia="仿宋_GB2312"/>
          <w:color w:val="000000"/>
          <w:sz w:val="32"/>
          <w:szCs w:val="32"/>
          <w:lang w:eastAsia="zh-CN"/>
        </w:rPr>
        <w:t>残疾人扶贫对象生活费补贴</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60.4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62.4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103</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贫困残疾人基本生活保障，助理了残疾脱贫奔康。</w:t>
      </w:r>
      <w:r>
        <w:rPr>
          <w:rFonts w:hint="eastAsia" w:ascii="仿宋_GB2312" w:hAnsi="仿宋_GB2312" w:eastAsia="仿宋_GB2312" w:cs="仿宋_GB2312"/>
          <w:sz w:val="32"/>
          <w:szCs w:val="32"/>
        </w:rPr>
        <w:t>发现的主要问题：</w:t>
      </w:r>
      <w:r>
        <w:rPr>
          <w:rFonts w:hint="eastAsia" w:ascii="仿宋_GB2312" w:eastAsia="仿宋_GB2312"/>
          <w:color w:val="000000"/>
          <w:sz w:val="32"/>
          <w:szCs w:val="32"/>
          <w:lang w:eastAsia="zh-CN"/>
        </w:rPr>
        <w:t>资料装订不规范</w:t>
      </w:r>
      <w:r>
        <w:rPr>
          <w:rFonts w:hint="default" w:eastAsia="仿宋_GB2312"/>
          <w:sz w:val="32"/>
          <w:szCs w:val="32"/>
        </w:rPr>
        <w:t>。</w:t>
      </w:r>
      <w:r>
        <w:rPr>
          <w:rFonts w:hint="eastAsia" w:ascii="仿宋_GB2312" w:eastAsia="仿宋_GB2312"/>
          <w:color w:val="000000"/>
          <w:sz w:val="32"/>
          <w:szCs w:val="32"/>
        </w:rPr>
        <w:t>下一步改进措施：</w:t>
      </w:r>
      <w:r>
        <w:rPr>
          <w:rFonts w:hint="default" w:eastAsia="仿宋_GB2312"/>
          <w:sz w:val="32"/>
          <w:szCs w:val="32"/>
        </w:rPr>
        <w:t>是加强队伍建设，全面提高业务素质，确保</w:t>
      </w:r>
      <w:r>
        <w:rPr>
          <w:rFonts w:hint="eastAsia" w:eastAsia="仿宋_GB2312"/>
          <w:sz w:val="32"/>
          <w:szCs w:val="32"/>
          <w:lang w:eastAsia="zh-CN"/>
        </w:rPr>
        <w:t>项目发挥最大的效益，</w:t>
      </w:r>
      <w:r>
        <w:rPr>
          <w:rFonts w:hint="default" w:eastAsia="仿宋_GB2312"/>
          <w:sz w:val="32"/>
          <w:szCs w:val="32"/>
        </w:rPr>
        <w:t>强化基础管理</w:t>
      </w:r>
      <w:r>
        <w:rPr>
          <w:rFonts w:hint="eastAsia" w:eastAsia="仿宋_GB2312"/>
          <w:sz w:val="32"/>
          <w:szCs w:val="32"/>
          <w:lang w:eastAsia="zh-CN"/>
        </w:rPr>
        <w:t>，</w:t>
      </w:r>
      <w:r>
        <w:rPr>
          <w:rFonts w:hint="default" w:eastAsia="仿宋_GB2312"/>
          <w:sz w:val="32"/>
          <w:szCs w:val="32"/>
        </w:rPr>
        <w:t>严格财务管理，确保项目规范化管理</w:t>
      </w:r>
    </w:p>
    <w:p>
      <w:pPr>
        <w:spacing w:line="600" w:lineRule="atLeast"/>
        <w:ind w:firstLine="640" w:firstLineChars="200"/>
        <w:rPr>
          <w:rFonts w:hint="default" w:eastAsia="仿宋_GB2312"/>
          <w:sz w:val="32"/>
          <w:szCs w:val="32"/>
        </w:rPr>
      </w:pPr>
    </w:p>
    <w:p>
      <w:pPr>
        <w:spacing w:line="600" w:lineRule="atLeast"/>
        <w:ind w:firstLine="640" w:firstLineChars="200"/>
        <w:rPr>
          <w:rFonts w:hint="default" w:eastAsia="仿宋_GB2312"/>
          <w:sz w:val="32"/>
          <w:szCs w:val="32"/>
        </w:rPr>
      </w:pPr>
    </w:p>
    <w:p>
      <w:pPr>
        <w:spacing w:line="600" w:lineRule="atLeast"/>
        <w:ind w:firstLine="640" w:firstLineChars="200"/>
        <w:rPr>
          <w:rFonts w:hint="default" w:eastAsia="仿宋_GB2312"/>
          <w:sz w:val="32"/>
          <w:szCs w:val="32"/>
        </w:rPr>
      </w:pPr>
    </w:p>
    <w:p>
      <w:pPr>
        <w:spacing w:line="600" w:lineRule="atLeast"/>
        <w:ind w:firstLine="640" w:firstLineChars="200"/>
        <w:rPr>
          <w:rFonts w:hint="default" w:eastAsia="仿宋_GB2312"/>
          <w:sz w:val="32"/>
          <w:szCs w:val="32"/>
        </w:rPr>
      </w:pPr>
    </w:p>
    <w:p>
      <w:pPr>
        <w:spacing w:line="600" w:lineRule="atLeast"/>
        <w:ind w:firstLine="640" w:firstLineChars="200"/>
        <w:rPr>
          <w:rFonts w:hint="default" w:eastAsia="仿宋_GB2312"/>
          <w:sz w:val="32"/>
          <w:szCs w:val="32"/>
        </w:rPr>
      </w:pPr>
    </w:p>
    <w:p>
      <w:pPr>
        <w:spacing w:line="600" w:lineRule="atLeast"/>
        <w:ind w:firstLine="640" w:firstLineChars="200"/>
        <w:rPr>
          <w:rFonts w:hint="default" w:eastAsia="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43"/>
        <w:gridCol w:w="1114"/>
        <w:gridCol w:w="1025"/>
        <w:gridCol w:w="2392"/>
        <w:gridCol w:w="2394"/>
        <w:gridCol w:w="2392"/>
      </w:tblGrid>
      <w:tr>
        <w:tblPrEx>
          <w:tblCellMar>
            <w:top w:w="0" w:type="dxa"/>
            <w:left w:w="0" w:type="dxa"/>
            <w:bottom w:w="0" w:type="dxa"/>
            <w:right w:w="0" w:type="dxa"/>
          </w:tblCellMar>
        </w:tblPrEx>
        <w:trPr>
          <w:trHeight w:val="1058"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残疾人扶贫对象生活费补贴</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广元市昭化区残疾人联合会</w:t>
            </w:r>
          </w:p>
        </w:tc>
      </w:tr>
      <w:tr>
        <w:tblPrEx>
          <w:tblCellMar>
            <w:top w:w="0" w:type="dxa"/>
            <w:left w:w="0" w:type="dxa"/>
            <w:bottom w:w="0" w:type="dxa"/>
            <w:right w:w="0" w:type="dxa"/>
          </w:tblCellMar>
        </w:tblPrEx>
        <w:trPr>
          <w:trHeight w:val="276"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6"/>
                <w:szCs w:val="16"/>
              </w:rPr>
              <w:t>预算执行情况(万元)</w:t>
            </w: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62.4</w:t>
            </w:r>
          </w:p>
        </w:tc>
      </w:tr>
      <w:tr>
        <w:tblPrEx>
          <w:tblCellMar>
            <w:top w:w="0" w:type="dxa"/>
            <w:left w:w="0" w:type="dxa"/>
            <w:bottom w:w="0" w:type="dxa"/>
            <w:right w:w="0" w:type="dxa"/>
          </w:tblCellMar>
        </w:tblPrEx>
        <w:trPr>
          <w:trHeight w:val="27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62.4</w:t>
            </w:r>
          </w:p>
        </w:tc>
      </w:tr>
      <w:tr>
        <w:tblPrEx>
          <w:tblCellMar>
            <w:top w:w="0" w:type="dxa"/>
            <w:left w:w="0" w:type="dxa"/>
            <w:bottom w:w="0" w:type="dxa"/>
            <w:right w:w="0" w:type="dxa"/>
          </w:tblCellMar>
        </w:tblPrEx>
        <w:trPr>
          <w:trHeight w:val="1104"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1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53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53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预计对</w:t>
            </w:r>
            <w:r>
              <w:rPr>
                <w:rFonts w:hint="eastAsia" w:ascii="宋体" w:hAnsi="宋体" w:cs="宋体"/>
                <w:color w:val="000000"/>
                <w:sz w:val="24"/>
                <w:lang w:val="en-US" w:eastAsia="zh-CN"/>
              </w:rPr>
              <w:t>514名建档立卡贫困残疾人的</w:t>
            </w:r>
            <w:r>
              <w:rPr>
                <w:rFonts w:hint="eastAsia" w:ascii="宋体" w:hAnsi="宋体" w:cs="宋体"/>
                <w:color w:val="000000"/>
                <w:sz w:val="24"/>
              </w:rPr>
              <w:t>收入</w:t>
            </w:r>
            <w:r>
              <w:rPr>
                <w:rFonts w:hint="eastAsia" w:ascii="宋体" w:hAnsi="宋体" w:cs="宋体"/>
                <w:color w:val="000000"/>
                <w:sz w:val="24"/>
                <w:lang w:eastAsia="zh-CN"/>
              </w:rPr>
              <w:t>发放补贴，</w:t>
            </w:r>
            <w:r>
              <w:rPr>
                <w:rFonts w:hint="eastAsia" w:ascii="宋体" w:hAnsi="宋体" w:cs="宋体"/>
                <w:color w:val="000000"/>
                <w:sz w:val="24"/>
              </w:rPr>
              <w:t>低于1000元的，年补助2000元；年收入低于2000元的，年补助1500元；年收入2001元以上的，年补助1000元。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已对</w:t>
            </w:r>
            <w:r>
              <w:rPr>
                <w:rFonts w:hint="eastAsia" w:ascii="宋体" w:hAnsi="宋体" w:cs="宋体"/>
                <w:color w:val="000000"/>
                <w:sz w:val="24"/>
                <w:lang w:val="en-US" w:eastAsia="zh-CN"/>
              </w:rPr>
              <w:t>524名建档立卡贫困残疾人的</w:t>
            </w:r>
            <w:r>
              <w:rPr>
                <w:rFonts w:hint="eastAsia" w:ascii="宋体" w:hAnsi="宋体" w:cs="宋体"/>
                <w:color w:val="000000"/>
                <w:sz w:val="24"/>
              </w:rPr>
              <w:t>收入</w:t>
            </w:r>
            <w:r>
              <w:rPr>
                <w:rFonts w:hint="eastAsia" w:ascii="宋体" w:hAnsi="宋体" w:cs="宋体"/>
                <w:color w:val="000000"/>
                <w:sz w:val="24"/>
                <w:lang w:eastAsia="zh-CN"/>
              </w:rPr>
              <w:t>发放补贴，</w:t>
            </w:r>
            <w:r>
              <w:rPr>
                <w:rFonts w:hint="eastAsia" w:ascii="宋体" w:hAnsi="宋体" w:cs="宋体"/>
                <w:color w:val="000000"/>
                <w:sz w:val="24"/>
              </w:rPr>
              <w:t>低于1000元的，年补助2000元；年收入低于2000元的，年补助1500元；年收入2001元以上的，年补助1000元。</w:t>
            </w:r>
          </w:p>
        </w:tc>
      </w:tr>
      <w:tr>
        <w:tblPrEx>
          <w:tblCellMar>
            <w:top w:w="0" w:type="dxa"/>
            <w:left w:w="0" w:type="dxa"/>
            <w:bottom w:w="0" w:type="dxa"/>
            <w:right w:w="0" w:type="dxa"/>
          </w:tblCellMar>
        </w:tblPrEx>
        <w:trPr>
          <w:trHeight w:val="1042" w:hRule="atLeast"/>
          <w:jc w:val="center"/>
        </w:trPr>
        <w:tc>
          <w:tcPr>
            <w:tcW w:w="64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16"/>
                <w:szCs w:val="16"/>
              </w:rPr>
              <w:t>绩效指标完成情况</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01" w:hRule="atLeast"/>
          <w:jc w:val="center"/>
        </w:trPr>
        <w:tc>
          <w:tcPr>
            <w:tcW w:w="64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享受补贴发放的人数。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≥514人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524人</w:t>
            </w:r>
          </w:p>
        </w:tc>
      </w:tr>
      <w:tr>
        <w:tblPrEx>
          <w:tblCellMar>
            <w:top w:w="0" w:type="dxa"/>
            <w:left w:w="0" w:type="dxa"/>
            <w:bottom w:w="0" w:type="dxa"/>
            <w:right w:w="0" w:type="dxa"/>
          </w:tblCellMar>
        </w:tblPrEx>
        <w:trPr>
          <w:trHeight w:val="940" w:hRule="atLeast"/>
          <w:jc w:val="center"/>
        </w:trPr>
        <w:tc>
          <w:tcPr>
            <w:tcW w:w="64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补贴标准达标率。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890" w:hRule="atLeast"/>
          <w:jc w:val="center"/>
        </w:trPr>
        <w:tc>
          <w:tcPr>
            <w:tcW w:w="64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2020年12月30日</w:t>
            </w:r>
            <w:r>
              <w:rPr>
                <w:rFonts w:hint="eastAsia" w:ascii="宋体" w:hAnsi="宋体" w:cs="宋体"/>
                <w:color w:val="000000"/>
                <w:sz w:val="24"/>
              </w:rPr>
              <w:tab/>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2020年12月30日</w:t>
            </w:r>
          </w:p>
        </w:tc>
      </w:tr>
      <w:tr>
        <w:tblPrEx>
          <w:tblCellMar>
            <w:top w:w="0" w:type="dxa"/>
            <w:left w:w="0" w:type="dxa"/>
            <w:bottom w:w="0" w:type="dxa"/>
            <w:right w:w="0" w:type="dxa"/>
          </w:tblCellMar>
        </w:tblPrEx>
        <w:trPr>
          <w:trHeight w:val="685" w:hRule="atLeast"/>
          <w:jc w:val="center"/>
        </w:trPr>
        <w:tc>
          <w:tcPr>
            <w:tcW w:w="64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建档立卡扶贫对象残疾人（除低保、五保）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1000-2000元/人/月。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1000-2000元/人/月。</w:t>
            </w:r>
          </w:p>
        </w:tc>
      </w:tr>
      <w:tr>
        <w:tblPrEx>
          <w:tblCellMar>
            <w:top w:w="0" w:type="dxa"/>
            <w:left w:w="0" w:type="dxa"/>
            <w:bottom w:w="0" w:type="dxa"/>
            <w:right w:w="0" w:type="dxa"/>
          </w:tblCellMar>
        </w:tblPrEx>
        <w:trPr>
          <w:trHeight w:val="849" w:hRule="atLeast"/>
          <w:jc w:val="center"/>
        </w:trPr>
        <w:tc>
          <w:tcPr>
            <w:tcW w:w="64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享受直补的残疾人的收入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明显提高</w:t>
            </w:r>
          </w:p>
        </w:tc>
      </w:tr>
      <w:tr>
        <w:tblPrEx>
          <w:tblCellMar>
            <w:top w:w="0" w:type="dxa"/>
            <w:left w:w="0" w:type="dxa"/>
            <w:bottom w:w="0" w:type="dxa"/>
            <w:right w:w="0" w:type="dxa"/>
          </w:tblCellMar>
        </w:tblPrEx>
        <w:trPr>
          <w:trHeight w:val="774" w:hRule="atLeast"/>
          <w:jc w:val="center"/>
        </w:trPr>
        <w:tc>
          <w:tcPr>
            <w:tcW w:w="64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提高残疾人生活水平。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中长期</w:t>
            </w:r>
          </w:p>
        </w:tc>
      </w:tr>
      <w:tr>
        <w:tblPrEx>
          <w:tblCellMar>
            <w:top w:w="0" w:type="dxa"/>
            <w:left w:w="0" w:type="dxa"/>
            <w:bottom w:w="0" w:type="dxa"/>
            <w:right w:w="0" w:type="dxa"/>
          </w:tblCellMar>
        </w:tblPrEx>
        <w:trPr>
          <w:trHeight w:val="775" w:hRule="atLeast"/>
          <w:jc w:val="center"/>
        </w:trPr>
        <w:tc>
          <w:tcPr>
            <w:tcW w:w="64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享受补贴直补的残疾人满意度。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区残联</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残疾人扶贫对象生活费补贴</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残疾人扶贫对象生活费补贴</w:t>
      </w:r>
      <w:r>
        <w:rPr>
          <w:rFonts w:hint="eastAsia" w:ascii="仿宋_GB2312" w:hAnsi="仿宋_GB2312" w:eastAsia="仿宋_GB2312" w:cs="仿宋_GB2312"/>
          <w:sz w:val="32"/>
          <w:szCs w:val="32"/>
        </w:rPr>
        <w:t>项目开展了绩效评价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Style w:val="15"/>
          <w:rFonts w:hint="eastAsia" w:ascii="仿宋_GB2312" w:eastAsia="仿宋_GB2312"/>
          <w:b w:val="0"/>
          <w:bCs w:val="0"/>
          <w:color w:val="000000"/>
          <w:sz w:val="32"/>
          <w:szCs w:val="32"/>
        </w:rPr>
      </w:pPr>
      <w:r>
        <w:rPr>
          <w:rStyle w:val="15"/>
          <w:rFonts w:hint="eastAsia" w:ascii="仿宋_GB2312" w:eastAsia="仿宋_GB2312"/>
          <w:b w:val="0"/>
          <w:bCs w:val="0"/>
          <w:color w:val="000000"/>
          <w:sz w:val="32"/>
          <w:szCs w:val="32"/>
          <w:lang w:val="en-US" w:eastAsia="zh-CN"/>
        </w:rPr>
        <w:t>9</w:t>
      </w:r>
      <w:r>
        <w:rPr>
          <w:rStyle w:val="15"/>
          <w:rFonts w:hint="eastAsia" w:ascii="仿宋_GB2312" w:eastAsia="仿宋_GB2312"/>
          <w:b w:val="0"/>
          <w:bCs w:val="0"/>
          <w:color w:val="000000"/>
          <w:sz w:val="32"/>
          <w:szCs w:val="32"/>
        </w:rPr>
        <w:t>.社会保障和就业（类）行政事业单位离退休（款）（项）:</w:t>
      </w:r>
      <w:r>
        <w:rPr>
          <w:rFonts w:hint="eastAsia" w:ascii="仿宋_GB2312" w:eastAsia="仿宋_GB2312"/>
          <w:color w:val="000000"/>
          <w:sz w:val="32"/>
          <w:szCs w:val="32"/>
        </w:rPr>
        <w:t>是指反映用于行政事业单位离退休方面的支出。</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10</w:t>
      </w:r>
      <w:r>
        <w:rPr>
          <w:rStyle w:val="15"/>
          <w:rFonts w:hint="eastAsia" w:ascii="仿宋_GB2312" w:eastAsia="仿宋_GB2312"/>
          <w:b w:val="0"/>
          <w:bCs w:val="0"/>
          <w:color w:val="000000"/>
          <w:sz w:val="32"/>
          <w:szCs w:val="32"/>
        </w:rPr>
        <w:t>.残疾人事业（类）残疾人康复、残疾人就业扶贫和其他残疾人事业支出（款）：是指残疾人联合会在用于残疾人康复、就业和扶贫等方面的支出。</w:t>
      </w:r>
    </w:p>
    <w:p>
      <w:pPr>
        <w:spacing w:line="600" w:lineRule="exact"/>
        <w:ind w:firstLine="640" w:firstLineChars="200"/>
        <w:rPr>
          <w:rFonts w:hint="eastAsia" w:ascii="仿宋_GB2312" w:eastAsia="仿宋_GB2312"/>
          <w:color w:val="000000"/>
          <w:sz w:val="32"/>
          <w:szCs w:val="32"/>
        </w:rPr>
      </w:pPr>
      <w:r>
        <w:rPr>
          <w:rStyle w:val="15"/>
          <w:rFonts w:hint="eastAsia" w:ascii="仿宋_GB2312" w:eastAsia="仿宋_GB2312"/>
          <w:b w:val="0"/>
          <w:bCs w:val="0"/>
          <w:color w:val="000000"/>
          <w:sz w:val="32"/>
          <w:szCs w:val="32"/>
          <w:lang w:val="en-US" w:eastAsia="zh-CN"/>
        </w:rPr>
        <w:t>11</w:t>
      </w:r>
      <w:r>
        <w:rPr>
          <w:rStyle w:val="15"/>
          <w:rFonts w:hint="eastAsia" w:ascii="仿宋_GB2312" w:eastAsia="仿宋_GB2312"/>
          <w:b w:val="0"/>
          <w:bCs w:val="0"/>
          <w:color w:val="000000"/>
          <w:sz w:val="32"/>
          <w:szCs w:val="32"/>
        </w:rPr>
        <w:t>.医疗卫生与计划生育（类）医疗保障（款）事业单位医疗（项）:</w:t>
      </w:r>
      <w:r>
        <w:rPr>
          <w:rFonts w:hint="eastAsia" w:ascii="仿宋_GB2312" w:eastAsia="仿宋_GB2312"/>
          <w:color w:val="000000"/>
          <w:sz w:val="32"/>
          <w:szCs w:val="32"/>
        </w:rPr>
        <w:t>是指财政部门集中安排的事业单基本医疗保险缴费经费，未参加医疗保险的事业单位的公费医疗经费，按国家规定享受离休人员待遇人员的医疗经费。</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、住房保障（</w:t>
      </w:r>
      <w:r>
        <w:rPr>
          <w:rStyle w:val="15"/>
          <w:rFonts w:hint="eastAsia" w:ascii="仿宋_GB2312" w:eastAsia="仿宋_GB2312"/>
          <w:b w:val="0"/>
          <w:bCs w:val="0"/>
          <w:color w:val="000000"/>
          <w:sz w:val="32"/>
          <w:szCs w:val="32"/>
        </w:rPr>
        <w:t>类</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rPr>
        <w:t>住房改革（款）住房公积金（项）</w:t>
      </w:r>
      <w:r>
        <w:rPr>
          <w:rFonts w:hint="eastAsia" w:ascii="仿宋_GB2312" w:eastAsia="仿宋_GB2312"/>
          <w:color w:val="000000"/>
          <w:sz w:val="32"/>
          <w:szCs w:val="32"/>
        </w:rPr>
        <w:t>：是指行政事业单位按人力资源和社会保障部、财政部规定的基本工资和津贴以及规定比例为职工缴纳的住房公积金。</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、其他支出（类）彩票公益金及对应专款债务收入安排的支出（款）用于残疾人事业彩票公益金支出（项）：是指用于残疾人事业的彩票公益金支出。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区残联</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（一）机构组成。</w:t>
      </w:r>
      <w:r>
        <w:rPr>
          <w:rFonts w:hint="eastAsia" w:ascii="仿宋_GB2312" w:hAnsi="Calibri" w:eastAsia="仿宋_GB2312" w:cs="仿宋"/>
          <w:color w:val="000000"/>
          <w:kern w:val="0"/>
          <w:sz w:val="32"/>
          <w:szCs w:val="32"/>
          <w:lang w:val="en-US" w:eastAsia="zh-CN" w:bidi="ar-SA"/>
        </w:rPr>
        <w:t>区残联</w:t>
      </w:r>
      <w:r>
        <w:rPr>
          <w:rFonts w:hint="default" w:ascii="仿宋_GB2312" w:hAnsi="Calibri" w:eastAsia="仿宋_GB2312" w:cs="仿宋"/>
          <w:color w:val="000000"/>
          <w:kern w:val="0"/>
          <w:sz w:val="32"/>
          <w:szCs w:val="32"/>
          <w:lang w:val="en-US" w:eastAsia="zh-CN" w:bidi="ar-SA"/>
        </w:rPr>
        <w:t>下属</w:t>
      </w:r>
      <w:r>
        <w:rPr>
          <w:rFonts w:hint="eastAsia" w:ascii="仿宋_GB2312" w:hAnsi="Calibri" w:eastAsia="仿宋_GB2312" w:cs="仿宋"/>
          <w:color w:val="000000"/>
          <w:kern w:val="0"/>
          <w:sz w:val="32"/>
          <w:szCs w:val="32"/>
          <w:lang w:val="en-US" w:eastAsia="zh-CN" w:bidi="ar-SA"/>
        </w:rPr>
        <w:t>事业单位1</w:t>
      </w:r>
      <w:r>
        <w:rPr>
          <w:rFonts w:hint="default" w:ascii="仿宋_GB2312" w:hAnsi="Calibri" w:eastAsia="仿宋_GB2312" w:cs="仿宋"/>
          <w:color w:val="000000"/>
          <w:kern w:val="0"/>
          <w:sz w:val="32"/>
          <w:szCs w:val="32"/>
          <w:lang w:val="en-US" w:eastAsia="zh-CN" w:bidi="ar-SA"/>
        </w:rPr>
        <w:t>个</w:t>
      </w:r>
      <w:r>
        <w:rPr>
          <w:rFonts w:hint="eastAsia" w:ascii="仿宋_GB2312" w:hAnsi="Calibri" w:eastAsia="仿宋_GB2312" w:cs="仿宋"/>
          <w:color w:val="000000"/>
          <w:kern w:val="0"/>
          <w:sz w:val="32"/>
          <w:szCs w:val="32"/>
          <w:lang w:val="en-US" w:eastAsia="zh-CN" w:bidi="ar-SA"/>
        </w:rPr>
        <w:t>，广元市昭化区残疾人康复中心。</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（二）机构职能。</w:t>
      </w:r>
      <w:r>
        <w:rPr>
          <w:rFonts w:hint="eastAsia" w:ascii="仿宋_GB2312" w:hAnsi="Calibri" w:eastAsia="仿宋_GB2312" w:cs="仿宋"/>
          <w:color w:val="000000"/>
          <w:kern w:val="0"/>
          <w:sz w:val="32"/>
          <w:szCs w:val="32"/>
          <w:lang w:val="en-US" w:eastAsia="zh-CN" w:bidi="ar-SA"/>
        </w:rPr>
        <w:t>1.听取残疾人意见，反映残疾人需求，维护残疾人权益，为残疾人服务。</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2.团结、教育残疾人遵守法律，履行应尽的义务，发挥乐观进取精神，自尊、自信、自强、自立，为社会主义建设贡献力量。</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3.弘扬人道主义，宣传残疾人事业，沟通政府、社会与残疾人之间的联系，动员社会理解、尊重、关心、帮助残疾人。</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4.开展残疾人康复、扶贫、教育、劳动就业、文化体育用品供应、福利、社会服务，保障残疾人平等参与社会生活。</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5.协助政府研究、制定和实施残疾人事业政策、规定和计划，起草有关保障残疾人权益的法规草案，调查掌握残疾人状况，向政府提出决策和建议，对有关业务领域进行指导和管理。</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6.承担区人民政府残疾人工作协调委员会的日常工作，做好综合、组织、协调和服务工作。</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7.组织实施残疾人分散按比例就业工作，组织管理残疾人福利企业，会同有关部门制定并监督实施残疾人社会福利企业的扶持保护政策。</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8.指导和管理残疾人社会团体组织。</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9.统筹开展为残疾人事业募捐活动。</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10.开展残疾人事业的对外交流活动与合作。</w:t>
      </w:r>
    </w:p>
    <w:p>
      <w:pPr>
        <w:pStyle w:val="12"/>
        <w:keepNext w:val="0"/>
        <w:keepLines w:val="0"/>
        <w:pageBreakBefore w:val="0"/>
        <w:widowControl/>
        <w:suppressLineNumbers w:val="0"/>
        <w:kinsoku/>
        <w:wordWrap/>
        <w:overflowPunct/>
        <w:topLinePunct w:val="0"/>
        <w:autoSpaceDE/>
        <w:autoSpaceDN/>
        <w:bidi w:val="0"/>
        <w:spacing w:before="120" w:beforeAutospacing="0" w:after="0" w:afterAutospacing="0" w:line="400" w:lineRule="atLeast"/>
        <w:ind w:left="0" w:right="0" w:firstLine="645"/>
        <w:jc w:val="left"/>
        <w:textAlignment w:val="auto"/>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11.承办区政府和上级残联交办的其它工作。</w:t>
      </w:r>
    </w:p>
    <w:p>
      <w:pPr>
        <w:keepNext w:val="0"/>
        <w:keepLines w:val="0"/>
        <w:pageBreakBefore w:val="0"/>
        <w:widowControl/>
        <w:kinsoku/>
        <w:wordWrap/>
        <w:overflowPunct/>
        <w:topLinePunct w:val="0"/>
        <w:autoSpaceDE/>
        <w:autoSpaceDN/>
        <w:bidi w:val="0"/>
        <w:adjustRightInd w:val="0"/>
        <w:snapToGrid w:val="0"/>
        <w:spacing w:line="400" w:lineRule="atLeast"/>
        <w:ind w:firstLine="640" w:firstLineChars="200"/>
        <w:contextualSpacing/>
        <w:jc w:val="left"/>
        <w:textAlignment w:val="auto"/>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（三）人员概况。</w:t>
      </w:r>
      <w:r>
        <w:rPr>
          <w:rFonts w:hint="eastAsia" w:ascii="仿宋_GB2312" w:hAnsi="Calibri" w:eastAsia="仿宋_GB2312" w:cs="仿宋"/>
          <w:color w:val="000000"/>
          <w:kern w:val="0"/>
          <w:sz w:val="32"/>
          <w:szCs w:val="32"/>
          <w:lang w:val="en-US" w:eastAsia="zh-CN" w:bidi="ar-SA"/>
        </w:rPr>
        <w:t>区残疾人联合会下属事业单位1个。总编制5人，其中：行政编制3人，事业编制2人。在职人员共8人，其中：行政人员6人，事业人员2人。退休人员2人。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600" w:lineRule="exact"/>
        <w:ind w:firstLine="64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昭化区残联</w:t>
      </w:r>
      <w:r>
        <w:rPr>
          <w:rFonts w:hint="eastAsia" w:ascii="仿宋_GB2312" w:eastAsia="仿宋_GB2312"/>
          <w:color w:val="000000"/>
          <w:sz w:val="32"/>
          <w:szCs w:val="32"/>
        </w:rPr>
        <w:t>本年收入合计</w:t>
      </w:r>
      <w:r>
        <w:rPr>
          <w:rFonts w:hint="eastAsia" w:ascii="仿宋_GB2312" w:eastAsia="仿宋_GB2312"/>
          <w:color w:val="000000"/>
          <w:sz w:val="32"/>
          <w:szCs w:val="32"/>
          <w:lang w:val="en-US" w:eastAsia="zh-CN"/>
        </w:rPr>
        <w:t>430.57</w:t>
      </w:r>
      <w:r>
        <w:rPr>
          <w:rFonts w:hint="eastAsia" w:ascii="仿宋_GB2312" w:eastAsia="仿宋_GB2312"/>
          <w:color w:val="000000"/>
          <w:sz w:val="32"/>
          <w:szCs w:val="32"/>
        </w:rPr>
        <w:t>万元，其中：</w:t>
      </w:r>
      <w:r>
        <w:rPr>
          <w:rFonts w:hint="eastAsia" w:ascii="仿宋_GB2312" w:eastAsia="仿宋_GB2312"/>
          <w:color w:val="000000"/>
          <w:sz w:val="32"/>
          <w:szCs w:val="32"/>
          <w:shd w:val="clear" w:color="auto" w:fill="auto"/>
        </w:rPr>
        <w:t>一般公共预算财政拨款收入</w:t>
      </w:r>
      <w:r>
        <w:rPr>
          <w:rFonts w:hint="eastAsia" w:ascii="仿宋_GB2312" w:eastAsia="仿宋_GB2312"/>
          <w:color w:val="000000"/>
          <w:sz w:val="32"/>
          <w:szCs w:val="32"/>
          <w:shd w:val="clear" w:color="auto" w:fill="auto"/>
          <w:lang w:val="en-US" w:eastAsia="zh-CN"/>
        </w:rPr>
        <w:t>399.57</w:t>
      </w:r>
      <w:r>
        <w:rPr>
          <w:rFonts w:hint="eastAsia" w:ascii="仿宋_GB2312" w:eastAsia="仿宋_GB2312"/>
          <w:color w:val="000000"/>
          <w:sz w:val="32"/>
          <w:szCs w:val="32"/>
          <w:shd w:val="clear" w:color="auto" w:fill="auto"/>
        </w:rPr>
        <w:t>万元，占</w:t>
      </w:r>
      <w:r>
        <w:rPr>
          <w:rFonts w:hint="eastAsia" w:ascii="仿宋_GB2312" w:eastAsia="仿宋_GB2312"/>
          <w:color w:val="000000"/>
          <w:sz w:val="32"/>
          <w:szCs w:val="32"/>
          <w:shd w:val="clear" w:color="auto" w:fill="auto"/>
          <w:lang w:val="en-US" w:eastAsia="zh-CN"/>
        </w:rPr>
        <w:t>92.8</w:t>
      </w:r>
      <w:r>
        <w:rPr>
          <w:rFonts w:hint="eastAsia" w:ascii="仿宋_GB2312" w:eastAsia="仿宋_GB2312"/>
          <w:color w:val="000000"/>
          <w:sz w:val="32"/>
          <w:szCs w:val="32"/>
          <w:shd w:val="clear" w:color="auto" w:fill="auto"/>
        </w:rPr>
        <w:t>%；政府性基金预算财政拨款收入</w:t>
      </w:r>
      <w:r>
        <w:rPr>
          <w:rFonts w:hint="eastAsia" w:ascii="仿宋_GB2312" w:eastAsia="仿宋_GB2312"/>
          <w:color w:val="000000"/>
          <w:sz w:val="32"/>
          <w:szCs w:val="32"/>
          <w:shd w:val="clear" w:color="auto" w:fill="auto"/>
          <w:lang w:val="en-US" w:eastAsia="zh-CN"/>
        </w:rPr>
        <w:t>31</w:t>
      </w:r>
      <w:r>
        <w:rPr>
          <w:rFonts w:hint="eastAsia" w:ascii="仿宋_GB2312" w:eastAsia="仿宋_GB2312"/>
          <w:color w:val="000000"/>
          <w:sz w:val="32"/>
          <w:szCs w:val="32"/>
          <w:shd w:val="clear" w:color="auto" w:fill="auto"/>
        </w:rPr>
        <w:t>万元，占</w:t>
      </w:r>
      <w:r>
        <w:rPr>
          <w:rFonts w:hint="eastAsia" w:ascii="仿宋_GB2312" w:eastAsia="仿宋_GB2312"/>
          <w:color w:val="000000"/>
          <w:sz w:val="32"/>
          <w:szCs w:val="32"/>
          <w:shd w:val="clear" w:color="auto" w:fill="auto"/>
          <w:lang w:val="en-US" w:eastAsia="zh-CN"/>
        </w:rPr>
        <w:t>7.2</w:t>
      </w:r>
      <w:r>
        <w:rPr>
          <w:rFonts w:hint="eastAsia" w:ascii="仿宋_GB2312" w:eastAsia="仿宋_GB2312"/>
          <w:color w:val="000000"/>
          <w:sz w:val="32"/>
          <w:szCs w:val="32"/>
          <w:shd w:val="clear" w:color="auto" w:fill="auto"/>
        </w:rPr>
        <w:t>%；国有资本经营预算财政拨款收入</w:t>
      </w:r>
      <w:r>
        <w:rPr>
          <w:rFonts w:hint="eastAsia" w:ascii="仿宋_GB2312" w:eastAsia="仿宋_GB2312"/>
          <w:color w:val="000000"/>
          <w:sz w:val="32"/>
          <w:szCs w:val="32"/>
          <w:shd w:val="clear" w:color="auto" w:fill="auto"/>
          <w:lang w:val="en-US" w:eastAsia="zh-CN"/>
        </w:rPr>
        <w:t>0</w:t>
      </w:r>
      <w:r>
        <w:rPr>
          <w:rFonts w:hint="eastAsia" w:ascii="仿宋_GB2312" w:eastAsia="仿宋_GB2312"/>
          <w:color w:val="000000"/>
          <w:sz w:val="32"/>
          <w:szCs w:val="32"/>
          <w:shd w:val="clear" w:color="auto" w:fill="auto"/>
        </w:rPr>
        <w:t>万元，占</w:t>
      </w:r>
      <w:r>
        <w:rPr>
          <w:rFonts w:hint="eastAsia" w:ascii="仿宋_GB2312" w:eastAsia="仿宋_GB2312"/>
          <w:color w:val="000000"/>
          <w:sz w:val="32"/>
          <w:szCs w:val="32"/>
          <w:shd w:val="clear" w:color="auto" w:fill="auto"/>
          <w:lang w:val="en-US" w:eastAsia="zh-CN"/>
        </w:rPr>
        <w:t>0</w:t>
      </w:r>
      <w:r>
        <w:rPr>
          <w:rFonts w:hint="eastAsia" w:ascii="仿宋_GB2312" w:eastAsia="仿宋_GB2312"/>
          <w:color w:val="000000"/>
          <w:sz w:val="32"/>
          <w:szCs w:val="32"/>
          <w:shd w:val="clear" w:color="auto" w:fill="auto"/>
        </w:rPr>
        <w:t>%；</w:t>
      </w:r>
      <w:r>
        <w:rPr>
          <w:rFonts w:hint="eastAsia" w:ascii="仿宋_GB2312" w:eastAsia="仿宋_GB2312"/>
          <w:color w:val="000000"/>
          <w:sz w:val="32"/>
          <w:szCs w:val="32"/>
        </w:rPr>
        <w:t>事业收入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%；经营收入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%；附属单位上缴收入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%；其他收入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spacing w:line="60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区残联</w:t>
      </w:r>
      <w:r>
        <w:rPr>
          <w:rFonts w:hint="eastAsia" w:ascii="仿宋_GB2312" w:eastAsia="仿宋_GB2312"/>
          <w:color w:val="000000"/>
          <w:sz w:val="32"/>
          <w:szCs w:val="32"/>
        </w:rPr>
        <w:t>本年支出合计</w:t>
      </w:r>
      <w:r>
        <w:rPr>
          <w:rFonts w:hint="eastAsia" w:ascii="仿宋_GB2312" w:eastAsia="仿宋_GB2312"/>
          <w:color w:val="000000"/>
          <w:sz w:val="32"/>
          <w:szCs w:val="32"/>
          <w:lang w:val="en-US" w:eastAsia="zh-CN"/>
        </w:rPr>
        <w:t>438.56</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132.79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30.28</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305.76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69.72</w:t>
      </w:r>
      <w:r>
        <w:rPr>
          <w:rFonts w:hint="eastAsia" w:ascii="仿宋_GB2312" w:eastAsia="仿宋_GB2312"/>
          <w:color w:val="000000"/>
          <w:sz w:val="32"/>
          <w:szCs w:val="32"/>
        </w:rPr>
        <w:t>%；上缴上级支出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%；经营支出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%；对附属单位补助支出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600" w:lineRule="atLeast"/>
        <w:ind w:firstLine="640" w:firstLineChars="200"/>
        <w:rPr>
          <w:rFonts w:ascii="仿宋_GB2312" w:eastAsia="仿宋_GB2312"/>
          <w:b/>
          <w:color w:val="000000"/>
          <w:sz w:val="32"/>
          <w:szCs w:val="32"/>
          <w:highlight w:val="yellow"/>
        </w:rPr>
      </w:pPr>
      <w:r>
        <w:rPr>
          <w:rFonts w:hint="eastAsia" w:ascii="仿宋_GB2312" w:eastAsia="仿宋_GB2312"/>
          <w:color w:val="000000"/>
          <w:sz w:val="32"/>
          <w:szCs w:val="32"/>
        </w:rPr>
        <w:t>按照预算绩效管理要求，本部门对201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sz w:val="32"/>
          <w:szCs w:val="32"/>
        </w:rPr>
        <w:t>一般公共预算项目支出开展了绩效目标管理，共编制绩效目标</w:t>
      </w:r>
      <w:r>
        <w:rPr>
          <w:rFonts w:hint="eastAsia" w:ascii="仿宋_GB2312" w:eastAsia="仿宋_GB2312"/>
          <w:sz w:val="32"/>
          <w:szCs w:val="32"/>
          <w:lang w:val="en-US" w:eastAsia="zh-CN"/>
        </w:rPr>
        <w:t>14</w:t>
      </w:r>
      <w:r>
        <w:rPr>
          <w:rFonts w:hint="eastAsia" w:ascii="仿宋_GB2312" w:eastAsia="仿宋_GB2312"/>
          <w:sz w:val="32"/>
          <w:szCs w:val="32"/>
        </w:rPr>
        <w:t>个，覆盖率达到</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全年来，我会</w:t>
      </w:r>
      <w:r>
        <w:rPr>
          <w:rFonts w:hint="eastAsia" w:ascii="仿宋_GB2312" w:eastAsia="仿宋_GB2312"/>
          <w:sz w:val="32"/>
          <w:szCs w:val="32"/>
        </w:rPr>
        <w:t>开展了项目绩效自评，</w:t>
      </w:r>
      <w:r>
        <w:rPr>
          <w:rFonts w:hint="eastAsia" w:ascii="仿宋_GB2312" w:eastAsia="仿宋_GB2312"/>
          <w:sz w:val="32"/>
          <w:szCs w:val="32"/>
          <w:lang w:eastAsia="zh-CN"/>
        </w:rPr>
        <w:t>并将</w:t>
      </w:r>
      <w:r>
        <w:rPr>
          <w:rFonts w:hint="eastAsia" w:ascii="仿宋_GB2312" w:eastAsia="仿宋_GB2312"/>
          <w:sz w:val="32"/>
          <w:szCs w:val="32"/>
        </w:rPr>
        <w:t>自评结果得分</w:t>
      </w:r>
      <w:r>
        <w:rPr>
          <w:rFonts w:hint="eastAsia" w:ascii="仿宋_GB2312" w:eastAsia="仿宋_GB2312"/>
          <w:sz w:val="32"/>
          <w:szCs w:val="32"/>
          <w:lang w:eastAsia="zh-CN"/>
        </w:rPr>
        <w:t>在办公室予以公示，我会领导通过谈心、帮扶结对等方式将职工</w:t>
      </w:r>
      <w:r>
        <w:rPr>
          <w:rFonts w:hint="eastAsia" w:ascii="仿宋_GB2312" w:eastAsia="仿宋_GB2312"/>
          <w:sz w:val="32"/>
          <w:szCs w:val="32"/>
        </w:rPr>
        <w:t>存在的问题</w:t>
      </w:r>
      <w:r>
        <w:rPr>
          <w:rFonts w:hint="eastAsia" w:ascii="仿宋_GB2312" w:eastAsia="仿宋_GB2312"/>
          <w:sz w:val="32"/>
          <w:szCs w:val="32"/>
          <w:lang w:eastAsia="zh-CN"/>
        </w:rPr>
        <w:t>以轻松积极的方式解决，职工也通过相关</w:t>
      </w:r>
      <w:r>
        <w:rPr>
          <w:rFonts w:hint="eastAsia" w:ascii="仿宋_GB2312" w:eastAsia="仿宋_GB2312"/>
          <w:sz w:val="32"/>
          <w:szCs w:val="32"/>
        </w:rPr>
        <w:t>整改措施</w:t>
      </w:r>
      <w:r>
        <w:rPr>
          <w:rFonts w:hint="eastAsia" w:ascii="仿宋_GB2312" w:eastAsia="仿宋_GB2312"/>
          <w:sz w:val="32"/>
          <w:szCs w:val="32"/>
          <w:lang w:eastAsia="zh-CN"/>
        </w:rPr>
        <w:t>不断学习，将落实情况融入到政治思想、脱贫攻坚、业务工作中去</w:t>
      </w:r>
      <w:r>
        <w:rPr>
          <w:rFonts w:hint="eastAsia" w:ascii="仿宋_GB2312" w:eastAsia="仿宋_GB2312"/>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600" w:lineRule="atLeast"/>
        <w:ind w:firstLine="640" w:firstLineChars="200"/>
        <w:rPr>
          <w:rFonts w:hint="eastAsia" w:ascii="仿宋_GB2312" w:eastAsia="仿宋_GB2312"/>
          <w:b/>
          <w:color w:val="000000"/>
          <w:sz w:val="32"/>
          <w:szCs w:val="32"/>
          <w:lang w:eastAsia="zh-CN"/>
        </w:rPr>
      </w:pPr>
      <w:r>
        <w:rPr>
          <w:rFonts w:hint="eastAsia" w:ascii="仿宋_GB2312" w:eastAsia="仿宋_GB2312"/>
          <w:color w:val="000000"/>
          <w:sz w:val="32"/>
          <w:szCs w:val="32"/>
        </w:rPr>
        <w:t>按照预算绩效管理要求，本部门对201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97</w:t>
      </w:r>
      <w:r>
        <w:rPr>
          <w:rFonts w:hint="eastAsia" w:ascii="仿宋_GB2312" w:eastAsia="仿宋_GB2312"/>
          <w:color w:val="000000"/>
          <w:sz w:val="32"/>
          <w:szCs w:val="32"/>
        </w:rPr>
        <w:t>分</w:t>
      </w:r>
      <w:r>
        <w:rPr>
          <w:rFonts w:hint="eastAsia" w:ascii="仿宋_GB2312" w:eastAsia="仿宋_GB2312"/>
          <w:color w:val="000000"/>
          <w:sz w:val="32"/>
          <w:szCs w:val="32"/>
          <w:lang w:eastAsia="zh-CN"/>
        </w:rPr>
        <w:t>。</w:t>
      </w:r>
    </w:p>
    <w:tbl>
      <w:tblPr>
        <w:tblStyle w:val="13"/>
        <w:tblW w:w="0" w:type="auto"/>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民生工程完成情况</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52"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bl>
    <w:p>
      <w:pPr>
        <w:spacing w:line="600" w:lineRule="atLeast"/>
        <w:ind w:firstLine="643" w:firstLineChars="200"/>
        <w:rPr>
          <w:rFonts w:hint="eastAsia" w:ascii="仿宋_GB2312" w:eastAsia="仿宋_GB2312"/>
          <w:b/>
          <w:color w:val="000000"/>
          <w:sz w:val="32"/>
          <w:szCs w:val="32"/>
          <w:lang w:eastAsia="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r>
        <w:rPr>
          <w:rFonts w:hint="eastAsia" w:ascii="仿宋_GB2312" w:eastAsia="仿宋_GB2312"/>
          <w:color w:val="000000"/>
          <w:sz w:val="32"/>
          <w:szCs w:val="32"/>
          <w:lang w:eastAsia="zh-CN"/>
        </w:rPr>
        <w:t>主要</w:t>
      </w:r>
      <w:r>
        <w:rPr>
          <w:rFonts w:hint="eastAsia" w:ascii="仿宋_GB2312" w:eastAsia="仿宋_GB2312"/>
          <w:color w:val="000000"/>
          <w:sz w:val="32"/>
          <w:szCs w:val="32"/>
        </w:rPr>
        <w:t>是</w:t>
      </w:r>
      <w:r>
        <w:rPr>
          <w:rFonts w:hint="eastAsia" w:ascii="仿宋_GB2312" w:eastAsia="仿宋_GB2312"/>
          <w:color w:val="000000"/>
          <w:sz w:val="32"/>
          <w:szCs w:val="32"/>
          <w:lang w:eastAsia="zh-CN"/>
        </w:rPr>
        <w:t>业务能力待进一步提升，在绩效信息加强公开及时性，加强人才的培养。</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r>
        <w:rPr>
          <w:rFonts w:hint="eastAsia" w:ascii="仿宋_GB2312" w:eastAsia="仿宋_GB2312"/>
          <w:color w:val="000000"/>
          <w:sz w:val="32"/>
          <w:szCs w:val="32"/>
          <w:lang w:eastAsia="zh-CN"/>
        </w:rPr>
        <w:t>资料装订不规范。</w:t>
      </w:r>
    </w:p>
    <w:p>
      <w:pPr>
        <w:spacing w:line="600" w:lineRule="atLeast"/>
        <w:ind w:firstLine="640" w:firstLineChars="200"/>
        <w:rPr>
          <w:rFonts w:hint="eastAsia" w:ascii="黑体" w:hAnsi="黑体" w:eastAsia="黑体" w:cs="黑体"/>
          <w:sz w:val="32"/>
          <w:szCs w:val="32"/>
        </w:rPr>
      </w:pPr>
      <w:r>
        <w:rPr>
          <w:rFonts w:hint="eastAsia" w:ascii="仿宋_GB2312" w:hAnsi="宋体" w:eastAsia="仿宋_GB2312" w:cs="宋体"/>
          <w:color w:val="000000"/>
          <w:kern w:val="0"/>
          <w:sz w:val="32"/>
          <w:szCs w:val="32"/>
          <w:shd w:val="clear" w:color="auto" w:fill="FFFFFF"/>
          <w:lang w:val="zh-CN"/>
        </w:rPr>
        <w:t>（三）改进建议。</w:t>
      </w:r>
      <w:r>
        <w:rPr>
          <w:rFonts w:hint="default" w:eastAsia="仿宋_GB2312"/>
          <w:sz w:val="32"/>
          <w:szCs w:val="32"/>
        </w:rPr>
        <w:t>是加强队伍建设，全面提高业务素质，确保</w:t>
      </w:r>
      <w:r>
        <w:rPr>
          <w:rFonts w:hint="eastAsia" w:eastAsia="仿宋_GB2312"/>
          <w:sz w:val="32"/>
          <w:szCs w:val="32"/>
          <w:lang w:eastAsia="zh-CN"/>
        </w:rPr>
        <w:t>项目发挥最大的效益，</w:t>
      </w:r>
      <w:r>
        <w:rPr>
          <w:rFonts w:hint="default" w:eastAsia="仿宋_GB2312"/>
          <w:sz w:val="32"/>
          <w:szCs w:val="32"/>
        </w:rPr>
        <w:t>强化基础管理</w:t>
      </w:r>
      <w:r>
        <w:rPr>
          <w:rFonts w:hint="eastAsia" w:eastAsia="仿宋_GB2312"/>
          <w:sz w:val="32"/>
          <w:szCs w:val="32"/>
          <w:lang w:eastAsia="zh-CN"/>
        </w:rPr>
        <w:t>，</w:t>
      </w:r>
      <w:r>
        <w:rPr>
          <w:rFonts w:hint="default" w:eastAsia="仿宋_GB2312"/>
          <w:sz w:val="32"/>
          <w:szCs w:val="32"/>
        </w:rPr>
        <w:t>严格财务管理，确保项目规范化管</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广元市昭化区残疾人联合会</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扶贫对象生活补贴项目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320" w:firstLineChars="100"/>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sz w:val="32"/>
          <w:szCs w:val="32"/>
          <w:lang w:val="en-US" w:eastAsia="zh-CN"/>
        </w:rPr>
        <w:t xml:space="preserve">开展发放残疾人扶贫对象生活补贴，是贯彻落实《中共四川省委关于集中力量打赢扶贫开发攻坚战确保同步全面建成小康社会的决定 》 “率先对残疾人扶贫对象实行生活费补贴，核定其年收入与国定贫困线标准差额，据实发放差额补助，使其年收入达到国定贫困线标准”的政策。根据《关于发放残疾人扶贫对象生活费补贴具体事项的通知》广财社[2016]5号文件精神，于2016年3月实施残疾人扶贫对象生活补贴制度。                          </w:t>
      </w:r>
      <w:r>
        <w:rPr>
          <w:rFonts w:hint="eastAsia" w:ascii="仿宋_GB2312" w:hAnsi="仿宋_GB2312" w:eastAsia="仿宋_GB2312" w:cs="仿宋_GB2312"/>
          <w:color w:val="FF0000"/>
          <w:sz w:val="32"/>
          <w:szCs w:val="32"/>
          <w:lang w:val="en-US" w:eastAsia="zh-CN"/>
        </w:rPr>
        <w:t xml:space="preserve">      </w:t>
      </w:r>
    </w:p>
    <w:p>
      <w:pPr>
        <w:numPr>
          <w:ilvl w:val="0"/>
          <w:numId w:val="0"/>
        </w:numPr>
        <w:adjustRightInd w:val="0"/>
        <w:snapToGrid w:val="0"/>
        <w:spacing w:line="560" w:lineRule="exact"/>
        <w:ind w:firstLine="321"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（一）项目资金申报及批复情况</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val="0"/>
          <w:bCs w:val="0"/>
          <w:sz w:val="32"/>
          <w:szCs w:val="32"/>
          <w:lang w:val="en-US" w:eastAsia="zh-CN"/>
        </w:rPr>
        <w:t>发</w:t>
      </w:r>
      <w:r>
        <w:rPr>
          <w:rFonts w:hint="eastAsia" w:ascii="仿宋_GB2312" w:hAnsi="仿宋_GB2312" w:eastAsia="仿宋_GB2312" w:cs="仿宋_GB2312"/>
          <w:b w:val="0"/>
          <w:bCs w:val="0"/>
          <w:color w:val="000000"/>
          <w:sz w:val="32"/>
          <w:szCs w:val="32"/>
          <w:lang w:val="en-US" w:eastAsia="zh-CN"/>
        </w:rPr>
        <w:t>放残疾人扶贫对象生活</w:t>
      </w:r>
      <w:r>
        <w:rPr>
          <w:rFonts w:hint="eastAsia" w:ascii="仿宋_GB2312" w:hAnsi="仿宋_GB2312" w:eastAsia="仿宋_GB2312" w:cs="仿宋_GB2312"/>
          <w:b w:val="0"/>
          <w:bCs w:val="0"/>
          <w:sz w:val="32"/>
          <w:szCs w:val="32"/>
        </w:rPr>
        <w:t>补贴</w:t>
      </w:r>
      <w:r>
        <w:rPr>
          <w:rFonts w:hint="eastAsia" w:ascii="仿宋_GB2312" w:hAnsi="仿宋_GB2312" w:eastAsia="仿宋_GB2312" w:cs="仿宋_GB2312"/>
          <w:b w:val="0"/>
          <w:bCs w:val="0"/>
          <w:sz w:val="32"/>
          <w:szCs w:val="32"/>
          <w:lang w:val="zh-CN"/>
        </w:rPr>
        <w:t>经费项目于</w:t>
      </w:r>
      <w:r>
        <w:rPr>
          <w:rFonts w:hint="eastAsia" w:ascii="仿宋_GB2312" w:hAnsi="仿宋_GB2312" w:eastAsia="仿宋_GB2312" w:cs="仿宋_GB2312"/>
          <w:b w:val="0"/>
          <w:bCs w:val="0"/>
          <w:sz w:val="32"/>
          <w:szCs w:val="32"/>
        </w:rPr>
        <w:t>2019年年初通过预算申报，由财政预算下达指标，共计</w:t>
      </w:r>
      <w:r>
        <w:rPr>
          <w:rFonts w:hint="eastAsia" w:ascii="仿宋_GB2312" w:hAnsi="仿宋_GB2312" w:eastAsia="仿宋_GB2312" w:cs="仿宋_GB2312"/>
          <w:b w:val="0"/>
          <w:bCs w:val="0"/>
          <w:sz w:val="32"/>
          <w:szCs w:val="32"/>
          <w:lang w:val="en-US" w:eastAsia="zh-CN"/>
        </w:rPr>
        <w:t>60.4</w:t>
      </w:r>
      <w:r>
        <w:rPr>
          <w:rFonts w:hint="eastAsia" w:ascii="仿宋_GB2312" w:hAnsi="仿宋_GB2312" w:eastAsia="仿宋_GB2312" w:cs="仿宋_GB2312"/>
          <w:b w:val="0"/>
          <w:bCs w:val="0"/>
          <w:sz w:val="32"/>
          <w:szCs w:val="32"/>
        </w:rPr>
        <w:t>万元。</w:t>
      </w:r>
    </w:p>
    <w:p>
      <w:pPr>
        <w:numPr>
          <w:ilvl w:val="0"/>
          <w:numId w:val="0"/>
        </w:numPr>
        <w:adjustRightInd w:val="0"/>
        <w:snapToGrid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（二）项目绩效目标。</w:t>
      </w:r>
      <w:r>
        <w:rPr>
          <w:rFonts w:hint="eastAsia" w:ascii="仿宋_GB2312" w:hAnsi="仿宋_GB2312" w:eastAsia="仿宋_GB2312" w:cs="仿宋_GB2312"/>
          <w:b w:val="0"/>
          <w:bCs w:val="0"/>
          <w:color w:val="000000"/>
          <w:sz w:val="32"/>
          <w:szCs w:val="32"/>
          <w:lang w:val="en-US" w:eastAsia="zh-CN"/>
        </w:rPr>
        <w:t>根据广财社[2016]5号文件规定，发放残疾人扶贫对象生活</w:t>
      </w:r>
      <w:r>
        <w:rPr>
          <w:rFonts w:hint="eastAsia" w:ascii="仿宋_GB2312" w:hAnsi="仿宋_GB2312" w:eastAsia="仿宋_GB2312" w:cs="仿宋_GB2312"/>
          <w:b w:val="0"/>
          <w:bCs w:val="0"/>
          <w:color w:val="000000"/>
          <w:sz w:val="32"/>
          <w:szCs w:val="32"/>
        </w:rPr>
        <w:t>补贴</w:t>
      </w:r>
      <w:r>
        <w:rPr>
          <w:rFonts w:hint="eastAsia" w:ascii="仿宋_GB2312" w:hAnsi="仿宋_GB2312" w:eastAsia="仿宋_GB2312" w:cs="仿宋_GB2312"/>
          <w:b w:val="0"/>
          <w:bCs w:val="0"/>
          <w:color w:val="000000"/>
          <w:sz w:val="32"/>
          <w:szCs w:val="32"/>
          <w:lang w:val="zh-CN"/>
        </w:rPr>
        <w:t>主要用于</w:t>
      </w:r>
      <w:r>
        <w:rPr>
          <w:rFonts w:hint="eastAsia" w:ascii="仿宋_GB2312" w:hAnsi="仿宋_GB2312" w:eastAsia="仿宋_GB2312" w:cs="仿宋_GB2312"/>
          <w:b w:val="0"/>
          <w:bCs w:val="0"/>
          <w:color w:val="000000"/>
          <w:sz w:val="32"/>
          <w:szCs w:val="32"/>
          <w:lang w:val="en-US" w:eastAsia="zh-CN"/>
        </w:rPr>
        <w:t>对2015年底前已经脱贫的建档立卡残疾人，如其个人收入未超过国定贫困线，据实发放扶贫补贴</w:t>
      </w:r>
      <w:r>
        <w:rPr>
          <w:rFonts w:hint="eastAsia" w:ascii="仿宋_GB2312" w:hAnsi="仿宋_GB2312" w:eastAsia="仿宋_GB2312" w:cs="仿宋_GB2312"/>
          <w:b w:val="0"/>
          <w:bCs w:val="0"/>
          <w:color w:val="000000"/>
          <w:sz w:val="32"/>
          <w:szCs w:val="32"/>
          <w:lang w:val="zh-CN"/>
        </w:rPr>
        <w:t>。</w:t>
      </w:r>
      <w:r>
        <w:rPr>
          <w:rFonts w:hint="eastAsia" w:ascii="仿宋_GB2312" w:hAnsi="仿宋_GB2312" w:eastAsia="仿宋_GB2312" w:cs="仿宋_GB2312"/>
          <w:b w:val="0"/>
          <w:bCs w:val="0"/>
          <w:color w:val="000000"/>
          <w:sz w:val="32"/>
          <w:szCs w:val="32"/>
          <w:lang w:val="zh-CN" w:eastAsia="zh-CN"/>
        </w:rPr>
        <w:t>其中，年收入低于1000元的，年补助2000元；年收入低于2000元的，年补助1500元；年收入2001元以上的，年补助1000元。所需资金，按3：1：6的比例由省市县三级财政共同分担，据实结算。</w:t>
      </w:r>
      <w:r>
        <w:rPr>
          <w:rFonts w:hint="eastAsia" w:ascii="仿宋_GB2312" w:hAnsi="仿宋_GB2312" w:eastAsia="仿宋_GB2312" w:cs="仿宋_GB2312"/>
          <w:b w:val="0"/>
          <w:bCs w:val="0"/>
          <w:color w:val="000000"/>
          <w:sz w:val="32"/>
          <w:szCs w:val="32"/>
          <w:lang w:val="zh-CN"/>
        </w:rPr>
        <w:t>目前项目已实施完毕。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项目资金申报相符性</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sz w:val="32"/>
          <w:szCs w:val="32"/>
          <w:lang w:val="zh-CN"/>
        </w:rPr>
        <w:t>项目申报内容与具体实施内容相符、申报目标合理可行。</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仿宋_GB2312" w:hAnsi="仿宋_GB2312" w:eastAsia="仿宋_GB2312" w:cs="仿宋_GB2312"/>
          <w:bCs/>
          <w:sz w:val="32"/>
          <w:szCs w:val="32"/>
          <w:lang w:val="en-US" w:eastAsia="zh-CN"/>
        </w:rPr>
      </w:pPr>
      <w:r>
        <w:rPr>
          <w:rFonts w:hint="eastAsia" w:ascii="楷体_GB2312" w:hAnsi="宋体" w:eastAsia="楷体_GB2312"/>
          <w:sz w:val="32"/>
          <w:szCs w:val="32"/>
          <w:lang w:val="zh-CN"/>
        </w:rPr>
        <w:t>1．资金计划。</w:t>
      </w:r>
      <w:r>
        <w:rPr>
          <w:rFonts w:hint="eastAsia" w:ascii="仿宋_GB2312" w:hAnsi="仿宋_GB2312" w:eastAsia="仿宋_GB2312" w:cs="仿宋_GB2312"/>
          <w:bCs/>
          <w:sz w:val="32"/>
          <w:szCs w:val="32"/>
          <w:lang w:val="en-US" w:eastAsia="zh-CN"/>
        </w:rPr>
        <w:t>2018年残疾人扶贫对象生活补贴实际支付524人，资金共计60.4万元，省财政承担21.68万元、市财政承担6.98万元、区财政承担31.74万元。</w:t>
      </w:r>
    </w:p>
    <w:p>
      <w:pPr>
        <w:adjustRightInd w:val="0"/>
        <w:snapToGrid w:val="0"/>
        <w:spacing w:line="600" w:lineRule="exact"/>
        <w:ind w:firstLine="640" w:firstLineChars="200"/>
        <w:rPr>
          <w:rFonts w:hint="eastAsia" w:ascii="仿宋_GB2312" w:hAnsi="仿宋_GB2312" w:eastAsia="仿宋_GB2312" w:cs="仿宋_GB2312"/>
          <w:bCs/>
          <w:sz w:val="32"/>
          <w:szCs w:val="32"/>
          <w:lang w:val="zh-CN" w:eastAsia="zh-CN"/>
        </w:rPr>
      </w:pPr>
      <w:r>
        <w:rPr>
          <w:rFonts w:hint="eastAsia" w:ascii="楷体_GB2312" w:hAnsi="宋体" w:eastAsia="楷体_GB2312"/>
          <w:sz w:val="32"/>
          <w:szCs w:val="32"/>
          <w:lang w:val="zh-CN"/>
        </w:rPr>
        <w:t>2．资金到位。</w:t>
      </w:r>
      <w:r>
        <w:rPr>
          <w:rFonts w:hint="eastAsia" w:ascii="仿宋_GB2312" w:hAnsi="仿宋_GB2312" w:eastAsia="仿宋_GB2312" w:cs="仿宋_GB2312"/>
          <w:sz w:val="32"/>
          <w:szCs w:val="32"/>
          <w:lang w:val="zh-CN" w:eastAsia="zh-CN"/>
        </w:rPr>
        <w:t>发放残疾人扶贫对象生费活补贴</w:t>
      </w:r>
      <w:r>
        <w:rPr>
          <w:rFonts w:hint="eastAsia" w:ascii="仿宋_GB2312" w:hAnsi="仿宋_GB2312" w:eastAsia="仿宋_GB2312" w:cs="仿宋_GB2312"/>
          <w:bCs/>
          <w:sz w:val="32"/>
          <w:szCs w:val="32"/>
          <w:lang w:val="zh-CN"/>
        </w:rPr>
        <w:t>经费于</w:t>
      </w:r>
      <w:r>
        <w:rPr>
          <w:rFonts w:hint="eastAsia" w:ascii="仿宋_GB2312" w:hAnsi="仿宋_GB2312" w:eastAsia="仿宋_GB2312" w:cs="仿宋_GB2312"/>
          <w:bCs/>
          <w:sz w:val="32"/>
          <w:szCs w:val="32"/>
        </w:rPr>
        <w:t>2019年全部及时到位，到位率 100%，全部由区财政全额预算</w:t>
      </w:r>
      <w:r>
        <w:rPr>
          <w:rFonts w:hint="eastAsia" w:ascii="仿宋_GB2312" w:hAnsi="仿宋_GB2312" w:eastAsia="仿宋_GB2312" w:cs="仿宋_GB2312"/>
          <w:bCs/>
          <w:sz w:val="32"/>
          <w:szCs w:val="32"/>
          <w:lang w:eastAsia="zh-CN"/>
        </w:rPr>
        <w:t>。</w:t>
      </w:r>
    </w:p>
    <w:p>
      <w:pPr>
        <w:spacing w:line="600" w:lineRule="exact"/>
        <w:ind w:firstLine="614" w:firstLineChars="192"/>
        <w:rPr>
          <w:rFonts w:hint="eastAsia" w:ascii="宋体" w:hAnsi="宋体"/>
          <w:bCs/>
          <w:sz w:val="30"/>
          <w:szCs w:val="30"/>
          <w:lang w:val="en-US" w:eastAsia="zh-CN"/>
        </w:rPr>
      </w:pPr>
      <w:r>
        <w:rPr>
          <w:rFonts w:hint="eastAsia" w:ascii="楷体_GB2312" w:hAnsi="宋体" w:eastAsia="楷体_GB2312"/>
          <w:sz w:val="32"/>
          <w:szCs w:val="32"/>
          <w:lang w:val="zh-CN"/>
        </w:rPr>
        <w:t>3．资金使用。</w:t>
      </w:r>
      <w:r>
        <w:rPr>
          <w:rFonts w:hint="eastAsia" w:ascii="仿宋_GB2312" w:hAnsi="仿宋_GB2312" w:eastAsia="仿宋_GB2312" w:cs="仿宋_GB2312"/>
          <w:sz w:val="32"/>
          <w:szCs w:val="32"/>
          <w:lang w:val="zh-CN" w:eastAsia="zh-CN"/>
        </w:rPr>
        <w:t>发放残疾人扶贫对象生费活补贴</w:t>
      </w:r>
      <w:r>
        <w:rPr>
          <w:rFonts w:hint="eastAsia" w:ascii="仿宋_GB2312" w:hAnsi="仿宋_GB2312" w:eastAsia="仿宋_GB2312" w:cs="仿宋_GB2312"/>
          <w:bCs/>
          <w:sz w:val="32"/>
          <w:szCs w:val="32"/>
          <w:lang w:val="zh-CN"/>
        </w:rPr>
        <w:t>经费</w:t>
      </w:r>
      <w:r>
        <w:rPr>
          <w:rFonts w:hint="eastAsia" w:ascii="仿宋_GB2312" w:hAnsi="仿宋_GB2312" w:eastAsia="仿宋_GB2312" w:cs="仿宋_GB2312"/>
          <w:bCs/>
          <w:sz w:val="32"/>
          <w:szCs w:val="32"/>
        </w:rPr>
        <w:t>实际支出</w:t>
      </w:r>
      <w:r>
        <w:rPr>
          <w:rFonts w:hint="eastAsia" w:ascii="仿宋_GB2312" w:hAnsi="仿宋_GB2312" w:eastAsia="仿宋_GB2312" w:cs="仿宋_GB2312"/>
          <w:bCs/>
          <w:sz w:val="32"/>
          <w:szCs w:val="32"/>
          <w:lang w:val="en-US" w:eastAsia="zh-CN"/>
        </w:rPr>
        <w:t>60.4</w:t>
      </w:r>
      <w:r>
        <w:rPr>
          <w:rFonts w:hint="eastAsia" w:ascii="仿宋_GB2312" w:hAnsi="仿宋_GB2312" w:eastAsia="仿宋_GB2312" w:cs="仿宋_GB2312"/>
          <w:bCs/>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资金开支范围：对核定符合条件的残疾人发放</w:t>
      </w:r>
      <w:r>
        <w:rPr>
          <w:rFonts w:hint="eastAsia" w:ascii="仿宋_GB2312" w:hAnsi="仿宋_GB2312" w:eastAsia="仿宋_GB2312" w:cs="仿宋_GB2312"/>
          <w:sz w:val="32"/>
          <w:szCs w:val="32"/>
          <w:lang w:val="zh-CN" w:eastAsia="zh-CN"/>
        </w:rPr>
        <w:t>残疾人扶贫对象生费活补贴</w:t>
      </w:r>
      <w:r>
        <w:rPr>
          <w:rFonts w:hint="eastAsia" w:ascii="仿宋_GB2312" w:hAnsi="仿宋_GB2312" w:eastAsia="仿宋_GB2312" w:cs="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eastAsia="仿宋_GB2312"/>
          <w:sz w:val="32"/>
          <w:szCs w:val="32"/>
          <w:lang w:val="en-US" w:eastAsia="zh-CN"/>
        </w:rPr>
      </w:pPr>
      <w:r>
        <w:rPr>
          <w:rFonts w:hint="eastAsia" w:eastAsia="仿宋_GB2312"/>
          <w:sz w:val="32"/>
          <w:szCs w:val="32"/>
          <w:lang w:val="en-US" w:eastAsia="zh-CN"/>
        </w:rPr>
        <w:t>项目财务管理制度</w:t>
      </w:r>
      <w:r>
        <w:rPr>
          <w:rFonts w:hint="eastAsia" w:ascii="仿宋_GB2312" w:hAnsi="仿宋_GB2312" w:eastAsia="仿宋_GB2312" w:cs="仿宋_GB2312"/>
          <w:sz w:val="32"/>
          <w:szCs w:val="32"/>
          <w:lang w:val="en-US" w:eastAsia="zh-CN"/>
        </w:rPr>
        <w:t>严格按照我会“三定”方案中所赋予的职责职能承担年度日常工作和重点工作。</w:t>
      </w:r>
      <w:r>
        <w:rPr>
          <w:rFonts w:hint="eastAsia" w:eastAsia="仿宋_GB2312"/>
          <w:sz w:val="32"/>
          <w:szCs w:val="32"/>
          <w:lang w:val="en-US" w:eastAsia="zh-CN"/>
        </w:rPr>
        <w:t>对照项目资金管理办法，项目严格执行了财务管理制度、财务处理及时、会计核算规范。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320" w:firstLineChars="100"/>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根据广财社[2016]5号文件规定，对2015年底前已经脱贫的建档立卡残疾人，如其个人收入未超过国定贫困线，据实发放扶贫补贴；对当年新办证的建档立卡残疾人、新纳入建档立卡的残疾人、不再享受低保的建档立卡残疾人，符合条件的据实发放扶贫补贴。扶贫补贴标准一次核定，2016－2020年五年有效，在2020年底前保持扶贫补贴标准不减。但在此期间，如被纳入低保制度而相应领取低保补助和困难残疾人生活补贴的，则不再发放扶贫补贴。</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320" w:firstLineChars="1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月30日</w:t>
      </w:r>
      <w:r>
        <w:rPr>
          <w:rFonts w:hint="eastAsia" w:ascii="仿宋_GB2312" w:hAnsi="仿宋_GB2312" w:eastAsia="仿宋_GB2312" w:cs="仿宋_GB2312"/>
          <w:sz w:val="32"/>
          <w:szCs w:val="32"/>
          <w:lang w:val="zh-CN"/>
        </w:rPr>
        <w:t>实际发放完成额</w:t>
      </w:r>
      <w:r>
        <w:rPr>
          <w:rFonts w:hint="eastAsia" w:ascii="仿宋_GB2312" w:hAnsi="仿宋_GB2312" w:eastAsia="仿宋_GB2312" w:cs="仿宋_GB2312"/>
          <w:sz w:val="32"/>
          <w:szCs w:val="32"/>
          <w:lang w:val="en-US" w:eastAsia="zh-CN"/>
        </w:rPr>
        <w:t>60.4</w:t>
      </w:r>
      <w:r>
        <w:rPr>
          <w:rFonts w:hint="eastAsia" w:ascii="仿宋_GB2312" w:hAnsi="仿宋_GB2312" w:eastAsia="仿宋_GB2312" w:cs="仿宋_GB2312"/>
          <w:sz w:val="32"/>
          <w:szCs w:val="32"/>
        </w:rPr>
        <w:t>万元，并全部完成绩效目标</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该项目增加了建档立卡贫困残疾人的收入，改善了生活状况，发放服务对象满意度达</w:t>
      </w:r>
      <w:r>
        <w:rPr>
          <w:rFonts w:hint="eastAsia" w:ascii="仿宋_GB2312" w:hAnsi="宋体" w:eastAsia="仿宋_GB2312"/>
          <w:sz w:val="32"/>
          <w:szCs w:val="32"/>
          <w:lang w:val="en-US" w:eastAsia="zh-CN"/>
        </w:rPr>
        <w:t>98%</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560" w:firstLineChars="200"/>
        <w:rPr>
          <w:rFonts w:ascii="仿宋_GB2312" w:hAnsi="宋体" w:eastAsia="仿宋_GB2312"/>
          <w:sz w:val="32"/>
          <w:szCs w:val="32"/>
          <w:bdr w:val="single" w:color="auto" w:sz="4" w:space="0"/>
          <w:lang w:val="zh-CN"/>
        </w:rPr>
      </w:pPr>
      <w:r>
        <w:rPr>
          <w:rFonts w:hint="eastAsia" w:ascii="仿宋_GB2312" w:hAnsi="仿宋"/>
          <w:sz w:val="28"/>
          <w:szCs w:val="28"/>
        </w:rPr>
        <w:t>该项目的绩效目标基本明确，绩效目标完整、决策依据充分</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textAlignment w:val="auto"/>
        <w:outlineLvl w:val="9"/>
        <w:rPr>
          <w:rFonts w:ascii="仿宋_GB2312" w:hAnsi="宋体" w:eastAsia="仿宋_GB2312"/>
          <w:sz w:val="32"/>
          <w:szCs w:val="32"/>
          <w:lang w:val="zh-CN"/>
        </w:rPr>
      </w:pPr>
      <w:r>
        <w:rPr>
          <w:rFonts w:hint="eastAsia" w:ascii="仿宋_GB2312" w:hAnsi="仿宋_GB2312" w:eastAsia="仿宋_GB2312" w:cs="仿宋_GB2312"/>
          <w:b w:val="0"/>
          <w:bCs w:val="0"/>
          <w:color w:val="000000"/>
          <w:sz w:val="32"/>
          <w:szCs w:val="32"/>
          <w:lang w:val="en-US" w:eastAsia="zh-CN"/>
        </w:rPr>
        <w:t>乡、村残联干部身兼数职，没有足够的时间来从事残联工作，导致对残疾人动态信息掌握不准，对政策理解度不够，对建档立卡残疾人死亡、退出扶贫系统等情况不及时上报，导致非扶贫户残疾人领取扶贫对象生活补贴。</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建议民政、卫计、公安、人社部门建立死亡人员的动态管理共享信息系统，有助于各项业务信息准确。</w:t>
      </w:r>
      <w:r>
        <w:rPr>
          <w:rFonts w:hint="eastAsia" w:ascii="仿宋_GB2312" w:hAnsi="仿宋_GB2312" w:eastAsia="仿宋_GB2312" w:cs="仿宋_GB2312"/>
          <w:sz w:val="32"/>
          <w:szCs w:val="32"/>
          <w:lang w:val="en-US" w:eastAsia="zh-CN"/>
        </w:rPr>
        <w:br w:type="textWrapping"/>
      </w: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B5627"/>
    <w:multiLevelType w:val="singleLevel"/>
    <w:tmpl w:val="AAEB5627"/>
    <w:lvl w:ilvl="0" w:tentative="0">
      <w:start w:val="4"/>
      <w:numFmt w:val="chineseCounting"/>
      <w:suff w:val="nothing"/>
      <w:lvlText w:val="（%1）"/>
      <w:lvlJc w:val="left"/>
      <w:rPr>
        <w:rFonts w:hint="eastAsia"/>
      </w:rPr>
    </w:lvl>
  </w:abstractNum>
  <w:abstractNum w:abstractNumId="1">
    <w:nsid w:val="B89A114A"/>
    <w:multiLevelType w:val="singleLevel"/>
    <w:tmpl w:val="B89A114A"/>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252261"/>
    <w:rsid w:val="034526B2"/>
    <w:rsid w:val="057B7B19"/>
    <w:rsid w:val="10C055FF"/>
    <w:rsid w:val="16BB723D"/>
    <w:rsid w:val="22737B6F"/>
    <w:rsid w:val="240371BF"/>
    <w:rsid w:val="25070B25"/>
    <w:rsid w:val="29FD04D3"/>
    <w:rsid w:val="319F7F4E"/>
    <w:rsid w:val="3AAD0326"/>
    <w:rsid w:val="43BD586B"/>
    <w:rsid w:val="44A76A45"/>
    <w:rsid w:val="4ECE2238"/>
    <w:rsid w:val="60CB2DA0"/>
    <w:rsid w:val="66BE4AA5"/>
    <w:rsid w:val="67493FD1"/>
    <w:rsid w:val="67F36149"/>
    <w:rsid w:val="6F640492"/>
    <w:rsid w:val="7082198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0</TotalTime>
  <ScaleCrop>false</ScaleCrop>
  <LinksUpToDate>false</LinksUpToDate>
  <CharactersWithSpaces>8536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2013-01-01T05:19:45Z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F27EEBD5A16345D2994EABCD3CCD352A</vt:lpwstr>
  </property>
</Properties>
</file>