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D9478D6">
      <w:pPr>
        <w:snapToGrid w:val="0"/>
        <w:spacing w:beforeLines="0" w:afterLines="0" w:line="1400" w:lineRule="exact"/>
        <w:jc w:val="center"/>
        <w:rPr>
          <w:rFonts w:hint="default"/>
          <w:b/>
          <w:color w:val="000000"/>
          <w:spacing w:val="-34"/>
          <w:kern w:val="2"/>
          <w:sz w:val="52"/>
          <w:szCs w:val="52"/>
          <w:lang w:val="zh-CN"/>
        </w:rPr>
      </w:pPr>
      <w:r>
        <w:rPr>
          <w:rFonts w:hint="default"/>
          <w:b/>
          <w:color w:val="000000"/>
          <w:spacing w:val="-34"/>
          <w:kern w:val="2"/>
          <w:sz w:val="52"/>
          <w:szCs w:val="52"/>
          <w:lang w:val="zh-CN"/>
        </w:rPr>
        <w:t>四川省广元市昭化区太公镇人民政府</w:t>
      </w:r>
    </w:p>
    <w:p w14:paraId="1CC9D239">
      <w:pPr>
        <w:snapToGrid w:val="0"/>
        <w:spacing w:beforeLines="0" w:afterLines="0" w:line="1400" w:lineRule="exact"/>
        <w:jc w:val="center"/>
        <w:rPr>
          <w:rFonts w:hint="default"/>
          <w:color w:val="000000"/>
          <w:spacing w:val="-34"/>
          <w:kern w:val="2"/>
          <w:sz w:val="72"/>
          <w:szCs w:val="24"/>
          <w:lang w:val="zh-CN"/>
        </w:rPr>
      </w:pPr>
      <w:r>
        <w:rPr>
          <w:rFonts w:hint="eastAsia" w:ascii="Times New Roman" w:eastAsia="方正小标宋简体"/>
          <w:color w:val="000000"/>
          <w:kern w:val="2"/>
          <w:sz w:val="72"/>
          <w:szCs w:val="24"/>
          <w:lang w:val="zh-CN"/>
        </w:rPr>
        <w:t>2023年度</w:t>
      </w:r>
      <w:bookmarkStart w:id="51" w:name="_GoBack"/>
      <w:bookmarkEnd w:id="51"/>
    </w:p>
    <w:p w14:paraId="6980C8BC">
      <w:pPr>
        <w:pStyle w:val="2"/>
        <w:spacing w:beforeLines="0" w:afterLines="0"/>
        <w:rPr>
          <w:rFonts w:hint="default" w:ascii="宋体" w:hAnsi="Times New Roman"/>
          <w:sz w:val="21"/>
          <w:szCs w:val="24"/>
          <w:lang w:val="zh-CN"/>
        </w:rPr>
      </w:pPr>
    </w:p>
    <w:p w14:paraId="7EE4E2F3">
      <w:pPr>
        <w:snapToGrid w:val="0"/>
        <w:spacing w:beforeLines="0" w:afterLines="0" w:line="1400" w:lineRule="exact"/>
        <w:jc w:val="center"/>
        <w:rPr>
          <w:rFonts w:hint="eastAsia" w:ascii="Times New Roman" w:eastAsia="方正小标宋简体"/>
          <w:color w:val="000000"/>
          <w:kern w:val="2"/>
          <w:sz w:val="72"/>
          <w:szCs w:val="24"/>
          <w:lang w:val="zh-CN"/>
        </w:rPr>
      </w:pPr>
      <w:r>
        <w:rPr>
          <w:rFonts w:hint="eastAsia" w:ascii="Times New Roman" w:eastAsia="方正小标宋简体"/>
          <w:color w:val="000000"/>
          <w:kern w:val="2"/>
          <w:sz w:val="72"/>
          <w:szCs w:val="24"/>
          <w:lang w:val="zh-CN"/>
        </w:rPr>
        <w:t>部</w:t>
      </w:r>
    </w:p>
    <w:p w14:paraId="622DB0AF">
      <w:pPr>
        <w:snapToGrid w:val="0"/>
        <w:spacing w:beforeLines="0" w:afterLines="0" w:line="1400" w:lineRule="exact"/>
        <w:jc w:val="center"/>
        <w:rPr>
          <w:rFonts w:hint="eastAsia" w:ascii="Times New Roman" w:eastAsia="方正小标宋简体"/>
          <w:color w:val="000000"/>
          <w:kern w:val="2"/>
          <w:sz w:val="72"/>
          <w:szCs w:val="24"/>
          <w:lang w:val="zh-CN"/>
        </w:rPr>
      </w:pPr>
      <w:r>
        <w:rPr>
          <w:rFonts w:hint="eastAsia" w:ascii="Times New Roman" w:eastAsia="方正小标宋简体"/>
          <w:color w:val="000000"/>
          <w:kern w:val="2"/>
          <w:sz w:val="72"/>
          <w:szCs w:val="24"/>
          <w:lang w:val="zh-CN"/>
        </w:rPr>
        <w:t>门</w:t>
      </w:r>
    </w:p>
    <w:p w14:paraId="36E733CD">
      <w:pPr>
        <w:snapToGrid w:val="0"/>
        <w:spacing w:beforeLines="0" w:afterLines="0" w:line="1400" w:lineRule="exact"/>
        <w:jc w:val="center"/>
        <w:rPr>
          <w:rFonts w:hint="eastAsia" w:ascii="Times New Roman" w:eastAsia="方正小标宋简体"/>
          <w:color w:val="000000"/>
          <w:kern w:val="2"/>
          <w:sz w:val="72"/>
          <w:szCs w:val="24"/>
          <w:lang w:val="zh-CN"/>
        </w:rPr>
      </w:pPr>
      <w:r>
        <w:rPr>
          <w:rFonts w:hint="eastAsia" w:ascii="Times New Roman" w:eastAsia="方正小标宋简体"/>
          <w:color w:val="000000"/>
          <w:kern w:val="2"/>
          <w:sz w:val="72"/>
          <w:szCs w:val="24"/>
          <w:lang w:val="zh-CN"/>
        </w:rPr>
        <w:t>决</w:t>
      </w:r>
    </w:p>
    <w:p w14:paraId="7876333C">
      <w:pPr>
        <w:snapToGrid w:val="0"/>
        <w:spacing w:beforeLines="0" w:afterLines="0" w:line="1400" w:lineRule="exact"/>
        <w:jc w:val="center"/>
        <w:rPr>
          <w:rFonts w:hint="eastAsia" w:ascii="Times New Roman" w:eastAsia="方正小标宋简体"/>
          <w:color w:val="000000"/>
          <w:kern w:val="2"/>
          <w:sz w:val="72"/>
          <w:szCs w:val="24"/>
          <w:lang w:val="zh-CN"/>
        </w:rPr>
      </w:pPr>
      <w:r>
        <w:rPr>
          <w:rFonts w:hint="eastAsia" w:ascii="Times New Roman" w:eastAsia="方正小标宋简体"/>
          <w:color w:val="000000"/>
          <w:kern w:val="2"/>
          <w:sz w:val="72"/>
          <w:szCs w:val="24"/>
          <w:lang w:val="zh-CN"/>
        </w:rPr>
        <w:t>算</w:t>
      </w:r>
    </w:p>
    <w:p w14:paraId="07D65890">
      <w:pPr>
        <w:snapToGrid w:val="0"/>
        <w:spacing w:beforeLines="0" w:afterLines="0" w:line="1400" w:lineRule="exact"/>
        <w:jc w:val="center"/>
        <w:rPr>
          <w:rFonts w:hint="eastAsia" w:ascii="Times New Roman" w:eastAsia="方正小标宋简体"/>
          <w:color w:val="000000"/>
          <w:kern w:val="2"/>
          <w:sz w:val="72"/>
          <w:szCs w:val="24"/>
          <w:lang w:val="zh-CN"/>
        </w:rPr>
      </w:pPr>
      <w:r>
        <w:rPr>
          <w:rFonts w:hint="eastAsia" w:ascii="Times New Roman" w:eastAsia="方正小标宋简体"/>
          <w:color w:val="000000"/>
          <w:kern w:val="2"/>
          <w:sz w:val="72"/>
          <w:szCs w:val="24"/>
          <w:lang w:val="zh-CN"/>
        </w:rPr>
        <w:t>公</w:t>
      </w:r>
    </w:p>
    <w:p w14:paraId="35230D92">
      <w:pPr>
        <w:snapToGrid w:val="0"/>
        <w:spacing w:beforeLines="0" w:afterLines="0" w:line="1400" w:lineRule="exact"/>
        <w:jc w:val="center"/>
        <w:rPr>
          <w:rFonts w:hint="eastAsia" w:ascii="Times New Roman" w:eastAsia="方正小标宋简体"/>
          <w:color w:val="000000"/>
          <w:kern w:val="2"/>
          <w:sz w:val="72"/>
          <w:szCs w:val="24"/>
          <w:lang w:val="zh-CN"/>
        </w:rPr>
      </w:pPr>
      <w:r>
        <w:rPr>
          <w:rFonts w:hint="eastAsia" w:ascii="Times New Roman" w:eastAsia="方正小标宋简体"/>
          <w:color w:val="000000"/>
          <w:kern w:val="2"/>
          <w:sz w:val="72"/>
          <w:szCs w:val="24"/>
          <w:lang w:val="zh-CN"/>
        </w:rPr>
        <w:t>开</w:t>
      </w:r>
    </w:p>
    <w:p w14:paraId="083B2801">
      <w:pPr>
        <w:keepNext/>
        <w:keepLines/>
        <w:pageBreakBefore/>
        <w:spacing w:line="576" w:lineRule="exact"/>
        <w:jc w:val="center"/>
        <w:rPr>
          <w:rFonts w:hint="eastAsia" w:ascii="Times New Roman" w:eastAsia="黑体"/>
          <w:kern w:val="2"/>
          <w:sz w:val="48"/>
          <w:szCs w:val="24"/>
          <w:lang w:val="zh-CN"/>
        </w:rPr>
      </w:pPr>
      <w:r>
        <w:rPr>
          <w:rFonts w:hint="eastAsia" w:ascii="Times New Roman" w:eastAsia="黑体"/>
          <w:kern w:val="2"/>
          <w:sz w:val="48"/>
          <w:szCs w:val="24"/>
          <w:lang w:val="zh-CN"/>
        </w:rPr>
        <w:t>目   录</w:t>
      </w:r>
    </w:p>
    <w:p w14:paraId="3A66D51C">
      <w:pPr>
        <w:spacing w:before="120" w:beforeLines="50" w:after="480" w:afterLines="200"/>
        <w:jc w:val="center"/>
        <w:rPr>
          <w:rFonts w:hint="eastAsia" w:ascii="Times New Roman" w:eastAsia="楷体_GB2312"/>
          <w:sz w:val="32"/>
          <w:szCs w:val="32"/>
          <w:highlight w:val="yellow"/>
        </w:rPr>
      </w:pPr>
      <w:r>
        <w:rPr>
          <w:rFonts w:hint="eastAsia" w:ascii="Times New Roman" w:eastAsia="楷体_GB2312"/>
          <w:sz w:val="32"/>
          <w:szCs w:val="32"/>
        </w:rPr>
        <w:t>公开时间：2024年9月24日</w:t>
      </w:r>
    </w:p>
    <w:p w14:paraId="36019D25">
      <w:pPr>
        <w:tabs>
          <w:tab w:val="right" w:leader="dot" w:pos="8505"/>
        </w:tabs>
        <w:spacing w:line="576" w:lineRule="exact"/>
        <w:ind w:firstLine="643" w:firstLineChars="200"/>
        <w:rPr>
          <w:rFonts w:hint="eastAsia" w:ascii="Times New Roman" w:eastAsia="仿宋_GB2312"/>
          <w:b/>
          <w:sz w:val="32"/>
          <w:szCs w:val="32"/>
        </w:rPr>
      </w:pPr>
      <w:r>
        <w:rPr>
          <w:rFonts w:hint="eastAsia" w:ascii="Times New Roman" w:eastAsia="仿宋_GB2312"/>
          <w:b/>
          <w:sz w:val="32"/>
          <w:szCs w:val="32"/>
        </w:rPr>
        <w:t>第一部分 部门概况</w:t>
      </w:r>
      <w:r>
        <w:rPr>
          <w:rFonts w:hint="eastAsia" w:ascii="Times New Roman" w:eastAsia="仿宋_GB2312"/>
          <w:b/>
          <w:sz w:val="32"/>
          <w:szCs w:val="32"/>
        </w:rPr>
        <w:tab/>
      </w:r>
      <w:r>
        <w:rPr>
          <w:rFonts w:hint="eastAsia" w:ascii="Times New Roman" w:eastAsia="仿宋_GB2312"/>
          <w:b/>
          <w:sz w:val="32"/>
          <w:szCs w:val="32"/>
        </w:rPr>
        <w:t>1</w:t>
      </w:r>
    </w:p>
    <w:p w14:paraId="3132F4E9">
      <w:pPr>
        <w:tabs>
          <w:tab w:val="right" w:leader="dot" w:pos="8505"/>
        </w:tabs>
        <w:spacing w:line="576" w:lineRule="exact"/>
        <w:ind w:firstLine="640" w:firstLineChars="200"/>
        <w:rPr>
          <w:rFonts w:hint="eastAsia" w:ascii="Times New Roman" w:eastAsia="仿宋_GB2312"/>
          <w:sz w:val="32"/>
          <w:szCs w:val="32"/>
        </w:rPr>
      </w:pPr>
      <w:r>
        <w:rPr>
          <w:rFonts w:hint="eastAsia" w:ascii="Times New Roman" w:eastAsia="仿宋_GB2312"/>
          <w:sz w:val="32"/>
          <w:szCs w:val="32"/>
        </w:rPr>
        <w:t>一、部门职责</w:t>
      </w:r>
      <w:r>
        <w:rPr>
          <w:rFonts w:hint="eastAsia" w:ascii="Times New Roman" w:eastAsia="仿宋_GB2312"/>
          <w:sz w:val="32"/>
          <w:szCs w:val="32"/>
        </w:rPr>
        <w:tab/>
      </w:r>
      <w:r>
        <w:rPr>
          <w:rFonts w:hint="eastAsia" w:ascii="Times New Roman" w:eastAsia="仿宋_GB2312"/>
          <w:sz w:val="32"/>
          <w:szCs w:val="32"/>
        </w:rPr>
        <w:t>1</w:t>
      </w:r>
    </w:p>
    <w:p w14:paraId="7E3CCB76">
      <w:pPr>
        <w:tabs>
          <w:tab w:val="right" w:leader="dot" w:pos="8505"/>
        </w:tabs>
        <w:spacing w:line="576" w:lineRule="exact"/>
        <w:ind w:firstLine="640" w:firstLineChars="200"/>
        <w:rPr>
          <w:rFonts w:hint="eastAsia" w:ascii="Times New Roman" w:eastAsia="仿宋_GB2312"/>
          <w:sz w:val="32"/>
          <w:szCs w:val="32"/>
        </w:rPr>
      </w:pPr>
      <w:r>
        <w:rPr>
          <w:rFonts w:hint="eastAsia" w:ascii="Times New Roman" w:eastAsia="仿宋_GB2312"/>
          <w:sz w:val="32"/>
          <w:szCs w:val="32"/>
        </w:rPr>
        <w:t>二、机构设置</w:t>
      </w:r>
      <w:r>
        <w:rPr>
          <w:rFonts w:hint="eastAsia" w:ascii="Times New Roman" w:eastAsia="仿宋_GB2312"/>
          <w:sz w:val="32"/>
          <w:szCs w:val="32"/>
        </w:rPr>
        <w:tab/>
      </w:r>
      <w:r>
        <w:rPr>
          <w:rFonts w:hint="eastAsia" w:ascii="Times New Roman" w:eastAsia="仿宋_GB2312"/>
          <w:sz w:val="32"/>
          <w:szCs w:val="32"/>
        </w:rPr>
        <w:t>10</w:t>
      </w:r>
    </w:p>
    <w:p w14:paraId="318006C1">
      <w:pPr>
        <w:tabs>
          <w:tab w:val="right" w:leader="dot" w:pos="8505"/>
        </w:tabs>
        <w:spacing w:line="576" w:lineRule="exact"/>
        <w:ind w:firstLine="643" w:firstLineChars="200"/>
        <w:rPr>
          <w:rFonts w:hint="eastAsia" w:ascii="Times New Roman" w:eastAsia="仿宋_GB2312"/>
          <w:b/>
          <w:sz w:val="32"/>
          <w:szCs w:val="32"/>
        </w:rPr>
      </w:pPr>
      <w:r>
        <w:rPr>
          <w:rFonts w:hint="eastAsia" w:ascii="Times New Roman" w:eastAsia="仿宋_GB2312"/>
          <w:b/>
          <w:sz w:val="32"/>
          <w:szCs w:val="32"/>
        </w:rPr>
        <w:t>第二部分 2023年度部门决算情况说明</w:t>
      </w:r>
      <w:r>
        <w:rPr>
          <w:rFonts w:hint="eastAsia" w:ascii="Times New Roman" w:eastAsia="仿宋_GB2312"/>
          <w:b/>
          <w:sz w:val="32"/>
          <w:szCs w:val="32"/>
        </w:rPr>
        <w:tab/>
      </w:r>
      <w:r>
        <w:rPr>
          <w:rFonts w:hint="eastAsia" w:ascii="Times New Roman" w:eastAsia="仿宋_GB2312"/>
          <w:b/>
          <w:sz w:val="32"/>
          <w:szCs w:val="32"/>
        </w:rPr>
        <w:t>12</w:t>
      </w:r>
    </w:p>
    <w:p w14:paraId="2F06BE10">
      <w:pPr>
        <w:tabs>
          <w:tab w:val="right" w:leader="dot" w:pos="8505"/>
        </w:tabs>
        <w:spacing w:line="576" w:lineRule="exact"/>
        <w:ind w:firstLine="640" w:firstLineChars="200"/>
        <w:rPr>
          <w:rFonts w:hint="eastAsia" w:ascii="Times New Roman" w:eastAsia="仿宋_GB2312"/>
          <w:sz w:val="32"/>
          <w:szCs w:val="32"/>
        </w:rPr>
      </w:pPr>
      <w:r>
        <w:rPr>
          <w:rFonts w:hint="eastAsia" w:ascii="Times New Roman" w:eastAsia="仿宋_GB2312"/>
          <w:sz w:val="32"/>
          <w:szCs w:val="32"/>
        </w:rPr>
        <w:t>一、收入支出决算总体情况说明</w:t>
      </w:r>
      <w:r>
        <w:rPr>
          <w:rFonts w:hint="eastAsia" w:ascii="Times New Roman" w:eastAsia="仿宋_GB2312"/>
          <w:sz w:val="32"/>
          <w:szCs w:val="32"/>
        </w:rPr>
        <w:tab/>
      </w:r>
      <w:r>
        <w:rPr>
          <w:rFonts w:hint="eastAsia" w:ascii="Times New Roman" w:eastAsia="仿宋_GB2312"/>
          <w:sz w:val="32"/>
          <w:szCs w:val="32"/>
        </w:rPr>
        <w:t>12</w:t>
      </w:r>
    </w:p>
    <w:p w14:paraId="31C89149">
      <w:pPr>
        <w:tabs>
          <w:tab w:val="right" w:leader="dot" w:pos="8505"/>
        </w:tabs>
        <w:spacing w:line="576" w:lineRule="exact"/>
        <w:ind w:firstLine="640" w:firstLineChars="200"/>
        <w:rPr>
          <w:rFonts w:hint="eastAsia" w:ascii="Times New Roman" w:eastAsia="仿宋_GB2312"/>
          <w:sz w:val="32"/>
          <w:szCs w:val="32"/>
        </w:rPr>
      </w:pPr>
      <w:r>
        <w:rPr>
          <w:rFonts w:hint="eastAsia" w:ascii="Times New Roman" w:eastAsia="仿宋_GB2312"/>
          <w:sz w:val="32"/>
          <w:szCs w:val="32"/>
        </w:rPr>
        <w:t>二、收入决算情况说明</w:t>
      </w:r>
      <w:r>
        <w:rPr>
          <w:rFonts w:hint="eastAsia" w:ascii="Times New Roman" w:eastAsia="仿宋_GB2312"/>
          <w:sz w:val="32"/>
          <w:szCs w:val="32"/>
        </w:rPr>
        <w:tab/>
      </w:r>
      <w:r>
        <w:rPr>
          <w:rFonts w:hint="eastAsia" w:ascii="Times New Roman" w:eastAsia="仿宋_GB2312"/>
          <w:sz w:val="32"/>
          <w:szCs w:val="32"/>
        </w:rPr>
        <w:t>12</w:t>
      </w:r>
    </w:p>
    <w:p w14:paraId="723B6D38">
      <w:pPr>
        <w:tabs>
          <w:tab w:val="right" w:leader="dot" w:pos="8505"/>
        </w:tabs>
        <w:spacing w:line="576" w:lineRule="exact"/>
        <w:ind w:firstLine="640" w:firstLineChars="200"/>
        <w:rPr>
          <w:rFonts w:hint="eastAsia" w:ascii="Times New Roman" w:eastAsia="Times New Roman"/>
          <w:sz w:val="32"/>
          <w:szCs w:val="32"/>
        </w:rPr>
      </w:pPr>
      <w:r>
        <w:rPr>
          <w:rFonts w:hint="eastAsia" w:ascii="Times New Roman" w:eastAsia="仿宋_GB2312"/>
          <w:sz w:val="32"/>
          <w:szCs w:val="32"/>
        </w:rPr>
        <w:t>三、支出决算情况说明</w:t>
      </w:r>
      <w:r>
        <w:rPr>
          <w:rFonts w:hint="eastAsia" w:ascii="Times New Roman" w:eastAsia="仿宋_GB2312"/>
          <w:sz w:val="32"/>
          <w:szCs w:val="32"/>
        </w:rPr>
        <w:tab/>
      </w:r>
      <w:r>
        <w:rPr>
          <w:rFonts w:hint="eastAsia" w:ascii="Times New Roman" w:eastAsia="仿宋_GB2312"/>
          <w:sz w:val="32"/>
          <w:szCs w:val="32"/>
        </w:rPr>
        <w:t>13</w:t>
      </w:r>
    </w:p>
    <w:p w14:paraId="2A49EB63">
      <w:pPr>
        <w:tabs>
          <w:tab w:val="right" w:leader="dot" w:pos="8505"/>
        </w:tabs>
        <w:spacing w:line="576" w:lineRule="exact"/>
        <w:ind w:firstLine="640" w:firstLineChars="200"/>
        <w:rPr>
          <w:rFonts w:hint="eastAsia" w:ascii="Times New Roman" w:eastAsia="Times New Roman"/>
          <w:sz w:val="32"/>
          <w:szCs w:val="32"/>
        </w:rPr>
      </w:pPr>
      <w:r>
        <w:rPr>
          <w:rFonts w:hint="eastAsia" w:ascii="Times New Roman" w:eastAsia="仿宋_GB2312"/>
          <w:sz w:val="32"/>
          <w:szCs w:val="32"/>
        </w:rPr>
        <w:t>四、财政拨款收入支出决算总体情况说明</w:t>
      </w:r>
      <w:r>
        <w:rPr>
          <w:rFonts w:hint="eastAsia" w:ascii="Times New Roman" w:eastAsia="仿宋_GB2312"/>
          <w:sz w:val="32"/>
          <w:szCs w:val="32"/>
        </w:rPr>
        <w:tab/>
      </w:r>
      <w:r>
        <w:rPr>
          <w:rFonts w:hint="eastAsia" w:ascii="Times New Roman" w:eastAsia="仿宋_GB2312"/>
          <w:sz w:val="32"/>
          <w:szCs w:val="32"/>
        </w:rPr>
        <w:t>14</w:t>
      </w:r>
    </w:p>
    <w:p w14:paraId="67776CB0">
      <w:pPr>
        <w:tabs>
          <w:tab w:val="right" w:leader="dot" w:pos="8505"/>
        </w:tabs>
        <w:spacing w:line="576" w:lineRule="exact"/>
        <w:ind w:firstLine="640" w:firstLineChars="200"/>
        <w:rPr>
          <w:rFonts w:hint="eastAsia" w:ascii="Times New Roman" w:eastAsia="Times New Roman"/>
          <w:sz w:val="32"/>
          <w:szCs w:val="32"/>
        </w:rPr>
      </w:pPr>
      <w:r>
        <w:rPr>
          <w:rFonts w:hint="eastAsia" w:ascii="Times New Roman" w:eastAsia="仿宋_GB2312"/>
          <w:sz w:val="32"/>
          <w:szCs w:val="32"/>
        </w:rPr>
        <w:t>五、一般公共预算财政拨款支出决算情况说明</w:t>
      </w:r>
      <w:r>
        <w:rPr>
          <w:rFonts w:hint="eastAsia" w:ascii="Times New Roman" w:eastAsia="仿宋_GB2312"/>
          <w:sz w:val="32"/>
          <w:szCs w:val="32"/>
        </w:rPr>
        <w:tab/>
      </w:r>
      <w:r>
        <w:rPr>
          <w:rFonts w:hint="eastAsia" w:ascii="Times New Roman" w:eastAsia="仿宋_GB2312"/>
          <w:sz w:val="32"/>
          <w:szCs w:val="32"/>
        </w:rPr>
        <w:t>14</w:t>
      </w:r>
    </w:p>
    <w:p w14:paraId="793689F1">
      <w:pPr>
        <w:tabs>
          <w:tab w:val="right" w:leader="dot" w:pos="8505"/>
        </w:tabs>
        <w:spacing w:line="576" w:lineRule="exact"/>
        <w:ind w:firstLine="640" w:firstLineChars="200"/>
        <w:rPr>
          <w:rFonts w:hint="eastAsia" w:ascii="Times New Roman" w:eastAsia="Times New Roman"/>
          <w:sz w:val="32"/>
          <w:szCs w:val="32"/>
        </w:rPr>
      </w:pPr>
      <w:r>
        <w:rPr>
          <w:rFonts w:hint="eastAsia" w:ascii="Times New Roman" w:eastAsia="仿宋_GB2312"/>
          <w:sz w:val="32"/>
          <w:szCs w:val="32"/>
        </w:rPr>
        <w:t>六、一般公共预算财政拨款基本支出决算情况说明</w:t>
      </w:r>
      <w:r>
        <w:rPr>
          <w:rFonts w:hint="eastAsia" w:ascii="Times New Roman" w:eastAsia="仿宋_GB2312"/>
          <w:sz w:val="32"/>
          <w:szCs w:val="32"/>
        </w:rPr>
        <w:tab/>
      </w:r>
      <w:r>
        <w:rPr>
          <w:rFonts w:hint="eastAsia" w:ascii="Times New Roman" w:eastAsia="仿宋_GB2312"/>
          <w:sz w:val="32"/>
          <w:szCs w:val="32"/>
        </w:rPr>
        <w:t>19</w:t>
      </w:r>
    </w:p>
    <w:p w14:paraId="75C3C43B">
      <w:pPr>
        <w:tabs>
          <w:tab w:val="right" w:leader="dot" w:pos="8505"/>
        </w:tabs>
        <w:spacing w:line="576" w:lineRule="exact"/>
        <w:ind w:firstLine="640" w:firstLineChars="200"/>
        <w:rPr>
          <w:rFonts w:hint="eastAsia" w:ascii="Times New Roman" w:eastAsia="Times New Roman"/>
          <w:sz w:val="32"/>
          <w:szCs w:val="32"/>
        </w:rPr>
      </w:pPr>
      <w:r>
        <w:rPr>
          <w:rFonts w:hint="eastAsia" w:ascii="Times New Roman" w:eastAsia="仿宋_GB2312"/>
          <w:sz w:val="32"/>
          <w:szCs w:val="32"/>
        </w:rPr>
        <w:t>七、财政拨款“三公”经费支出决算情况说明</w:t>
      </w:r>
      <w:r>
        <w:rPr>
          <w:rFonts w:hint="eastAsia" w:ascii="Times New Roman" w:eastAsia="仿宋_GB2312"/>
          <w:sz w:val="32"/>
          <w:szCs w:val="32"/>
        </w:rPr>
        <w:tab/>
      </w:r>
      <w:r>
        <w:rPr>
          <w:rFonts w:hint="eastAsia" w:ascii="Times New Roman" w:eastAsia="仿宋_GB2312"/>
          <w:sz w:val="32"/>
          <w:szCs w:val="32"/>
        </w:rPr>
        <w:t>21</w:t>
      </w:r>
    </w:p>
    <w:p w14:paraId="1D098E55">
      <w:pPr>
        <w:tabs>
          <w:tab w:val="right" w:leader="dot" w:pos="8505"/>
        </w:tabs>
        <w:spacing w:line="576" w:lineRule="exact"/>
        <w:ind w:firstLine="640" w:firstLineChars="200"/>
        <w:rPr>
          <w:rFonts w:hint="eastAsia" w:ascii="Times New Roman" w:eastAsia="Times New Roman"/>
          <w:sz w:val="32"/>
          <w:szCs w:val="32"/>
        </w:rPr>
      </w:pPr>
      <w:r>
        <w:rPr>
          <w:rFonts w:hint="eastAsia" w:ascii="Times New Roman" w:eastAsia="仿宋_GB2312"/>
          <w:sz w:val="32"/>
          <w:szCs w:val="32"/>
        </w:rPr>
        <w:t>八、政府性基金预算支出决算情况说明</w:t>
      </w:r>
      <w:r>
        <w:rPr>
          <w:rFonts w:hint="eastAsia" w:ascii="Times New Roman" w:eastAsia="仿宋_GB2312"/>
          <w:sz w:val="32"/>
          <w:szCs w:val="32"/>
        </w:rPr>
        <w:tab/>
      </w:r>
      <w:r>
        <w:rPr>
          <w:rFonts w:hint="eastAsia" w:ascii="Times New Roman" w:eastAsia="仿宋_GB2312"/>
          <w:sz w:val="32"/>
          <w:szCs w:val="32"/>
        </w:rPr>
        <w:t>22</w:t>
      </w:r>
    </w:p>
    <w:p w14:paraId="23B19C6C">
      <w:pPr>
        <w:tabs>
          <w:tab w:val="right" w:leader="dot" w:pos="8505"/>
        </w:tabs>
        <w:spacing w:line="576" w:lineRule="exact"/>
        <w:ind w:firstLine="640" w:firstLineChars="200"/>
        <w:rPr>
          <w:rFonts w:hint="eastAsia" w:ascii="Times New Roman" w:eastAsia="Times New Roman"/>
          <w:sz w:val="32"/>
          <w:szCs w:val="32"/>
        </w:rPr>
      </w:pPr>
      <w:r>
        <w:rPr>
          <w:rFonts w:hint="eastAsia" w:ascii="Times New Roman" w:eastAsia="仿宋_GB2312"/>
          <w:sz w:val="32"/>
          <w:szCs w:val="32"/>
        </w:rPr>
        <w:t>九、国有资本经营预算支出决算情况说明</w:t>
      </w:r>
      <w:r>
        <w:rPr>
          <w:rFonts w:hint="eastAsia" w:ascii="Times New Roman" w:eastAsia="仿宋_GB2312"/>
          <w:sz w:val="32"/>
          <w:szCs w:val="32"/>
        </w:rPr>
        <w:tab/>
      </w:r>
      <w:r>
        <w:rPr>
          <w:rFonts w:hint="eastAsia" w:ascii="Times New Roman" w:eastAsia="仿宋_GB2312"/>
          <w:sz w:val="32"/>
          <w:szCs w:val="32"/>
        </w:rPr>
        <w:t>23</w:t>
      </w:r>
    </w:p>
    <w:p w14:paraId="4F04C6A3">
      <w:pPr>
        <w:tabs>
          <w:tab w:val="right" w:leader="dot" w:pos="8505"/>
        </w:tabs>
        <w:spacing w:line="576" w:lineRule="exact"/>
        <w:ind w:firstLine="640" w:firstLineChars="200"/>
        <w:rPr>
          <w:rFonts w:hint="eastAsia" w:ascii="Times New Roman" w:eastAsia="Times New Roman"/>
          <w:sz w:val="32"/>
          <w:szCs w:val="32"/>
        </w:rPr>
      </w:pPr>
      <w:r>
        <w:rPr>
          <w:rFonts w:hint="eastAsia" w:ascii="Times New Roman" w:eastAsia="仿宋_GB2312"/>
          <w:sz w:val="32"/>
          <w:szCs w:val="32"/>
        </w:rPr>
        <w:t>十、其他重要事项的情况说明</w:t>
      </w:r>
      <w:r>
        <w:rPr>
          <w:rFonts w:hint="eastAsia" w:ascii="Times New Roman" w:eastAsia="仿宋_GB2312"/>
          <w:sz w:val="32"/>
          <w:szCs w:val="32"/>
        </w:rPr>
        <w:tab/>
      </w:r>
      <w:r>
        <w:rPr>
          <w:rFonts w:hint="eastAsia" w:ascii="Times New Roman" w:eastAsia="仿宋_GB2312"/>
          <w:sz w:val="32"/>
          <w:szCs w:val="32"/>
        </w:rPr>
        <w:t>23</w:t>
      </w:r>
    </w:p>
    <w:p w14:paraId="09765BD7">
      <w:pPr>
        <w:tabs>
          <w:tab w:val="right" w:leader="dot" w:pos="8505"/>
        </w:tabs>
        <w:spacing w:line="576" w:lineRule="exact"/>
        <w:ind w:firstLine="643" w:firstLineChars="200"/>
        <w:rPr>
          <w:rFonts w:hint="eastAsia" w:ascii="Times New Roman" w:eastAsia="Times New Roman"/>
          <w:b/>
          <w:sz w:val="32"/>
          <w:szCs w:val="32"/>
        </w:rPr>
      </w:pPr>
      <w:r>
        <w:rPr>
          <w:rFonts w:hint="eastAsia" w:ascii="Times New Roman" w:eastAsia="仿宋_GB2312"/>
          <w:b/>
          <w:sz w:val="32"/>
          <w:szCs w:val="32"/>
        </w:rPr>
        <w:t>第三部分 名词解释</w:t>
      </w:r>
      <w:r>
        <w:rPr>
          <w:rFonts w:hint="eastAsia" w:ascii="Times New Roman" w:eastAsia="仿宋_GB2312"/>
          <w:b/>
          <w:sz w:val="32"/>
          <w:szCs w:val="32"/>
        </w:rPr>
        <w:tab/>
      </w:r>
      <w:r>
        <w:rPr>
          <w:rFonts w:hint="eastAsia" w:ascii="Times New Roman" w:eastAsia="仿宋_GB2312"/>
          <w:b/>
          <w:sz w:val="32"/>
          <w:szCs w:val="32"/>
        </w:rPr>
        <w:t>26</w:t>
      </w:r>
    </w:p>
    <w:p w14:paraId="0E4F1F74">
      <w:pPr>
        <w:tabs>
          <w:tab w:val="right" w:leader="dot" w:pos="8505"/>
        </w:tabs>
        <w:spacing w:line="576" w:lineRule="exact"/>
        <w:ind w:firstLine="643" w:firstLineChars="200"/>
        <w:rPr>
          <w:rFonts w:hint="default" w:ascii="Times New Roman" w:eastAsia="仿宋_GB2312"/>
          <w:b/>
          <w:sz w:val="32"/>
          <w:szCs w:val="32"/>
          <w:lang w:val="en-US" w:eastAsia="zh-CN"/>
        </w:rPr>
      </w:pPr>
      <w:r>
        <w:rPr>
          <w:rFonts w:hint="eastAsia" w:ascii="Times New Roman" w:eastAsia="仿宋_GB2312"/>
          <w:b/>
          <w:sz w:val="32"/>
          <w:szCs w:val="32"/>
        </w:rPr>
        <w:t>第四部分 附件</w:t>
      </w:r>
      <w:r>
        <w:rPr>
          <w:rFonts w:hint="eastAsia" w:ascii="Times New Roman" w:eastAsia="仿宋_GB2312"/>
          <w:b/>
          <w:sz w:val="32"/>
          <w:szCs w:val="32"/>
        </w:rPr>
        <w:tab/>
      </w:r>
      <w:r>
        <w:rPr>
          <w:rFonts w:hint="eastAsia" w:ascii="Times New Roman" w:eastAsia="仿宋_GB2312"/>
          <w:b/>
          <w:sz w:val="32"/>
          <w:szCs w:val="32"/>
          <w:lang w:val="en-US" w:eastAsia="zh-CN"/>
        </w:rPr>
        <w:t>30</w:t>
      </w:r>
    </w:p>
    <w:p w14:paraId="4EE079D0">
      <w:pPr>
        <w:tabs>
          <w:tab w:val="right" w:leader="dot" w:pos="8505"/>
        </w:tabs>
        <w:spacing w:line="576" w:lineRule="exact"/>
        <w:ind w:left="638" w:leftChars="266"/>
        <w:rPr>
          <w:rFonts w:hint="eastAsia" w:ascii="Times New Roman" w:eastAsia="仿宋_GB2312"/>
          <w:sz w:val="32"/>
          <w:szCs w:val="32"/>
        </w:rPr>
      </w:pPr>
      <w:r>
        <w:rPr>
          <w:rFonts w:hint="eastAsia" w:ascii="Times New Roman" w:eastAsia="仿宋_GB2312"/>
          <w:sz w:val="32"/>
          <w:szCs w:val="32"/>
        </w:rPr>
        <w:t>附件1：广元市昭化区太公镇人民政府2023年部门整体支</w:t>
      </w:r>
    </w:p>
    <w:p w14:paraId="0B92B9D1">
      <w:pPr>
        <w:tabs>
          <w:tab w:val="right" w:leader="dot" w:pos="8505"/>
        </w:tabs>
        <w:spacing w:line="576" w:lineRule="exact"/>
        <w:rPr>
          <w:rFonts w:hint="eastAsia" w:ascii="Times New Roman" w:eastAsia="Times New Roman"/>
          <w:sz w:val="32"/>
          <w:szCs w:val="32"/>
        </w:rPr>
      </w:pPr>
      <w:r>
        <w:rPr>
          <w:rFonts w:hint="eastAsia" w:ascii="Times New Roman" w:eastAsia="仿宋_GB2312"/>
          <w:sz w:val="32"/>
          <w:szCs w:val="32"/>
        </w:rPr>
        <w:t>出绩效自评报告（表）</w:t>
      </w:r>
      <w:r>
        <w:rPr>
          <w:rFonts w:hint="eastAsia" w:ascii="Times New Roman" w:eastAsia="仿宋_GB2312"/>
          <w:sz w:val="32"/>
          <w:szCs w:val="32"/>
        </w:rPr>
        <w:tab/>
      </w:r>
      <w:r>
        <w:rPr>
          <w:rFonts w:hint="eastAsia" w:ascii="Times New Roman" w:eastAsia="仿宋_GB2312"/>
          <w:sz w:val="32"/>
          <w:szCs w:val="32"/>
        </w:rPr>
        <w:t>30</w:t>
      </w:r>
    </w:p>
    <w:p w14:paraId="7F49A727">
      <w:pPr>
        <w:keepNext w:val="0"/>
        <w:keepLines w:val="0"/>
        <w:pageBreakBefore w:val="0"/>
        <w:widowControl w:val="0"/>
        <w:tabs>
          <w:tab w:val="right" w:leader="dot" w:pos="8505"/>
        </w:tabs>
        <w:kinsoku/>
        <w:wordWrap/>
        <w:overflowPunct/>
        <w:topLinePunct w:val="0"/>
        <w:autoSpaceDE w:val="0"/>
        <w:autoSpaceDN w:val="0"/>
        <w:bidi w:val="0"/>
        <w:adjustRightInd w:val="0"/>
        <w:snapToGrid/>
        <w:spacing w:line="576" w:lineRule="exact"/>
        <w:ind w:firstLine="640" w:firstLineChars="200"/>
        <w:textAlignment w:val="auto"/>
        <w:rPr>
          <w:rFonts w:hint="eastAsia" w:ascii="Times New Roman" w:eastAsia="Times New Roman"/>
          <w:sz w:val="32"/>
          <w:szCs w:val="32"/>
        </w:rPr>
      </w:pPr>
      <w:r>
        <w:rPr>
          <w:rFonts w:hint="eastAsia" w:ascii="Times New Roman" w:eastAsia="仿宋_GB2312"/>
          <w:sz w:val="32"/>
          <w:szCs w:val="32"/>
        </w:rPr>
        <w:t>附件2-1：2023年基层组织活动和公共运行维护经费支出绩效自评报告（表）</w:t>
      </w:r>
      <w:r>
        <w:rPr>
          <w:rFonts w:hint="eastAsia" w:ascii="Times New Roman" w:eastAsia="仿宋_GB2312"/>
          <w:sz w:val="32"/>
          <w:szCs w:val="32"/>
        </w:rPr>
        <w:tab/>
      </w:r>
      <w:r>
        <w:rPr>
          <w:rFonts w:hint="eastAsia" w:ascii="Times New Roman" w:eastAsia="仿宋_GB2312"/>
          <w:sz w:val="32"/>
          <w:szCs w:val="32"/>
        </w:rPr>
        <w:t>48</w:t>
      </w:r>
    </w:p>
    <w:p w14:paraId="7E073721">
      <w:pPr>
        <w:keepNext w:val="0"/>
        <w:keepLines w:val="0"/>
        <w:pageBreakBefore w:val="0"/>
        <w:widowControl w:val="0"/>
        <w:tabs>
          <w:tab w:val="right" w:leader="dot" w:pos="8505"/>
        </w:tabs>
        <w:kinsoku/>
        <w:wordWrap/>
        <w:overflowPunct/>
        <w:topLinePunct w:val="0"/>
        <w:autoSpaceDE w:val="0"/>
        <w:autoSpaceDN w:val="0"/>
        <w:bidi w:val="0"/>
        <w:adjustRightInd w:val="0"/>
        <w:snapToGrid/>
        <w:spacing w:line="576" w:lineRule="exact"/>
        <w:ind w:firstLine="640" w:firstLineChars="200"/>
        <w:textAlignment w:val="auto"/>
        <w:rPr>
          <w:rFonts w:hint="eastAsia" w:ascii="Times New Roman" w:eastAsia="仿宋_GB2312"/>
          <w:sz w:val="32"/>
          <w:szCs w:val="32"/>
        </w:rPr>
      </w:pPr>
      <w:r>
        <w:rPr>
          <w:rFonts w:hint="eastAsia" w:ascii="Times New Roman" w:eastAsia="仿宋_GB2312"/>
          <w:sz w:val="32"/>
          <w:szCs w:val="32"/>
        </w:rPr>
        <w:t>附件2-2：2022年农村公共服务运行维护资金支出绩效自</w:t>
      </w:r>
    </w:p>
    <w:p w14:paraId="5912F4AC">
      <w:pPr>
        <w:tabs>
          <w:tab w:val="right" w:leader="dot" w:pos="8505"/>
        </w:tabs>
        <w:spacing w:line="576" w:lineRule="exact"/>
        <w:rPr>
          <w:rFonts w:hint="eastAsia" w:ascii="Times New Roman" w:eastAsia="Times New Roman"/>
          <w:sz w:val="32"/>
          <w:szCs w:val="32"/>
        </w:rPr>
      </w:pPr>
      <w:r>
        <w:rPr>
          <w:rFonts w:hint="eastAsia" w:ascii="Times New Roman" w:eastAsia="仿宋_GB2312"/>
          <w:sz w:val="32"/>
          <w:szCs w:val="32"/>
        </w:rPr>
        <w:t>评报告（表）</w:t>
      </w:r>
      <w:r>
        <w:rPr>
          <w:rFonts w:hint="eastAsia" w:ascii="Times New Roman" w:eastAsia="仿宋_GB2312"/>
          <w:sz w:val="32"/>
          <w:szCs w:val="32"/>
        </w:rPr>
        <w:tab/>
      </w:r>
      <w:r>
        <w:rPr>
          <w:rFonts w:hint="eastAsia" w:ascii="Times New Roman" w:eastAsia="仿宋_GB2312"/>
          <w:sz w:val="32"/>
          <w:szCs w:val="32"/>
        </w:rPr>
        <w:t>58</w:t>
      </w:r>
    </w:p>
    <w:p w14:paraId="120039B7">
      <w:pPr>
        <w:keepNext w:val="0"/>
        <w:keepLines w:val="0"/>
        <w:pageBreakBefore w:val="0"/>
        <w:widowControl w:val="0"/>
        <w:tabs>
          <w:tab w:val="right" w:leader="dot" w:pos="8505"/>
        </w:tabs>
        <w:kinsoku/>
        <w:wordWrap/>
        <w:overflowPunct/>
        <w:topLinePunct w:val="0"/>
        <w:autoSpaceDE w:val="0"/>
        <w:autoSpaceDN w:val="0"/>
        <w:bidi w:val="0"/>
        <w:adjustRightInd w:val="0"/>
        <w:snapToGrid/>
        <w:spacing w:line="576" w:lineRule="exact"/>
        <w:ind w:firstLine="576" w:firstLineChars="200"/>
        <w:textAlignment w:val="auto"/>
        <w:rPr>
          <w:rFonts w:hint="eastAsia" w:ascii="Times New Roman" w:eastAsia="仿宋_GB2312"/>
          <w:sz w:val="32"/>
          <w:szCs w:val="32"/>
          <w:lang w:val="en-US" w:eastAsia="zh-CN"/>
        </w:rPr>
      </w:pPr>
      <w:r>
        <w:rPr>
          <w:rFonts w:hint="eastAsia" w:ascii="Times New Roman" w:eastAsia="仿宋_GB2312"/>
          <w:w w:val="90"/>
          <w:sz w:val="32"/>
          <w:szCs w:val="32"/>
        </w:rPr>
        <w:t>附件2-3：2023年干部周转房支出绩效自评报告（表）</w:t>
      </w:r>
      <w:r>
        <w:rPr>
          <w:rFonts w:hint="eastAsia" w:ascii="Times New Roman" w:eastAsia="仿宋_GB2312"/>
          <w:sz w:val="32"/>
          <w:szCs w:val="32"/>
        </w:rPr>
        <w:tab/>
      </w:r>
      <w:r>
        <w:rPr>
          <w:rFonts w:hint="eastAsia" w:ascii="Times New Roman" w:eastAsia="仿宋_GB2312"/>
          <w:sz w:val="32"/>
          <w:szCs w:val="32"/>
        </w:rPr>
        <w:t>6</w:t>
      </w:r>
      <w:r>
        <w:rPr>
          <w:rFonts w:hint="eastAsia" w:ascii="Times New Roman" w:eastAsia="仿宋_GB2312"/>
          <w:sz w:val="32"/>
          <w:szCs w:val="32"/>
          <w:lang w:val="en-US" w:eastAsia="zh-CN"/>
        </w:rPr>
        <w:t>6</w:t>
      </w:r>
    </w:p>
    <w:p w14:paraId="12E5FDD2">
      <w:pPr>
        <w:keepNext w:val="0"/>
        <w:keepLines w:val="0"/>
        <w:pageBreakBefore w:val="0"/>
        <w:widowControl w:val="0"/>
        <w:tabs>
          <w:tab w:val="right" w:leader="dot" w:pos="8505"/>
        </w:tabs>
        <w:kinsoku/>
        <w:wordWrap/>
        <w:overflowPunct/>
        <w:topLinePunct w:val="0"/>
        <w:autoSpaceDE w:val="0"/>
        <w:autoSpaceDN w:val="0"/>
        <w:bidi w:val="0"/>
        <w:adjustRightInd w:val="0"/>
        <w:snapToGrid/>
        <w:spacing w:line="576" w:lineRule="exact"/>
        <w:ind w:firstLine="640" w:firstLineChars="200"/>
        <w:textAlignment w:val="auto"/>
        <w:rPr>
          <w:rFonts w:hint="eastAsia" w:ascii="Times New Roman" w:eastAsia="仿宋_GB2312"/>
          <w:sz w:val="32"/>
          <w:szCs w:val="32"/>
        </w:rPr>
      </w:pPr>
      <w:r>
        <w:rPr>
          <w:rFonts w:hint="eastAsia" w:ascii="Times New Roman" w:eastAsia="仿宋_GB2312"/>
          <w:sz w:val="32"/>
          <w:szCs w:val="32"/>
        </w:rPr>
        <w:t>附件2-4：2023年村（社区）人员和办公经费、绩效考核</w:t>
      </w:r>
    </w:p>
    <w:p w14:paraId="5D8C58D3">
      <w:pPr>
        <w:tabs>
          <w:tab w:val="right" w:leader="dot" w:pos="8505"/>
        </w:tabs>
        <w:spacing w:line="576" w:lineRule="exact"/>
        <w:rPr>
          <w:rFonts w:hint="eastAsia" w:eastAsia="仿宋_GB2312"/>
          <w:sz w:val="24"/>
          <w:szCs w:val="24"/>
          <w:lang w:val="en-US" w:eastAsia="zh-CN"/>
        </w:rPr>
      </w:pPr>
      <w:r>
        <w:rPr>
          <w:rFonts w:hint="eastAsia" w:ascii="Times New Roman" w:eastAsia="仿宋_GB2312"/>
          <w:sz w:val="32"/>
          <w:szCs w:val="32"/>
        </w:rPr>
        <w:t>经费、镇村办公经费等项目支出绩效自评报告（表）</w:t>
      </w:r>
      <w:r>
        <w:rPr>
          <w:rFonts w:hint="eastAsia" w:ascii="Times New Roman" w:eastAsia="仿宋_GB2312"/>
          <w:sz w:val="32"/>
          <w:szCs w:val="32"/>
        </w:rPr>
        <w:tab/>
      </w:r>
      <w:r>
        <w:rPr>
          <w:rFonts w:hint="eastAsia" w:ascii="Times New Roman" w:eastAsia="仿宋_GB2312"/>
          <w:sz w:val="32"/>
          <w:szCs w:val="32"/>
        </w:rPr>
        <w:t>7</w:t>
      </w:r>
      <w:r>
        <w:rPr>
          <w:rFonts w:hint="eastAsia" w:ascii="Times New Roman" w:eastAsia="仿宋_GB2312"/>
          <w:sz w:val="32"/>
          <w:szCs w:val="32"/>
          <w:lang w:val="en-US" w:eastAsia="zh-CN"/>
        </w:rPr>
        <w:t>1</w:t>
      </w:r>
    </w:p>
    <w:p w14:paraId="6E21ADAD">
      <w:pPr>
        <w:tabs>
          <w:tab w:val="right" w:leader="dot" w:pos="8505"/>
        </w:tabs>
        <w:spacing w:line="576" w:lineRule="exact"/>
        <w:ind w:firstLine="643" w:firstLineChars="200"/>
        <w:rPr>
          <w:rFonts w:hint="eastAsia" w:ascii="Times New Roman" w:eastAsia="仿宋_GB2312"/>
          <w:b/>
          <w:sz w:val="32"/>
          <w:szCs w:val="32"/>
          <w:lang w:val="en-US" w:eastAsia="zh-CN"/>
        </w:rPr>
      </w:pPr>
      <w:r>
        <w:rPr>
          <w:rFonts w:hint="eastAsia" w:ascii="Times New Roman" w:eastAsia="仿宋_GB2312"/>
          <w:b/>
          <w:sz w:val="32"/>
          <w:szCs w:val="32"/>
        </w:rPr>
        <w:t>第五部分 附表</w:t>
      </w:r>
      <w:r>
        <w:rPr>
          <w:rFonts w:hint="eastAsia" w:ascii="Times New Roman" w:eastAsia="仿宋_GB2312"/>
          <w:b/>
          <w:sz w:val="32"/>
          <w:szCs w:val="32"/>
        </w:rPr>
        <w:tab/>
      </w:r>
      <w:r>
        <w:rPr>
          <w:rFonts w:hint="eastAsia" w:ascii="Times New Roman" w:eastAsia="仿宋_GB2312"/>
          <w:b/>
          <w:sz w:val="32"/>
          <w:szCs w:val="32"/>
        </w:rPr>
        <w:t>8</w:t>
      </w:r>
      <w:r>
        <w:rPr>
          <w:rFonts w:hint="eastAsia" w:ascii="Times New Roman" w:eastAsia="仿宋_GB2312"/>
          <w:b/>
          <w:sz w:val="32"/>
          <w:szCs w:val="32"/>
          <w:lang w:val="en-US" w:eastAsia="zh-CN"/>
        </w:rPr>
        <w:t>0</w:t>
      </w:r>
    </w:p>
    <w:p w14:paraId="3984FA8C">
      <w:pPr>
        <w:tabs>
          <w:tab w:val="right" w:leader="dot" w:pos="8505"/>
        </w:tabs>
        <w:spacing w:line="576" w:lineRule="exact"/>
        <w:ind w:firstLine="640" w:firstLineChars="200"/>
        <w:rPr>
          <w:rFonts w:hint="eastAsia" w:ascii="Times New Roman" w:eastAsia="仿宋_GB2312"/>
          <w:sz w:val="32"/>
          <w:szCs w:val="32"/>
          <w:lang w:val="en-US" w:eastAsia="zh-CN"/>
        </w:rPr>
      </w:pPr>
      <w:r>
        <w:rPr>
          <w:rFonts w:hint="eastAsia" w:ascii="Times New Roman" w:eastAsia="仿宋_GB2312"/>
          <w:sz w:val="32"/>
          <w:szCs w:val="32"/>
        </w:rPr>
        <w:t>一、收入支出决算总表</w:t>
      </w:r>
      <w:r>
        <w:rPr>
          <w:rFonts w:hint="eastAsia" w:ascii="Times New Roman" w:eastAsia="仿宋_GB2312"/>
          <w:sz w:val="32"/>
          <w:szCs w:val="32"/>
        </w:rPr>
        <w:tab/>
      </w:r>
      <w:r>
        <w:rPr>
          <w:rFonts w:hint="eastAsia" w:ascii="Times New Roman" w:eastAsia="仿宋_GB2312"/>
          <w:sz w:val="32"/>
          <w:szCs w:val="32"/>
        </w:rPr>
        <w:t>8</w:t>
      </w:r>
      <w:r>
        <w:rPr>
          <w:rFonts w:hint="eastAsia" w:ascii="Times New Roman" w:eastAsia="仿宋_GB2312"/>
          <w:sz w:val="32"/>
          <w:szCs w:val="32"/>
          <w:lang w:val="en-US" w:eastAsia="zh-CN"/>
        </w:rPr>
        <w:t>0</w:t>
      </w:r>
    </w:p>
    <w:p w14:paraId="39765DC9">
      <w:pPr>
        <w:tabs>
          <w:tab w:val="right" w:leader="dot" w:pos="8505"/>
        </w:tabs>
        <w:spacing w:line="576" w:lineRule="exact"/>
        <w:ind w:firstLine="640" w:firstLineChars="200"/>
        <w:rPr>
          <w:rFonts w:hint="eastAsia" w:ascii="Times New Roman" w:eastAsia="仿宋_GB2312"/>
          <w:sz w:val="32"/>
          <w:szCs w:val="32"/>
          <w:lang w:val="en-US" w:eastAsia="zh-CN"/>
        </w:rPr>
      </w:pPr>
      <w:r>
        <w:rPr>
          <w:rFonts w:hint="eastAsia" w:ascii="Times New Roman" w:eastAsia="仿宋_GB2312"/>
          <w:sz w:val="32"/>
          <w:szCs w:val="32"/>
        </w:rPr>
        <w:t>二、收入决算表</w:t>
      </w:r>
      <w:r>
        <w:rPr>
          <w:rFonts w:hint="eastAsia" w:ascii="Times New Roman" w:eastAsia="仿宋_GB2312"/>
          <w:sz w:val="32"/>
          <w:szCs w:val="32"/>
        </w:rPr>
        <w:tab/>
      </w:r>
      <w:r>
        <w:rPr>
          <w:rFonts w:hint="eastAsia" w:ascii="Times New Roman" w:eastAsia="仿宋_GB2312"/>
          <w:sz w:val="32"/>
          <w:szCs w:val="32"/>
        </w:rPr>
        <w:t>8</w:t>
      </w:r>
      <w:r>
        <w:rPr>
          <w:rFonts w:hint="eastAsia" w:ascii="Times New Roman" w:eastAsia="仿宋_GB2312"/>
          <w:sz w:val="32"/>
          <w:szCs w:val="32"/>
          <w:lang w:val="en-US" w:eastAsia="zh-CN"/>
        </w:rPr>
        <w:t>0</w:t>
      </w:r>
    </w:p>
    <w:p w14:paraId="53D09E55">
      <w:pPr>
        <w:tabs>
          <w:tab w:val="right" w:leader="dot" w:pos="8505"/>
        </w:tabs>
        <w:spacing w:line="576" w:lineRule="exact"/>
        <w:ind w:firstLine="640" w:firstLineChars="200"/>
        <w:rPr>
          <w:rFonts w:hint="eastAsia" w:ascii="Times New Roman" w:eastAsia="仿宋_GB2312"/>
          <w:sz w:val="32"/>
          <w:szCs w:val="32"/>
          <w:lang w:val="en-US" w:eastAsia="zh-CN"/>
        </w:rPr>
      </w:pPr>
      <w:r>
        <w:rPr>
          <w:rFonts w:hint="eastAsia" w:ascii="Times New Roman" w:eastAsia="仿宋_GB2312"/>
          <w:sz w:val="32"/>
          <w:szCs w:val="32"/>
        </w:rPr>
        <w:t>三、支出决算表</w:t>
      </w:r>
      <w:r>
        <w:rPr>
          <w:rFonts w:hint="eastAsia" w:ascii="Times New Roman" w:eastAsia="仿宋_GB2312"/>
          <w:sz w:val="32"/>
          <w:szCs w:val="32"/>
        </w:rPr>
        <w:tab/>
      </w:r>
      <w:r>
        <w:rPr>
          <w:rFonts w:hint="eastAsia" w:ascii="Times New Roman" w:eastAsia="仿宋_GB2312"/>
          <w:sz w:val="32"/>
          <w:szCs w:val="32"/>
        </w:rPr>
        <w:t>8</w:t>
      </w:r>
      <w:r>
        <w:rPr>
          <w:rFonts w:hint="eastAsia" w:ascii="Times New Roman" w:eastAsia="仿宋_GB2312"/>
          <w:sz w:val="32"/>
          <w:szCs w:val="32"/>
          <w:lang w:val="en-US" w:eastAsia="zh-CN"/>
        </w:rPr>
        <w:t>0</w:t>
      </w:r>
    </w:p>
    <w:p w14:paraId="27DEAD65">
      <w:pPr>
        <w:tabs>
          <w:tab w:val="right" w:leader="dot" w:pos="8505"/>
        </w:tabs>
        <w:spacing w:line="576" w:lineRule="exact"/>
        <w:ind w:firstLine="640" w:firstLineChars="200"/>
        <w:rPr>
          <w:rFonts w:hint="eastAsia" w:ascii="Times New Roman" w:eastAsia="仿宋_GB2312"/>
          <w:sz w:val="32"/>
          <w:szCs w:val="32"/>
          <w:lang w:val="en-US" w:eastAsia="zh-CN"/>
        </w:rPr>
      </w:pPr>
      <w:r>
        <w:rPr>
          <w:rFonts w:hint="eastAsia" w:ascii="Times New Roman" w:eastAsia="仿宋_GB2312"/>
          <w:sz w:val="32"/>
          <w:szCs w:val="32"/>
        </w:rPr>
        <w:t>四、财政拨款收入支出决算总表</w:t>
      </w:r>
      <w:r>
        <w:rPr>
          <w:rFonts w:hint="eastAsia" w:ascii="Times New Roman" w:eastAsia="仿宋_GB2312"/>
          <w:sz w:val="32"/>
          <w:szCs w:val="32"/>
        </w:rPr>
        <w:tab/>
      </w:r>
      <w:r>
        <w:rPr>
          <w:rFonts w:hint="eastAsia" w:ascii="Times New Roman" w:eastAsia="仿宋_GB2312"/>
          <w:sz w:val="32"/>
          <w:szCs w:val="32"/>
        </w:rPr>
        <w:t>8</w:t>
      </w:r>
      <w:r>
        <w:rPr>
          <w:rFonts w:hint="eastAsia" w:ascii="Times New Roman" w:eastAsia="仿宋_GB2312"/>
          <w:sz w:val="32"/>
          <w:szCs w:val="32"/>
          <w:lang w:val="en-US" w:eastAsia="zh-CN"/>
        </w:rPr>
        <w:t>0</w:t>
      </w:r>
    </w:p>
    <w:p w14:paraId="36C402CC">
      <w:pPr>
        <w:tabs>
          <w:tab w:val="right" w:leader="dot" w:pos="8505"/>
        </w:tabs>
        <w:spacing w:line="576" w:lineRule="exact"/>
        <w:ind w:firstLine="640" w:firstLineChars="200"/>
        <w:rPr>
          <w:rFonts w:hint="eastAsia" w:ascii="Times New Roman" w:eastAsia="仿宋_GB2312"/>
          <w:sz w:val="32"/>
          <w:szCs w:val="32"/>
          <w:lang w:val="en-US" w:eastAsia="zh-CN"/>
        </w:rPr>
      </w:pPr>
      <w:r>
        <w:rPr>
          <w:rFonts w:hint="eastAsia" w:ascii="Times New Roman" w:eastAsia="仿宋_GB2312"/>
          <w:sz w:val="32"/>
          <w:szCs w:val="32"/>
        </w:rPr>
        <w:t>五、财政拨款支出决算明细表</w:t>
      </w:r>
      <w:r>
        <w:rPr>
          <w:rFonts w:hint="eastAsia" w:ascii="Times New Roman" w:eastAsia="仿宋_GB2312"/>
          <w:sz w:val="32"/>
          <w:szCs w:val="32"/>
        </w:rPr>
        <w:tab/>
      </w:r>
      <w:r>
        <w:rPr>
          <w:rFonts w:hint="eastAsia" w:ascii="Times New Roman" w:eastAsia="仿宋_GB2312"/>
          <w:sz w:val="32"/>
          <w:szCs w:val="32"/>
        </w:rPr>
        <w:t>8</w:t>
      </w:r>
      <w:r>
        <w:rPr>
          <w:rFonts w:hint="eastAsia" w:ascii="Times New Roman" w:eastAsia="仿宋_GB2312"/>
          <w:sz w:val="32"/>
          <w:szCs w:val="32"/>
          <w:lang w:val="en-US" w:eastAsia="zh-CN"/>
        </w:rPr>
        <w:t>0</w:t>
      </w:r>
    </w:p>
    <w:p w14:paraId="1F4A7020">
      <w:pPr>
        <w:tabs>
          <w:tab w:val="right" w:leader="dot" w:pos="8505"/>
        </w:tabs>
        <w:spacing w:line="576" w:lineRule="exact"/>
        <w:ind w:firstLine="640" w:firstLineChars="200"/>
        <w:rPr>
          <w:rFonts w:hint="eastAsia" w:ascii="Times New Roman" w:eastAsia="仿宋_GB2312"/>
          <w:sz w:val="32"/>
          <w:szCs w:val="32"/>
          <w:lang w:val="en-US" w:eastAsia="zh-CN"/>
        </w:rPr>
      </w:pPr>
      <w:r>
        <w:rPr>
          <w:rFonts w:hint="eastAsia" w:ascii="Times New Roman" w:eastAsia="仿宋_GB2312"/>
          <w:sz w:val="32"/>
          <w:szCs w:val="32"/>
        </w:rPr>
        <w:t>六、一般公共预算财政拨款支出决算表</w:t>
      </w:r>
      <w:r>
        <w:rPr>
          <w:rFonts w:hint="eastAsia" w:ascii="Times New Roman" w:eastAsia="仿宋_GB2312"/>
          <w:sz w:val="32"/>
          <w:szCs w:val="32"/>
        </w:rPr>
        <w:tab/>
      </w:r>
      <w:r>
        <w:rPr>
          <w:rFonts w:hint="eastAsia" w:ascii="Times New Roman" w:eastAsia="仿宋_GB2312"/>
          <w:sz w:val="32"/>
          <w:szCs w:val="32"/>
        </w:rPr>
        <w:t>8</w:t>
      </w:r>
      <w:r>
        <w:rPr>
          <w:rFonts w:hint="eastAsia" w:ascii="Times New Roman" w:eastAsia="仿宋_GB2312"/>
          <w:sz w:val="32"/>
          <w:szCs w:val="32"/>
          <w:lang w:val="en-US" w:eastAsia="zh-CN"/>
        </w:rPr>
        <w:t>0</w:t>
      </w:r>
    </w:p>
    <w:p w14:paraId="6ABB01ED">
      <w:pPr>
        <w:tabs>
          <w:tab w:val="right" w:leader="dot" w:pos="8505"/>
        </w:tabs>
        <w:spacing w:line="576" w:lineRule="exact"/>
        <w:ind w:firstLine="640" w:firstLineChars="200"/>
        <w:rPr>
          <w:rFonts w:hint="eastAsia" w:ascii="Times New Roman" w:eastAsia="仿宋_GB2312"/>
          <w:sz w:val="32"/>
          <w:szCs w:val="32"/>
          <w:lang w:val="en-US" w:eastAsia="zh-CN"/>
        </w:rPr>
      </w:pPr>
      <w:r>
        <w:rPr>
          <w:rFonts w:hint="eastAsia" w:ascii="Times New Roman" w:eastAsia="仿宋_GB2312"/>
          <w:sz w:val="32"/>
          <w:szCs w:val="32"/>
        </w:rPr>
        <w:t>七、一般公共预算财政拨款支出决算明细表</w:t>
      </w:r>
      <w:r>
        <w:rPr>
          <w:rFonts w:hint="eastAsia" w:ascii="Times New Roman" w:eastAsia="仿宋_GB2312"/>
          <w:sz w:val="32"/>
          <w:szCs w:val="32"/>
        </w:rPr>
        <w:tab/>
      </w:r>
      <w:r>
        <w:rPr>
          <w:rFonts w:hint="eastAsia" w:ascii="Times New Roman" w:eastAsia="仿宋_GB2312"/>
          <w:sz w:val="32"/>
          <w:szCs w:val="32"/>
        </w:rPr>
        <w:t>8</w:t>
      </w:r>
      <w:r>
        <w:rPr>
          <w:rFonts w:hint="eastAsia" w:ascii="Times New Roman" w:eastAsia="仿宋_GB2312"/>
          <w:sz w:val="32"/>
          <w:szCs w:val="32"/>
          <w:lang w:val="en-US" w:eastAsia="zh-CN"/>
        </w:rPr>
        <w:t>0</w:t>
      </w:r>
    </w:p>
    <w:p w14:paraId="74B91204">
      <w:pPr>
        <w:tabs>
          <w:tab w:val="right" w:leader="dot" w:pos="8505"/>
        </w:tabs>
        <w:spacing w:line="576" w:lineRule="exact"/>
        <w:ind w:firstLine="640" w:firstLineChars="200"/>
        <w:rPr>
          <w:rFonts w:hint="eastAsia" w:ascii="Times New Roman" w:eastAsia="仿宋_GB2312"/>
          <w:sz w:val="32"/>
          <w:szCs w:val="32"/>
          <w:lang w:val="en-US" w:eastAsia="zh-CN"/>
        </w:rPr>
      </w:pPr>
      <w:r>
        <w:rPr>
          <w:rFonts w:hint="eastAsia" w:ascii="Times New Roman" w:eastAsia="仿宋_GB2312"/>
          <w:sz w:val="32"/>
          <w:szCs w:val="32"/>
        </w:rPr>
        <w:t>八、一般公共预算财政拨款基本支出决算表</w:t>
      </w:r>
      <w:r>
        <w:rPr>
          <w:rFonts w:hint="eastAsia" w:ascii="Times New Roman" w:eastAsia="仿宋_GB2312"/>
          <w:sz w:val="32"/>
          <w:szCs w:val="32"/>
        </w:rPr>
        <w:tab/>
      </w:r>
      <w:r>
        <w:rPr>
          <w:rFonts w:hint="eastAsia" w:ascii="Times New Roman" w:eastAsia="仿宋_GB2312"/>
          <w:sz w:val="32"/>
          <w:szCs w:val="32"/>
        </w:rPr>
        <w:t>8</w:t>
      </w:r>
      <w:r>
        <w:rPr>
          <w:rFonts w:hint="eastAsia" w:ascii="Times New Roman" w:eastAsia="仿宋_GB2312"/>
          <w:sz w:val="32"/>
          <w:szCs w:val="32"/>
          <w:lang w:val="en-US" w:eastAsia="zh-CN"/>
        </w:rPr>
        <w:t>0</w:t>
      </w:r>
    </w:p>
    <w:p w14:paraId="2961E8B2">
      <w:pPr>
        <w:tabs>
          <w:tab w:val="right" w:leader="dot" w:pos="8505"/>
        </w:tabs>
        <w:spacing w:line="576" w:lineRule="exact"/>
        <w:ind w:firstLine="640" w:firstLineChars="200"/>
        <w:rPr>
          <w:rFonts w:hint="eastAsia" w:ascii="Times New Roman" w:eastAsia="仿宋_GB2312"/>
          <w:sz w:val="32"/>
          <w:szCs w:val="32"/>
          <w:lang w:val="en-US" w:eastAsia="zh-CN"/>
        </w:rPr>
      </w:pPr>
      <w:r>
        <w:rPr>
          <w:rFonts w:hint="eastAsia" w:ascii="Times New Roman" w:eastAsia="仿宋_GB2312"/>
          <w:sz w:val="32"/>
          <w:szCs w:val="32"/>
        </w:rPr>
        <w:t>九、一般公共预算财政拨款项目支出决算表</w:t>
      </w:r>
      <w:r>
        <w:rPr>
          <w:rFonts w:hint="eastAsia" w:ascii="Times New Roman" w:eastAsia="仿宋_GB2312"/>
          <w:sz w:val="32"/>
          <w:szCs w:val="32"/>
        </w:rPr>
        <w:tab/>
      </w:r>
      <w:r>
        <w:rPr>
          <w:rFonts w:hint="eastAsia" w:ascii="Times New Roman" w:eastAsia="仿宋_GB2312"/>
          <w:sz w:val="32"/>
          <w:szCs w:val="32"/>
        </w:rPr>
        <w:t>8</w:t>
      </w:r>
      <w:r>
        <w:rPr>
          <w:rFonts w:hint="eastAsia" w:ascii="Times New Roman" w:eastAsia="仿宋_GB2312"/>
          <w:sz w:val="32"/>
          <w:szCs w:val="32"/>
          <w:lang w:val="en-US" w:eastAsia="zh-CN"/>
        </w:rPr>
        <w:t>0</w:t>
      </w:r>
    </w:p>
    <w:p w14:paraId="284A66B8">
      <w:pPr>
        <w:tabs>
          <w:tab w:val="right" w:leader="dot" w:pos="8505"/>
        </w:tabs>
        <w:spacing w:line="576" w:lineRule="exact"/>
        <w:ind w:firstLine="640" w:firstLineChars="200"/>
        <w:rPr>
          <w:rFonts w:hint="eastAsia" w:ascii="Times New Roman" w:eastAsia="仿宋_GB2312"/>
          <w:sz w:val="32"/>
          <w:szCs w:val="32"/>
          <w:lang w:val="en-US" w:eastAsia="zh-CN"/>
        </w:rPr>
      </w:pPr>
      <w:r>
        <w:rPr>
          <w:rFonts w:hint="eastAsia" w:ascii="Times New Roman" w:eastAsia="仿宋_GB2312"/>
          <w:sz w:val="32"/>
          <w:szCs w:val="32"/>
        </w:rPr>
        <w:t>十、政府性基金预算财政拨款收入支出决算表</w:t>
      </w:r>
      <w:r>
        <w:rPr>
          <w:rFonts w:hint="eastAsia" w:ascii="Times New Roman" w:eastAsia="仿宋_GB2312"/>
          <w:sz w:val="32"/>
          <w:szCs w:val="32"/>
        </w:rPr>
        <w:tab/>
      </w:r>
      <w:r>
        <w:rPr>
          <w:rFonts w:hint="eastAsia" w:ascii="Times New Roman" w:eastAsia="仿宋_GB2312"/>
          <w:sz w:val="32"/>
          <w:szCs w:val="32"/>
        </w:rPr>
        <w:t>8</w:t>
      </w:r>
      <w:r>
        <w:rPr>
          <w:rFonts w:hint="eastAsia" w:ascii="Times New Roman" w:eastAsia="仿宋_GB2312"/>
          <w:sz w:val="32"/>
          <w:szCs w:val="32"/>
          <w:lang w:val="en-US" w:eastAsia="zh-CN"/>
        </w:rPr>
        <w:t>0</w:t>
      </w:r>
    </w:p>
    <w:p w14:paraId="7C74457D">
      <w:pPr>
        <w:tabs>
          <w:tab w:val="right" w:leader="dot" w:pos="8505"/>
        </w:tabs>
        <w:spacing w:line="576" w:lineRule="exact"/>
        <w:ind w:firstLine="640" w:firstLineChars="200"/>
        <w:rPr>
          <w:rFonts w:hint="eastAsia" w:ascii="Times New Roman" w:eastAsia="仿宋_GB2312"/>
          <w:sz w:val="32"/>
          <w:szCs w:val="32"/>
          <w:lang w:val="en-US" w:eastAsia="zh-CN"/>
        </w:rPr>
      </w:pPr>
      <w:r>
        <w:rPr>
          <w:rFonts w:hint="eastAsia" w:ascii="Times New Roman" w:eastAsia="仿宋_GB2312"/>
          <w:sz w:val="32"/>
          <w:szCs w:val="32"/>
        </w:rPr>
        <w:t>十一、国有资本经营预算财政拨款收入支出决算表</w:t>
      </w:r>
      <w:r>
        <w:rPr>
          <w:rFonts w:hint="eastAsia" w:ascii="Times New Roman" w:eastAsia="仿宋_GB2312"/>
          <w:sz w:val="32"/>
          <w:szCs w:val="32"/>
        </w:rPr>
        <w:tab/>
      </w:r>
      <w:r>
        <w:rPr>
          <w:rFonts w:hint="eastAsia" w:ascii="Times New Roman" w:eastAsia="仿宋_GB2312"/>
          <w:sz w:val="32"/>
          <w:szCs w:val="32"/>
        </w:rPr>
        <w:t>8</w:t>
      </w:r>
      <w:r>
        <w:rPr>
          <w:rFonts w:hint="eastAsia" w:ascii="Times New Roman" w:eastAsia="仿宋_GB2312"/>
          <w:sz w:val="32"/>
          <w:szCs w:val="32"/>
          <w:lang w:val="en-US" w:eastAsia="zh-CN"/>
        </w:rPr>
        <w:t>0</w:t>
      </w:r>
    </w:p>
    <w:p w14:paraId="21C0CF94">
      <w:pPr>
        <w:tabs>
          <w:tab w:val="right" w:leader="dot" w:pos="8505"/>
        </w:tabs>
        <w:spacing w:line="576" w:lineRule="exact"/>
        <w:ind w:firstLine="640" w:firstLineChars="200"/>
        <w:rPr>
          <w:rFonts w:hint="eastAsia" w:ascii="Times New Roman" w:eastAsia="仿宋_GB2312"/>
          <w:sz w:val="32"/>
          <w:szCs w:val="32"/>
          <w:lang w:val="en-US" w:eastAsia="zh-CN"/>
        </w:rPr>
      </w:pPr>
      <w:r>
        <w:rPr>
          <w:rFonts w:hint="eastAsia" w:ascii="Times New Roman" w:eastAsia="仿宋_GB2312"/>
          <w:sz w:val="32"/>
          <w:szCs w:val="32"/>
        </w:rPr>
        <w:t>十二、国有资本经营预算财政拨款支出决算表</w:t>
      </w:r>
      <w:r>
        <w:rPr>
          <w:rFonts w:hint="eastAsia" w:ascii="Times New Roman" w:eastAsia="仿宋_GB2312"/>
          <w:sz w:val="32"/>
          <w:szCs w:val="32"/>
        </w:rPr>
        <w:tab/>
      </w:r>
      <w:r>
        <w:rPr>
          <w:rFonts w:hint="eastAsia" w:ascii="Times New Roman" w:eastAsia="仿宋_GB2312"/>
          <w:sz w:val="32"/>
          <w:szCs w:val="32"/>
        </w:rPr>
        <w:t>8</w:t>
      </w:r>
      <w:r>
        <w:rPr>
          <w:rFonts w:hint="eastAsia" w:ascii="Times New Roman" w:eastAsia="仿宋_GB2312"/>
          <w:sz w:val="32"/>
          <w:szCs w:val="32"/>
          <w:lang w:val="en-US" w:eastAsia="zh-CN"/>
        </w:rPr>
        <w:t>0</w:t>
      </w:r>
    </w:p>
    <w:p w14:paraId="68D3F6AE">
      <w:pPr>
        <w:tabs>
          <w:tab w:val="right" w:leader="dot" w:pos="8505"/>
        </w:tabs>
        <w:spacing w:line="576" w:lineRule="exact"/>
        <w:ind w:firstLine="640" w:firstLineChars="200"/>
        <w:rPr>
          <w:rFonts w:hint="eastAsia" w:ascii="Times New Roman" w:eastAsia="仿宋_GB2312"/>
          <w:sz w:val="32"/>
          <w:szCs w:val="32"/>
          <w:lang w:val="en-US" w:eastAsia="zh-CN"/>
        </w:rPr>
      </w:pPr>
      <w:r>
        <w:rPr>
          <w:rFonts w:hint="eastAsia" w:ascii="Times New Roman" w:eastAsia="仿宋_GB2312"/>
          <w:sz w:val="32"/>
          <w:szCs w:val="32"/>
        </w:rPr>
        <w:t>十三、财政拨款“三公”经费支出决算表</w:t>
      </w:r>
      <w:r>
        <w:rPr>
          <w:rFonts w:hint="eastAsia" w:ascii="Times New Roman" w:eastAsia="仿宋_GB2312"/>
          <w:sz w:val="32"/>
          <w:szCs w:val="32"/>
        </w:rPr>
        <w:tab/>
      </w:r>
      <w:r>
        <w:rPr>
          <w:rFonts w:hint="eastAsia" w:ascii="Times New Roman" w:eastAsia="仿宋_GB2312"/>
          <w:sz w:val="32"/>
          <w:szCs w:val="32"/>
        </w:rPr>
        <w:t>8</w:t>
      </w:r>
      <w:r>
        <w:rPr>
          <w:rFonts w:hint="eastAsia" w:ascii="Times New Roman" w:eastAsia="仿宋_GB2312"/>
          <w:sz w:val="32"/>
          <w:szCs w:val="32"/>
          <w:lang w:val="en-US" w:eastAsia="zh-CN"/>
        </w:rPr>
        <w:t>0</w:t>
      </w:r>
    </w:p>
    <w:p w14:paraId="049FD65B">
      <w:pPr>
        <w:rPr>
          <w:rFonts w:hint="eastAsia" w:ascii="Times New Roman" w:eastAsia="Times New Roman"/>
          <w:sz w:val="24"/>
          <w:szCs w:val="24"/>
        </w:rPr>
      </w:pPr>
    </w:p>
    <w:p w14:paraId="71ED6F25">
      <w:pPr>
        <w:pStyle w:val="7"/>
        <w:spacing w:before="72"/>
        <w:rPr>
          <w:rFonts w:hint="eastAsia" w:ascii="Times New Roman"/>
          <w:sz w:val="30"/>
          <w:szCs w:val="24"/>
        </w:rPr>
        <w:sectPr>
          <w:pgSz w:w="11905" w:h="16837"/>
          <w:pgMar w:top="2098" w:right="1474" w:bottom="1984" w:left="1587" w:header="720" w:footer="720" w:gutter="0"/>
          <w:lnNumType w:countBy="0" w:distance="360"/>
          <w:cols w:space="720" w:num="1"/>
        </w:sectPr>
      </w:pPr>
    </w:p>
    <w:p w14:paraId="4644F2B1">
      <w:pPr>
        <w:pStyle w:val="3"/>
        <w:keepNext/>
        <w:keepLines/>
        <w:pageBreakBefore/>
        <w:spacing w:after="313" w:line="576" w:lineRule="exact"/>
        <w:jc w:val="center"/>
        <w:rPr>
          <w:rFonts w:hint="eastAsia" w:ascii="Times New Roman" w:eastAsia="方正小标宋简体" w:cs="方正小标宋简体"/>
          <w:kern w:val="2"/>
          <w:sz w:val="44"/>
          <w:szCs w:val="44"/>
        </w:rPr>
      </w:pPr>
      <w:r>
        <w:rPr>
          <w:rFonts w:hint="eastAsia" w:ascii="Times New Roman" w:eastAsia="方正小标宋简体" w:cs="方正小标宋简体"/>
          <w:kern w:val="2"/>
          <w:sz w:val="44"/>
          <w:szCs w:val="44"/>
        </w:rPr>
        <w:t>第一部分 部门概况</w:t>
      </w:r>
    </w:p>
    <w:p w14:paraId="57408861">
      <w:pPr>
        <w:pStyle w:val="4"/>
        <w:keepNext/>
        <w:keepLines/>
        <w:spacing w:line="576" w:lineRule="exact"/>
        <w:ind w:firstLine="640" w:firstLineChars="200"/>
        <w:jc w:val="both"/>
        <w:rPr>
          <w:rFonts w:hint="eastAsia" w:ascii="Times New Roman" w:eastAsia="黑体"/>
          <w:kern w:val="2"/>
          <w:sz w:val="32"/>
          <w:szCs w:val="24"/>
        </w:rPr>
      </w:pPr>
      <w:r>
        <w:rPr>
          <w:rFonts w:hint="eastAsia" w:ascii="Times New Roman" w:eastAsia="黑体"/>
          <w:color w:val="000000"/>
          <w:kern w:val="2"/>
          <w:sz w:val="32"/>
          <w:szCs w:val="24"/>
        </w:rPr>
        <w:t>一、部门职责</w:t>
      </w:r>
    </w:p>
    <w:p w14:paraId="26644F46">
      <w:pPr>
        <w:autoSpaceDE/>
        <w:autoSpaceDN/>
        <w:adjustRightInd/>
        <w:spacing w:line="576" w:lineRule="exact"/>
        <w:ind w:firstLine="640" w:firstLineChars="200"/>
        <w:jc w:val="both"/>
        <w:rPr>
          <w:rFonts w:hint="eastAsia" w:ascii="Times New Roman" w:eastAsia="楷体_GB2312" w:cs="楷体_GB2312"/>
          <w:kern w:val="2"/>
          <w:sz w:val="32"/>
          <w:szCs w:val="32"/>
        </w:rPr>
      </w:pPr>
      <w:r>
        <w:rPr>
          <w:rFonts w:hint="eastAsia" w:ascii="Times New Roman" w:eastAsia="楷体_GB2312" w:cs="楷体_GB2312"/>
          <w:kern w:val="2"/>
          <w:sz w:val="32"/>
          <w:szCs w:val="32"/>
        </w:rPr>
        <w:t>（一）主要职能。</w:t>
      </w:r>
    </w:p>
    <w:p w14:paraId="2BAC2793">
      <w:pPr>
        <w:autoSpaceDE/>
        <w:autoSpaceDN/>
        <w:adjustRightInd/>
        <w:spacing w:line="576" w:lineRule="exact"/>
        <w:ind w:firstLine="643" w:firstLineChars="200"/>
        <w:jc w:val="both"/>
        <w:rPr>
          <w:rFonts w:hint="eastAsia" w:ascii="Times New Roman" w:eastAsia="仿宋_GB2312"/>
          <w:color w:val="000000"/>
          <w:kern w:val="2"/>
          <w:sz w:val="32"/>
          <w:szCs w:val="24"/>
        </w:rPr>
      </w:pPr>
      <w:r>
        <w:rPr>
          <w:rFonts w:hint="eastAsia" w:ascii="Times New Roman" w:eastAsia="仿宋_GB2312"/>
          <w:b/>
          <w:color w:val="000000"/>
          <w:kern w:val="2"/>
          <w:sz w:val="32"/>
          <w:szCs w:val="24"/>
        </w:rPr>
        <w:t xml:space="preserve"> 镇党委是</w:t>
      </w:r>
      <w:r>
        <w:rPr>
          <w:rFonts w:hint="eastAsia" w:ascii="Times New Roman" w:eastAsia="仿宋_GB2312"/>
          <w:color w:val="000000"/>
          <w:kern w:val="2"/>
          <w:sz w:val="32"/>
          <w:szCs w:val="24"/>
        </w:rPr>
        <w:t>党的基层组织，领导本镇政治、经济、文化、社会、生态文明建设和基层社会治理等各方面工作，承担管党治党工作责任，支持和保证行政组织、经济组织和群众自治组织充分行使职权。主要职责是：</w:t>
      </w:r>
    </w:p>
    <w:p w14:paraId="552C8E59">
      <w:pPr>
        <w:autoSpaceDE/>
        <w:autoSpaceDN/>
        <w:adjustRightInd/>
        <w:spacing w:line="576" w:lineRule="exact"/>
        <w:ind w:firstLine="640" w:firstLineChars="200"/>
        <w:jc w:val="both"/>
        <w:rPr>
          <w:rFonts w:hint="eastAsia" w:ascii="Times New Roman" w:eastAsia="仿宋_GB2312"/>
          <w:color w:val="000000"/>
          <w:kern w:val="2"/>
          <w:sz w:val="32"/>
          <w:szCs w:val="24"/>
        </w:rPr>
      </w:pPr>
      <w:r>
        <w:rPr>
          <w:rFonts w:hint="eastAsia" w:ascii="Times New Roman" w:eastAsia="仿宋_GB2312"/>
          <w:color w:val="000000"/>
          <w:kern w:val="2"/>
          <w:sz w:val="32"/>
          <w:szCs w:val="24"/>
        </w:rPr>
        <w:t>1.宣传贯彻执行党的路线、方针、政策和上级党组织及本级组织的决议；团结并组织党员、干部和群众，推动各项事业改革发展。</w:t>
      </w:r>
    </w:p>
    <w:p w14:paraId="5CB85DB5">
      <w:pPr>
        <w:autoSpaceDE/>
        <w:autoSpaceDN/>
        <w:adjustRightInd/>
        <w:spacing w:line="576" w:lineRule="exact"/>
        <w:ind w:firstLine="640" w:firstLineChars="200"/>
        <w:jc w:val="both"/>
        <w:rPr>
          <w:rFonts w:hint="eastAsia" w:ascii="Times New Roman" w:eastAsia="仿宋_GB2312"/>
          <w:color w:val="000000"/>
          <w:kern w:val="2"/>
          <w:sz w:val="32"/>
          <w:szCs w:val="24"/>
        </w:rPr>
      </w:pPr>
      <w:r>
        <w:rPr>
          <w:rFonts w:hint="eastAsia" w:ascii="Times New Roman" w:eastAsia="仿宋_GB2312"/>
          <w:color w:val="000000"/>
          <w:kern w:val="2"/>
          <w:sz w:val="32"/>
          <w:szCs w:val="24"/>
        </w:rPr>
        <w:t>2.研究决定辖区经济建设、政治建设、文化建设、社会建设、生态文明建设和党的建设等方面的重大问题。</w:t>
      </w:r>
    </w:p>
    <w:p w14:paraId="7DD3A13C">
      <w:pPr>
        <w:autoSpaceDE/>
        <w:autoSpaceDN/>
        <w:adjustRightInd/>
        <w:spacing w:line="576" w:lineRule="exact"/>
        <w:ind w:firstLine="640" w:firstLineChars="200"/>
        <w:jc w:val="both"/>
        <w:rPr>
          <w:rFonts w:hint="eastAsia" w:ascii="Times New Roman" w:eastAsia="仿宋_GB2312"/>
          <w:color w:val="000000"/>
          <w:kern w:val="2"/>
          <w:sz w:val="32"/>
          <w:szCs w:val="24"/>
        </w:rPr>
      </w:pPr>
      <w:r>
        <w:rPr>
          <w:rFonts w:hint="eastAsia" w:ascii="Times New Roman" w:eastAsia="仿宋_GB2312"/>
          <w:color w:val="000000"/>
          <w:kern w:val="2"/>
          <w:sz w:val="32"/>
          <w:szCs w:val="24"/>
        </w:rPr>
        <w:t>3.领导和协调人大主席团、政府的工作，领导和管理本镇工会、共青团、妇联、武装、统战、新闻宣传、民主法制等工作；支持和保证行政组织、经济组织、社会组织和其他自治组织依法依章程充分行使职权。</w:t>
      </w:r>
    </w:p>
    <w:p w14:paraId="7CF9CE2B">
      <w:pPr>
        <w:autoSpaceDE/>
        <w:autoSpaceDN/>
        <w:adjustRightInd/>
        <w:spacing w:line="576" w:lineRule="exact"/>
        <w:ind w:firstLine="640" w:firstLineChars="200"/>
        <w:jc w:val="both"/>
        <w:rPr>
          <w:rFonts w:hint="eastAsia" w:ascii="Times New Roman" w:eastAsia="仿宋_GB2312"/>
          <w:color w:val="000000"/>
          <w:kern w:val="2"/>
          <w:sz w:val="32"/>
          <w:szCs w:val="24"/>
        </w:rPr>
      </w:pPr>
      <w:r>
        <w:rPr>
          <w:rFonts w:hint="eastAsia" w:ascii="Times New Roman" w:eastAsia="仿宋_GB2312"/>
          <w:color w:val="000000"/>
          <w:kern w:val="2"/>
          <w:sz w:val="32"/>
          <w:szCs w:val="24"/>
        </w:rPr>
        <w:t>4.落实全面从严治党主体责任，强化基层党组织的政治功能和服务功能，抓好党员教育管理和发展党员工作，发挥基层党组织战斗堡垒作用和党员先锋模范作用。履行党风廉政建设主体责任，领导和支持纪检监察机关履行监督责任，严格执行和维护党的纪律。</w:t>
      </w:r>
    </w:p>
    <w:p w14:paraId="0FCA74BE">
      <w:pPr>
        <w:autoSpaceDE/>
        <w:autoSpaceDN/>
        <w:adjustRightInd/>
        <w:spacing w:line="576" w:lineRule="exact"/>
        <w:ind w:firstLine="640" w:firstLineChars="200"/>
        <w:jc w:val="both"/>
        <w:rPr>
          <w:rFonts w:hint="eastAsia" w:ascii="Times New Roman" w:eastAsia="仿宋_GB2312"/>
          <w:color w:val="000000"/>
          <w:kern w:val="2"/>
          <w:sz w:val="32"/>
          <w:szCs w:val="24"/>
        </w:rPr>
      </w:pPr>
      <w:r>
        <w:rPr>
          <w:rFonts w:hint="eastAsia" w:ascii="Times New Roman" w:eastAsia="仿宋_GB2312"/>
          <w:color w:val="000000"/>
          <w:kern w:val="2"/>
          <w:sz w:val="32"/>
          <w:szCs w:val="24"/>
        </w:rPr>
        <w:t>5.按照干部管理权限，做好干部教育、培养、选拔和监督工作，按照有关要求，加强上级部门驻镇单位干部的管理。研究决定党员干部纪律处分有关事项。落实党的人才政策，做好优秀人才引进、培养、使用和服务等工作。</w:t>
      </w:r>
    </w:p>
    <w:p w14:paraId="469F6B6B">
      <w:pPr>
        <w:autoSpaceDE/>
        <w:autoSpaceDN/>
        <w:adjustRightInd/>
        <w:spacing w:line="576" w:lineRule="exact"/>
        <w:ind w:firstLine="640" w:firstLineChars="200"/>
        <w:jc w:val="both"/>
        <w:rPr>
          <w:rFonts w:hint="eastAsia" w:ascii="Times New Roman" w:eastAsia="仿宋_GB2312"/>
          <w:color w:val="000000"/>
          <w:kern w:val="2"/>
          <w:sz w:val="32"/>
          <w:szCs w:val="24"/>
        </w:rPr>
      </w:pPr>
      <w:r>
        <w:rPr>
          <w:rFonts w:hint="eastAsia" w:ascii="Times New Roman" w:eastAsia="仿宋_GB2312"/>
          <w:color w:val="000000"/>
          <w:kern w:val="2"/>
          <w:sz w:val="32"/>
          <w:szCs w:val="24"/>
        </w:rPr>
        <w:t>6.坚持以党建为引领，加强和创新社会治理，完善党委领导、政府负责、社会协同、公众参与、法治保障的社会治理体制，打造共建共治共享的社会治理格局。支持“ 两代表一委员”在基层治理中积极发挥作用。</w:t>
      </w:r>
    </w:p>
    <w:p w14:paraId="765DE61A">
      <w:pPr>
        <w:autoSpaceDE/>
        <w:autoSpaceDN/>
        <w:adjustRightInd/>
        <w:spacing w:line="576" w:lineRule="exact"/>
        <w:ind w:firstLine="640" w:firstLineChars="200"/>
        <w:jc w:val="both"/>
        <w:rPr>
          <w:rFonts w:hint="eastAsia" w:ascii="Times New Roman" w:eastAsia="仿宋_GB2312"/>
          <w:color w:val="000000"/>
          <w:kern w:val="2"/>
          <w:sz w:val="32"/>
          <w:szCs w:val="24"/>
        </w:rPr>
      </w:pPr>
      <w:r>
        <w:rPr>
          <w:rFonts w:hint="eastAsia" w:ascii="Times New Roman" w:eastAsia="仿宋_GB2312"/>
          <w:color w:val="000000"/>
          <w:kern w:val="2"/>
          <w:sz w:val="32"/>
          <w:szCs w:val="24"/>
        </w:rPr>
        <w:t>7.加强基层宣传思想文化工作和意识形态工作，推进基层精神文明建设，培养和弘扬社会主义核心价值观，创造良好社会环境。</w:t>
      </w:r>
    </w:p>
    <w:p w14:paraId="578C8267">
      <w:pPr>
        <w:autoSpaceDE/>
        <w:autoSpaceDN/>
        <w:adjustRightInd/>
        <w:spacing w:line="576" w:lineRule="exact"/>
        <w:ind w:firstLine="640" w:firstLineChars="200"/>
        <w:jc w:val="both"/>
        <w:rPr>
          <w:rFonts w:hint="eastAsia" w:ascii="Times New Roman" w:eastAsia="仿宋_GB2312"/>
          <w:color w:val="000000"/>
          <w:kern w:val="2"/>
          <w:sz w:val="32"/>
          <w:szCs w:val="24"/>
        </w:rPr>
      </w:pPr>
      <w:r>
        <w:rPr>
          <w:rFonts w:hint="eastAsia" w:ascii="Times New Roman" w:eastAsia="仿宋_GB2312"/>
          <w:color w:val="000000"/>
          <w:kern w:val="2"/>
          <w:sz w:val="32"/>
          <w:szCs w:val="24"/>
        </w:rPr>
        <w:t>8.完成上级党委交办的其他任务。</w:t>
      </w:r>
    </w:p>
    <w:p w14:paraId="34BD598E">
      <w:pPr>
        <w:autoSpaceDE/>
        <w:autoSpaceDN/>
        <w:adjustRightInd/>
        <w:spacing w:line="576" w:lineRule="exact"/>
        <w:ind w:firstLine="643" w:firstLineChars="200"/>
        <w:jc w:val="both"/>
        <w:rPr>
          <w:rFonts w:hint="eastAsia" w:ascii="Times New Roman" w:eastAsia="仿宋_GB2312"/>
          <w:color w:val="000000"/>
          <w:kern w:val="2"/>
          <w:sz w:val="32"/>
          <w:szCs w:val="24"/>
        </w:rPr>
      </w:pPr>
      <w:r>
        <w:rPr>
          <w:rFonts w:hint="eastAsia" w:ascii="Times New Roman" w:eastAsia="仿宋_GB2312"/>
          <w:b/>
          <w:color w:val="000000"/>
          <w:kern w:val="2"/>
          <w:sz w:val="32"/>
          <w:szCs w:val="24"/>
        </w:rPr>
        <w:t>镇人民政府是</w:t>
      </w:r>
      <w:r>
        <w:rPr>
          <w:rFonts w:hint="eastAsia" w:ascii="Times New Roman" w:eastAsia="仿宋_GB2312"/>
          <w:color w:val="000000"/>
          <w:kern w:val="2"/>
          <w:sz w:val="32"/>
          <w:szCs w:val="24"/>
        </w:rPr>
        <w:t>基层国家行政机关，依法行使行政管 理和服务职能。主要职责是：</w:t>
      </w:r>
    </w:p>
    <w:p w14:paraId="622F9B20">
      <w:pPr>
        <w:autoSpaceDE/>
        <w:autoSpaceDN/>
        <w:adjustRightInd/>
        <w:spacing w:line="576" w:lineRule="exact"/>
        <w:ind w:firstLine="640" w:firstLineChars="200"/>
        <w:jc w:val="both"/>
        <w:rPr>
          <w:rFonts w:hint="eastAsia" w:ascii="Times New Roman" w:eastAsia="仿宋_GB2312"/>
          <w:color w:val="000000"/>
          <w:kern w:val="2"/>
          <w:sz w:val="32"/>
          <w:szCs w:val="24"/>
        </w:rPr>
      </w:pPr>
      <w:r>
        <w:rPr>
          <w:rFonts w:hint="eastAsia" w:ascii="Times New Roman" w:eastAsia="仿宋_GB2312"/>
          <w:color w:val="000000"/>
          <w:kern w:val="2"/>
          <w:sz w:val="32"/>
          <w:szCs w:val="24"/>
        </w:rPr>
        <w:t>1.贯彻落实党的路线方针政策和国家法律法规，制定并执行本级人民代表大会的决议和上级国家行政机关的决定和命令，加强农村基层政权建设，巩固党在农村的执政基础。</w:t>
      </w:r>
    </w:p>
    <w:p w14:paraId="0604A603">
      <w:pPr>
        <w:autoSpaceDE/>
        <w:autoSpaceDN/>
        <w:adjustRightInd/>
        <w:spacing w:line="576" w:lineRule="exact"/>
        <w:ind w:firstLine="640" w:firstLineChars="200"/>
        <w:jc w:val="both"/>
        <w:rPr>
          <w:rFonts w:hint="eastAsia" w:ascii="Times New Roman" w:eastAsia="仿宋_GB2312"/>
          <w:color w:val="000000"/>
          <w:kern w:val="2"/>
          <w:sz w:val="32"/>
          <w:szCs w:val="24"/>
        </w:rPr>
      </w:pPr>
      <w:r>
        <w:rPr>
          <w:rFonts w:hint="eastAsia" w:ascii="Times New Roman" w:eastAsia="仿宋_GB2312"/>
          <w:color w:val="000000"/>
          <w:kern w:val="2"/>
          <w:sz w:val="32"/>
          <w:szCs w:val="24"/>
        </w:rPr>
        <w:t>2.组织编制本行政区域经济社会发展规划和镇国土空间规划、村（社区）规划等相关规划。组织实施产业发展和基础设施建设，积极推动各项民生事业发展。负责职责范围内的自然资源保护和开发利用、生态环境污染防治等工作。优化营商环境，为项目投资促进提供保障。组织农村基础设施和各项公益事业建设，实施乡村振兴战略，加快经济社会发展，改善人民群众生产生活环境。</w:t>
      </w:r>
    </w:p>
    <w:p w14:paraId="15E93AE7">
      <w:pPr>
        <w:autoSpaceDE/>
        <w:autoSpaceDN/>
        <w:adjustRightInd/>
        <w:spacing w:line="576" w:lineRule="exact"/>
        <w:ind w:firstLine="640" w:firstLineChars="200"/>
        <w:jc w:val="both"/>
        <w:rPr>
          <w:rFonts w:hint="eastAsia" w:ascii="Times New Roman" w:eastAsia="仿宋_GB2312"/>
          <w:color w:val="000000"/>
          <w:kern w:val="2"/>
          <w:sz w:val="32"/>
          <w:szCs w:val="24"/>
        </w:rPr>
      </w:pPr>
      <w:r>
        <w:rPr>
          <w:rFonts w:hint="eastAsia" w:ascii="Times New Roman" w:eastAsia="仿宋_GB2312"/>
          <w:color w:val="000000"/>
          <w:kern w:val="2"/>
          <w:sz w:val="32"/>
          <w:szCs w:val="24"/>
        </w:rPr>
        <w:t>3.指导农村经济发展，推进农业经济结构调整，促进经济增长方式转变，促进农业增效、农民增收。</w:t>
      </w:r>
    </w:p>
    <w:p w14:paraId="62B57860">
      <w:pPr>
        <w:autoSpaceDE/>
        <w:autoSpaceDN/>
        <w:adjustRightInd/>
        <w:spacing w:line="576" w:lineRule="exact"/>
        <w:ind w:firstLine="640" w:firstLineChars="200"/>
        <w:jc w:val="both"/>
        <w:rPr>
          <w:rFonts w:hint="eastAsia" w:ascii="Times New Roman" w:eastAsia="仿宋_GB2312"/>
          <w:color w:val="000000"/>
          <w:kern w:val="2"/>
          <w:sz w:val="32"/>
          <w:szCs w:val="24"/>
        </w:rPr>
      </w:pPr>
      <w:r>
        <w:rPr>
          <w:rFonts w:hint="eastAsia" w:ascii="Times New Roman" w:eastAsia="仿宋_GB2312"/>
          <w:color w:val="000000"/>
          <w:kern w:val="2"/>
          <w:sz w:val="32"/>
          <w:szCs w:val="24"/>
        </w:rPr>
        <w:t>4.加强农村公共服务体系建设，落实审批制度便民化措施，全面提高党群服务能力和政务服务水平。研究制定各项社会事业发展规划，加大各项民生建设和保障力度，做好民生兜底保障工作，构建公共服务均等化体系，促进农村社会事业健康有序发展。</w:t>
      </w:r>
    </w:p>
    <w:p w14:paraId="4C95E975">
      <w:pPr>
        <w:autoSpaceDE/>
        <w:autoSpaceDN/>
        <w:adjustRightInd/>
        <w:spacing w:line="576" w:lineRule="exact"/>
        <w:ind w:firstLine="640" w:firstLineChars="200"/>
        <w:jc w:val="both"/>
        <w:rPr>
          <w:rFonts w:hint="eastAsia" w:ascii="Times New Roman" w:eastAsia="仿宋_GB2312"/>
          <w:color w:val="000000"/>
          <w:kern w:val="2"/>
          <w:sz w:val="32"/>
          <w:szCs w:val="24"/>
        </w:rPr>
      </w:pPr>
      <w:r>
        <w:rPr>
          <w:rFonts w:hint="eastAsia" w:ascii="Times New Roman" w:eastAsia="仿宋_GB2312"/>
          <w:color w:val="000000"/>
          <w:kern w:val="2"/>
          <w:sz w:val="32"/>
          <w:szCs w:val="24"/>
        </w:rPr>
        <w:t>5.推进基层民主法制建设，加强普法和依法治理，指导村（居）民委员会工作，维护群众合法权益。根据法律法规和授 权负责镇域内综合行政执法工作，统筹协调辖区内派驻（出）机 构和人员，依法履行行政处罚、监督检查等管理权限。</w:t>
      </w:r>
    </w:p>
    <w:p w14:paraId="3B0AD3DB">
      <w:pPr>
        <w:autoSpaceDE/>
        <w:autoSpaceDN/>
        <w:adjustRightInd/>
        <w:spacing w:line="576" w:lineRule="exact"/>
        <w:ind w:firstLine="640" w:firstLineChars="200"/>
        <w:jc w:val="both"/>
        <w:rPr>
          <w:rFonts w:hint="eastAsia" w:ascii="Times New Roman" w:eastAsia="仿宋_GB2312"/>
          <w:color w:val="000000"/>
          <w:kern w:val="2"/>
          <w:sz w:val="32"/>
          <w:szCs w:val="24"/>
        </w:rPr>
      </w:pPr>
      <w:r>
        <w:rPr>
          <w:rFonts w:hint="eastAsia" w:ascii="Times New Roman" w:eastAsia="仿宋_GB2312"/>
          <w:color w:val="000000"/>
          <w:kern w:val="2"/>
          <w:sz w:val="32"/>
          <w:szCs w:val="24"/>
        </w:rPr>
        <w:t>6.承担辖区平安建设、社会治安综合治理、公共安全、安全生产及应急管理等有关工作，处理群众来信来访，反映社情民意，化解矛盾纠纷，维护社会安全稳定。</w:t>
      </w:r>
    </w:p>
    <w:p w14:paraId="077B14F3">
      <w:pPr>
        <w:autoSpaceDE/>
        <w:autoSpaceDN/>
        <w:adjustRightInd/>
        <w:spacing w:line="576" w:lineRule="exact"/>
        <w:ind w:firstLine="640" w:firstLineChars="200"/>
        <w:jc w:val="both"/>
        <w:rPr>
          <w:rFonts w:hint="eastAsia" w:ascii="Times New Roman" w:eastAsia="仿宋_GB2312"/>
          <w:color w:val="000000"/>
          <w:kern w:val="2"/>
          <w:sz w:val="32"/>
          <w:szCs w:val="24"/>
        </w:rPr>
      </w:pPr>
      <w:r>
        <w:rPr>
          <w:rFonts w:hint="eastAsia" w:ascii="Times New Roman" w:eastAsia="仿宋_GB2312"/>
          <w:color w:val="000000"/>
          <w:kern w:val="2"/>
          <w:sz w:val="32"/>
          <w:szCs w:val="24"/>
        </w:rPr>
        <w:t>7.做好国防教育和兵役等工作。</w:t>
      </w:r>
    </w:p>
    <w:p w14:paraId="6822676C">
      <w:pPr>
        <w:autoSpaceDE/>
        <w:autoSpaceDN/>
        <w:adjustRightInd/>
        <w:spacing w:line="576" w:lineRule="exact"/>
        <w:ind w:firstLine="640" w:firstLineChars="200"/>
        <w:jc w:val="both"/>
        <w:rPr>
          <w:rFonts w:hint="eastAsia" w:ascii="Times New Roman" w:eastAsia="仿宋_GB2312"/>
          <w:color w:val="000000"/>
          <w:kern w:val="2"/>
          <w:sz w:val="32"/>
          <w:szCs w:val="24"/>
        </w:rPr>
      </w:pPr>
      <w:r>
        <w:rPr>
          <w:rFonts w:hint="eastAsia" w:ascii="Times New Roman" w:eastAsia="仿宋_GB2312"/>
          <w:color w:val="000000"/>
          <w:kern w:val="2"/>
          <w:sz w:val="32"/>
          <w:szCs w:val="24"/>
        </w:rPr>
        <w:t>8.负责制定完善乡镇行政权力清单、乡镇权力责任清单、乡镇属地事项责任清单，建立清单动态调整和公示机制，推进政 务公开，接受群众监督，增强政府公信力。</w:t>
      </w:r>
    </w:p>
    <w:p w14:paraId="2846A9BA">
      <w:pPr>
        <w:autoSpaceDE/>
        <w:autoSpaceDN/>
        <w:adjustRightInd/>
        <w:spacing w:line="576" w:lineRule="exact"/>
        <w:ind w:firstLine="640" w:firstLineChars="200"/>
        <w:jc w:val="both"/>
        <w:rPr>
          <w:rFonts w:hint="eastAsia" w:ascii="Times New Roman" w:eastAsia="仿宋_GB2312"/>
          <w:color w:val="000000"/>
          <w:kern w:val="2"/>
          <w:sz w:val="32"/>
          <w:szCs w:val="24"/>
        </w:rPr>
      </w:pPr>
      <w:r>
        <w:rPr>
          <w:rFonts w:hint="eastAsia" w:ascii="Times New Roman" w:eastAsia="仿宋_GB2312"/>
          <w:color w:val="000000"/>
          <w:kern w:val="2"/>
          <w:sz w:val="32"/>
          <w:szCs w:val="24"/>
        </w:rPr>
        <w:t>9.承担</w:t>
      </w:r>
      <w:r>
        <w:rPr>
          <w:rFonts w:hint="eastAsia" w:ascii="Times New Roman" w:eastAsia="仿宋_GB2312"/>
          <w:color w:val="000000"/>
          <w:kern w:val="2"/>
          <w:sz w:val="32"/>
          <w:szCs w:val="24"/>
          <w:lang w:eastAsia="zh-CN"/>
        </w:rPr>
        <w:t>法律法规</w:t>
      </w:r>
      <w:r>
        <w:rPr>
          <w:rFonts w:hint="eastAsia" w:ascii="Times New Roman" w:eastAsia="仿宋_GB2312"/>
          <w:color w:val="000000"/>
          <w:kern w:val="2"/>
          <w:sz w:val="32"/>
          <w:szCs w:val="24"/>
        </w:rPr>
        <w:t>、规章规定的其他职能和上级党委、 政府交办的其他任务。</w:t>
      </w:r>
    </w:p>
    <w:p w14:paraId="2B0927AA">
      <w:pPr>
        <w:autoSpaceDE/>
        <w:autoSpaceDN/>
        <w:adjustRightInd/>
        <w:spacing w:line="576" w:lineRule="exact"/>
        <w:ind w:firstLine="640" w:firstLineChars="200"/>
        <w:jc w:val="both"/>
        <w:rPr>
          <w:rFonts w:hint="eastAsia" w:ascii="Times New Roman" w:eastAsia="楷体_GB2312" w:cs="楷体_GB2312"/>
          <w:kern w:val="2"/>
          <w:sz w:val="32"/>
          <w:szCs w:val="32"/>
        </w:rPr>
      </w:pPr>
      <w:r>
        <w:rPr>
          <w:rFonts w:hint="eastAsia" w:ascii="Times New Roman" w:eastAsia="楷体_GB2312" w:cs="楷体_GB2312"/>
          <w:kern w:val="2"/>
          <w:sz w:val="32"/>
          <w:szCs w:val="32"/>
        </w:rPr>
        <w:t>（二）2023年重点工作完成情况</w:t>
      </w:r>
    </w:p>
    <w:p w14:paraId="39908115">
      <w:pPr>
        <w:spacing w:line="576" w:lineRule="exact"/>
        <w:ind w:firstLine="640" w:firstLineChars="200"/>
        <w:jc w:val="both"/>
        <w:rPr>
          <w:rFonts w:hint="eastAsia" w:ascii="Times New Roman" w:eastAsia="仿宋_GB2312"/>
          <w:color w:val="000000"/>
          <w:kern w:val="2"/>
          <w:sz w:val="32"/>
          <w:szCs w:val="24"/>
          <w:lang w:val="en"/>
        </w:rPr>
      </w:pPr>
      <w:bookmarkStart w:id="0" w:name="OLE_LINK27"/>
      <w:r>
        <w:rPr>
          <w:rFonts w:hint="eastAsia" w:ascii="Times New Roman" w:eastAsia="仿宋_GB2312"/>
          <w:color w:val="000000"/>
          <w:kern w:val="2"/>
          <w:sz w:val="32"/>
          <w:szCs w:val="24"/>
        </w:rPr>
        <w:t>1.</w:t>
      </w:r>
      <w:r>
        <w:rPr>
          <w:rFonts w:hint="eastAsia" w:ascii="Times New Roman" w:eastAsia="仿宋_GB2312"/>
          <w:color w:val="000000"/>
          <w:kern w:val="2"/>
          <w:sz w:val="32"/>
          <w:szCs w:val="24"/>
          <w:lang w:val="en"/>
        </w:rPr>
        <w:t>精准施策、奋力赶超，经济</w:t>
      </w:r>
      <w:r>
        <w:rPr>
          <w:rFonts w:hint="eastAsia" w:ascii="Times New Roman" w:eastAsia="仿宋_GB2312"/>
          <w:color w:val="000000"/>
          <w:kern w:val="2"/>
          <w:sz w:val="32"/>
          <w:szCs w:val="24"/>
        </w:rPr>
        <w:t>形势稳中向好</w:t>
      </w:r>
      <w:r>
        <w:rPr>
          <w:rFonts w:hint="eastAsia" w:ascii="Times New Roman" w:eastAsia="仿宋_GB2312"/>
          <w:color w:val="000000"/>
          <w:kern w:val="2"/>
          <w:sz w:val="32"/>
          <w:szCs w:val="24"/>
          <w:lang w:val="en"/>
        </w:rPr>
        <w:t>。</w:t>
      </w:r>
    </w:p>
    <w:p w14:paraId="292FAC8E">
      <w:pPr>
        <w:spacing w:line="576" w:lineRule="exact"/>
        <w:ind w:firstLine="640" w:firstLineChars="200"/>
        <w:jc w:val="both"/>
        <w:rPr>
          <w:rFonts w:hint="eastAsia" w:ascii="Times New Roman" w:eastAsia="仿宋_GB2312"/>
          <w:color w:val="000000"/>
          <w:kern w:val="2"/>
          <w:sz w:val="32"/>
          <w:szCs w:val="24"/>
        </w:rPr>
      </w:pPr>
      <w:r>
        <w:rPr>
          <w:rFonts w:hint="eastAsia" w:ascii="Times New Roman" w:eastAsia="仿宋_GB2312"/>
          <w:color w:val="000000"/>
          <w:kern w:val="2"/>
          <w:sz w:val="32"/>
          <w:szCs w:val="24"/>
          <w:lang w:val="en"/>
        </w:rPr>
        <w:t>经济</w:t>
      </w:r>
      <w:r>
        <w:rPr>
          <w:rFonts w:hint="eastAsia" w:ascii="Times New Roman" w:eastAsia="仿宋_GB2312"/>
          <w:color w:val="000000"/>
          <w:kern w:val="2"/>
          <w:sz w:val="32"/>
          <w:szCs w:val="24"/>
        </w:rPr>
        <w:t>运行稳中有进。</w:t>
      </w:r>
      <w:r>
        <w:rPr>
          <w:rFonts w:hint="eastAsia" w:ascii="Times New Roman" w:eastAsia="仿宋_GB2312"/>
          <w:color w:val="000000"/>
          <w:kern w:val="2"/>
          <w:sz w:val="32"/>
          <w:szCs w:val="24"/>
          <w:lang w:val="en"/>
        </w:rPr>
        <w:t>全镇按照“新上项目抓协调、在建项目抓进度、竣工项目抓投产”</w:t>
      </w:r>
      <w:r>
        <w:rPr>
          <w:rFonts w:hint="eastAsia" w:ascii="Times New Roman" w:eastAsia="仿宋_GB2312"/>
          <w:color w:val="000000"/>
          <w:kern w:val="2"/>
          <w:sz w:val="32"/>
          <w:szCs w:val="24"/>
        </w:rPr>
        <w:t>工作</w:t>
      </w:r>
      <w:r>
        <w:rPr>
          <w:rFonts w:hint="eastAsia" w:ascii="Times New Roman" w:eastAsia="仿宋_GB2312"/>
          <w:color w:val="000000"/>
          <w:kern w:val="2"/>
          <w:sz w:val="32"/>
          <w:szCs w:val="24"/>
          <w:lang w:val="en"/>
        </w:rPr>
        <w:t>思路，成功盘活闲置3年多</w:t>
      </w:r>
      <w:r>
        <w:rPr>
          <w:rFonts w:hint="eastAsia" w:ascii="Times New Roman" w:eastAsia="仿宋_GB2312"/>
          <w:color w:val="000000"/>
          <w:kern w:val="2"/>
          <w:sz w:val="32"/>
          <w:szCs w:val="24"/>
        </w:rPr>
        <w:t>的</w:t>
      </w:r>
      <w:r>
        <w:rPr>
          <w:rFonts w:hint="eastAsia" w:ascii="Times New Roman" w:eastAsia="仿宋_GB2312"/>
          <w:color w:val="000000"/>
          <w:kern w:val="2"/>
          <w:sz w:val="32"/>
          <w:szCs w:val="24"/>
          <w:lang w:val="en"/>
        </w:rPr>
        <w:t>白头村卓越红薯粉加工厂</w:t>
      </w:r>
      <w:r>
        <w:rPr>
          <w:rFonts w:hint="eastAsia" w:ascii="Times New Roman" w:eastAsia="仿宋_GB2312"/>
          <w:color w:val="000000"/>
          <w:kern w:val="2"/>
          <w:sz w:val="32"/>
          <w:szCs w:val="24"/>
        </w:rPr>
        <w:t>和</w:t>
      </w:r>
      <w:r>
        <w:rPr>
          <w:rFonts w:hint="eastAsia" w:ascii="Times New Roman" w:eastAsia="仿宋_GB2312"/>
          <w:color w:val="000000"/>
          <w:kern w:val="2"/>
          <w:sz w:val="32"/>
          <w:szCs w:val="24"/>
          <w:lang w:val="en"/>
        </w:rPr>
        <w:t>水磨村中药材种植加工</w:t>
      </w:r>
      <w:r>
        <w:rPr>
          <w:rFonts w:hint="eastAsia" w:ascii="Times New Roman" w:eastAsia="仿宋_GB2312"/>
          <w:color w:val="000000"/>
          <w:kern w:val="2"/>
          <w:sz w:val="32"/>
          <w:szCs w:val="24"/>
        </w:rPr>
        <w:t>厂</w:t>
      </w:r>
      <w:r>
        <w:rPr>
          <w:rFonts w:hint="eastAsia" w:ascii="Times New Roman" w:eastAsia="仿宋_GB2312"/>
          <w:color w:val="000000"/>
          <w:kern w:val="2"/>
          <w:sz w:val="32"/>
          <w:szCs w:val="24"/>
          <w:lang w:val="en"/>
        </w:rPr>
        <w:t>，</w:t>
      </w:r>
      <w:r>
        <w:rPr>
          <w:rFonts w:hint="eastAsia" w:ascii="Times New Roman" w:eastAsia="仿宋_GB2312"/>
          <w:color w:val="000000"/>
          <w:kern w:val="2"/>
          <w:sz w:val="32"/>
          <w:szCs w:val="24"/>
        </w:rPr>
        <w:t>带动周边1300余户群众发展红薯、中药材种植产业，顺利实现助农增收。推动</w:t>
      </w:r>
      <w:r>
        <w:rPr>
          <w:rFonts w:hint="eastAsia" w:ascii="Times New Roman" w:eastAsia="仿宋_GB2312"/>
          <w:color w:val="000000"/>
          <w:kern w:val="2"/>
          <w:sz w:val="32"/>
          <w:szCs w:val="24"/>
          <w:lang w:val="en"/>
        </w:rPr>
        <w:t>三红砖厂</w:t>
      </w:r>
      <w:r>
        <w:rPr>
          <w:rFonts w:hint="eastAsia" w:ascii="Times New Roman" w:eastAsia="仿宋_GB2312"/>
          <w:color w:val="000000"/>
          <w:kern w:val="2"/>
          <w:sz w:val="32"/>
          <w:szCs w:val="24"/>
        </w:rPr>
        <w:t>全面技术改造</w:t>
      </w:r>
      <w:r>
        <w:rPr>
          <w:rFonts w:hint="eastAsia" w:ascii="Times New Roman" w:eastAsia="仿宋_GB2312"/>
          <w:color w:val="000000"/>
          <w:kern w:val="2"/>
          <w:sz w:val="32"/>
          <w:szCs w:val="24"/>
          <w:lang w:val="en"/>
        </w:rPr>
        <w:t>，</w:t>
      </w:r>
      <w:r>
        <w:rPr>
          <w:rFonts w:hint="eastAsia" w:ascii="Times New Roman" w:eastAsia="仿宋_GB2312"/>
          <w:color w:val="000000"/>
          <w:kern w:val="2"/>
          <w:sz w:val="32"/>
          <w:szCs w:val="24"/>
        </w:rPr>
        <w:t>助力全镇经济快速发展。全年</w:t>
      </w:r>
      <w:r>
        <w:rPr>
          <w:rFonts w:hint="eastAsia" w:ascii="Times New Roman" w:eastAsia="仿宋_GB2312"/>
          <w:color w:val="000000"/>
          <w:kern w:val="2"/>
          <w:sz w:val="32"/>
          <w:szCs w:val="24"/>
          <w:lang w:val="en"/>
        </w:rPr>
        <w:t>新入库</w:t>
      </w:r>
      <w:r>
        <w:rPr>
          <w:rFonts w:hint="eastAsia" w:ascii="Times New Roman" w:eastAsia="仿宋_GB2312"/>
          <w:color w:val="000000"/>
          <w:kern w:val="2"/>
          <w:sz w:val="32"/>
          <w:szCs w:val="24"/>
        </w:rPr>
        <w:t>固定资产投资</w:t>
      </w:r>
      <w:r>
        <w:rPr>
          <w:rFonts w:hint="eastAsia" w:ascii="Times New Roman" w:eastAsia="仿宋_GB2312"/>
          <w:color w:val="000000"/>
          <w:kern w:val="2"/>
          <w:sz w:val="32"/>
          <w:szCs w:val="24"/>
          <w:lang w:val="en"/>
        </w:rPr>
        <w:t>项目</w:t>
      </w:r>
      <w:r>
        <w:rPr>
          <w:rFonts w:hint="eastAsia" w:ascii="Times New Roman" w:eastAsia="仿宋_GB2312"/>
          <w:color w:val="000000"/>
          <w:kern w:val="2"/>
          <w:sz w:val="32"/>
          <w:szCs w:val="24"/>
        </w:rPr>
        <w:t>6</w:t>
      </w:r>
      <w:r>
        <w:rPr>
          <w:rFonts w:hint="eastAsia" w:ascii="Times New Roman" w:eastAsia="仿宋_GB2312"/>
          <w:color w:val="000000"/>
          <w:kern w:val="2"/>
          <w:sz w:val="32"/>
          <w:szCs w:val="24"/>
          <w:lang w:val="en"/>
        </w:rPr>
        <w:t>个，</w:t>
      </w:r>
      <w:r>
        <w:rPr>
          <w:rFonts w:hint="eastAsia" w:ascii="Times New Roman" w:eastAsia="仿宋_GB2312"/>
          <w:color w:val="000000"/>
          <w:kern w:val="2"/>
          <w:sz w:val="32"/>
          <w:szCs w:val="24"/>
        </w:rPr>
        <w:t>总</w:t>
      </w:r>
      <w:r>
        <w:rPr>
          <w:rFonts w:hint="eastAsia" w:ascii="Times New Roman" w:eastAsia="仿宋_GB2312"/>
          <w:color w:val="000000"/>
          <w:kern w:val="2"/>
          <w:sz w:val="32"/>
          <w:szCs w:val="24"/>
          <w:lang w:val="en"/>
        </w:rPr>
        <w:t>投资</w:t>
      </w:r>
      <w:r>
        <w:rPr>
          <w:rFonts w:hint="eastAsia" w:ascii="Times New Roman" w:eastAsia="仿宋_GB2312"/>
          <w:color w:val="000000"/>
          <w:kern w:val="2"/>
          <w:sz w:val="32"/>
          <w:szCs w:val="24"/>
        </w:rPr>
        <w:t>达8265.9</w:t>
      </w:r>
      <w:r>
        <w:rPr>
          <w:rFonts w:hint="eastAsia" w:ascii="Times New Roman" w:eastAsia="仿宋_GB2312"/>
          <w:color w:val="000000"/>
          <w:kern w:val="2"/>
          <w:sz w:val="32"/>
          <w:szCs w:val="24"/>
          <w:lang w:val="en"/>
        </w:rPr>
        <w:t>万元，</w:t>
      </w:r>
      <w:r>
        <w:rPr>
          <w:rFonts w:hint="eastAsia" w:ascii="Times New Roman" w:eastAsia="仿宋_GB2312"/>
          <w:color w:val="000000"/>
          <w:kern w:val="2"/>
          <w:sz w:val="32"/>
          <w:szCs w:val="24"/>
        </w:rPr>
        <w:t>完成投资5587万元，位居全区第一</w:t>
      </w:r>
      <w:r>
        <w:rPr>
          <w:rFonts w:hint="eastAsia" w:ascii="Times New Roman" w:eastAsia="仿宋_GB2312"/>
          <w:color w:val="000000"/>
          <w:kern w:val="2"/>
          <w:sz w:val="32"/>
          <w:szCs w:val="24"/>
          <w:lang w:val="en"/>
        </w:rPr>
        <w:t>，完成</w:t>
      </w:r>
      <w:r>
        <w:rPr>
          <w:rFonts w:hint="eastAsia" w:ascii="Times New Roman" w:eastAsia="仿宋_GB2312"/>
          <w:color w:val="000000"/>
          <w:kern w:val="2"/>
          <w:sz w:val="32"/>
          <w:szCs w:val="24"/>
        </w:rPr>
        <w:t>率101.58%，位居全区第三。全镇社会消费品零售总额增长3%，城乡居民人均可支配收入分别达38803元、17243元。</w:t>
      </w:r>
    </w:p>
    <w:p w14:paraId="5FD0D816">
      <w:pPr>
        <w:spacing w:line="576" w:lineRule="exact"/>
        <w:ind w:firstLine="640" w:firstLineChars="200"/>
        <w:jc w:val="both"/>
        <w:rPr>
          <w:rFonts w:hint="eastAsia" w:ascii="Times New Roman" w:eastAsia="仿宋_GB2312"/>
          <w:color w:val="000000"/>
          <w:kern w:val="2"/>
          <w:sz w:val="32"/>
          <w:szCs w:val="24"/>
          <w:lang w:val="en"/>
        </w:rPr>
      </w:pPr>
      <w:r>
        <w:rPr>
          <w:rFonts w:hint="eastAsia" w:ascii="Times New Roman" w:eastAsia="仿宋_GB2312"/>
          <w:color w:val="000000"/>
          <w:kern w:val="2"/>
          <w:sz w:val="32"/>
          <w:szCs w:val="24"/>
          <w:lang w:val="en"/>
        </w:rPr>
        <w:t>招商引资成果丰硕。坚持</w:t>
      </w:r>
      <w:r>
        <w:rPr>
          <w:rFonts w:hint="eastAsia" w:ascii="Times New Roman" w:eastAsia="仿宋_GB2312"/>
          <w:color w:val="000000"/>
          <w:kern w:val="2"/>
          <w:sz w:val="32"/>
          <w:szCs w:val="24"/>
        </w:rPr>
        <w:t>大抓招商总基调</w:t>
      </w:r>
      <w:r>
        <w:rPr>
          <w:rFonts w:hint="eastAsia" w:ascii="Times New Roman" w:eastAsia="仿宋_GB2312"/>
          <w:color w:val="000000"/>
          <w:kern w:val="2"/>
          <w:sz w:val="32"/>
          <w:szCs w:val="24"/>
          <w:lang w:val="en"/>
        </w:rPr>
        <w:t>不动摇，精准制定一站式招商引资图谱，</w:t>
      </w:r>
      <w:r>
        <w:rPr>
          <w:rFonts w:hint="eastAsia" w:ascii="Times New Roman" w:eastAsia="仿宋_GB2312"/>
          <w:color w:val="000000"/>
          <w:kern w:val="2"/>
          <w:sz w:val="32"/>
          <w:szCs w:val="24"/>
        </w:rPr>
        <w:t>通过实施</w:t>
      </w:r>
      <w:r>
        <w:rPr>
          <w:rFonts w:hint="eastAsia" w:ascii="Times New Roman" w:eastAsia="仿宋_GB2312"/>
          <w:color w:val="000000"/>
          <w:kern w:val="2"/>
          <w:sz w:val="32"/>
          <w:szCs w:val="24"/>
          <w:lang w:val="en"/>
        </w:rPr>
        <w:t>“专业招商、以商招商、产业链招商”三大战略，</w:t>
      </w:r>
      <w:r>
        <w:rPr>
          <w:rFonts w:hint="eastAsia" w:ascii="Times New Roman" w:eastAsia="仿宋_GB2312"/>
          <w:color w:val="000000"/>
          <w:kern w:val="2"/>
          <w:sz w:val="32"/>
          <w:szCs w:val="24"/>
        </w:rPr>
        <w:t>实现</w:t>
      </w:r>
      <w:r>
        <w:rPr>
          <w:rFonts w:hint="eastAsia" w:ascii="Times New Roman" w:eastAsia="仿宋_GB2312"/>
          <w:color w:val="000000"/>
          <w:kern w:val="2"/>
          <w:sz w:val="32"/>
          <w:szCs w:val="24"/>
          <w:lang w:val="en"/>
        </w:rPr>
        <w:t>招大引强。</w:t>
      </w:r>
      <w:r>
        <w:rPr>
          <w:rFonts w:hint="eastAsia" w:ascii="Times New Roman" w:eastAsia="仿宋_GB2312"/>
          <w:color w:val="000000"/>
          <w:kern w:val="2"/>
          <w:sz w:val="32"/>
          <w:szCs w:val="24"/>
        </w:rPr>
        <w:t>全年</w:t>
      </w:r>
      <w:r>
        <w:rPr>
          <w:rFonts w:hint="eastAsia" w:ascii="Times New Roman" w:eastAsia="仿宋_GB2312"/>
          <w:color w:val="000000"/>
          <w:kern w:val="2"/>
          <w:sz w:val="32"/>
          <w:szCs w:val="24"/>
          <w:lang w:val="en"/>
        </w:rPr>
        <w:t>镇</w:t>
      </w:r>
      <w:r>
        <w:rPr>
          <w:rFonts w:hint="eastAsia" w:ascii="Times New Roman" w:eastAsia="仿宋_GB2312"/>
          <w:color w:val="000000"/>
          <w:kern w:val="2"/>
          <w:sz w:val="32"/>
          <w:szCs w:val="24"/>
        </w:rPr>
        <w:t>党政主要负责同志带头</w:t>
      </w:r>
      <w:r>
        <w:rPr>
          <w:rFonts w:hint="eastAsia" w:ascii="Times New Roman" w:eastAsia="仿宋_GB2312"/>
          <w:color w:val="000000"/>
          <w:kern w:val="2"/>
          <w:sz w:val="32"/>
          <w:szCs w:val="24"/>
          <w:lang w:val="en"/>
        </w:rPr>
        <w:t>外出招商10次，高质量举办2023</w:t>
      </w:r>
      <w:r>
        <w:rPr>
          <w:rFonts w:hint="eastAsia" w:ascii="Times New Roman" w:eastAsia="仿宋_GB2312"/>
          <w:color w:val="000000"/>
          <w:kern w:val="2"/>
          <w:sz w:val="32"/>
          <w:szCs w:val="24"/>
        </w:rPr>
        <w:t>年</w:t>
      </w:r>
      <w:r>
        <w:rPr>
          <w:rFonts w:hint="eastAsia" w:ascii="Times New Roman" w:eastAsia="仿宋_GB2312"/>
          <w:color w:val="000000"/>
          <w:kern w:val="2"/>
          <w:sz w:val="32"/>
          <w:szCs w:val="24"/>
          <w:lang w:val="en"/>
        </w:rPr>
        <w:t>下半年招商引资暨中药材订单种植集中签约活动，成功签约项目7个，</w:t>
      </w:r>
      <w:r>
        <w:rPr>
          <w:rFonts w:hint="eastAsia" w:ascii="Times New Roman" w:eastAsia="仿宋_GB2312"/>
          <w:color w:val="000000"/>
          <w:kern w:val="2"/>
          <w:sz w:val="32"/>
          <w:szCs w:val="24"/>
        </w:rPr>
        <w:t>其中</w:t>
      </w:r>
      <w:r>
        <w:rPr>
          <w:rFonts w:hint="eastAsia" w:ascii="Times New Roman" w:eastAsia="仿宋_GB2312"/>
          <w:color w:val="000000"/>
          <w:kern w:val="2"/>
          <w:sz w:val="32"/>
          <w:szCs w:val="24"/>
          <w:lang w:val="en"/>
        </w:rPr>
        <w:t>开工6个，到位资金8634万元，完成率215.9%，</w:t>
      </w:r>
      <w:r>
        <w:rPr>
          <w:rFonts w:hint="eastAsia" w:ascii="Times New Roman" w:eastAsia="仿宋_GB2312"/>
          <w:color w:val="000000"/>
          <w:kern w:val="2"/>
          <w:sz w:val="32"/>
          <w:szCs w:val="24"/>
        </w:rPr>
        <w:t>位居全区</w:t>
      </w:r>
      <w:r>
        <w:rPr>
          <w:rFonts w:hint="eastAsia" w:ascii="Times New Roman" w:eastAsia="仿宋_GB2312"/>
          <w:color w:val="000000"/>
          <w:kern w:val="2"/>
          <w:sz w:val="32"/>
          <w:szCs w:val="24"/>
          <w:lang w:val="en"/>
        </w:rPr>
        <w:t>第</w:t>
      </w:r>
      <w:r>
        <w:rPr>
          <w:rFonts w:hint="eastAsia" w:ascii="Times New Roman" w:eastAsia="仿宋_GB2312"/>
          <w:color w:val="000000"/>
          <w:kern w:val="2"/>
          <w:sz w:val="32"/>
          <w:szCs w:val="24"/>
        </w:rPr>
        <w:t>二</w:t>
      </w:r>
      <w:r>
        <w:rPr>
          <w:rFonts w:hint="eastAsia" w:ascii="Times New Roman" w:eastAsia="仿宋_GB2312"/>
          <w:color w:val="000000"/>
          <w:kern w:val="2"/>
          <w:sz w:val="32"/>
          <w:szCs w:val="24"/>
          <w:lang w:val="en"/>
        </w:rPr>
        <w:t>。</w:t>
      </w:r>
    </w:p>
    <w:p w14:paraId="71EED0E4">
      <w:pPr>
        <w:spacing w:line="576" w:lineRule="exact"/>
        <w:ind w:firstLine="640" w:firstLineChars="200"/>
        <w:jc w:val="both"/>
        <w:rPr>
          <w:rFonts w:hint="eastAsia" w:ascii="Times New Roman" w:eastAsia="仿宋_GB2312"/>
          <w:color w:val="000000"/>
          <w:kern w:val="2"/>
          <w:sz w:val="32"/>
          <w:szCs w:val="24"/>
        </w:rPr>
      </w:pPr>
      <w:r>
        <w:rPr>
          <w:rFonts w:hint="eastAsia" w:ascii="Times New Roman" w:eastAsia="仿宋_GB2312"/>
          <w:color w:val="000000"/>
          <w:kern w:val="2"/>
          <w:sz w:val="32"/>
          <w:szCs w:val="24"/>
          <w:lang w:val="en"/>
        </w:rPr>
        <w:t>农业产业提质增效。紧紧牵住产业兴旺“牛鼻子”，每季度</w:t>
      </w:r>
      <w:r>
        <w:rPr>
          <w:rFonts w:hint="eastAsia" w:ascii="Times New Roman" w:eastAsia="仿宋_GB2312"/>
          <w:color w:val="000000"/>
          <w:kern w:val="2"/>
          <w:sz w:val="32"/>
          <w:szCs w:val="24"/>
        </w:rPr>
        <w:t>围绕集体经济发展、园区管护、粮油种植等</w:t>
      </w:r>
      <w:r>
        <w:rPr>
          <w:rFonts w:hint="eastAsia" w:ascii="Times New Roman" w:eastAsia="仿宋_GB2312"/>
          <w:color w:val="000000"/>
          <w:kern w:val="2"/>
          <w:sz w:val="32"/>
          <w:szCs w:val="24"/>
          <w:lang w:val="en"/>
        </w:rPr>
        <w:t>组织开展村级产业发展“大比武”，引导支持各村因地制宜调整农业产业结构，全镇“一村一特色”产业格局</w:t>
      </w:r>
      <w:r>
        <w:rPr>
          <w:rFonts w:hint="eastAsia" w:ascii="Times New Roman" w:eastAsia="仿宋_GB2312"/>
          <w:color w:val="000000"/>
          <w:kern w:val="2"/>
          <w:sz w:val="32"/>
          <w:szCs w:val="24"/>
        </w:rPr>
        <w:t>基本成型</w:t>
      </w:r>
      <w:r>
        <w:rPr>
          <w:rFonts w:hint="eastAsia" w:ascii="Times New Roman" w:eastAsia="仿宋_GB2312"/>
          <w:color w:val="000000"/>
          <w:kern w:val="2"/>
          <w:sz w:val="32"/>
          <w:szCs w:val="24"/>
          <w:lang w:val="en"/>
        </w:rPr>
        <w:t>。</w:t>
      </w:r>
      <w:r>
        <w:rPr>
          <w:rFonts w:hint="eastAsia" w:ascii="Times New Roman" w:eastAsia="仿宋_GB2312"/>
          <w:color w:val="000000"/>
          <w:kern w:val="2"/>
          <w:sz w:val="32"/>
          <w:szCs w:val="24"/>
        </w:rPr>
        <w:t>全年粮油播种面积达2.3万亩，实现产量超1.3万吨；种植烤烟1025亩，产值超300万元；</w:t>
      </w:r>
      <w:r>
        <w:rPr>
          <w:rFonts w:hint="eastAsia" w:ascii="Times New Roman" w:eastAsia="仿宋_GB2312"/>
          <w:color w:val="000000"/>
          <w:kern w:val="2"/>
          <w:sz w:val="32"/>
          <w:szCs w:val="24"/>
          <w:lang w:val="en"/>
        </w:rPr>
        <w:t>出栏生猪7.</w:t>
      </w:r>
      <w:r>
        <w:rPr>
          <w:rFonts w:hint="eastAsia" w:ascii="Times New Roman" w:eastAsia="仿宋_GB2312"/>
          <w:color w:val="000000"/>
          <w:kern w:val="2"/>
          <w:sz w:val="32"/>
          <w:szCs w:val="24"/>
        </w:rPr>
        <w:t>2</w:t>
      </w:r>
      <w:r>
        <w:rPr>
          <w:rFonts w:hint="eastAsia" w:ascii="Times New Roman" w:eastAsia="仿宋_GB2312"/>
          <w:color w:val="000000"/>
          <w:kern w:val="2"/>
          <w:sz w:val="32"/>
          <w:szCs w:val="24"/>
          <w:lang w:val="en"/>
        </w:rPr>
        <w:t>万头、剑门关土鸡14</w:t>
      </w:r>
      <w:r>
        <w:rPr>
          <w:rFonts w:hint="eastAsia" w:ascii="Times New Roman" w:eastAsia="仿宋_GB2312"/>
          <w:color w:val="000000"/>
          <w:kern w:val="2"/>
          <w:sz w:val="32"/>
          <w:szCs w:val="24"/>
        </w:rPr>
        <w:t>2</w:t>
      </w:r>
      <w:r>
        <w:rPr>
          <w:rFonts w:hint="eastAsia" w:ascii="Times New Roman" w:eastAsia="仿宋_GB2312"/>
          <w:color w:val="000000"/>
          <w:kern w:val="2"/>
          <w:sz w:val="32"/>
          <w:szCs w:val="24"/>
          <w:lang w:val="en"/>
        </w:rPr>
        <w:t>万羽、肉牛14</w:t>
      </w:r>
      <w:r>
        <w:rPr>
          <w:rFonts w:hint="eastAsia" w:ascii="Times New Roman" w:eastAsia="仿宋_GB2312"/>
          <w:color w:val="000000"/>
          <w:kern w:val="2"/>
          <w:sz w:val="32"/>
          <w:szCs w:val="24"/>
        </w:rPr>
        <w:t>20</w:t>
      </w:r>
      <w:r>
        <w:rPr>
          <w:rFonts w:hint="eastAsia" w:ascii="Times New Roman" w:eastAsia="仿宋_GB2312"/>
          <w:color w:val="000000"/>
          <w:kern w:val="2"/>
          <w:sz w:val="32"/>
          <w:szCs w:val="24"/>
          <w:lang w:val="en"/>
        </w:rPr>
        <w:t>头、肉羊74</w:t>
      </w:r>
      <w:r>
        <w:rPr>
          <w:rFonts w:hint="eastAsia" w:ascii="Times New Roman" w:eastAsia="仿宋_GB2312"/>
          <w:color w:val="000000"/>
          <w:kern w:val="2"/>
          <w:sz w:val="32"/>
          <w:szCs w:val="24"/>
        </w:rPr>
        <w:t>92</w:t>
      </w:r>
      <w:r>
        <w:rPr>
          <w:rFonts w:hint="eastAsia" w:ascii="Times New Roman" w:eastAsia="仿宋_GB2312"/>
          <w:color w:val="000000"/>
          <w:kern w:val="2"/>
          <w:sz w:val="32"/>
          <w:szCs w:val="24"/>
          <w:lang w:val="en"/>
        </w:rPr>
        <w:t>只，</w:t>
      </w:r>
      <w:r>
        <w:rPr>
          <w:rFonts w:hint="eastAsia" w:ascii="Times New Roman" w:eastAsia="仿宋_GB2312"/>
          <w:color w:val="000000"/>
          <w:kern w:val="2"/>
          <w:sz w:val="32"/>
          <w:szCs w:val="24"/>
        </w:rPr>
        <w:t>超额完成年度目标任务。大力推广大豆玉米带状复合种植，</w:t>
      </w:r>
      <w:r>
        <w:rPr>
          <w:rFonts w:hint="eastAsia" w:ascii="Times New Roman" w:eastAsia="仿宋_GB2312"/>
          <w:color w:val="000000"/>
          <w:kern w:val="2"/>
          <w:sz w:val="32"/>
          <w:szCs w:val="24"/>
          <w:lang w:val="en"/>
        </w:rPr>
        <w:t>高质量承办全区大豆推技术提单产专题培训班暨现场观摩会。巩固提升张家</w:t>
      </w:r>
      <w:r>
        <w:rPr>
          <w:rFonts w:hint="eastAsia" w:ascii="Times New Roman" w:eastAsia="仿宋_GB2312"/>
          <w:color w:val="000000"/>
          <w:kern w:val="2"/>
          <w:sz w:val="32"/>
          <w:szCs w:val="24"/>
        </w:rPr>
        <w:t>村</w:t>
      </w:r>
      <w:r>
        <w:rPr>
          <w:rFonts w:hint="eastAsia" w:ascii="Times New Roman" w:eastAsia="仿宋_GB2312"/>
          <w:color w:val="000000"/>
          <w:kern w:val="2"/>
          <w:sz w:val="32"/>
          <w:szCs w:val="24"/>
          <w:lang w:val="en"/>
        </w:rPr>
        <w:t>、太公岭</w:t>
      </w:r>
      <w:r>
        <w:rPr>
          <w:rFonts w:hint="eastAsia" w:ascii="Times New Roman" w:eastAsia="仿宋_GB2312"/>
          <w:color w:val="000000"/>
          <w:kern w:val="2"/>
          <w:sz w:val="32"/>
          <w:szCs w:val="24"/>
        </w:rPr>
        <w:t>村</w:t>
      </w:r>
      <w:r>
        <w:rPr>
          <w:rFonts w:hint="eastAsia" w:ascii="Times New Roman" w:eastAsia="仿宋_GB2312"/>
          <w:color w:val="000000"/>
          <w:kern w:val="2"/>
          <w:sz w:val="32"/>
          <w:szCs w:val="24"/>
          <w:lang w:val="en"/>
        </w:rPr>
        <w:t>猕猴桃产业园区，</w:t>
      </w:r>
      <w:r>
        <w:rPr>
          <w:rFonts w:hint="eastAsia" w:ascii="Times New Roman" w:eastAsia="仿宋_GB2312"/>
          <w:color w:val="000000"/>
          <w:kern w:val="2"/>
          <w:sz w:val="32"/>
          <w:szCs w:val="24"/>
        </w:rPr>
        <w:t>建设高照村千亩烟粮（油）示范园区，依托东西部协作项目支持，建成高照村多维度园区，为全镇产业进一步巩固提升打下坚实基础。</w:t>
      </w:r>
      <w:r>
        <w:rPr>
          <w:rFonts w:hint="eastAsia" w:ascii="Times New Roman" w:eastAsia="仿宋_GB2312"/>
          <w:color w:val="000000"/>
          <w:kern w:val="2"/>
          <w:sz w:val="32"/>
          <w:szCs w:val="24"/>
          <w:lang w:val="en"/>
        </w:rPr>
        <w:t>高标准建设太公岭</w:t>
      </w:r>
      <w:r>
        <w:rPr>
          <w:rFonts w:hint="eastAsia" w:ascii="Times New Roman" w:eastAsia="仿宋_GB2312"/>
          <w:color w:val="000000"/>
          <w:kern w:val="2"/>
          <w:sz w:val="32"/>
          <w:szCs w:val="24"/>
        </w:rPr>
        <w:t>村中央财政资金扶持发展新型农村集体经济</w:t>
      </w:r>
      <w:r>
        <w:rPr>
          <w:rFonts w:hint="eastAsia" w:ascii="Times New Roman" w:eastAsia="仿宋_GB2312"/>
          <w:color w:val="000000"/>
          <w:kern w:val="2"/>
          <w:sz w:val="32"/>
          <w:szCs w:val="24"/>
          <w:lang w:val="en"/>
        </w:rPr>
        <w:t>项目，建</w:t>
      </w:r>
      <w:r>
        <w:rPr>
          <w:rFonts w:hint="eastAsia" w:ascii="Times New Roman" w:eastAsia="仿宋_GB2312"/>
          <w:color w:val="000000"/>
          <w:kern w:val="2"/>
          <w:sz w:val="32"/>
          <w:szCs w:val="24"/>
        </w:rPr>
        <w:t>成“农旅+”</w:t>
      </w:r>
      <w:r>
        <w:rPr>
          <w:rFonts w:hint="eastAsia" w:ascii="Times New Roman" w:eastAsia="仿宋_GB2312"/>
          <w:color w:val="000000"/>
          <w:kern w:val="2"/>
          <w:sz w:val="32"/>
          <w:szCs w:val="24"/>
          <w:lang w:val="en"/>
        </w:rPr>
        <w:t>社会化服务体系。</w:t>
      </w:r>
      <w:r>
        <w:rPr>
          <w:rFonts w:hint="eastAsia" w:ascii="Times New Roman" w:eastAsia="仿宋_GB2312"/>
          <w:color w:val="000000"/>
          <w:kern w:val="2"/>
          <w:sz w:val="32"/>
          <w:szCs w:val="24"/>
        </w:rPr>
        <w:t>全面启动双庙村、太平村、白头村、张家村脆桃品改400余亩，持续巩固提升小水果产业发展。全镇</w:t>
      </w:r>
      <w:r>
        <w:rPr>
          <w:rFonts w:hint="eastAsia" w:ascii="Times New Roman" w:eastAsia="仿宋_GB2312"/>
          <w:color w:val="000000"/>
          <w:kern w:val="2"/>
          <w:sz w:val="32"/>
          <w:szCs w:val="24"/>
          <w:lang w:val="en"/>
        </w:rPr>
        <w:t>新增规模</w:t>
      </w:r>
      <w:r>
        <w:rPr>
          <w:rFonts w:hint="eastAsia" w:ascii="Times New Roman" w:eastAsia="仿宋_GB2312"/>
          <w:color w:val="000000"/>
          <w:kern w:val="2"/>
          <w:sz w:val="32"/>
          <w:szCs w:val="24"/>
        </w:rPr>
        <w:t>化</w:t>
      </w:r>
      <w:r>
        <w:rPr>
          <w:rFonts w:hint="eastAsia" w:ascii="Times New Roman" w:eastAsia="仿宋_GB2312"/>
          <w:color w:val="000000"/>
          <w:kern w:val="2"/>
          <w:sz w:val="32"/>
          <w:szCs w:val="24"/>
          <w:lang w:val="en"/>
        </w:rPr>
        <w:t>肉牛羊养殖场</w:t>
      </w:r>
      <w:r>
        <w:rPr>
          <w:rFonts w:hint="eastAsia" w:ascii="Times New Roman" w:eastAsia="仿宋_GB2312"/>
          <w:color w:val="000000"/>
          <w:kern w:val="2"/>
          <w:sz w:val="32"/>
          <w:szCs w:val="24"/>
        </w:rPr>
        <w:t>2</w:t>
      </w:r>
      <w:r>
        <w:rPr>
          <w:rFonts w:hint="eastAsia" w:ascii="Times New Roman" w:eastAsia="仿宋_GB2312"/>
          <w:color w:val="000000"/>
          <w:kern w:val="2"/>
          <w:sz w:val="32"/>
          <w:szCs w:val="24"/>
          <w:lang w:val="en"/>
        </w:rPr>
        <w:t>个，</w:t>
      </w:r>
      <w:r>
        <w:rPr>
          <w:rFonts w:hint="eastAsia" w:ascii="Times New Roman" w:eastAsia="仿宋_GB2312"/>
          <w:color w:val="000000"/>
          <w:kern w:val="2"/>
          <w:sz w:val="32"/>
          <w:szCs w:val="24"/>
        </w:rPr>
        <w:t>建成</w:t>
      </w:r>
      <w:r>
        <w:rPr>
          <w:rFonts w:hint="eastAsia" w:ascii="Times New Roman" w:eastAsia="仿宋_GB2312"/>
          <w:color w:val="000000"/>
          <w:kern w:val="2"/>
          <w:sz w:val="32"/>
          <w:szCs w:val="24"/>
          <w:lang w:val="en"/>
        </w:rPr>
        <w:t>肉牛羊标准化示范场2个，广元市智宇牧业有限公司成功创建为四川省畜禽标准化养殖场。</w:t>
      </w:r>
    </w:p>
    <w:p w14:paraId="1F8F7703">
      <w:pPr>
        <w:spacing w:line="576" w:lineRule="exact"/>
        <w:ind w:firstLine="640" w:firstLineChars="200"/>
        <w:jc w:val="both"/>
        <w:rPr>
          <w:rFonts w:hint="eastAsia" w:ascii="Times New Roman" w:eastAsia="仿宋_GB2312"/>
          <w:color w:val="000000"/>
          <w:kern w:val="2"/>
          <w:sz w:val="32"/>
          <w:szCs w:val="24"/>
          <w:lang w:val="en"/>
        </w:rPr>
      </w:pPr>
      <w:r>
        <w:rPr>
          <w:rFonts w:hint="eastAsia" w:ascii="Times New Roman" w:eastAsia="仿宋_GB2312"/>
          <w:color w:val="000000"/>
          <w:kern w:val="2"/>
          <w:sz w:val="32"/>
          <w:szCs w:val="24"/>
        </w:rPr>
        <w:t>1.</w:t>
      </w:r>
      <w:r>
        <w:rPr>
          <w:rFonts w:hint="eastAsia" w:ascii="Times New Roman" w:eastAsia="仿宋_GB2312"/>
          <w:color w:val="000000"/>
          <w:kern w:val="2"/>
          <w:sz w:val="32"/>
          <w:szCs w:val="24"/>
          <w:lang w:val="en"/>
        </w:rPr>
        <w:t>建管并重、统筹推进，城乡发展协调共进。</w:t>
      </w:r>
    </w:p>
    <w:p w14:paraId="2038CD6C">
      <w:pPr>
        <w:spacing w:line="576" w:lineRule="exact"/>
        <w:ind w:firstLine="640" w:firstLineChars="200"/>
        <w:jc w:val="both"/>
        <w:rPr>
          <w:rFonts w:hint="eastAsia" w:ascii="Times New Roman" w:eastAsia="仿宋_GB2312"/>
          <w:color w:val="000000"/>
          <w:kern w:val="2"/>
          <w:sz w:val="32"/>
          <w:szCs w:val="24"/>
        </w:rPr>
      </w:pPr>
      <w:r>
        <w:rPr>
          <w:rFonts w:hint="eastAsia" w:ascii="Times New Roman" w:eastAsia="仿宋_GB2312"/>
          <w:color w:val="000000"/>
          <w:kern w:val="2"/>
          <w:sz w:val="32"/>
          <w:szCs w:val="24"/>
          <w:lang w:val="en"/>
        </w:rPr>
        <w:t>基础设施日益完善。开工政府投资类项目60个，总投资3388.</w:t>
      </w:r>
      <w:r>
        <w:rPr>
          <w:rFonts w:hint="eastAsia" w:ascii="Times New Roman" w:eastAsia="仿宋_GB2312"/>
          <w:color w:val="000000"/>
          <w:kern w:val="2"/>
          <w:sz w:val="32"/>
          <w:szCs w:val="24"/>
        </w:rPr>
        <w:t>4</w:t>
      </w:r>
      <w:r>
        <w:rPr>
          <w:rFonts w:hint="eastAsia" w:ascii="Times New Roman" w:eastAsia="仿宋_GB2312"/>
          <w:color w:val="000000"/>
          <w:kern w:val="2"/>
          <w:sz w:val="32"/>
          <w:szCs w:val="24"/>
          <w:lang w:val="en"/>
        </w:rPr>
        <w:t>万元。全年新建村组道路11.85公里，其中，新建通村道路2公里，新建通组道路3.65公里，加宽村道6.2公里，</w:t>
      </w:r>
      <w:r>
        <w:rPr>
          <w:rFonts w:hint="eastAsia" w:ascii="Times New Roman" w:eastAsia="仿宋_GB2312"/>
          <w:color w:val="000000"/>
          <w:kern w:val="2"/>
          <w:sz w:val="32"/>
          <w:szCs w:val="24"/>
        </w:rPr>
        <w:t>不断健全全镇</w:t>
      </w:r>
      <w:r>
        <w:rPr>
          <w:rFonts w:hint="eastAsia" w:ascii="Times New Roman" w:eastAsia="仿宋_GB2312"/>
          <w:color w:val="000000"/>
          <w:kern w:val="2"/>
          <w:sz w:val="32"/>
          <w:szCs w:val="24"/>
          <w:lang w:val="en"/>
        </w:rPr>
        <w:t>交通网络。</w:t>
      </w:r>
      <w:r>
        <w:rPr>
          <w:rFonts w:hint="eastAsia" w:ascii="Times New Roman" w:eastAsia="仿宋_GB2312"/>
          <w:color w:val="000000"/>
          <w:kern w:val="2"/>
          <w:sz w:val="32"/>
          <w:szCs w:val="24"/>
        </w:rPr>
        <w:t>投资350万元的场埃村以工代赈项目全面完工，项目实施使全村基础条件全面巩固提升，实现群众增收超100万元，得到市区主管部门高度肯定，高质量迎接湖南省怀化市现场参观学习。</w:t>
      </w:r>
      <w:r>
        <w:rPr>
          <w:rFonts w:hint="eastAsia" w:ascii="Times New Roman" w:eastAsia="仿宋_GB2312"/>
          <w:color w:val="000000"/>
          <w:kern w:val="2"/>
          <w:sz w:val="32"/>
          <w:szCs w:val="24"/>
          <w:lang w:val="en"/>
        </w:rPr>
        <w:t>投入资金2000余万元，完成嘉陵江向高峰水库提水工程和新建高峰水厂项目，持续推进镇域水质提升项目，有效解决</w:t>
      </w:r>
      <w:r>
        <w:rPr>
          <w:rFonts w:hint="eastAsia" w:ascii="Times New Roman" w:eastAsia="仿宋_GB2312"/>
          <w:color w:val="000000"/>
          <w:kern w:val="2"/>
          <w:sz w:val="32"/>
          <w:szCs w:val="24"/>
        </w:rPr>
        <w:t>全镇</w:t>
      </w:r>
      <w:r>
        <w:rPr>
          <w:rFonts w:hint="eastAsia" w:ascii="Times New Roman" w:eastAsia="仿宋_GB2312"/>
          <w:color w:val="000000"/>
          <w:kern w:val="2"/>
          <w:sz w:val="32"/>
          <w:szCs w:val="24"/>
          <w:lang w:val="en"/>
        </w:rPr>
        <w:t>2万余群众生产生活用水问题。</w:t>
      </w:r>
      <w:r>
        <w:rPr>
          <w:rFonts w:hint="eastAsia" w:ascii="Times New Roman" w:eastAsia="仿宋_GB2312"/>
          <w:color w:val="000000"/>
          <w:kern w:val="2"/>
          <w:sz w:val="32"/>
          <w:szCs w:val="24"/>
        </w:rPr>
        <w:t>全年整治山坪塘38口，渠系6.5km，有力解决全镇4500余亩土地产业发展的水源问题。</w:t>
      </w:r>
    </w:p>
    <w:p w14:paraId="64D5E1EA">
      <w:pPr>
        <w:spacing w:line="576" w:lineRule="exact"/>
        <w:ind w:firstLine="640" w:firstLineChars="200"/>
        <w:jc w:val="both"/>
        <w:rPr>
          <w:rFonts w:hint="eastAsia" w:ascii="Times New Roman" w:eastAsia="仿宋_GB2312"/>
          <w:color w:val="000000"/>
          <w:kern w:val="2"/>
          <w:sz w:val="32"/>
          <w:szCs w:val="24"/>
        </w:rPr>
      </w:pPr>
      <w:r>
        <w:rPr>
          <w:rFonts w:hint="eastAsia" w:ascii="Times New Roman" w:eastAsia="仿宋_GB2312"/>
          <w:color w:val="000000"/>
          <w:kern w:val="2"/>
          <w:sz w:val="32"/>
          <w:szCs w:val="24"/>
        </w:rPr>
        <w:t>和美乡村建设有序。</w:t>
      </w:r>
      <w:r>
        <w:rPr>
          <w:rFonts w:hint="eastAsia" w:ascii="Times New Roman" w:eastAsia="仿宋_GB2312"/>
          <w:color w:val="000000"/>
          <w:kern w:val="2"/>
          <w:sz w:val="32"/>
          <w:szCs w:val="24"/>
          <w:lang w:val="en"/>
        </w:rPr>
        <w:t>始终把集镇建设作为镇村建设的核心，</w:t>
      </w:r>
      <w:r>
        <w:rPr>
          <w:rFonts w:hint="eastAsia" w:ascii="Times New Roman" w:eastAsia="仿宋_GB2312"/>
          <w:color w:val="000000"/>
          <w:kern w:val="2"/>
          <w:sz w:val="32"/>
          <w:szCs w:val="24"/>
        </w:rPr>
        <w:t>投资800余万元的</w:t>
      </w:r>
      <w:r>
        <w:rPr>
          <w:rFonts w:hint="eastAsia" w:ascii="Times New Roman" w:eastAsia="仿宋_GB2312"/>
          <w:color w:val="000000"/>
          <w:kern w:val="2"/>
          <w:sz w:val="32"/>
          <w:szCs w:val="24"/>
          <w:lang w:val="en"/>
        </w:rPr>
        <w:t>干部周转房</w:t>
      </w:r>
      <w:r>
        <w:rPr>
          <w:rFonts w:hint="eastAsia" w:ascii="Times New Roman" w:eastAsia="仿宋_GB2312"/>
          <w:color w:val="000000"/>
          <w:kern w:val="2"/>
          <w:sz w:val="32"/>
          <w:szCs w:val="24"/>
        </w:rPr>
        <w:t>项目主体完工，</w:t>
      </w:r>
      <w:r>
        <w:rPr>
          <w:rFonts w:hint="eastAsia" w:ascii="Times New Roman" w:eastAsia="仿宋_GB2312"/>
          <w:color w:val="000000"/>
          <w:kern w:val="2"/>
          <w:sz w:val="32"/>
          <w:szCs w:val="24"/>
          <w:lang w:val="en"/>
        </w:rPr>
        <w:t>集镇风貌改造一期工程、政府街路面整治工程、停车位</w:t>
      </w:r>
      <w:r>
        <w:rPr>
          <w:rFonts w:hint="eastAsia" w:ascii="Times New Roman" w:eastAsia="仿宋_GB2312"/>
          <w:color w:val="000000"/>
          <w:kern w:val="2"/>
          <w:sz w:val="32"/>
          <w:szCs w:val="24"/>
        </w:rPr>
        <w:t>建设等项目全面投产</w:t>
      </w:r>
      <w:r>
        <w:rPr>
          <w:rFonts w:hint="eastAsia" w:ascii="Times New Roman" w:eastAsia="仿宋_GB2312"/>
          <w:color w:val="000000"/>
          <w:kern w:val="2"/>
          <w:sz w:val="32"/>
          <w:szCs w:val="24"/>
          <w:lang w:val="en"/>
        </w:rPr>
        <w:t>，完成太公小学、学堂街、派出所污水处理站验收与移交，</w:t>
      </w:r>
      <w:r>
        <w:rPr>
          <w:rFonts w:hint="eastAsia" w:ascii="Times New Roman" w:eastAsia="仿宋_GB2312"/>
          <w:color w:val="000000"/>
          <w:kern w:val="2"/>
          <w:sz w:val="32"/>
          <w:szCs w:val="24"/>
        </w:rPr>
        <w:t>有力提升全镇集镇基础设施条件，</w:t>
      </w:r>
      <w:r>
        <w:rPr>
          <w:rFonts w:hint="eastAsia" w:ascii="Times New Roman" w:eastAsia="仿宋_GB2312"/>
          <w:color w:val="000000"/>
          <w:kern w:val="2"/>
          <w:sz w:val="32"/>
          <w:szCs w:val="24"/>
          <w:lang w:val="en"/>
        </w:rPr>
        <w:t>集镇宜居综合体初现雏形。抢抓</w:t>
      </w:r>
      <w:r>
        <w:rPr>
          <w:rFonts w:hint="eastAsia" w:ascii="Times New Roman" w:eastAsia="仿宋_GB2312"/>
          <w:color w:val="000000"/>
          <w:kern w:val="2"/>
          <w:sz w:val="32"/>
          <w:szCs w:val="24"/>
        </w:rPr>
        <w:t>国道</w:t>
      </w:r>
      <w:r>
        <w:rPr>
          <w:rFonts w:hint="eastAsia" w:ascii="Times New Roman" w:eastAsia="仿宋_GB2312"/>
          <w:color w:val="000000"/>
          <w:kern w:val="2"/>
          <w:sz w:val="32"/>
          <w:szCs w:val="24"/>
          <w:lang w:val="en"/>
        </w:rPr>
        <w:t>212</w:t>
      </w:r>
      <w:r>
        <w:rPr>
          <w:rFonts w:hint="eastAsia" w:ascii="Times New Roman" w:eastAsia="仿宋_GB2312"/>
          <w:color w:val="000000"/>
          <w:kern w:val="2"/>
          <w:sz w:val="32"/>
          <w:szCs w:val="24"/>
        </w:rPr>
        <w:t>线</w:t>
      </w:r>
      <w:r>
        <w:rPr>
          <w:rFonts w:hint="eastAsia" w:ascii="Times New Roman" w:eastAsia="仿宋_GB2312"/>
          <w:color w:val="000000"/>
          <w:kern w:val="2"/>
          <w:sz w:val="32"/>
          <w:szCs w:val="24"/>
          <w:lang w:val="en"/>
        </w:rPr>
        <w:t>农旅融合示范带建设机遇，</w:t>
      </w:r>
      <w:r>
        <w:rPr>
          <w:rFonts w:hint="eastAsia" w:ascii="Times New Roman" w:eastAsia="仿宋_GB2312"/>
          <w:color w:val="000000"/>
          <w:kern w:val="2"/>
          <w:sz w:val="32"/>
          <w:szCs w:val="24"/>
        </w:rPr>
        <w:t>投资50万元完成150户庭院经济打造，</w:t>
      </w:r>
      <w:r>
        <w:rPr>
          <w:rFonts w:hint="eastAsia" w:ascii="Times New Roman" w:eastAsia="仿宋_GB2312"/>
          <w:color w:val="000000"/>
          <w:kern w:val="2"/>
          <w:sz w:val="32"/>
          <w:szCs w:val="24"/>
          <w:lang w:val="en"/>
        </w:rPr>
        <w:t>切实增强</w:t>
      </w:r>
      <w:r>
        <w:rPr>
          <w:rFonts w:hint="eastAsia" w:ascii="Times New Roman" w:eastAsia="仿宋_GB2312"/>
          <w:color w:val="000000"/>
          <w:kern w:val="2"/>
          <w:sz w:val="32"/>
          <w:szCs w:val="24"/>
        </w:rPr>
        <w:t>沿线群众的幸福感、</w:t>
      </w:r>
      <w:r>
        <w:rPr>
          <w:rFonts w:hint="eastAsia" w:ascii="Times New Roman" w:eastAsia="仿宋_GB2312"/>
          <w:color w:val="000000"/>
          <w:kern w:val="2"/>
          <w:sz w:val="32"/>
          <w:szCs w:val="24"/>
          <w:lang w:val="en"/>
        </w:rPr>
        <w:t>获得感。</w:t>
      </w:r>
      <w:r>
        <w:rPr>
          <w:rFonts w:hint="eastAsia" w:ascii="Times New Roman" w:eastAsia="仿宋_GB2312"/>
          <w:color w:val="000000"/>
          <w:kern w:val="2"/>
          <w:sz w:val="32"/>
          <w:szCs w:val="24"/>
        </w:rPr>
        <w:t>成功争取</w:t>
      </w:r>
      <w:r>
        <w:rPr>
          <w:rFonts w:hint="eastAsia" w:ascii="Times New Roman" w:eastAsia="仿宋_GB2312"/>
          <w:color w:val="000000"/>
          <w:kern w:val="2"/>
          <w:sz w:val="32"/>
          <w:szCs w:val="24"/>
          <w:lang w:val="en"/>
        </w:rPr>
        <w:t>传统村落保护利用</w:t>
      </w:r>
      <w:r>
        <w:rPr>
          <w:rFonts w:hint="eastAsia" w:ascii="Times New Roman" w:eastAsia="仿宋_GB2312"/>
          <w:color w:val="000000"/>
          <w:kern w:val="2"/>
          <w:sz w:val="32"/>
          <w:szCs w:val="24"/>
        </w:rPr>
        <w:t>项目落地太公</w:t>
      </w:r>
      <w:r>
        <w:rPr>
          <w:rFonts w:hint="eastAsia" w:ascii="Times New Roman" w:eastAsia="仿宋_GB2312"/>
          <w:color w:val="000000"/>
          <w:kern w:val="2"/>
          <w:sz w:val="32"/>
          <w:szCs w:val="24"/>
          <w:lang w:val="en"/>
        </w:rPr>
        <w:t>，</w:t>
      </w:r>
      <w:r>
        <w:rPr>
          <w:rFonts w:hint="eastAsia" w:ascii="Times New Roman" w:eastAsia="仿宋_GB2312"/>
          <w:color w:val="000000"/>
          <w:kern w:val="2"/>
          <w:sz w:val="32"/>
          <w:szCs w:val="24"/>
        </w:rPr>
        <w:t>投资306万元打造提升</w:t>
      </w:r>
      <w:r>
        <w:rPr>
          <w:rFonts w:hint="eastAsia" w:ascii="Times New Roman" w:eastAsia="仿宋_GB2312"/>
          <w:color w:val="000000"/>
          <w:kern w:val="2"/>
          <w:sz w:val="32"/>
          <w:szCs w:val="24"/>
          <w:lang w:val="en"/>
        </w:rPr>
        <w:t>太公岭村</w:t>
      </w:r>
      <w:r>
        <w:rPr>
          <w:rFonts w:hint="eastAsia" w:ascii="Times New Roman" w:eastAsia="仿宋_GB2312"/>
          <w:color w:val="000000"/>
          <w:kern w:val="2"/>
          <w:sz w:val="32"/>
          <w:szCs w:val="24"/>
        </w:rPr>
        <w:t>基础环境</w:t>
      </w:r>
      <w:r>
        <w:rPr>
          <w:rFonts w:hint="eastAsia" w:ascii="Times New Roman" w:eastAsia="仿宋_GB2312"/>
          <w:color w:val="000000"/>
          <w:kern w:val="2"/>
          <w:sz w:val="32"/>
          <w:szCs w:val="24"/>
          <w:lang w:val="en"/>
        </w:rPr>
        <w:t>，</w:t>
      </w:r>
      <w:r>
        <w:rPr>
          <w:rFonts w:hint="eastAsia" w:ascii="Times New Roman" w:eastAsia="仿宋_GB2312"/>
          <w:color w:val="000000"/>
          <w:kern w:val="2"/>
          <w:sz w:val="32"/>
          <w:szCs w:val="24"/>
        </w:rPr>
        <w:t>成功</w:t>
      </w:r>
      <w:r>
        <w:rPr>
          <w:rFonts w:hint="eastAsia" w:ascii="Times New Roman" w:eastAsia="仿宋_GB2312"/>
          <w:color w:val="000000"/>
          <w:kern w:val="2"/>
          <w:sz w:val="32"/>
          <w:szCs w:val="24"/>
          <w:lang w:val="en"/>
        </w:rPr>
        <w:t>入选首批四川传统村落</w:t>
      </w:r>
      <w:r>
        <w:rPr>
          <w:rFonts w:hint="eastAsia" w:ascii="Times New Roman" w:eastAsia="仿宋_GB2312"/>
          <w:color w:val="000000"/>
          <w:kern w:val="2"/>
          <w:sz w:val="32"/>
          <w:szCs w:val="24"/>
        </w:rPr>
        <w:t>名录</w:t>
      </w:r>
      <w:r>
        <w:rPr>
          <w:rFonts w:hint="eastAsia" w:ascii="Times New Roman" w:eastAsia="仿宋_GB2312"/>
          <w:color w:val="000000"/>
          <w:kern w:val="2"/>
          <w:sz w:val="32"/>
          <w:szCs w:val="24"/>
          <w:lang w:val="en"/>
        </w:rPr>
        <w:t>。</w:t>
      </w:r>
    </w:p>
    <w:p w14:paraId="4C4819B9">
      <w:pPr>
        <w:spacing w:line="576" w:lineRule="exact"/>
        <w:ind w:firstLine="640" w:firstLineChars="200"/>
        <w:jc w:val="both"/>
        <w:rPr>
          <w:rFonts w:hint="eastAsia" w:ascii="Times New Roman" w:eastAsia="仿宋_GB2312"/>
          <w:color w:val="000000"/>
          <w:kern w:val="2"/>
          <w:sz w:val="32"/>
          <w:szCs w:val="24"/>
          <w:lang w:val="en"/>
        </w:rPr>
      </w:pPr>
      <w:r>
        <w:rPr>
          <w:rFonts w:hint="eastAsia" w:ascii="Times New Roman" w:eastAsia="仿宋_GB2312"/>
          <w:color w:val="000000"/>
          <w:kern w:val="2"/>
          <w:sz w:val="32"/>
          <w:szCs w:val="24"/>
          <w:lang w:val="en"/>
        </w:rPr>
        <w:t>生态环境持续优化。牢固树立“绿水青山就是金山银山”理念，全力推进“五化”行动。</w:t>
      </w:r>
      <w:r>
        <w:rPr>
          <w:rFonts w:hint="eastAsia" w:ascii="Times New Roman" w:eastAsia="仿宋_GB2312"/>
          <w:color w:val="000000"/>
          <w:kern w:val="2"/>
          <w:sz w:val="32"/>
          <w:szCs w:val="24"/>
        </w:rPr>
        <w:t>太公岭村投资800余万元的黑臭水体治理项目全面完工，切实保障下游</w:t>
      </w:r>
      <w:r>
        <w:rPr>
          <w:rFonts w:hint="eastAsia" w:ascii="Times New Roman" w:eastAsia="仿宋_GB2312"/>
          <w:color w:val="000000"/>
          <w:kern w:val="2"/>
          <w:sz w:val="32"/>
          <w:szCs w:val="24"/>
          <w:lang w:val="en"/>
        </w:rPr>
        <w:t>生产生活</w:t>
      </w:r>
      <w:r>
        <w:rPr>
          <w:rFonts w:hint="eastAsia" w:ascii="Times New Roman" w:eastAsia="仿宋_GB2312"/>
          <w:color w:val="000000"/>
          <w:kern w:val="2"/>
          <w:sz w:val="32"/>
          <w:szCs w:val="24"/>
        </w:rPr>
        <w:t>用水安全。严格落实河长制</w:t>
      </w:r>
      <w:r>
        <w:rPr>
          <w:rFonts w:hint="eastAsia" w:ascii="Times New Roman" w:eastAsia="仿宋_GB2312"/>
          <w:color w:val="000000"/>
          <w:kern w:val="2"/>
          <w:sz w:val="32"/>
          <w:szCs w:val="24"/>
          <w:lang w:val="en"/>
        </w:rPr>
        <w:t>要求，加大高峰、八一、自力等水库保护力度，常态化清理河库“四乱”问题，</w:t>
      </w:r>
      <w:r>
        <w:rPr>
          <w:rFonts w:hint="eastAsia" w:ascii="Times New Roman" w:eastAsia="仿宋_GB2312"/>
          <w:color w:val="000000"/>
          <w:kern w:val="2"/>
          <w:sz w:val="32"/>
          <w:szCs w:val="24"/>
        </w:rPr>
        <w:t>辖区内</w:t>
      </w:r>
      <w:r>
        <w:rPr>
          <w:rFonts w:hint="eastAsia" w:ascii="Times New Roman" w:eastAsia="仿宋_GB2312"/>
          <w:color w:val="000000"/>
          <w:kern w:val="2"/>
          <w:sz w:val="32"/>
          <w:szCs w:val="24"/>
          <w:lang w:val="en"/>
        </w:rPr>
        <w:t>主要河流出境断面水质稳定达到Ⅱ类以上。扎实开展农村人居环境整治专项行动，</w:t>
      </w:r>
      <w:r>
        <w:rPr>
          <w:rFonts w:hint="eastAsia" w:ascii="Times New Roman" w:eastAsia="仿宋_GB2312"/>
          <w:color w:val="000000"/>
          <w:kern w:val="2"/>
          <w:sz w:val="32"/>
          <w:szCs w:val="24"/>
        </w:rPr>
        <w:t>高照村投资19.6万元实施人居环境整治项目，全面提升村容村貌；全镇</w:t>
      </w:r>
      <w:r>
        <w:rPr>
          <w:rFonts w:hint="eastAsia" w:ascii="Times New Roman" w:eastAsia="仿宋_GB2312"/>
          <w:color w:val="000000"/>
          <w:kern w:val="2"/>
          <w:sz w:val="32"/>
          <w:szCs w:val="24"/>
          <w:lang w:val="en"/>
        </w:rPr>
        <w:t>积极推进“厕所革命”，</w:t>
      </w:r>
      <w:r>
        <w:rPr>
          <w:rFonts w:hint="eastAsia" w:ascii="Times New Roman" w:eastAsia="仿宋_GB2312"/>
          <w:color w:val="000000"/>
          <w:kern w:val="2"/>
          <w:sz w:val="32"/>
          <w:szCs w:val="24"/>
        </w:rPr>
        <w:t>高标准完成年度改厕任务102户，逐步</w:t>
      </w:r>
      <w:r>
        <w:rPr>
          <w:rFonts w:hint="eastAsia" w:ascii="Times New Roman" w:eastAsia="仿宋_GB2312"/>
          <w:color w:val="000000"/>
          <w:kern w:val="2"/>
          <w:sz w:val="32"/>
          <w:szCs w:val="24"/>
          <w:lang w:val="en"/>
        </w:rPr>
        <w:t>引导村民</w:t>
      </w:r>
      <w:r>
        <w:rPr>
          <w:rFonts w:hint="eastAsia" w:ascii="Times New Roman" w:eastAsia="仿宋_GB2312"/>
          <w:color w:val="000000"/>
          <w:kern w:val="2"/>
          <w:sz w:val="32"/>
          <w:szCs w:val="24"/>
        </w:rPr>
        <w:t>形成</w:t>
      </w:r>
      <w:r>
        <w:rPr>
          <w:rFonts w:hint="eastAsia" w:ascii="Times New Roman" w:eastAsia="仿宋_GB2312"/>
          <w:color w:val="000000"/>
          <w:kern w:val="2"/>
          <w:sz w:val="32"/>
          <w:szCs w:val="24"/>
          <w:lang w:val="en"/>
        </w:rPr>
        <w:t>良好</w:t>
      </w:r>
      <w:r>
        <w:rPr>
          <w:rFonts w:hint="eastAsia" w:ascii="Times New Roman" w:eastAsia="仿宋_GB2312"/>
          <w:color w:val="000000"/>
          <w:kern w:val="2"/>
          <w:sz w:val="32"/>
          <w:szCs w:val="24"/>
        </w:rPr>
        <w:t>生活</w:t>
      </w:r>
      <w:r>
        <w:rPr>
          <w:rFonts w:hint="eastAsia" w:ascii="Times New Roman" w:eastAsia="仿宋_GB2312"/>
          <w:color w:val="000000"/>
          <w:kern w:val="2"/>
          <w:sz w:val="32"/>
          <w:szCs w:val="24"/>
          <w:lang w:val="en"/>
        </w:rPr>
        <w:t>习惯。</w:t>
      </w:r>
    </w:p>
    <w:p w14:paraId="45E364A4">
      <w:pPr>
        <w:spacing w:line="576" w:lineRule="exact"/>
        <w:ind w:firstLine="640" w:firstLineChars="200"/>
        <w:jc w:val="both"/>
        <w:rPr>
          <w:rFonts w:hint="eastAsia" w:ascii="Times New Roman" w:eastAsia="仿宋_GB2312"/>
          <w:color w:val="000000"/>
          <w:kern w:val="2"/>
          <w:sz w:val="32"/>
          <w:szCs w:val="24"/>
          <w:lang w:val="en"/>
        </w:rPr>
      </w:pPr>
      <w:r>
        <w:rPr>
          <w:rFonts w:hint="eastAsia" w:ascii="Times New Roman" w:eastAsia="仿宋_GB2312"/>
          <w:color w:val="000000"/>
          <w:kern w:val="2"/>
          <w:sz w:val="32"/>
          <w:szCs w:val="24"/>
        </w:rPr>
        <w:t>3.</w:t>
      </w:r>
      <w:r>
        <w:rPr>
          <w:rFonts w:hint="eastAsia" w:ascii="Times New Roman" w:eastAsia="仿宋_GB2312"/>
          <w:color w:val="000000"/>
          <w:kern w:val="2"/>
          <w:sz w:val="32"/>
          <w:szCs w:val="24"/>
          <w:lang w:val="en"/>
        </w:rPr>
        <w:t>用心用情、实干惠民，民生福祉持续增进。</w:t>
      </w:r>
    </w:p>
    <w:p w14:paraId="3C6BDA63">
      <w:pPr>
        <w:spacing w:line="576" w:lineRule="exact"/>
        <w:ind w:firstLine="640" w:firstLineChars="200"/>
        <w:jc w:val="both"/>
        <w:rPr>
          <w:rFonts w:hint="eastAsia" w:ascii="Times New Roman" w:eastAsia="仿宋_GB2312"/>
          <w:color w:val="000000"/>
          <w:kern w:val="2"/>
          <w:sz w:val="32"/>
          <w:szCs w:val="24"/>
        </w:rPr>
      </w:pPr>
      <w:r>
        <w:rPr>
          <w:rFonts w:hint="eastAsia" w:ascii="Times New Roman" w:eastAsia="仿宋_GB2312"/>
          <w:color w:val="000000"/>
          <w:kern w:val="2"/>
          <w:sz w:val="32"/>
          <w:szCs w:val="24"/>
        </w:rPr>
        <w:t>公共服务能级提升。以群众需求为导向，持续优化便民服务，全面改造提升太公客运站，全覆盖建立“金通邮快驿站”，实现快递物流直通全镇各村（社区）。加快推进“村能办”改革，完成镇村便民服务体系“三化”建设，镇便民服务大厅及15个村（社区）全部实现综合窗口规范运行，全年累计办理各项业务3.75万余件，群众满意率达100%。</w:t>
      </w:r>
    </w:p>
    <w:p w14:paraId="07905650">
      <w:pPr>
        <w:spacing w:line="576" w:lineRule="exact"/>
        <w:ind w:firstLine="640" w:firstLineChars="200"/>
        <w:jc w:val="both"/>
        <w:rPr>
          <w:rFonts w:hint="eastAsia" w:ascii="Times New Roman" w:eastAsia="仿宋_GB2312"/>
          <w:color w:val="000000"/>
          <w:kern w:val="2"/>
          <w:sz w:val="32"/>
          <w:szCs w:val="24"/>
        </w:rPr>
      </w:pPr>
      <w:r>
        <w:rPr>
          <w:rFonts w:hint="eastAsia" w:ascii="Times New Roman" w:eastAsia="仿宋_GB2312"/>
          <w:color w:val="000000"/>
          <w:kern w:val="2"/>
          <w:sz w:val="32"/>
          <w:szCs w:val="24"/>
        </w:rPr>
        <w:t>社会事业蓬勃发展。高质量推进劳务专业合作社规范化运行，打造全链条劳务输出服务模式，连续三年组织400余名农民工赴长三角等地区务工就业被中央电视台报道。全力支持教育事业优先发展，积极落实控辍保学和学生资助政策，全镇无适龄儿童辍学，无人因贫退学。太公中学2023年中考总平分挺进全市前50名，市前1000名有2人，区内学生学业水平监测单中第一。太公小学2023年春季检测成绩是提升最快的学校，春季成绩检测居农村大规模学校第一。黄龙小学2023年春季一年级两门学科单科在全区统考中分别荣获全区第一名和第二名的好成绩。</w:t>
      </w:r>
    </w:p>
    <w:p w14:paraId="0323B186">
      <w:pPr>
        <w:spacing w:line="576" w:lineRule="exact"/>
        <w:ind w:firstLine="640" w:firstLineChars="200"/>
        <w:jc w:val="both"/>
        <w:rPr>
          <w:rFonts w:hint="eastAsia" w:ascii="Times New Roman" w:eastAsia="仿宋_GB2312"/>
          <w:color w:val="000000"/>
          <w:kern w:val="2"/>
          <w:sz w:val="32"/>
          <w:szCs w:val="24"/>
        </w:rPr>
      </w:pPr>
      <w:r>
        <w:rPr>
          <w:rFonts w:hint="eastAsia" w:ascii="Times New Roman" w:eastAsia="仿宋_GB2312"/>
          <w:color w:val="000000"/>
          <w:kern w:val="2"/>
          <w:sz w:val="32"/>
          <w:szCs w:val="24"/>
        </w:rPr>
        <w:t>社会保障坚强有力。加快推进医疗基础设施建设，全覆盖建立中医阁，实现医保报账全覆盖，积极开展医疗服务，加强医疗知识政策宣传，城乡居民医疗保险实现应保尽保。持续加强农村弱势群体关爱，积极推广“三个三”居家养老巡访探视网格化服务，全年对脱贫户、监测户、老人户、特殊困难户等免费诊疗健康体检9600余人次。全覆盖建立未成年人保护工作站，常态化开展关爱活动。2023年，太公镇荣获广元市无偿献血先进单位，张家村荣获四川省卫生村。</w:t>
      </w:r>
    </w:p>
    <w:p w14:paraId="3325A976">
      <w:pPr>
        <w:spacing w:line="576" w:lineRule="exact"/>
        <w:ind w:firstLine="640" w:firstLineChars="200"/>
        <w:jc w:val="both"/>
        <w:rPr>
          <w:rFonts w:hint="eastAsia" w:ascii="Times New Roman" w:eastAsia="仿宋_GB2312"/>
          <w:color w:val="000000"/>
          <w:kern w:val="2"/>
          <w:sz w:val="32"/>
          <w:szCs w:val="24"/>
          <w:lang w:val="en"/>
        </w:rPr>
      </w:pPr>
      <w:r>
        <w:rPr>
          <w:rFonts w:hint="eastAsia" w:ascii="Times New Roman" w:eastAsia="仿宋_GB2312"/>
          <w:color w:val="000000"/>
          <w:kern w:val="2"/>
          <w:sz w:val="32"/>
          <w:szCs w:val="24"/>
        </w:rPr>
        <w:t>4.</w:t>
      </w:r>
      <w:r>
        <w:rPr>
          <w:rFonts w:hint="eastAsia" w:ascii="Times New Roman" w:eastAsia="仿宋_GB2312"/>
          <w:color w:val="000000"/>
          <w:kern w:val="2"/>
          <w:sz w:val="32"/>
          <w:szCs w:val="24"/>
          <w:lang w:val="en"/>
        </w:rPr>
        <w:t>慎终如始、</w:t>
      </w:r>
      <w:r>
        <w:rPr>
          <w:rFonts w:hint="eastAsia" w:ascii="Times New Roman" w:eastAsia="仿宋_GB2312"/>
          <w:color w:val="000000"/>
          <w:kern w:val="2"/>
          <w:sz w:val="32"/>
          <w:szCs w:val="24"/>
        </w:rPr>
        <w:t>常抓不懈</w:t>
      </w:r>
      <w:r>
        <w:rPr>
          <w:rFonts w:hint="eastAsia" w:ascii="Times New Roman" w:eastAsia="仿宋_GB2312"/>
          <w:color w:val="000000"/>
          <w:kern w:val="2"/>
          <w:sz w:val="32"/>
          <w:szCs w:val="24"/>
          <w:lang w:val="en"/>
        </w:rPr>
        <w:t>，</w:t>
      </w:r>
      <w:r>
        <w:rPr>
          <w:rFonts w:hint="eastAsia" w:ascii="Times New Roman" w:eastAsia="仿宋_GB2312"/>
          <w:color w:val="000000"/>
          <w:kern w:val="2"/>
          <w:sz w:val="32"/>
          <w:szCs w:val="24"/>
        </w:rPr>
        <w:t>社会治理卓有成效</w:t>
      </w:r>
      <w:r>
        <w:rPr>
          <w:rFonts w:hint="eastAsia" w:ascii="Times New Roman" w:eastAsia="仿宋_GB2312"/>
          <w:color w:val="000000"/>
          <w:kern w:val="2"/>
          <w:sz w:val="32"/>
          <w:szCs w:val="24"/>
          <w:lang w:val="en"/>
        </w:rPr>
        <w:t>。</w:t>
      </w:r>
    </w:p>
    <w:p w14:paraId="2379BF25">
      <w:pPr>
        <w:spacing w:line="576" w:lineRule="exact"/>
        <w:ind w:firstLine="640" w:firstLineChars="200"/>
        <w:jc w:val="both"/>
        <w:rPr>
          <w:rFonts w:hint="eastAsia" w:ascii="Times New Roman" w:eastAsia="仿宋_GB2312"/>
          <w:color w:val="000000"/>
          <w:kern w:val="2"/>
          <w:sz w:val="32"/>
          <w:szCs w:val="24"/>
        </w:rPr>
      </w:pPr>
      <w:r>
        <w:rPr>
          <w:rFonts w:hint="eastAsia" w:ascii="Times New Roman" w:eastAsia="仿宋_GB2312"/>
          <w:color w:val="000000"/>
          <w:kern w:val="2"/>
          <w:sz w:val="32"/>
          <w:szCs w:val="24"/>
        </w:rPr>
        <w:t>基层治理全面深化。建立健全农村社会治安风险隐患排查处置机制，落实领导接访、下访、约访工作制度，开展特殊重点人群走访600余人次。投资20余万元完成镇综治中心标准化、亲民化改造，在全区率先建成数字乡村平台，实现区、镇、村三级基层治理网络互联互通，全年处置矛盾纠纷675件，重点人员得到有效稳控，无到京、到省群访，无越级上访事件发生，全年信访总量同比下降14%。常态化开展扫黑除恶斗争，巩固区级平安乡镇创建成效，努力创建省级平安乡镇，不断深化“六无”平安村（社区）、平安家庭创建，白头村群众说事服务站获评全区“十佳村级群众说事服务站”。</w:t>
      </w:r>
    </w:p>
    <w:p w14:paraId="60C8F4D6">
      <w:pPr>
        <w:spacing w:line="576" w:lineRule="exact"/>
        <w:ind w:firstLine="640" w:firstLineChars="200"/>
        <w:jc w:val="both"/>
        <w:rPr>
          <w:rFonts w:hint="eastAsia" w:ascii="Times New Roman" w:eastAsia="仿宋_GB2312"/>
          <w:color w:val="000000"/>
          <w:kern w:val="2"/>
          <w:sz w:val="32"/>
          <w:szCs w:val="24"/>
        </w:rPr>
      </w:pPr>
      <w:r>
        <w:rPr>
          <w:rFonts w:hint="eastAsia" w:ascii="Times New Roman" w:eastAsia="仿宋_GB2312"/>
          <w:color w:val="000000"/>
          <w:kern w:val="2"/>
          <w:sz w:val="32"/>
          <w:szCs w:val="24"/>
        </w:rPr>
        <w:t>安全生产平稳有序。压紧压实安全生产责任，联合相关部门开展各类安全生产宣讲活动45次，开展专题培训36场次，发放宣传单8300余份。完善镇村（社区）两级应急预案，成立应急救援队伍16支，开展应急演练20余场次，常态化做好应急物资储备工作，防灾减灾救灾能力进一步提升。扎实开展燃气安全隐患大排查大检查活动，共排查商业用户39户、居民户2873户、液化石油气户120户，发现问题并整改销号746户。认真开展道路交通、自建房、建筑施工、森林防灭火、九小场所消防安全等重点领域隐患排查整治，发现问题并整改销号126处，全年未发生较大及以上安全生产事故。</w:t>
      </w:r>
    </w:p>
    <w:p w14:paraId="5B9283A9">
      <w:pPr>
        <w:spacing w:line="576" w:lineRule="exact"/>
        <w:ind w:firstLine="640" w:firstLineChars="200"/>
        <w:jc w:val="both"/>
        <w:rPr>
          <w:rFonts w:hint="eastAsia" w:ascii="Times New Roman" w:eastAsia="仿宋_GB2312"/>
          <w:color w:val="000000"/>
          <w:kern w:val="2"/>
          <w:sz w:val="32"/>
          <w:szCs w:val="24"/>
          <w:lang w:val="en"/>
        </w:rPr>
      </w:pPr>
      <w:r>
        <w:rPr>
          <w:rFonts w:hint="eastAsia" w:ascii="Times New Roman" w:eastAsia="仿宋_GB2312"/>
          <w:color w:val="000000"/>
          <w:kern w:val="2"/>
          <w:sz w:val="32"/>
          <w:szCs w:val="24"/>
        </w:rPr>
        <w:t>乡村文明蔚然成风。积极开展新时代文明乡风文明建设十大行动，持续推动乡村振兴“百千万”工程，参加市区两级魅力乡镇演出，并获得“市级魅力乡镇代言人”“乡土文化能人”等多项称号。全面推行村规民约和“红白理事会”管理机制，有效遏制大操大办、高价彩礼、厚葬薄养、人情攀比等陈规陋习。大力开展“身边好人”“好婆婆”“好儿媳”等先进典型选树活动，表扬先进典型60人。深入实施优秀传统文化保护传承工程，加强传统村落、乡村文脉保护传承，太公红军山成功创建为广元市中小学生研学旅行实践教育基地，太公胡氏狮灯成功创建为昭化区第四批非物质文化遗产。</w:t>
      </w:r>
    </w:p>
    <w:p w14:paraId="21E835F7">
      <w:pPr>
        <w:spacing w:line="576" w:lineRule="exact"/>
        <w:ind w:firstLine="640" w:firstLineChars="200"/>
        <w:jc w:val="both"/>
        <w:rPr>
          <w:rFonts w:hint="eastAsia" w:ascii="Times New Roman" w:eastAsia="仿宋_GB2312"/>
          <w:color w:val="000000"/>
          <w:kern w:val="2"/>
          <w:sz w:val="32"/>
          <w:szCs w:val="24"/>
          <w:lang w:val="en"/>
        </w:rPr>
      </w:pPr>
      <w:r>
        <w:rPr>
          <w:rFonts w:hint="eastAsia" w:ascii="Times New Roman" w:eastAsia="仿宋_GB2312"/>
          <w:color w:val="000000"/>
          <w:kern w:val="2"/>
          <w:sz w:val="32"/>
          <w:szCs w:val="24"/>
        </w:rPr>
        <w:t>5.</w:t>
      </w:r>
      <w:r>
        <w:rPr>
          <w:rFonts w:hint="eastAsia" w:ascii="Times New Roman" w:eastAsia="仿宋_GB2312"/>
          <w:color w:val="000000"/>
          <w:kern w:val="2"/>
          <w:sz w:val="32"/>
          <w:szCs w:val="24"/>
          <w:lang w:val="en"/>
        </w:rPr>
        <w:t>实干担当、笃行不怠，政府建设全面加强。</w:t>
      </w:r>
    </w:p>
    <w:p w14:paraId="41361F1A">
      <w:pPr>
        <w:spacing w:line="576" w:lineRule="exact"/>
        <w:ind w:firstLine="640" w:firstLineChars="200"/>
        <w:jc w:val="both"/>
        <w:rPr>
          <w:rFonts w:hint="eastAsia" w:ascii="Times New Roman" w:eastAsia="仿宋_GB2312"/>
          <w:color w:val="000000"/>
          <w:kern w:val="2"/>
          <w:sz w:val="32"/>
          <w:szCs w:val="24"/>
          <w:lang w:val="en"/>
        </w:rPr>
      </w:pPr>
      <w:r>
        <w:rPr>
          <w:rFonts w:hint="eastAsia" w:ascii="Times New Roman" w:eastAsia="仿宋_GB2312"/>
          <w:color w:val="000000"/>
          <w:kern w:val="2"/>
          <w:sz w:val="32"/>
          <w:szCs w:val="24"/>
        </w:rPr>
        <w:t>扎实开展主题教育。</w:t>
      </w:r>
      <w:r>
        <w:rPr>
          <w:rFonts w:hint="eastAsia" w:ascii="Times New Roman" w:eastAsia="仿宋_GB2312"/>
          <w:color w:val="000000"/>
          <w:kern w:val="2"/>
          <w:sz w:val="32"/>
          <w:szCs w:val="24"/>
          <w:lang w:val="en"/>
        </w:rPr>
        <w:t>认真贯彻党中央和省委、市委、区委部署，高标准严要求开展学习贯彻习近平新时代中国特色社会主义思想主题教育，紧扣</w:t>
      </w:r>
      <w:r>
        <w:rPr>
          <w:rFonts w:hint="eastAsia" w:ascii="Times New Roman" w:eastAsia="仿宋_GB2312"/>
          <w:color w:val="000000"/>
          <w:kern w:val="2"/>
          <w:sz w:val="32"/>
          <w:szCs w:val="24"/>
          <w:lang w:val="en" w:eastAsia="zh-CN"/>
        </w:rPr>
        <w:t>“学思想、强党性、重实践、建新功”的总要求</w:t>
      </w:r>
      <w:r>
        <w:rPr>
          <w:rFonts w:hint="eastAsia" w:ascii="Times New Roman" w:eastAsia="仿宋_GB2312"/>
          <w:color w:val="000000"/>
          <w:kern w:val="2"/>
          <w:sz w:val="32"/>
          <w:szCs w:val="24"/>
          <w:lang w:val="en"/>
        </w:rPr>
        <w:t>，坚持真学、真信、真干、真见效，开展系列专题研讨5次，系统推进建言献策、立足岗位作奉献、我为群众办实事等活动，收集整理意见建议1</w:t>
      </w:r>
      <w:r>
        <w:rPr>
          <w:rFonts w:hint="eastAsia" w:ascii="Times New Roman" w:eastAsia="仿宋_GB2312"/>
          <w:color w:val="000000"/>
          <w:kern w:val="2"/>
          <w:sz w:val="32"/>
          <w:szCs w:val="24"/>
        </w:rPr>
        <w:t>2</w:t>
      </w:r>
      <w:r>
        <w:rPr>
          <w:rFonts w:hint="eastAsia" w:ascii="Times New Roman" w:eastAsia="仿宋_GB2312"/>
          <w:color w:val="000000"/>
          <w:kern w:val="2"/>
          <w:sz w:val="32"/>
          <w:szCs w:val="24"/>
          <w:lang w:val="en"/>
        </w:rPr>
        <w:t>条，及时破解民生难题2</w:t>
      </w:r>
      <w:r>
        <w:rPr>
          <w:rFonts w:hint="eastAsia" w:ascii="Times New Roman" w:eastAsia="仿宋_GB2312"/>
          <w:color w:val="000000"/>
          <w:kern w:val="2"/>
          <w:sz w:val="32"/>
          <w:szCs w:val="24"/>
        </w:rPr>
        <w:t>5</w:t>
      </w:r>
      <w:r>
        <w:rPr>
          <w:rFonts w:hint="eastAsia" w:ascii="Times New Roman" w:eastAsia="仿宋_GB2312"/>
          <w:color w:val="000000"/>
          <w:kern w:val="2"/>
          <w:sz w:val="32"/>
          <w:szCs w:val="24"/>
          <w:lang w:val="en"/>
        </w:rPr>
        <w:t>件。</w:t>
      </w:r>
    </w:p>
    <w:p w14:paraId="4849AE3C">
      <w:pPr>
        <w:spacing w:line="576" w:lineRule="exact"/>
        <w:ind w:firstLine="640" w:firstLineChars="200"/>
        <w:jc w:val="both"/>
        <w:rPr>
          <w:rFonts w:hint="eastAsia" w:ascii="Times New Roman" w:eastAsia="仿宋_GB2312"/>
          <w:color w:val="000000"/>
          <w:kern w:val="2"/>
          <w:sz w:val="32"/>
          <w:szCs w:val="24"/>
          <w:lang w:val="en"/>
        </w:rPr>
      </w:pPr>
      <w:r>
        <w:rPr>
          <w:rFonts w:hint="eastAsia" w:ascii="Times New Roman" w:eastAsia="仿宋_GB2312"/>
          <w:color w:val="000000"/>
          <w:kern w:val="2"/>
          <w:sz w:val="32"/>
          <w:szCs w:val="24"/>
        </w:rPr>
        <w:t>强化思想宣传引导。</w:t>
      </w:r>
      <w:r>
        <w:rPr>
          <w:rFonts w:hint="eastAsia" w:ascii="Times New Roman" w:eastAsia="仿宋_GB2312"/>
          <w:color w:val="000000"/>
          <w:kern w:val="2"/>
          <w:sz w:val="32"/>
          <w:szCs w:val="24"/>
          <w:lang w:val="en"/>
        </w:rPr>
        <w:t>严格落实意识形态工作责任制，</w:t>
      </w:r>
      <w:r>
        <w:rPr>
          <w:rFonts w:hint="eastAsia" w:ascii="Times New Roman" w:eastAsia="仿宋_GB2312"/>
          <w:color w:val="000000"/>
          <w:kern w:val="2"/>
          <w:sz w:val="32"/>
          <w:szCs w:val="24"/>
        </w:rPr>
        <w:t>全年组织</w:t>
      </w:r>
      <w:r>
        <w:rPr>
          <w:rFonts w:hint="eastAsia" w:ascii="Times New Roman" w:eastAsia="仿宋_GB2312"/>
          <w:color w:val="000000"/>
          <w:kern w:val="2"/>
          <w:sz w:val="32"/>
          <w:szCs w:val="24"/>
          <w:lang w:val="en"/>
        </w:rPr>
        <w:t>理论学习中心组</w:t>
      </w:r>
      <w:r>
        <w:rPr>
          <w:rFonts w:hint="eastAsia" w:ascii="Times New Roman" w:eastAsia="仿宋_GB2312"/>
          <w:color w:val="000000"/>
          <w:kern w:val="2"/>
          <w:sz w:val="32"/>
          <w:szCs w:val="24"/>
        </w:rPr>
        <w:t>开展</w:t>
      </w:r>
      <w:r>
        <w:rPr>
          <w:rFonts w:hint="eastAsia" w:ascii="Times New Roman" w:eastAsia="仿宋_GB2312"/>
          <w:color w:val="000000"/>
          <w:kern w:val="2"/>
          <w:sz w:val="32"/>
          <w:szCs w:val="24"/>
          <w:lang w:val="en"/>
        </w:rPr>
        <w:t>专题学习</w:t>
      </w:r>
      <w:r>
        <w:rPr>
          <w:rFonts w:hint="eastAsia" w:ascii="Times New Roman" w:eastAsia="仿宋_GB2312"/>
          <w:color w:val="000000"/>
          <w:kern w:val="2"/>
          <w:sz w:val="32"/>
          <w:szCs w:val="24"/>
        </w:rPr>
        <w:t>6</w:t>
      </w:r>
      <w:r>
        <w:rPr>
          <w:rFonts w:hint="eastAsia" w:ascii="Times New Roman" w:eastAsia="仿宋_GB2312"/>
          <w:color w:val="000000"/>
          <w:kern w:val="2"/>
          <w:sz w:val="32"/>
          <w:szCs w:val="24"/>
          <w:lang w:val="en"/>
        </w:rPr>
        <w:t>次。持续深化宣传思想工作，组建基层理论宣讲小分队</w:t>
      </w:r>
      <w:r>
        <w:rPr>
          <w:rFonts w:hint="eastAsia" w:ascii="Times New Roman" w:eastAsia="仿宋_GB2312"/>
          <w:color w:val="000000"/>
          <w:kern w:val="2"/>
          <w:sz w:val="32"/>
          <w:szCs w:val="24"/>
        </w:rPr>
        <w:t>16</w:t>
      </w:r>
      <w:r>
        <w:rPr>
          <w:rFonts w:hint="eastAsia" w:ascii="Times New Roman" w:eastAsia="仿宋_GB2312"/>
          <w:color w:val="000000"/>
          <w:kern w:val="2"/>
          <w:sz w:val="32"/>
          <w:szCs w:val="24"/>
          <w:lang w:val="en"/>
        </w:rPr>
        <w:t>支，举办院坝会、</w:t>
      </w:r>
      <w:r>
        <w:rPr>
          <w:rFonts w:hint="eastAsia" w:ascii="Times New Roman" w:eastAsia="仿宋_GB2312"/>
          <w:color w:val="000000"/>
          <w:kern w:val="2"/>
          <w:sz w:val="32"/>
          <w:szCs w:val="24"/>
        </w:rPr>
        <w:t>宣讲会120</w:t>
      </w:r>
      <w:r>
        <w:rPr>
          <w:rFonts w:hint="eastAsia" w:ascii="Times New Roman" w:eastAsia="仿宋_GB2312"/>
          <w:color w:val="000000"/>
          <w:kern w:val="2"/>
          <w:sz w:val="32"/>
          <w:szCs w:val="24"/>
          <w:lang w:val="en"/>
        </w:rPr>
        <w:t>余场，肉牛羊养殖、水利设施建设、劳务专合社等工作经验多次被省市主流媒体报道。强化网络舆情监管和分析研判，</w:t>
      </w:r>
      <w:r>
        <w:rPr>
          <w:rFonts w:hint="eastAsia" w:ascii="Times New Roman" w:eastAsia="仿宋_GB2312"/>
          <w:color w:val="000000"/>
          <w:kern w:val="2"/>
          <w:sz w:val="32"/>
          <w:szCs w:val="24"/>
        </w:rPr>
        <w:t>及时调查处置14件网络舆情，全年未造成重大负面影响。</w:t>
      </w:r>
      <w:r>
        <w:rPr>
          <w:rFonts w:hint="eastAsia" w:ascii="Times New Roman" w:eastAsia="仿宋_GB2312"/>
          <w:color w:val="000000"/>
          <w:kern w:val="2"/>
          <w:sz w:val="32"/>
          <w:szCs w:val="24"/>
          <w:lang w:val="en"/>
        </w:rPr>
        <w:t>扎实做好新时代文明实践所（站）提升工程，</w:t>
      </w:r>
      <w:r>
        <w:rPr>
          <w:rFonts w:hint="eastAsia" w:ascii="Times New Roman" w:eastAsia="仿宋_GB2312"/>
          <w:color w:val="000000"/>
          <w:kern w:val="2"/>
          <w:sz w:val="32"/>
          <w:szCs w:val="24"/>
        </w:rPr>
        <w:t>组织开展志愿服务活动534次</w:t>
      </w:r>
      <w:r>
        <w:rPr>
          <w:rFonts w:hint="eastAsia" w:ascii="Times New Roman" w:eastAsia="仿宋_GB2312"/>
          <w:color w:val="000000"/>
          <w:kern w:val="2"/>
          <w:sz w:val="32"/>
          <w:szCs w:val="24"/>
          <w:lang w:val="en"/>
        </w:rPr>
        <w:t>。</w:t>
      </w:r>
    </w:p>
    <w:p w14:paraId="04EE9E5D">
      <w:pPr>
        <w:spacing w:line="576" w:lineRule="exact"/>
        <w:ind w:firstLine="640" w:firstLineChars="200"/>
        <w:jc w:val="both"/>
        <w:rPr>
          <w:rFonts w:hint="eastAsia" w:ascii="Times New Roman" w:eastAsia="仿宋_GB2312"/>
          <w:color w:val="000000"/>
          <w:kern w:val="2"/>
          <w:sz w:val="32"/>
          <w:szCs w:val="24"/>
          <w:lang w:val="en"/>
        </w:rPr>
      </w:pPr>
      <w:r>
        <w:rPr>
          <w:rFonts w:hint="eastAsia" w:ascii="Times New Roman" w:eastAsia="仿宋_GB2312"/>
          <w:color w:val="000000"/>
          <w:kern w:val="2"/>
          <w:sz w:val="32"/>
          <w:szCs w:val="24"/>
        </w:rPr>
        <w:t>全面抓好自身建设</w:t>
      </w:r>
      <w:r>
        <w:rPr>
          <w:rFonts w:hint="eastAsia" w:ascii="Times New Roman" w:eastAsia="仿宋_GB2312"/>
          <w:color w:val="000000"/>
          <w:kern w:val="2"/>
          <w:sz w:val="32"/>
          <w:szCs w:val="24"/>
          <w:lang w:val="en"/>
        </w:rPr>
        <w:t>。持之以恒推进全面从严治党，扎实推动区委巡察太公镇暨直接巡察村反馈问题整改工作，</w:t>
      </w:r>
      <w:r>
        <w:rPr>
          <w:rFonts w:hint="eastAsia" w:ascii="Times New Roman" w:eastAsia="仿宋_GB2312"/>
          <w:color w:val="000000"/>
          <w:kern w:val="2"/>
          <w:sz w:val="32"/>
          <w:szCs w:val="24"/>
        </w:rPr>
        <w:t>共整改问题65个，整改率100%</w:t>
      </w:r>
      <w:r>
        <w:rPr>
          <w:rFonts w:hint="eastAsia" w:ascii="Times New Roman" w:eastAsia="仿宋_GB2312"/>
          <w:color w:val="000000"/>
          <w:kern w:val="2"/>
          <w:sz w:val="32"/>
          <w:szCs w:val="24"/>
          <w:lang w:val="en"/>
        </w:rPr>
        <w:t>。自觉接受人大工作监督，高质量办好</w:t>
      </w:r>
      <w:r>
        <w:rPr>
          <w:rFonts w:hint="eastAsia" w:ascii="Times New Roman" w:eastAsia="仿宋_GB2312"/>
          <w:color w:val="000000"/>
          <w:kern w:val="2"/>
          <w:sz w:val="32"/>
          <w:szCs w:val="24"/>
          <w:lang w:val="en" w:eastAsia="zh-CN"/>
        </w:rPr>
        <w:t>人大代表履行职责</w:t>
      </w:r>
      <w:r>
        <w:rPr>
          <w:rFonts w:hint="eastAsia" w:ascii="Times New Roman" w:eastAsia="仿宋_GB2312"/>
          <w:color w:val="000000"/>
          <w:kern w:val="2"/>
          <w:sz w:val="32"/>
          <w:szCs w:val="24"/>
        </w:rPr>
        <w:t>活动</w:t>
      </w:r>
      <w:r>
        <w:rPr>
          <w:rFonts w:hint="eastAsia" w:ascii="Times New Roman" w:eastAsia="仿宋_GB2312"/>
          <w:color w:val="000000"/>
          <w:kern w:val="2"/>
          <w:sz w:val="32"/>
          <w:szCs w:val="24"/>
          <w:lang w:val="en"/>
        </w:rPr>
        <w:t>，主动接受社会和舆论监督。坚持政府过“紧日子”、群众过“好日子”理念，把有限财力用到加快发展和民生保障的刀刃上，不断提高公共服务水平。</w:t>
      </w:r>
    </w:p>
    <w:p w14:paraId="2B04563A">
      <w:pPr>
        <w:spacing w:line="576" w:lineRule="exact"/>
        <w:ind w:firstLine="640" w:firstLineChars="200"/>
        <w:jc w:val="both"/>
        <w:rPr>
          <w:rFonts w:hint="eastAsia" w:ascii="Times New Roman" w:eastAsia="仿宋_GB2312"/>
          <w:color w:val="000000"/>
          <w:kern w:val="2"/>
          <w:sz w:val="32"/>
          <w:szCs w:val="24"/>
        </w:rPr>
      </w:pPr>
      <w:r>
        <w:rPr>
          <w:rFonts w:hint="eastAsia" w:ascii="Times New Roman" w:eastAsia="仿宋_GB2312"/>
          <w:color w:val="000000"/>
          <w:kern w:val="2"/>
          <w:sz w:val="32"/>
          <w:szCs w:val="24"/>
        </w:rPr>
        <w:t>6.</w:t>
      </w:r>
      <w:r>
        <w:rPr>
          <w:rFonts w:hint="eastAsia" w:ascii="Times New Roman" w:eastAsia="仿宋_GB2312"/>
          <w:color w:val="000000"/>
          <w:kern w:val="2"/>
          <w:sz w:val="32"/>
          <w:szCs w:val="24"/>
          <w:lang w:val="en"/>
        </w:rPr>
        <w:t>始终聚焦群众所期所盼，坚持将民生实事摆在重要位置，</w:t>
      </w:r>
      <w:r>
        <w:rPr>
          <w:rFonts w:hint="eastAsia" w:ascii="Times New Roman" w:eastAsia="仿宋_GB2312"/>
          <w:color w:val="000000"/>
          <w:kern w:val="2"/>
          <w:sz w:val="32"/>
          <w:szCs w:val="24"/>
        </w:rPr>
        <w:t>区人代会确定的住房保障能力提升、农村污水治理等5件区级民生实事和镇人代会确定的太平村改建石壳岭堰塘、高照村人居环境整治项目2</w:t>
      </w:r>
      <w:r>
        <w:rPr>
          <w:rFonts w:hint="eastAsia" w:ascii="Times New Roman" w:eastAsia="仿宋_GB2312"/>
          <w:color w:val="000000"/>
          <w:kern w:val="2"/>
          <w:sz w:val="32"/>
          <w:szCs w:val="24"/>
          <w:lang w:val="en"/>
        </w:rPr>
        <w:t>件</w:t>
      </w:r>
      <w:r>
        <w:rPr>
          <w:rFonts w:hint="eastAsia" w:ascii="Times New Roman" w:eastAsia="仿宋_GB2312"/>
          <w:color w:val="000000"/>
          <w:kern w:val="2"/>
          <w:sz w:val="32"/>
          <w:szCs w:val="24"/>
        </w:rPr>
        <w:t>镇级</w:t>
      </w:r>
      <w:r>
        <w:rPr>
          <w:rFonts w:hint="eastAsia" w:ascii="Times New Roman" w:eastAsia="仿宋_GB2312"/>
          <w:color w:val="000000"/>
          <w:kern w:val="2"/>
          <w:sz w:val="32"/>
          <w:szCs w:val="24"/>
          <w:lang w:val="en"/>
        </w:rPr>
        <w:t>民生实事全面完成。</w:t>
      </w:r>
    </w:p>
    <w:bookmarkEnd w:id="0"/>
    <w:p w14:paraId="2CEFC6BA">
      <w:pPr>
        <w:pStyle w:val="4"/>
        <w:keepNext/>
        <w:keepLines/>
        <w:spacing w:line="576" w:lineRule="exact"/>
        <w:ind w:firstLine="640" w:firstLineChars="200"/>
        <w:jc w:val="both"/>
        <w:rPr>
          <w:rFonts w:hint="eastAsia" w:ascii="Times New Roman" w:eastAsia="Times New Roman" w:cs="Cambria"/>
          <w:kern w:val="2"/>
          <w:sz w:val="32"/>
          <w:szCs w:val="24"/>
        </w:rPr>
      </w:pPr>
      <w:r>
        <w:rPr>
          <w:rFonts w:hint="eastAsia" w:ascii="Times New Roman" w:eastAsia="黑体"/>
          <w:color w:val="000000"/>
          <w:kern w:val="2"/>
          <w:sz w:val="32"/>
          <w:szCs w:val="24"/>
        </w:rPr>
        <w:t>二、机</w:t>
      </w:r>
      <w:r>
        <w:rPr>
          <w:rFonts w:hint="eastAsia" w:ascii="Times New Roman" w:eastAsia="黑体"/>
          <w:kern w:val="2"/>
          <w:sz w:val="32"/>
          <w:szCs w:val="24"/>
        </w:rPr>
        <w:t>构设置</w:t>
      </w:r>
    </w:p>
    <w:p w14:paraId="6245C85E">
      <w:pPr>
        <w:spacing w:line="576" w:lineRule="exact"/>
        <w:ind w:firstLine="640" w:firstLineChars="200"/>
        <w:jc w:val="both"/>
        <w:rPr>
          <w:rFonts w:hint="eastAsia" w:ascii="Times New Roman" w:eastAsia="仿宋" w:cs="仿宋"/>
          <w:color w:val="auto"/>
          <w:sz w:val="32"/>
          <w:szCs w:val="32"/>
        </w:rPr>
      </w:pPr>
      <w:bookmarkStart w:id="1" w:name="OLE_LINK28"/>
      <w:r>
        <w:rPr>
          <w:rFonts w:hint="eastAsia" w:ascii="Times New Roman" w:eastAsia="仿宋_GB2312"/>
          <w:color w:val="000000"/>
          <w:kern w:val="2"/>
          <w:sz w:val="32"/>
          <w:szCs w:val="24"/>
        </w:rPr>
        <w:t>太公镇人民政府属于一级预算单位，下属二级预算单位0个，其中行政单位1个，参照公务员法管理的事业单位0个，其他事业单位0个。</w:t>
      </w:r>
      <w:bookmarkEnd w:id="1"/>
    </w:p>
    <w:p w14:paraId="6D4AE258">
      <w:pPr>
        <w:rPr>
          <w:rFonts w:hint="eastAsia" w:ascii="Times New Roman" w:eastAsia="仿宋" w:cs="仿宋"/>
          <w:color w:val="auto"/>
          <w:sz w:val="32"/>
          <w:szCs w:val="32"/>
        </w:rPr>
      </w:pPr>
    </w:p>
    <w:p w14:paraId="09BE09EB">
      <w:pPr>
        <w:pStyle w:val="2"/>
        <w:rPr>
          <w:rFonts w:hint="eastAsia" w:ascii="Times New Roman" w:hAnsi="Times New Roman" w:eastAsia="仿宋" w:cs="仿宋"/>
          <w:color w:val="auto"/>
          <w:sz w:val="32"/>
          <w:szCs w:val="32"/>
        </w:rPr>
      </w:pPr>
    </w:p>
    <w:p w14:paraId="1F6DB177">
      <w:pPr>
        <w:rPr>
          <w:rFonts w:hint="eastAsia" w:ascii="Times New Roman" w:eastAsia="仿宋" w:cs="仿宋"/>
          <w:color w:val="auto"/>
          <w:sz w:val="32"/>
          <w:szCs w:val="32"/>
        </w:rPr>
      </w:pPr>
    </w:p>
    <w:p w14:paraId="57281CB3">
      <w:pPr>
        <w:pStyle w:val="2"/>
        <w:rPr>
          <w:rFonts w:hint="eastAsia" w:ascii="Times New Roman" w:hAnsi="Times New Roman" w:eastAsia="仿宋" w:cs="仿宋"/>
          <w:color w:val="auto"/>
          <w:sz w:val="32"/>
          <w:szCs w:val="32"/>
        </w:rPr>
      </w:pPr>
    </w:p>
    <w:p w14:paraId="3315F840">
      <w:pPr>
        <w:rPr>
          <w:rFonts w:hint="eastAsia" w:ascii="Times New Roman" w:eastAsia="仿宋" w:cs="仿宋"/>
          <w:color w:val="auto"/>
          <w:sz w:val="32"/>
          <w:szCs w:val="32"/>
        </w:rPr>
      </w:pPr>
    </w:p>
    <w:p w14:paraId="72B89DE0">
      <w:pPr>
        <w:pStyle w:val="2"/>
        <w:rPr>
          <w:rFonts w:hint="eastAsia" w:ascii="Times New Roman" w:hAnsi="Times New Roman" w:eastAsia="仿宋" w:cs="仿宋"/>
          <w:color w:val="auto"/>
          <w:sz w:val="32"/>
          <w:szCs w:val="32"/>
        </w:rPr>
      </w:pPr>
    </w:p>
    <w:p w14:paraId="23362886">
      <w:pPr>
        <w:rPr>
          <w:rFonts w:hint="eastAsia" w:ascii="Times New Roman" w:eastAsia="仿宋" w:cs="仿宋"/>
          <w:color w:val="auto"/>
          <w:sz w:val="32"/>
          <w:szCs w:val="32"/>
        </w:rPr>
      </w:pPr>
    </w:p>
    <w:p w14:paraId="7E48FDFC">
      <w:pPr>
        <w:pStyle w:val="2"/>
        <w:rPr>
          <w:rFonts w:hint="eastAsia" w:ascii="Times New Roman" w:hAnsi="Times New Roman" w:eastAsia="仿宋" w:cs="仿宋"/>
          <w:color w:val="auto"/>
          <w:sz w:val="32"/>
          <w:szCs w:val="32"/>
        </w:rPr>
      </w:pPr>
    </w:p>
    <w:p w14:paraId="282A4F8C">
      <w:pPr>
        <w:rPr>
          <w:rFonts w:hint="eastAsia" w:ascii="Times New Roman" w:eastAsia="仿宋" w:cs="仿宋"/>
          <w:color w:val="auto"/>
          <w:sz w:val="32"/>
          <w:szCs w:val="32"/>
        </w:rPr>
      </w:pPr>
    </w:p>
    <w:p w14:paraId="4082CA36">
      <w:pPr>
        <w:pStyle w:val="2"/>
        <w:rPr>
          <w:rFonts w:hint="eastAsia" w:ascii="Times New Roman" w:hAnsi="Times New Roman" w:eastAsia="仿宋" w:cs="仿宋"/>
          <w:color w:val="auto"/>
          <w:sz w:val="32"/>
          <w:szCs w:val="32"/>
        </w:rPr>
      </w:pPr>
    </w:p>
    <w:p w14:paraId="47EB4D30">
      <w:pPr>
        <w:rPr>
          <w:rFonts w:hint="eastAsia" w:ascii="Times New Roman" w:eastAsia="仿宋" w:cs="仿宋"/>
          <w:color w:val="auto"/>
          <w:sz w:val="32"/>
          <w:szCs w:val="32"/>
        </w:rPr>
      </w:pPr>
    </w:p>
    <w:p w14:paraId="41230AA0">
      <w:pPr>
        <w:pStyle w:val="2"/>
        <w:rPr>
          <w:rFonts w:hint="eastAsia" w:ascii="Times New Roman" w:hAnsi="Times New Roman" w:eastAsia="仿宋" w:cs="仿宋"/>
          <w:color w:val="auto"/>
          <w:sz w:val="32"/>
          <w:szCs w:val="32"/>
        </w:rPr>
      </w:pPr>
    </w:p>
    <w:p w14:paraId="397C4F13">
      <w:pPr>
        <w:rPr>
          <w:rFonts w:hint="eastAsia" w:ascii="Times New Roman" w:eastAsia="仿宋" w:cs="仿宋"/>
          <w:color w:val="auto"/>
          <w:sz w:val="32"/>
          <w:szCs w:val="32"/>
        </w:rPr>
      </w:pPr>
    </w:p>
    <w:p w14:paraId="28A47DBC">
      <w:pPr>
        <w:pStyle w:val="2"/>
        <w:rPr>
          <w:rFonts w:hint="eastAsia" w:ascii="Times New Roman" w:hAnsi="Times New Roman" w:eastAsia="仿宋" w:cs="仿宋"/>
          <w:color w:val="auto"/>
          <w:sz w:val="32"/>
          <w:szCs w:val="32"/>
        </w:rPr>
      </w:pPr>
    </w:p>
    <w:p w14:paraId="235E9C21">
      <w:pPr>
        <w:rPr>
          <w:rFonts w:hint="eastAsia" w:ascii="Times New Roman" w:eastAsia="仿宋" w:cs="仿宋"/>
          <w:color w:val="auto"/>
          <w:sz w:val="32"/>
          <w:szCs w:val="32"/>
        </w:rPr>
      </w:pPr>
    </w:p>
    <w:p w14:paraId="512B9423">
      <w:pPr>
        <w:pStyle w:val="2"/>
        <w:rPr>
          <w:rFonts w:hint="eastAsia" w:ascii="Times New Roman" w:hAnsi="Times New Roman" w:eastAsia="仿宋" w:cs="仿宋"/>
          <w:color w:val="auto"/>
          <w:sz w:val="32"/>
          <w:szCs w:val="32"/>
        </w:rPr>
      </w:pPr>
    </w:p>
    <w:p w14:paraId="5E2C7035">
      <w:pPr>
        <w:rPr>
          <w:rFonts w:hint="eastAsia" w:ascii="Times New Roman" w:eastAsia="仿宋" w:cs="仿宋"/>
          <w:color w:val="auto"/>
          <w:sz w:val="32"/>
          <w:szCs w:val="32"/>
        </w:rPr>
      </w:pPr>
    </w:p>
    <w:p w14:paraId="64CFCA54">
      <w:pPr>
        <w:pStyle w:val="2"/>
        <w:rPr>
          <w:rFonts w:hint="eastAsia" w:ascii="Times New Roman" w:hAnsi="Times New Roman" w:eastAsia="仿宋" w:cs="仿宋"/>
          <w:color w:val="auto"/>
          <w:sz w:val="32"/>
          <w:szCs w:val="32"/>
        </w:rPr>
      </w:pPr>
    </w:p>
    <w:p w14:paraId="3F2F650A">
      <w:pPr>
        <w:rPr>
          <w:rFonts w:hint="eastAsia" w:ascii="Times New Roman" w:eastAsia="仿宋" w:cs="仿宋"/>
          <w:color w:val="auto"/>
          <w:sz w:val="32"/>
          <w:szCs w:val="32"/>
        </w:rPr>
      </w:pPr>
    </w:p>
    <w:p w14:paraId="1BF1D517">
      <w:pPr>
        <w:pStyle w:val="2"/>
        <w:rPr>
          <w:rFonts w:hint="eastAsia" w:ascii="Times New Roman" w:hAnsi="Times New Roman" w:eastAsia="仿宋" w:cs="仿宋"/>
          <w:color w:val="auto"/>
          <w:sz w:val="32"/>
          <w:szCs w:val="32"/>
        </w:rPr>
      </w:pPr>
    </w:p>
    <w:p w14:paraId="712B71C6">
      <w:pPr>
        <w:rPr>
          <w:rFonts w:hint="eastAsia" w:ascii="Times New Roman" w:eastAsia="仿宋" w:cs="仿宋"/>
          <w:color w:val="auto"/>
          <w:sz w:val="32"/>
          <w:szCs w:val="32"/>
        </w:rPr>
      </w:pPr>
    </w:p>
    <w:p w14:paraId="7BCC5C19">
      <w:pPr>
        <w:pStyle w:val="2"/>
        <w:rPr>
          <w:rFonts w:hint="eastAsia" w:ascii="Times New Roman" w:hAnsi="Times New Roman" w:eastAsia="仿宋" w:cs="仿宋"/>
          <w:color w:val="auto"/>
          <w:sz w:val="32"/>
          <w:szCs w:val="32"/>
        </w:rPr>
      </w:pPr>
    </w:p>
    <w:p w14:paraId="3D4EEEAC">
      <w:pPr>
        <w:rPr>
          <w:rFonts w:hint="eastAsia" w:ascii="Times New Roman" w:eastAsia="仿宋" w:cs="仿宋"/>
          <w:color w:val="auto"/>
          <w:sz w:val="32"/>
          <w:szCs w:val="32"/>
        </w:rPr>
      </w:pPr>
    </w:p>
    <w:p w14:paraId="6CA64746">
      <w:pPr>
        <w:pStyle w:val="2"/>
        <w:rPr>
          <w:rFonts w:hint="eastAsia" w:ascii="Times New Roman" w:hAnsi="Times New Roman" w:eastAsia="仿宋" w:cs="仿宋"/>
          <w:color w:val="auto"/>
          <w:sz w:val="32"/>
          <w:szCs w:val="32"/>
        </w:rPr>
      </w:pPr>
    </w:p>
    <w:p w14:paraId="0DB94FB9">
      <w:pPr>
        <w:rPr>
          <w:rFonts w:hint="eastAsia" w:ascii="Times New Roman" w:eastAsia="仿宋" w:cs="仿宋"/>
          <w:color w:val="auto"/>
          <w:sz w:val="32"/>
          <w:szCs w:val="32"/>
        </w:rPr>
      </w:pPr>
    </w:p>
    <w:p w14:paraId="539BBF1D">
      <w:pPr>
        <w:pStyle w:val="2"/>
        <w:rPr>
          <w:rFonts w:hint="eastAsia"/>
        </w:rPr>
      </w:pPr>
    </w:p>
    <w:p w14:paraId="3084F0C3">
      <w:pPr>
        <w:pStyle w:val="2"/>
        <w:rPr>
          <w:rFonts w:hint="eastAsia" w:ascii="Times New Roman" w:hAnsi="Times New Roman" w:eastAsia="仿宋" w:cs="仿宋"/>
          <w:color w:val="auto"/>
          <w:sz w:val="32"/>
          <w:szCs w:val="32"/>
        </w:rPr>
      </w:pPr>
    </w:p>
    <w:p w14:paraId="7174FFFE">
      <w:pPr>
        <w:rPr>
          <w:rFonts w:hint="default"/>
          <w:sz w:val="24"/>
          <w:szCs w:val="24"/>
        </w:rPr>
      </w:pPr>
    </w:p>
    <w:p w14:paraId="34C97B22">
      <w:pPr>
        <w:pStyle w:val="2"/>
        <w:rPr>
          <w:rFonts w:hint="default" w:ascii="宋体" w:hAnsi="Times New Roman"/>
          <w:sz w:val="21"/>
          <w:szCs w:val="24"/>
        </w:rPr>
      </w:pPr>
    </w:p>
    <w:p w14:paraId="7DA7A73E">
      <w:pPr>
        <w:pStyle w:val="6"/>
        <w:rPr>
          <w:rFonts w:hint="default"/>
          <w:sz w:val="24"/>
          <w:szCs w:val="24"/>
        </w:rPr>
      </w:pPr>
    </w:p>
    <w:p w14:paraId="14FC61EE">
      <w:pPr>
        <w:numPr>
          <w:ilvl w:val="0"/>
          <w:numId w:val="1"/>
        </w:numPr>
        <w:tabs>
          <w:tab w:val="center" w:pos="4482"/>
          <w:tab w:val="left" w:pos="7482"/>
        </w:tabs>
        <w:autoSpaceDE/>
        <w:autoSpaceDN/>
        <w:adjustRightInd/>
        <w:spacing w:line="576" w:lineRule="exact"/>
        <w:jc w:val="center"/>
        <w:rPr>
          <w:rFonts w:hint="eastAsia" w:ascii="Times New Roman" w:eastAsia="方正小标宋简体" w:cs="方正小标宋简体"/>
          <w:kern w:val="2"/>
          <w:sz w:val="44"/>
          <w:szCs w:val="44"/>
        </w:rPr>
      </w:pPr>
      <w:r>
        <w:rPr>
          <w:rFonts w:hint="eastAsia" w:ascii="Times New Roman" w:eastAsia="方正小标宋简体" w:cs="方正小标宋简体"/>
          <w:kern w:val="2"/>
          <w:sz w:val="44"/>
          <w:szCs w:val="44"/>
        </w:rPr>
        <w:t xml:space="preserve"> 2023年度部门决算情况说明</w:t>
      </w:r>
    </w:p>
    <w:p w14:paraId="4DFB29C9">
      <w:pPr>
        <w:overflowPunct w:val="0"/>
        <w:topLinePunct/>
        <w:spacing w:line="576" w:lineRule="exact"/>
        <w:ind w:firstLine="640" w:firstLineChars="200"/>
        <w:jc w:val="both"/>
        <w:rPr>
          <w:rFonts w:hint="eastAsia" w:ascii="Times New Roman" w:eastAsia="黑体"/>
          <w:color w:val="000000"/>
          <w:kern w:val="2"/>
          <w:sz w:val="32"/>
          <w:szCs w:val="24"/>
        </w:rPr>
      </w:pPr>
    </w:p>
    <w:p w14:paraId="1CF56C98">
      <w:pPr>
        <w:overflowPunct w:val="0"/>
        <w:topLinePunct/>
        <w:spacing w:line="576" w:lineRule="exact"/>
        <w:ind w:firstLine="640" w:firstLineChars="200"/>
        <w:jc w:val="both"/>
        <w:rPr>
          <w:rFonts w:hint="eastAsia" w:ascii="Times New Roman" w:eastAsia="黑体"/>
          <w:kern w:val="2"/>
          <w:sz w:val="32"/>
          <w:szCs w:val="24"/>
        </w:rPr>
      </w:pPr>
      <w:r>
        <w:rPr>
          <w:rFonts w:hint="eastAsia" w:ascii="Times New Roman" w:eastAsia="黑体"/>
          <w:color w:val="000000"/>
          <w:kern w:val="2"/>
          <w:sz w:val="32"/>
          <w:szCs w:val="24"/>
        </w:rPr>
        <w:t>一、收</w:t>
      </w:r>
      <w:r>
        <w:rPr>
          <w:rFonts w:hint="eastAsia" w:ascii="Times New Roman" w:eastAsia="黑体"/>
          <w:kern w:val="2"/>
          <w:sz w:val="32"/>
          <w:szCs w:val="24"/>
        </w:rPr>
        <w:t>入支出决算总体情况说明</w:t>
      </w:r>
    </w:p>
    <w:p w14:paraId="278B0F45">
      <w:pPr>
        <w:spacing w:line="576" w:lineRule="exact"/>
        <w:ind w:firstLine="640"/>
        <w:jc w:val="both"/>
        <w:rPr>
          <w:rFonts w:hint="eastAsia" w:ascii="Times New Roman" w:eastAsia="仿宋_GB2312"/>
          <w:color w:val="000000"/>
          <w:kern w:val="2"/>
          <w:sz w:val="32"/>
          <w:szCs w:val="24"/>
        </w:rPr>
      </w:pPr>
      <w:bookmarkStart w:id="2" w:name="OLE_LINK30"/>
      <w:r>
        <w:rPr>
          <w:rFonts w:hint="eastAsia" w:ascii="Times New Roman" w:eastAsia="仿宋_GB2312"/>
          <w:color w:val="000000"/>
          <w:sz w:val="32"/>
          <w:szCs w:val="24"/>
        </w:rPr>
        <w:t>2023年度收、支总计均为1929.99万元。与2022年相比，收、支总计各增加了347.87万元，</w:t>
      </w:r>
      <w:bookmarkStart w:id="3" w:name="OLE_LINK3"/>
      <w:r>
        <w:rPr>
          <w:rFonts w:hint="eastAsia" w:ascii="Times New Roman" w:eastAsia="仿宋_GB2312"/>
          <w:color w:val="000000"/>
          <w:sz w:val="32"/>
          <w:szCs w:val="24"/>
        </w:rPr>
        <w:t>增长21.99%，主要变动原因是本年度人员、项目增加。</w:t>
      </w:r>
      <w:bookmarkEnd w:id="2"/>
      <w:bookmarkEnd w:id="3"/>
    </w:p>
    <w:p w14:paraId="627CCDBE">
      <w:pPr>
        <w:overflowPunct w:val="0"/>
        <w:topLinePunct/>
        <w:spacing w:line="576" w:lineRule="exact"/>
        <w:ind w:firstLine="480" w:firstLineChars="200"/>
        <w:jc w:val="both"/>
        <w:rPr>
          <w:rFonts w:hint="eastAsia" w:ascii="Times New Roman" w:eastAsia="黑体"/>
          <w:color w:val="000000"/>
          <w:kern w:val="2"/>
          <w:sz w:val="32"/>
          <w:szCs w:val="24"/>
        </w:rPr>
      </w:pPr>
      <w:r>
        <w:rPr>
          <w:rFonts w:hint="default" w:ascii="Times New Roman"/>
          <w:sz w:val="24"/>
          <w:szCs w:val="24"/>
        </w:rPr>
        <w:drawing>
          <wp:anchor distT="0" distB="0" distL="114300" distR="114300" simplePos="0" relativeHeight="251660288" behindDoc="0" locked="0" layoutInCell="1" allowOverlap="1">
            <wp:simplePos x="0" y="0"/>
            <wp:positionH relativeFrom="column">
              <wp:posOffset>784225</wp:posOffset>
            </wp:positionH>
            <wp:positionV relativeFrom="paragraph">
              <wp:posOffset>123190</wp:posOffset>
            </wp:positionV>
            <wp:extent cx="3959860" cy="2520315"/>
            <wp:effectExtent l="0" t="0" r="2540" b="13335"/>
            <wp:wrapTopAndBottom/>
            <wp:docPr id="2" name="图表 1"/>
            <wp:cNvGraphicFramePr/>
            <a:graphic xmlns:a="http://schemas.openxmlformats.org/drawingml/2006/main">
              <a:graphicData uri="http://schemas.openxmlformats.org/drawingml/2006/picture">
                <pic:pic xmlns:pic="http://schemas.openxmlformats.org/drawingml/2006/picture">
                  <pic:nvPicPr>
                    <pic:cNvPr id="2" name="图表 1"/>
                    <pic:cNvPicPr/>
                  </pic:nvPicPr>
                  <pic:blipFill>
                    <a:blip r:embed="rId5"/>
                    <a:stretch>
                      <a:fillRect/>
                    </a:stretch>
                  </pic:blipFill>
                  <pic:spPr>
                    <a:xfrm>
                      <a:off x="0" y="0"/>
                      <a:ext cx="3959860" cy="2520315"/>
                    </a:xfrm>
                    <a:prstGeom prst="rect">
                      <a:avLst/>
                    </a:prstGeom>
                    <a:noFill/>
                    <a:ln>
                      <a:noFill/>
                    </a:ln>
                  </pic:spPr>
                </pic:pic>
              </a:graphicData>
            </a:graphic>
          </wp:anchor>
        </w:drawing>
      </w:r>
    </w:p>
    <w:p w14:paraId="747D09A2">
      <w:pPr>
        <w:overflowPunct w:val="0"/>
        <w:topLinePunct/>
        <w:spacing w:line="576" w:lineRule="exact"/>
        <w:ind w:firstLine="640" w:firstLineChars="200"/>
        <w:jc w:val="both"/>
        <w:rPr>
          <w:rFonts w:hint="eastAsia" w:ascii="Times New Roman" w:eastAsia="黑体"/>
          <w:kern w:val="2"/>
          <w:sz w:val="32"/>
          <w:szCs w:val="24"/>
        </w:rPr>
      </w:pPr>
      <w:r>
        <w:rPr>
          <w:rFonts w:hint="eastAsia" w:ascii="Times New Roman" w:eastAsia="黑体"/>
          <w:color w:val="000000"/>
          <w:kern w:val="2"/>
          <w:sz w:val="32"/>
          <w:szCs w:val="24"/>
        </w:rPr>
        <w:t>二、收</w:t>
      </w:r>
      <w:r>
        <w:rPr>
          <w:rFonts w:hint="eastAsia" w:ascii="Times New Roman" w:eastAsia="黑体"/>
          <w:kern w:val="2"/>
          <w:sz w:val="32"/>
          <w:szCs w:val="24"/>
        </w:rPr>
        <w:t>入决算情况说明</w:t>
      </w:r>
    </w:p>
    <w:p w14:paraId="6E232494">
      <w:pPr>
        <w:autoSpaceDE/>
        <w:autoSpaceDN/>
        <w:adjustRightInd/>
        <w:spacing w:line="456" w:lineRule="exact"/>
        <w:ind w:firstLine="640" w:firstLineChars="200"/>
        <w:outlineLvl w:val="1"/>
        <w:rPr>
          <w:rFonts w:hint="eastAsia" w:ascii="Times New Roman" w:eastAsia="仿宋_GB2312"/>
          <w:color w:val="000000"/>
          <w:sz w:val="32"/>
          <w:szCs w:val="24"/>
        </w:rPr>
      </w:pPr>
      <w:bookmarkStart w:id="4" w:name="OLE_LINK31"/>
      <w:r>
        <w:rPr>
          <w:rFonts w:hint="eastAsia" w:ascii="Times New Roman" w:eastAsia="仿宋_GB2312"/>
          <w:color w:val="000000"/>
          <w:sz w:val="32"/>
          <w:szCs w:val="24"/>
        </w:rPr>
        <w:t>2023年本年收入合计1729.99万元，其中：一般公共预算财政拨款收入1719.99万元，占99.42%，政府性基金预算财政拨款收入10万元，占0.58%；国有资本经营预算财政拨款收入0万元，占0%；上级补助收入0万元，占0%；事业收入0万元，占0%；经营收入0万元，占0%；附属单位上缴收入0万元，占0%；其他收入0万元，占0%。</w:t>
      </w:r>
      <w:bookmarkEnd w:id="4"/>
    </w:p>
    <w:p w14:paraId="7826935C">
      <w:pPr>
        <w:rPr>
          <w:rFonts w:hint="default"/>
          <w:sz w:val="24"/>
          <w:szCs w:val="24"/>
        </w:rPr>
      </w:pPr>
      <w:r>
        <w:rPr>
          <w:rFonts w:hint="default" w:ascii="Times New Roman" w:eastAsia="仿宋_GB2312"/>
          <w:color w:val="000000"/>
          <w:sz w:val="32"/>
          <w:szCs w:val="24"/>
        </w:rPr>
        <w:drawing>
          <wp:anchor distT="0" distB="0" distL="114300" distR="114300" simplePos="0" relativeHeight="251661312" behindDoc="0" locked="0" layoutInCell="1" allowOverlap="1">
            <wp:simplePos x="0" y="0"/>
            <wp:positionH relativeFrom="column">
              <wp:posOffset>858520</wp:posOffset>
            </wp:positionH>
            <wp:positionV relativeFrom="paragraph">
              <wp:posOffset>131445</wp:posOffset>
            </wp:positionV>
            <wp:extent cx="3959860" cy="2520315"/>
            <wp:effectExtent l="0" t="0" r="2540" b="13335"/>
            <wp:wrapTopAndBottom/>
            <wp:docPr id="3" name="图表 1" descr="7b0a202020202263686172745265734964223a20223230343732313936220a7d0a"/>
            <wp:cNvGraphicFramePr/>
            <a:graphic xmlns:a="http://schemas.openxmlformats.org/drawingml/2006/main">
              <a:graphicData uri="http://schemas.openxmlformats.org/drawingml/2006/picture">
                <pic:pic xmlns:pic="http://schemas.openxmlformats.org/drawingml/2006/picture">
                  <pic:nvPicPr>
                    <pic:cNvPr id="3" name="图表 1" descr="7b0a202020202263686172745265734964223a20223230343732313936220a7d0a"/>
                    <pic:cNvPicPr/>
                  </pic:nvPicPr>
                  <pic:blipFill>
                    <a:blip r:embed="rId6"/>
                    <a:stretch>
                      <a:fillRect/>
                    </a:stretch>
                  </pic:blipFill>
                  <pic:spPr>
                    <a:xfrm>
                      <a:off x="0" y="0"/>
                      <a:ext cx="3959860" cy="2520315"/>
                    </a:xfrm>
                    <a:prstGeom prst="rect">
                      <a:avLst/>
                    </a:prstGeom>
                    <a:noFill/>
                    <a:ln>
                      <a:noFill/>
                    </a:ln>
                  </pic:spPr>
                </pic:pic>
              </a:graphicData>
            </a:graphic>
          </wp:anchor>
        </w:drawing>
      </w:r>
    </w:p>
    <w:p w14:paraId="73417632">
      <w:pPr>
        <w:overflowPunct w:val="0"/>
        <w:topLinePunct/>
        <w:spacing w:line="576" w:lineRule="exact"/>
        <w:ind w:firstLine="640" w:firstLineChars="200"/>
        <w:jc w:val="both"/>
        <w:rPr>
          <w:rFonts w:hint="eastAsia" w:ascii="Times New Roman" w:eastAsia="黑体"/>
          <w:kern w:val="2"/>
          <w:sz w:val="32"/>
          <w:szCs w:val="24"/>
        </w:rPr>
      </w:pPr>
      <w:r>
        <w:rPr>
          <w:rFonts w:hint="eastAsia" w:ascii="Times New Roman" w:eastAsia="黑体"/>
          <w:color w:val="000000"/>
          <w:kern w:val="2"/>
          <w:sz w:val="32"/>
          <w:szCs w:val="24"/>
        </w:rPr>
        <w:t>三、支</w:t>
      </w:r>
      <w:r>
        <w:rPr>
          <w:rFonts w:hint="eastAsia" w:ascii="Times New Roman" w:eastAsia="黑体"/>
          <w:kern w:val="2"/>
          <w:sz w:val="32"/>
          <w:szCs w:val="24"/>
        </w:rPr>
        <w:t>出决算情况说明</w:t>
      </w:r>
    </w:p>
    <w:p w14:paraId="51B1E072">
      <w:pPr>
        <w:overflowPunct w:val="0"/>
        <w:topLinePunct/>
        <w:spacing w:line="576" w:lineRule="exact"/>
        <w:ind w:firstLine="640" w:firstLineChars="200"/>
        <w:jc w:val="both"/>
        <w:rPr>
          <w:rFonts w:hint="eastAsia" w:ascii="Times New Roman" w:eastAsia="仿宋_GB2312"/>
          <w:color w:val="000000"/>
          <w:kern w:val="2"/>
          <w:sz w:val="32"/>
          <w:szCs w:val="24"/>
        </w:rPr>
      </w:pPr>
      <w:bookmarkStart w:id="5" w:name="OLE_LINK32"/>
      <w:r>
        <w:rPr>
          <w:rFonts w:hint="eastAsia" w:ascii="Times New Roman" w:eastAsia="仿宋_GB2312"/>
          <w:color w:val="000000"/>
          <w:kern w:val="2"/>
          <w:sz w:val="32"/>
          <w:szCs w:val="24"/>
        </w:rPr>
        <w:t>2023年本年支出合计1729.99万元，其中：基本支出1109.69万元，占64.14%；项目支出620.29万元，占35.86%；上缴上级支出0万元，占0%；经营支出0万元，占0%；对附属单位补助支出0万元，占0%。</w:t>
      </w:r>
    </w:p>
    <w:bookmarkEnd w:id="5"/>
    <w:p w14:paraId="6191BA82">
      <w:pPr>
        <w:overflowPunct w:val="0"/>
        <w:topLinePunct/>
        <w:spacing w:line="576" w:lineRule="exact"/>
        <w:ind w:firstLine="480" w:firstLineChars="200"/>
        <w:jc w:val="both"/>
        <w:rPr>
          <w:rFonts w:hint="eastAsia" w:ascii="Times New Roman" w:eastAsia="黑体"/>
          <w:color w:val="000000"/>
          <w:kern w:val="2"/>
          <w:sz w:val="32"/>
          <w:szCs w:val="24"/>
        </w:rPr>
      </w:pPr>
      <w:r>
        <w:rPr>
          <w:rFonts w:hint="default" w:ascii="Times New Roman"/>
          <w:sz w:val="24"/>
          <w:szCs w:val="24"/>
        </w:rPr>
        <w:drawing>
          <wp:anchor distT="0" distB="0" distL="114300" distR="114300" simplePos="0" relativeHeight="251662336" behindDoc="0" locked="0" layoutInCell="1" allowOverlap="1">
            <wp:simplePos x="0" y="0"/>
            <wp:positionH relativeFrom="column">
              <wp:posOffset>880745</wp:posOffset>
            </wp:positionH>
            <wp:positionV relativeFrom="paragraph">
              <wp:posOffset>4445</wp:posOffset>
            </wp:positionV>
            <wp:extent cx="3959860" cy="2339975"/>
            <wp:effectExtent l="0" t="0" r="2540" b="3175"/>
            <wp:wrapTopAndBottom/>
            <wp:docPr id="4" name="图表 1" descr="7b0a202020202263686172745265734964223a20223230343732313936220a7d0a"/>
            <wp:cNvGraphicFramePr/>
            <a:graphic xmlns:a="http://schemas.openxmlformats.org/drawingml/2006/main">
              <a:graphicData uri="http://schemas.openxmlformats.org/drawingml/2006/picture">
                <pic:pic xmlns:pic="http://schemas.openxmlformats.org/drawingml/2006/picture">
                  <pic:nvPicPr>
                    <pic:cNvPr id="4" name="图表 1" descr="7b0a202020202263686172745265734964223a20223230343732313936220a7d0a"/>
                    <pic:cNvPicPr/>
                  </pic:nvPicPr>
                  <pic:blipFill>
                    <a:blip r:embed="rId7"/>
                    <a:stretch>
                      <a:fillRect/>
                    </a:stretch>
                  </pic:blipFill>
                  <pic:spPr>
                    <a:xfrm>
                      <a:off x="0" y="0"/>
                      <a:ext cx="3959860" cy="2339975"/>
                    </a:xfrm>
                    <a:prstGeom prst="rect">
                      <a:avLst/>
                    </a:prstGeom>
                    <a:noFill/>
                    <a:ln>
                      <a:noFill/>
                    </a:ln>
                  </pic:spPr>
                </pic:pic>
              </a:graphicData>
            </a:graphic>
          </wp:anchor>
        </w:drawing>
      </w:r>
    </w:p>
    <w:p w14:paraId="37C0E4AB">
      <w:pPr>
        <w:overflowPunct w:val="0"/>
        <w:topLinePunct/>
        <w:spacing w:line="576" w:lineRule="exact"/>
        <w:ind w:firstLine="640" w:firstLineChars="200"/>
        <w:jc w:val="both"/>
        <w:rPr>
          <w:rFonts w:hint="eastAsia" w:ascii="Times New Roman" w:eastAsia="黑体"/>
          <w:kern w:val="2"/>
          <w:sz w:val="32"/>
          <w:szCs w:val="24"/>
        </w:rPr>
      </w:pPr>
      <w:r>
        <w:rPr>
          <w:rFonts w:hint="eastAsia" w:ascii="Times New Roman" w:eastAsia="黑体"/>
          <w:color w:val="000000"/>
          <w:kern w:val="2"/>
          <w:sz w:val="32"/>
          <w:szCs w:val="24"/>
        </w:rPr>
        <w:t>四、财</w:t>
      </w:r>
      <w:r>
        <w:rPr>
          <w:rFonts w:hint="eastAsia" w:ascii="Times New Roman" w:eastAsia="黑体"/>
          <w:kern w:val="2"/>
          <w:sz w:val="32"/>
          <w:szCs w:val="24"/>
        </w:rPr>
        <w:t>政拨款收入支出决算总体情况说明</w:t>
      </w:r>
    </w:p>
    <w:p w14:paraId="3C7F5061">
      <w:pPr>
        <w:overflowPunct w:val="0"/>
        <w:topLinePunct/>
        <w:spacing w:line="576" w:lineRule="exact"/>
        <w:ind w:firstLine="640" w:firstLineChars="200"/>
        <w:jc w:val="both"/>
        <w:rPr>
          <w:rFonts w:hint="default"/>
          <w:sz w:val="24"/>
          <w:szCs w:val="24"/>
        </w:rPr>
      </w:pPr>
      <w:bookmarkStart w:id="6" w:name="OLE_LINK33"/>
      <w:r>
        <w:rPr>
          <w:rFonts w:hint="eastAsia" w:ascii="Times New Roman" w:eastAsia="仿宋_GB2312"/>
          <w:color w:val="000000"/>
          <w:kern w:val="2"/>
          <w:sz w:val="32"/>
          <w:szCs w:val="24"/>
        </w:rPr>
        <w:t>2023年度财政拨款收、支总计均为1729.99万元。与2022年度相比，财政拨款收、支总计各增加347.87万元，增长21.99%，主要变动原因是</w:t>
      </w:r>
      <w:bookmarkStart w:id="7" w:name="OLE_LINK4"/>
      <w:r>
        <w:rPr>
          <w:rFonts w:hint="eastAsia" w:ascii="Times New Roman" w:eastAsia="仿宋_GB2312"/>
          <w:color w:val="000000"/>
          <w:kern w:val="2"/>
          <w:sz w:val="32"/>
          <w:szCs w:val="24"/>
        </w:rPr>
        <w:t>本年度人员、项目增加。</w:t>
      </w:r>
      <w:bookmarkEnd w:id="6"/>
      <w:bookmarkEnd w:id="7"/>
    </w:p>
    <w:p w14:paraId="460CABFD">
      <w:pPr>
        <w:numPr>
          <w:ilvl w:val="0"/>
          <w:numId w:val="0"/>
        </w:numPr>
        <w:overflowPunct w:val="0"/>
        <w:topLinePunct/>
        <w:spacing w:line="576" w:lineRule="exact"/>
        <w:jc w:val="both"/>
        <w:rPr>
          <w:rFonts w:hint="default"/>
          <w:sz w:val="24"/>
          <w:szCs w:val="24"/>
        </w:rPr>
      </w:pPr>
      <w:r>
        <w:rPr>
          <w:rFonts w:hint="default" w:ascii="Times New Roman"/>
          <w:sz w:val="24"/>
          <w:szCs w:val="24"/>
        </w:rPr>
        <w:drawing>
          <wp:anchor distT="0" distB="0" distL="114300" distR="114300" simplePos="0" relativeHeight="251659264" behindDoc="0" locked="0" layoutInCell="1" allowOverlap="1">
            <wp:simplePos x="0" y="0"/>
            <wp:positionH relativeFrom="column">
              <wp:posOffset>820420</wp:posOffset>
            </wp:positionH>
            <wp:positionV relativeFrom="paragraph">
              <wp:posOffset>167640</wp:posOffset>
            </wp:positionV>
            <wp:extent cx="3959860" cy="2520315"/>
            <wp:effectExtent l="0" t="0" r="2540" b="13335"/>
            <wp:wrapTopAndBottom/>
            <wp:docPr id="1" name="图表 1"/>
            <wp:cNvGraphicFramePr/>
            <a:graphic xmlns:a="http://schemas.openxmlformats.org/drawingml/2006/main">
              <a:graphicData uri="http://schemas.openxmlformats.org/drawingml/2006/picture">
                <pic:pic xmlns:pic="http://schemas.openxmlformats.org/drawingml/2006/picture">
                  <pic:nvPicPr>
                    <pic:cNvPr id="1" name="图表 1"/>
                    <pic:cNvPicPr/>
                  </pic:nvPicPr>
                  <pic:blipFill>
                    <a:blip r:embed="rId8"/>
                    <a:stretch>
                      <a:fillRect/>
                    </a:stretch>
                  </pic:blipFill>
                  <pic:spPr>
                    <a:xfrm>
                      <a:off x="0" y="0"/>
                      <a:ext cx="3959860" cy="2520315"/>
                    </a:xfrm>
                    <a:prstGeom prst="rect">
                      <a:avLst/>
                    </a:prstGeom>
                    <a:noFill/>
                    <a:ln>
                      <a:noFill/>
                    </a:ln>
                  </pic:spPr>
                </pic:pic>
              </a:graphicData>
            </a:graphic>
          </wp:anchor>
        </w:drawing>
      </w:r>
    </w:p>
    <w:p w14:paraId="5902F66E">
      <w:pPr>
        <w:numPr>
          <w:ilvl w:val="0"/>
          <w:numId w:val="0"/>
        </w:numPr>
        <w:overflowPunct w:val="0"/>
        <w:topLinePunct/>
        <w:spacing w:line="576" w:lineRule="exact"/>
        <w:ind w:firstLine="640" w:firstLineChars="200"/>
        <w:jc w:val="both"/>
        <w:rPr>
          <w:rFonts w:hint="eastAsia" w:ascii="Times New Roman" w:eastAsia="黑体"/>
          <w:kern w:val="2"/>
          <w:sz w:val="32"/>
          <w:szCs w:val="24"/>
        </w:rPr>
      </w:pPr>
      <w:r>
        <w:rPr>
          <w:rFonts w:hint="eastAsia" w:ascii="Times New Roman" w:eastAsia="黑体"/>
          <w:kern w:val="2"/>
          <w:sz w:val="32"/>
          <w:szCs w:val="24"/>
        </w:rPr>
        <w:t>五、一般公共预算财政拨款支出决算情况说明</w:t>
      </w:r>
    </w:p>
    <w:p w14:paraId="1457C45D">
      <w:pPr>
        <w:numPr>
          <w:ilvl w:val="0"/>
          <w:numId w:val="0"/>
        </w:numPr>
        <w:overflowPunct w:val="0"/>
        <w:topLinePunct/>
        <w:spacing w:line="576" w:lineRule="exact"/>
        <w:ind w:firstLine="640" w:firstLineChars="200"/>
        <w:jc w:val="both"/>
        <w:rPr>
          <w:rFonts w:hint="eastAsia" w:ascii="Times New Roman" w:eastAsia="楷体_GB2312" w:cs="楷体_GB2312"/>
          <w:kern w:val="2"/>
          <w:sz w:val="32"/>
          <w:szCs w:val="32"/>
        </w:rPr>
      </w:pPr>
      <w:r>
        <w:rPr>
          <w:rFonts w:hint="eastAsia" w:ascii="Times New Roman" w:eastAsia="楷体_GB2312" w:cs="楷体_GB2312"/>
          <w:kern w:val="2"/>
          <w:sz w:val="32"/>
          <w:szCs w:val="32"/>
        </w:rPr>
        <w:t>（一）一般公共预算财政拨款支出决算总体情况</w:t>
      </w:r>
    </w:p>
    <w:p w14:paraId="0A7E8973">
      <w:pPr>
        <w:overflowPunct w:val="0"/>
        <w:topLinePunct/>
        <w:spacing w:line="576" w:lineRule="exact"/>
        <w:ind w:firstLine="640" w:firstLineChars="200"/>
        <w:jc w:val="both"/>
        <w:rPr>
          <w:rFonts w:hint="eastAsia" w:ascii="Times New Roman" w:eastAsia="仿宋_GB2312"/>
          <w:color w:val="000000"/>
          <w:kern w:val="2"/>
          <w:sz w:val="32"/>
          <w:szCs w:val="24"/>
        </w:rPr>
      </w:pPr>
      <w:bookmarkStart w:id="8" w:name="OLE_LINK34"/>
      <w:r>
        <w:rPr>
          <w:rFonts w:hint="eastAsia" w:ascii="Times New Roman" w:eastAsia="仿宋_GB2312"/>
          <w:color w:val="000000"/>
          <w:kern w:val="2"/>
          <w:sz w:val="32"/>
          <w:szCs w:val="24"/>
        </w:rPr>
        <w:t>2023年度一般公共预算财政拨款支出1719.99万元，占本年支出合计的99.42%。与2022年度相比，一般公共预算财政拨款支出增加147.87万元，增长9.48%。主要变动原因是本年度人员、项目增加。</w:t>
      </w:r>
    </w:p>
    <w:p w14:paraId="4C6910C6">
      <w:pPr>
        <w:overflowPunct w:val="0"/>
        <w:topLinePunct/>
        <w:spacing w:line="576" w:lineRule="exact"/>
        <w:ind w:firstLine="480" w:firstLineChars="200"/>
        <w:jc w:val="both"/>
        <w:rPr>
          <w:rFonts w:hint="eastAsia" w:ascii="Times New Roman" w:eastAsia="仿宋_GB2312"/>
          <w:i/>
          <w:color w:val="000000"/>
          <w:kern w:val="2"/>
          <w:sz w:val="32"/>
          <w:szCs w:val="24"/>
          <w:highlight w:val="yellow"/>
        </w:rPr>
      </w:pPr>
      <w:r>
        <w:rPr>
          <w:rFonts w:hint="default" w:ascii="Times New Roman"/>
          <w:sz w:val="24"/>
          <w:szCs w:val="24"/>
        </w:rPr>
        <w:drawing>
          <wp:anchor distT="0" distB="0" distL="114300" distR="114300" simplePos="0" relativeHeight="251663360" behindDoc="0" locked="0" layoutInCell="1" allowOverlap="1">
            <wp:simplePos x="0" y="0"/>
            <wp:positionH relativeFrom="column">
              <wp:posOffset>888365</wp:posOffset>
            </wp:positionH>
            <wp:positionV relativeFrom="paragraph">
              <wp:posOffset>69215</wp:posOffset>
            </wp:positionV>
            <wp:extent cx="3959860" cy="2520315"/>
            <wp:effectExtent l="0" t="0" r="2540" b="13335"/>
            <wp:wrapTopAndBottom/>
            <wp:docPr id="5" name="图表 1"/>
            <wp:cNvGraphicFramePr/>
            <a:graphic xmlns:a="http://schemas.openxmlformats.org/drawingml/2006/main">
              <a:graphicData uri="http://schemas.openxmlformats.org/drawingml/2006/picture">
                <pic:pic xmlns:pic="http://schemas.openxmlformats.org/drawingml/2006/picture">
                  <pic:nvPicPr>
                    <pic:cNvPr id="5" name="图表 1"/>
                    <pic:cNvPicPr/>
                  </pic:nvPicPr>
                  <pic:blipFill>
                    <a:blip r:embed="rId9"/>
                    <a:stretch>
                      <a:fillRect/>
                    </a:stretch>
                  </pic:blipFill>
                  <pic:spPr>
                    <a:xfrm>
                      <a:off x="0" y="0"/>
                      <a:ext cx="3959860" cy="2520315"/>
                    </a:xfrm>
                    <a:prstGeom prst="rect">
                      <a:avLst/>
                    </a:prstGeom>
                    <a:noFill/>
                    <a:ln>
                      <a:noFill/>
                    </a:ln>
                  </pic:spPr>
                </pic:pic>
              </a:graphicData>
            </a:graphic>
          </wp:anchor>
        </w:drawing>
      </w:r>
      <w:bookmarkEnd w:id="8"/>
    </w:p>
    <w:p w14:paraId="754E4022">
      <w:pPr>
        <w:autoSpaceDE/>
        <w:autoSpaceDN/>
        <w:adjustRightInd/>
        <w:spacing w:line="576" w:lineRule="exact"/>
        <w:ind w:firstLine="640" w:firstLineChars="200"/>
        <w:jc w:val="both"/>
        <w:rPr>
          <w:rFonts w:hint="eastAsia" w:ascii="Times New Roman" w:eastAsia="楷体_GB2312" w:cs="楷体_GB2312"/>
          <w:kern w:val="2"/>
          <w:sz w:val="32"/>
          <w:szCs w:val="32"/>
        </w:rPr>
      </w:pPr>
      <w:r>
        <w:rPr>
          <w:rFonts w:hint="eastAsia" w:ascii="Times New Roman" w:eastAsia="楷体_GB2312" w:cs="楷体_GB2312"/>
          <w:kern w:val="2"/>
          <w:sz w:val="32"/>
          <w:szCs w:val="32"/>
        </w:rPr>
        <w:t>（二）一般公共预算财政拨款支出决算结构情况</w:t>
      </w:r>
    </w:p>
    <w:p w14:paraId="5D6C8BCA">
      <w:pPr>
        <w:overflowPunct w:val="0"/>
        <w:topLinePunct/>
        <w:spacing w:line="576" w:lineRule="exact"/>
        <w:ind w:firstLine="640" w:firstLineChars="200"/>
        <w:jc w:val="both"/>
        <w:rPr>
          <w:rFonts w:hint="eastAsia" w:ascii="Times New Roman" w:eastAsia="仿宋_GB2312"/>
          <w:color w:val="000000"/>
          <w:kern w:val="2"/>
          <w:sz w:val="32"/>
          <w:szCs w:val="24"/>
        </w:rPr>
      </w:pPr>
      <w:bookmarkStart w:id="9" w:name="OLE_LINK35"/>
      <w:r>
        <w:rPr>
          <w:rFonts w:hint="eastAsia" w:ascii="Times New Roman" w:eastAsia="仿宋_GB2312"/>
          <w:color w:val="000000"/>
          <w:kern w:val="2"/>
          <w:sz w:val="32"/>
          <w:szCs w:val="24"/>
        </w:rPr>
        <w:t>2023年度一般公共预算财政拨款支出1719.99万元，主要用于以下方面</w:t>
      </w:r>
      <w:r>
        <w:rPr>
          <w:rFonts w:hint="eastAsia" w:ascii="Times New Roman" w:eastAsia="仿宋_GB2312"/>
          <w:color w:val="000000"/>
          <w:kern w:val="2"/>
          <w:sz w:val="32"/>
          <w:szCs w:val="24"/>
          <w:lang w:eastAsia="zh-CN"/>
        </w:rPr>
        <w:t>：</w:t>
      </w:r>
      <w:r>
        <w:rPr>
          <w:rFonts w:hint="eastAsia" w:ascii="Times New Roman" w:eastAsia="仿宋_GB2312"/>
          <w:color w:val="000000"/>
          <w:kern w:val="2"/>
          <w:sz w:val="32"/>
          <w:szCs w:val="24"/>
        </w:rPr>
        <w:t xml:space="preserve"> 一般公共服务支出</w:t>
      </w:r>
      <w:bookmarkStart w:id="10" w:name="OLE_LINK5"/>
      <w:r>
        <w:rPr>
          <w:rFonts w:hint="eastAsia" w:ascii="Times New Roman" w:eastAsia="仿宋_GB2312"/>
          <w:color w:val="000000"/>
          <w:kern w:val="2"/>
          <w:sz w:val="32"/>
          <w:szCs w:val="24"/>
        </w:rPr>
        <w:t>815.57</w:t>
      </w:r>
      <w:bookmarkEnd w:id="10"/>
      <w:r>
        <w:rPr>
          <w:rFonts w:hint="eastAsia" w:ascii="Times New Roman" w:eastAsia="仿宋_GB2312"/>
          <w:color w:val="000000"/>
          <w:kern w:val="2"/>
          <w:sz w:val="32"/>
          <w:szCs w:val="24"/>
        </w:rPr>
        <w:t>万元，占47.42%；外交支出0万元，占0%；国防支出0万元，占0%；公共安全支出0万元，占0%；教育支出0万元，占0%；科学技术支出0万元，占0%；文化体育与传媒支出0万元，占0%；社会保障和就业支出191.59万元，占11.14%；卫生健康支出40.13万元，占2.33%；节能环保支出0万元，占0%；城乡社区支出9万元，占0.52%；农林水支出539.18万元，占31.35%；交通运输支出0万元，占0%；资源勘探工业信息等支出0万元，占0%；商业服务业等支出0万元，占0%；金融支出0万元，占0%；援助其他地区支出0万元，占0%；自然资源海洋气象等支出0万元，占0%；住房保障支出124.52万元，占7.24%；粮油物资储备支出0万元，占0%；国有资本经营预算支出0万元，占0%；灾害防治及应急管理支出0万元，占0%；其他支出0万元，占0%；债务还本支出0万元，占0%；债务付息支出0万元，占0%；抗疫特别国债安排的支出0万元，占0%。</w:t>
      </w:r>
    </w:p>
    <w:p w14:paraId="21473939">
      <w:pPr>
        <w:overflowPunct w:val="0"/>
        <w:topLinePunct/>
        <w:spacing w:line="576" w:lineRule="exact"/>
        <w:ind w:firstLine="480" w:firstLineChars="200"/>
        <w:jc w:val="both"/>
        <w:rPr>
          <w:rFonts w:hint="eastAsia" w:ascii="Times New Roman" w:eastAsia="仿宋_GB2312"/>
          <w:i/>
          <w:color w:val="000000"/>
          <w:kern w:val="2"/>
          <w:sz w:val="32"/>
          <w:szCs w:val="24"/>
        </w:rPr>
      </w:pPr>
      <w:r>
        <w:rPr>
          <w:rFonts w:hint="default" w:ascii="Times New Roman"/>
          <w:sz w:val="24"/>
          <w:szCs w:val="24"/>
        </w:rPr>
        <w:drawing>
          <wp:anchor distT="0" distB="0" distL="114300" distR="114300" simplePos="0" relativeHeight="251664384" behindDoc="0" locked="0" layoutInCell="1" allowOverlap="1">
            <wp:simplePos x="0" y="0"/>
            <wp:positionH relativeFrom="column">
              <wp:posOffset>766445</wp:posOffset>
            </wp:positionH>
            <wp:positionV relativeFrom="paragraph">
              <wp:posOffset>160020</wp:posOffset>
            </wp:positionV>
            <wp:extent cx="4428490" cy="3239770"/>
            <wp:effectExtent l="0" t="0" r="10160" b="17780"/>
            <wp:wrapTopAndBottom/>
            <wp:docPr id="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4"/>
                    <pic:cNvPicPr>
                      <a:picLocks noChangeAspect="1"/>
                    </pic:cNvPicPr>
                  </pic:nvPicPr>
                  <pic:blipFill>
                    <a:blip r:embed="rId10"/>
                    <a:stretch>
                      <a:fillRect/>
                    </a:stretch>
                  </pic:blipFill>
                  <pic:spPr>
                    <a:xfrm>
                      <a:off x="0" y="0"/>
                      <a:ext cx="4428490" cy="3239770"/>
                    </a:xfrm>
                    <a:prstGeom prst="rect">
                      <a:avLst/>
                    </a:prstGeom>
                    <a:noFill/>
                    <a:ln>
                      <a:noFill/>
                    </a:ln>
                  </pic:spPr>
                </pic:pic>
              </a:graphicData>
            </a:graphic>
          </wp:anchor>
        </w:drawing>
      </w:r>
      <w:bookmarkEnd w:id="9"/>
    </w:p>
    <w:p w14:paraId="4AC958DA">
      <w:pPr>
        <w:autoSpaceDE/>
        <w:autoSpaceDN/>
        <w:adjustRightInd/>
        <w:spacing w:line="576" w:lineRule="exact"/>
        <w:ind w:firstLine="640" w:firstLineChars="200"/>
        <w:jc w:val="both"/>
        <w:rPr>
          <w:rFonts w:hint="eastAsia" w:ascii="Times New Roman" w:eastAsia="楷体_GB2312" w:cs="楷体_GB2312"/>
          <w:kern w:val="2"/>
          <w:sz w:val="32"/>
          <w:szCs w:val="32"/>
        </w:rPr>
      </w:pPr>
      <w:r>
        <w:rPr>
          <w:rFonts w:hint="eastAsia" w:ascii="Times New Roman" w:eastAsia="楷体_GB2312" w:cs="楷体_GB2312"/>
          <w:kern w:val="2"/>
          <w:sz w:val="32"/>
          <w:szCs w:val="32"/>
        </w:rPr>
        <w:t>（三）一般公共预算财政拨款支出决算具体情况</w:t>
      </w:r>
    </w:p>
    <w:p w14:paraId="492ACD92">
      <w:pPr>
        <w:overflowPunct w:val="0"/>
        <w:topLinePunct/>
        <w:spacing w:line="576" w:lineRule="exact"/>
        <w:ind w:firstLine="640" w:firstLineChars="200"/>
        <w:jc w:val="both"/>
        <w:rPr>
          <w:rFonts w:hint="eastAsia" w:ascii="Times New Roman" w:eastAsia="仿宋_GB2312"/>
          <w:color w:val="000000"/>
          <w:kern w:val="2"/>
          <w:sz w:val="32"/>
          <w:szCs w:val="24"/>
        </w:rPr>
      </w:pPr>
      <w:bookmarkStart w:id="11" w:name="OLE_LINK36"/>
      <w:r>
        <w:rPr>
          <w:rFonts w:hint="eastAsia" w:ascii="Times New Roman" w:eastAsia="仿宋_GB2312"/>
          <w:color w:val="000000"/>
          <w:kern w:val="2"/>
          <w:sz w:val="32"/>
          <w:szCs w:val="24"/>
        </w:rPr>
        <w:t>2023年度一般公共预算支出全年预算数为1719.99万元，支出决算数为1719.99万元，完成全年预算数的100%。其中：</w:t>
      </w:r>
    </w:p>
    <w:p w14:paraId="74250636">
      <w:pPr>
        <w:overflowPunct w:val="0"/>
        <w:topLinePunct/>
        <w:spacing w:line="576" w:lineRule="exact"/>
        <w:ind w:firstLine="643" w:firstLineChars="200"/>
        <w:jc w:val="both"/>
        <w:rPr>
          <w:rFonts w:hint="eastAsia" w:ascii="Times New Roman" w:eastAsia="仿宋_GB2312"/>
          <w:color w:val="000000"/>
          <w:kern w:val="2"/>
          <w:sz w:val="32"/>
          <w:szCs w:val="24"/>
        </w:rPr>
      </w:pPr>
      <w:r>
        <w:rPr>
          <w:rFonts w:hint="eastAsia" w:ascii="Times New Roman" w:eastAsia="仿宋_GB2312"/>
          <w:b/>
          <w:color w:val="000000"/>
          <w:kern w:val="2"/>
          <w:sz w:val="32"/>
          <w:szCs w:val="24"/>
        </w:rPr>
        <w:t>1.一般公共服务（类）</w:t>
      </w:r>
      <w:bookmarkStart w:id="12" w:name="OLE_LINK20"/>
      <w:bookmarkStart w:id="13" w:name="OLE_LINK8"/>
      <w:r>
        <w:rPr>
          <w:rFonts w:hint="eastAsia" w:ascii="Times New Roman" w:eastAsia="仿宋_GB2312"/>
          <w:color w:val="000000"/>
          <w:kern w:val="2"/>
          <w:sz w:val="32"/>
          <w:szCs w:val="24"/>
        </w:rPr>
        <w:t>全年预算为815.57万元，支出决算为815.57万元，完成全年预算的100%。</w:t>
      </w:r>
      <w:bookmarkEnd w:id="12"/>
      <w:r>
        <w:rPr>
          <w:rFonts w:hint="eastAsia" w:ascii="Times New Roman" w:eastAsia="仿宋_GB2312"/>
          <w:color w:val="000000"/>
          <w:kern w:val="2"/>
          <w:sz w:val="32"/>
          <w:szCs w:val="24"/>
        </w:rPr>
        <w:t>具体为：</w:t>
      </w:r>
      <w:bookmarkEnd w:id="13"/>
    </w:p>
    <w:p w14:paraId="62C895F1">
      <w:pPr>
        <w:overflowPunct w:val="0"/>
        <w:topLinePunct/>
        <w:spacing w:line="576" w:lineRule="exact"/>
        <w:ind w:firstLine="640" w:firstLineChars="200"/>
        <w:jc w:val="both"/>
        <w:rPr>
          <w:rFonts w:hint="eastAsia" w:ascii="Times New Roman" w:eastAsia="仿宋_GB2312"/>
          <w:color w:val="000000"/>
          <w:kern w:val="2"/>
          <w:sz w:val="32"/>
          <w:szCs w:val="24"/>
        </w:rPr>
      </w:pPr>
      <w:r>
        <w:rPr>
          <w:rFonts w:hint="eastAsia" w:ascii="Times New Roman" w:eastAsia="仿宋_GB2312"/>
          <w:color w:val="000000"/>
          <w:kern w:val="2"/>
          <w:sz w:val="32"/>
          <w:szCs w:val="24"/>
        </w:rPr>
        <w:t>（1）人大事务（款）代表工作（项）</w:t>
      </w:r>
      <w:r>
        <w:rPr>
          <w:rFonts w:hint="eastAsia" w:ascii="Times New Roman" w:eastAsia="仿宋_GB2312"/>
          <w:color w:val="000000"/>
          <w:kern w:val="2"/>
          <w:sz w:val="32"/>
          <w:szCs w:val="24"/>
          <w:lang w:eastAsia="zh-CN"/>
        </w:rPr>
        <w:t>：</w:t>
      </w:r>
      <w:r>
        <w:rPr>
          <w:rFonts w:hint="eastAsia" w:ascii="Times New Roman" w:eastAsia="仿宋_GB2312"/>
          <w:color w:val="000000"/>
          <w:kern w:val="2"/>
          <w:sz w:val="32"/>
          <w:szCs w:val="24"/>
        </w:rPr>
        <w:t>全年预算为1.59万元，支出决算为1.59万元，完成全年预算的100%。</w:t>
      </w:r>
    </w:p>
    <w:p w14:paraId="6BC07384">
      <w:pPr>
        <w:overflowPunct w:val="0"/>
        <w:topLinePunct/>
        <w:spacing w:line="576" w:lineRule="exact"/>
        <w:ind w:firstLine="640" w:firstLineChars="200"/>
        <w:jc w:val="both"/>
        <w:rPr>
          <w:rFonts w:hint="eastAsia" w:ascii="Times New Roman" w:eastAsia="仿宋_GB2312"/>
          <w:color w:val="000000"/>
          <w:kern w:val="2"/>
          <w:sz w:val="32"/>
          <w:szCs w:val="24"/>
        </w:rPr>
      </w:pPr>
      <w:r>
        <w:rPr>
          <w:rFonts w:hint="eastAsia" w:ascii="Times New Roman" w:eastAsia="仿宋_GB2312"/>
          <w:color w:val="000000"/>
          <w:kern w:val="2"/>
          <w:sz w:val="32"/>
          <w:szCs w:val="24"/>
        </w:rPr>
        <w:t>（2）人大事务（款）其他人大事务支出（项）</w:t>
      </w:r>
      <w:r>
        <w:rPr>
          <w:rFonts w:hint="eastAsia" w:ascii="Times New Roman" w:eastAsia="仿宋_GB2312"/>
          <w:color w:val="000000"/>
          <w:kern w:val="2"/>
          <w:sz w:val="32"/>
          <w:szCs w:val="24"/>
          <w:lang w:eastAsia="zh-CN"/>
        </w:rPr>
        <w:t>：</w:t>
      </w:r>
      <w:r>
        <w:rPr>
          <w:rFonts w:hint="eastAsia" w:ascii="Times New Roman" w:eastAsia="仿宋_GB2312"/>
          <w:color w:val="000000"/>
          <w:kern w:val="2"/>
          <w:sz w:val="32"/>
          <w:szCs w:val="24"/>
        </w:rPr>
        <w:t>全年预算为5万元，支出决算为5万元，完成全年预算的100%。</w:t>
      </w:r>
      <w:bookmarkStart w:id="14" w:name="OLE_LINK7"/>
    </w:p>
    <w:p w14:paraId="5D56DE79">
      <w:pPr>
        <w:overflowPunct w:val="0"/>
        <w:topLinePunct/>
        <w:spacing w:line="576" w:lineRule="exact"/>
        <w:ind w:firstLine="640" w:firstLineChars="200"/>
        <w:jc w:val="both"/>
        <w:rPr>
          <w:rFonts w:hint="eastAsia" w:ascii="Times New Roman" w:eastAsia="仿宋_GB2312"/>
          <w:color w:val="000000"/>
          <w:kern w:val="2"/>
          <w:sz w:val="32"/>
          <w:szCs w:val="24"/>
        </w:rPr>
      </w:pPr>
      <w:r>
        <w:rPr>
          <w:rFonts w:hint="eastAsia" w:ascii="Times New Roman" w:eastAsia="仿宋_GB2312"/>
          <w:color w:val="000000"/>
          <w:kern w:val="2"/>
          <w:sz w:val="32"/>
          <w:szCs w:val="24"/>
        </w:rPr>
        <w:t>（3）政府办公厅（室）及相关机构事务（款）行政运行（项）</w:t>
      </w:r>
      <w:r>
        <w:rPr>
          <w:rFonts w:hint="eastAsia" w:ascii="Times New Roman" w:eastAsia="仿宋_GB2312"/>
          <w:color w:val="000000"/>
          <w:kern w:val="2"/>
          <w:sz w:val="32"/>
          <w:szCs w:val="24"/>
          <w:lang w:eastAsia="zh-CN"/>
        </w:rPr>
        <w:t>：</w:t>
      </w:r>
      <w:r>
        <w:rPr>
          <w:rFonts w:hint="eastAsia" w:ascii="Times New Roman" w:eastAsia="仿宋_GB2312"/>
          <w:color w:val="000000"/>
          <w:kern w:val="2"/>
          <w:sz w:val="32"/>
          <w:szCs w:val="24"/>
        </w:rPr>
        <w:t xml:space="preserve"> 全年预算为477.88万元，支出决算为477.88万元，完成全年预算的100%。</w:t>
      </w:r>
      <w:bookmarkEnd w:id="14"/>
    </w:p>
    <w:p w14:paraId="0F9C30BA">
      <w:pPr>
        <w:overflowPunct w:val="0"/>
        <w:topLinePunct/>
        <w:spacing w:line="576" w:lineRule="exact"/>
        <w:ind w:firstLine="640" w:firstLineChars="200"/>
        <w:jc w:val="both"/>
        <w:rPr>
          <w:rFonts w:hint="eastAsia" w:ascii="Times New Roman" w:eastAsia="仿宋_GB2312"/>
          <w:color w:val="000000"/>
          <w:kern w:val="2"/>
          <w:sz w:val="32"/>
          <w:szCs w:val="24"/>
        </w:rPr>
      </w:pPr>
      <w:r>
        <w:rPr>
          <w:rFonts w:hint="eastAsia" w:ascii="Times New Roman" w:eastAsia="仿宋_GB2312"/>
          <w:color w:val="000000"/>
          <w:kern w:val="2"/>
          <w:sz w:val="32"/>
          <w:szCs w:val="24"/>
        </w:rPr>
        <w:t>（4）政府办公厅（室）及相关机构事务（款）一般行政管理事务（项）</w:t>
      </w:r>
      <w:r>
        <w:rPr>
          <w:rFonts w:hint="eastAsia" w:ascii="Times New Roman" w:eastAsia="仿宋_GB2312"/>
          <w:color w:val="000000"/>
          <w:kern w:val="2"/>
          <w:sz w:val="32"/>
          <w:szCs w:val="24"/>
          <w:lang w:eastAsia="zh-CN"/>
        </w:rPr>
        <w:t>：</w:t>
      </w:r>
      <w:r>
        <w:rPr>
          <w:rFonts w:hint="eastAsia" w:ascii="Times New Roman" w:eastAsia="仿宋_GB2312"/>
          <w:color w:val="000000"/>
          <w:kern w:val="2"/>
          <w:sz w:val="32"/>
          <w:szCs w:val="24"/>
        </w:rPr>
        <w:t xml:space="preserve">全年预算为48万元，支出决算为48万元，完成全年预算的100%。 </w:t>
      </w:r>
    </w:p>
    <w:p w14:paraId="47EFD82B">
      <w:pPr>
        <w:overflowPunct w:val="0"/>
        <w:topLinePunct/>
        <w:spacing w:line="576" w:lineRule="exact"/>
        <w:ind w:firstLine="640" w:firstLineChars="200"/>
        <w:jc w:val="both"/>
        <w:rPr>
          <w:rFonts w:hint="eastAsia" w:ascii="Times New Roman" w:eastAsia="仿宋_GB2312"/>
          <w:color w:val="000000"/>
          <w:kern w:val="2"/>
          <w:sz w:val="32"/>
          <w:szCs w:val="24"/>
        </w:rPr>
      </w:pPr>
      <w:r>
        <w:rPr>
          <w:rFonts w:hint="eastAsia" w:ascii="Times New Roman" w:eastAsia="仿宋_GB2312"/>
          <w:color w:val="000000"/>
          <w:kern w:val="2"/>
          <w:sz w:val="32"/>
          <w:szCs w:val="24"/>
        </w:rPr>
        <w:t>（5）政府办公厅（室）及相关机构事务（款）事业运行（项）</w:t>
      </w:r>
      <w:r>
        <w:rPr>
          <w:rFonts w:hint="eastAsia" w:ascii="Times New Roman" w:eastAsia="仿宋_GB2312"/>
          <w:color w:val="000000"/>
          <w:kern w:val="2"/>
          <w:sz w:val="32"/>
          <w:szCs w:val="24"/>
          <w:lang w:eastAsia="zh-CN"/>
        </w:rPr>
        <w:t>：</w:t>
      </w:r>
      <w:r>
        <w:rPr>
          <w:rFonts w:hint="eastAsia" w:ascii="Times New Roman" w:eastAsia="仿宋_GB2312"/>
          <w:color w:val="000000"/>
          <w:kern w:val="2"/>
          <w:sz w:val="32"/>
          <w:szCs w:val="24"/>
        </w:rPr>
        <w:t xml:space="preserve"> 全年预算为276.09万元，支出决算为276.09万元，完成全年预算的100%。</w:t>
      </w:r>
    </w:p>
    <w:p w14:paraId="48D638C6">
      <w:pPr>
        <w:overflowPunct w:val="0"/>
        <w:topLinePunct/>
        <w:spacing w:line="576" w:lineRule="exact"/>
        <w:ind w:firstLine="640" w:firstLineChars="200"/>
        <w:jc w:val="both"/>
        <w:rPr>
          <w:rFonts w:hint="eastAsia" w:ascii="Times New Roman" w:eastAsia="仿宋_GB2312"/>
          <w:color w:val="000000"/>
          <w:kern w:val="2"/>
          <w:sz w:val="32"/>
          <w:szCs w:val="24"/>
        </w:rPr>
      </w:pPr>
      <w:r>
        <w:rPr>
          <w:rFonts w:hint="eastAsia" w:ascii="Times New Roman" w:eastAsia="仿宋_GB2312"/>
          <w:color w:val="000000"/>
          <w:kern w:val="2"/>
          <w:sz w:val="32"/>
          <w:szCs w:val="24"/>
        </w:rPr>
        <w:t>（6）组织事务（款）其他组织事务支出（项）</w:t>
      </w:r>
      <w:r>
        <w:rPr>
          <w:rFonts w:hint="eastAsia" w:ascii="Times New Roman" w:eastAsia="仿宋_GB2312"/>
          <w:color w:val="000000"/>
          <w:kern w:val="2"/>
          <w:sz w:val="32"/>
          <w:szCs w:val="24"/>
          <w:lang w:eastAsia="zh-CN"/>
        </w:rPr>
        <w:t>：</w:t>
      </w:r>
      <w:r>
        <w:rPr>
          <w:rFonts w:hint="eastAsia" w:ascii="Times New Roman" w:eastAsia="仿宋_GB2312"/>
          <w:color w:val="000000"/>
          <w:kern w:val="2"/>
          <w:sz w:val="32"/>
          <w:szCs w:val="24"/>
        </w:rPr>
        <w:t xml:space="preserve"> 全年预算为7万元，支出决算为7万元，完成全年预算的100%。</w:t>
      </w:r>
    </w:p>
    <w:p w14:paraId="6090CFF8">
      <w:pPr>
        <w:overflowPunct w:val="0"/>
        <w:topLinePunct/>
        <w:spacing w:line="576" w:lineRule="exact"/>
        <w:ind w:firstLine="643" w:firstLineChars="200"/>
        <w:jc w:val="both"/>
        <w:rPr>
          <w:rFonts w:hint="eastAsia" w:ascii="Times New Roman" w:eastAsia="仿宋_GB2312"/>
          <w:color w:val="000000"/>
          <w:kern w:val="2"/>
          <w:sz w:val="32"/>
          <w:szCs w:val="24"/>
        </w:rPr>
      </w:pPr>
      <w:r>
        <w:rPr>
          <w:rFonts w:hint="eastAsia" w:ascii="Times New Roman" w:eastAsia="仿宋_GB2312"/>
          <w:b/>
          <w:color w:val="000000"/>
          <w:kern w:val="2"/>
          <w:sz w:val="32"/>
          <w:szCs w:val="24"/>
        </w:rPr>
        <w:t>2.社会保障和就业支出（类）</w:t>
      </w:r>
      <w:bookmarkStart w:id="15" w:name="OLE_LINK10"/>
      <w:r>
        <w:rPr>
          <w:rFonts w:hint="eastAsia" w:ascii="Times New Roman" w:eastAsia="仿宋_GB2312"/>
          <w:color w:val="000000"/>
          <w:kern w:val="2"/>
          <w:sz w:val="32"/>
          <w:szCs w:val="24"/>
        </w:rPr>
        <w:t>全年预算为191.59万元，支出决算为191.59万元，完成全年预算的100%。具体为：</w:t>
      </w:r>
    </w:p>
    <w:bookmarkEnd w:id="15"/>
    <w:p w14:paraId="77576F58">
      <w:pPr>
        <w:overflowPunct w:val="0"/>
        <w:topLinePunct/>
        <w:spacing w:line="576" w:lineRule="exact"/>
        <w:ind w:firstLine="640" w:firstLineChars="200"/>
        <w:jc w:val="both"/>
        <w:rPr>
          <w:rFonts w:hint="eastAsia" w:ascii="Times New Roman" w:eastAsia="仿宋_GB2312"/>
          <w:color w:val="000000"/>
          <w:kern w:val="2"/>
          <w:sz w:val="32"/>
          <w:szCs w:val="24"/>
        </w:rPr>
      </w:pPr>
      <w:r>
        <w:rPr>
          <w:rFonts w:hint="eastAsia" w:ascii="Times New Roman" w:eastAsia="仿宋_GB2312"/>
          <w:color w:val="000000"/>
          <w:kern w:val="2"/>
          <w:sz w:val="32"/>
          <w:szCs w:val="24"/>
        </w:rPr>
        <w:t>（1）行政事业单位养老支出（款）行政单位离退休（项）</w:t>
      </w:r>
      <w:r>
        <w:rPr>
          <w:rFonts w:hint="eastAsia" w:ascii="Times New Roman" w:eastAsia="仿宋_GB2312"/>
          <w:color w:val="000000"/>
          <w:kern w:val="2"/>
          <w:sz w:val="32"/>
          <w:szCs w:val="24"/>
          <w:lang w:eastAsia="zh-CN"/>
        </w:rPr>
        <w:t>：</w:t>
      </w:r>
      <w:r>
        <w:rPr>
          <w:rFonts w:hint="eastAsia" w:ascii="Times New Roman" w:eastAsia="仿宋_GB2312"/>
          <w:color w:val="000000"/>
          <w:kern w:val="2"/>
          <w:sz w:val="32"/>
          <w:szCs w:val="24"/>
        </w:rPr>
        <w:t>全年预算为80万元，支出决算为80万元，完成全年预算的100%。</w:t>
      </w:r>
    </w:p>
    <w:p w14:paraId="67CCFBE9">
      <w:pPr>
        <w:overflowPunct w:val="0"/>
        <w:topLinePunct/>
        <w:spacing w:line="576" w:lineRule="exact"/>
        <w:ind w:firstLine="640" w:firstLineChars="200"/>
        <w:jc w:val="both"/>
        <w:rPr>
          <w:rFonts w:hint="eastAsia" w:ascii="Times New Roman" w:eastAsia="仿宋_GB2312"/>
          <w:color w:val="000000"/>
          <w:kern w:val="2"/>
          <w:sz w:val="32"/>
          <w:szCs w:val="24"/>
        </w:rPr>
      </w:pPr>
      <w:r>
        <w:rPr>
          <w:rFonts w:hint="eastAsia" w:ascii="Times New Roman" w:eastAsia="仿宋_GB2312"/>
          <w:color w:val="000000"/>
          <w:kern w:val="2"/>
          <w:sz w:val="32"/>
          <w:szCs w:val="24"/>
        </w:rPr>
        <w:t>（2）行政事业单位养老支出（款）机关事业单位基本养老保险缴费支出（项）</w:t>
      </w:r>
      <w:r>
        <w:rPr>
          <w:rFonts w:hint="eastAsia" w:ascii="Times New Roman" w:eastAsia="仿宋_GB2312"/>
          <w:color w:val="000000"/>
          <w:kern w:val="2"/>
          <w:sz w:val="32"/>
          <w:szCs w:val="24"/>
          <w:lang w:eastAsia="zh-CN"/>
        </w:rPr>
        <w:t>：</w:t>
      </w:r>
      <w:bookmarkStart w:id="16" w:name="OLE_LINK13"/>
      <w:r>
        <w:rPr>
          <w:rFonts w:hint="eastAsia" w:ascii="Times New Roman" w:eastAsia="仿宋_GB2312"/>
          <w:color w:val="000000"/>
          <w:kern w:val="2"/>
          <w:sz w:val="32"/>
          <w:szCs w:val="24"/>
        </w:rPr>
        <w:t>全年预算为85.44万元，支出决算为85.44万元，完成全年预算的100%。</w:t>
      </w:r>
      <w:bookmarkEnd w:id="16"/>
      <w:bookmarkStart w:id="17" w:name="OLE_LINK9"/>
    </w:p>
    <w:p w14:paraId="781CD8D8">
      <w:pPr>
        <w:overflowPunct w:val="0"/>
        <w:topLinePunct/>
        <w:spacing w:line="576" w:lineRule="exact"/>
        <w:ind w:firstLine="640" w:firstLineChars="200"/>
        <w:jc w:val="both"/>
        <w:rPr>
          <w:rFonts w:hint="eastAsia" w:ascii="Times New Roman" w:eastAsia="仿宋_GB2312"/>
          <w:color w:val="000000"/>
          <w:kern w:val="2"/>
          <w:sz w:val="32"/>
          <w:szCs w:val="24"/>
        </w:rPr>
      </w:pPr>
      <w:r>
        <w:rPr>
          <w:rFonts w:hint="eastAsia" w:ascii="Times New Roman" w:eastAsia="仿宋_GB2312"/>
          <w:color w:val="000000"/>
          <w:kern w:val="2"/>
          <w:sz w:val="32"/>
          <w:szCs w:val="24"/>
        </w:rPr>
        <w:t>（3）行政事业单位养老支出（款）机关事业单位职业年金缴费支出（项）</w:t>
      </w:r>
      <w:r>
        <w:rPr>
          <w:rFonts w:hint="eastAsia" w:ascii="Times New Roman" w:eastAsia="仿宋_GB2312"/>
          <w:color w:val="000000"/>
          <w:kern w:val="2"/>
          <w:sz w:val="32"/>
          <w:szCs w:val="24"/>
          <w:lang w:eastAsia="zh-CN"/>
        </w:rPr>
        <w:t>：</w:t>
      </w:r>
      <w:r>
        <w:rPr>
          <w:rFonts w:hint="eastAsia" w:ascii="Times New Roman" w:eastAsia="仿宋_GB2312"/>
          <w:color w:val="000000"/>
          <w:kern w:val="2"/>
          <w:sz w:val="32"/>
          <w:szCs w:val="24"/>
        </w:rPr>
        <w:t>全年预算为5.4万元，支出决算为5.4万元，完成全年预算的100%。</w:t>
      </w:r>
      <w:bookmarkEnd w:id="17"/>
    </w:p>
    <w:p w14:paraId="3A9E5116">
      <w:pPr>
        <w:overflowPunct w:val="0"/>
        <w:topLinePunct/>
        <w:spacing w:line="576" w:lineRule="exact"/>
        <w:ind w:firstLine="640" w:firstLineChars="200"/>
        <w:jc w:val="both"/>
        <w:rPr>
          <w:rFonts w:hint="eastAsia" w:ascii="Times New Roman" w:eastAsia="仿宋_GB2312"/>
          <w:color w:val="000000"/>
          <w:kern w:val="2"/>
          <w:sz w:val="32"/>
          <w:szCs w:val="24"/>
        </w:rPr>
      </w:pPr>
      <w:bookmarkStart w:id="18" w:name="OLE_LINK11"/>
      <w:r>
        <w:rPr>
          <w:rFonts w:hint="eastAsia" w:ascii="Times New Roman" w:eastAsia="仿宋_GB2312"/>
          <w:color w:val="000000"/>
          <w:kern w:val="2"/>
          <w:sz w:val="32"/>
          <w:szCs w:val="24"/>
        </w:rPr>
        <w:t>（4）抚恤（款）死亡抚恤（项）</w:t>
      </w:r>
      <w:r>
        <w:rPr>
          <w:rFonts w:hint="eastAsia" w:ascii="Times New Roman" w:eastAsia="仿宋_GB2312"/>
          <w:color w:val="000000"/>
          <w:kern w:val="2"/>
          <w:sz w:val="32"/>
          <w:szCs w:val="24"/>
          <w:lang w:eastAsia="zh-CN"/>
        </w:rPr>
        <w:t>：</w:t>
      </w:r>
      <w:r>
        <w:rPr>
          <w:rFonts w:hint="eastAsia" w:ascii="Times New Roman" w:eastAsia="仿宋_GB2312"/>
          <w:color w:val="000000"/>
          <w:kern w:val="2"/>
          <w:sz w:val="32"/>
          <w:szCs w:val="24"/>
        </w:rPr>
        <w:t>全年预算为20.75万元，支出决算为20.75万元，完成全年预算的100%。</w:t>
      </w:r>
    </w:p>
    <w:bookmarkEnd w:id="18"/>
    <w:p w14:paraId="43BA1589">
      <w:pPr>
        <w:overflowPunct w:val="0"/>
        <w:topLinePunct/>
        <w:spacing w:line="576" w:lineRule="exact"/>
        <w:ind w:firstLine="643" w:firstLineChars="200"/>
        <w:jc w:val="both"/>
        <w:rPr>
          <w:rFonts w:hint="eastAsia" w:ascii="Times New Roman" w:eastAsia="仿宋_GB2312"/>
          <w:color w:val="000000"/>
          <w:kern w:val="2"/>
          <w:sz w:val="32"/>
          <w:szCs w:val="24"/>
        </w:rPr>
      </w:pPr>
      <w:bookmarkStart w:id="19" w:name="OLE_LINK12"/>
      <w:r>
        <w:rPr>
          <w:rFonts w:hint="eastAsia" w:ascii="Times New Roman" w:eastAsia="仿宋_GB2312"/>
          <w:b/>
          <w:color w:val="000000"/>
          <w:kern w:val="2"/>
          <w:sz w:val="32"/>
          <w:szCs w:val="24"/>
        </w:rPr>
        <w:t>3.卫生健康支出（类）</w:t>
      </w:r>
      <w:bookmarkStart w:id="20" w:name="OLE_LINK15"/>
      <w:r>
        <w:rPr>
          <w:rFonts w:hint="eastAsia" w:ascii="Times New Roman" w:eastAsia="仿宋_GB2312"/>
          <w:color w:val="000000"/>
          <w:kern w:val="2"/>
          <w:sz w:val="32"/>
          <w:szCs w:val="24"/>
        </w:rPr>
        <w:t>全年预算为40.12万元，支出决算为40.12万元，完成全年预算的100%。具体为：</w:t>
      </w:r>
    </w:p>
    <w:bookmarkEnd w:id="20"/>
    <w:p w14:paraId="06197479">
      <w:pPr>
        <w:overflowPunct w:val="0"/>
        <w:topLinePunct/>
        <w:spacing w:line="576" w:lineRule="exact"/>
        <w:ind w:firstLine="640" w:firstLineChars="200"/>
        <w:jc w:val="both"/>
        <w:rPr>
          <w:rFonts w:hint="eastAsia" w:ascii="Times New Roman" w:eastAsia="仿宋_GB2312"/>
          <w:color w:val="000000"/>
          <w:kern w:val="2"/>
          <w:sz w:val="32"/>
          <w:szCs w:val="24"/>
        </w:rPr>
      </w:pPr>
      <w:r>
        <w:rPr>
          <w:rFonts w:hint="eastAsia" w:ascii="Times New Roman" w:eastAsia="仿宋_GB2312"/>
          <w:color w:val="000000"/>
          <w:kern w:val="2"/>
          <w:sz w:val="32"/>
          <w:szCs w:val="24"/>
        </w:rPr>
        <w:t>（1）行政事业单位医疗（款）行政单位医疗（项）</w:t>
      </w:r>
      <w:r>
        <w:rPr>
          <w:rFonts w:hint="eastAsia" w:ascii="Times New Roman" w:eastAsia="仿宋_GB2312"/>
          <w:color w:val="000000"/>
          <w:kern w:val="2"/>
          <w:sz w:val="32"/>
          <w:szCs w:val="24"/>
          <w:lang w:eastAsia="zh-CN"/>
        </w:rPr>
        <w:t>：</w:t>
      </w:r>
      <w:r>
        <w:rPr>
          <w:rFonts w:hint="eastAsia" w:ascii="Times New Roman" w:eastAsia="仿宋_GB2312"/>
          <w:color w:val="000000"/>
          <w:kern w:val="2"/>
          <w:sz w:val="32"/>
          <w:szCs w:val="24"/>
        </w:rPr>
        <w:t>全年预算为39万元，支出决算为39万元，完成全年预算的100%。</w:t>
      </w:r>
    </w:p>
    <w:bookmarkEnd w:id="19"/>
    <w:p w14:paraId="1664B80E">
      <w:pPr>
        <w:overflowPunct w:val="0"/>
        <w:topLinePunct/>
        <w:spacing w:line="576" w:lineRule="exact"/>
        <w:ind w:firstLine="640" w:firstLineChars="200"/>
        <w:jc w:val="both"/>
        <w:rPr>
          <w:rFonts w:hint="eastAsia" w:ascii="Times New Roman" w:eastAsia="仿宋_GB2312"/>
          <w:color w:val="000000"/>
          <w:kern w:val="2"/>
          <w:sz w:val="32"/>
          <w:szCs w:val="24"/>
        </w:rPr>
      </w:pPr>
      <w:r>
        <w:rPr>
          <w:rFonts w:hint="eastAsia" w:ascii="Times New Roman" w:eastAsia="仿宋_GB2312"/>
          <w:color w:val="000000"/>
          <w:kern w:val="2"/>
          <w:sz w:val="32"/>
          <w:szCs w:val="24"/>
        </w:rPr>
        <w:t>（2）行政事业单位医疗（款）事业单位医疗（项）</w:t>
      </w:r>
      <w:r>
        <w:rPr>
          <w:rFonts w:hint="eastAsia" w:ascii="Times New Roman" w:eastAsia="仿宋_GB2312"/>
          <w:color w:val="000000"/>
          <w:kern w:val="2"/>
          <w:sz w:val="32"/>
          <w:szCs w:val="24"/>
          <w:lang w:eastAsia="zh-CN"/>
        </w:rPr>
        <w:t>：</w:t>
      </w:r>
      <w:r>
        <w:rPr>
          <w:rFonts w:hint="eastAsia" w:ascii="Times New Roman" w:eastAsia="仿宋_GB2312"/>
          <w:color w:val="000000"/>
          <w:kern w:val="2"/>
          <w:sz w:val="32"/>
          <w:szCs w:val="24"/>
        </w:rPr>
        <w:t>全年预算为1.12万元，支出决算为1.12万元，完成全年预算的100%。</w:t>
      </w:r>
    </w:p>
    <w:p w14:paraId="6D0156B5">
      <w:pPr>
        <w:overflowPunct w:val="0"/>
        <w:topLinePunct/>
        <w:spacing w:line="576" w:lineRule="exact"/>
        <w:ind w:firstLine="643" w:firstLineChars="200"/>
        <w:jc w:val="both"/>
        <w:rPr>
          <w:rFonts w:hint="eastAsia" w:ascii="Times New Roman" w:eastAsia="仿宋_GB2312"/>
          <w:color w:val="000000"/>
          <w:kern w:val="2"/>
          <w:sz w:val="32"/>
          <w:szCs w:val="24"/>
        </w:rPr>
      </w:pPr>
      <w:bookmarkStart w:id="21" w:name="OLE_LINK14"/>
      <w:r>
        <w:rPr>
          <w:rFonts w:hint="eastAsia" w:ascii="Times New Roman" w:eastAsia="仿宋_GB2312"/>
          <w:b/>
          <w:color w:val="000000"/>
          <w:kern w:val="2"/>
          <w:sz w:val="32"/>
          <w:szCs w:val="24"/>
        </w:rPr>
        <w:t>4.城乡社区支出（类）</w:t>
      </w:r>
      <w:r>
        <w:rPr>
          <w:rFonts w:hint="eastAsia" w:ascii="Times New Roman" w:eastAsia="仿宋_GB2312"/>
          <w:color w:val="000000"/>
          <w:kern w:val="2"/>
          <w:sz w:val="32"/>
          <w:szCs w:val="24"/>
        </w:rPr>
        <w:t>城乡社区环境卫生（款）城乡社区环境卫生（项）全年预算为9万元，支出决算为9万元，完成全年预算的100%。</w:t>
      </w:r>
    </w:p>
    <w:bookmarkEnd w:id="21"/>
    <w:p w14:paraId="4CB6D81A">
      <w:pPr>
        <w:overflowPunct w:val="0"/>
        <w:topLinePunct/>
        <w:spacing w:line="576" w:lineRule="exact"/>
        <w:ind w:firstLine="643" w:firstLineChars="200"/>
        <w:jc w:val="both"/>
        <w:rPr>
          <w:rFonts w:hint="eastAsia" w:ascii="Times New Roman" w:eastAsia="仿宋_GB2312"/>
          <w:color w:val="000000"/>
          <w:kern w:val="2"/>
          <w:sz w:val="32"/>
          <w:szCs w:val="24"/>
        </w:rPr>
      </w:pPr>
      <w:r>
        <w:rPr>
          <w:rFonts w:hint="eastAsia" w:ascii="Times New Roman" w:eastAsia="仿宋_GB2312"/>
          <w:b/>
          <w:color w:val="000000"/>
          <w:kern w:val="2"/>
          <w:sz w:val="32"/>
          <w:szCs w:val="24"/>
        </w:rPr>
        <w:t>5.农林水支出（类）</w:t>
      </w:r>
      <w:bookmarkStart w:id="22" w:name="OLE_LINK18"/>
      <w:r>
        <w:rPr>
          <w:rFonts w:hint="eastAsia" w:ascii="Times New Roman" w:eastAsia="仿宋_GB2312"/>
          <w:color w:val="000000"/>
          <w:kern w:val="2"/>
          <w:sz w:val="32"/>
          <w:szCs w:val="24"/>
        </w:rPr>
        <w:t>全年预算为539.19万元，支出决算为539.19万元，完成全年预算的100%。具体为：</w:t>
      </w:r>
    </w:p>
    <w:bookmarkEnd w:id="22"/>
    <w:p w14:paraId="6CC1053E">
      <w:pPr>
        <w:overflowPunct w:val="0"/>
        <w:topLinePunct/>
        <w:spacing w:line="576" w:lineRule="exact"/>
        <w:ind w:firstLine="640" w:firstLineChars="200"/>
        <w:jc w:val="both"/>
        <w:rPr>
          <w:rFonts w:hint="eastAsia" w:ascii="Times New Roman" w:eastAsia="仿宋_GB2312"/>
          <w:color w:val="000000"/>
          <w:kern w:val="2"/>
          <w:sz w:val="32"/>
          <w:szCs w:val="24"/>
        </w:rPr>
      </w:pPr>
      <w:r>
        <w:rPr>
          <w:rFonts w:hint="eastAsia" w:ascii="Times New Roman" w:eastAsia="仿宋_GB2312"/>
          <w:color w:val="000000"/>
          <w:kern w:val="2"/>
          <w:sz w:val="32"/>
          <w:szCs w:val="24"/>
        </w:rPr>
        <w:t>（1）农业农村（款）行政运行（项）全年预算为7.39万元，支出决算为7.39万元，完成全年预算的100%。</w:t>
      </w:r>
      <w:bookmarkStart w:id="23" w:name="OLE_LINK17"/>
    </w:p>
    <w:p w14:paraId="60D692CB">
      <w:pPr>
        <w:overflowPunct w:val="0"/>
        <w:topLinePunct/>
        <w:spacing w:line="576" w:lineRule="exact"/>
        <w:ind w:firstLine="640" w:firstLineChars="200"/>
        <w:jc w:val="both"/>
        <w:rPr>
          <w:rFonts w:hint="eastAsia" w:ascii="Times New Roman" w:eastAsia="仿宋_GB2312"/>
          <w:color w:val="000000"/>
          <w:kern w:val="2"/>
          <w:sz w:val="32"/>
          <w:szCs w:val="24"/>
        </w:rPr>
      </w:pPr>
      <w:r>
        <w:rPr>
          <w:rFonts w:hint="eastAsia" w:ascii="Times New Roman" w:eastAsia="仿宋_GB2312"/>
          <w:color w:val="000000"/>
          <w:kern w:val="2"/>
          <w:sz w:val="32"/>
          <w:szCs w:val="24"/>
        </w:rPr>
        <w:t>（2）巩固脱贫攻坚成果衔接乡村振兴</w:t>
      </w:r>
      <w:bookmarkEnd w:id="23"/>
      <w:r>
        <w:rPr>
          <w:rFonts w:hint="eastAsia" w:ascii="Times New Roman" w:eastAsia="仿宋_GB2312"/>
          <w:color w:val="000000"/>
          <w:kern w:val="2"/>
          <w:sz w:val="32"/>
          <w:szCs w:val="24"/>
        </w:rPr>
        <w:t>（款）巩固脱贫攻坚成果衔接乡村振兴支出（项）全年预算为38.13万元，支出决算为38.13万元，完成全年预算的100%。</w:t>
      </w:r>
    </w:p>
    <w:p w14:paraId="0BC7691C">
      <w:pPr>
        <w:overflowPunct w:val="0"/>
        <w:topLinePunct/>
        <w:spacing w:line="576" w:lineRule="exact"/>
        <w:ind w:firstLine="640" w:firstLineChars="200"/>
        <w:jc w:val="both"/>
        <w:rPr>
          <w:rFonts w:hint="eastAsia" w:ascii="Times New Roman" w:eastAsia="仿宋_GB2312"/>
          <w:color w:val="000000"/>
          <w:kern w:val="2"/>
          <w:sz w:val="32"/>
          <w:szCs w:val="24"/>
        </w:rPr>
      </w:pPr>
      <w:r>
        <w:rPr>
          <w:rFonts w:hint="eastAsia" w:ascii="Times New Roman" w:eastAsia="仿宋_GB2312"/>
          <w:color w:val="000000"/>
          <w:kern w:val="2"/>
          <w:sz w:val="32"/>
          <w:szCs w:val="24"/>
        </w:rPr>
        <w:t>（3）农村综合改革（款）对村民委员会和村党支部的补助（项）</w:t>
      </w:r>
      <w:bookmarkStart w:id="24" w:name="OLE_LINK19"/>
      <w:r>
        <w:rPr>
          <w:rFonts w:hint="eastAsia" w:ascii="Times New Roman" w:eastAsia="仿宋_GB2312"/>
          <w:color w:val="000000"/>
          <w:kern w:val="2"/>
          <w:sz w:val="32"/>
          <w:szCs w:val="24"/>
        </w:rPr>
        <w:t>全年预算为493.67万元，支出决算为493.67万元，完成全年预算的100%。</w:t>
      </w:r>
    </w:p>
    <w:bookmarkEnd w:id="24"/>
    <w:p w14:paraId="03995F39">
      <w:pPr>
        <w:overflowPunct w:val="0"/>
        <w:topLinePunct/>
        <w:spacing w:line="576" w:lineRule="exact"/>
        <w:ind w:firstLine="643" w:firstLineChars="200"/>
        <w:jc w:val="both"/>
        <w:rPr>
          <w:rFonts w:hint="eastAsia" w:ascii="Times New Roman" w:eastAsia="仿宋_GB2312"/>
          <w:color w:val="000000"/>
          <w:kern w:val="2"/>
          <w:sz w:val="32"/>
          <w:szCs w:val="24"/>
        </w:rPr>
      </w:pPr>
      <w:r>
        <w:rPr>
          <w:rFonts w:hint="eastAsia" w:ascii="Times New Roman" w:eastAsia="仿宋_GB2312"/>
          <w:b/>
          <w:color w:val="000000"/>
          <w:kern w:val="2"/>
          <w:sz w:val="32"/>
          <w:szCs w:val="24"/>
        </w:rPr>
        <w:t>6.住房保障支出（类）</w:t>
      </w:r>
      <w:r>
        <w:rPr>
          <w:rFonts w:hint="eastAsia" w:ascii="Times New Roman" w:eastAsia="仿宋_GB2312"/>
          <w:color w:val="000000"/>
          <w:kern w:val="2"/>
          <w:sz w:val="32"/>
          <w:szCs w:val="24"/>
        </w:rPr>
        <w:t>全年预算为124.52万元，支出决算为124.52万元，完成全年预算的100%。具体为：</w:t>
      </w:r>
    </w:p>
    <w:p w14:paraId="0C807025">
      <w:pPr>
        <w:overflowPunct w:val="0"/>
        <w:topLinePunct/>
        <w:spacing w:line="576" w:lineRule="exact"/>
        <w:ind w:firstLine="640" w:firstLineChars="200"/>
        <w:jc w:val="both"/>
        <w:rPr>
          <w:rFonts w:hint="eastAsia" w:ascii="Times New Roman" w:eastAsia="仿宋_GB2312"/>
          <w:color w:val="000000"/>
          <w:kern w:val="2"/>
          <w:sz w:val="32"/>
          <w:szCs w:val="24"/>
        </w:rPr>
      </w:pPr>
      <w:r>
        <w:rPr>
          <w:rFonts w:hint="eastAsia" w:ascii="Times New Roman" w:eastAsia="仿宋_GB2312"/>
          <w:color w:val="000000"/>
          <w:kern w:val="2"/>
          <w:sz w:val="32"/>
          <w:szCs w:val="24"/>
        </w:rPr>
        <w:t>（1）保障性安居工程支出（款）其他保障性安居工程支出（项）全年预算为50万元，支出决算为50万元，完成全年预算的100%。</w:t>
      </w:r>
    </w:p>
    <w:p w14:paraId="5034BC9D">
      <w:pPr>
        <w:overflowPunct w:val="0"/>
        <w:topLinePunct/>
        <w:spacing w:line="576" w:lineRule="exact"/>
        <w:ind w:firstLine="640" w:firstLineChars="200"/>
        <w:jc w:val="both"/>
        <w:rPr>
          <w:rFonts w:hint="eastAsia" w:ascii="Times New Roman" w:eastAsia="仿宋_GB2312"/>
          <w:color w:val="000000"/>
          <w:kern w:val="2"/>
          <w:sz w:val="32"/>
          <w:szCs w:val="24"/>
        </w:rPr>
      </w:pPr>
      <w:bookmarkStart w:id="25" w:name="OLE_LINK16"/>
      <w:r>
        <w:rPr>
          <w:rFonts w:hint="eastAsia" w:ascii="Times New Roman" w:eastAsia="仿宋_GB2312"/>
          <w:color w:val="000000"/>
          <w:kern w:val="2"/>
          <w:sz w:val="32"/>
          <w:szCs w:val="24"/>
        </w:rPr>
        <w:t>（2）住房改革支出（款）住房公积金（项）全年预算为74.52万元，支出决算为74.52万元，完成全年预算的100%。</w:t>
      </w:r>
    </w:p>
    <w:bookmarkEnd w:id="11"/>
    <w:bookmarkEnd w:id="25"/>
    <w:p w14:paraId="336083A7">
      <w:pPr>
        <w:tabs>
          <w:tab w:val="right" w:pos="8306"/>
        </w:tabs>
        <w:overflowPunct w:val="0"/>
        <w:topLinePunct/>
        <w:spacing w:line="576" w:lineRule="exact"/>
        <w:ind w:firstLine="640" w:firstLineChars="200"/>
        <w:jc w:val="both"/>
        <w:rPr>
          <w:rFonts w:hint="eastAsia" w:ascii="Times New Roman" w:eastAsia="Times New Roman" w:cs="Cambria"/>
          <w:b/>
          <w:kern w:val="2"/>
          <w:sz w:val="32"/>
          <w:szCs w:val="24"/>
        </w:rPr>
      </w:pPr>
      <w:r>
        <w:rPr>
          <w:rFonts w:hint="eastAsia" w:ascii="Times New Roman" w:eastAsia="黑体"/>
          <w:color w:val="000000"/>
          <w:kern w:val="2"/>
          <w:sz w:val="32"/>
          <w:szCs w:val="24"/>
        </w:rPr>
        <w:t>六</w:t>
      </w:r>
      <w:r>
        <w:rPr>
          <w:rFonts w:hint="eastAsia" w:ascii="Times New Roman" w:eastAsia="黑体"/>
          <w:b/>
          <w:color w:val="000000"/>
          <w:kern w:val="2"/>
          <w:sz w:val="32"/>
          <w:szCs w:val="24"/>
        </w:rPr>
        <w:t>、一</w:t>
      </w:r>
      <w:r>
        <w:rPr>
          <w:rFonts w:hint="eastAsia" w:ascii="Times New Roman" w:eastAsia="黑体"/>
          <w:kern w:val="2"/>
          <w:sz w:val="32"/>
          <w:szCs w:val="24"/>
        </w:rPr>
        <w:t>般公共预算财政拨款基本支出决算情况说明</w:t>
      </w:r>
      <w:r>
        <w:rPr>
          <w:rFonts w:hint="eastAsia" w:ascii="Times New Roman" w:eastAsia="黑体"/>
          <w:kern w:val="2"/>
          <w:sz w:val="32"/>
          <w:szCs w:val="24"/>
        </w:rPr>
        <w:tab/>
      </w:r>
    </w:p>
    <w:p w14:paraId="60770DA3">
      <w:pPr>
        <w:overflowPunct w:val="0"/>
        <w:topLinePunct/>
        <w:spacing w:line="576" w:lineRule="exact"/>
        <w:ind w:firstLine="640" w:firstLineChars="200"/>
        <w:jc w:val="both"/>
        <w:rPr>
          <w:rFonts w:hint="eastAsia" w:ascii="Times New Roman" w:eastAsia="仿宋_GB2312"/>
          <w:color w:val="000000"/>
          <w:kern w:val="2"/>
          <w:sz w:val="32"/>
          <w:szCs w:val="24"/>
        </w:rPr>
      </w:pPr>
      <w:bookmarkStart w:id="26" w:name="OLE_LINK37"/>
      <w:r>
        <w:rPr>
          <w:rFonts w:hint="eastAsia" w:ascii="Times New Roman" w:eastAsia="仿宋_GB2312"/>
          <w:color w:val="000000"/>
          <w:kern w:val="2"/>
          <w:sz w:val="32"/>
          <w:szCs w:val="24"/>
        </w:rPr>
        <w:t>2023年度一般公共预算财政拨款基本支出1109.69万元，其中：</w:t>
      </w:r>
    </w:p>
    <w:p w14:paraId="394C37EB">
      <w:pPr>
        <w:overflowPunct w:val="0"/>
        <w:topLinePunct/>
        <w:spacing w:line="576" w:lineRule="exact"/>
        <w:ind w:firstLine="643" w:firstLineChars="200"/>
        <w:jc w:val="both"/>
        <w:rPr>
          <w:rFonts w:hint="eastAsia" w:ascii="Times New Roman" w:eastAsia="仿宋_GB2312"/>
          <w:color w:val="000000"/>
          <w:kern w:val="2"/>
          <w:sz w:val="32"/>
          <w:szCs w:val="24"/>
        </w:rPr>
      </w:pPr>
      <w:r>
        <w:rPr>
          <w:rFonts w:hint="eastAsia" w:ascii="Times New Roman" w:eastAsia="仿宋_GB2312"/>
          <w:b/>
          <w:color w:val="000000"/>
          <w:kern w:val="2"/>
          <w:sz w:val="32"/>
          <w:szCs w:val="24"/>
        </w:rPr>
        <w:t>人员经费</w:t>
      </w:r>
      <w:r>
        <w:rPr>
          <w:rFonts w:hint="eastAsia" w:ascii="Times New Roman" w:eastAsia="仿宋_GB2312"/>
          <w:color w:val="000000"/>
          <w:kern w:val="2"/>
          <w:sz w:val="32"/>
          <w:szCs w:val="24"/>
        </w:rPr>
        <w:t>966.49万元，主要包括：基本工资251.25万元、津贴补贴81.18万元、奖金151.83万元、伙食补助费0万元、绩效工资87.1万元、机关事业单位基本养老保险缴费85.44万元、职业年金缴费5.4万元、职工基本医疗保险缴费40.13万元、公务员医疗补助缴费0万元、其他社会保障缴费0万元、住房公积金74.52万元、医疗费0万元、其他工资福利支出29.92万元、离休费0万元、退休费0万元、退职（役）费0万元、抚恤金20.75万元、生活补助123.32万元、救济费0万元、医疗费补助0万元、助学金0万元、奖励金0.01万元、个人农业生产补贴0万元、代缴社会保险0万元、其他对个人和家庭的补助支出15.64万元。</w:t>
      </w:r>
    </w:p>
    <w:p w14:paraId="6FA484BA">
      <w:pPr>
        <w:overflowPunct w:val="0"/>
        <w:topLinePunct/>
        <w:spacing w:line="576" w:lineRule="exact"/>
        <w:ind w:firstLine="643" w:firstLineChars="200"/>
        <w:jc w:val="both"/>
        <w:rPr>
          <w:rFonts w:hint="eastAsia" w:ascii="Times New Roman" w:eastAsia="仿宋_GB2312"/>
          <w:color w:val="000000"/>
          <w:kern w:val="2"/>
          <w:sz w:val="32"/>
          <w:szCs w:val="24"/>
        </w:rPr>
      </w:pPr>
      <w:r>
        <w:rPr>
          <w:rFonts w:hint="eastAsia" w:ascii="Times New Roman" w:eastAsia="仿宋_GB2312"/>
          <w:b/>
          <w:color w:val="000000"/>
          <w:kern w:val="2"/>
          <w:sz w:val="32"/>
          <w:szCs w:val="24"/>
        </w:rPr>
        <w:t>公用经费</w:t>
      </w:r>
      <w:r>
        <w:rPr>
          <w:rFonts w:hint="eastAsia" w:ascii="Times New Roman" w:eastAsia="仿宋_GB2312"/>
          <w:color w:val="000000"/>
          <w:kern w:val="2"/>
          <w:sz w:val="32"/>
          <w:szCs w:val="24"/>
        </w:rPr>
        <w:t>143.21万元，主要包括：办公费26.35万元、印刷费15万元、咨询费0万元、手续费0万元、水费2万元、电费4.13万元、邮电费0万元、取暖费0万元、物业管理费0万元、差旅费27.82万元、因公出国（境）费用0万元、维修（护）费6.51万元、租赁费0万元、会议费0万元、培训费0万元、公务接待费10.28万元、专用材料费0万元、被装购置费0万元、专用燃料费0万元、劳务费0万元、委托业务费0万元、工会经费13万元、福利费0万元、公务用车运行维护费0万元、其他交通费28.13万元、税金及附加费用0万元、其他商品和服务支出10万元、国内债务付息0万元、国外债务付息0万元、房屋建筑物构建0万元、办公设备购置0万元、专用设备购置0万元、基础设施建设0万元、大型修缮0万元、信息网络及软件购置更新0万元、物资储备0万元、土地补偿0万元、安置补助0万元、地上附着物和青苗补偿0万元、拆迁补偿0万元、公务用车购置0万元、其他交通工具购置0万元、文物和陈列品购置0万元、无形资产购置0万元、其他资本性支出0万元、国家赔偿费用支出0万元、对民间非营利组织和群众性自治组织补贴0万元、经常性赠与0万元、资本性赠与0万元、其他支出0万元。</w:t>
      </w:r>
    </w:p>
    <w:bookmarkEnd w:id="26"/>
    <w:p w14:paraId="26B0D5BB">
      <w:pPr>
        <w:overflowPunct w:val="0"/>
        <w:topLinePunct/>
        <w:spacing w:line="576" w:lineRule="exact"/>
        <w:ind w:firstLine="640" w:firstLineChars="200"/>
        <w:jc w:val="both"/>
        <w:rPr>
          <w:rFonts w:hint="eastAsia" w:ascii="Times New Roman" w:eastAsia="黑体"/>
          <w:kern w:val="2"/>
          <w:sz w:val="32"/>
          <w:szCs w:val="24"/>
        </w:rPr>
      </w:pPr>
      <w:r>
        <w:rPr>
          <w:rFonts w:hint="eastAsia" w:ascii="Times New Roman" w:eastAsia="黑体"/>
          <w:color w:val="000000"/>
          <w:kern w:val="2"/>
          <w:sz w:val="32"/>
          <w:szCs w:val="24"/>
        </w:rPr>
        <w:t>七、财政拨款</w:t>
      </w:r>
      <w:r>
        <w:rPr>
          <w:rFonts w:hint="eastAsia" w:ascii="Times New Roman" w:eastAsia="黑体"/>
          <w:b/>
          <w:kern w:val="2"/>
          <w:sz w:val="32"/>
          <w:szCs w:val="24"/>
        </w:rPr>
        <w:t>“</w:t>
      </w:r>
      <w:r>
        <w:rPr>
          <w:rFonts w:hint="eastAsia" w:ascii="Times New Roman" w:eastAsia="黑体"/>
          <w:kern w:val="2"/>
          <w:sz w:val="32"/>
          <w:szCs w:val="24"/>
        </w:rPr>
        <w:t>三公”经费支出决算情况说明</w:t>
      </w:r>
    </w:p>
    <w:p w14:paraId="6F6A4337">
      <w:pPr>
        <w:autoSpaceDE/>
        <w:autoSpaceDN/>
        <w:adjustRightInd/>
        <w:spacing w:line="576" w:lineRule="exact"/>
        <w:jc w:val="center"/>
        <w:rPr>
          <w:rFonts w:hint="eastAsia" w:ascii="Times New Roman" w:eastAsia="楷体_GB2312" w:cs="楷体_GB2312"/>
          <w:kern w:val="2"/>
          <w:sz w:val="32"/>
          <w:szCs w:val="32"/>
        </w:rPr>
      </w:pPr>
      <w:r>
        <w:rPr>
          <w:rFonts w:hint="eastAsia" w:ascii="Times New Roman" w:eastAsia="楷体_GB2312" w:cs="楷体_GB2312"/>
          <w:kern w:val="2"/>
          <w:sz w:val="32"/>
          <w:szCs w:val="32"/>
        </w:rPr>
        <w:t>（一）“三公”经费财政拨款支出决算总体情况说明</w:t>
      </w:r>
    </w:p>
    <w:p w14:paraId="02555B7F">
      <w:pPr>
        <w:overflowPunct w:val="0"/>
        <w:topLinePunct/>
        <w:spacing w:line="576" w:lineRule="exact"/>
        <w:ind w:firstLine="640" w:firstLineChars="200"/>
        <w:jc w:val="both"/>
        <w:rPr>
          <w:rFonts w:hint="eastAsia" w:ascii="Times New Roman" w:eastAsia="仿宋_GB2312"/>
          <w:color w:val="000000"/>
          <w:kern w:val="2"/>
          <w:sz w:val="32"/>
          <w:szCs w:val="24"/>
        </w:rPr>
      </w:pPr>
      <w:bookmarkStart w:id="27" w:name="OLE_LINK38"/>
      <w:r>
        <w:rPr>
          <w:rFonts w:hint="eastAsia" w:ascii="Times New Roman" w:eastAsia="仿宋_GB2312"/>
          <w:color w:val="000000"/>
          <w:kern w:val="2"/>
          <w:sz w:val="32"/>
          <w:szCs w:val="24"/>
        </w:rPr>
        <w:t>2023年度“三公”经费财政拨款支出预算为13.28万元，支出决算为13.28万元，完成预算的100%；与预算数持平。</w:t>
      </w:r>
    </w:p>
    <w:bookmarkEnd w:id="27"/>
    <w:p w14:paraId="13FEAFA3">
      <w:pPr>
        <w:autoSpaceDE/>
        <w:autoSpaceDN/>
        <w:adjustRightInd/>
        <w:spacing w:line="576" w:lineRule="exact"/>
        <w:jc w:val="center"/>
        <w:rPr>
          <w:rFonts w:hint="eastAsia" w:ascii="Times New Roman" w:eastAsia="楷体_GB2312" w:cs="楷体_GB2312"/>
          <w:kern w:val="2"/>
          <w:sz w:val="32"/>
          <w:szCs w:val="32"/>
        </w:rPr>
      </w:pPr>
      <w:r>
        <w:rPr>
          <w:rFonts w:hint="eastAsia" w:ascii="Times New Roman" w:eastAsia="楷体_GB2312" w:cs="楷体_GB2312"/>
          <w:kern w:val="2"/>
          <w:sz w:val="32"/>
          <w:szCs w:val="32"/>
        </w:rPr>
        <w:t>（二）“三公”经费财政拨款支出决算具体情况说明</w:t>
      </w:r>
    </w:p>
    <w:p w14:paraId="2220B407">
      <w:pPr>
        <w:overflowPunct w:val="0"/>
        <w:topLinePunct/>
        <w:spacing w:line="576" w:lineRule="exact"/>
        <w:ind w:firstLine="640" w:firstLineChars="200"/>
        <w:jc w:val="both"/>
        <w:rPr>
          <w:rFonts w:hint="eastAsia" w:ascii="Times New Roman" w:eastAsia="仿宋_GB2312"/>
          <w:color w:val="000000"/>
          <w:kern w:val="2"/>
          <w:sz w:val="32"/>
          <w:szCs w:val="24"/>
        </w:rPr>
      </w:pPr>
      <w:bookmarkStart w:id="28" w:name="OLE_LINK39"/>
      <w:r>
        <w:rPr>
          <w:rFonts w:hint="eastAsia" w:ascii="Times New Roman" w:eastAsia="仿宋_GB2312"/>
          <w:color w:val="000000"/>
          <w:kern w:val="2"/>
          <w:sz w:val="32"/>
          <w:szCs w:val="24"/>
        </w:rPr>
        <w:t>2023年度“三公”经费财政拨款支出决算中，因公出国（境）费支出决算0万元，占0%；公务用车购置及运行维护费支出决算0万元，占0%；公务接待费支出决算13.28万元，占100%。具体情况如下</w:t>
      </w:r>
    </w:p>
    <w:bookmarkEnd w:id="28"/>
    <w:p w14:paraId="0E12E9C4">
      <w:pPr>
        <w:overflowPunct w:val="0"/>
        <w:topLinePunct/>
        <w:spacing w:line="576" w:lineRule="exact"/>
        <w:ind w:firstLine="480" w:firstLineChars="200"/>
        <w:jc w:val="both"/>
        <w:rPr>
          <w:rFonts w:hint="eastAsia" w:ascii="Times New Roman" w:eastAsia="仿宋_GB2312"/>
          <w:i/>
          <w:color w:val="000000"/>
          <w:kern w:val="2"/>
          <w:sz w:val="32"/>
          <w:szCs w:val="24"/>
        </w:rPr>
      </w:pPr>
      <w:r>
        <w:rPr>
          <w:rFonts w:hint="default" w:ascii="Times New Roman"/>
          <w:sz w:val="24"/>
          <w:szCs w:val="24"/>
        </w:rPr>
        <w:drawing>
          <wp:anchor distT="0" distB="0" distL="114300" distR="114300" simplePos="0" relativeHeight="251665408" behindDoc="0" locked="0" layoutInCell="1" allowOverlap="1">
            <wp:simplePos x="0" y="0"/>
            <wp:positionH relativeFrom="column">
              <wp:posOffset>812800</wp:posOffset>
            </wp:positionH>
            <wp:positionV relativeFrom="paragraph">
              <wp:posOffset>119380</wp:posOffset>
            </wp:positionV>
            <wp:extent cx="3959860" cy="2520315"/>
            <wp:effectExtent l="0" t="0" r="2540" b="13335"/>
            <wp:wrapTopAndBottom/>
            <wp:docPr id="7" name="图表 1" descr="7b0a202020202263686172745265734964223a20223230343735393537220a7d0a"/>
            <wp:cNvGraphicFramePr/>
            <a:graphic xmlns:a="http://schemas.openxmlformats.org/drawingml/2006/main">
              <a:graphicData uri="http://schemas.openxmlformats.org/drawingml/2006/picture">
                <pic:pic xmlns:pic="http://schemas.openxmlformats.org/drawingml/2006/picture">
                  <pic:nvPicPr>
                    <pic:cNvPr id="7" name="图表 1" descr="7b0a202020202263686172745265734964223a20223230343735393537220a7d0a"/>
                    <pic:cNvPicPr/>
                  </pic:nvPicPr>
                  <pic:blipFill>
                    <a:blip r:embed="rId11"/>
                    <a:stretch>
                      <a:fillRect/>
                    </a:stretch>
                  </pic:blipFill>
                  <pic:spPr>
                    <a:xfrm>
                      <a:off x="0" y="0"/>
                      <a:ext cx="3959860" cy="2520315"/>
                    </a:xfrm>
                    <a:prstGeom prst="rect">
                      <a:avLst/>
                    </a:prstGeom>
                    <a:noFill/>
                    <a:ln>
                      <a:noFill/>
                    </a:ln>
                  </pic:spPr>
                </pic:pic>
              </a:graphicData>
            </a:graphic>
          </wp:anchor>
        </w:drawing>
      </w:r>
    </w:p>
    <w:p w14:paraId="7F0A3EAB">
      <w:pPr>
        <w:overflowPunct w:val="0"/>
        <w:topLinePunct/>
        <w:spacing w:line="576" w:lineRule="exact"/>
        <w:ind w:firstLine="643" w:firstLineChars="200"/>
        <w:jc w:val="both"/>
        <w:rPr>
          <w:rFonts w:hint="eastAsia" w:ascii="Times New Roman" w:eastAsia="仿宋_GB2312"/>
          <w:color w:val="000000"/>
          <w:kern w:val="2"/>
          <w:sz w:val="32"/>
          <w:szCs w:val="24"/>
        </w:rPr>
      </w:pPr>
      <w:bookmarkStart w:id="29" w:name="OLE_LINK40"/>
      <w:r>
        <w:rPr>
          <w:rFonts w:hint="eastAsia" w:ascii="Times New Roman" w:eastAsia="仿宋_GB2312"/>
          <w:b/>
          <w:color w:val="000000"/>
          <w:kern w:val="2"/>
          <w:sz w:val="32"/>
          <w:szCs w:val="24"/>
        </w:rPr>
        <w:t>1.因公出国（境）经费</w:t>
      </w:r>
      <w:r>
        <w:rPr>
          <w:rFonts w:hint="eastAsia" w:ascii="Times New Roman" w:eastAsia="仿宋_GB2312"/>
          <w:color w:val="000000"/>
          <w:kern w:val="2"/>
          <w:sz w:val="32"/>
          <w:szCs w:val="24"/>
        </w:rPr>
        <w:t>预算为0万元，支出决算为</w:t>
      </w:r>
      <w:r>
        <w:rPr>
          <w:rFonts w:hint="eastAsia" w:ascii="Times New Roman" w:eastAsia="仿宋_GB2312"/>
          <w:color w:val="000000"/>
          <w:kern w:val="2"/>
          <w:sz w:val="32"/>
          <w:szCs w:val="24"/>
          <w:lang w:val="zh-CN"/>
        </w:rPr>
        <w:t>0</w:t>
      </w:r>
      <w:r>
        <w:rPr>
          <w:rFonts w:hint="eastAsia" w:ascii="Times New Roman" w:eastAsia="仿宋_GB2312"/>
          <w:color w:val="000000"/>
          <w:kern w:val="2"/>
          <w:sz w:val="32"/>
          <w:szCs w:val="24"/>
        </w:rPr>
        <w:t>万元，完成预算的0%。</w:t>
      </w:r>
      <w:bookmarkStart w:id="30" w:name="OLE_LINK6"/>
      <w:r>
        <w:rPr>
          <w:rFonts w:hint="eastAsia" w:ascii="Times New Roman" w:eastAsia="仿宋_GB2312"/>
          <w:color w:val="000000"/>
          <w:kern w:val="2"/>
          <w:sz w:val="32"/>
          <w:szCs w:val="24"/>
        </w:rPr>
        <w:t>因公出国（境）经费为0万元，原因为年初未安排预算，因公出国（境）支出决算较2022年度无变化。</w:t>
      </w:r>
    </w:p>
    <w:bookmarkEnd w:id="29"/>
    <w:bookmarkEnd w:id="30"/>
    <w:p w14:paraId="1DC75E59">
      <w:pPr>
        <w:overflowPunct w:val="0"/>
        <w:topLinePunct/>
        <w:spacing w:line="576" w:lineRule="exact"/>
        <w:ind w:firstLine="643" w:firstLineChars="200"/>
        <w:jc w:val="both"/>
        <w:rPr>
          <w:rFonts w:hint="eastAsia" w:ascii="Times New Roman" w:eastAsia="仿宋_GB2312"/>
          <w:b/>
          <w:color w:val="000000"/>
          <w:kern w:val="2"/>
          <w:sz w:val="32"/>
          <w:szCs w:val="24"/>
        </w:rPr>
      </w:pPr>
      <w:bookmarkStart w:id="31" w:name="OLE_LINK41"/>
      <w:r>
        <w:rPr>
          <w:rFonts w:hint="eastAsia" w:ascii="Times New Roman" w:eastAsia="仿宋_GB2312"/>
          <w:b/>
          <w:color w:val="000000"/>
          <w:kern w:val="2"/>
          <w:sz w:val="32"/>
          <w:szCs w:val="24"/>
        </w:rPr>
        <w:t>2.公务用车购置及运行维护费</w:t>
      </w:r>
      <w:r>
        <w:rPr>
          <w:rFonts w:hint="eastAsia" w:ascii="Times New Roman" w:eastAsia="仿宋_GB2312"/>
          <w:color w:val="000000"/>
          <w:kern w:val="2"/>
          <w:sz w:val="32"/>
          <w:szCs w:val="24"/>
        </w:rPr>
        <w:t>预算为0万元</w:t>
      </w:r>
      <w:r>
        <w:rPr>
          <w:rFonts w:hint="eastAsia" w:ascii="Times New Roman" w:eastAsia="仿宋_GB2312"/>
          <w:color w:val="000000"/>
          <w:kern w:val="2"/>
          <w:sz w:val="32"/>
          <w:szCs w:val="24"/>
          <w:lang w:eastAsia="zh-CN"/>
        </w:rPr>
        <w:t>，</w:t>
      </w:r>
      <w:r>
        <w:rPr>
          <w:rFonts w:hint="eastAsia" w:ascii="Times New Roman" w:eastAsia="仿宋_GB2312"/>
          <w:color w:val="000000"/>
          <w:kern w:val="2"/>
          <w:sz w:val="32"/>
          <w:szCs w:val="24"/>
        </w:rPr>
        <w:t>支出决算为0万元，完成预算的0%。因公出国（境）支出决算与2022年度持平。</w:t>
      </w:r>
    </w:p>
    <w:bookmarkEnd w:id="31"/>
    <w:p w14:paraId="7E70C930">
      <w:pPr>
        <w:overflowPunct w:val="0"/>
        <w:topLinePunct/>
        <w:spacing w:line="576" w:lineRule="exact"/>
        <w:ind w:firstLine="640" w:firstLineChars="200"/>
        <w:jc w:val="both"/>
        <w:rPr>
          <w:rFonts w:hint="eastAsia" w:ascii="Times New Roman" w:eastAsia="仿宋_GB2312"/>
          <w:color w:val="000000"/>
          <w:kern w:val="2"/>
          <w:sz w:val="32"/>
          <w:szCs w:val="24"/>
        </w:rPr>
      </w:pPr>
      <w:bookmarkStart w:id="32" w:name="OLE_LINK42"/>
      <w:r>
        <w:rPr>
          <w:rFonts w:hint="eastAsia" w:ascii="Times New Roman" w:eastAsia="仿宋_GB2312"/>
          <w:color w:val="000000"/>
          <w:kern w:val="2"/>
          <w:sz w:val="32"/>
          <w:szCs w:val="24"/>
        </w:rPr>
        <w:t>其中：</w:t>
      </w:r>
      <w:r>
        <w:rPr>
          <w:rFonts w:hint="eastAsia" w:ascii="Times New Roman" w:eastAsia="仿宋_GB2312"/>
          <w:b/>
          <w:color w:val="000000"/>
          <w:kern w:val="2"/>
          <w:sz w:val="32"/>
          <w:szCs w:val="24"/>
        </w:rPr>
        <w:t>公务用车购置费</w:t>
      </w:r>
      <w:r>
        <w:rPr>
          <w:rFonts w:hint="eastAsia" w:ascii="Times New Roman" w:eastAsia="仿宋_GB2312"/>
          <w:color w:val="000000"/>
          <w:kern w:val="2"/>
          <w:sz w:val="32"/>
          <w:szCs w:val="24"/>
        </w:rPr>
        <w:t>支出0万元。全年按规定更新购置公务用车0辆，其中：轿车0辆、金额0万元，越野车0辆、金额0万元，小型客车0辆、金额0万元，中型客车和大型客车0辆、金额0万元，其他车型0辆、金额0万元，截至2023年12月31日，本部门共有公务用车0辆，其中：轿车0辆、越野车0辆、小型客车0辆、中型客车和大型客车0辆、其他车型0辆。</w:t>
      </w:r>
    </w:p>
    <w:bookmarkEnd w:id="32"/>
    <w:p w14:paraId="2EE10259">
      <w:pPr>
        <w:overflowPunct w:val="0"/>
        <w:topLinePunct/>
        <w:spacing w:line="576" w:lineRule="exact"/>
        <w:ind w:firstLine="643" w:firstLineChars="200"/>
        <w:jc w:val="both"/>
        <w:rPr>
          <w:rFonts w:hint="eastAsia" w:ascii="Times New Roman" w:eastAsia="仿宋_GB2312"/>
          <w:color w:val="0000FF"/>
          <w:kern w:val="2"/>
          <w:sz w:val="32"/>
          <w:szCs w:val="24"/>
        </w:rPr>
      </w:pPr>
      <w:bookmarkStart w:id="33" w:name="OLE_LINK43"/>
      <w:r>
        <w:rPr>
          <w:rFonts w:hint="eastAsia" w:ascii="Times New Roman" w:eastAsia="仿宋_GB2312"/>
          <w:b/>
          <w:color w:val="000000"/>
          <w:kern w:val="2"/>
          <w:sz w:val="32"/>
          <w:szCs w:val="24"/>
        </w:rPr>
        <w:t>公务用车运行维护费</w:t>
      </w:r>
      <w:r>
        <w:rPr>
          <w:rFonts w:hint="eastAsia" w:ascii="Times New Roman" w:eastAsia="仿宋_GB2312"/>
          <w:color w:val="000000"/>
          <w:kern w:val="2"/>
          <w:sz w:val="32"/>
          <w:szCs w:val="24"/>
        </w:rPr>
        <w:t>支出0万元。</w:t>
      </w:r>
    </w:p>
    <w:bookmarkEnd w:id="33"/>
    <w:p w14:paraId="3A683928">
      <w:pPr>
        <w:overflowPunct w:val="0"/>
        <w:topLinePunct/>
        <w:spacing w:line="576" w:lineRule="exact"/>
        <w:ind w:firstLine="643" w:firstLineChars="200"/>
        <w:jc w:val="both"/>
        <w:rPr>
          <w:rFonts w:hint="eastAsia" w:ascii="Times New Roman" w:eastAsia="仿宋_GB2312"/>
          <w:color w:val="000000"/>
          <w:kern w:val="2"/>
          <w:sz w:val="32"/>
          <w:szCs w:val="24"/>
        </w:rPr>
      </w:pPr>
      <w:bookmarkStart w:id="34" w:name="OLE_LINK44"/>
      <w:r>
        <w:rPr>
          <w:rFonts w:hint="eastAsia" w:ascii="Times New Roman" w:eastAsia="仿宋_GB2312"/>
          <w:b/>
          <w:color w:val="000000"/>
          <w:kern w:val="2"/>
          <w:sz w:val="32"/>
          <w:szCs w:val="24"/>
        </w:rPr>
        <w:t>3.公务接待费</w:t>
      </w:r>
      <w:r>
        <w:rPr>
          <w:rFonts w:hint="eastAsia" w:ascii="Times New Roman" w:eastAsia="仿宋_GB2312"/>
          <w:color w:val="000000"/>
          <w:kern w:val="2"/>
          <w:sz w:val="32"/>
          <w:szCs w:val="24"/>
        </w:rPr>
        <w:t>预算为13.28万元，支出决算为13.28万元，完成预算的100%。公务接待费支出决算与2022年度持平。其中：</w:t>
      </w:r>
      <w:bookmarkEnd w:id="34"/>
    </w:p>
    <w:p w14:paraId="35ECD130">
      <w:pPr>
        <w:widowControl/>
        <w:autoSpaceDE/>
        <w:autoSpaceDN/>
        <w:adjustRightInd/>
        <w:spacing w:line="576" w:lineRule="exact"/>
        <w:ind w:firstLine="643" w:firstLineChars="200"/>
        <w:rPr>
          <w:rFonts w:hint="eastAsia" w:ascii="Times New Roman" w:eastAsia="仿宋_GB2312"/>
          <w:color w:val="000000"/>
          <w:kern w:val="2"/>
          <w:sz w:val="32"/>
          <w:szCs w:val="24"/>
        </w:rPr>
      </w:pPr>
      <w:bookmarkStart w:id="35" w:name="OLE_LINK45"/>
      <w:r>
        <w:rPr>
          <w:rFonts w:hint="eastAsia" w:ascii="Times New Roman" w:eastAsia="仿宋_GB2312"/>
          <w:b/>
          <w:color w:val="000000"/>
          <w:kern w:val="2"/>
          <w:sz w:val="32"/>
          <w:szCs w:val="24"/>
        </w:rPr>
        <w:t>国内公务接待</w:t>
      </w:r>
      <w:r>
        <w:rPr>
          <w:rFonts w:hint="eastAsia" w:ascii="Times New Roman" w:eastAsia="仿宋_GB2312"/>
          <w:color w:val="000000"/>
          <w:kern w:val="2"/>
          <w:sz w:val="32"/>
          <w:szCs w:val="24"/>
        </w:rPr>
        <w:t>支出13.28万元。</w:t>
      </w:r>
      <w:r>
        <w:rPr>
          <w:rFonts w:hint="eastAsia" w:ascii="Times New Roman" w:eastAsia="仿宋_GB2312"/>
          <w:color w:val="000000"/>
          <w:kern w:val="2"/>
          <w:sz w:val="32"/>
          <w:szCs w:val="24"/>
          <w:lang w:eastAsia="zh-CN"/>
        </w:rPr>
        <w:t>主要用于</w:t>
      </w:r>
      <w:r>
        <w:rPr>
          <w:rFonts w:hint="eastAsia" w:ascii="Times New Roman" w:eastAsia="仿宋_GB2312" w:cs="仿宋_GB2312"/>
          <w:sz w:val="32"/>
          <w:szCs w:val="32"/>
        </w:rPr>
        <w:t>执行公务、开展业务活动开支的交通费、住宿费、用餐费、</w:t>
      </w:r>
      <w:r>
        <w:rPr>
          <w:rFonts w:hint="eastAsia" w:ascii="Times New Roman" w:eastAsia="仿宋_GB2312" w:cs="仿宋_GB2312"/>
          <w:color w:val="000000"/>
          <w:sz w:val="32"/>
          <w:szCs w:val="32"/>
        </w:rPr>
        <w:t>其他单位来我镇开展工作指导、交流、培训、调研</w:t>
      </w:r>
      <w:r>
        <w:rPr>
          <w:rFonts w:hint="eastAsia" w:ascii="Times New Roman" w:eastAsia="仿宋_GB2312" w:cs="仿宋_GB2312"/>
          <w:sz w:val="32"/>
          <w:szCs w:val="32"/>
        </w:rPr>
        <w:t>等。</w:t>
      </w:r>
      <w:r>
        <w:rPr>
          <w:rFonts w:hint="eastAsia" w:ascii="Times New Roman" w:eastAsia="仿宋_GB2312"/>
          <w:color w:val="000000"/>
          <w:kern w:val="2"/>
          <w:sz w:val="32"/>
          <w:szCs w:val="24"/>
        </w:rPr>
        <w:t>国内公务接待984批次，</w:t>
      </w:r>
      <w:r>
        <w:rPr>
          <w:rFonts w:hint="eastAsia" w:ascii="Times New Roman" w:eastAsia="仿宋_GB2312" w:cs="仿宋_GB2312"/>
          <w:sz w:val="32"/>
          <w:szCs w:val="32"/>
        </w:rPr>
        <w:t>约2270人次（不包括陪同人员），共</w:t>
      </w:r>
      <w:r>
        <w:rPr>
          <w:rFonts w:hint="eastAsia" w:ascii="Times New Roman" w:eastAsia="仿宋_GB2312"/>
          <w:color w:val="000000"/>
          <w:kern w:val="2"/>
          <w:sz w:val="32"/>
          <w:szCs w:val="24"/>
        </w:rPr>
        <w:t>计支出13.28万元，具体内容包括：</w:t>
      </w:r>
      <w:r>
        <w:rPr>
          <w:rFonts w:hint="eastAsia" w:ascii="Times New Roman" w:eastAsia="仿宋_GB2312" w:cs="仿宋_GB2312"/>
          <w:color w:val="000000"/>
          <w:sz w:val="31"/>
          <w:szCs w:val="31"/>
        </w:rPr>
        <w:t>日常公务接待13.28万元。</w:t>
      </w:r>
    </w:p>
    <w:p w14:paraId="1C3B7FFD">
      <w:pPr>
        <w:overflowPunct w:val="0"/>
        <w:topLinePunct/>
        <w:spacing w:line="576" w:lineRule="exact"/>
        <w:ind w:firstLine="643" w:firstLineChars="200"/>
        <w:jc w:val="both"/>
        <w:rPr>
          <w:rFonts w:hint="eastAsia" w:ascii="Times New Roman" w:eastAsia="仿宋_GB2312"/>
          <w:color w:val="000000"/>
          <w:kern w:val="2"/>
          <w:sz w:val="32"/>
          <w:szCs w:val="24"/>
        </w:rPr>
      </w:pPr>
      <w:r>
        <w:rPr>
          <w:rFonts w:hint="eastAsia" w:ascii="Times New Roman" w:eastAsia="仿宋_GB2312"/>
          <w:b/>
          <w:color w:val="000000"/>
          <w:kern w:val="2"/>
          <w:sz w:val="32"/>
          <w:szCs w:val="24"/>
        </w:rPr>
        <w:t>外事接待</w:t>
      </w:r>
      <w:r>
        <w:rPr>
          <w:rFonts w:hint="eastAsia" w:ascii="Times New Roman" w:eastAsia="仿宋_GB2312"/>
          <w:color w:val="000000"/>
          <w:kern w:val="2"/>
          <w:sz w:val="32"/>
          <w:szCs w:val="24"/>
        </w:rPr>
        <w:t>支出0万元，外事接待0批次0人，共计支出0万元。</w:t>
      </w:r>
      <w:bookmarkEnd w:id="35"/>
    </w:p>
    <w:p w14:paraId="56D3E8D1">
      <w:pPr>
        <w:overflowPunct w:val="0"/>
        <w:topLinePunct/>
        <w:spacing w:line="576" w:lineRule="exact"/>
        <w:ind w:firstLine="640" w:firstLineChars="200"/>
        <w:jc w:val="both"/>
        <w:rPr>
          <w:rFonts w:hint="eastAsia" w:ascii="Times New Roman" w:eastAsia="黑体"/>
          <w:b/>
          <w:kern w:val="2"/>
          <w:sz w:val="32"/>
          <w:szCs w:val="24"/>
        </w:rPr>
      </w:pPr>
      <w:r>
        <w:rPr>
          <w:rFonts w:hint="eastAsia" w:ascii="Times New Roman" w:eastAsia="黑体"/>
          <w:color w:val="000000"/>
          <w:kern w:val="2"/>
          <w:sz w:val="32"/>
          <w:szCs w:val="24"/>
        </w:rPr>
        <w:t>八、</w:t>
      </w:r>
      <w:r>
        <w:rPr>
          <w:rFonts w:hint="eastAsia" w:ascii="Times New Roman" w:eastAsia="黑体"/>
          <w:kern w:val="2"/>
          <w:sz w:val="32"/>
          <w:szCs w:val="24"/>
        </w:rPr>
        <w:t>政府性基金预算支出决算情况说明</w:t>
      </w:r>
    </w:p>
    <w:p w14:paraId="4FC9ED37">
      <w:pPr>
        <w:spacing w:line="576" w:lineRule="exact"/>
        <w:ind w:firstLine="640"/>
        <w:rPr>
          <w:rFonts w:hint="eastAsia" w:ascii="Times New Roman" w:eastAsia="仿宋_GB2312" w:cs="仿宋_GB2312"/>
          <w:sz w:val="32"/>
          <w:szCs w:val="32"/>
        </w:rPr>
      </w:pPr>
      <w:bookmarkStart w:id="36" w:name="OLE_LINK46"/>
      <w:r>
        <w:rPr>
          <w:rFonts w:hint="eastAsia" w:ascii="Times New Roman" w:eastAsia="仿宋_GB2312" w:cs="仿宋_GB2312"/>
          <w:sz w:val="32"/>
          <w:szCs w:val="32"/>
        </w:rPr>
        <w:t>2023年政府性基金预算财政拨款支出</w:t>
      </w:r>
      <w:r>
        <w:rPr>
          <w:rFonts w:hint="eastAsia" w:ascii="Times New Roman" w:eastAsia="仿宋_GB2312" w:cs="仿宋_GB2312"/>
          <w:color w:val="000000"/>
          <w:sz w:val="32"/>
          <w:szCs w:val="32"/>
        </w:rPr>
        <w:t>决算数为</w:t>
      </w:r>
      <w:r>
        <w:rPr>
          <w:rFonts w:hint="eastAsia" w:ascii="Times New Roman" w:eastAsia="仿宋_GB2312" w:cs="仿宋_GB2312"/>
          <w:sz w:val="32"/>
          <w:szCs w:val="32"/>
        </w:rPr>
        <w:t>10万元，</w:t>
      </w:r>
      <w:r>
        <w:rPr>
          <w:rStyle w:val="16"/>
          <w:rFonts w:hint="eastAsia" w:ascii="Times New Roman" w:eastAsia="仿宋_GB2312" w:cs="仿宋_GB2312"/>
          <w:b w:val="0"/>
          <w:color w:val="000000"/>
          <w:sz w:val="32"/>
          <w:szCs w:val="32"/>
        </w:rPr>
        <w:t>完成预算100%。其中：城乡社区支出（类）国有土地使用权出让收入安排的支出（款）农业生产发展支出（项）</w:t>
      </w:r>
      <w:r>
        <w:rPr>
          <w:rFonts w:hint="eastAsia" w:ascii="Times New Roman" w:eastAsia="仿宋_GB2312" w:cs="仿宋_GB2312"/>
          <w:sz w:val="32"/>
          <w:szCs w:val="32"/>
        </w:rPr>
        <w:t>支出决算为10万元，完成预算100%，决算数等于预算数。</w:t>
      </w:r>
    </w:p>
    <w:p w14:paraId="21C6CD75">
      <w:pPr>
        <w:spacing w:line="576" w:lineRule="exact"/>
        <w:ind w:firstLine="640" w:firstLineChars="200"/>
        <w:rPr>
          <w:rStyle w:val="16"/>
          <w:rFonts w:hint="eastAsia" w:ascii="Times New Roman" w:eastAsia="仿宋_GB2312" w:cs="仿宋_GB2312"/>
          <w:b w:val="0"/>
          <w:color w:val="000000"/>
          <w:sz w:val="32"/>
          <w:szCs w:val="32"/>
        </w:rPr>
      </w:pPr>
      <w:r>
        <w:rPr>
          <w:rFonts w:hint="eastAsia" w:ascii="Times New Roman" w:eastAsia="仿宋" w:cs="仿宋"/>
          <w:color w:val="auto"/>
          <w:sz w:val="32"/>
          <w:szCs w:val="32"/>
        </w:rPr>
        <w:t>2023年政府性基金预算拨款“三公经费”支出0万元。</w:t>
      </w:r>
      <w:r>
        <w:rPr>
          <w:rFonts w:hint="eastAsia" w:ascii="Times New Roman" w:eastAsia="仿宋_GB2312" w:cs="仿宋_GB2312"/>
          <w:sz w:val="32"/>
          <w:szCs w:val="32"/>
        </w:rPr>
        <w:t>主要原因是年初未安排预算。</w:t>
      </w:r>
    </w:p>
    <w:bookmarkEnd w:id="36"/>
    <w:p w14:paraId="08A582FE">
      <w:pPr>
        <w:overflowPunct w:val="0"/>
        <w:topLinePunct/>
        <w:spacing w:line="576" w:lineRule="exact"/>
        <w:ind w:firstLine="640" w:firstLineChars="200"/>
        <w:jc w:val="both"/>
        <w:rPr>
          <w:rFonts w:hint="eastAsia" w:ascii="Times New Roman" w:eastAsia="黑体"/>
          <w:kern w:val="2"/>
          <w:sz w:val="32"/>
          <w:szCs w:val="24"/>
        </w:rPr>
      </w:pPr>
      <w:r>
        <w:rPr>
          <w:rFonts w:hint="eastAsia" w:ascii="Times New Roman" w:eastAsia="黑体"/>
          <w:kern w:val="2"/>
          <w:sz w:val="32"/>
          <w:szCs w:val="24"/>
        </w:rPr>
        <w:t>九、国有资本经营预算支出决算情况说明</w:t>
      </w:r>
    </w:p>
    <w:p w14:paraId="5AB8EB93">
      <w:pPr>
        <w:spacing w:line="576" w:lineRule="exact"/>
        <w:ind w:firstLine="640" w:firstLineChars="200"/>
        <w:rPr>
          <w:rFonts w:hint="eastAsia" w:ascii="Times New Roman" w:eastAsia="仿宋_GB2312"/>
          <w:color w:val="000000"/>
          <w:kern w:val="2"/>
          <w:sz w:val="32"/>
          <w:szCs w:val="24"/>
        </w:rPr>
      </w:pPr>
      <w:bookmarkStart w:id="37" w:name="OLE_LINK47"/>
      <w:r>
        <w:rPr>
          <w:rFonts w:hint="eastAsia" w:ascii="Times New Roman" w:eastAsia="仿宋_GB2312"/>
          <w:color w:val="000000"/>
          <w:kern w:val="2"/>
          <w:sz w:val="32"/>
          <w:szCs w:val="24"/>
        </w:rPr>
        <w:t>2023年度国有资本经营预算拨款支出0万元。</w:t>
      </w:r>
      <w:r>
        <w:rPr>
          <w:rFonts w:hint="eastAsia" w:ascii="Times New Roman" w:eastAsia="仿宋_GB2312" w:cs="仿宋_GB2312"/>
          <w:sz w:val="32"/>
          <w:szCs w:val="32"/>
        </w:rPr>
        <w:t>主要原因是年初未安排预算。</w:t>
      </w:r>
    </w:p>
    <w:bookmarkEnd w:id="37"/>
    <w:p w14:paraId="1C784825">
      <w:pPr>
        <w:overflowPunct w:val="0"/>
        <w:topLinePunct/>
        <w:spacing w:line="576" w:lineRule="exact"/>
        <w:ind w:firstLine="640" w:firstLineChars="200"/>
        <w:jc w:val="both"/>
        <w:rPr>
          <w:rFonts w:hint="eastAsia" w:ascii="Times New Roman" w:eastAsia="黑体"/>
          <w:b/>
          <w:kern w:val="2"/>
          <w:sz w:val="32"/>
          <w:szCs w:val="24"/>
        </w:rPr>
      </w:pPr>
      <w:r>
        <w:rPr>
          <w:rFonts w:hint="eastAsia" w:ascii="Times New Roman" w:eastAsia="黑体"/>
          <w:color w:val="000000"/>
          <w:kern w:val="2"/>
          <w:sz w:val="32"/>
          <w:szCs w:val="24"/>
        </w:rPr>
        <w:t>十</w:t>
      </w:r>
      <w:r>
        <w:rPr>
          <w:rFonts w:hint="eastAsia" w:ascii="Times New Roman" w:eastAsia="黑体"/>
          <w:b/>
          <w:kern w:val="2"/>
          <w:sz w:val="32"/>
          <w:szCs w:val="24"/>
        </w:rPr>
        <w:t>、</w:t>
      </w:r>
      <w:r>
        <w:rPr>
          <w:rFonts w:hint="eastAsia" w:ascii="Times New Roman" w:eastAsia="黑体"/>
          <w:kern w:val="2"/>
          <w:sz w:val="32"/>
          <w:szCs w:val="24"/>
        </w:rPr>
        <w:t>其他重要事项的情况说明</w:t>
      </w:r>
    </w:p>
    <w:p w14:paraId="5CE7A957">
      <w:pPr>
        <w:autoSpaceDE/>
        <w:autoSpaceDN/>
        <w:adjustRightInd/>
        <w:spacing w:line="576" w:lineRule="exact"/>
        <w:ind w:firstLine="640" w:firstLineChars="200"/>
        <w:jc w:val="both"/>
        <w:rPr>
          <w:rFonts w:hint="eastAsia" w:ascii="Times New Roman" w:eastAsia="楷体_GB2312" w:cs="楷体_GB2312"/>
          <w:kern w:val="2"/>
          <w:sz w:val="32"/>
          <w:szCs w:val="32"/>
        </w:rPr>
      </w:pPr>
      <w:r>
        <w:rPr>
          <w:rFonts w:hint="eastAsia" w:ascii="Times New Roman" w:eastAsia="楷体_GB2312" w:cs="楷体_GB2312"/>
          <w:kern w:val="2"/>
          <w:sz w:val="32"/>
          <w:szCs w:val="32"/>
        </w:rPr>
        <w:t>（一）机关运行经费支出情况</w:t>
      </w:r>
    </w:p>
    <w:p w14:paraId="4A0A455B">
      <w:pPr>
        <w:pStyle w:val="7"/>
        <w:spacing w:beforeLines="0" w:line="576" w:lineRule="exact"/>
        <w:ind w:firstLine="640" w:firstLineChars="200"/>
        <w:rPr>
          <w:rFonts w:hint="eastAsia" w:ascii="Times New Roman"/>
          <w:color w:val="000000"/>
          <w:sz w:val="32"/>
          <w:szCs w:val="32"/>
        </w:rPr>
      </w:pPr>
      <w:bookmarkStart w:id="38" w:name="OLE_LINK48"/>
      <w:r>
        <w:rPr>
          <w:rFonts w:hint="eastAsia" w:ascii="Times New Roman"/>
          <w:color w:val="000000"/>
          <w:kern w:val="2"/>
          <w:sz w:val="32"/>
          <w:szCs w:val="24"/>
        </w:rPr>
        <w:t>2023年，太公镇人民政府机关运行经费支出143.21万元，比2022年度减少12.13万元，下降7.81%，</w:t>
      </w:r>
      <w:r>
        <w:rPr>
          <w:rFonts w:hint="eastAsia" w:ascii="Times New Roman"/>
          <w:color w:val="000000"/>
          <w:sz w:val="32"/>
          <w:szCs w:val="32"/>
        </w:rPr>
        <w:t>主要原因本年度人员减少，相应的运行经费减少。</w:t>
      </w:r>
    </w:p>
    <w:bookmarkEnd w:id="38"/>
    <w:p w14:paraId="23D3B5C9">
      <w:pPr>
        <w:autoSpaceDE/>
        <w:autoSpaceDN/>
        <w:adjustRightInd/>
        <w:spacing w:line="576" w:lineRule="exact"/>
        <w:ind w:firstLine="640" w:firstLineChars="200"/>
        <w:jc w:val="both"/>
        <w:rPr>
          <w:rFonts w:hint="eastAsia" w:ascii="Times New Roman" w:eastAsia="楷体_GB2312" w:cs="楷体_GB2312"/>
          <w:kern w:val="2"/>
          <w:sz w:val="32"/>
          <w:szCs w:val="32"/>
        </w:rPr>
      </w:pPr>
      <w:r>
        <w:rPr>
          <w:rFonts w:hint="eastAsia" w:ascii="Times New Roman" w:eastAsia="楷体_GB2312" w:cs="楷体_GB2312"/>
          <w:kern w:val="2"/>
          <w:sz w:val="32"/>
          <w:szCs w:val="32"/>
        </w:rPr>
        <w:t>（二）政府采购支出情况</w:t>
      </w:r>
    </w:p>
    <w:p w14:paraId="28FDB068">
      <w:pPr>
        <w:overflowPunct w:val="0"/>
        <w:topLinePunct/>
        <w:spacing w:line="576" w:lineRule="exact"/>
        <w:ind w:firstLine="640" w:firstLineChars="200"/>
        <w:jc w:val="both"/>
        <w:rPr>
          <w:rFonts w:hint="eastAsia" w:ascii="Times New Roman" w:eastAsia="仿宋_GB2312"/>
          <w:color w:val="000000"/>
          <w:kern w:val="2"/>
          <w:sz w:val="32"/>
          <w:szCs w:val="24"/>
        </w:rPr>
      </w:pPr>
      <w:bookmarkStart w:id="39" w:name="OLE_LINK49"/>
      <w:r>
        <w:rPr>
          <w:rFonts w:hint="eastAsia" w:ascii="Times New Roman" w:eastAsia="仿宋_GB2312"/>
          <w:color w:val="000000"/>
          <w:kern w:val="2"/>
          <w:sz w:val="32"/>
          <w:szCs w:val="24"/>
        </w:rPr>
        <w:t>2023年，太公镇人民政府采购支出总额0万元，其中：政府采购货物支出0万元、政府采购工程支出0万元、政府采购服务支出0万元。授予中小企业合同金额0万元，占政府采购支出总额的0%，其中：授予小微企业合同金额0万元，占授予中小企业合同金额的0%；货物采购授予中小企业合同金额占货物支出金额的0%，工程采购授予中小企业合同金额占工程支出金额的0%，服务采购授予中小企业合同金额占服务支出金额的0%。</w:t>
      </w:r>
    </w:p>
    <w:bookmarkEnd w:id="39"/>
    <w:p w14:paraId="2B5309C7">
      <w:pPr>
        <w:autoSpaceDE/>
        <w:autoSpaceDN/>
        <w:adjustRightInd/>
        <w:spacing w:line="576" w:lineRule="exact"/>
        <w:ind w:firstLine="640" w:firstLineChars="200"/>
        <w:jc w:val="both"/>
        <w:rPr>
          <w:rFonts w:hint="eastAsia" w:ascii="Times New Roman" w:eastAsia="楷体_GB2312" w:cs="楷体_GB2312"/>
          <w:kern w:val="2"/>
          <w:sz w:val="32"/>
          <w:szCs w:val="32"/>
        </w:rPr>
      </w:pPr>
      <w:r>
        <w:rPr>
          <w:rFonts w:hint="eastAsia" w:ascii="Times New Roman" w:eastAsia="楷体_GB2312" w:cs="楷体_GB2312"/>
          <w:kern w:val="2"/>
          <w:sz w:val="32"/>
          <w:szCs w:val="32"/>
        </w:rPr>
        <w:t>（三）国有资产占有使用情况</w:t>
      </w:r>
    </w:p>
    <w:p w14:paraId="68E3C8D1">
      <w:pPr>
        <w:overflowPunct w:val="0"/>
        <w:topLinePunct/>
        <w:spacing w:line="576" w:lineRule="exact"/>
        <w:ind w:firstLine="640" w:firstLineChars="200"/>
        <w:jc w:val="both"/>
        <w:rPr>
          <w:rFonts w:hint="eastAsia" w:ascii="Times New Roman" w:eastAsia="仿宋_GB2312"/>
          <w:color w:val="000000"/>
          <w:kern w:val="2"/>
          <w:sz w:val="32"/>
          <w:szCs w:val="24"/>
        </w:rPr>
      </w:pPr>
      <w:bookmarkStart w:id="40" w:name="OLE_LINK50"/>
      <w:r>
        <w:rPr>
          <w:rFonts w:hint="eastAsia" w:ascii="Times New Roman" w:eastAsia="仿宋_GB2312"/>
          <w:color w:val="000000"/>
          <w:kern w:val="2"/>
          <w:sz w:val="32"/>
          <w:szCs w:val="24"/>
        </w:rPr>
        <w:t>截至2023年12月31日，太公镇人民政府共有车辆0辆，其中：副部（省）级及以上领导用车0辆、主要负责人用车0辆、机要通信用车0辆、应急保障用车0辆、执法执勤用车0辆、特种专业技术用车0辆、离退休干部服务用车0辆、其他用车0辆。</w:t>
      </w:r>
    </w:p>
    <w:bookmarkEnd w:id="40"/>
    <w:p w14:paraId="4AFAE624">
      <w:pPr>
        <w:overflowPunct w:val="0"/>
        <w:topLinePunct/>
        <w:spacing w:line="576" w:lineRule="exact"/>
        <w:ind w:firstLine="640" w:firstLineChars="200"/>
        <w:jc w:val="both"/>
        <w:rPr>
          <w:rFonts w:hint="eastAsia" w:ascii="Times New Roman" w:eastAsia="仿宋_GB2312"/>
          <w:color w:val="000000"/>
          <w:kern w:val="2"/>
          <w:sz w:val="32"/>
          <w:szCs w:val="24"/>
        </w:rPr>
      </w:pPr>
      <w:r>
        <w:rPr>
          <w:rFonts w:hint="eastAsia" w:ascii="Times New Roman" w:eastAsia="仿宋_GB2312"/>
          <w:color w:val="000000"/>
          <w:kern w:val="2"/>
          <w:sz w:val="32"/>
          <w:szCs w:val="24"/>
        </w:rPr>
        <w:t>单价100万元（含）以上设备0台（套）。</w:t>
      </w:r>
    </w:p>
    <w:p w14:paraId="237DACC5">
      <w:pPr>
        <w:autoSpaceDE/>
        <w:autoSpaceDN/>
        <w:adjustRightInd/>
        <w:spacing w:line="576" w:lineRule="exact"/>
        <w:ind w:firstLine="640" w:firstLineChars="200"/>
        <w:jc w:val="both"/>
        <w:rPr>
          <w:rFonts w:hint="eastAsia" w:ascii="Times New Roman" w:eastAsia="楷体_GB2312" w:cs="楷体_GB2312"/>
          <w:kern w:val="2"/>
          <w:sz w:val="32"/>
          <w:szCs w:val="32"/>
        </w:rPr>
      </w:pPr>
      <w:r>
        <w:rPr>
          <w:rFonts w:hint="eastAsia" w:ascii="Times New Roman" w:eastAsia="楷体_GB2312" w:cs="楷体_GB2312"/>
          <w:kern w:val="2"/>
          <w:sz w:val="32"/>
          <w:szCs w:val="32"/>
        </w:rPr>
        <w:t>（四）预算绩效管理情况。</w:t>
      </w:r>
    </w:p>
    <w:p w14:paraId="093DCA9A">
      <w:pPr>
        <w:overflowPunct w:val="0"/>
        <w:topLinePunct/>
        <w:spacing w:line="576" w:lineRule="exact"/>
        <w:ind w:firstLine="640" w:firstLineChars="200"/>
        <w:jc w:val="both"/>
        <w:rPr>
          <w:rFonts w:hint="eastAsia" w:ascii="Times New Roman" w:eastAsia="仿宋_GB2312"/>
          <w:color w:val="000000"/>
          <w:kern w:val="2"/>
          <w:sz w:val="32"/>
          <w:szCs w:val="24"/>
        </w:rPr>
      </w:pPr>
      <w:r>
        <w:rPr>
          <w:rFonts w:hint="eastAsia" w:ascii="Times New Roman" w:eastAsia="仿宋_GB2312"/>
          <w:color w:val="000000"/>
          <w:kern w:val="2"/>
          <w:sz w:val="32"/>
          <w:szCs w:val="24"/>
        </w:rPr>
        <w:t>根据预算绩效管理要求，本部门在2023年度预算编制阶段，组织对</w:t>
      </w:r>
      <w:bookmarkStart w:id="41" w:name="OLE_LINK21"/>
      <w:r>
        <w:rPr>
          <w:rFonts w:hint="eastAsia" w:ascii="Times New Roman" w:eastAsia="仿宋_GB2312"/>
          <w:color w:val="000000"/>
          <w:kern w:val="2"/>
          <w:sz w:val="32"/>
          <w:szCs w:val="24"/>
        </w:rPr>
        <w:t>2023年基层组织和公共服务运行经费支出项目、</w:t>
      </w:r>
      <w:bookmarkEnd w:id="41"/>
      <w:r>
        <w:rPr>
          <w:rFonts w:hint="eastAsia" w:ascii="Times New Roman" w:eastAsia="仿宋_GB2312"/>
          <w:color w:val="000000"/>
          <w:kern w:val="2"/>
          <w:sz w:val="32"/>
          <w:szCs w:val="24"/>
        </w:rPr>
        <w:t>2022年基层组织和公共服务运行经费支出项目、干部周转房项目、村（社区）组干部人员和日常办公工作经费等5个项目开展了预算事前绩效评估，5个项目编制了绩效目标，预算执行过程中，选取5个项目开展绩效监控。</w:t>
      </w:r>
    </w:p>
    <w:p w14:paraId="42CD9998">
      <w:pPr>
        <w:overflowPunct w:val="0"/>
        <w:topLinePunct/>
        <w:spacing w:line="576" w:lineRule="exact"/>
        <w:ind w:firstLine="640" w:firstLineChars="200"/>
        <w:jc w:val="both"/>
        <w:rPr>
          <w:rFonts w:hint="eastAsia" w:ascii="Times New Roman" w:eastAsia="仿宋_GB2312"/>
          <w:color w:val="000000"/>
          <w:kern w:val="2"/>
          <w:sz w:val="32"/>
          <w:szCs w:val="24"/>
        </w:rPr>
      </w:pPr>
      <w:r>
        <w:rPr>
          <w:rFonts w:hint="eastAsia" w:ascii="Times New Roman" w:eastAsia="仿宋_GB2312"/>
          <w:color w:val="000000"/>
          <w:kern w:val="2"/>
          <w:sz w:val="32"/>
          <w:szCs w:val="24"/>
        </w:rPr>
        <w:t>2023年度组织一般公共预算、政府性基金预算、国有资本经营预算以及资本资产、债券资金等全面开展绩效自评，形成了广元市昭化区太公镇人民政府2023年部门整体绩效</w:t>
      </w:r>
      <w:bookmarkStart w:id="42" w:name="OLE_LINK22"/>
      <w:r>
        <w:rPr>
          <w:rFonts w:hint="eastAsia" w:ascii="Times New Roman" w:eastAsia="仿宋_GB2312"/>
          <w:color w:val="000000"/>
          <w:kern w:val="2"/>
          <w:sz w:val="32"/>
          <w:szCs w:val="24"/>
        </w:rPr>
        <w:t>自评报告</w:t>
      </w:r>
      <w:r>
        <w:rPr>
          <w:rFonts w:hint="eastAsia" w:ascii="Times New Roman" w:eastAsia="仿宋_GB2312"/>
          <w:color w:val="000000"/>
          <w:kern w:val="2"/>
          <w:sz w:val="32"/>
          <w:szCs w:val="24"/>
          <w:lang w:eastAsia="zh-CN"/>
        </w:rPr>
        <w:t>（</w:t>
      </w:r>
      <w:r>
        <w:rPr>
          <w:rFonts w:hint="eastAsia" w:ascii="Times New Roman" w:eastAsia="仿宋_GB2312"/>
          <w:color w:val="000000"/>
          <w:kern w:val="2"/>
          <w:sz w:val="32"/>
          <w:szCs w:val="24"/>
        </w:rPr>
        <w:t>表）</w:t>
      </w:r>
      <w:bookmarkEnd w:id="42"/>
      <w:r>
        <w:rPr>
          <w:rFonts w:hint="eastAsia" w:ascii="Times New Roman" w:eastAsia="仿宋_GB2312"/>
          <w:color w:val="000000"/>
          <w:kern w:val="2"/>
          <w:sz w:val="32"/>
          <w:szCs w:val="24"/>
        </w:rPr>
        <w:t>、</w:t>
      </w:r>
      <w:bookmarkStart w:id="43" w:name="OLE_LINK23"/>
      <w:bookmarkStart w:id="44" w:name="OLE_LINK25"/>
      <w:r>
        <w:rPr>
          <w:rFonts w:hint="eastAsia" w:ascii="Times New Roman" w:eastAsia="仿宋_GB2312"/>
          <w:color w:val="000000"/>
          <w:kern w:val="2"/>
          <w:sz w:val="32"/>
          <w:szCs w:val="24"/>
        </w:rPr>
        <w:t>2023年基层组织和公共服务运行经费、</w:t>
      </w:r>
      <w:bookmarkEnd w:id="43"/>
      <w:r>
        <w:rPr>
          <w:rFonts w:hint="eastAsia" w:ascii="Times New Roman" w:eastAsia="仿宋_GB2312"/>
          <w:color w:val="000000"/>
          <w:kern w:val="2"/>
          <w:sz w:val="32"/>
          <w:szCs w:val="24"/>
        </w:rPr>
        <w:t>2022年基层组织和公共服务运行经费、</w:t>
      </w:r>
      <w:bookmarkStart w:id="45" w:name="OLE_LINK24"/>
      <w:r>
        <w:rPr>
          <w:rFonts w:hint="eastAsia" w:ascii="Times New Roman" w:eastAsia="仿宋_GB2312"/>
          <w:color w:val="000000"/>
          <w:kern w:val="2"/>
          <w:sz w:val="32"/>
          <w:szCs w:val="24"/>
        </w:rPr>
        <w:t>干部周转房项目支出、村（社区）组干部人员和日常办公工作经费</w:t>
      </w:r>
      <w:bookmarkEnd w:id="44"/>
      <w:r>
        <w:rPr>
          <w:rFonts w:hint="eastAsia" w:ascii="Times New Roman" w:eastAsia="仿宋_GB2312"/>
          <w:color w:val="000000"/>
          <w:kern w:val="2"/>
          <w:sz w:val="32"/>
          <w:szCs w:val="24"/>
        </w:rPr>
        <w:t>项目</w:t>
      </w:r>
      <w:bookmarkEnd w:id="45"/>
      <w:r>
        <w:rPr>
          <w:rFonts w:hint="eastAsia" w:ascii="Times New Roman" w:eastAsia="仿宋_GB2312"/>
          <w:color w:val="000000"/>
          <w:kern w:val="2"/>
          <w:sz w:val="32"/>
          <w:szCs w:val="24"/>
        </w:rPr>
        <w:t>绩效自评报告（表），其中，广元市昭化区太公镇人民政府2023年部门整体绩效自评得分为88.5分，绩效自评综述：太公镇人民政府2023年部门整体支出在区财政局关心帮助及业务指导下，镇党委政府坚强领导下，严格按照年初预算的各项指标执行，保质保量完成了年初制定的各项目标任务，确保了镇政府中心工作、各村（社区）基层工作有序推进。2023年基层组织和公共服务运行经费、2022年基层组织和公共服务运行经费、村（社区）组干部人员和日常办公工作经费、干部周转房项目支出、 2023年度行政事业性国有资产等专项预算项目绩效自评得分为91.8、93.3、94.15、96.8分，绩效自评综述：</w:t>
      </w:r>
      <w:r>
        <w:rPr>
          <w:rFonts w:hint="eastAsia" w:ascii="Times New Roman" w:eastAsia="仿宋_GB2312"/>
          <w:color w:val="000000"/>
          <w:kern w:val="2"/>
          <w:sz w:val="32"/>
          <w:szCs w:val="24"/>
          <w:lang w:val="zh-CN"/>
        </w:rPr>
        <w:t>围绕项目支出绩效评价指标体系对项目进行了深入地分析，原来村民最急盼的事情是找不到资金，现在得到了解决。形成了村民愿意做事、有钱做事的格局，促进了新农村建设，改善了老百姓生产生活环境。通过坚持三议三公开一监督的</w:t>
      </w:r>
      <w:r>
        <w:rPr>
          <w:rFonts w:hint="eastAsia" w:ascii="Times New Roman" w:eastAsia="仿宋_GB2312"/>
          <w:color w:val="000000"/>
          <w:kern w:val="2"/>
          <w:sz w:val="32"/>
          <w:szCs w:val="24"/>
        </w:rPr>
        <w:t>议</w:t>
      </w:r>
      <w:r>
        <w:rPr>
          <w:rFonts w:hint="eastAsia" w:ascii="Times New Roman" w:eastAsia="仿宋_GB2312"/>
          <w:color w:val="000000"/>
          <w:kern w:val="2"/>
          <w:sz w:val="32"/>
          <w:szCs w:val="24"/>
          <w:lang w:val="zh-CN"/>
        </w:rPr>
        <w:t>事机制，保障了村民在项目实施全过程的参与、决策及监督作用</w:t>
      </w:r>
      <w:r>
        <w:rPr>
          <w:rFonts w:hint="eastAsia" w:ascii="Times New Roman" w:eastAsia="仿宋_GB2312"/>
          <w:color w:val="000000"/>
          <w:kern w:val="2"/>
          <w:sz w:val="32"/>
          <w:szCs w:val="24"/>
        </w:rPr>
        <w:t>。绩效自评报告详见附件（第四部分）。</w:t>
      </w:r>
    </w:p>
    <w:p w14:paraId="1467D5C3">
      <w:pPr>
        <w:overflowPunct w:val="0"/>
        <w:topLinePunct/>
        <w:spacing w:line="576" w:lineRule="exact"/>
        <w:ind w:firstLine="640" w:firstLineChars="200"/>
        <w:jc w:val="both"/>
        <w:rPr>
          <w:rFonts w:hint="eastAsia" w:ascii="Times New Roman" w:eastAsia="仿宋_GB2312"/>
          <w:color w:val="000000"/>
          <w:kern w:val="2"/>
          <w:sz w:val="32"/>
          <w:szCs w:val="24"/>
        </w:rPr>
        <w:sectPr>
          <w:footerReference r:id="rId3" w:type="default"/>
          <w:pgSz w:w="12240" w:h="15840"/>
          <w:pgMar w:top="2098" w:right="1474" w:bottom="1984" w:left="1587" w:header="720" w:footer="720" w:gutter="0"/>
          <w:lnNumType w:countBy="0" w:distance="360"/>
          <w:pgNumType w:start="1"/>
          <w:cols w:space="720" w:num="1"/>
        </w:sectPr>
      </w:pPr>
    </w:p>
    <w:p w14:paraId="53D1E83C">
      <w:pPr>
        <w:numPr>
          <w:ilvl w:val="0"/>
          <w:numId w:val="1"/>
        </w:numPr>
        <w:tabs>
          <w:tab w:val="center" w:pos="4482"/>
          <w:tab w:val="left" w:pos="7482"/>
        </w:tabs>
        <w:autoSpaceDE/>
        <w:autoSpaceDN/>
        <w:adjustRightInd/>
        <w:spacing w:line="576" w:lineRule="exact"/>
        <w:jc w:val="center"/>
        <w:rPr>
          <w:rFonts w:hint="eastAsia" w:ascii="Times New Roman" w:eastAsia="方正小标宋简体" w:cs="方正小标宋简体"/>
          <w:kern w:val="2"/>
          <w:sz w:val="44"/>
          <w:szCs w:val="44"/>
        </w:rPr>
      </w:pPr>
      <w:r>
        <w:rPr>
          <w:rFonts w:hint="eastAsia" w:ascii="Times New Roman" w:eastAsia="方正小标宋简体" w:cs="方正小标宋简体"/>
          <w:kern w:val="2"/>
          <w:sz w:val="44"/>
          <w:szCs w:val="44"/>
        </w:rPr>
        <w:t xml:space="preserve"> 名词解释</w:t>
      </w:r>
    </w:p>
    <w:p w14:paraId="73E2DB56">
      <w:pPr>
        <w:pStyle w:val="19"/>
        <w:spacing w:beforeLines="0" w:afterLines="0" w:line="576" w:lineRule="exact"/>
        <w:ind w:firstLine="640" w:firstLineChars="200"/>
        <w:rPr>
          <w:rFonts w:hint="eastAsia" w:ascii="Times New Roman" w:hAnsi="Times New Roman" w:eastAsia="仿宋_GB2312" w:cs="Times New Roman"/>
          <w:color w:val="auto"/>
          <w:sz w:val="32"/>
          <w:szCs w:val="32"/>
        </w:rPr>
      </w:pPr>
      <w:bookmarkStart w:id="46" w:name="OLE_LINK52"/>
      <w:r>
        <w:rPr>
          <w:rFonts w:hint="eastAsia" w:ascii="黑体" w:hAnsi="黑体" w:eastAsia="黑体" w:cs="黑体"/>
          <w:sz w:val="32"/>
          <w:szCs w:val="24"/>
        </w:rPr>
        <w:t>一、财政拨款收入：</w:t>
      </w:r>
      <w:r>
        <w:rPr>
          <w:rFonts w:hint="eastAsia" w:ascii="Times New Roman" w:hAnsi="Times New Roman" w:eastAsia="仿宋_GB2312" w:cs="仿宋_GB2312"/>
          <w:color w:val="auto"/>
          <w:sz w:val="32"/>
          <w:szCs w:val="32"/>
        </w:rPr>
        <w:t>指单位从同级财政部门取得的财政预算资金。</w:t>
      </w:r>
    </w:p>
    <w:p w14:paraId="267111BB">
      <w:pPr>
        <w:pStyle w:val="19"/>
        <w:spacing w:beforeLines="0" w:afterLines="0" w:line="576" w:lineRule="exact"/>
        <w:ind w:firstLine="640" w:firstLineChars="200"/>
        <w:rPr>
          <w:rFonts w:hint="eastAsia" w:ascii="Times New Roman" w:hAnsi="Times New Roman" w:eastAsia="仿宋_GB2312" w:cs="Times New Roman"/>
          <w:color w:val="auto"/>
          <w:sz w:val="32"/>
          <w:szCs w:val="32"/>
        </w:rPr>
      </w:pPr>
      <w:r>
        <w:rPr>
          <w:rFonts w:hint="eastAsia" w:ascii="黑体" w:hAnsi="黑体" w:eastAsia="黑体" w:cs="黑体"/>
          <w:sz w:val="32"/>
          <w:szCs w:val="24"/>
        </w:rPr>
        <w:t>二、事业收入：</w:t>
      </w:r>
      <w:r>
        <w:rPr>
          <w:rFonts w:hint="eastAsia" w:ascii="Times New Roman" w:hAnsi="Times New Roman" w:eastAsia="仿宋_GB2312" w:cs="仿宋_GB2312"/>
          <w:color w:val="auto"/>
          <w:sz w:val="32"/>
          <w:szCs w:val="32"/>
        </w:rPr>
        <w:t>指事业单位开展专业业务活动及辅助活动取得的收入。</w:t>
      </w:r>
    </w:p>
    <w:p w14:paraId="4E117202">
      <w:pPr>
        <w:pStyle w:val="19"/>
        <w:spacing w:beforeLines="0" w:afterLines="0" w:line="576" w:lineRule="exact"/>
        <w:ind w:firstLine="640" w:firstLineChars="200"/>
        <w:rPr>
          <w:rFonts w:hint="eastAsia" w:ascii="Times New Roman" w:hAnsi="Times New Roman" w:eastAsia="仿宋_GB2312" w:cs="Times New Roman"/>
          <w:color w:val="auto"/>
          <w:sz w:val="32"/>
          <w:szCs w:val="32"/>
        </w:rPr>
      </w:pPr>
      <w:r>
        <w:rPr>
          <w:rFonts w:hint="eastAsia" w:ascii="黑体" w:hAnsi="黑体" w:eastAsia="黑体" w:cs="黑体"/>
          <w:sz w:val="32"/>
          <w:szCs w:val="24"/>
        </w:rPr>
        <w:t>三、经营收入：</w:t>
      </w:r>
      <w:r>
        <w:rPr>
          <w:rFonts w:hint="eastAsia" w:ascii="Times New Roman" w:hAnsi="Times New Roman" w:eastAsia="仿宋_GB2312" w:cs="仿宋_GB2312"/>
          <w:color w:val="auto"/>
          <w:sz w:val="32"/>
          <w:szCs w:val="32"/>
        </w:rPr>
        <w:t>指事业单位在专业业务活动及其辅助活动之外开展非独立核算经营活动取得的收入。</w:t>
      </w:r>
    </w:p>
    <w:p w14:paraId="141B9123">
      <w:pPr>
        <w:pStyle w:val="19"/>
        <w:spacing w:beforeLines="0" w:afterLines="0" w:line="576" w:lineRule="exact"/>
        <w:ind w:firstLine="640" w:firstLineChars="200"/>
        <w:rPr>
          <w:rFonts w:hint="eastAsia" w:ascii="Times New Roman" w:hAnsi="Times New Roman" w:eastAsia="仿宋_GB2312" w:cs="Times New Roman"/>
          <w:color w:val="auto"/>
          <w:sz w:val="32"/>
          <w:szCs w:val="32"/>
        </w:rPr>
      </w:pPr>
      <w:r>
        <w:rPr>
          <w:rFonts w:hint="eastAsia" w:ascii="黑体" w:hAnsi="黑体" w:eastAsia="黑体" w:cs="黑体"/>
          <w:sz w:val="32"/>
          <w:szCs w:val="24"/>
        </w:rPr>
        <w:t>四、其他收入：</w:t>
      </w:r>
      <w:r>
        <w:rPr>
          <w:rFonts w:hint="eastAsia" w:ascii="Times New Roman" w:hAnsi="Times New Roman" w:eastAsia="仿宋_GB2312" w:cs="仿宋_GB2312"/>
          <w:color w:val="auto"/>
          <w:sz w:val="32"/>
          <w:szCs w:val="32"/>
        </w:rPr>
        <w:t>指事业单位在专业业务活动及其辅助活动之外开展非独立核算经营活动取得的收入。</w:t>
      </w:r>
    </w:p>
    <w:p w14:paraId="24464E02">
      <w:pPr>
        <w:pStyle w:val="19"/>
        <w:spacing w:beforeLines="0" w:afterLines="0" w:line="576" w:lineRule="exact"/>
        <w:ind w:firstLine="640" w:firstLineChars="200"/>
        <w:rPr>
          <w:rFonts w:hint="eastAsia" w:ascii="Times New Roman" w:hAnsi="Times New Roman" w:eastAsia="仿宋_GB2312" w:cs="仿宋_GB2312"/>
          <w:color w:val="auto"/>
          <w:sz w:val="32"/>
          <w:szCs w:val="32"/>
        </w:rPr>
      </w:pPr>
      <w:r>
        <w:rPr>
          <w:rFonts w:hint="eastAsia" w:ascii="黑体" w:hAnsi="黑体" w:eastAsia="黑体" w:cs="黑体"/>
          <w:sz w:val="32"/>
          <w:szCs w:val="24"/>
        </w:rPr>
        <w:t>五、使用非财政拨款结余（含专用结余）：</w:t>
      </w:r>
      <w:r>
        <w:rPr>
          <w:rFonts w:hint="eastAsia" w:ascii="Times New Roman" w:hAnsi="Times New Roman" w:eastAsia="仿宋_GB2312" w:cs="仿宋_GB2312"/>
          <w:color w:val="auto"/>
          <w:sz w:val="32"/>
          <w:szCs w:val="32"/>
        </w:rPr>
        <w:t xml:space="preserve">指事业单位使用以前年度积累的非财政拨款结余弥补当年收支差额的金额。 </w:t>
      </w:r>
    </w:p>
    <w:p w14:paraId="22A81B2D">
      <w:pPr>
        <w:pStyle w:val="19"/>
        <w:spacing w:beforeLines="0" w:afterLines="0" w:line="576" w:lineRule="exact"/>
        <w:ind w:firstLine="640" w:firstLineChars="200"/>
        <w:rPr>
          <w:rFonts w:hint="eastAsia" w:ascii="Times New Roman" w:hAnsi="Times New Roman" w:eastAsia="仿宋_GB2312" w:cs="仿宋_GB2312"/>
          <w:color w:val="auto"/>
          <w:sz w:val="32"/>
          <w:szCs w:val="32"/>
        </w:rPr>
      </w:pPr>
      <w:r>
        <w:rPr>
          <w:rFonts w:hint="eastAsia" w:ascii="黑体" w:hAnsi="黑体" w:eastAsia="黑体" w:cs="黑体"/>
          <w:sz w:val="32"/>
          <w:szCs w:val="24"/>
        </w:rPr>
        <w:t>六、年初结转和结余：</w:t>
      </w:r>
      <w:r>
        <w:rPr>
          <w:rFonts w:hint="eastAsia" w:ascii="Times New Roman" w:hAnsi="Times New Roman" w:eastAsia="仿宋_GB2312" w:cs="仿宋_GB2312"/>
          <w:color w:val="auto"/>
          <w:sz w:val="32"/>
          <w:szCs w:val="32"/>
        </w:rPr>
        <w:t xml:space="preserve">指以前年度尚未完成、结转到本年按有关规定继续使用的资金。 </w:t>
      </w:r>
    </w:p>
    <w:p w14:paraId="4E7C02B0">
      <w:pPr>
        <w:spacing w:line="576" w:lineRule="exact"/>
        <w:ind w:firstLine="640" w:firstLineChars="200"/>
        <w:rPr>
          <w:rFonts w:hint="eastAsia" w:ascii="Times New Roman" w:eastAsia="仿宋_GB2312"/>
          <w:color w:val="000000"/>
          <w:sz w:val="32"/>
          <w:szCs w:val="24"/>
        </w:rPr>
      </w:pPr>
      <w:r>
        <w:rPr>
          <w:rFonts w:hint="eastAsia" w:ascii="黑体" w:hAnsi="黑体" w:eastAsia="黑体" w:cs="黑体"/>
          <w:color w:val="000000"/>
          <w:sz w:val="32"/>
          <w:szCs w:val="24"/>
        </w:rPr>
        <w:t>七、结余分配：</w:t>
      </w:r>
      <w:r>
        <w:rPr>
          <w:rFonts w:hint="eastAsia" w:ascii="Times New Roman" w:eastAsia="仿宋_GB2312" w:cs="仿宋_GB2312"/>
          <w:color w:val="auto"/>
          <w:sz w:val="32"/>
          <w:szCs w:val="32"/>
        </w:rPr>
        <w:t>指事业单位按照会计制度规定缴纳的所得税、提取的专用结余以及转入非财政拨款结余的金额等。</w:t>
      </w:r>
      <w:r>
        <w:rPr>
          <w:rFonts w:hint="eastAsia" w:ascii="Times New Roman" w:eastAsia="仿宋_GB2312"/>
          <w:color w:val="000000"/>
          <w:sz w:val="32"/>
          <w:szCs w:val="24"/>
        </w:rPr>
        <w:t>八、年末结转和结余：指单位按有关规定结转到下年或以后年度继续使用的资金。</w:t>
      </w:r>
    </w:p>
    <w:p w14:paraId="6EFF7C7C">
      <w:pPr>
        <w:pStyle w:val="19"/>
        <w:spacing w:beforeLines="0" w:afterLines="0" w:line="576" w:lineRule="exact"/>
        <w:ind w:firstLine="640" w:firstLineChars="200"/>
        <w:rPr>
          <w:rFonts w:hint="eastAsia" w:ascii="Times New Roman" w:hAnsi="Times New Roman" w:eastAsia="仿宋_GB2312" w:cs="仿宋_GB2312"/>
          <w:color w:val="auto"/>
          <w:sz w:val="32"/>
          <w:szCs w:val="32"/>
        </w:rPr>
      </w:pPr>
      <w:r>
        <w:rPr>
          <w:rFonts w:hint="eastAsia" w:ascii="黑体" w:hAnsi="黑体" w:eastAsia="黑体" w:cs="黑体"/>
          <w:sz w:val="32"/>
          <w:szCs w:val="24"/>
        </w:rPr>
        <w:t>八.年末结转和结余：</w:t>
      </w:r>
      <w:r>
        <w:rPr>
          <w:rFonts w:hint="eastAsia" w:ascii="Times New Roman" w:hAnsi="Times New Roman" w:eastAsia="仿宋_GB2312" w:cs="仿宋_GB2312"/>
          <w:color w:val="auto"/>
          <w:sz w:val="32"/>
          <w:szCs w:val="32"/>
        </w:rPr>
        <w:t>指单位按有关规定结转到下年或以后年度继续使用的资金。</w:t>
      </w:r>
    </w:p>
    <w:p w14:paraId="7A8A6D35">
      <w:pPr>
        <w:spacing w:line="576" w:lineRule="exact"/>
        <w:ind w:firstLine="640" w:firstLineChars="200"/>
        <w:jc w:val="both"/>
        <w:rPr>
          <w:rFonts w:hint="eastAsia" w:ascii="Times New Roman" w:eastAsia="仿宋_GB2312" w:cs="仿宋_GB2312"/>
          <w:color w:val="auto"/>
          <w:sz w:val="32"/>
          <w:szCs w:val="32"/>
        </w:rPr>
      </w:pPr>
      <w:r>
        <w:rPr>
          <w:rFonts w:hint="eastAsia" w:ascii="黑体" w:hAnsi="黑体" w:eastAsia="黑体" w:cs="黑体"/>
          <w:color w:val="000000"/>
          <w:sz w:val="32"/>
          <w:szCs w:val="24"/>
        </w:rPr>
        <w:t>九.一般公共服务（类）人大事务（款）行政运行（项）：</w:t>
      </w:r>
      <w:r>
        <w:rPr>
          <w:rFonts w:hint="eastAsia" w:ascii="Times New Roman" w:eastAsia="仿宋_GB2312" w:cs="仿宋_GB2312"/>
          <w:color w:val="auto"/>
          <w:sz w:val="32"/>
          <w:szCs w:val="32"/>
        </w:rPr>
        <w:t>指为保障机构正常运转、完成日常工作任务而发生的人员支出和公用支出。</w:t>
      </w:r>
    </w:p>
    <w:p w14:paraId="562F5959">
      <w:pPr>
        <w:spacing w:line="576" w:lineRule="exact"/>
        <w:ind w:firstLine="640" w:firstLineChars="200"/>
        <w:rPr>
          <w:rFonts w:hint="eastAsia" w:ascii="Times New Roman" w:eastAsia="仿宋_GB2312" w:cs="仿宋_GB2312"/>
          <w:color w:val="auto"/>
          <w:sz w:val="32"/>
          <w:szCs w:val="32"/>
        </w:rPr>
      </w:pPr>
      <w:r>
        <w:rPr>
          <w:rFonts w:hint="eastAsia" w:ascii="黑体" w:hAnsi="黑体" w:eastAsia="黑体" w:cs="黑体"/>
          <w:color w:val="000000"/>
          <w:sz w:val="32"/>
          <w:szCs w:val="24"/>
        </w:rPr>
        <w:t>十.一般公共服务（类）政府办公厅（室）及相关机构事务（款）行政运行（项）：</w:t>
      </w:r>
      <w:r>
        <w:rPr>
          <w:rFonts w:hint="eastAsia" w:ascii="Times New Roman" w:eastAsia="仿宋_GB2312" w:cs="仿宋_GB2312"/>
          <w:color w:val="auto"/>
          <w:sz w:val="32"/>
          <w:szCs w:val="32"/>
        </w:rPr>
        <w:t>指为保障机构正常运转、完成</w:t>
      </w:r>
      <w:bookmarkStart w:id="47" w:name="page33"/>
      <w:bookmarkEnd w:id="47"/>
      <w:r>
        <w:rPr>
          <w:rFonts w:hint="eastAsia" w:ascii="Times New Roman" w:eastAsia="仿宋_GB2312" w:cs="仿宋_GB2312"/>
          <w:color w:val="auto"/>
          <w:sz w:val="32"/>
          <w:szCs w:val="32"/>
        </w:rPr>
        <w:t>日常工作任务而发生的人员支出和公用支出。</w:t>
      </w:r>
    </w:p>
    <w:p w14:paraId="7F2B3D80">
      <w:pPr>
        <w:spacing w:line="576" w:lineRule="exact"/>
        <w:ind w:firstLine="641"/>
        <w:jc w:val="both"/>
        <w:rPr>
          <w:rFonts w:hint="eastAsia" w:ascii="Times New Roman" w:eastAsia="仿宋_GB2312" w:cs="仿宋_GB2312"/>
          <w:color w:val="auto"/>
          <w:sz w:val="32"/>
          <w:szCs w:val="32"/>
        </w:rPr>
      </w:pPr>
      <w:r>
        <w:rPr>
          <w:rFonts w:hint="eastAsia" w:ascii="黑体" w:hAnsi="黑体" w:eastAsia="黑体" w:cs="黑体"/>
          <w:color w:val="000000"/>
          <w:sz w:val="32"/>
          <w:szCs w:val="24"/>
        </w:rPr>
        <w:t>十一.一般公共服务（类）财政事务（款）行政运行（项）：</w:t>
      </w:r>
      <w:r>
        <w:rPr>
          <w:rFonts w:hint="eastAsia" w:ascii="Times New Roman" w:eastAsia="仿宋_GB2312" w:cs="仿宋_GB2312"/>
          <w:color w:val="auto"/>
          <w:sz w:val="32"/>
          <w:szCs w:val="32"/>
        </w:rPr>
        <w:t>指为保障机构正常运转、完成日常工作任务而发生的人员支出和公用支出。</w:t>
      </w:r>
    </w:p>
    <w:p w14:paraId="5BEDF0D0">
      <w:pPr>
        <w:spacing w:line="576" w:lineRule="exact"/>
        <w:ind w:firstLine="641"/>
        <w:jc w:val="both"/>
        <w:rPr>
          <w:rFonts w:hint="default"/>
          <w:color w:val="auto"/>
          <w:sz w:val="20"/>
          <w:szCs w:val="20"/>
        </w:rPr>
      </w:pPr>
      <w:r>
        <w:rPr>
          <w:rFonts w:hint="eastAsia" w:ascii="黑体" w:hAnsi="黑体" w:eastAsia="黑体" w:cs="黑体"/>
          <w:color w:val="000000"/>
          <w:sz w:val="32"/>
          <w:szCs w:val="24"/>
        </w:rPr>
        <w:t>十二.一般公共服务（类）纪检监察事务（款）行政运行（项）：</w:t>
      </w:r>
      <w:r>
        <w:rPr>
          <w:rFonts w:hint="eastAsia" w:ascii="Times New Roman" w:eastAsia="仿宋_GB2312" w:cs="仿宋_GB2312"/>
          <w:color w:val="auto"/>
          <w:sz w:val="32"/>
          <w:szCs w:val="32"/>
        </w:rPr>
        <w:t>指为保障机构正常运转、完成日常工作任务而发生的人员支出和公用支出。</w:t>
      </w:r>
    </w:p>
    <w:p w14:paraId="7F475D4D">
      <w:pPr>
        <w:spacing w:line="576" w:lineRule="exact"/>
        <w:ind w:firstLine="641"/>
        <w:jc w:val="both"/>
        <w:rPr>
          <w:rFonts w:hint="eastAsia" w:ascii="Times New Roman" w:eastAsia="仿宋_GB2312" w:cs="仿宋_GB2312"/>
          <w:color w:val="auto"/>
          <w:sz w:val="32"/>
          <w:szCs w:val="32"/>
        </w:rPr>
      </w:pPr>
      <w:r>
        <w:rPr>
          <w:rFonts w:hint="eastAsia" w:ascii="黑体" w:hAnsi="黑体" w:eastAsia="黑体" w:cs="黑体"/>
          <w:color w:val="000000"/>
          <w:sz w:val="32"/>
          <w:szCs w:val="24"/>
        </w:rPr>
        <w:t>十三.一般公共服务（类）党委办公厅（室）及相关机构事务（款）行政运行（项）：</w:t>
      </w:r>
      <w:r>
        <w:rPr>
          <w:rFonts w:hint="eastAsia" w:ascii="Times New Roman" w:eastAsia="仿宋_GB2312" w:cs="仿宋_GB2312"/>
          <w:color w:val="auto"/>
          <w:sz w:val="32"/>
          <w:szCs w:val="32"/>
        </w:rPr>
        <w:t>指为保障机构正常运转、完成日常工作任务而发生的人员支出和公用支出。</w:t>
      </w:r>
    </w:p>
    <w:p w14:paraId="33C25DBE">
      <w:pPr>
        <w:spacing w:line="576" w:lineRule="exact"/>
        <w:ind w:firstLine="641"/>
        <w:jc w:val="both"/>
        <w:rPr>
          <w:rFonts w:hint="eastAsia" w:ascii="Times New Roman" w:eastAsia="仿宋_GB2312" w:cs="仿宋_GB2312"/>
          <w:color w:val="auto"/>
          <w:sz w:val="32"/>
          <w:szCs w:val="32"/>
        </w:rPr>
      </w:pPr>
      <w:r>
        <w:rPr>
          <w:rFonts w:hint="eastAsia" w:ascii="黑体" w:hAnsi="黑体" w:eastAsia="黑体" w:cs="黑体"/>
          <w:color w:val="000000"/>
          <w:sz w:val="32"/>
          <w:szCs w:val="24"/>
        </w:rPr>
        <w:t>十四.公共安全（类）国家安全（款）事业运行（项）：</w:t>
      </w:r>
      <w:r>
        <w:rPr>
          <w:rFonts w:hint="eastAsia" w:ascii="Times New Roman" w:eastAsia="仿宋_GB2312" w:cs="仿宋_GB2312"/>
          <w:color w:val="auto"/>
          <w:sz w:val="32"/>
          <w:szCs w:val="32"/>
        </w:rPr>
        <w:t>是指为保障机构正常运转、完成日常工作任务而发生的人员支出和公用支出。</w:t>
      </w:r>
    </w:p>
    <w:p w14:paraId="5874A916">
      <w:pPr>
        <w:spacing w:line="576" w:lineRule="exact"/>
        <w:ind w:firstLine="641"/>
        <w:jc w:val="both"/>
        <w:rPr>
          <w:rFonts w:hint="eastAsia" w:ascii="Times New Roman" w:eastAsia="仿宋_GB2312" w:cs="仿宋_GB2312"/>
          <w:color w:val="auto"/>
          <w:sz w:val="32"/>
          <w:szCs w:val="32"/>
        </w:rPr>
      </w:pPr>
      <w:r>
        <w:rPr>
          <w:rFonts w:hint="eastAsia" w:ascii="黑体" w:hAnsi="黑体" w:eastAsia="黑体" w:cs="黑体"/>
          <w:color w:val="000000"/>
          <w:sz w:val="32"/>
          <w:szCs w:val="24"/>
        </w:rPr>
        <w:t>十五.文化旅游体育与传媒（类）文化和旅游（款）群众文化（项）</w:t>
      </w:r>
      <w:r>
        <w:rPr>
          <w:rFonts w:hint="eastAsia" w:ascii="黑体" w:hAnsi="黑体" w:eastAsia="黑体" w:cs="黑体"/>
          <w:color w:val="000000"/>
          <w:sz w:val="32"/>
          <w:szCs w:val="24"/>
          <w:lang w:eastAsia="zh-CN"/>
        </w:rPr>
        <w:t>：</w:t>
      </w:r>
      <w:r>
        <w:rPr>
          <w:rFonts w:hint="eastAsia" w:ascii="黑体" w:hAnsi="黑体" w:eastAsia="黑体" w:cs="黑体"/>
          <w:color w:val="000000"/>
          <w:sz w:val="32"/>
          <w:szCs w:val="24"/>
        </w:rPr>
        <w:t xml:space="preserve"> </w:t>
      </w:r>
      <w:r>
        <w:rPr>
          <w:rFonts w:hint="eastAsia" w:ascii="Times New Roman" w:eastAsia="仿宋_GB2312" w:cs="仿宋_GB2312"/>
          <w:color w:val="auto"/>
          <w:sz w:val="32"/>
          <w:szCs w:val="32"/>
        </w:rPr>
        <w:t>是指为保障机构正常运转、完成日常工作任务而发生的人员支出和公用支出。</w:t>
      </w:r>
    </w:p>
    <w:p w14:paraId="12C3DEF2">
      <w:pPr>
        <w:spacing w:line="576" w:lineRule="exact"/>
        <w:ind w:firstLine="641"/>
        <w:jc w:val="both"/>
        <w:rPr>
          <w:rFonts w:hint="eastAsia" w:ascii="Times New Roman" w:eastAsia="仿宋_GB2312" w:cs="仿宋_GB2312"/>
          <w:color w:val="auto"/>
          <w:sz w:val="32"/>
          <w:szCs w:val="32"/>
        </w:rPr>
      </w:pPr>
      <w:r>
        <w:rPr>
          <w:rFonts w:hint="eastAsia" w:ascii="黑体" w:hAnsi="黑体" w:eastAsia="黑体" w:cs="黑体"/>
          <w:color w:val="000000"/>
          <w:sz w:val="32"/>
          <w:szCs w:val="24"/>
        </w:rPr>
        <w:t>十六.社会保障和就业（类）社会保障和就业（款）机关事业单位基本养老保险缴费支持（项）：</w:t>
      </w:r>
      <w:r>
        <w:rPr>
          <w:rFonts w:hint="eastAsia" w:ascii="Times New Roman" w:eastAsia="仿宋_GB2312" w:cs="仿宋_GB2312"/>
          <w:color w:val="auto"/>
          <w:sz w:val="32"/>
          <w:szCs w:val="32"/>
        </w:rPr>
        <w:t>指为保障机构正常运行而发生的人员经费支出。</w:t>
      </w:r>
    </w:p>
    <w:p w14:paraId="310340FA">
      <w:pPr>
        <w:spacing w:line="576" w:lineRule="exact"/>
        <w:ind w:firstLine="641"/>
        <w:jc w:val="both"/>
        <w:rPr>
          <w:rFonts w:hint="eastAsia" w:ascii="Times New Roman" w:eastAsia="仿宋_GB2312" w:cs="仿宋_GB2312"/>
          <w:color w:val="auto"/>
          <w:sz w:val="32"/>
          <w:szCs w:val="32"/>
        </w:rPr>
      </w:pPr>
      <w:r>
        <w:rPr>
          <w:rFonts w:hint="eastAsia" w:ascii="黑体" w:hAnsi="黑体" w:eastAsia="黑体" w:cs="黑体"/>
          <w:color w:val="000000"/>
          <w:sz w:val="32"/>
          <w:szCs w:val="24"/>
        </w:rPr>
        <w:t>十七.医疗卫生与计划生育（类）行政事业单位医疗（款）行政单位医疗（项）：</w:t>
      </w:r>
      <w:r>
        <w:rPr>
          <w:rFonts w:hint="eastAsia" w:ascii="Times New Roman" w:eastAsia="仿宋_GB2312" w:cs="仿宋_GB2312"/>
          <w:color w:val="auto"/>
          <w:sz w:val="32"/>
          <w:szCs w:val="32"/>
        </w:rPr>
        <w:t>指为保障机构正常运行而发生的人员经费支出。</w:t>
      </w:r>
      <w:bookmarkStart w:id="48" w:name="page34"/>
      <w:bookmarkEnd w:id="48"/>
      <w:r>
        <w:rPr>
          <w:rFonts w:hint="eastAsia" w:ascii="Times New Roman" w:eastAsia="仿宋_GB2312" w:cs="仿宋_GB2312"/>
          <w:color w:val="auto"/>
          <w:sz w:val="32"/>
          <w:szCs w:val="32"/>
        </w:rPr>
        <w:t xml:space="preserve">  </w:t>
      </w:r>
    </w:p>
    <w:p w14:paraId="151919F5">
      <w:pPr>
        <w:spacing w:line="576" w:lineRule="exact"/>
        <w:ind w:firstLine="641"/>
        <w:jc w:val="both"/>
        <w:rPr>
          <w:rFonts w:hint="default"/>
          <w:color w:val="auto"/>
          <w:sz w:val="20"/>
          <w:szCs w:val="20"/>
        </w:rPr>
      </w:pPr>
      <w:r>
        <w:rPr>
          <w:rFonts w:hint="eastAsia" w:ascii="黑体" w:hAnsi="黑体" w:eastAsia="黑体" w:cs="黑体"/>
          <w:color w:val="000000"/>
          <w:sz w:val="32"/>
          <w:szCs w:val="24"/>
        </w:rPr>
        <w:t>十八.农林水（类）农村综合改革（款）对村民委员会和村党支部的补助（项）</w:t>
      </w:r>
      <w:r>
        <w:rPr>
          <w:rFonts w:hint="eastAsia" w:ascii="Times New Roman" w:eastAsia="仿宋" w:cs="仿宋"/>
          <w:color w:val="auto"/>
          <w:sz w:val="32"/>
          <w:szCs w:val="32"/>
        </w:rPr>
        <w:t>：</w:t>
      </w:r>
      <w:r>
        <w:rPr>
          <w:rFonts w:hint="eastAsia" w:ascii="Times New Roman" w:eastAsia="仿宋_GB2312" w:cs="仿宋_GB2312"/>
          <w:color w:val="auto"/>
          <w:sz w:val="32"/>
          <w:szCs w:val="32"/>
        </w:rPr>
        <w:t>指为保障村（社区）机构正常运转、完成日常工作任务而发生的人员支出和公用支出以及为完成特定行政任务和事业发展目标所发生的支出。</w:t>
      </w:r>
    </w:p>
    <w:p w14:paraId="26107220">
      <w:pPr>
        <w:spacing w:line="576" w:lineRule="exact"/>
        <w:ind w:firstLine="640" w:firstLineChars="200"/>
        <w:rPr>
          <w:rFonts w:hint="default"/>
          <w:color w:val="auto"/>
          <w:sz w:val="20"/>
          <w:szCs w:val="20"/>
        </w:rPr>
      </w:pPr>
      <w:r>
        <w:rPr>
          <w:rFonts w:hint="eastAsia" w:ascii="黑体" w:hAnsi="黑体" w:eastAsia="黑体" w:cs="黑体"/>
          <w:color w:val="000000"/>
          <w:sz w:val="32"/>
          <w:szCs w:val="24"/>
        </w:rPr>
        <w:t>十九.住房保障（类）住房改革支出（款）住房公积金（项）：</w:t>
      </w:r>
      <w:r>
        <w:rPr>
          <w:rFonts w:hint="eastAsia" w:ascii="Times New Roman" w:eastAsia="仿宋_GB2312" w:cs="仿宋_GB2312"/>
          <w:color w:val="auto"/>
          <w:sz w:val="32"/>
          <w:szCs w:val="32"/>
        </w:rPr>
        <w:t>指人员经费的住房公积金。</w:t>
      </w:r>
    </w:p>
    <w:p w14:paraId="715BCE88">
      <w:pPr>
        <w:spacing w:line="576" w:lineRule="exact"/>
        <w:ind w:firstLine="640" w:firstLineChars="200"/>
        <w:rPr>
          <w:rFonts w:hint="eastAsia" w:ascii="Times New Roman" w:eastAsia="仿宋_GB2312"/>
          <w:sz w:val="32"/>
          <w:szCs w:val="32"/>
        </w:rPr>
      </w:pPr>
      <w:r>
        <w:rPr>
          <w:rFonts w:hint="eastAsia" w:ascii="黑体" w:hAnsi="黑体" w:eastAsia="黑体" w:cs="黑体"/>
          <w:color w:val="000000"/>
          <w:sz w:val="32"/>
          <w:szCs w:val="24"/>
        </w:rPr>
        <w:t>二十.基本支出：</w:t>
      </w:r>
      <w:r>
        <w:rPr>
          <w:rFonts w:hint="eastAsia" w:ascii="Times New Roman" w:eastAsia="仿宋_GB2312" w:cs="仿宋_GB2312"/>
          <w:color w:val="auto"/>
          <w:sz w:val="32"/>
          <w:szCs w:val="32"/>
        </w:rPr>
        <w:t>指为保障机构正常运转、完成日常工作任务而发生的人员支出和公用支出。</w:t>
      </w:r>
    </w:p>
    <w:p w14:paraId="330A1BCB">
      <w:pPr>
        <w:spacing w:line="576" w:lineRule="exact"/>
        <w:ind w:firstLine="640" w:firstLineChars="200"/>
        <w:rPr>
          <w:rFonts w:hint="eastAsia" w:ascii="Times New Roman" w:eastAsia="仿宋_GB2312" w:cs="仿宋_GB2312"/>
          <w:sz w:val="32"/>
          <w:szCs w:val="32"/>
        </w:rPr>
      </w:pPr>
      <w:r>
        <w:rPr>
          <w:rFonts w:hint="eastAsia" w:ascii="黑体" w:hAnsi="黑体" w:eastAsia="黑体" w:cs="黑体"/>
          <w:color w:val="000000"/>
          <w:sz w:val="32"/>
          <w:szCs w:val="24"/>
        </w:rPr>
        <w:t>二十一.项目支出：</w:t>
      </w:r>
      <w:r>
        <w:rPr>
          <w:rFonts w:hint="eastAsia" w:ascii="Times New Roman" w:eastAsia="仿宋_GB2312" w:cs="仿宋_GB2312"/>
          <w:color w:val="auto"/>
          <w:sz w:val="32"/>
          <w:szCs w:val="32"/>
        </w:rPr>
        <w:t xml:space="preserve">指在基本支出之外为完成特定行政任务和事业发展目标所发生的支出。 </w:t>
      </w:r>
    </w:p>
    <w:p w14:paraId="2B9CB0E5">
      <w:pPr>
        <w:spacing w:line="576" w:lineRule="exact"/>
        <w:ind w:firstLine="640" w:firstLineChars="200"/>
        <w:rPr>
          <w:rFonts w:hint="eastAsia" w:ascii="Times New Roman" w:eastAsia="仿宋_GB2312"/>
          <w:sz w:val="32"/>
          <w:szCs w:val="32"/>
        </w:rPr>
      </w:pPr>
      <w:r>
        <w:rPr>
          <w:rFonts w:hint="eastAsia" w:ascii="黑体" w:hAnsi="黑体" w:eastAsia="黑体" w:cs="黑体"/>
          <w:color w:val="000000"/>
          <w:sz w:val="32"/>
          <w:szCs w:val="24"/>
        </w:rPr>
        <w:t>二十二.经营支出：</w:t>
      </w:r>
      <w:r>
        <w:rPr>
          <w:rFonts w:hint="eastAsia" w:ascii="Times New Roman" w:eastAsia="仿宋_GB2312" w:cs="仿宋_GB2312"/>
          <w:color w:val="auto"/>
          <w:sz w:val="32"/>
          <w:szCs w:val="32"/>
        </w:rPr>
        <w:t>指事业单位在专业业务活动及其辅助活动之外开展非独立核算经营活动发生的支出。</w:t>
      </w:r>
    </w:p>
    <w:p w14:paraId="5CFD654D">
      <w:pPr>
        <w:spacing w:line="576" w:lineRule="exact"/>
        <w:ind w:firstLine="640"/>
        <w:rPr>
          <w:rFonts w:hint="eastAsia" w:ascii="Times New Roman" w:eastAsia="仿宋_GB2312" w:cs="仿宋_GB2312"/>
          <w:color w:val="auto"/>
          <w:sz w:val="32"/>
          <w:szCs w:val="32"/>
        </w:rPr>
      </w:pPr>
      <w:r>
        <w:rPr>
          <w:rFonts w:hint="eastAsia" w:ascii="黑体" w:hAnsi="黑体" w:eastAsia="黑体" w:cs="黑体"/>
          <w:color w:val="000000"/>
          <w:sz w:val="32"/>
          <w:szCs w:val="24"/>
        </w:rPr>
        <w:t>二十三.“三公”经费：</w:t>
      </w:r>
      <w:r>
        <w:rPr>
          <w:rFonts w:hint="eastAsia" w:ascii="Times New Roman" w:eastAsia="仿宋_GB2312" w:cs="仿宋_GB2312"/>
          <w:color w:val="auto"/>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51E1E638">
      <w:pPr>
        <w:spacing w:line="576" w:lineRule="exact"/>
        <w:ind w:firstLine="640"/>
        <w:rPr>
          <w:rFonts w:hint="eastAsia" w:ascii="Times New Roman" w:eastAsia="仿宋_GB2312"/>
          <w:color w:val="000000"/>
          <w:sz w:val="32"/>
          <w:szCs w:val="24"/>
        </w:rPr>
      </w:pPr>
      <w:r>
        <w:rPr>
          <w:rFonts w:hint="eastAsia" w:ascii="黑体" w:hAnsi="黑体" w:eastAsia="黑体" w:cs="黑体"/>
          <w:color w:val="000000"/>
          <w:sz w:val="32"/>
          <w:szCs w:val="24"/>
        </w:rPr>
        <w:t>二十四.机关运行经费：</w:t>
      </w:r>
      <w:r>
        <w:rPr>
          <w:rFonts w:hint="eastAsia" w:ascii="Times New Roman" w:eastAsia="仿宋_GB2312"/>
          <w:color w:val="000000"/>
          <w:sz w:val="32"/>
          <w:szCs w:val="24"/>
        </w:rPr>
        <w:t>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bookmarkEnd w:id="46"/>
    <w:p w14:paraId="4C672DCA">
      <w:pPr>
        <w:keepNext/>
        <w:keepLines/>
        <w:spacing w:line="576" w:lineRule="exact"/>
        <w:jc w:val="center"/>
        <w:rPr>
          <w:rFonts w:hint="eastAsia" w:ascii="Times New Roman" w:eastAsia="黑体"/>
          <w:color w:val="000000"/>
          <w:kern w:val="2"/>
          <w:sz w:val="44"/>
          <w:szCs w:val="24"/>
        </w:rPr>
        <w:sectPr>
          <w:pgSz w:w="12240" w:h="15840"/>
          <w:pgMar w:top="2098" w:right="1474" w:bottom="1984" w:left="1587" w:header="720" w:footer="720" w:gutter="0"/>
          <w:lnNumType w:countBy="0" w:distance="360"/>
          <w:cols w:space="720" w:num="1"/>
        </w:sectPr>
      </w:pPr>
    </w:p>
    <w:p w14:paraId="2BBF9BF3">
      <w:pPr>
        <w:numPr>
          <w:ilvl w:val="0"/>
          <w:numId w:val="1"/>
        </w:numPr>
        <w:tabs>
          <w:tab w:val="center" w:pos="4482"/>
          <w:tab w:val="left" w:pos="7482"/>
        </w:tabs>
        <w:autoSpaceDE/>
        <w:autoSpaceDN/>
        <w:adjustRightInd/>
        <w:spacing w:line="576" w:lineRule="exact"/>
        <w:jc w:val="center"/>
        <w:rPr>
          <w:rFonts w:hint="eastAsia" w:ascii="Times New Roman" w:eastAsia="方正小标宋简体" w:cs="方正小标宋简体"/>
          <w:kern w:val="2"/>
          <w:sz w:val="44"/>
          <w:szCs w:val="44"/>
        </w:rPr>
      </w:pPr>
      <w:r>
        <w:rPr>
          <w:rFonts w:hint="eastAsia" w:ascii="Times New Roman" w:eastAsia="方正小标宋简体" w:cs="方正小标宋简体"/>
          <w:kern w:val="2"/>
          <w:sz w:val="44"/>
          <w:szCs w:val="44"/>
        </w:rPr>
        <w:t xml:space="preserve">  附件</w:t>
      </w:r>
    </w:p>
    <w:p w14:paraId="7E46F890">
      <w:pPr>
        <w:keepNext/>
        <w:keepLines/>
        <w:spacing w:line="576" w:lineRule="exact"/>
        <w:rPr>
          <w:rFonts w:hint="eastAsia" w:ascii="Times New Roman" w:eastAsia="黑体"/>
          <w:kern w:val="2"/>
          <w:sz w:val="32"/>
          <w:szCs w:val="24"/>
        </w:rPr>
      </w:pPr>
      <w:r>
        <w:rPr>
          <w:rFonts w:hint="eastAsia" w:ascii="Times New Roman" w:eastAsia="黑体"/>
          <w:kern w:val="2"/>
          <w:sz w:val="32"/>
          <w:szCs w:val="24"/>
        </w:rPr>
        <w:t>附件1</w:t>
      </w:r>
    </w:p>
    <w:p w14:paraId="6ACD9D90">
      <w:pPr>
        <w:numPr>
          <w:ilvl w:val="0"/>
          <w:numId w:val="0"/>
        </w:numPr>
        <w:tabs>
          <w:tab w:val="center" w:pos="4482"/>
          <w:tab w:val="left" w:pos="7482"/>
        </w:tabs>
        <w:autoSpaceDE/>
        <w:autoSpaceDN/>
        <w:adjustRightInd/>
        <w:spacing w:line="576" w:lineRule="exact"/>
        <w:jc w:val="center"/>
        <w:rPr>
          <w:rFonts w:hint="eastAsia" w:ascii="Times New Roman" w:eastAsia="方正小标宋简体" w:cs="方正小标宋简体"/>
          <w:kern w:val="2"/>
          <w:sz w:val="44"/>
          <w:szCs w:val="44"/>
        </w:rPr>
      </w:pPr>
      <w:r>
        <w:rPr>
          <w:rFonts w:hint="eastAsia" w:ascii="Times New Roman" w:eastAsia="方正小标宋简体" w:cs="方正小标宋简体"/>
          <w:kern w:val="2"/>
          <w:sz w:val="44"/>
          <w:szCs w:val="44"/>
        </w:rPr>
        <w:t>广元市昭化区太公镇人民政府</w:t>
      </w:r>
    </w:p>
    <w:p w14:paraId="18F4A6DF">
      <w:pPr>
        <w:numPr>
          <w:ilvl w:val="0"/>
          <w:numId w:val="0"/>
        </w:numPr>
        <w:tabs>
          <w:tab w:val="center" w:pos="4482"/>
          <w:tab w:val="left" w:pos="7482"/>
        </w:tabs>
        <w:autoSpaceDE/>
        <w:autoSpaceDN/>
        <w:adjustRightInd/>
        <w:spacing w:line="576" w:lineRule="exact"/>
        <w:jc w:val="center"/>
        <w:rPr>
          <w:rFonts w:hint="eastAsia" w:ascii="Times New Roman" w:eastAsia="方正小标宋简体" w:cs="方正小标宋简体"/>
          <w:kern w:val="2"/>
          <w:sz w:val="44"/>
          <w:szCs w:val="44"/>
        </w:rPr>
      </w:pPr>
      <w:r>
        <w:rPr>
          <w:rFonts w:hint="eastAsia" w:ascii="Times New Roman" w:eastAsia="方正小标宋简体" w:cs="方正小标宋简体"/>
          <w:kern w:val="2"/>
          <w:sz w:val="44"/>
          <w:szCs w:val="44"/>
        </w:rPr>
        <w:t>2023年</w:t>
      </w:r>
      <w:bookmarkStart w:id="49" w:name="OLE_LINK1"/>
      <w:r>
        <w:rPr>
          <w:rFonts w:hint="eastAsia" w:ascii="Times New Roman" w:eastAsia="方正小标宋简体" w:cs="方正小标宋简体"/>
          <w:kern w:val="2"/>
          <w:sz w:val="44"/>
          <w:szCs w:val="44"/>
        </w:rPr>
        <w:t>部门整体支出</w:t>
      </w:r>
      <w:bookmarkEnd w:id="49"/>
      <w:r>
        <w:rPr>
          <w:rFonts w:hint="eastAsia" w:ascii="Times New Roman" w:eastAsia="方正小标宋简体" w:cs="方正小标宋简体"/>
          <w:kern w:val="2"/>
          <w:sz w:val="44"/>
          <w:szCs w:val="44"/>
        </w:rPr>
        <w:t>绩效自评报告</w:t>
      </w:r>
    </w:p>
    <w:p w14:paraId="2ACC001E">
      <w:pPr>
        <w:autoSpaceDE/>
        <w:autoSpaceDN/>
        <w:adjustRightInd/>
        <w:spacing w:line="556" w:lineRule="exact"/>
        <w:jc w:val="center"/>
        <w:rPr>
          <w:rFonts w:hint="default"/>
          <w:sz w:val="44"/>
          <w:szCs w:val="44"/>
        </w:rPr>
      </w:pPr>
    </w:p>
    <w:p w14:paraId="06B61593">
      <w:pPr>
        <w:spacing w:line="576" w:lineRule="exact"/>
        <w:ind w:firstLine="640"/>
        <w:rPr>
          <w:rFonts w:hint="eastAsia" w:ascii="Times New Roman" w:eastAsia="仿宋_GB2312"/>
          <w:color w:val="000000"/>
          <w:sz w:val="32"/>
          <w:szCs w:val="24"/>
        </w:rPr>
      </w:pPr>
      <w:r>
        <w:rPr>
          <w:rFonts w:hint="eastAsia" w:ascii="Times New Roman" w:eastAsia="仿宋_GB2312"/>
          <w:color w:val="000000"/>
          <w:sz w:val="32"/>
          <w:szCs w:val="24"/>
        </w:rPr>
        <w:t>根据《广元市昭化区财政局关于开展2024年部门、政策和项目支出绩效评价工作的通知》（昭财发</w:t>
      </w:r>
      <w:r>
        <w:rPr>
          <w:rFonts w:hint="eastAsia" w:ascii="Times New Roman" w:eastAsia="仿宋_GB2312"/>
          <w:color w:val="000000"/>
          <w:sz w:val="32"/>
          <w:szCs w:val="24"/>
          <w:lang w:eastAsia="zh-CN"/>
        </w:rPr>
        <w:t>〔</w:t>
      </w:r>
      <w:r>
        <w:rPr>
          <w:rFonts w:hint="eastAsia" w:ascii="Times New Roman" w:eastAsia="仿宋_GB2312"/>
          <w:color w:val="000000"/>
          <w:sz w:val="32"/>
          <w:szCs w:val="24"/>
        </w:rPr>
        <w:t>2024</w:t>
      </w:r>
      <w:r>
        <w:rPr>
          <w:rFonts w:hint="eastAsia" w:ascii="Times New Roman" w:eastAsia="仿宋_GB2312"/>
          <w:color w:val="000000"/>
          <w:sz w:val="32"/>
          <w:szCs w:val="24"/>
          <w:lang w:eastAsia="zh-CN"/>
        </w:rPr>
        <w:t>〕</w:t>
      </w:r>
      <w:r>
        <w:rPr>
          <w:rFonts w:hint="eastAsia" w:ascii="Times New Roman" w:eastAsia="仿宋_GB2312"/>
          <w:color w:val="000000"/>
          <w:sz w:val="32"/>
          <w:szCs w:val="24"/>
        </w:rPr>
        <w:t>11号）文件要求，对我镇2023年部门整体支出绩效进行了全面自查，现将自查情况报告如下：</w:t>
      </w:r>
    </w:p>
    <w:p w14:paraId="066ADFDC">
      <w:pPr>
        <w:spacing w:line="576" w:lineRule="exact"/>
        <w:ind w:firstLine="640"/>
        <w:rPr>
          <w:rFonts w:hint="eastAsia" w:ascii="黑体" w:hAnsi="黑体" w:eastAsia="黑体" w:cs="黑体"/>
          <w:color w:val="000000"/>
          <w:sz w:val="32"/>
          <w:szCs w:val="24"/>
        </w:rPr>
      </w:pPr>
      <w:r>
        <w:rPr>
          <w:rFonts w:hint="eastAsia" w:ascii="黑体" w:hAnsi="黑体" w:eastAsia="黑体" w:cs="黑体"/>
          <w:color w:val="000000"/>
          <w:sz w:val="32"/>
          <w:szCs w:val="24"/>
        </w:rPr>
        <w:t>一、部门（单位）概况</w:t>
      </w:r>
    </w:p>
    <w:p w14:paraId="2A4EBEEE">
      <w:pPr>
        <w:autoSpaceDE/>
        <w:autoSpaceDN/>
        <w:adjustRightInd/>
        <w:spacing w:line="576" w:lineRule="exact"/>
        <w:ind w:firstLine="640" w:firstLineChars="200"/>
        <w:jc w:val="both"/>
        <w:rPr>
          <w:rFonts w:hint="eastAsia" w:ascii="Times New Roman" w:eastAsia="楷体_GB2312" w:cs="楷体_GB2312"/>
          <w:kern w:val="2"/>
          <w:sz w:val="32"/>
          <w:szCs w:val="32"/>
        </w:rPr>
      </w:pPr>
      <w:r>
        <w:rPr>
          <w:rFonts w:hint="eastAsia" w:ascii="Times New Roman" w:eastAsia="楷体_GB2312" w:cs="楷体_GB2312"/>
          <w:kern w:val="2"/>
          <w:sz w:val="32"/>
          <w:szCs w:val="32"/>
        </w:rPr>
        <w:t>（一）机构职能</w:t>
      </w:r>
    </w:p>
    <w:p w14:paraId="125558E2">
      <w:pPr>
        <w:spacing w:line="576" w:lineRule="exact"/>
        <w:ind w:firstLine="640"/>
        <w:rPr>
          <w:rFonts w:hint="eastAsia" w:ascii="Times New Roman" w:eastAsia="仿宋_GB2312"/>
          <w:color w:val="000000"/>
          <w:sz w:val="32"/>
          <w:szCs w:val="24"/>
        </w:rPr>
      </w:pPr>
      <w:r>
        <w:rPr>
          <w:rFonts w:hint="eastAsia" w:ascii="Times New Roman" w:eastAsia="仿宋_GB2312"/>
          <w:color w:val="000000"/>
          <w:sz w:val="32"/>
          <w:szCs w:val="24"/>
        </w:rPr>
        <w:t>1.贯彻落实党的路线方针政策和国家法律法规，制定并执行本级人民代表大会的决议和上级国家行政机关的决定和命令，加强农村基层政权建设，巩固党在农村的执政基础。</w:t>
      </w:r>
    </w:p>
    <w:p w14:paraId="1E769792">
      <w:pPr>
        <w:spacing w:line="576" w:lineRule="exact"/>
        <w:ind w:firstLine="640"/>
        <w:rPr>
          <w:rFonts w:hint="eastAsia" w:ascii="Times New Roman" w:eastAsia="仿宋_GB2312"/>
          <w:color w:val="000000"/>
          <w:sz w:val="32"/>
          <w:szCs w:val="24"/>
        </w:rPr>
      </w:pPr>
      <w:r>
        <w:rPr>
          <w:rFonts w:hint="eastAsia" w:ascii="Times New Roman" w:eastAsia="仿宋_GB2312"/>
          <w:color w:val="000000"/>
          <w:sz w:val="32"/>
          <w:szCs w:val="24"/>
        </w:rPr>
        <w:t>2.组织编制本行政区域经济社会发展规划和镇国土空间规划、村（社区）规划等相关规划。组织实施产业发展和基础设施建设，积极推动各项民生事业发展。负责职责范围内的自然资源保护和开发利用、生态环境污染防治等工作。优化营商环境，为项目投资促进提供保障。组织农村基础设施和各项公益事业建设，实施乡村振兴战略，加快经济社会发展，改善人民群众生产生活环境。</w:t>
      </w:r>
    </w:p>
    <w:p w14:paraId="77AF8F09">
      <w:pPr>
        <w:spacing w:line="576" w:lineRule="exact"/>
        <w:ind w:firstLine="640"/>
        <w:rPr>
          <w:rFonts w:hint="eastAsia" w:ascii="Times New Roman" w:eastAsia="仿宋_GB2312"/>
          <w:color w:val="000000"/>
          <w:sz w:val="32"/>
          <w:szCs w:val="24"/>
        </w:rPr>
      </w:pPr>
      <w:r>
        <w:rPr>
          <w:rFonts w:hint="eastAsia" w:ascii="Times New Roman" w:eastAsia="仿宋_GB2312"/>
          <w:color w:val="000000"/>
          <w:sz w:val="32"/>
          <w:szCs w:val="24"/>
        </w:rPr>
        <w:t>3.指导农村经济发展，推进农业经济结构调整，促进经济增长方式转变，促进农业增效、农民增收。</w:t>
      </w:r>
    </w:p>
    <w:p w14:paraId="05E57975">
      <w:pPr>
        <w:spacing w:line="576" w:lineRule="exact"/>
        <w:ind w:firstLine="640"/>
        <w:rPr>
          <w:rFonts w:hint="eastAsia" w:ascii="Times New Roman" w:eastAsia="仿宋_GB2312"/>
          <w:color w:val="000000"/>
          <w:sz w:val="32"/>
          <w:szCs w:val="24"/>
        </w:rPr>
      </w:pPr>
      <w:r>
        <w:rPr>
          <w:rFonts w:hint="eastAsia" w:ascii="Times New Roman" w:eastAsia="仿宋_GB2312"/>
          <w:color w:val="000000"/>
          <w:sz w:val="32"/>
          <w:szCs w:val="24"/>
        </w:rPr>
        <w:t>4.加强农村公共服务体系建设，落实审批制度便民化措施，全面提高党群服务能力和政务服务水平。研究制定各项社会事业发展规划，加大各项民生建设和保障力度，做好民生兜底保障工作，构建公共服务均等化体系，促进农村社会事业健康有序发展。</w:t>
      </w:r>
    </w:p>
    <w:p w14:paraId="6F30C1E7">
      <w:pPr>
        <w:spacing w:line="576" w:lineRule="exact"/>
        <w:ind w:firstLine="640"/>
        <w:rPr>
          <w:rFonts w:hint="eastAsia" w:ascii="Times New Roman" w:eastAsia="仿宋_GB2312"/>
          <w:color w:val="000000"/>
          <w:sz w:val="32"/>
          <w:szCs w:val="24"/>
        </w:rPr>
      </w:pPr>
      <w:r>
        <w:rPr>
          <w:rFonts w:hint="eastAsia" w:ascii="Times New Roman" w:eastAsia="仿宋_GB2312"/>
          <w:color w:val="000000"/>
          <w:sz w:val="32"/>
          <w:szCs w:val="24"/>
        </w:rPr>
        <w:t>5.推进基层民主法制建设，加强普法和依法治理，指导村（居）民委员会工作，维护群众合法权益。根据法律法规和授权负责镇域内综合行政执法工作，统筹协调辖区内派驻（出）机构和人员，依法履行行政处罚、监督检查等管理权限。</w:t>
      </w:r>
    </w:p>
    <w:p w14:paraId="5596810D">
      <w:pPr>
        <w:spacing w:line="576" w:lineRule="exact"/>
        <w:ind w:firstLine="640"/>
        <w:rPr>
          <w:rFonts w:hint="eastAsia" w:ascii="Times New Roman" w:eastAsia="仿宋_GB2312"/>
          <w:color w:val="000000"/>
          <w:sz w:val="32"/>
          <w:szCs w:val="24"/>
        </w:rPr>
      </w:pPr>
      <w:r>
        <w:rPr>
          <w:rFonts w:hint="eastAsia" w:ascii="Times New Roman" w:eastAsia="仿宋_GB2312"/>
          <w:color w:val="000000"/>
          <w:sz w:val="32"/>
          <w:szCs w:val="24"/>
        </w:rPr>
        <w:t>6.承担辖区平安建设、社会治安综合治理、公共安全、安全生产及应急管理等有关工作，处理群众来信来访，反映社情民意，化解矛盾纠纷，维护社会安全稳定。</w:t>
      </w:r>
    </w:p>
    <w:p w14:paraId="6609471E">
      <w:pPr>
        <w:spacing w:line="576" w:lineRule="exact"/>
        <w:ind w:firstLine="640"/>
        <w:rPr>
          <w:rFonts w:hint="eastAsia" w:ascii="Times New Roman" w:eastAsia="仿宋_GB2312"/>
          <w:color w:val="000000"/>
          <w:sz w:val="32"/>
          <w:szCs w:val="24"/>
        </w:rPr>
      </w:pPr>
      <w:r>
        <w:rPr>
          <w:rFonts w:hint="eastAsia" w:ascii="Times New Roman" w:eastAsia="仿宋_GB2312"/>
          <w:color w:val="000000"/>
          <w:sz w:val="32"/>
          <w:szCs w:val="24"/>
        </w:rPr>
        <w:t>7.做好国防教育和兵役等工作。</w:t>
      </w:r>
    </w:p>
    <w:p w14:paraId="28319EA8">
      <w:pPr>
        <w:spacing w:line="576" w:lineRule="exact"/>
        <w:ind w:firstLine="640"/>
        <w:rPr>
          <w:rFonts w:hint="eastAsia" w:ascii="Times New Roman" w:eastAsia="仿宋_GB2312"/>
          <w:color w:val="000000"/>
          <w:sz w:val="32"/>
          <w:szCs w:val="24"/>
        </w:rPr>
      </w:pPr>
      <w:r>
        <w:rPr>
          <w:rFonts w:hint="eastAsia" w:ascii="Times New Roman" w:eastAsia="仿宋_GB2312"/>
          <w:color w:val="000000"/>
          <w:sz w:val="32"/>
          <w:szCs w:val="24"/>
        </w:rPr>
        <w:t>8.负责制定完善乡镇行政权力清单、乡镇权力责任清单、乡镇属地事项责任清单，建立清单动态调整和公示机制，推进政务公开，接受群众监督，增强政府公信力。</w:t>
      </w:r>
    </w:p>
    <w:p w14:paraId="77B3089D">
      <w:pPr>
        <w:spacing w:line="576" w:lineRule="exact"/>
        <w:ind w:firstLine="640"/>
        <w:rPr>
          <w:rFonts w:hint="eastAsia" w:ascii="Times New Roman" w:eastAsia="仿宋_GB2312"/>
          <w:color w:val="000000"/>
          <w:sz w:val="32"/>
          <w:szCs w:val="24"/>
        </w:rPr>
      </w:pPr>
      <w:r>
        <w:rPr>
          <w:rFonts w:hint="eastAsia" w:ascii="Times New Roman" w:eastAsia="仿宋_GB2312"/>
          <w:color w:val="000000"/>
          <w:sz w:val="32"/>
          <w:szCs w:val="24"/>
        </w:rPr>
        <w:t>9.承担</w:t>
      </w:r>
      <w:r>
        <w:rPr>
          <w:rFonts w:hint="eastAsia" w:ascii="Times New Roman" w:eastAsia="仿宋_GB2312"/>
          <w:color w:val="000000"/>
          <w:sz w:val="32"/>
          <w:szCs w:val="24"/>
          <w:lang w:eastAsia="zh-CN"/>
        </w:rPr>
        <w:t>法律法规</w:t>
      </w:r>
      <w:r>
        <w:rPr>
          <w:rFonts w:hint="eastAsia" w:ascii="Times New Roman" w:eastAsia="仿宋_GB2312"/>
          <w:color w:val="000000"/>
          <w:sz w:val="32"/>
          <w:szCs w:val="24"/>
        </w:rPr>
        <w:t>、规章规定的其他职能和上级党委、政府交办的其他任务。</w:t>
      </w:r>
    </w:p>
    <w:p w14:paraId="473312EF">
      <w:pPr>
        <w:autoSpaceDE/>
        <w:autoSpaceDN/>
        <w:adjustRightInd/>
        <w:spacing w:line="576" w:lineRule="exact"/>
        <w:ind w:firstLine="640" w:firstLineChars="200"/>
        <w:jc w:val="both"/>
        <w:rPr>
          <w:rFonts w:hint="eastAsia" w:ascii="Times New Roman" w:eastAsia="楷体_GB2312" w:cs="楷体_GB2312"/>
          <w:kern w:val="2"/>
          <w:sz w:val="32"/>
          <w:szCs w:val="32"/>
        </w:rPr>
      </w:pPr>
      <w:r>
        <w:rPr>
          <w:rFonts w:hint="eastAsia" w:ascii="Times New Roman" w:eastAsia="楷体_GB2312" w:cs="楷体_GB2312"/>
          <w:kern w:val="2"/>
          <w:sz w:val="32"/>
          <w:szCs w:val="32"/>
        </w:rPr>
        <w:t>（二）机构组成</w:t>
      </w:r>
    </w:p>
    <w:p w14:paraId="393E50B5">
      <w:pPr>
        <w:spacing w:line="576" w:lineRule="exact"/>
        <w:ind w:firstLine="640"/>
        <w:rPr>
          <w:rFonts w:hint="eastAsia" w:ascii="Times New Roman" w:eastAsia="仿宋_GB2312"/>
          <w:color w:val="000000"/>
          <w:sz w:val="32"/>
          <w:szCs w:val="24"/>
        </w:rPr>
      </w:pPr>
      <w:bookmarkStart w:id="50" w:name="OLE_LINK2"/>
      <w:r>
        <w:rPr>
          <w:rFonts w:hint="eastAsia" w:ascii="Times New Roman" w:eastAsia="仿宋_GB2312"/>
          <w:color w:val="000000"/>
          <w:sz w:val="32"/>
          <w:szCs w:val="24"/>
        </w:rPr>
        <w:t>太公镇人民政府属一级预算单位，主要包括：党政综合与乡村振兴办公室、党建工作办公室、综合行政执法办公室、社会事务办公室、经济发展办公室、社会治理工作办公室、财政所、便民服务中心、农业综合服务中心、乡村建设和文化旅游服务中心、农民工服务中心。</w:t>
      </w:r>
    </w:p>
    <w:bookmarkEnd w:id="50"/>
    <w:p w14:paraId="4D18DA6C">
      <w:pPr>
        <w:autoSpaceDE/>
        <w:autoSpaceDN/>
        <w:adjustRightInd/>
        <w:spacing w:line="576" w:lineRule="exact"/>
        <w:ind w:firstLine="640" w:firstLineChars="200"/>
        <w:jc w:val="both"/>
        <w:rPr>
          <w:rFonts w:hint="eastAsia" w:ascii="Times New Roman" w:eastAsia="楷体_GB2312" w:cs="楷体_GB2312"/>
          <w:kern w:val="2"/>
          <w:sz w:val="32"/>
          <w:szCs w:val="32"/>
        </w:rPr>
      </w:pPr>
      <w:r>
        <w:rPr>
          <w:rFonts w:hint="eastAsia" w:ascii="Times New Roman" w:eastAsia="楷体_GB2312" w:cs="楷体_GB2312"/>
          <w:kern w:val="2"/>
          <w:sz w:val="32"/>
          <w:szCs w:val="32"/>
        </w:rPr>
        <w:t>（三）人员概况</w:t>
      </w:r>
    </w:p>
    <w:p w14:paraId="0EA0A149">
      <w:pPr>
        <w:spacing w:line="576" w:lineRule="exact"/>
        <w:ind w:firstLine="640"/>
        <w:rPr>
          <w:rFonts w:hint="eastAsia" w:ascii="Times New Roman" w:eastAsia="仿宋_GB2312"/>
          <w:color w:val="000000"/>
          <w:sz w:val="32"/>
          <w:szCs w:val="24"/>
        </w:rPr>
      </w:pPr>
      <w:r>
        <w:rPr>
          <w:rFonts w:hint="eastAsia" w:ascii="Times New Roman" w:eastAsia="仿宋_GB2312"/>
          <w:color w:val="000000"/>
          <w:sz w:val="32"/>
          <w:szCs w:val="24"/>
        </w:rPr>
        <w:t>太公镇人民政府共有编制63名，其中：行政人员28名，事业人员32名，工勤编制3名。2023年末部门决算实有在职编制内人员60人，其中：公务员27人，事业人员24人，工勤人员9人（其中行政工勤3人）。按财政供给率分，均为全额财政拨款供给。本单位退休人员40人，其中：行政人员22名，事业人员16名，工勤人员2名；其他人员有14人，其中：遗属12人，临时炊事人员2人。</w:t>
      </w:r>
    </w:p>
    <w:p w14:paraId="736C43D2">
      <w:pPr>
        <w:autoSpaceDE/>
        <w:autoSpaceDN/>
        <w:adjustRightInd/>
        <w:spacing w:line="576" w:lineRule="exact"/>
        <w:ind w:firstLine="640" w:firstLineChars="200"/>
        <w:jc w:val="both"/>
        <w:rPr>
          <w:rFonts w:hint="eastAsia" w:ascii="Times New Roman" w:eastAsia="楷体_GB2312" w:cs="楷体_GB2312"/>
          <w:kern w:val="2"/>
          <w:sz w:val="32"/>
          <w:szCs w:val="32"/>
        </w:rPr>
      </w:pPr>
      <w:r>
        <w:rPr>
          <w:rFonts w:hint="eastAsia" w:ascii="Times New Roman" w:eastAsia="楷体_GB2312" w:cs="楷体_GB2312"/>
          <w:kern w:val="2"/>
          <w:sz w:val="32"/>
          <w:szCs w:val="32"/>
        </w:rPr>
        <w:t>（四）当年重点工作任务概述</w:t>
      </w:r>
    </w:p>
    <w:p w14:paraId="3D814945">
      <w:pPr>
        <w:spacing w:line="576" w:lineRule="exact"/>
        <w:ind w:firstLine="640"/>
        <w:rPr>
          <w:rFonts w:hint="eastAsia" w:ascii="Times New Roman" w:eastAsia="仿宋_GB2312"/>
          <w:color w:val="000000"/>
          <w:sz w:val="32"/>
          <w:szCs w:val="24"/>
        </w:rPr>
      </w:pPr>
      <w:r>
        <w:rPr>
          <w:rFonts w:hint="eastAsia" w:ascii="Times New Roman" w:eastAsia="仿宋_GB2312"/>
          <w:color w:val="000000"/>
          <w:sz w:val="32"/>
          <w:szCs w:val="24"/>
        </w:rPr>
        <w:t>（一）镇域经济蓬勃发展。按照“新上项目抓协调、在建项目抓进度、竣工项目抓投产”的思路，突出问题导向，抓重点、攻难点、寻突破，三红砖厂技改、糖果农业园区和周转房建设项目完成竣工，成功盘活闲置3年多的白头村原苕粉加工厂，开工政府投资类项目60个，总投资3388.496万元，固定投资项目新增入库项目3个，总投资3737.4万元。深入整治“拖、庸、懒、散”，第一时间协调兑现区委、区政府出台的各项优惠政策，切实做好水电路等服务保障，全力打造最优营商环境，高质量举办2023下半年招商引资暨中药材订单种植集中签约活动，成功签约招商引资项目7个，开工6个，完成到位资金8634万元，完成率215.9%。</w:t>
      </w:r>
    </w:p>
    <w:p w14:paraId="1159BCA0">
      <w:pPr>
        <w:spacing w:line="576" w:lineRule="exact"/>
        <w:ind w:firstLine="640"/>
        <w:rPr>
          <w:rFonts w:hint="eastAsia" w:ascii="Times New Roman" w:eastAsia="仿宋_GB2312"/>
          <w:color w:val="000000"/>
          <w:sz w:val="32"/>
          <w:szCs w:val="24"/>
        </w:rPr>
      </w:pPr>
      <w:r>
        <w:rPr>
          <w:rFonts w:hint="eastAsia" w:ascii="Times New Roman" w:eastAsia="仿宋_GB2312"/>
          <w:color w:val="000000"/>
          <w:sz w:val="32"/>
          <w:szCs w:val="24"/>
        </w:rPr>
        <w:t>（二）产业发展势头强劲。紧紧牵住产业兴旺‘牛鼻子’，引导支持各村因地制宜调整农业产业结构，目前全镇初步形成‘一村一特色’产业格局。每季度组织开展村级产业发展“大比武”，由镇党委书记和镇长带队赴各村特色产业示范点现场讨论点评和打分评价，并召开座谈会深入分析各村产业发展面临的形势和改进措施，推动形成奋勇争先、比学赶超的氛围。全镇种植水稻2761.9亩、玉米13998亩、大豆13625.5亩，因旱灾完成水改旱7463亩，高质量承办全区大豆推技术提单产专题培训班暨现场观摩会。种植烤烟1025亩，预计可增收160万元；林下中药材种植项目总投资1040万元，将建设规范化中药材种植基地9000亩，预计实现亩均收入3000至4000元。现有生猪规模场25个，新增规模肉牛养殖场2个、肉羊养殖场1个、规模肉牛羊标准化示范场2个，存栏能繁母猪1140头、肉牛2900头、肉羊4800只，出栏生猪7.1万头、剑门关土鸡140万羽、肉牛1400头、肉羊7480只，广元市智宇牧业有限公司（黄金村肉牛养殖场）成功创建为2023年四川省畜禽标准化养殖场。</w:t>
      </w:r>
    </w:p>
    <w:p w14:paraId="170C9658">
      <w:pPr>
        <w:spacing w:line="576" w:lineRule="exact"/>
        <w:ind w:firstLine="640"/>
        <w:rPr>
          <w:rFonts w:hint="eastAsia" w:ascii="Times New Roman" w:eastAsia="仿宋_GB2312"/>
          <w:color w:val="000000"/>
          <w:sz w:val="32"/>
          <w:szCs w:val="24"/>
        </w:rPr>
      </w:pPr>
      <w:r>
        <w:rPr>
          <w:rFonts w:hint="eastAsia" w:ascii="Times New Roman" w:eastAsia="仿宋_GB2312"/>
          <w:color w:val="000000"/>
          <w:sz w:val="32"/>
          <w:szCs w:val="24"/>
        </w:rPr>
        <w:t>（三）镇村面貌精彩蝶变。牢固树立“绿水青山就是金山银山”理念，全力推进“五化”行动，在国道沿线栽植28公里花卉景观带。开展村庄清洁行动，加大高峰、八一、自力等水库保护力度，常态化清理河库“四乱”问题，严格落实长江流域“十年禁捕”要求，常态化保持主要河流出境断面水质稳定达到Ⅱ类以上。新建秸秆利用厂房2000平方米，有效解决秸秆焚烧难题。扎实开展农村人居环境整治专项行动，积极推进“厕所革命”，严格落实日调度、周通报、月考核机制，大力开展“五示范、五模范”和环境卫生“红黑榜”评选活动，引导村民养成“一美、二好、三干净”的良好习惯。太公岭村入选首批四川传统村落名录。</w:t>
      </w:r>
    </w:p>
    <w:p w14:paraId="02906CD8">
      <w:pPr>
        <w:spacing w:line="576" w:lineRule="exact"/>
        <w:ind w:firstLine="640"/>
        <w:rPr>
          <w:rFonts w:hint="eastAsia" w:ascii="Times New Roman" w:eastAsia="仿宋_GB2312"/>
          <w:color w:val="000000"/>
          <w:sz w:val="32"/>
          <w:szCs w:val="24"/>
        </w:rPr>
      </w:pPr>
      <w:r>
        <w:rPr>
          <w:rFonts w:hint="eastAsia" w:ascii="Times New Roman" w:eastAsia="仿宋_GB2312"/>
          <w:color w:val="000000"/>
          <w:sz w:val="32"/>
          <w:szCs w:val="24"/>
        </w:rPr>
        <w:t>（四）基础设施日益完善。始终把集镇建设作为镇村建设的核心，集镇风貌改造一期工程全面完工，红军山烈士陈列馆、停车位等基础设施配套建设，集镇宜居综合体初现雏形。启动太公场镇、黄龙场镇、张家场镇污水管网排查问题整治，加快推进太公岭村传统村落保护利用、干部周转房建设和场埃村以工代赈等项目建设，完成太公小学、学堂街、派出所污水处理站验收与移交。投入资金2000余万元，完成嘉陵江向高峰水库提水工程和新建高峰水厂项目，有效解决太公2万余群众生产生活用水问题。抢抓G212农旅融合示范带建设机遇，统筹城镇和乡村建设，做好做实国土空间规划，加强农房建设审批管理和风貌管控，巩固提升全域新村建设成果，切实增强全镇百姓的幸福感、获得感。</w:t>
      </w:r>
    </w:p>
    <w:p w14:paraId="6C323DEC">
      <w:pPr>
        <w:spacing w:line="576" w:lineRule="exact"/>
        <w:ind w:firstLine="640"/>
        <w:rPr>
          <w:rFonts w:hint="eastAsia" w:ascii="Times New Roman" w:eastAsia="仿宋_GB2312"/>
          <w:color w:val="000000"/>
          <w:sz w:val="32"/>
          <w:szCs w:val="24"/>
        </w:rPr>
      </w:pPr>
      <w:r>
        <w:rPr>
          <w:rFonts w:hint="eastAsia" w:ascii="Times New Roman" w:eastAsia="仿宋_GB2312"/>
          <w:color w:val="000000"/>
          <w:sz w:val="32"/>
          <w:szCs w:val="24"/>
        </w:rPr>
        <w:t>（五）民生福祉成果丰硕。不断健全驻外镇级流动人才党支部及流动人才（农民工）工作站工作机制，高质量推进劳务专业合作社规范化运行，实现就业信息线上线下共享，打造全链条劳务输出服务模式，连续三年组织千名农民工赴长三角等地区务工就业并被中央电视台报道。全力支持教育事业优先发展，不断改善学校硬件设施，积极落实控辍保学和学生资助政策，全年全镇无一人适龄儿童辍学，无一人因贫困退学。积极开展医疗服务，加强医疗知识政策宣讲，全年对脱贫户、监测户、老人户、特殊困难户等免费诊疗健康体检9600人次，实现各村规范化中医阁建设、医保报账全覆盖，城乡居民医疗保险应保尽保，太公镇荣获2022年广元市无偿献血先进单位，张家村荣获2022年四川省卫生村。持续加强农村弱势群体关爱，积极推广“三个三”居家养老巡访探视网格化服务，全覆盖建立未成年人保护工作站，常态化开展关爱活动。成功承办全区入伍新兵向先烈敬献花篮仪式以及全区烈士纪念日公祭活动，缅怀革命先烈，弘扬英烈精神。</w:t>
      </w:r>
    </w:p>
    <w:p w14:paraId="44E77E98">
      <w:pPr>
        <w:spacing w:line="576" w:lineRule="exact"/>
        <w:ind w:firstLine="640"/>
        <w:rPr>
          <w:rFonts w:hint="eastAsia" w:ascii="Times New Roman" w:eastAsia="仿宋_GB2312"/>
          <w:color w:val="000000"/>
          <w:sz w:val="32"/>
          <w:szCs w:val="24"/>
        </w:rPr>
      </w:pPr>
      <w:r>
        <w:rPr>
          <w:rFonts w:hint="eastAsia" w:ascii="Times New Roman" w:eastAsia="仿宋_GB2312"/>
          <w:color w:val="000000"/>
          <w:sz w:val="32"/>
          <w:szCs w:val="24"/>
        </w:rPr>
        <w:t>（六）乡村治理更加有力。大力推行‘镇党委干部+村两委干部+党员’的党建引领基层治理模式，建立健全农村社会治安风险隐患排查处置机制，定期走访群众，摸清掌握社情民意，及时化解矛盾。完成区、镇、村三级网络治理平台互联互通，每月通过“四川e治采”上报镇村矛盾纠纷，开展特殊重点人群走访等工作。常态化开展扫黑除恶斗争，巩固区级平安乡镇成效，努力创建省级平安乡镇，不断深化“六无”平安村（社区）、平安家庭创建，白头村获评全区“十佳村级群众说事服务站”。科学完善应急管理组织体系，加强应急救援队伍建设，做好应急物资储备工作，常态化开展应急演练，防灾减灾救灾能力进一步提升。认真开展道路交通、自建房、建筑施工、森林防灭火等重点领域隐患排查整治，全年未发生较大及以上生产安全事故，无森林火情发生。</w:t>
      </w:r>
    </w:p>
    <w:p w14:paraId="681BD44B">
      <w:pPr>
        <w:spacing w:line="576" w:lineRule="exact"/>
        <w:ind w:firstLine="640"/>
        <w:rPr>
          <w:rFonts w:hint="eastAsia" w:ascii="Times New Roman" w:eastAsia="仿宋_GB2312"/>
          <w:color w:val="000000"/>
          <w:sz w:val="32"/>
          <w:szCs w:val="24"/>
        </w:rPr>
      </w:pPr>
      <w:r>
        <w:rPr>
          <w:rFonts w:hint="eastAsia" w:ascii="Times New Roman" w:eastAsia="仿宋_GB2312"/>
          <w:color w:val="000000"/>
          <w:sz w:val="32"/>
          <w:szCs w:val="24"/>
        </w:rPr>
        <w:t>（七）文明新风蔚然成风。积极开展新时代文明乡风文明建设十大行动和文明新风道德积分评定活动，持续推动乡村振兴“百千万”工程，参加省区市魅力乡镇演出并获得“市级魅力乡镇”称号，徐旭同志被评为广元市十大乡村代言人。全面推行村规民约和“红白理事会”管理机制，有效遏制大操大办、高价彩礼、厚葬薄养、人情攀比等陈规陋习。大力开展“身边好人”“好婆婆”“好儿媳”等先进典型选树活动，表扬孝老敬亲、邻里和睦、庭院整洁、勤劳致富、带头移风易俗的先进典型30余人。深入实施优秀传统文化保护传承工程，加强传统村落、乡村文脉保护传承，何万全、陈褚被评为广元市十大乡土文化能人，太公红军山成功创建为广元市中小学生研学旅行实践教育基地，太公胡氏狮灯成功创建为昭化区第四批非物质文化遗产。</w:t>
      </w:r>
    </w:p>
    <w:p w14:paraId="6F62B77F">
      <w:pPr>
        <w:spacing w:line="576" w:lineRule="exact"/>
        <w:ind w:firstLine="640"/>
        <w:rPr>
          <w:rFonts w:hint="eastAsia" w:ascii="Times New Roman" w:eastAsia="仿宋_GB2312"/>
          <w:color w:val="000000"/>
          <w:sz w:val="32"/>
          <w:szCs w:val="24"/>
        </w:rPr>
      </w:pPr>
      <w:r>
        <w:rPr>
          <w:rFonts w:hint="eastAsia" w:ascii="Times New Roman" w:eastAsia="仿宋_GB2312"/>
          <w:color w:val="000000"/>
          <w:sz w:val="32"/>
          <w:szCs w:val="24"/>
        </w:rPr>
        <w:t>（八）党的建设不断加强。严格落实“第一议题”，常态化抓实党委会、中心组理论学习，组建基层理论宣讲小分队6支，举办院坝会、研讨会30余场。深入开展基层党建六项工作大排查，围绕党费收缴、党员发展、三会一课等关键环节，推进20余个党务问题整改销号。充分发挥党建引领作用，肉牛羊养殖、水利设施建设、劳务专合社等工作经验多次被省市主流媒体报道。严格落实意识形态工作责任制，强化每月网络舆情监管和分析研判，扎实做好新时代文明实践所（站）提升工程。扎实推动区委巡察太公镇暨直接巡察村反馈问题整改工作有序进行，组织开展落实主体责任监督检查2次，听取镇纪委和各村（社区）党组织党风廉政建设工作汇报各1次，组织开展线上线下各类警示教育12次，组织讲廉政党课9场次。坚持以案件查办为引领，监督检查逗硬落实，发出纪律监察建议书8份，运用“四种形态”处理干部12人，全年查处违纪违法案件共7件，其中监督检查发现问题线索处理干部14人，组织处理7人，立案查处违纪违法干部5人。</w:t>
      </w:r>
    </w:p>
    <w:p w14:paraId="1944CCB7">
      <w:pPr>
        <w:spacing w:line="576" w:lineRule="exact"/>
        <w:ind w:firstLine="640"/>
        <w:rPr>
          <w:rFonts w:hint="eastAsia" w:ascii="Times New Roman" w:eastAsia="仿宋_GB2312"/>
          <w:color w:val="000000"/>
          <w:sz w:val="32"/>
          <w:szCs w:val="24"/>
        </w:rPr>
      </w:pPr>
      <w:r>
        <w:rPr>
          <w:rFonts w:hint="eastAsia" w:ascii="Times New Roman" w:eastAsia="仿宋_GB2312"/>
          <w:color w:val="000000"/>
          <w:sz w:val="32"/>
          <w:szCs w:val="24"/>
        </w:rPr>
        <w:t>（九）主题教育有力推进。坚持把学习贯彻习近平新时代中国特色社会主义思想主题教育作为当前的首要政治任务，科学制定基层党支部学习计划表，把必学教材纳入理论学习中心组和各支部学习内容。充分发挥班子成员的示范带动作用，开展专题研讨4次，理论学习中心组专题学习1次，收集整理意见建议10余条。各基层党支部运用“学习强国”“四川党建网”“昭化组工”等学习平台，结合“三会一课”“主题党日活动”，组织党员干部开展学习研讨420余人次。用好用活太公红军山红色资源，组织镇干部和区内外党员开展党性教育活动4次。贴近群众关心的急难愁盼，选树7名在民政、卫生和村建等岗位的模范党员干部，号召全镇干部开展立足岗位作奉献活动60余人次，不断激发党员干部学在前列、干在实处的干事创业活力。</w:t>
      </w:r>
    </w:p>
    <w:p w14:paraId="0720A17E">
      <w:pPr>
        <w:autoSpaceDE/>
        <w:autoSpaceDN/>
        <w:adjustRightInd/>
        <w:spacing w:line="556"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二、部门（单位）收支情况</w:t>
      </w:r>
    </w:p>
    <w:p w14:paraId="6E02438F">
      <w:pPr>
        <w:autoSpaceDE/>
        <w:autoSpaceDN/>
        <w:adjustRightInd/>
        <w:spacing w:line="576" w:lineRule="exact"/>
        <w:ind w:firstLine="640" w:firstLineChars="200"/>
        <w:jc w:val="both"/>
        <w:rPr>
          <w:rFonts w:hint="eastAsia" w:ascii="Times New Roman" w:eastAsia="楷体_GB2312" w:cs="楷体_GB2312"/>
          <w:kern w:val="2"/>
          <w:sz w:val="32"/>
          <w:szCs w:val="32"/>
        </w:rPr>
      </w:pPr>
      <w:r>
        <w:rPr>
          <w:rFonts w:hint="eastAsia" w:ascii="Times New Roman" w:eastAsia="楷体_GB2312" w:cs="楷体_GB2312"/>
          <w:kern w:val="2"/>
          <w:sz w:val="32"/>
          <w:szCs w:val="32"/>
        </w:rPr>
        <w:t>（一）收入情况</w:t>
      </w:r>
    </w:p>
    <w:p w14:paraId="05408C5C">
      <w:pPr>
        <w:autoSpaceDE/>
        <w:autoSpaceDN/>
        <w:adjustRightInd/>
        <w:spacing w:line="556" w:lineRule="exact"/>
        <w:ind w:firstLine="643" w:firstLineChars="200"/>
        <w:rPr>
          <w:rFonts w:hint="eastAsia" w:ascii="Times New Roman" w:eastAsia="仿宋" w:cs="仿宋"/>
          <w:b/>
          <w:sz w:val="32"/>
          <w:szCs w:val="32"/>
        </w:rPr>
      </w:pPr>
      <w:r>
        <w:rPr>
          <w:rFonts w:hint="eastAsia" w:ascii="Times New Roman" w:eastAsia="仿宋" w:cs="仿宋"/>
          <w:b/>
          <w:sz w:val="32"/>
          <w:szCs w:val="32"/>
        </w:rPr>
        <w:t>部门（单位）全部资金收入情况</w:t>
      </w:r>
    </w:p>
    <w:p w14:paraId="594A1158">
      <w:pPr>
        <w:spacing w:line="576" w:lineRule="exact"/>
        <w:ind w:firstLine="640"/>
        <w:rPr>
          <w:rFonts w:hint="eastAsia" w:ascii="Times New Roman" w:eastAsia="仿宋_GB2312"/>
          <w:color w:val="000000"/>
          <w:sz w:val="32"/>
          <w:szCs w:val="24"/>
        </w:rPr>
      </w:pPr>
      <w:r>
        <w:rPr>
          <w:rFonts w:hint="eastAsia" w:ascii="Times New Roman" w:eastAsia="仿宋_GB2312"/>
          <w:color w:val="000000"/>
          <w:sz w:val="32"/>
          <w:szCs w:val="24"/>
        </w:rPr>
        <w:t>1.太公镇2023年年初预算批复表收入1498.02万元，同比上年的1540.63万元减少42.61万元，减少2.84%。</w:t>
      </w:r>
    </w:p>
    <w:p w14:paraId="3A33AA08">
      <w:pPr>
        <w:spacing w:line="576" w:lineRule="exact"/>
        <w:ind w:firstLine="640"/>
        <w:rPr>
          <w:rFonts w:hint="eastAsia" w:ascii="Times New Roman" w:eastAsia="仿宋_GB2312"/>
          <w:color w:val="000000"/>
          <w:sz w:val="32"/>
          <w:szCs w:val="24"/>
        </w:rPr>
      </w:pPr>
      <w:r>
        <w:rPr>
          <w:rFonts w:hint="eastAsia" w:ascii="Times New Roman" w:eastAsia="仿宋_GB2312"/>
          <w:color w:val="000000"/>
          <w:sz w:val="32"/>
          <w:szCs w:val="24"/>
        </w:rPr>
        <w:t>2.太公镇2023年年终财政资金决算收入1729.99万元，其中：年初预算收入1498.02万元，年终追加收入为231.97万元（其中：基本支出62.24万元，即工资及津补贴62.24万元；项目支出159.73万元，即2023年1月至3月职业年金单位部分5.4万元、补发2022年乡镇工作补贴收入7.39万元、2022年度社区专职工作者考核资金2.9万元、社区专职工作者住房公积金2.58万元、2023年度考核奖34.64万元、2023年1季度离职村干部生活补贴及80岁老党员救助8.19万元、2022年度村组干部绩效考核31.63万元、2023年驻村工作队经费10万元、选调生到村任职工作补助资金7万元、解决太公镇干部周转房建设项目前期工作经费和启动资金50万元；基金10万元，即2023年度关于解决抗旱应急财政补助资金）。按照财政决算报表口径，上年结转数未在上年财政决算数中体现，故2023年财政决算数只体现本年数据。</w:t>
      </w:r>
    </w:p>
    <w:p w14:paraId="40D9088C">
      <w:pPr>
        <w:spacing w:line="576" w:lineRule="exact"/>
        <w:ind w:firstLine="640"/>
        <w:rPr>
          <w:rFonts w:hint="eastAsia" w:ascii="Times New Roman" w:eastAsia="仿宋_GB2312"/>
          <w:color w:val="000000"/>
          <w:sz w:val="32"/>
          <w:szCs w:val="24"/>
        </w:rPr>
      </w:pPr>
      <w:r>
        <w:rPr>
          <w:rFonts w:hint="eastAsia" w:ascii="Times New Roman" w:eastAsia="仿宋_GB2312"/>
          <w:color w:val="000000"/>
          <w:sz w:val="32"/>
          <w:szCs w:val="24"/>
        </w:rPr>
        <w:t>3.太公镇上年结转收入157.35万元（其中：基本支出58.35万元，项目支出122.02万元）。存量资金安排83.69万元。</w:t>
      </w:r>
    </w:p>
    <w:p w14:paraId="3C1AE269">
      <w:pPr>
        <w:autoSpaceDE/>
        <w:autoSpaceDN/>
        <w:adjustRightInd/>
        <w:spacing w:line="576" w:lineRule="exact"/>
        <w:ind w:firstLine="640" w:firstLineChars="200"/>
        <w:jc w:val="both"/>
        <w:rPr>
          <w:rFonts w:hint="eastAsia" w:ascii="Times New Roman" w:eastAsia="楷体_GB2312" w:cs="楷体_GB2312"/>
          <w:kern w:val="2"/>
          <w:sz w:val="32"/>
          <w:szCs w:val="32"/>
        </w:rPr>
      </w:pPr>
      <w:r>
        <w:rPr>
          <w:rFonts w:hint="eastAsia" w:ascii="Times New Roman" w:eastAsia="楷体_GB2312" w:cs="楷体_GB2312"/>
          <w:kern w:val="2"/>
          <w:sz w:val="32"/>
          <w:szCs w:val="32"/>
        </w:rPr>
        <w:t>（二）支出情况</w:t>
      </w:r>
    </w:p>
    <w:p w14:paraId="6D5A936A">
      <w:pPr>
        <w:spacing w:line="576" w:lineRule="exact"/>
        <w:ind w:firstLine="640"/>
        <w:rPr>
          <w:rFonts w:hint="eastAsia" w:ascii="Times New Roman" w:eastAsia="仿宋_GB2312"/>
          <w:color w:val="000000"/>
          <w:sz w:val="32"/>
          <w:szCs w:val="24"/>
        </w:rPr>
      </w:pPr>
      <w:r>
        <w:rPr>
          <w:rFonts w:hint="eastAsia" w:ascii="Times New Roman" w:eastAsia="仿宋_GB2312"/>
          <w:color w:val="000000"/>
          <w:sz w:val="32"/>
          <w:szCs w:val="24"/>
        </w:rPr>
        <w:t>部门（单位）全部资金支出情况</w:t>
      </w:r>
    </w:p>
    <w:p w14:paraId="47051284">
      <w:pPr>
        <w:spacing w:line="576" w:lineRule="exact"/>
        <w:ind w:firstLine="640"/>
        <w:rPr>
          <w:rFonts w:hint="eastAsia" w:ascii="Times New Roman" w:eastAsia="仿宋_GB2312"/>
          <w:color w:val="000000"/>
          <w:sz w:val="32"/>
          <w:szCs w:val="24"/>
        </w:rPr>
      </w:pPr>
      <w:r>
        <w:rPr>
          <w:rFonts w:hint="eastAsia" w:ascii="Times New Roman" w:eastAsia="仿宋_GB2312"/>
          <w:color w:val="000000"/>
          <w:sz w:val="32"/>
          <w:szCs w:val="24"/>
        </w:rPr>
        <w:t>1.年初预算批复表反映2023年预算安排支出1498.02万元。其中：当年基本支出947.63万元、项目支出550.39万元。</w:t>
      </w:r>
    </w:p>
    <w:p w14:paraId="3F3DB8AC">
      <w:pPr>
        <w:spacing w:line="576" w:lineRule="exact"/>
        <w:ind w:firstLine="640"/>
        <w:rPr>
          <w:rFonts w:hint="eastAsia" w:ascii="Times New Roman" w:eastAsia="仿宋_GB2312"/>
          <w:color w:val="000000"/>
          <w:sz w:val="32"/>
          <w:szCs w:val="24"/>
        </w:rPr>
      </w:pPr>
      <w:r>
        <w:rPr>
          <w:rFonts w:hint="eastAsia" w:ascii="Times New Roman" w:eastAsia="仿宋_GB2312"/>
          <w:color w:val="000000"/>
          <w:sz w:val="32"/>
          <w:szCs w:val="24"/>
        </w:rPr>
        <w:t>2.决算报表反映2023年财政资金支出决算合计1729.99万元。其中：当年财政拨款支出1729.99万元（基本支出1109.7万元，项目支出610.29万元），基金支出10万元。</w:t>
      </w:r>
    </w:p>
    <w:p w14:paraId="4895CAC9">
      <w:pPr>
        <w:spacing w:line="576" w:lineRule="exact"/>
        <w:ind w:firstLine="640"/>
        <w:rPr>
          <w:rFonts w:hint="eastAsia" w:ascii="Times New Roman" w:eastAsia="仿宋_GB2312"/>
          <w:color w:val="000000"/>
          <w:sz w:val="32"/>
          <w:szCs w:val="24"/>
        </w:rPr>
      </w:pPr>
      <w:r>
        <w:rPr>
          <w:rFonts w:hint="eastAsia" w:ascii="Times New Roman" w:eastAsia="仿宋_GB2312"/>
          <w:color w:val="000000"/>
          <w:sz w:val="32"/>
          <w:szCs w:val="24"/>
        </w:rPr>
        <w:t>3.上年财政资金结转157.35万元；存量资金安排83.69万元。</w:t>
      </w:r>
    </w:p>
    <w:p w14:paraId="31BC288B">
      <w:pPr>
        <w:spacing w:line="576" w:lineRule="exact"/>
        <w:ind w:firstLine="640"/>
        <w:rPr>
          <w:rFonts w:hint="eastAsia" w:ascii="Times New Roman" w:eastAsia="仿宋_GB2312"/>
          <w:color w:val="000000"/>
          <w:sz w:val="32"/>
          <w:szCs w:val="24"/>
        </w:rPr>
      </w:pPr>
      <w:r>
        <w:rPr>
          <w:rFonts w:hint="eastAsia" w:ascii="Times New Roman" w:eastAsia="仿宋_GB2312"/>
          <w:color w:val="000000"/>
          <w:sz w:val="32"/>
          <w:szCs w:val="24"/>
        </w:rPr>
        <w:t>4.按照财政2023年决算支出口径，财政决算支出以收定支，决算报表与实际支出存在差异。</w:t>
      </w:r>
      <w:r>
        <w:rPr>
          <w:rFonts w:hint="eastAsia" w:ascii="Times New Roman" w:eastAsia="仿宋_GB2312"/>
          <w:color w:val="000000"/>
          <w:sz w:val="32"/>
          <w:szCs w:val="24"/>
          <w:lang w:eastAsia="zh-CN"/>
        </w:rPr>
        <w:t>截至目前</w:t>
      </w:r>
      <w:r>
        <w:rPr>
          <w:rFonts w:hint="eastAsia" w:ascii="Times New Roman" w:eastAsia="仿宋_GB2312"/>
          <w:color w:val="000000"/>
          <w:sz w:val="32"/>
          <w:szCs w:val="24"/>
        </w:rPr>
        <w:t>，财政资金实际支付1904.1万元，其中：本年度一般公共预算支出1653.06万元（其中：基本支出1101.71万元，项目支出551.35万元），基金支出10万元。上年结转支出157.35万元（其中：基本支出41.35万元，项目支出116万元），存量安排解决本年度支出83.69万元，预算执行率96.6 %。</w:t>
      </w:r>
    </w:p>
    <w:p w14:paraId="73776F42">
      <w:pPr>
        <w:autoSpaceDE/>
        <w:autoSpaceDN/>
        <w:adjustRightInd/>
        <w:spacing w:line="576" w:lineRule="exact"/>
        <w:ind w:firstLine="640" w:firstLineChars="200"/>
        <w:jc w:val="both"/>
        <w:rPr>
          <w:rFonts w:hint="eastAsia" w:ascii="Times New Roman" w:eastAsia="楷体_GB2312" w:cs="楷体_GB2312"/>
          <w:kern w:val="2"/>
          <w:sz w:val="32"/>
          <w:szCs w:val="32"/>
        </w:rPr>
      </w:pPr>
      <w:r>
        <w:rPr>
          <w:rFonts w:hint="eastAsia" w:ascii="Times New Roman" w:eastAsia="楷体_GB2312" w:cs="楷体_GB2312"/>
          <w:kern w:val="2"/>
          <w:sz w:val="32"/>
          <w:szCs w:val="32"/>
        </w:rPr>
        <w:t>（三）结转结余情况</w:t>
      </w:r>
    </w:p>
    <w:p w14:paraId="294636CA">
      <w:pPr>
        <w:spacing w:line="576" w:lineRule="exact"/>
        <w:ind w:firstLine="640"/>
        <w:rPr>
          <w:rFonts w:hint="eastAsia" w:ascii="Times New Roman" w:eastAsia="仿宋_GB2312"/>
          <w:color w:val="000000"/>
          <w:sz w:val="32"/>
          <w:szCs w:val="24"/>
        </w:rPr>
      </w:pPr>
      <w:r>
        <w:rPr>
          <w:rFonts w:hint="eastAsia" w:ascii="Times New Roman" w:eastAsia="仿宋_GB2312"/>
          <w:color w:val="000000"/>
          <w:sz w:val="32"/>
          <w:szCs w:val="24"/>
        </w:rPr>
        <w:t>按照财政2023年决算支出口径，财政决算支出以收定支，本年无结转结余情况。</w:t>
      </w:r>
    </w:p>
    <w:p w14:paraId="12717CEC">
      <w:pPr>
        <w:autoSpaceDE/>
        <w:autoSpaceDN/>
        <w:adjustRightInd/>
        <w:spacing w:line="576" w:lineRule="exact"/>
        <w:ind w:firstLine="640" w:firstLineChars="200"/>
        <w:jc w:val="both"/>
        <w:rPr>
          <w:rFonts w:hint="eastAsia" w:ascii="Times New Roman" w:eastAsia="楷体_GB2312" w:cs="楷体_GB2312"/>
          <w:kern w:val="2"/>
          <w:sz w:val="32"/>
          <w:szCs w:val="32"/>
        </w:rPr>
      </w:pPr>
      <w:r>
        <w:rPr>
          <w:rFonts w:hint="eastAsia" w:ascii="黑体" w:hAnsi="黑体" w:eastAsia="黑体" w:cs="黑体"/>
          <w:color w:val="000000"/>
          <w:sz w:val="32"/>
          <w:szCs w:val="24"/>
        </w:rPr>
        <w:t>三、部门整体预算绩效管理情况</w:t>
      </w:r>
    </w:p>
    <w:p w14:paraId="58D2E4B5">
      <w:pPr>
        <w:autoSpaceDE/>
        <w:autoSpaceDN/>
        <w:adjustRightInd/>
        <w:spacing w:line="576" w:lineRule="exact"/>
        <w:ind w:firstLine="640" w:firstLineChars="200"/>
        <w:jc w:val="both"/>
        <w:rPr>
          <w:rFonts w:hint="eastAsia" w:ascii="Times New Roman" w:eastAsia="楷体_GB2312" w:cs="楷体_GB2312"/>
          <w:kern w:val="2"/>
          <w:sz w:val="32"/>
          <w:szCs w:val="32"/>
        </w:rPr>
      </w:pPr>
      <w:r>
        <w:rPr>
          <w:rFonts w:hint="eastAsia" w:ascii="Times New Roman" w:eastAsia="楷体_GB2312" w:cs="楷体_GB2312"/>
          <w:kern w:val="2"/>
          <w:sz w:val="32"/>
          <w:szCs w:val="32"/>
        </w:rPr>
        <w:t>（一）部门预算项目绩效管理</w:t>
      </w:r>
    </w:p>
    <w:p w14:paraId="06EB722D">
      <w:pPr>
        <w:spacing w:line="576" w:lineRule="exact"/>
        <w:ind w:firstLine="640"/>
        <w:rPr>
          <w:rFonts w:hint="eastAsia" w:ascii="Times New Roman" w:eastAsia="仿宋_GB2312"/>
          <w:color w:val="000000"/>
          <w:sz w:val="32"/>
          <w:szCs w:val="24"/>
        </w:rPr>
      </w:pPr>
      <w:r>
        <w:rPr>
          <w:rFonts w:hint="eastAsia" w:ascii="Times New Roman" w:eastAsia="仿宋_GB2312"/>
          <w:color w:val="000000"/>
          <w:sz w:val="32"/>
          <w:szCs w:val="24"/>
        </w:rPr>
        <w:t>部门绩效目标制定：绩效目标是预算编制的前提和基础，按照“费随事定”的原则，2022太公镇人民政府红军山管理费、垃圾清运费、村级办公经费，按要求编制了绩效目标</w:t>
      </w:r>
      <w:r>
        <w:rPr>
          <w:rFonts w:hint="eastAsia" w:ascii="Times New Roman" w:eastAsia="仿宋_GB2312"/>
          <w:color w:val="000000"/>
          <w:sz w:val="32"/>
          <w:szCs w:val="24"/>
          <w:lang w:eastAsia="zh-CN"/>
        </w:rPr>
        <w:t>，</w:t>
      </w:r>
      <w:r>
        <w:rPr>
          <w:rFonts w:hint="eastAsia" w:ascii="Times New Roman" w:eastAsia="仿宋_GB2312"/>
          <w:color w:val="000000"/>
          <w:sz w:val="32"/>
          <w:szCs w:val="24"/>
        </w:rPr>
        <w:t>从项目完成、项目效益、满意度等方面设置了绩效指标，综合反映项目预期完成的数量、成本、时效、质量，预期达到的社会效益、经济效益、生态效益、可持续影响以及服务对象满意度等情况。</w:t>
      </w:r>
    </w:p>
    <w:p w14:paraId="35E26DEE">
      <w:pPr>
        <w:spacing w:line="576" w:lineRule="exact"/>
        <w:ind w:firstLine="640"/>
        <w:rPr>
          <w:rFonts w:hint="eastAsia" w:ascii="Times New Roman" w:eastAsia="仿宋_GB2312"/>
          <w:color w:val="000000"/>
          <w:sz w:val="32"/>
          <w:szCs w:val="24"/>
        </w:rPr>
      </w:pPr>
      <w:r>
        <w:rPr>
          <w:rFonts w:hint="eastAsia" w:ascii="Times New Roman" w:eastAsia="仿宋_GB2312"/>
          <w:color w:val="000000"/>
          <w:sz w:val="32"/>
          <w:szCs w:val="24"/>
        </w:rPr>
        <w:t>1.人员类：工资福利和商品服务支出1101.71万元，支出</w:t>
      </w:r>
    </w:p>
    <w:p w14:paraId="21F12782">
      <w:pPr>
        <w:spacing w:line="576" w:lineRule="exact"/>
        <w:ind w:firstLine="640"/>
        <w:rPr>
          <w:rFonts w:hint="eastAsia" w:ascii="Times New Roman" w:eastAsia="仿宋_GB2312"/>
          <w:color w:val="000000"/>
          <w:sz w:val="32"/>
          <w:szCs w:val="24"/>
        </w:rPr>
      </w:pPr>
      <w:r>
        <w:rPr>
          <w:rFonts w:hint="eastAsia" w:ascii="Times New Roman" w:eastAsia="仿宋_GB2312"/>
          <w:color w:val="000000"/>
          <w:sz w:val="32"/>
          <w:szCs w:val="24"/>
        </w:rPr>
        <w:t>1096.31万元，预算执行率99.51%；对个人和家庭补助支出320.39万元，支出320.39万元，预算执行100%。对村（社区）组干部生活补助、社区专职干部保险实行按月申报、及时支付的原则足额缴纳。</w:t>
      </w:r>
    </w:p>
    <w:p w14:paraId="048ADFDC">
      <w:pPr>
        <w:spacing w:line="576" w:lineRule="exact"/>
        <w:ind w:firstLine="640"/>
        <w:rPr>
          <w:rFonts w:hint="eastAsia" w:ascii="Times New Roman" w:eastAsia="仿宋_GB2312"/>
          <w:color w:val="000000"/>
          <w:sz w:val="32"/>
          <w:szCs w:val="24"/>
        </w:rPr>
      </w:pPr>
      <w:r>
        <w:rPr>
          <w:rFonts w:hint="eastAsia" w:ascii="Times New Roman" w:eastAsia="仿宋_GB2312"/>
          <w:color w:val="000000"/>
          <w:sz w:val="32"/>
          <w:szCs w:val="24"/>
        </w:rPr>
        <w:t>2.运转类：其他运转类按照其他公用经费管理，人大经费年初预算6.59万元，支出6.59万元，预算执行率100%；行政区划调整后公用经费专项增加交通费年初预算9万元，支出9万元，预算执行率100%；行政区划调整后公用经费专项增加接待费年初预算3万元，支出3万元，预算执行率100%；路灯经费年初预算5万元，支出5万元，预算执行率100%；垃圾清运费支出年初预算9万元，支出9万元，预算执行率100%；红军山管理费支出年初预算10万元，支出10万元，预算执行率100%；武装及安办工作经费支出年初预算7万元，支出7万元，预算执行率100%；垃圾清理费用年初预算9万元，支出9万元，预算执行率100%；乡镇临聘人员工资年初预算7万元，支出7万元，预算执行率100%；伙食团经费年初预算7万元，支出7万元，预算执行率100%；村（社区）办公经费年初预算72万元，支付72万元，预算执行率100%。2022年度社区专职工作者考核奖金年初预算2.9万元，支出2.9万元，预算执行率100%；2023年社区专职干部住房公积金年初预算2.58万元，支出2.58万元，预算执行率100%。</w:t>
      </w:r>
    </w:p>
    <w:p w14:paraId="6E106DEA">
      <w:pPr>
        <w:autoSpaceDE/>
        <w:autoSpaceDN/>
        <w:adjustRightInd/>
        <w:spacing w:line="576" w:lineRule="exact"/>
        <w:ind w:firstLine="640" w:firstLineChars="200"/>
        <w:jc w:val="both"/>
        <w:rPr>
          <w:rFonts w:hint="eastAsia" w:ascii="Times New Roman" w:eastAsia="楷体_GB2312" w:cs="楷体_GB2312"/>
          <w:kern w:val="2"/>
          <w:sz w:val="32"/>
          <w:szCs w:val="32"/>
        </w:rPr>
      </w:pPr>
      <w:r>
        <w:rPr>
          <w:rFonts w:hint="eastAsia" w:ascii="Times New Roman" w:eastAsia="楷体_GB2312" w:cs="楷体_GB2312"/>
          <w:kern w:val="2"/>
          <w:sz w:val="32"/>
          <w:szCs w:val="32"/>
        </w:rPr>
        <w:t>（二）专项预算绩效情况</w:t>
      </w:r>
    </w:p>
    <w:p w14:paraId="74DAB5E4">
      <w:pPr>
        <w:spacing w:line="576" w:lineRule="exact"/>
        <w:ind w:firstLine="640"/>
        <w:rPr>
          <w:rFonts w:hint="eastAsia" w:ascii="Times New Roman" w:eastAsia="仿宋_GB2312"/>
          <w:color w:val="000000"/>
          <w:sz w:val="32"/>
          <w:szCs w:val="24"/>
        </w:rPr>
      </w:pPr>
      <w:r>
        <w:rPr>
          <w:rFonts w:hint="eastAsia" w:ascii="Times New Roman" w:eastAsia="仿宋_GB2312"/>
          <w:color w:val="000000"/>
          <w:sz w:val="32"/>
          <w:szCs w:val="24"/>
          <w:lang w:eastAsia="zh-CN"/>
        </w:rPr>
        <w:t>截至目前</w:t>
      </w:r>
      <w:r>
        <w:rPr>
          <w:rFonts w:hint="eastAsia" w:ascii="Times New Roman" w:eastAsia="仿宋_GB2312"/>
          <w:color w:val="000000"/>
          <w:sz w:val="32"/>
          <w:szCs w:val="24"/>
        </w:rPr>
        <w:t>：2023年基层组织活动和公共运行维护经费年初预算99万元，支出99万元，预算执行率100%；其他巩固脱贫衔接乡村振兴支出（烤烟资金）年初预算38.13万元，支出20万元，预算执行率100%；干部周转房项目前期工作经费和启动资金年初预算50万元，支出0万元，预算执行率0%；2019年</w:t>
      </w:r>
      <w:r>
        <w:rPr>
          <w:rFonts w:hint="eastAsia" w:ascii="Times New Roman" w:eastAsia="仿宋_GB2312"/>
          <w:color w:val="000000"/>
          <w:sz w:val="32"/>
          <w:szCs w:val="24"/>
          <w:lang w:eastAsia="zh-CN"/>
        </w:rPr>
        <w:t>—2022年</w:t>
      </w:r>
      <w:r>
        <w:rPr>
          <w:rFonts w:hint="eastAsia" w:ascii="Times New Roman" w:eastAsia="仿宋_GB2312"/>
          <w:color w:val="000000"/>
          <w:sz w:val="32"/>
          <w:szCs w:val="24"/>
        </w:rPr>
        <w:t>选调生到村任职工作补助资金年初预算7万元，支出0万元，预算执行率0%。2023年度抗旱应急补助资金年初预算10万元，支出10万元，预算执行率100%。</w:t>
      </w:r>
    </w:p>
    <w:p w14:paraId="6A6112B8">
      <w:pPr>
        <w:autoSpaceDE/>
        <w:autoSpaceDN/>
        <w:adjustRightInd/>
        <w:spacing w:line="576" w:lineRule="exact"/>
        <w:ind w:firstLine="640" w:firstLineChars="200"/>
        <w:jc w:val="both"/>
        <w:rPr>
          <w:rFonts w:hint="eastAsia" w:ascii="Times New Roman" w:eastAsia="楷体_GB2312" w:cs="楷体_GB2312"/>
          <w:kern w:val="2"/>
          <w:sz w:val="32"/>
          <w:szCs w:val="32"/>
        </w:rPr>
      </w:pPr>
      <w:r>
        <w:rPr>
          <w:rFonts w:hint="eastAsia" w:ascii="Times New Roman" w:eastAsia="楷体_GB2312" w:cs="楷体_GB2312"/>
          <w:kern w:val="2"/>
          <w:sz w:val="32"/>
          <w:szCs w:val="32"/>
        </w:rPr>
        <w:t>（三）绩效结果应用</w:t>
      </w:r>
    </w:p>
    <w:p w14:paraId="5868E48E">
      <w:pPr>
        <w:spacing w:line="576" w:lineRule="exact"/>
        <w:ind w:firstLine="640"/>
        <w:rPr>
          <w:rFonts w:hint="eastAsia" w:ascii="Times New Roman" w:eastAsia="仿宋_GB2312"/>
          <w:color w:val="000000"/>
          <w:sz w:val="32"/>
          <w:szCs w:val="24"/>
        </w:rPr>
      </w:pPr>
      <w:r>
        <w:rPr>
          <w:rFonts w:hint="eastAsia" w:ascii="Times New Roman" w:eastAsia="仿宋_GB2312"/>
          <w:color w:val="000000"/>
          <w:sz w:val="32"/>
          <w:szCs w:val="24"/>
        </w:rPr>
        <w:t>太公镇人民政府2023年建立健全了本单位预算绩效管理制度，符合我区政府出台的绩效制度和实际要求，内容完整并及时更新。建立了对内设机构和下属单位（村、社区）纳入内部预算绩效工作考核机制。部门整体支出绩效表按照上级要求的时间已随同年初预算一起在昭化区门户网向社会公开。根据绩效管理结果，进一步完善了政策、改进了管理方式方法。</w:t>
      </w:r>
    </w:p>
    <w:p w14:paraId="05B5632E">
      <w:pPr>
        <w:autoSpaceDE/>
        <w:autoSpaceDN/>
        <w:adjustRightInd/>
        <w:spacing w:line="576" w:lineRule="exact"/>
        <w:ind w:firstLine="640" w:firstLineChars="200"/>
        <w:jc w:val="both"/>
        <w:rPr>
          <w:rFonts w:hint="eastAsia" w:ascii="Times New Roman" w:eastAsia="楷体_GB2312" w:cs="楷体_GB2312"/>
          <w:kern w:val="2"/>
          <w:sz w:val="32"/>
          <w:szCs w:val="32"/>
        </w:rPr>
      </w:pPr>
      <w:r>
        <w:rPr>
          <w:rFonts w:hint="eastAsia" w:ascii="Times New Roman" w:eastAsia="楷体_GB2312" w:cs="楷体_GB2312"/>
          <w:kern w:val="2"/>
          <w:sz w:val="32"/>
          <w:szCs w:val="32"/>
        </w:rPr>
        <w:t>（四）自评质量</w:t>
      </w:r>
    </w:p>
    <w:p w14:paraId="6F85A783">
      <w:pPr>
        <w:spacing w:line="576" w:lineRule="exact"/>
        <w:ind w:firstLine="640"/>
        <w:rPr>
          <w:rFonts w:hint="eastAsia" w:ascii="Times New Roman" w:eastAsia="仿宋_GB2312"/>
          <w:color w:val="000000"/>
          <w:sz w:val="32"/>
          <w:szCs w:val="24"/>
        </w:rPr>
      </w:pPr>
      <w:r>
        <w:rPr>
          <w:rFonts w:hint="eastAsia" w:ascii="Times New Roman" w:eastAsia="仿宋_GB2312"/>
          <w:color w:val="000000"/>
          <w:sz w:val="32"/>
          <w:szCs w:val="24"/>
        </w:rPr>
        <w:t>太公镇人民政府2023年部门整体支出在区财政局关心帮助及业务指导下，在镇党委政府坚强领导下，各村（社区）有序推进，在各项目的运行过程中，镇绩效管理部门采取抽查的方式，定期不定期</w:t>
      </w:r>
      <w:r>
        <w:rPr>
          <w:rFonts w:hint="eastAsia" w:ascii="Times New Roman" w:eastAsia="仿宋_GB2312"/>
          <w:color w:val="000000"/>
          <w:sz w:val="32"/>
          <w:szCs w:val="24"/>
          <w:lang w:eastAsia="zh-CN"/>
        </w:rPr>
        <w:t>地</w:t>
      </w:r>
      <w:r>
        <w:rPr>
          <w:rFonts w:hint="eastAsia" w:ascii="Times New Roman" w:eastAsia="仿宋_GB2312"/>
          <w:color w:val="000000"/>
          <w:sz w:val="32"/>
          <w:szCs w:val="24"/>
        </w:rPr>
        <w:t>到各实施单位抽查，对抽查过程中发现的问题，及时要求整改，确保年终能保质保量完成年初制定的各项目标工作任务，按2023年部门整体支出绩效评价指标体系，严格打分，不漏报、错报、多报，经镇党委、政府自评，自评得分88.5分。</w:t>
      </w:r>
    </w:p>
    <w:p w14:paraId="326271E4">
      <w:pPr>
        <w:spacing w:line="576" w:lineRule="exact"/>
        <w:ind w:firstLine="640"/>
        <w:rPr>
          <w:rFonts w:hint="eastAsia" w:ascii="Times New Roman" w:eastAsia="仿宋_GB2312"/>
          <w:color w:val="000000"/>
          <w:sz w:val="32"/>
          <w:szCs w:val="24"/>
        </w:rPr>
      </w:pPr>
      <w:r>
        <w:rPr>
          <w:rFonts w:hint="eastAsia" w:ascii="Times New Roman" w:eastAsia="仿宋_GB2312"/>
          <w:color w:val="000000"/>
          <w:sz w:val="32"/>
          <w:szCs w:val="24"/>
        </w:rPr>
        <w:t>2023年太公镇部门整体支出严格按照上级相关文件执行，严格资金管理，在执行过程中，各项目严格按照管理办法实施，项目实施合规、合法，未出现挤占、挪用等违规行为，上级审计监督、财会监督和决算审查等部门未反映本单位上一年度预算管理中不符合相关财政财务管理的规定，也无违反规定的情况。</w:t>
      </w:r>
    </w:p>
    <w:p w14:paraId="02D56905">
      <w:pPr>
        <w:spacing w:line="576" w:lineRule="exact"/>
        <w:ind w:firstLine="640"/>
        <w:rPr>
          <w:rFonts w:hint="eastAsia" w:ascii="黑体" w:hAnsi="黑体" w:eastAsia="黑体" w:cs="黑体"/>
          <w:color w:val="000000"/>
          <w:sz w:val="32"/>
          <w:szCs w:val="24"/>
        </w:rPr>
      </w:pPr>
      <w:r>
        <w:rPr>
          <w:rFonts w:hint="eastAsia" w:ascii="黑体" w:hAnsi="黑体" w:eastAsia="黑体" w:cs="黑体"/>
          <w:color w:val="000000"/>
          <w:sz w:val="32"/>
          <w:szCs w:val="24"/>
        </w:rPr>
        <w:t>四、存在的问题及建议（措施）</w:t>
      </w:r>
    </w:p>
    <w:p w14:paraId="3352D227">
      <w:pPr>
        <w:autoSpaceDE/>
        <w:autoSpaceDN/>
        <w:adjustRightInd/>
        <w:spacing w:line="576" w:lineRule="exact"/>
        <w:ind w:firstLine="640" w:firstLineChars="200"/>
        <w:jc w:val="both"/>
        <w:rPr>
          <w:rFonts w:hint="eastAsia" w:ascii="Times New Roman" w:eastAsia="楷体_GB2312" w:cs="楷体_GB2312"/>
          <w:kern w:val="2"/>
          <w:sz w:val="32"/>
          <w:szCs w:val="32"/>
        </w:rPr>
      </w:pPr>
      <w:r>
        <w:rPr>
          <w:rFonts w:hint="eastAsia" w:ascii="Times New Roman" w:eastAsia="楷体_GB2312" w:cs="楷体_GB2312"/>
          <w:kern w:val="2"/>
          <w:sz w:val="32"/>
          <w:szCs w:val="32"/>
        </w:rPr>
        <w:t>（一）存在的问题</w:t>
      </w:r>
    </w:p>
    <w:p w14:paraId="2AE44018">
      <w:pPr>
        <w:spacing w:line="576" w:lineRule="exact"/>
        <w:ind w:firstLine="640"/>
        <w:rPr>
          <w:rFonts w:hint="eastAsia" w:ascii="Times New Roman" w:eastAsia="仿宋_GB2312"/>
          <w:color w:val="000000"/>
          <w:sz w:val="32"/>
          <w:szCs w:val="24"/>
        </w:rPr>
      </w:pPr>
      <w:r>
        <w:rPr>
          <w:rFonts w:hint="eastAsia" w:ascii="Times New Roman" w:eastAsia="仿宋_GB2312"/>
          <w:color w:val="000000"/>
          <w:sz w:val="32"/>
          <w:szCs w:val="24"/>
        </w:rPr>
        <w:t>一是绩效管理的重要性认识不足。加强预算绩效管理理念虽然已是普遍共识，但是在实施过程中，村（居）干部对绩效工作的认识不足、能力受限，多注重项目的实施，对绩效的量化、细化等工作没有做到位，绩效自评工作开展</w:t>
      </w:r>
      <w:r>
        <w:rPr>
          <w:rFonts w:hint="eastAsia" w:ascii="Times New Roman" w:eastAsia="仿宋_GB2312"/>
          <w:color w:val="000000"/>
          <w:sz w:val="32"/>
          <w:szCs w:val="24"/>
          <w:lang w:eastAsia="zh-CN"/>
        </w:rPr>
        <w:t>得</w:t>
      </w:r>
      <w:r>
        <w:rPr>
          <w:rFonts w:hint="eastAsia" w:ascii="Times New Roman" w:eastAsia="仿宋_GB2312"/>
          <w:color w:val="000000"/>
          <w:sz w:val="32"/>
          <w:szCs w:val="24"/>
        </w:rPr>
        <w:t>比较笼统，为绩效评价整体工作提供的参考性价值不多。</w:t>
      </w:r>
    </w:p>
    <w:p w14:paraId="02F9012D">
      <w:pPr>
        <w:spacing w:line="576" w:lineRule="exact"/>
        <w:ind w:firstLine="640"/>
        <w:rPr>
          <w:rFonts w:hint="eastAsia" w:ascii="Times New Roman" w:eastAsia="仿宋_GB2312"/>
          <w:color w:val="000000"/>
          <w:sz w:val="32"/>
          <w:szCs w:val="24"/>
        </w:rPr>
      </w:pPr>
      <w:r>
        <w:rPr>
          <w:rFonts w:hint="eastAsia" w:ascii="Times New Roman" w:eastAsia="仿宋_GB2312"/>
          <w:color w:val="000000"/>
          <w:sz w:val="32"/>
          <w:szCs w:val="24"/>
        </w:rPr>
        <w:t>二是项目绩效管理有待加强。各村（居）或项目实施主管部门作为项目的实施主体，未在规定时间内完成项目的实施，个别项目未及时组织相关部门对项目进行验收，致使项目报账资料迟迟不能完成。</w:t>
      </w:r>
    </w:p>
    <w:p w14:paraId="0051B2A0">
      <w:pPr>
        <w:spacing w:line="576" w:lineRule="exact"/>
        <w:ind w:firstLine="640"/>
        <w:rPr>
          <w:rFonts w:hint="eastAsia" w:ascii="Times New Roman" w:eastAsia="仿宋_GB2312"/>
          <w:color w:val="000000"/>
          <w:sz w:val="32"/>
          <w:szCs w:val="24"/>
        </w:rPr>
      </w:pPr>
      <w:r>
        <w:rPr>
          <w:rFonts w:hint="eastAsia" w:ascii="Times New Roman" w:eastAsia="仿宋_GB2312"/>
          <w:color w:val="000000"/>
          <w:sz w:val="32"/>
          <w:szCs w:val="24"/>
        </w:rPr>
        <w:t>三是财政资金申请困难，资金拨付滞后。</w:t>
      </w:r>
    </w:p>
    <w:p w14:paraId="78C958D1">
      <w:pPr>
        <w:spacing w:line="576" w:lineRule="exact"/>
        <w:ind w:firstLine="640"/>
        <w:rPr>
          <w:rFonts w:hint="eastAsia" w:ascii="Times New Roman" w:eastAsia="楷体_GB2312" w:cs="楷体_GB2312"/>
          <w:kern w:val="2"/>
          <w:sz w:val="32"/>
          <w:szCs w:val="32"/>
        </w:rPr>
      </w:pPr>
      <w:r>
        <w:rPr>
          <w:rFonts w:hint="eastAsia" w:ascii="Times New Roman" w:eastAsia="楷体_GB2312" w:cs="楷体_GB2312"/>
          <w:kern w:val="2"/>
          <w:sz w:val="32"/>
          <w:szCs w:val="32"/>
        </w:rPr>
        <w:t>（二）意见或建议</w:t>
      </w:r>
    </w:p>
    <w:p w14:paraId="1B633D0F">
      <w:pPr>
        <w:spacing w:line="576" w:lineRule="exact"/>
        <w:ind w:firstLine="640"/>
        <w:rPr>
          <w:rFonts w:hint="eastAsia" w:ascii="Times New Roman" w:eastAsia="仿宋_GB2312"/>
          <w:color w:val="000000"/>
          <w:sz w:val="32"/>
          <w:szCs w:val="24"/>
        </w:rPr>
      </w:pPr>
      <w:r>
        <w:rPr>
          <w:rFonts w:hint="eastAsia" w:ascii="Times New Roman" w:eastAsia="仿宋_GB2312"/>
          <w:color w:val="000000"/>
          <w:sz w:val="32"/>
          <w:szCs w:val="24"/>
        </w:rPr>
        <w:t>一是加大预算绩效管理宣传培训力度。绩效主管部门应进一步结合国家治理体系和治理能力现代化的建设要求，突出宣传预算绩效管理在促进政府公共部门提高公共服务供给效率方面的重要作用，形成强化绩效管理的氛围。主管部门要树立绩效管理意识，调整管理机制，把预算绩效管理作为基础性工作认真对待；加强系统内各层级人员绩效管理培训，营造绩效管理的良好氛围，注重总结推广先进典型做法，形成系统内案例库，逐步丰富工作成果。 </w:t>
      </w:r>
    </w:p>
    <w:p w14:paraId="5C9D9DD2">
      <w:pPr>
        <w:spacing w:line="576" w:lineRule="exact"/>
        <w:ind w:firstLine="640"/>
        <w:rPr>
          <w:rFonts w:hint="eastAsia" w:ascii="Times New Roman" w:eastAsia="仿宋_GB2312"/>
          <w:color w:val="000000"/>
          <w:sz w:val="32"/>
          <w:szCs w:val="24"/>
        </w:rPr>
      </w:pPr>
      <w:r>
        <w:rPr>
          <w:rFonts w:hint="eastAsia" w:ascii="Times New Roman" w:eastAsia="仿宋_GB2312"/>
          <w:color w:val="000000"/>
          <w:sz w:val="32"/>
          <w:szCs w:val="24"/>
        </w:rPr>
        <w:t>二是提升预算绩效管理统筹组织能力。绩效主管部门应加强工作统筹，持续优化预决算、资产管理、预算执行、政府采购、政府会计、财务规则等业务与绩效管理改革的关系，提升工作协调性；按预算规模、预算层级等实际情况，分类指导主管部门开展预算绩效管理工作，体现系统性差异。主管部门要加强绩效管理实施，不断优化内部分工、深挖潜力，保障扎实开展预算绩效管理的人员力量；进一步明确系统内项目单位、资金使用终端的绩效管理责任，完善绩效自评工作流程，提升自评工作效率。 </w:t>
      </w:r>
    </w:p>
    <w:p w14:paraId="2FA91BB8">
      <w:pPr>
        <w:spacing w:line="576" w:lineRule="exact"/>
        <w:ind w:firstLine="640"/>
        <w:rPr>
          <w:rFonts w:hint="eastAsia" w:ascii="Times New Roman" w:eastAsia="仿宋_GB2312"/>
          <w:color w:val="000000"/>
          <w:sz w:val="32"/>
          <w:szCs w:val="24"/>
        </w:rPr>
      </w:pPr>
      <w:r>
        <w:rPr>
          <w:rFonts w:hint="eastAsia" w:ascii="Times New Roman" w:eastAsia="仿宋_GB2312"/>
          <w:color w:val="000000"/>
          <w:sz w:val="32"/>
          <w:szCs w:val="24"/>
        </w:rPr>
        <w:t>三是完善预算绩效管理技术支撑体系。绩效主管部门应加快推进绩效评价行业力量建设，在评价机构、专家团队以及专业人员等方面多端发力；推动学术机构积极参与绩效评价技术研究，完善评价指标库建设、评价方法开发应用、绩效管理信息系统构建等。主管部门要从国家治理高度，将绩效目标与国民经济发展规划、国家战略、部门“三定”职能紧密衔接，积极推进部门整体绩效评价；主动依靠外部专业力量，持续完善重点项目绩效评价指标体系，并及时动态调整优化，以全面促进提高公共服务供给效率。  </w:t>
      </w:r>
    </w:p>
    <w:p w14:paraId="753A0763">
      <w:pPr>
        <w:spacing w:line="576" w:lineRule="exact"/>
        <w:ind w:firstLine="640"/>
        <w:rPr>
          <w:rFonts w:hint="eastAsia" w:ascii="Times New Roman" w:eastAsia="仿宋_GB2312"/>
          <w:color w:val="000000"/>
          <w:sz w:val="32"/>
          <w:szCs w:val="24"/>
        </w:rPr>
      </w:pPr>
      <w:r>
        <w:rPr>
          <w:rFonts w:hint="eastAsia" w:ascii="Times New Roman" w:eastAsia="仿宋_GB2312"/>
          <w:color w:val="000000"/>
          <w:sz w:val="32"/>
          <w:szCs w:val="24"/>
        </w:rPr>
        <w:t xml:space="preserve"> 四是加快建立预算绩效管理激励机制。绩效主管部门应积极推动预算绩效管理立法，硬化约束；完善绩效管理激励机制，无效问责、有效则奖、奖罚分明；充分调动现有绩效管理力量，优化绩效管理中的权责边界，发挥相关部门的能动性和优势，强化对主管部门绩效评价的外部监督履职。主管部门要有“刀刃向内”的改革勇气，加强绩效评价结果运用，并与政策调整、资金分配等挂钩，及时校准工作重心；强化绩效信息公开，主动接受外部监督，对人大、审计提出的意见建议、社会公众反映的情况问题，坚决予以整改，切实发挥绩效管理效用。</w:t>
      </w:r>
    </w:p>
    <w:p w14:paraId="5960BBD3">
      <w:pPr>
        <w:autoSpaceDE/>
        <w:autoSpaceDN/>
        <w:adjustRightInd/>
        <w:spacing w:line="556" w:lineRule="exact"/>
        <w:rPr>
          <w:rFonts w:hint="eastAsia" w:ascii="Times New Roman" w:eastAsia="仿宋" w:cs="仿宋"/>
          <w:sz w:val="32"/>
          <w:szCs w:val="32"/>
        </w:rPr>
      </w:pPr>
    </w:p>
    <w:p w14:paraId="7DB69D52">
      <w:pPr>
        <w:pStyle w:val="6"/>
        <w:rPr>
          <w:rFonts w:hint="eastAsia" w:ascii="Times New Roman" w:eastAsia="仿宋" w:cs="仿宋"/>
          <w:sz w:val="32"/>
          <w:szCs w:val="32"/>
        </w:rPr>
      </w:pPr>
    </w:p>
    <w:p w14:paraId="5B6ECD9A">
      <w:pPr>
        <w:rPr>
          <w:rFonts w:hint="eastAsia" w:ascii="Times New Roman" w:eastAsia="仿宋" w:cs="仿宋"/>
          <w:sz w:val="32"/>
          <w:szCs w:val="32"/>
        </w:rPr>
      </w:pPr>
    </w:p>
    <w:p w14:paraId="71E68831">
      <w:pPr>
        <w:pStyle w:val="6"/>
        <w:rPr>
          <w:rFonts w:hint="eastAsia" w:ascii="Times New Roman" w:eastAsia="仿宋" w:cs="仿宋"/>
          <w:sz w:val="32"/>
          <w:szCs w:val="32"/>
        </w:rPr>
      </w:pPr>
    </w:p>
    <w:p w14:paraId="446ACA4F">
      <w:pPr>
        <w:rPr>
          <w:rFonts w:hint="eastAsia" w:ascii="Times New Roman" w:eastAsia="仿宋" w:cs="仿宋"/>
          <w:sz w:val="32"/>
          <w:szCs w:val="32"/>
        </w:rPr>
      </w:pPr>
    </w:p>
    <w:p w14:paraId="61DEB7A3">
      <w:pPr>
        <w:pStyle w:val="6"/>
        <w:rPr>
          <w:rFonts w:hint="eastAsia" w:ascii="Times New Roman" w:eastAsia="仿宋" w:cs="仿宋"/>
          <w:sz w:val="32"/>
          <w:szCs w:val="32"/>
        </w:rPr>
      </w:pPr>
    </w:p>
    <w:p w14:paraId="4412FCDC">
      <w:pPr>
        <w:rPr>
          <w:rFonts w:hint="eastAsia" w:ascii="Times New Roman" w:eastAsia="仿宋" w:cs="仿宋"/>
          <w:sz w:val="32"/>
          <w:szCs w:val="32"/>
        </w:rPr>
      </w:pPr>
    </w:p>
    <w:p w14:paraId="6E3EFC3A">
      <w:pPr>
        <w:pStyle w:val="6"/>
        <w:rPr>
          <w:rFonts w:hint="eastAsia" w:ascii="Times New Roman" w:eastAsia="仿宋" w:cs="仿宋"/>
          <w:sz w:val="32"/>
          <w:szCs w:val="32"/>
        </w:rPr>
      </w:pPr>
    </w:p>
    <w:p w14:paraId="2392BBFD">
      <w:pPr>
        <w:rPr>
          <w:rFonts w:hint="eastAsia" w:ascii="Times New Roman" w:eastAsia="仿宋" w:cs="仿宋"/>
          <w:sz w:val="32"/>
          <w:szCs w:val="32"/>
        </w:rPr>
      </w:pPr>
    </w:p>
    <w:p w14:paraId="14EAF6A9">
      <w:pPr>
        <w:pStyle w:val="6"/>
        <w:rPr>
          <w:rFonts w:hint="eastAsia" w:ascii="Times New Roman" w:eastAsia="仿宋" w:cs="仿宋"/>
          <w:sz w:val="32"/>
          <w:szCs w:val="32"/>
        </w:rPr>
      </w:pPr>
    </w:p>
    <w:p w14:paraId="635830CE">
      <w:pPr>
        <w:rPr>
          <w:rFonts w:hint="default"/>
          <w:sz w:val="24"/>
          <w:szCs w:val="24"/>
        </w:rPr>
      </w:pPr>
    </w:p>
    <w:p w14:paraId="6CA4291D">
      <w:pPr>
        <w:rPr>
          <w:rFonts w:hint="eastAsia" w:ascii="Times New Roman" w:eastAsia="仿宋" w:cs="仿宋"/>
          <w:sz w:val="32"/>
          <w:szCs w:val="32"/>
        </w:rPr>
      </w:pPr>
    </w:p>
    <w:p w14:paraId="007768BF">
      <w:pPr>
        <w:pStyle w:val="6"/>
        <w:rPr>
          <w:rFonts w:hint="eastAsia" w:ascii="Times New Roman" w:eastAsia="仿宋" w:cs="仿宋"/>
          <w:sz w:val="32"/>
          <w:szCs w:val="32"/>
        </w:rPr>
      </w:pPr>
    </w:p>
    <w:p w14:paraId="68BD0BB3">
      <w:pPr>
        <w:rPr>
          <w:rFonts w:hint="eastAsia" w:ascii="Times New Roman" w:eastAsia="仿宋" w:cs="仿宋"/>
          <w:sz w:val="32"/>
          <w:szCs w:val="32"/>
        </w:rPr>
      </w:pPr>
    </w:p>
    <w:p w14:paraId="4B5AF7B2">
      <w:pPr>
        <w:pStyle w:val="6"/>
        <w:rPr>
          <w:rFonts w:hint="eastAsia" w:ascii="Times New Roman" w:eastAsia="仿宋" w:cs="仿宋"/>
          <w:sz w:val="32"/>
          <w:szCs w:val="32"/>
        </w:rPr>
      </w:pPr>
    </w:p>
    <w:p w14:paraId="05B50105">
      <w:pPr>
        <w:rPr>
          <w:rFonts w:hint="eastAsia" w:ascii="Times New Roman" w:eastAsia="仿宋" w:cs="仿宋"/>
          <w:sz w:val="32"/>
          <w:szCs w:val="32"/>
        </w:rPr>
      </w:pPr>
    </w:p>
    <w:p w14:paraId="2609D500">
      <w:pPr>
        <w:pStyle w:val="6"/>
        <w:rPr>
          <w:rFonts w:hint="eastAsia" w:ascii="Times New Roman" w:eastAsia="仿宋" w:cs="仿宋"/>
          <w:sz w:val="32"/>
          <w:szCs w:val="32"/>
        </w:rPr>
      </w:pPr>
    </w:p>
    <w:p w14:paraId="0785564E">
      <w:pPr>
        <w:rPr>
          <w:rFonts w:hint="eastAsia" w:ascii="Times New Roman" w:eastAsia="仿宋" w:cs="仿宋"/>
          <w:sz w:val="32"/>
          <w:szCs w:val="32"/>
        </w:rPr>
      </w:pPr>
    </w:p>
    <w:p w14:paraId="718A6A30">
      <w:pPr>
        <w:pStyle w:val="6"/>
        <w:rPr>
          <w:rFonts w:hint="eastAsia" w:ascii="Times New Roman" w:eastAsia="仿宋" w:cs="仿宋"/>
          <w:sz w:val="32"/>
          <w:szCs w:val="32"/>
        </w:rPr>
      </w:pPr>
    </w:p>
    <w:p w14:paraId="57559C44">
      <w:pPr>
        <w:rPr>
          <w:rFonts w:hint="eastAsia" w:ascii="Times New Roman" w:eastAsia="仿宋" w:cs="仿宋"/>
          <w:sz w:val="32"/>
          <w:szCs w:val="32"/>
        </w:rPr>
      </w:pPr>
    </w:p>
    <w:p w14:paraId="199EAF57">
      <w:pPr>
        <w:pStyle w:val="6"/>
        <w:rPr>
          <w:rFonts w:hint="eastAsia" w:ascii="Times New Roman" w:eastAsia="仿宋" w:cs="仿宋"/>
          <w:sz w:val="32"/>
          <w:szCs w:val="32"/>
        </w:rPr>
      </w:pPr>
    </w:p>
    <w:p w14:paraId="058D9F23">
      <w:pPr>
        <w:rPr>
          <w:rFonts w:hint="eastAsia" w:ascii="Times New Roman" w:eastAsia="仿宋" w:cs="仿宋"/>
          <w:sz w:val="32"/>
          <w:szCs w:val="32"/>
        </w:rPr>
      </w:pPr>
    </w:p>
    <w:p w14:paraId="4E6786A4">
      <w:pPr>
        <w:pStyle w:val="6"/>
        <w:rPr>
          <w:rFonts w:hint="eastAsia" w:ascii="Times New Roman" w:eastAsia="仿宋" w:cs="仿宋"/>
          <w:sz w:val="32"/>
          <w:szCs w:val="32"/>
        </w:rPr>
      </w:pPr>
    </w:p>
    <w:tbl>
      <w:tblPr>
        <w:tblStyle w:val="14"/>
        <w:tblW w:w="9774" w:type="dxa"/>
        <w:tblInd w:w="-19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0"/>
        <w:gridCol w:w="532"/>
        <w:gridCol w:w="898"/>
        <w:gridCol w:w="963"/>
        <w:gridCol w:w="1218"/>
        <w:gridCol w:w="1316"/>
        <w:gridCol w:w="1733"/>
        <w:gridCol w:w="2374"/>
      </w:tblGrid>
      <w:tr w14:paraId="6698C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6" w:hRule="atLeast"/>
        </w:trPr>
        <w:tc>
          <w:tcPr>
            <w:tcW w:w="9774" w:type="dxa"/>
            <w:gridSpan w:val="8"/>
            <w:tcBorders>
              <w:top w:val="nil"/>
              <w:left w:val="nil"/>
              <w:bottom w:val="nil"/>
              <w:right w:val="nil"/>
              <w:tl2br w:val="nil"/>
              <w:tr2bl w:val="nil"/>
            </w:tcBorders>
            <w:noWrap w:val="0"/>
            <w:vAlign w:val="center"/>
          </w:tcPr>
          <w:p w14:paraId="2145D018">
            <w:pPr>
              <w:widowControl/>
              <w:jc w:val="center"/>
              <w:textAlignment w:val="center"/>
              <w:rPr>
                <w:rFonts w:hint="eastAsia" w:ascii="方正小标宋简体" w:hAnsi="方正小标宋简体" w:eastAsia="方正小标宋简体" w:cs="方正小标宋简体"/>
                <w:color w:val="000000"/>
                <w:sz w:val="36"/>
                <w:szCs w:val="36"/>
              </w:rPr>
            </w:pPr>
            <w:r>
              <w:rPr>
                <w:rFonts w:hint="eastAsia" w:ascii="方正小标宋简体" w:hAnsi="方正小标宋简体" w:eastAsia="方正小标宋简体" w:cs="方正小标宋简体"/>
                <w:color w:val="000000"/>
                <w:sz w:val="36"/>
                <w:szCs w:val="36"/>
                <w:lang w:bidi="ar"/>
              </w:rPr>
              <w:t>广元市昭化区部门整体支出绩效目标自评表</w:t>
            </w:r>
          </w:p>
        </w:tc>
      </w:tr>
      <w:tr w14:paraId="2D12A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4" w:hRule="atLeast"/>
        </w:trPr>
        <w:tc>
          <w:tcPr>
            <w:tcW w:w="9774" w:type="dxa"/>
            <w:gridSpan w:val="8"/>
            <w:tcBorders>
              <w:top w:val="nil"/>
              <w:left w:val="nil"/>
              <w:bottom w:val="nil"/>
              <w:right w:val="nil"/>
              <w:tl2br w:val="nil"/>
              <w:tr2bl w:val="nil"/>
            </w:tcBorders>
            <w:noWrap w:val="0"/>
            <w:vAlign w:val="center"/>
          </w:tcPr>
          <w:p w14:paraId="5F5ABF53">
            <w:pPr>
              <w:widowControl/>
              <w:jc w:val="center"/>
              <w:textAlignment w:val="center"/>
              <w:rPr>
                <w:rFonts w:hint="default" w:hAnsi="宋体" w:cs="宋体"/>
                <w:b/>
                <w:color w:val="000000"/>
                <w:sz w:val="22"/>
                <w:szCs w:val="22"/>
              </w:rPr>
            </w:pPr>
            <w:r>
              <w:rPr>
                <w:rFonts w:hint="default" w:hAnsi="宋体" w:cs="宋体"/>
                <w:b/>
                <w:color w:val="000000"/>
                <w:sz w:val="22"/>
                <w:szCs w:val="22"/>
                <w:lang w:bidi="ar"/>
              </w:rPr>
              <w:t>（ 2023年度）</w:t>
            </w:r>
          </w:p>
        </w:tc>
      </w:tr>
      <w:tr w14:paraId="56065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3" w:hRule="atLeast"/>
        </w:trPr>
        <w:tc>
          <w:tcPr>
            <w:tcW w:w="127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5F0E53">
            <w:pPr>
              <w:widowControl/>
              <w:jc w:val="center"/>
              <w:textAlignment w:val="center"/>
              <w:rPr>
                <w:rFonts w:hint="default" w:hAnsi="宋体" w:cs="宋体"/>
                <w:color w:val="000000"/>
                <w:sz w:val="18"/>
                <w:szCs w:val="18"/>
              </w:rPr>
            </w:pPr>
            <w:r>
              <w:rPr>
                <w:rFonts w:hint="default" w:hAnsi="宋体" w:cs="宋体"/>
                <w:color w:val="000000"/>
                <w:sz w:val="18"/>
                <w:szCs w:val="18"/>
                <w:lang w:bidi="ar"/>
              </w:rPr>
              <w:t>主管部门</w:t>
            </w:r>
          </w:p>
        </w:tc>
        <w:tc>
          <w:tcPr>
            <w:tcW w:w="3079"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7E44BF">
            <w:pPr>
              <w:widowControl/>
              <w:jc w:val="center"/>
              <w:textAlignment w:val="center"/>
              <w:rPr>
                <w:rFonts w:hint="default" w:hAnsi="宋体" w:cs="宋体"/>
                <w:color w:val="000000"/>
                <w:sz w:val="18"/>
                <w:szCs w:val="18"/>
              </w:rPr>
            </w:pPr>
            <w:r>
              <w:rPr>
                <w:rFonts w:hint="default" w:hAnsi="宋体" w:cs="宋体"/>
                <w:color w:val="000000"/>
                <w:sz w:val="18"/>
                <w:szCs w:val="18"/>
                <w:lang w:bidi="ar"/>
              </w:rPr>
              <w:t>广元市昭化区太公镇人民政府</w:t>
            </w:r>
          </w:p>
        </w:tc>
        <w:tc>
          <w:tcPr>
            <w:tcW w:w="13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62AED6">
            <w:pPr>
              <w:widowControl/>
              <w:jc w:val="center"/>
              <w:textAlignment w:val="center"/>
              <w:rPr>
                <w:rFonts w:hint="default" w:hAnsi="宋体" w:cs="宋体"/>
                <w:color w:val="000000"/>
                <w:sz w:val="18"/>
                <w:szCs w:val="18"/>
              </w:rPr>
            </w:pPr>
            <w:r>
              <w:rPr>
                <w:rFonts w:hint="default" w:hAnsi="宋体" w:cs="宋体"/>
                <w:color w:val="000000"/>
                <w:sz w:val="18"/>
                <w:szCs w:val="18"/>
                <w:lang w:bidi="ar"/>
              </w:rPr>
              <w:t>实施单位</w:t>
            </w:r>
          </w:p>
        </w:tc>
        <w:tc>
          <w:tcPr>
            <w:tcW w:w="4107" w:type="dxa"/>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14:paraId="4A45D309">
            <w:pPr>
              <w:widowControl/>
              <w:jc w:val="center"/>
              <w:textAlignment w:val="center"/>
              <w:rPr>
                <w:rFonts w:hint="default" w:hAnsi="宋体" w:cs="宋体"/>
                <w:color w:val="000000"/>
                <w:sz w:val="24"/>
                <w:szCs w:val="24"/>
              </w:rPr>
            </w:pPr>
            <w:r>
              <w:rPr>
                <w:rFonts w:hint="default" w:hAnsi="宋体" w:cs="宋体"/>
                <w:color w:val="000000"/>
                <w:sz w:val="24"/>
                <w:szCs w:val="24"/>
                <w:lang w:bidi="ar"/>
              </w:rPr>
              <w:t>广元市昭化区太公镇人民政府</w:t>
            </w:r>
          </w:p>
        </w:tc>
      </w:tr>
      <w:tr w14:paraId="20544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272"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52531FC5">
            <w:pPr>
              <w:widowControl/>
              <w:jc w:val="center"/>
              <w:textAlignment w:val="center"/>
              <w:rPr>
                <w:rFonts w:hint="default" w:hAnsi="宋体" w:cs="宋体"/>
                <w:color w:val="000000"/>
                <w:sz w:val="18"/>
                <w:szCs w:val="18"/>
              </w:rPr>
            </w:pPr>
            <w:r>
              <w:rPr>
                <w:rFonts w:hint="default" w:hAnsi="宋体" w:cs="宋体"/>
                <w:color w:val="000000"/>
                <w:sz w:val="18"/>
                <w:szCs w:val="18"/>
                <w:lang w:bidi="ar"/>
              </w:rPr>
              <w:t>项目（政策）资金（万元）</w:t>
            </w:r>
          </w:p>
        </w:tc>
        <w:tc>
          <w:tcPr>
            <w:tcW w:w="1861" w:type="dxa"/>
            <w:gridSpan w:val="2"/>
            <w:tcBorders>
              <w:top w:val="nil"/>
              <w:left w:val="single" w:color="000000" w:sz="4" w:space="0"/>
              <w:bottom w:val="single" w:color="000000" w:sz="4" w:space="0"/>
              <w:right w:val="single" w:color="000000" w:sz="4" w:space="0"/>
              <w:tl2br w:val="nil"/>
              <w:tr2bl w:val="nil"/>
            </w:tcBorders>
            <w:noWrap w:val="0"/>
            <w:vAlign w:val="center"/>
          </w:tcPr>
          <w:p w14:paraId="41358FE9">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年度预算数（万元）</w:t>
            </w:r>
          </w:p>
        </w:tc>
        <w:tc>
          <w:tcPr>
            <w:tcW w:w="1218" w:type="dxa"/>
            <w:tcBorders>
              <w:top w:val="nil"/>
              <w:left w:val="single" w:color="000000" w:sz="4" w:space="0"/>
              <w:bottom w:val="single" w:color="000000" w:sz="4" w:space="0"/>
              <w:right w:val="single" w:color="000000" w:sz="4" w:space="0"/>
              <w:tl2br w:val="nil"/>
              <w:tr2bl w:val="nil"/>
            </w:tcBorders>
            <w:noWrap w:val="0"/>
            <w:vAlign w:val="center"/>
          </w:tcPr>
          <w:p w14:paraId="366ED6D1">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年初预算数</w:t>
            </w:r>
          </w:p>
        </w:tc>
        <w:tc>
          <w:tcPr>
            <w:tcW w:w="1316" w:type="dxa"/>
            <w:tcBorders>
              <w:top w:val="nil"/>
              <w:left w:val="single" w:color="000000" w:sz="4" w:space="0"/>
              <w:bottom w:val="single" w:color="000000" w:sz="4" w:space="0"/>
              <w:right w:val="single" w:color="000000" w:sz="4" w:space="0"/>
              <w:tl2br w:val="nil"/>
              <w:tr2bl w:val="nil"/>
            </w:tcBorders>
            <w:noWrap w:val="0"/>
            <w:vAlign w:val="center"/>
          </w:tcPr>
          <w:p w14:paraId="1F5DAD57">
            <w:pPr>
              <w:widowControl/>
              <w:jc w:val="center"/>
              <w:textAlignment w:val="center"/>
              <w:rPr>
                <w:rFonts w:hint="default" w:hAnsi="宋体" w:cs="宋体"/>
                <w:color w:val="000000"/>
                <w:sz w:val="18"/>
                <w:szCs w:val="18"/>
              </w:rPr>
            </w:pPr>
            <w:r>
              <w:rPr>
                <w:rFonts w:hint="default" w:hAnsi="宋体" w:cs="宋体"/>
                <w:color w:val="000000"/>
                <w:sz w:val="18"/>
                <w:szCs w:val="18"/>
                <w:lang w:bidi="ar"/>
              </w:rPr>
              <w:t>全年预算数</w:t>
            </w:r>
          </w:p>
        </w:tc>
        <w:tc>
          <w:tcPr>
            <w:tcW w:w="1733" w:type="dxa"/>
            <w:tcBorders>
              <w:top w:val="nil"/>
              <w:left w:val="single" w:color="000000" w:sz="4" w:space="0"/>
              <w:bottom w:val="single" w:color="000000" w:sz="4" w:space="0"/>
              <w:right w:val="single" w:color="000000" w:sz="4" w:space="0"/>
              <w:tl2br w:val="nil"/>
              <w:tr2bl w:val="nil"/>
            </w:tcBorders>
            <w:noWrap w:val="0"/>
            <w:vAlign w:val="center"/>
          </w:tcPr>
          <w:p w14:paraId="474D32C3">
            <w:pPr>
              <w:widowControl/>
              <w:jc w:val="center"/>
              <w:textAlignment w:val="center"/>
              <w:rPr>
                <w:rFonts w:hint="default" w:hAnsi="宋体" w:cs="宋体"/>
                <w:color w:val="000000"/>
                <w:sz w:val="18"/>
                <w:szCs w:val="18"/>
              </w:rPr>
            </w:pPr>
            <w:r>
              <w:rPr>
                <w:rFonts w:hint="default" w:hAnsi="宋体" w:cs="宋体"/>
                <w:color w:val="000000"/>
                <w:sz w:val="18"/>
                <w:szCs w:val="18"/>
                <w:lang w:bidi="ar"/>
              </w:rPr>
              <w:t>全年执行数</w:t>
            </w:r>
          </w:p>
        </w:tc>
        <w:tc>
          <w:tcPr>
            <w:tcW w:w="2374" w:type="dxa"/>
            <w:tcBorders>
              <w:top w:val="nil"/>
              <w:left w:val="single" w:color="000000" w:sz="4" w:space="0"/>
              <w:bottom w:val="single" w:color="000000" w:sz="4" w:space="0"/>
              <w:right w:val="single" w:color="000000" w:sz="4" w:space="0"/>
              <w:tl2br w:val="nil"/>
              <w:tr2bl w:val="nil"/>
            </w:tcBorders>
            <w:noWrap w:val="0"/>
            <w:vAlign w:val="center"/>
          </w:tcPr>
          <w:p w14:paraId="51649AEB">
            <w:pPr>
              <w:widowControl/>
              <w:jc w:val="center"/>
              <w:textAlignment w:val="center"/>
              <w:rPr>
                <w:rFonts w:hint="default" w:hAnsi="宋体" w:cs="宋体"/>
                <w:color w:val="000000"/>
                <w:sz w:val="18"/>
                <w:szCs w:val="18"/>
              </w:rPr>
            </w:pPr>
            <w:r>
              <w:rPr>
                <w:rFonts w:hint="default" w:hAnsi="宋体" w:cs="宋体"/>
                <w:color w:val="000000"/>
                <w:sz w:val="18"/>
                <w:szCs w:val="18"/>
                <w:lang w:bidi="ar"/>
              </w:rPr>
              <w:t>执行率</w:t>
            </w:r>
            <w:r>
              <w:rPr>
                <w:rFonts w:hint="eastAsia" w:hAnsi="宋体" w:cs="宋体"/>
                <w:color w:val="000000"/>
                <w:sz w:val="18"/>
                <w:szCs w:val="18"/>
                <w:lang w:eastAsia="zh-CN" w:bidi="ar"/>
              </w:rPr>
              <w:t>（</w:t>
            </w:r>
            <w:r>
              <w:rPr>
                <w:rFonts w:hint="default" w:hAnsi="宋体" w:cs="宋体"/>
                <w:color w:val="000000"/>
                <w:sz w:val="18"/>
                <w:szCs w:val="18"/>
                <w:lang w:bidi="ar"/>
              </w:rPr>
              <w:t>%</w:t>
            </w:r>
            <w:r>
              <w:rPr>
                <w:rFonts w:hint="eastAsia" w:hAnsi="宋体" w:cs="宋体"/>
                <w:color w:val="000000"/>
                <w:sz w:val="18"/>
                <w:szCs w:val="18"/>
                <w:lang w:eastAsia="zh-CN" w:bidi="ar"/>
              </w:rPr>
              <w:t>）</w:t>
            </w:r>
          </w:p>
        </w:tc>
      </w:tr>
      <w:tr w14:paraId="2F72F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272"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63C03F1">
            <w:pPr>
              <w:jc w:val="center"/>
              <w:rPr>
                <w:rFonts w:hint="default" w:hAnsi="宋体" w:cs="宋体"/>
                <w:color w:val="000000"/>
                <w:sz w:val="18"/>
                <w:szCs w:val="18"/>
              </w:rPr>
            </w:pPr>
          </w:p>
        </w:tc>
        <w:tc>
          <w:tcPr>
            <w:tcW w:w="1861"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4A4F55">
            <w:pPr>
              <w:widowControl/>
              <w:jc w:val="both"/>
              <w:textAlignment w:val="center"/>
              <w:rPr>
                <w:rFonts w:hint="default" w:hAnsi="宋体" w:cs="宋体"/>
                <w:color w:val="000000"/>
                <w:sz w:val="18"/>
                <w:szCs w:val="18"/>
              </w:rPr>
            </w:pPr>
            <w:r>
              <w:rPr>
                <w:rFonts w:hint="default" w:hAnsi="宋体" w:cs="宋体"/>
                <w:color w:val="000000"/>
                <w:sz w:val="18"/>
                <w:szCs w:val="18"/>
                <w:lang w:bidi="ar"/>
              </w:rPr>
              <w:t>年度资金总额</w:t>
            </w:r>
          </w:p>
        </w:tc>
        <w:tc>
          <w:tcPr>
            <w:tcW w:w="12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E88B67">
            <w:pPr>
              <w:widowControl/>
              <w:jc w:val="center"/>
              <w:textAlignment w:val="center"/>
              <w:rPr>
                <w:rFonts w:hint="default" w:hAnsi="宋体" w:cs="宋体"/>
                <w:color w:val="000000"/>
                <w:sz w:val="18"/>
                <w:szCs w:val="18"/>
              </w:rPr>
            </w:pPr>
            <w:r>
              <w:rPr>
                <w:rFonts w:hint="default" w:hAnsi="宋体" w:cs="宋体"/>
                <w:color w:val="000000"/>
                <w:sz w:val="18"/>
                <w:szCs w:val="18"/>
                <w:lang w:bidi="ar"/>
              </w:rPr>
              <w:t>1498.02</w:t>
            </w:r>
          </w:p>
        </w:tc>
        <w:tc>
          <w:tcPr>
            <w:tcW w:w="13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D4F0A1">
            <w:pPr>
              <w:widowControl/>
              <w:jc w:val="center"/>
              <w:textAlignment w:val="center"/>
              <w:rPr>
                <w:rFonts w:hint="default" w:hAnsi="宋体" w:cs="宋体"/>
                <w:color w:val="000000"/>
                <w:sz w:val="18"/>
                <w:szCs w:val="18"/>
              </w:rPr>
            </w:pPr>
            <w:r>
              <w:rPr>
                <w:rFonts w:hint="default" w:hAnsi="宋体" w:cs="宋体"/>
                <w:color w:val="000000"/>
                <w:sz w:val="18"/>
                <w:szCs w:val="18"/>
                <w:lang w:bidi="ar"/>
              </w:rPr>
              <w:t>1971.03</w:t>
            </w:r>
          </w:p>
        </w:tc>
        <w:tc>
          <w:tcPr>
            <w:tcW w:w="17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504176">
            <w:pPr>
              <w:widowControl/>
              <w:jc w:val="center"/>
              <w:textAlignment w:val="center"/>
              <w:rPr>
                <w:rFonts w:hint="default" w:hAnsi="宋体" w:cs="宋体"/>
                <w:color w:val="000000"/>
                <w:sz w:val="18"/>
                <w:szCs w:val="18"/>
              </w:rPr>
            </w:pPr>
            <w:r>
              <w:rPr>
                <w:rFonts w:hint="default" w:hAnsi="宋体" w:cs="宋体"/>
                <w:color w:val="000000"/>
                <w:sz w:val="18"/>
                <w:szCs w:val="18"/>
                <w:lang w:bidi="ar"/>
              </w:rPr>
              <w:t>1904.1</w:t>
            </w:r>
          </w:p>
        </w:tc>
        <w:tc>
          <w:tcPr>
            <w:tcW w:w="2374" w:type="dxa"/>
            <w:tcBorders>
              <w:top w:val="nil"/>
              <w:left w:val="single" w:color="000000" w:sz="4" w:space="0"/>
              <w:bottom w:val="single" w:color="000000" w:sz="4" w:space="0"/>
              <w:right w:val="single" w:color="000000" w:sz="4" w:space="0"/>
              <w:tl2br w:val="nil"/>
              <w:tr2bl w:val="nil"/>
            </w:tcBorders>
            <w:noWrap w:val="0"/>
            <w:vAlign w:val="center"/>
          </w:tcPr>
          <w:p w14:paraId="52FAD090">
            <w:pPr>
              <w:widowControl/>
              <w:jc w:val="center"/>
              <w:textAlignment w:val="center"/>
              <w:rPr>
                <w:rFonts w:hint="default" w:hAnsi="宋体" w:cs="宋体"/>
                <w:color w:val="000000"/>
                <w:sz w:val="18"/>
                <w:szCs w:val="18"/>
              </w:rPr>
            </w:pPr>
            <w:r>
              <w:rPr>
                <w:rFonts w:hint="default" w:hAnsi="宋体" w:cs="宋体"/>
                <w:color w:val="000000"/>
                <w:sz w:val="18"/>
                <w:szCs w:val="18"/>
                <w:lang w:bidi="ar"/>
              </w:rPr>
              <w:t>96.60%</w:t>
            </w:r>
          </w:p>
        </w:tc>
      </w:tr>
      <w:tr w14:paraId="5BB74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272"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8E56B0F">
            <w:pPr>
              <w:jc w:val="center"/>
              <w:rPr>
                <w:rFonts w:hint="default" w:hAnsi="宋体" w:cs="宋体"/>
                <w:color w:val="000000"/>
                <w:sz w:val="18"/>
                <w:szCs w:val="18"/>
              </w:rPr>
            </w:pPr>
          </w:p>
        </w:tc>
        <w:tc>
          <w:tcPr>
            <w:tcW w:w="1861"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B7C1BE">
            <w:pPr>
              <w:widowControl/>
              <w:textAlignment w:val="center"/>
              <w:rPr>
                <w:rFonts w:hint="default" w:hAnsi="宋体" w:cs="宋体"/>
                <w:color w:val="000000"/>
                <w:sz w:val="18"/>
                <w:szCs w:val="18"/>
              </w:rPr>
            </w:pPr>
            <w:r>
              <w:rPr>
                <w:rFonts w:hint="default" w:hAnsi="宋体" w:cs="宋体"/>
                <w:color w:val="000000"/>
                <w:sz w:val="18"/>
                <w:szCs w:val="18"/>
                <w:lang w:bidi="ar"/>
              </w:rPr>
              <w:t>（一）财政拨款小计</w:t>
            </w:r>
          </w:p>
        </w:tc>
        <w:tc>
          <w:tcPr>
            <w:tcW w:w="12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D6E3BC">
            <w:pPr>
              <w:widowControl/>
              <w:jc w:val="center"/>
              <w:textAlignment w:val="center"/>
              <w:rPr>
                <w:rFonts w:hint="default" w:hAnsi="宋体" w:cs="宋体"/>
                <w:color w:val="000000"/>
                <w:sz w:val="18"/>
                <w:szCs w:val="18"/>
              </w:rPr>
            </w:pPr>
            <w:r>
              <w:rPr>
                <w:rFonts w:hint="default" w:hAnsi="宋体" w:cs="宋体"/>
                <w:color w:val="000000"/>
                <w:sz w:val="18"/>
                <w:szCs w:val="18"/>
                <w:lang w:bidi="ar"/>
              </w:rPr>
              <w:t>1498.02</w:t>
            </w:r>
          </w:p>
        </w:tc>
        <w:tc>
          <w:tcPr>
            <w:tcW w:w="13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F17E84">
            <w:pPr>
              <w:widowControl/>
              <w:jc w:val="center"/>
              <w:textAlignment w:val="center"/>
              <w:rPr>
                <w:rFonts w:hint="default" w:hAnsi="宋体" w:cs="宋体"/>
                <w:color w:val="000000"/>
                <w:sz w:val="18"/>
                <w:szCs w:val="18"/>
              </w:rPr>
            </w:pPr>
            <w:r>
              <w:rPr>
                <w:rFonts w:hint="default" w:hAnsi="宋体" w:cs="宋体"/>
                <w:color w:val="000000"/>
                <w:sz w:val="18"/>
                <w:szCs w:val="18"/>
                <w:lang w:bidi="ar"/>
              </w:rPr>
              <w:t>1729.99</w:t>
            </w:r>
          </w:p>
        </w:tc>
        <w:tc>
          <w:tcPr>
            <w:tcW w:w="17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DB3FAA">
            <w:pPr>
              <w:widowControl/>
              <w:jc w:val="center"/>
              <w:textAlignment w:val="center"/>
              <w:rPr>
                <w:rFonts w:hint="default" w:hAnsi="宋体" w:cs="宋体"/>
                <w:color w:val="000000"/>
                <w:sz w:val="18"/>
                <w:szCs w:val="18"/>
              </w:rPr>
            </w:pPr>
            <w:r>
              <w:rPr>
                <w:rFonts w:hint="default" w:hAnsi="宋体" w:cs="宋体"/>
                <w:color w:val="000000"/>
                <w:sz w:val="18"/>
                <w:szCs w:val="18"/>
                <w:lang w:bidi="ar"/>
              </w:rPr>
              <w:t>1663.06</w:t>
            </w:r>
          </w:p>
        </w:tc>
        <w:tc>
          <w:tcPr>
            <w:tcW w:w="237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5AF247">
            <w:pPr>
              <w:widowControl/>
              <w:jc w:val="center"/>
              <w:textAlignment w:val="center"/>
              <w:rPr>
                <w:rFonts w:hint="default" w:hAnsi="宋体" w:cs="宋体"/>
                <w:color w:val="000000"/>
                <w:sz w:val="18"/>
                <w:szCs w:val="18"/>
              </w:rPr>
            </w:pPr>
            <w:r>
              <w:rPr>
                <w:rFonts w:hint="default" w:hAnsi="宋体" w:cs="宋体"/>
                <w:color w:val="000000"/>
                <w:sz w:val="18"/>
                <w:szCs w:val="18"/>
                <w:lang w:bidi="ar"/>
              </w:rPr>
              <w:t>96.13%</w:t>
            </w:r>
          </w:p>
        </w:tc>
      </w:tr>
      <w:tr w14:paraId="3B9CF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272"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F38EC3C">
            <w:pPr>
              <w:jc w:val="center"/>
              <w:rPr>
                <w:rFonts w:hint="default" w:hAnsi="宋体" w:cs="宋体"/>
                <w:color w:val="000000"/>
                <w:sz w:val="18"/>
                <w:szCs w:val="18"/>
              </w:rPr>
            </w:pPr>
          </w:p>
        </w:tc>
        <w:tc>
          <w:tcPr>
            <w:tcW w:w="1861"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4E6D08">
            <w:pPr>
              <w:widowControl/>
              <w:textAlignment w:val="center"/>
              <w:rPr>
                <w:rFonts w:hint="default" w:hAnsi="宋体" w:cs="宋体"/>
                <w:color w:val="000000"/>
                <w:sz w:val="18"/>
                <w:szCs w:val="18"/>
              </w:rPr>
            </w:pPr>
            <w:r>
              <w:rPr>
                <w:rFonts w:hint="default" w:hAnsi="宋体" w:cs="宋体"/>
                <w:color w:val="000000"/>
                <w:sz w:val="18"/>
                <w:szCs w:val="18"/>
                <w:lang w:bidi="ar"/>
              </w:rPr>
              <w:t xml:space="preserve"> 1.一般公共预算</w:t>
            </w:r>
          </w:p>
        </w:tc>
        <w:tc>
          <w:tcPr>
            <w:tcW w:w="12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58E032">
            <w:pPr>
              <w:widowControl/>
              <w:jc w:val="center"/>
              <w:textAlignment w:val="center"/>
              <w:rPr>
                <w:rFonts w:hint="default" w:hAnsi="宋体" w:cs="宋体"/>
                <w:color w:val="000000"/>
                <w:sz w:val="18"/>
                <w:szCs w:val="18"/>
              </w:rPr>
            </w:pPr>
            <w:r>
              <w:rPr>
                <w:rFonts w:hint="default" w:hAnsi="宋体" w:cs="宋体"/>
                <w:color w:val="000000"/>
                <w:sz w:val="18"/>
                <w:szCs w:val="18"/>
                <w:lang w:bidi="ar"/>
              </w:rPr>
              <w:t>1498.02</w:t>
            </w:r>
          </w:p>
        </w:tc>
        <w:tc>
          <w:tcPr>
            <w:tcW w:w="13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26A4DE">
            <w:pPr>
              <w:widowControl/>
              <w:jc w:val="center"/>
              <w:textAlignment w:val="center"/>
              <w:rPr>
                <w:rFonts w:hint="default" w:hAnsi="宋体" w:cs="宋体"/>
                <w:color w:val="000000"/>
                <w:sz w:val="18"/>
                <w:szCs w:val="18"/>
              </w:rPr>
            </w:pPr>
            <w:r>
              <w:rPr>
                <w:rFonts w:hint="default" w:hAnsi="宋体" w:cs="宋体"/>
                <w:color w:val="000000"/>
                <w:sz w:val="18"/>
                <w:szCs w:val="18"/>
                <w:lang w:bidi="ar"/>
              </w:rPr>
              <w:t>1719.99</w:t>
            </w:r>
          </w:p>
        </w:tc>
        <w:tc>
          <w:tcPr>
            <w:tcW w:w="17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D78E04">
            <w:pPr>
              <w:widowControl/>
              <w:jc w:val="center"/>
              <w:textAlignment w:val="center"/>
              <w:rPr>
                <w:rFonts w:hint="default" w:hAnsi="宋体" w:cs="宋体"/>
                <w:color w:val="000000"/>
                <w:sz w:val="18"/>
                <w:szCs w:val="18"/>
              </w:rPr>
            </w:pPr>
            <w:r>
              <w:rPr>
                <w:rFonts w:hint="default" w:hAnsi="宋体" w:cs="宋体"/>
                <w:color w:val="000000"/>
                <w:sz w:val="18"/>
                <w:szCs w:val="18"/>
                <w:lang w:bidi="ar"/>
              </w:rPr>
              <w:t>1653.06</w:t>
            </w:r>
          </w:p>
        </w:tc>
        <w:tc>
          <w:tcPr>
            <w:tcW w:w="2374" w:type="dxa"/>
            <w:tcBorders>
              <w:top w:val="nil"/>
              <w:left w:val="single" w:color="000000" w:sz="4" w:space="0"/>
              <w:bottom w:val="single" w:color="000000" w:sz="4" w:space="0"/>
              <w:right w:val="single" w:color="000000" w:sz="4" w:space="0"/>
              <w:tl2br w:val="nil"/>
              <w:tr2bl w:val="nil"/>
            </w:tcBorders>
            <w:noWrap w:val="0"/>
            <w:vAlign w:val="center"/>
          </w:tcPr>
          <w:p w14:paraId="4ECFD4B6">
            <w:pPr>
              <w:widowControl/>
              <w:jc w:val="center"/>
              <w:textAlignment w:val="center"/>
              <w:rPr>
                <w:rFonts w:hint="default" w:hAnsi="宋体" w:cs="宋体"/>
                <w:color w:val="000000"/>
                <w:sz w:val="18"/>
                <w:szCs w:val="18"/>
              </w:rPr>
            </w:pPr>
            <w:r>
              <w:rPr>
                <w:rFonts w:hint="default" w:hAnsi="宋体" w:cs="宋体"/>
                <w:color w:val="000000"/>
                <w:sz w:val="18"/>
                <w:szCs w:val="18"/>
                <w:lang w:bidi="ar"/>
              </w:rPr>
              <w:t>96.11%</w:t>
            </w:r>
          </w:p>
        </w:tc>
      </w:tr>
      <w:tr w14:paraId="3767B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272"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EC8CF43">
            <w:pPr>
              <w:jc w:val="center"/>
              <w:rPr>
                <w:rFonts w:hint="default" w:hAnsi="宋体" w:cs="宋体"/>
                <w:color w:val="000000"/>
                <w:sz w:val="18"/>
                <w:szCs w:val="18"/>
              </w:rPr>
            </w:pPr>
          </w:p>
        </w:tc>
        <w:tc>
          <w:tcPr>
            <w:tcW w:w="1861"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F4D122">
            <w:pPr>
              <w:widowControl/>
              <w:textAlignment w:val="center"/>
              <w:rPr>
                <w:rFonts w:hint="default" w:hAnsi="宋体" w:cs="宋体"/>
                <w:color w:val="000000"/>
                <w:sz w:val="18"/>
                <w:szCs w:val="18"/>
              </w:rPr>
            </w:pPr>
            <w:r>
              <w:rPr>
                <w:rFonts w:hint="default" w:hAnsi="宋体" w:cs="宋体"/>
                <w:color w:val="000000"/>
                <w:sz w:val="18"/>
                <w:szCs w:val="18"/>
                <w:lang w:bidi="ar"/>
              </w:rPr>
              <w:t xml:space="preserve"> 2.政府性基金</w:t>
            </w:r>
          </w:p>
        </w:tc>
        <w:tc>
          <w:tcPr>
            <w:tcW w:w="12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DECCD7">
            <w:pPr>
              <w:jc w:val="center"/>
              <w:rPr>
                <w:rFonts w:hint="default" w:hAnsi="宋体" w:cs="宋体"/>
                <w:color w:val="000000"/>
                <w:sz w:val="18"/>
                <w:szCs w:val="18"/>
              </w:rPr>
            </w:pPr>
          </w:p>
        </w:tc>
        <w:tc>
          <w:tcPr>
            <w:tcW w:w="13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67AF26">
            <w:pPr>
              <w:widowControl/>
              <w:jc w:val="center"/>
              <w:textAlignment w:val="center"/>
              <w:rPr>
                <w:rFonts w:hint="default" w:hAnsi="宋体" w:cs="宋体"/>
                <w:color w:val="000000"/>
                <w:sz w:val="18"/>
                <w:szCs w:val="18"/>
              </w:rPr>
            </w:pPr>
            <w:r>
              <w:rPr>
                <w:rFonts w:hint="default" w:hAnsi="宋体" w:cs="宋体"/>
                <w:color w:val="000000"/>
                <w:sz w:val="18"/>
                <w:szCs w:val="18"/>
                <w:lang w:bidi="ar"/>
              </w:rPr>
              <w:t>10</w:t>
            </w:r>
          </w:p>
        </w:tc>
        <w:tc>
          <w:tcPr>
            <w:tcW w:w="17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31B4D4">
            <w:pPr>
              <w:widowControl/>
              <w:jc w:val="center"/>
              <w:textAlignment w:val="center"/>
              <w:rPr>
                <w:rFonts w:hint="default" w:hAnsi="宋体" w:cs="宋体"/>
                <w:color w:val="000000"/>
                <w:sz w:val="18"/>
                <w:szCs w:val="18"/>
              </w:rPr>
            </w:pPr>
            <w:r>
              <w:rPr>
                <w:rFonts w:hint="default" w:hAnsi="宋体" w:cs="宋体"/>
                <w:color w:val="000000"/>
                <w:sz w:val="18"/>
                <w:szCs w:val="18"/>
                <w:lang w:bidi="ar"/>
              </w:rPr>
              <w:t>10</w:t>
            </w:r>
          </w:p>
        </w:tc>
        <w:tc>
          <w:tcPr>
            <w:tcW w:w="2374" w:type="dxa"/>
            <w:tcBorders>
              <w:top w:val="nil"/>
              <w:left w:val="single" w:color="000000" w:sz="4" w:space="0"/>
              <w:bottom w:val="single" w:color="000000" w:sz="4" w:space="0"/>
              <w:right w:val="single" w:color="000000" w:sz="4" w:space="0"/>
              <w:tl2br w:val="nil"/>
              <w:tr2bl w:val="nil"/>
            </w:tcBorders>
            <w:noWrap w:val="0"/>
            <w:vAlign w:val="center"/>
          </w:tcPr>
          <w:p w14:paraId="377DBAFB">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r>
      <w:tr w14:paraId="39E7D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272"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9A422FE">
            <w:pPr>
              <w:jc w:val="center"/>
              <w:rPr>
                <w:rFonts w:hint="default" w:hAnsi="宋体" w:cs="宋体"/>
                <w:color w:val="000000"/>
                <w:sz w:val="18"/>
                <w:szCs w:val="18"/>
              </w:rPr>
            </w:pPr>
          </w:p>
        </w:tc>
        <w:tc>
          <w:tcPr>
            <w:tcW w:w="1861"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C5C624">
            <w:pPr>
              <w:widowControl/>
              <w:textAlignment w:val="center"/>
              <w:rPr>
                <w:rFonts w:hint="default" w:hAnsi="宋体" w:cs="宋体"/>
                <w:color w:val="000000"/>
                <w:sz w:val="18"/>
                <w:szCs w:val="18"/>
              </w:rPr>
            </w:pPr>
            <w:r>
              <w:rPr>
                <w:rFonts w:hint="default" w:hAnsi="宋体" w:cs="宋体"/>
                <w:color w:val="000000"/>
                <w:sz w:val="18"/>
                <w:szCs w:val="18"/>
                <w:lang w:bidi="ar"/>
              </w:rPr>
              <w:t xml:space="preserve"> 3.国有资本经营预算</w:t>
            </w:r>
          </w:p>
        </w:tc>
        <w:tc>
          <w:tcPr>
            <w:tcW w:w="12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330D15">
            <w:pPr>
              <w:jc w:val="center"/>
              <w:rPr>
                <w:rFonts w:hint="default" w:hAnsi="宋体" w:cs="宋体"/>
                <w:color w:val="000000"/>
                <w:sz w:val="18"/>
                <w:szCs w:val="18"/>
              </w:rPr>
            </w:pPr>
          </w:p>
        </w:tc>
        <w:tc>
          <w:tcPr>
            <w:tcW w:w="13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3D9036">
            <w:pPr>
              <w:jc w:val="center"/>
              <w:rPr>
                <w:rFonts w:hint="default" w:hAnsi="宋体" w:cs="宋体"/>
                <w:color w:val="000000"/>
                <w:sz w:val="18"/>
                <w:szCs w:val="18"/>
              </w:rPr>
            </w:pPr>
          </w:p>
        </w:tc>
        <w:tc>
          <w:tcPr>
            <w:tcW w:w="17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A70E12">
            <w:pPr>
              <w:jc w:val="center"/>
              <w:rPr>
                <w:rFonts w:hint="default" w:hAnsi="宋体" w:cs="宋体"/>
                <w:color w:val="000000"/>
                <w:sz w:val="18"/>
                <w:szCs w:val="18"/>
              </w:rPr>
            </w:pPr>
          </w:p>
        </w:tc>
        <w:tc>
          <w:tcPr>
            <w:tcW w:w="2374" w:type="dxa"/>
            <w:tcBorders>
              <w:top w:val="nil"/>
              <w:left w:val="single" w:color="000000" w:sz="4" w:space="0"/>
              <w:bottom w:val="single" w:color="000000" w:sz="4" w:space="0"/>
              <w:right w:val="single" w:color="000000" w:sz="4" w:space="0"/>
              <w:tl2br w:val="nil"/>
              <w:tr2bl w:val="nil"/>
            </w:tcBorders>
            <w:noWrap w:val="0"/>
            <w:vAlign w:val="center"/>
          </w:tcPr>
          <w:p w14:paraId="0BA855A9">
            <w:pPr>
              <w:jc w:val="center"/>
              <w:rPr>
                <w:rFonts w:hint="default" w:hAnsi="宋体" w:cs="宋体"/>
                <w:color w:val="000000"/>
                <w:sz w:val="18"/>
                <w:szCs w:val="18"/>
              </w:rPr>
            </w:pPr>
          </w:p>
        </w:tc>
      </w:tr>
      <w:tr w14:paraId="26CD8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272"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CAD3821">
            <w:pPr>
              <w:jc w:val="center"/>
              <w:rPr>
                <w:rFonts w:hint="default" w:hAnsi="宋体" w:cs="宋体"/>
                <w:color w:val="000000"/>
                <w:sz w:val="18"/>
                <w:szCs w:val="18"/>
              </w:rPr>
            </w:pPr>
          </w:p>
        </w:tc>
        <w:tc>
          <w:tcPr>
            <w:tcW w:w="1861"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91020C">
            <w:pPr>
              <w:widowControl/>
              <w:textAlignment w:val="center"/>
              <w:rPr>
                <w:rFonts w:hint="default" w:hAnsi="宋体" w:cs="宋体"/>
                <w:color w:val="000000"/>
                <w:sz w:val="18"/>
                <w:szCs w:val="18"/>
              </w:rPr>
            </w:pPr>
            <w:r>
              <w:rPr>
                <w:rFonts w:hint="default" w:hAnsi="宋体" w:cs="宋体"/>
                <w:color w:val="000000"/>
                <w:sz w:val="18"/>
                <w:szCs w:val="18"/>
                <w:lang w:bidi="ar"/>
              </w:rPr>
              <w:t>（二）其他资金</w:t>
            </w:r>
          </w:p>
        </w:tc>
        <w:tc>
          <w:tcPr>
            <w:tcW w:w="12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971B63">
            <w:pPr>
              <w:jc w:val="center"/>
              <w:rPr>
                <w:rFonts w:hint="default" w:hAnsi="宋体" w:cs="宋体"/>
                <w:color w:val="000000"/>
                <w:sz w:val="18"/>
                <w:szCs w:val="18"/>
              </w:rPr>
            </w:pPr>
          </w:p>
        </w:tc>
        <w:tc>
          <w:tcPr>
            <w:tcW w:w="13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525162">
            <w:pPr>
              <w:widowControl/>
              <w:jc w:val="center"/>
              <w:textAlignment w:val="center"/>
              <w:rPr>
                <w:rFonts w:hint="default" w:hAnsi="宋体" w:cs="宋体"/>
                <w:color w:val="000000"/>
                <w:sz w:val="18"/>
                <w:szCs w:val="18"/>
              </w:rPr>
            </w:pPr>
            <w:r>
              <w:rPr>
                <w:rFonts w:hint="default" w:hAnsi="宋体" w:cs="宋体"/>
                <w:color w:val="000000"/>
                <w:sz w:val="18"/>
                <w:szCs w:val="18"/>
                <w:lang w:bidi="ar"/>
              </w:rPr>
              <w:t>241.04</w:t>
            </w:r>
          </w:p>
        </w:tc>
        <w:tc>
          <w:tcPr>
            <w:tcW w:w="17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09CC14">
            <w:pPr>
              <w:widowControl/>
              <w:jc w:val="center"/>
              <w:textAlignment w:val="center"/>
              <w:rPr>
                <w:rFonts w:hint="default" w:hAnsi="宋体" w:cs="宋体"/>
                <w:color w:val="000000"/>
                <w:sz w:val="18"/>
                <w:szCs w:val="18"/>
              </w:rPr>
            </w:pPr>
            <w:r>
              <w:rPr>
                <w:rFonts w:hint="default" w:hAnsi="宋体" w:cs="宋体"/>
                <w:color w:val="000000"/>
                <w:sz w:val="18"/>
                <w:szCs w:val="18"/>
                <w:lang w:bidi="ar"/>
              </w:rPr>
              <w:t>241.04</w:t>
            </w:r>
          </w:p>
        </w:tc>
        <w:tc>
          <w:tcPr>
            <w:tcW w:w="2374" w:type="dxa"/>
            <w:tcBorders>
              <w:top w:val="nil"/>
              <w:left w:val="single" w:color="000000" w:sz="4" w:space="0"/>
              <w:bottom w:val="single" w:color="000000" w:sz="4" w:space="0"/>
              <w:right w:val="single" w:color="000000" w:sz="4" w:space="0"/>
              <w:tl2br w:val="nil"/>
              <w:tr2bl w:val="nil"/>
            </w:tcBorders>
            <w:noWrap w:val="0"/>
            <w:vAlign w:val="center"/>
          </w:tcPr>
          <w:p w14:paraId="7FBD44A9">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r>
      <w:tr w14:paraId="2A948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74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AAC6B6">
            <w:pPr>
              <w:widowControl/>
              <w:jc w:val="center"/>
              <w:textAlignment w:val="center"/>
              <w:rPr>
                <w:rFonts w:hint="default" w:hAnsi="宋体" w:cs="宋体"/>
                <w:color w:val="000000"/>
                <w:sz w:val="18"/>
                <w:szCs w:val="18"/>
              </w:rPr>
            </w:pPr>
            <w:r>
              <w:rPr>
                <w:rFonts w:hint="default" w:hAnsi="宋体" w:cs="宋体"/>
                <w:color w:val="000000"/>
                <w:sz w:val="18"/>
                <w:szCs w:val="18"/>
                <w:lang w:bidi="ar"/>
              </w:rPr>
              <w:t>整体</w:t>
            </w:r>
            <w:r>
              <w:rPr>
                <w:rFonts w:hint="default" w:hAnsi="宋体" w:cs="宋体"/>
                <w:color w:val="000000"/>
                <w:sz w:val="18"/>
                <w:szCs w:val="18"/>
                <w:lang w:bidi="ar"/>
              </w:rPr>
              <w:br w:type="textWrapping"/>
            </w:r>
            <w:r>
              <w:rPr>
                <w:rFonts w:hint="default" w:hAnsi="宋体" w:cs="宋体"/>
                <w:color w:val="000000"/>
                <w:sz w:val="18"/>
                <w:szCs w:val="18"/>
                <w:lang w:bidi="ar"/>
              </w:rPr>
              <w:t>目标</w:t>
            </w:r>
          </w:p>
        </w:tc>
        <w:tc>
          <w:tcPr>
            <w:tcW w:w="4927" w:type="dxa"/>
            <w:gridSpan w:val="5"/>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27C8CF">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年度目标</w:t>
            </w:r>
          </w:p>
        </w:tc>
        <w:tc>
          <w:tcPr>
            <w:tcW w:w="4107"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EEB6EB">
            <w:pPr>
              <w:widowControl/>
              <w:jc w:val="center"/>
              <w:textAlignment w:val="center"/>
              <w:rPr>
                <w:rFonts w:hint="default" w:hAnsi="宋体" w:cs="宋体"/>
                <w:color w:val="000000"/>
                <w:sz w:val="18"/>
                <w:szCs w:val="18"/>
              </w:rPr>
            </w:pPr>
            <w:r>
              <w:rPr>
                <w:rFonts w:hint="default" w:hAnsi="宋体" w:cs="宋体"/>
                <w:color w:val="000000"/>
                <w:sz w:val="18"/>
                <w:szCs w:val="18"/>
                <w:lang w:bidi="ar"/>
              </w:rPr>
              <w:t>完成情况</w:t>
            </w:r>
          </w:p>
        </w:tc>
      </w:tr>
      <w:tr w14:paraId="12768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1" w:hRule="atLeast"/>
        </w:trPr>
        <w:tc>
          <w:tcPr>
            <w:tcW w:w="74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FAD426">
            <w:pPr>
              <w:jc w:val="center"/>
              <w:rPr>
                <w:rFonts w:hint="default" w:hAnsi="宋体" w:cs="宋体"/>
                <w:color w:val="000000"/>
                <w:sz w:val="18"/>
                <w:szCs w:val="18"/>
              </w:rPr>
            </w:pPr>
          </w:p>
        </w:tc>
        <w:tc>
          <w:tcPr>
            <w:tcW w:w="4927" w:type="dxa"/>
            <w:gridSpan w:val="5"/>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3EC7F9">
            <w:pPr>
              <w:widowControl/>
              <w:textAlignment w:val="center"/>
              <w:rPr>
                <w:rFonts w:hint="default" w:hAnsi="宋体" w:cs="宋体"/>
                <w:color w:val="000000"/>
                <w:sz w:val="18"/>
                <w:szCs w:val="18"/>
              </w:rPr>
            </w:pPr>
            <w:r>
              <w:rPr>
                <w:rFonts w:hint="default" w:hAnsi="宋体" w:cs="宋体"/>
                <w:color w:val="000000"/>
                <w:sz w:val="18"/>
                <w:szCs w:val="18"/>
                <w:lang w:bidi="ar"/>
              </w:rPr>
              <w:t>深入贯彻学习市区党代会精神，坚决落实中央、省委、市委及区委的各项工作部署安排，紧紧围绕区委“四城新区”建设，聚焦产业发展、两项改革“后半篇”文章，招商引资、基层治理、民生改善，从严治党等重点工作，推动“红色活力太公  绿色产业重镇”再上新台阶。一是完成区级各项目标任务；二是保障在职人员、退休干部、临聘人员、村社区干部的工资、保险、绩效、生活补助和日常正常工作的运转；三是做好基层组织活动和公共运行维护项目工作；四是做好烤烟生产发展工作；五是做好太公红军山红色旅游文化的保护和维修工作；六是做好安全及预备役征兵工作；七是做好场镇的环境卫生、路灯照明、管理和维护、人大等相关工作。服务对象覆盖全镇13个村2个社区77个村民小组17246人，群众服务满意度达到95%以上。</w:t>
            </w:r>
          </w:p>
        </w:tc>
        <w:tc>
          <w:tcPr>
            <w:tcW w:w="4107"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9DB855">
            <w:pPr>
              <w:widowControl/>
              <w:textAlignment w:val="center"/>
              <w:rPr>
                <w:rFonts w:hint="default" w:hAnsi="宋体" w:cs="宋体"/>
                <w:color w:val="000000"/>
                <w:sz w:val="18"/>
                <w:szCs w:val="18"/>
              </w:rPr>
            </w:pPr>
            <w:r>
              <w:rPr>
                <w:rFonts w:hint="default" w:hAnsi="宋体" w:cs="宋体"/>
                <w:color w:val="000000"/>
                <w:sz w:val="18"/>
                <w:szCs w:val="18"/>
                <w:lang w:bidi="ar"/>
              </w:rPr>
              <w:t>深入贯彻学习市区党代会精神，坚决落实中央、省委、市委及区委的各项工作部署安排，紧紧围绕区委“四城新区”建设，聚焦产业发展、两项改革“后半篇”文章，招商引资、基层治理、民生改善，从严治党等重点工作，推动“红色活力太公  绿色产业重镇”再上新台阶。一是镇域经济蓬勃发展；二是产业发展势头强劲；三是镇村面貌精彩蝶变；四是基础设施日益完善；五是民生福祉成果丰硕；六是乡村治理更加有力；七是文明新风蔚然成风；八是党的建设不断加强；九是主题教育有力推进；服务对象覆盖全镇13个村2个社区77个村民小组，群众服务满意度达到95%以上。</w:t>
            </w:r>
          </w:p>
        </w:tc>
      </w:tr>
      <w:tr w14:paraId="275B5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2" w:hRule="atLeast"/>
        </w:trPr>
        <w:tc>
          <w:tcPr>
            <w:tcW w:w="74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91E24B">
            <w:pPr>
              <w:widowControl/>
              <w:jc w:val="center"/>
              <w:textAlignment w:val="center"/>
              <w:rPr>
                <w:rFonts w:hint="default" w:hAnsi="宋体" w:cs="宋体"/>
                <w:color w:val="000000"/>
                <w:sz w:val="18"/>
                <w:szCs w:val="18"/>
              </w:rPr>
            </w:pPr>
            <w:r>
              <w:rPr>
                <w:rFonts w:hint="default" w:hAnsi="宋体" w:cs="宋体"/>
                <w:color w:val="000000"/>
                <w:sz w:val="18"/>
                <w:szCs w:val="18"/>
                <w:lang w:bidi="ar"/>
              </w:rPr>
              <w:t>部门整体绩效指标</w:t>
            </w:r>
          </w:p>
        </w:tc>
        <w:tc>
          <w:tcPr>
            <w:tcW w:w="5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367232">
            <w:pPr>
              <w:widowControl/>
              <w:jc w:val="center"/>
              <w:textAlignment w:val="center"/>
              <w:rPr>
                <w:rFonts w:hint="default" w:hAnsi="宋体" w:cs="宋体"/>
                <w:color w:val="000000"/>
                <w:sz w:val="18"/>
                <w:szCs w:val="18"/>
              </w:rPr>
            </w:pPr>
            <w:r>
              <w:rPr>
                <w:rFonts w:hint="default" w:hAnsi="宋体" w:cs="宋体"/>
                <w:color w:val="000000"/>
                <w:sz w:val="18"/>
                <w:szCs w:val="18"/>
                <w:lang w:bidi="ar"/>
              </w:rPr>
              <w:t>一级指标</w:t>
            </w:r>
          </w:p>
        </w:tc>
        <w:tc>
          <w:tcPr>
            <w:tcW w:w="89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D6CA00">
            <w:pPr>
              <w:widowControl/>
              <w:jc w:val="center"/>
              <w:textAlignment w:val="center"/>
              <w:rPr>
                <w:rFonts w:hint="default" w:hAnsi="宋体" w:cs="宋体"/>
                <w:color w:val="000000"/>
                <w:sz w:val="18"/>
                <w:szCs w:val="18"/>
              </w:rPr>
            </w:pPr>
            <w:r>
              <w:rPr>
                <w:rFonts w:hint="default" w:hAnsi="宋体" w:cs="宋体"/>
                <w:color w:val="000000"/>
                <w:sz w:val="18"/>
                <w:szCs w:val="18"/>
                <w:lang w:bidi="ar"/>
              </w:rPr>
              <w:t>二级指标</w:t>
            </w:r>
          </w:p>
        </w:tc>
        <w:tc>
          <w:tcPr>
            <w:tcW w:w="2181"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9474E0">
            <w:pPr>
              <w:widowControl/>
              <w:jc w:val="center"/>
              <w:textAlignment w:val="center"/>
              <w:rPr>
                <w:rFonts w:hint="default" w:hAnsi="宋体" w:cs="宋体"/>
                <w:color w:val="000000"/>
                <w:sz w:val="18"/>
                <w:szCs w:val="18"/>
              </w:rPr>
            </w:pPr>
            <w:r>
              <w:rPr>
                <w:rFonts w:hint="default" w:hAnsi="宋体" w:cs="宋体"/>
                <w:color w:val="000000"/>
                <w:sz w:val="18"/>
                <w:szCs w:val="18"/>
                <w:lang w:bidi="ar"/>
              </w:rPr>
              <w:t>三级指标</w:t>
            </w:r>
          </w:p>
        </w:tc>
        <w:tc>
          <w:tcPr>
            <w:tcW w:w="13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1DA489">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年度指标值</w:t>
            </w:r>
          </w:p>
        </w:tc>
        <w:tc>
          <w:tcPr>
            <w:tcW w:w="17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F9A7CE">
            <w:pPr>
              <w:widowControl/>
              <w:jc w:val="center"/>
              <w:textAlignment w:val="center"/>
              <w:rPr>
                <w:rFonts w:hint="default" w:hAnsi="宋体" w:cs="宋体"/>
                <w:color w:val="000000"/>
                <w:sz w:val="18"/>
                <w:szCs w:val="18"/>
              </w:rPr>
            </w:pPr>
            <w:r>
              <w:rPr>
                <w:rFonts w:hint="default" w:hAnsi="宋体" w:cs="宋体"/>
                <w:color w:val="000000"/>
                <w:sz w:val="18"/>
                <w:szCs w:val="18"/>
                <w:lang w:bidi="ar"/>
              </w:rPr>
              <w:t>实际完成值</w:t>
            </w:r>
          </w:p>
        </w:tc>
        <w:tc>
          <w:tcPr>
            <w:tcW w:w="2374" w:type="dxa"/>
            <w:tcBorders>
              <w:top w:val="nil"/>
              <w:left w:val="nil"/>
              <w:bottom w:val="nil"/>
              <w:right w:val="single" w:color="000000" w:sz="4" w:space="0"/>
              <w:tl2br w:val="nil"/>
              <w:tr2bl w:val="nil"/>
            </w:tcBorders>
            <w:noWrap w:val="0"/>
            <w:vAlign w:val="center"/>
          </w:tcPr>
          <w:p w14:paraId="306FFD88">
            <w:pPr>
              <w:widowControl/>
              <w:jc w:val="center"/>
              <w:textAlignment w:val="center"/>
              <w:rPr>
                <w:rFonts w:hint="default" w:hAnsi="宋体" w:cs="宋体"/>
                <w:color w:val="000000"/>
                <w:sz w:val="18"/>
                <w:szCs w:val="18"/>
              </w:rPr>
            </w:pPr>
            <w:r>
              <w:rPr>
                <w:rFonts w:hint="default" w:hAnsi="宋体" w:cs="宋体"/>
                <w:color w:val="000000"/>
                <w:sz w:val="18"/>
                <w:szCs w:val="18"/>
                <w:lang w:bidi="ar"/>
              </w:rPr>
              <w:t>偏差原因分析及改进措施</w:t>
            </w:r>
          </w:p>
        </w:tc>
      </w:tr>
      <w:tr w14:paraId="7749E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74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EDF121">
            <w:pPr>
              <w:jc w:val="center"/>
              <w:rPr>
                <w:rFonts w:hint="default" w:hAnsi="宋体" w:cs="宋体"/>
                <w:color w:val="000000"/>
                <w:sz w:val="18"/>
                <w:szCs w:val="18"/>
              </w:rPr>
            </w:pPr>
          </w:p>
        </w:tc>
        <w:tc>
          <w:tcPr>
            <w:tcW w:w="532"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97F5D1">
            <w:pPr>
              <w:widowControl/>
              <w:jc w:val="center"/>
              <w:textAlignment w:val="center"/>
              <w:rPr>
                <w:rFonts w:hint="default" w:hAnsi="宋体" w:cs="宋体"/>
                <w:color w:val="000000"/>
                <w:sz w:val="18"/>
                <w:szCs w:val="18"/>
              </w:rPr>
            </w:pPr>
            <w:r>
              <w:rPr>
                <w:rFonts w:hint="default" w:hAnsi="宋体" w:cs="宋体"/>
                <w:color w:val="000000"/>
                <w:sz w:val="18"/>
                <w:szCs w:val="18"/>
                <w:lang w:bidi="ar"/>
              </w:rPr>
              <w:t>产出指标</w:t>
            </w:r>
          </w:p>
        </w:tc>
        <w:tc>
          <w:tcPr>
            <w:tcW w:w="898"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9993A9">
            <w:pPr>
              <w:widowControl/>
              <w:jc w:val="center"/>
              <w:textAlignment w:val="center"/>
              <w:rPr>
                <w:rFonts w:hint="default" w:hAnsi="宋体" w:cs="宋体"/>
                <w:color w:val="000000"/>
                <w:sz w:val="18"/>
                <w:szCs w:val="18"/>
              </w:rPr>
            </w:pPr>
            <w:r>
              <w:rPr>
                <w:rFonts w:hint="default" w:hAnsi="宋体" w:cs="宋体"/>
                <w:color w:val="000000"/>
                <w:sz w:val="18"/>
                <w:szCs w:val="18"/>
                <w:lang w:bidi="ar"/>
              </w:rPr>
              <w:t>数量指标</w:t>
            </w:r>
          </w:p>
        </w:tc>
        <w:tc>
          <w:tcPr>
            <w:tcW w:w="2181"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63D1B2">
            <w:pPr>
              <w:widowControl/>
              <w:textAlignment w:val="center"/>
              <w:rPr>
                <w:rFonts w:hint="default" w:hAnsi="宋体" w:cs="宋体"/>
                <w:color w:val="000000"/>
                <w:sz w:val="20"/>
                <w:szCs w:val="20"/>
              </w:rPr>
            </w:pPr>
            <w:r>
              <w:rPr>
                <w:rFonts w:hint="default" w:hAnsi="宋体" w:cs="宋体"/>
                <w:color w:val="000000"/>
                <w:sz w:val="20"/>
                <w:szCs w:val="20"/>
                <w:lang w:bidi="ar"/>
              </w:rPr>
              <w:t>红军山景区工作人员数</w:t>
            </w:r>
          </w:p>
        </w:tc>
        <w:tc>
          <w:tcPr>
            <w:tcW w:w="13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8DE55F">
            <w:pPr>
              <w:widowControl/>
              <w:jc w:val="center"/>
              <w:textAlignment w:val="center"/>
              <w:rPr>
                <w:rFonts w:hint="default" w:hAnsi="宋体" w:cs="宋体"/>
                <w:color w:val="000000"/>
                <w:sz w:val="20"/>
                <w:szCs w:val="20"/>
              </w:rPr>
            </w:pPr>
            <w:r>
              <w:rPr>
                <w:rFonts w:hint="default" w:hAnsi="宋体" w:cs="宋体"/>
                <w:color w:val="000000"/>
                <w:sz w:val="20"/>
                <w:szCs w:val="20"/>
                <w:lang w:bidi="ar"/>
              </w:rPr>
              <w:t>≤3人</w:t>
            </w:r>
          </w:p>
        </w:tc>
        <w:tc>
          <w:tcPr>
            <w:tcW w:w="17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90A284">
            <w:pPr>
              <w:widowControl/>
              <w:jc w:val="center"/>
              <w:textAlignment w:val="center"/>
              <w:rPr>
                <w:rFonts w:hint="default" w:hAnsi="宋体" w:cs="宋体"/>
                <w:color w:val="000000"/>
                <w:sz w:val="20"/>
                <w:szCs w:val="20"/>
              </w:rPr>
            </w:pPr>
            <w:r>
              <w:rPr>
                <w:rFonts w:hint="default" w:hAnsi="宋体" w:cs="宋体"/>
                <w:color w:val="000000"/>
                <w:sz w:val="20"/>
                <w:szCs w:val="20"/>
                <w:lang w:bidi="ar"/>
              </w:rPr>
              <w:t>3人</w:t>
            </w:r>
          </w:p>
        </w:tc>
        <w:tc>
          <w:tcPr>
            <w:tcW w:w="237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2CC104">
            <w:pPr>
              <w:jc w:val="center"/>
              <w:rPr>
                <w:rFonts w:hint="default" w:hAnsi="宋体" w:cs="宋体"/>
                <w:color w:val="000000"/>
                <w:sz w:val="18"/>
                <w:szCs w:val="18"/>
              </w:rPr>
            </w:pPr>
          </w:p>
        </w:tc>
      </w:tr>
      <w:tr w14:paraId="331AD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5" w:hRule="atLeast"/>
        </w:trPr>
        <w:tc>
          <w:tcPr>
            <w:tcW w:w="74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5916DE">
            <w:pPr>
              <w:jc w:val="center"/>
              <w:rPr>
                <w:rFonts w:hint="default" w:hAnsi="宋体" w:cs="宋体"/>
                <w:color w:val="000000"/>
                <w:sz w:val="18"/>
                <w:szCs w:val="18"/>
              </w:rPr>
            </w:pPr>
          </w:p>
        </w:tc>
        <w:tc>
          <w:tcPr>
            <w:tcW w:w="53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4F48A1">
            <w:pPr>
              <w:jc w:val="center"/>
              <w:rPr>
                <w:rFonts w:hint="default" w:hAnsi="宋体" w:cs="宋体"/>
                <w:color w:val="000000"/>
                <w:sz w:val="18"/>
                <w:szCs w:val="18"/>
              </w:rPr>
            </w:pPr>
          </w:p>
        </w:tc>
        <w:tc>
          <w:tcPr>
            <w:tcW w:w="898"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649B19">
            <w:pPr>
              <w:jc w:val="center"/>
              <w:rPr>
                <w:rFonts w:hint="default" w:hAnsi="宋体" w:cs="宋体"/>
                <w:color w:val="000000"/>
                <w:sz w:val="18"/>
                <w:szCs w:val="18"/>
              </w:rPr>
            </w:pPr>
          </w:p>
        </w:tc>
        <w:tc>
          <w:tcPr>
            <w:tcW w:w="2181"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73E42D">
            <w:pPr>
              <w:widowControl/>
              <w:textAlignment w:val="center"/>
              <w:rPr>
                <w:rFonts w:hint="default" w:hAnsi="宋体" w:cs="宋体"/>
                <w:color w:val="000000"/>
                <w:sz w:val="20"/>
                <w:szCs w:val="20"/>
              </w:rPr>
            </w:pPr>
            <w:r>
              <w:rPr>
                <w:rFonts w:hint="default" w:hAnsi="宋体" w:cs="宋体"/>
                <w:color w:val="000000"/>
                <w:sz w:val="20"/>
                <w:szCs w:val="20"/>
                <w:lang w:bidi="ar"/>
              </w:rPr>
              <w:t>基层组织和公共服务运行维护烂路维修公里数</w:t>
            </w:r>
          </w:p>
        </w:tc>
        <w:tc>
          <w:tcPr>
            <w:tcW w:w="13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53BAAE">
            <w:pPr>
              <w:widowControl/>
              <w:jc w:val="center"/>
              <w:textAlignment w:val="center"/>
              <w:rPr>
                <w:rFonts w:hint="default" w:hAnsi="宋体" w:cs="宋体"/>
                <w:color w:val="000000"/>
                <w:sz w:val="20"/>
                <w:szCs w:val="20"/>
              </w:rPr>
            </w:pPr>
            <w:r>
              <w:rPr>
                <w:rFonts w:hint="default" w:hAnsi="宋体" w:cs="宋体"/>
                <w:color w:val="000000"/>
                <w:sz w:val="20"/>
                <w:szCs w:val="20"/>
                <w:lang w:bidi="ar"/>
              </w:rPr>
              <w:t>≤1.5公里</w:t>
            </w:r>
          </w:p>
        </w:tc>
        <w:tc>
          <w:tcPr>
            <w:tcW w:w="17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D54C57">
            <w:pPr>
              <w:widowControl/>
              <w:jc w:val="center"/>
              <w:textAlignment w:val="center"/>
              <w:rPr>
                <w:rFonts w:hint="default" w:hAnsi="宋体" w:cs="宋体"/>
                <w:color w:val="000000"/>
                <w:sz w:val="20"/>
                <w:szCs w:val="20"/>
              </w:rPr>
            </w:pPr>
            <w:r>
              <w:rPr>
                <w:rFonts w:hint="default" w:hAnsi="宋体" w:cs="宋体"/>
                <w:color w:val="000000"/>
                <w:sz w:val="20"/>
                <w:szCs w:val="20"/>
                <w:lang w:bidi="ar"/>
              </w:rPr>
              <w:t>1.2公里</w:t>
            </w:r>
          </w:p>
        </w:tc>
        <w:tc>
          <w:tcPr>
            <w:tcW w:w="237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E78FA9">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年中项目调整</w:t>
            </w:r>
          </w:p>
        </w:tc>
      </w:tr>
      <w:tr w14:paraId="6394B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74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552AD8">
            <w:pPr>
              <w:jc w:val="center"/>
              <w:rPr>
                <w:rFonts w:hint="default" w:hAnsi="宋体" w:cs="宋体"/>
                <w:color w:val="000000"/>
                <w:sz w:val="18"/>
                <w:szCs w:val="18"/>
              </w:rPr>
            </w:pPr>
          </w:p>
        </w:tc>
        <w:tc>
          <w:tcPr>
            <w:tcW w:w="53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0BFA07">
            <w:pPr>
              <w:jc w:val="center"/>
              <w:rPr>
                <w:rFonts w:hint="default" w:hAnsi="宋体" w:cs="宋体"/>
                <w:color w:val="000000"/>
                <w:sz w:val="18"/>
                <w:szCs w:val="18"/>
              </w:rPr>
            </w:pPr>
          </w:p>
        </w:tc>
        <w:tc>
          <w:tcPr>
            <w:tcW w:w="898"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0849EF">
            <w:pPr>
              <w:jc w:val="center"/>
              <w:rPr>
                <w:rFonts w:hint="default" w:hAnsi="宋体" w:cs="宋体"/>
                <w:color w:val="000000"/>
                <w:sz w:val="18"/>
                <w:szCs w:val="18"/>
              </w:rPr>
            </w:pPr>
          </w:p>
        </w:tc>
        <w:tc>
          <w:tcPr>
            <w:tcW w:w="2181"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F95917">
            <w:pPr>
              <w:widowControl/>
              <w:textAlignment w:val="center"/>
              <w:rPr>
                <w:rFonts w:hint="default" w:hAnsi="宋体" w:cs="宋体"/>
                <w:color w:val="000000"/>
                <w:sz w:val="20"/>
                <w:szCs w:val="20"/>
              </w:rPr>
            </w:pPr>
            <w:r>
              <w:rPr>
                <w:rFonts w:hint="default" w:hAnsi="宋体" w:cs="宋体"/>
                <w:color w:val="000000"/>
                <w:sz w:val="20"/>
                <w:szCs w:val="20"/>
                <w:lang w:bidi="ar"/>
              </w:rPr>
              <w:t>全年烟地整理</w:t>
            </w:r>
          </w:p>
        </w:tc>
        <w:tc>
          <w:tcPr>
            <w:tcW w:w="13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E65A47">
            <w:pPr>
              <w:widowControl/>
              <w:jc w:val="center"/>
              <w:textAlignment w:val="center"/>
              <w:rPr>
                <w:rFonts w:hint="default" w:hAnsi="宋体" w:cs="宋体"/>
                <w:color w:val="000000"/>
                <w:sz w:val="20"/>
                <w:szCs w:val="20"/>
              </w:rPr>
            </w:pPr>
            <w:r>
              <w:rPr>
                <w:rFonts w:hint="default" w:hAnsi="宋体" w:cs="宋体"/>
                <w:color w:val="000000"/>
                <w:sz w:val="20"/>
                <w:szCs w:val="20"/>
                <w:lang w:bidi="ar"/>
              </w:rPr>
              <w:t>≤500亩</w:t>
            </w:r>
          </w:p>
        </w:tc>
        <w:tc>
          <w:tcPr>
            <w:tcW w:w="17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09F544">
            <w:pPr>
              <w:widowControl/>
              <w:jc w:val="center"/>
              <w:textAlignment w:val="center"/>
              <w:rPr>
                <w:rFonts w:hint="default" w:hAnsi="宋体" w:cs="宋体"/>
                <w:color w:val="000000"/>
                <w:sz w:val="20"/>
                <w:szCs w:val="20"/>
              </w:rPr>
            </w:pPr>
            <w:r>
              <w:rPr>
                <w:rFonts w:hint="default" w:hAnsi="宋体" w:cs="宋体"/>
                <w:color w:val="000000"/>
                <w:sz w:val="20"/>
                <w:szCs w:val="20"/>
                <w:lang w:bidi="ar"/>
              </w:rPr>
              <w:t>460亩</w:t>
            </w:r>
          </w:p>
        </w:tc>
        <w:tc>
          <w:tcPr>
            <w:tcW w:w="237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347A81">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年中项目调整</w:t>
            </w:r>
          </w:p>
        </w:tc>
      </w:tr>
      <w:tr w14:paraId="7F589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4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FA6BEC">
            <w:pPr>
              <w:jc w:val="center"/>
              <w:rPr>
                <w:rFonts w:hint="default" w:hAnsi="宋体" w:cs="宋体"/>
                <w:color w:val="000000"/>
                <w:sz w:val="18"/>
                <w:szCs w:val="18"/>
              </w:rPr>
            </w:pPr>
          </w:p>
        </w:tc>
        <w:tc>
          <w:tcPr>
            <w:tcW w:w="53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287640">
            <w:pPr>
              <w:jc w:val="center"/>
              <w:rPr>
                <w:rFonts w:hint="default" w:hAnsi="宋体" w:cs="宋体"/>
                <w:color w:val="000000"/>
                <w:sz w:val="18"/>
                <w:szCs w:val="18"/>
              </w:rPr>
            </w:pPr>
          </w:p>
        </w:tc>
        <w:tc>
          <w:tcPr>
            <w:tcW w:w="898"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60376C">
            <w:pPr>
              <w:jc w:val="center"/>
              <w:rPr>
                <w:rFonts w:hint="default" w:hAnsi="宋体" w:cs="宋体"/>
                <w:color w:val="000000"/>
                <w:sz w:val="18"/>
                <w:szCs w:val="18"/>
              </w:rPr>
            </w:pPr>
          </w:p>
        </w:tc>
        <w:tc>
          <w:tcPr>
            <w:tcW w:w="2181"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98E85A">
            <w:pPr>
              <w:widowControl/>
              <w:textAlignment w:val="center"/>
              <w:rPr>
                <w:rFonts w:hint="default" w:hAnsi="宋体" w:cs="宋体"/>
                <w:color w:val="000000"/>
                <w:sz w:val="20"/>
                <w:szCs w:val="20"/>
              </w:rPr>
            </w:pPr>
            <w:r>
              <w:rPr>
                <w:rFonts w:hint="default" w:hAnsi="宋体" w:cs="宋体"/>
                <w:color w:val="000000"/>
                <w:sz w:val="20"/>
                <w:szCs w:val="20"/>
                <w:lang w:bidi="ar"/>
              </w:rPr>
              <w:t>在职干部、退休干部、临聘人员、遗属等人员数量</w:t>
            </w:r>
          </w:p>
        </w:tc>
        <w:tc>
          <w:tcPr>
            <w:tcW w:w="13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0F5A6A">
            <w:pPr>
              <w:widowControl/>
              <w:jc w:val="center"/>
              <w:textAlignment w:val="center"/>
              <w:rPr>
                <w:rFonts w:hint="default" w:hAnsi="宋体" w:cs="宋体"/>
                <w:color w:val="000000"/>
                <w:sz w:val="20"/>
                <w:szCs w:val="20"/>
              </w:rPr>
            </w:pPr>
            <w:r>
              <w:rPr>
                <w:rFonts w:hint="default" w:hAnsi="宋体" w:cs="宋体"/>
                <w:color w:val="000000"/>
                <w:sz w:val="20"/>
                <w:szCs w:val="20"/>
                <w:lang w:bidi="ar"/>
              </w:rPr>
              <w:t>≤112人</w:t>
            </w:r>
          </w:p>
        </w:tc>
        <w:tc>
          <w:tcPr>
            <w:tcW w:w="17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646EEB">
            <w:pPr>
              <w:widowControl/>
              <w:jc w:val="center"/>
              <w:textAlignment w:val="center"/>
              <w:rPr>
                <w:rFonts w:hint="default" w:hAnsi="宋体" w:cs="宋体"/>
                <w:color w:val="000000"/>
                <w:sz w:val="20"/>
                <w:szCs w:val="20"/>
              </w:rPr>
            </w:pPr>
            <w:r>
              <w:rPr>
                <w:rFonts w:hint="default" w:hAnsi="宋体" w:cs="宋体"/>
                <w:color w:val="000000"/>
                <w:sz w:val="20"/>
                <w:szCs w:val="20"/>
                <w:lang w:bidi="ar"/>
              </w:rPr>
              <w:t>114人</w:t>
            </w:r>
          </w:p>
        </w:tc>
        <w:tc>
          <w:tcPr>
            <w:tcW w:w="237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BB0F50">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年中人员增加</w:t>
            </w:r>
          </w:p>
        </w:tc>
      </w:tr>
      <w:tr w14:paraId="28471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74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418FF6">
            <w:pPr>
              <w:jc w:val="center"/>
              <w:rPr>
                <w:rFonts w:hint="default" w:hAnsi="宋体" w:cs="宋体"/>
                <w:color w:val="000000"/>
                <w:sz w:val="18"/>
                <w:szCs w:val="18"/>
              </w:rPr>
            </w:pPr>
          </w:p>
        </w:tc>
        <w:tc>
          <w:tcPr>
            <w:tcW w:w="53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4ECE47">
            <w:pPr>
              <w:jc w:val="center"/>
              <w:rPr>
                <w:rFonts w:hint="default" w:hAnsi="宋体" w:cs="宋体"/>
                <w:color w:val="000000"/>
                <w:sz w:val="18"/>
                <w:szCs w:val="18"/>
              </w:rPr>
            </w:pPr>
          </w:p>
        </w:tc>
        <w:tc>
          <w:tcPr>
            <w:tcW w:w="898"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1A4991">
            <w:pPr>
              <w:jc w:val="center"/>
              <w:rPr>
                <w:rFonts w:hint="default" w:hAnsi="宋体" w:cs="宋体"/>
                <w:color w:val="000000"/>
                <w:sz w:val="18"/>
                <w:szCs w:val="18"/>
              </w:rPr>
            </w:pPr>
          </w:p>
        </w:tc>
        <w:tc>
          <w:tcPr>
            <w:tcW w:w="2181"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E39EAE">
            <w:pPr>
              <w:widowControl/>
              <w:textAlignment w:val="center"/>
              <w:rPr>
                <w:rFonts w:hint="default" w:hAnsi="宋体" w:cs="宋体"/>
                <w:color w:val="000000"/>
                <w:sz w:val="20"/>
                <w:szCs w:val="20"/>
              </w:rPr>
            </w:pPr>
            <w:r>
              <w:rPr>
                <w:rFonts w:hint="default" w:hAnsi="宋体" w:cs="宋体"/>
                <w:color w:val="000000"/>
                <w:sz w:val="20"/>
                <w:szCs w:val="20"/>
                <w:lang w:bidi="ar"/>
              </w:rPr>
              <w:t>村社区干部生活补助及保险人员数</w:t>
            </w:r>
          </w:p>
        </w:tc>
        <w:tc>
          <w:tcPr>
            <w:tcW w:w="13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B4F65D">
            <w:pPr>
              <w:widowControl/>
              <w:jc w:val="center"/>
              <w:textAlignment w:val="center"/>
              <w:rPr>
                <w:rFonts w:hint="default" w:hAnsi="宋体" w:cs="宋体"/>
                <w:color w:val="000000"/>
                <w:sz w:val="20"/>
                <w:szCs w:val="20"/>
              </w:rPr>
            </w:pPr>
            <w:r>
              <w:rPr>
                <w:rFonts w:hint="default" w:hAnsi="宋体" w:cs="宋体"/>
                <w:color w:val="000000"/>
                <w:sz w:val="20"/>
                <w:szCs w:val="20"/>
                <w:lang w:bidi="ar"/>
              </w:rPr>
              <w:t>≤115人</w:t>
            </w:r>
          </w:p>
        </w:tc>
        <w:tc>
          <w:tcPr>
            <w:tcW w:w="17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AEF663">
            <w:pPr>
              <w:widowControl/>
              <w:jc w:val="center"/>
              <w:textAlignment w:val="center"/>
              <w:rPr>
                <w:rFonts w:hint="default" w:hAnsi="宋体" w:cs="宋体"/>
                <w:color w:val="000000"/>
                <w:sz w:val="20"/>
                <w:szCs w:val="20"/>
              </w:rPr>
            </w:pPr>
            <w:r>
              <w:rPr>
                <w:rFonts w:hint="default" w:hAnsi="宋体" w:cs="宋体"/>
                <w:color w:val="000000"/>
                <w:sz w:val="20"/>
                <w:szCs w:val="20"/>
                <w:lang w:bidi="ar"/>
              </w:rPr>
              <w:t>163人</w:t>
            </w:r>
          </w:p>
        </w:tc>
        <w:tc>
          <w:tcPr>
            <w:tcW w:w="237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97440C">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年中人员增加</w:t>
            </w:r>
          </w:p>
        </w:tc>
      </w:tr>
      <w:tr w14:paraId="667DD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74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403985">
            <w:pPr>
              <w:jc w:val="center"/>
              <w:rPr>
                <w:rFonts w:hint="default" w:hAnsi="宋体" w:cs="宋体"/>
                <w:color w:val="000000"/>
                <w:sz w:val="18"/>
                <w:szCs w:val="18"/>
              </w:rPr>
            </w:pPr>
          </w:p>
        </w:tc>
        <w:tc>
          <w:tcPr>
            <w:tcW w:w="53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06177C">
            <w:pPr>
              <w:jc w:val="center"/>
              <w:rPr>
                <w:rFonts w:hint="default" w:hAnsi="宋体" w:cs="宋体"/>
                <w:color w:val="000000"/>
                <w:sz w:val="18"/>
                <w:szCs w:val="18"/>
              </w:rPr>
            </w:pPr>
          </w:p>
        </w:tc>
        <w:tc>
          <w:tcPr>
            <w:tcW w:w="898"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6170AC">
            <w:pPr>
              <w:widowControl/>
              <w:jc w:val="center"/>
              <w:textAlignment w:val="center"/>
              <w:rPr>
                <w:rFonts w:hint="default" w:hAnsi="宋体" w:cs="宋体"/>
                <w:color w:val="000000"/>
                <w:sz w:val="18"/>
                <w:szCs w:val="18"/>
              </w:rPr>
            </w:pPr>
            <w:r>
              <w:rPr>
                <w:rFonts w:hint="default" w:hAnsi="宋体" w:cs="宋体"/>
                <w:color w:val="000000"/>
                <w:sz w:val="18"/>
                <w:szCs w:val="18"/>
                <w:lang w:bidi="ar"/>
              </w:rPr>
              <w:t>质量指标</w:t>
            </w:r>
          </w:p>
        </w:tc>
        <w:tc>
          <w:tcPr>
            <w:tcW w:w="2181"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D18B21">
            <w:pPr>
              <w:widowControl/>
              <w:textAlignment w:val="center"/>
              <w:rPr>
                <w:rFonts w:hint="default" w:hAnsi="宋体" w:cs="宋体"/>
                <w:color w:val="000000"/>
                <w:sz w:val="20"/>
                <w:szCs w:val="20"/>
              </w:rPr>
            </w:pPr>
            <w:r>
              <w:rPr>
                <w:rFonts w:hint="default" w:hAnsi="宋体" w:cs="宋体"/>
                <w:color w:val="000000"/>
                <w:sz w:val="20"/>
                <w:szCs w:val="20"/>
                <w:lang w:bidi="ar"/>
              </w:rPr>
              <w:t>镇域内各项工作完成率</w:t>
            </w:r>
          </w:p>
        </w:tc>
        <w:tc>
          <w:tcPr>
            <w:tcW w:w="13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BDC7AE">
            <w:pPr>
              <w:widowControl/>
              <w:jc w:val="center"/>
              <w:textAlignment w:val="center"/>
              <w:rPr>
                <w:rFonts w:hint="default" w:hAnsi="宋体" w:cs="宋体"/>
                <w:color w:val="000000"/>
                <w:sz w:val="20"/>
                <w:szCs w:val="20"/>
              </w:rPr>
            </w:pPr>
            <w:r>
              <w:rPr>
                <w:rFonts w:hint="default" w:hAnsi="宋体" w:cs="宋体"/>
                <w:color w:val="000000"/>
                <w:sz w:val="20"/>
                <w:szCs w:val="20"/>
                <w:lang w:bidi="ar"/>
              </w:rPr>
              <w:t>≥95%</w:t>
            </w:r>
          </w:p>
        </w:tc>
        <w:tc>
          <w:tcPr>
            <w:tcW w:w="17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8C13A2">
            <w:pPr>
              <w:widowControl/>
              <w:jc w:val="center"/>
              <w:textAlignment w:val="center"/>
              <w:rPr>
                <w:rFonts w:hint="default" w:hAnsi="宋体" w:cs="宋体"/>
                <w:color w:val="000000"/>
                <w:sz w:val="20"/>
                <w:szCs w:val="20"/>
              </w:rPr>
            </w:pPr>
            <w:r>
              <w:rPr>
                <w:rFonts w:hint="default" w:hAnsi="宋体" w:cs="宋体"/>
                <w:color w:val="000000"/>
                <w:sz w:val="20"/>
                <w:szCs w:val="20"/>
                <w:lang w:bidi="ar"/>
              </w:rPr>
              <w:t>100%</w:t>
            </w:r>
          </w:p>
        </w:tc>
        <w:tc>
          <w:tcPr>
            <w:tcW w:w="237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31B0B2">
            <w:pPr>
              <w:jc w:val="center"/>
              <w:rPr>
                <w:rFonts w:hint="default" w:hAnsi="宋体" w:cs="宋体"/>
                <w:color w:val="000000"/>
                <w:sz w:val="18"/>
                <w:szCs w:val="18"/>
              </w:rPr>
            </w:pPr>
          </w:p>
        </w:tc>
      </w:tr>
      <w:tr w14:paraId="209E28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74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60F14B">
            <w:pPr>
              <w:jc w:val="center"/>
              <w:rPr>
                <w:rFonts w:hint="default" w:hAnsi="宋体" w:cs="宋体"/>
                <w:color w:val="000000"/>
                <w:sz w:val="18"/>
                <w:szCs w:val="18"/>
              </w:rPr>
            </w:pPr>
          </w:p>
        </w:tc>
        <w:tc>
          <w:tcPr>
            <w:tcW w:w="53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1D2F7C">
            <w:pPr>
              <w:jc w:val="center"/>
              <w:rPr>
                <w:rFonts w:hint="default" w:hAnsi="宋体" w:cs="宋体"/>
                <w:color w:val="000000"/>
                <w:sz w:val="18"/>
                <w:szCs w:val="18"/>
              </w:rPr>
            </w:pPr>
          </w:p>
        </w:tc>
        <w:tc>
          <w:tcPr>
            <w:tcW w:w="898"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CA02BB">
            <w:pPr>
              <w:jc w:val="center"/>
              <w:rPr>
                <w:rFonts w:hint="default" w:hAnsi="宋体" w:cs="宋体"/>
                <w:color w:val="000000"/>
                <w:sz w:val="18"/>
                <w:szCs w:val="18"/>
              </w:rPr>
            </w:pPr>
          </w:p>
        </w:tc>
        <w:tc>
          <w:tcPr>
            <w:tcW w:w="2181"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C6D6EB">
            <w:pPr>
              <w:widowControl/>
              <w:textAlignment w:val="center"/>
              <w:rPr>
                <w:rFonts w:hint="default" w:hAnsi="宋体" w:cs="宋体"/>
                <w:color w:val="000000"/>
                <w:sz w:val="20"/>
                <w:szCs w:val="20"/>
              </w:rPr>
            </w:pPr>
            <w:r>
              <w:rPr>
                <w:rFonts w:hint="default" w:hAnsi="宋体" w:cs="宋体"/>
                <w:color w:val="000000"/>
                <w:sz w:val="20"/>
                <w:szCs w:val="20"/>
                <w:lang w:bidi="ar"/>
              </w:rPr>
              <w:t>镇域内项目验收合格率</w:t>
            </w:r>
          </w:p>
        </w:tc>
        <w:tc>
          <w:tcPr>
            <w:tcW w:w="13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867491">
            <w:pPr>
              <w:widowControl/>
              <w:jc w:val="center"/>
              <w:textAlignment w:val="center"/>
              <w:rPr>
                <w:rFonts w:hint="default" w:hAnsi="宋体" w:cs="宋体"/>
                <w:color w:val="000000"/>
                <w:sz w:val="20"/>
                <w:szCs w:val="20"/>
              </w:rPr>
            </w:pPr>
            <w:r>
              <w:rPr>
                <w:rFonts w:hint="default" w:hAnsi="宋体" w:cs="宋体"/>
                <w:color w:val="000000"/>
                <w:sz w:val="20"/>
                <w:szCs w:val="20"/>
                <w:lang w:bidi="ar"/>
              </w:rPr>
              <w:t>≥95%</w:t>
            </w:r>
          </w:p>
        </w:tc>
        <w:tc>
          <w:tcPr>
            <w:tcW w:w="17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D97521">
            <w:pPr>
              <w:widowControl/>
              <w:jc w:val="center"/>
              <w:textAlignment w:val="center"/>
              <w:rPr>
                <w:rFonts w:hint="default" w:hAnsi="宋体" w:cs="宋体"/>
                <w:color w:val="000000"/>
                <w:sz w:val="20"/>
                <w:szCs w:val="20"/>
              </w:rPr>
            </w:pPr>
            <w:r>
              <w:rPr>
                <w:rFonts w:hint="default" w:hAnsi="宋体" w:cs="宋体"/>
                <w:color w:val="000000"/>
                <w:sz w:val="20"/>
                <w:szCs w:val="20"/>
                <w:lang w:bidi="ar"/>
              </w:rPr>
              <w:t>100%</w:t>
            </w:r>
          </w:p>
        </w:tc>
        <w:tc>
          <w:tcPr>
            <w:tcW w:w="237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DFEEB5">
            <w:pPr>
              <w:jc w:val="center"/>
              <w:rPr>
                <w:rFonts w:hint="default" w:hAnsi="宋体" w:cs="宋体"/>
                <w:color w:val="000000"/>
                <w:sz w:val="18"/>
                <w:szCs w:val="18"/>
              </w:rPr>
            </w:pPr>
          </w:p>
        </w:tc>
      </w:tr>
      <w:tr w14:paraId="0CBF8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74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E83C29">
            <w:pPr>
              <w:jc w:val="center"/>
              <w:rPr>
                <w:rFonts w:hint="default" w:hAnsi="宋体" w:cs="宋体"/>
                <w:color w:val="000000"/>
                <w:sz w:val="18"/>
                <w:szCs w:val="18"/>
              </w:rPr>
            </w:pPr>
          </w:p>
        </w:tc>
        <w:tc>
          <w:tcPr>
            <w:tcW w:w="53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91DF01">
            <w:pPr>
              <w:jc w:val="center"/>
              <w:rPr>
                <w:rFonts w:hint="default" w:hAnsi="宋体" w:cs="宋体"/>
                <w:color w:val="000000"/>
                <w:sz w:val="18"/>
                <w:szCs w:val="18"/>
              </w:rPr>
            </w:pPr>
          </w:p>
        </w:tc>
        <w:tc>
          <w:tcPr>
            <w:tcW w:w="89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8F970F">
            <w:pPr>
              <w:widowControl/>
              <w:jc w:val="center"/>
              <w:textAlignment w:val="center"/>
              <w:rPr>
                <w:rFonts w:hint="default" w:hAnsi="宋体" w:cs="宋体"/>
                <w:color w:val="000000"/>
                <w:sz w:val="18"/>
                <w:szCs w:val="18"/>
              </w:rPr>
            </w:pPr>
            <w:r>
              <w:rPr>
                <w:rFonts w:hint="default" w:hAnsi="宋体" w:cs="宋体"/>
                <w:color w:val="000000"/>
                <w:sz w:val="18"/>
                <w:szCs w:val="18"/>
                <w:lang w:bidi="ar"/>
              </w:rPr>
              <w:t>时效指标</w:t>
            </w:r>
          </w:p>
        </w:tc>
        <w:tc>
          <w:tcPr>
            <w:tcW w:w="2181"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B7F8B1">
            <w:pPr>
              <w:widowControl/>
              <w:textAlignment w:val="center"/>
              <w:rPr>
                <w:rFonts w:hint="default" w:hAnsi="宋体" w:cs="宋体"/>
                <w:color w:val="000000"/>
                <w:sz w:val="20"/>
                <w:szCs w:val="20"/>
              </w:rPr>
            </w:pPr>
            <w:r>
              <w:rPr>
                <w:rFonts w:hint="default" w:hAnsi="宋体" w:cs="宋体"/>
                <w:color w:val="000000"/>
                <w:sz w:val="20"/>
                <w:szCs w:val="20"/>
                <w:lang w:bidi="ar"/>
              </w:rPr>
              <w:t>镇年度内各项工作目标任务完成及时率</w:t>
            </w:r>
          </w:p>
        </w:tc>
        <w:tc>
          <w:tcPr>
            <w:tcW w:w="13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B9056C">
            <w:pPr>
              <w:widowControl/>
              <w:jc w:val="center"/>
              <w:textAlignment w:val="center"/>
              <w:rPr>
                <w:rFonts w:hint="default" w:hAnsi="宋体" w:cs="宋体"/>
                <w:color w:val="000000"/>
                <w:sz w:val="20"/>
                <w:szCs w:val="20"/>
              </w:rPr>
            </w:pPr>
            <w:r>
              <w:rPr>
                <w:rFonts w:hint="default" w:hAnsi="宋体" w:cs="宋体"/>
                <w:color w:val="000000"/>
                <w:sz w:val="20"/>
                <w:szCs w:val="20"/>
                <w:lang w:bidi="ar"/>
              </w:rPr>
              <w:t>≥95%</w:t>
            </w:r>
          </w:p>
        </w:tc>
        <w:tc>
          <w:tcPr>
            <w:tcW w:w="17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CE528C">
            <w:pPr>
              <w:widowControl/>
              <w:jc w:val="center"/>
              <w:textAlignment w:val="center"/>
              <w:rPr>
                <w:rFonts w:hint="default" w:hAnsi="宋体" w:cs="宋体"/>
                <w:color w:val="000000"/>
                <w:sz w:val="20"/>
                <w:szCs w:val="20"/>
              </w:rPr>
            </w:pPr>
            <w:r>
              <w:rPr>
                <w:rFonts w:hint="default" w:hAnsi="宋体" w:cs="宋体"/>
                <w:color w:val="000000"/>
                <w:sz w:val="20"/>
                <w:szCs w:val="20"/>
                <w:lang w:bidi="ar"/>
              </w:rPr>
              <w:t>100%</w:t>
            </w:r>
          </w:p>
        </w:tc>
        <w:tc>
          <w:tcPr>
            <w:tcW w:w="237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F38B09">
            <w:pPr>
              <w:jc w:val="center"/>
              <w:rPr>
                <w:rFonts w:hint="default" w:hAnsi="宋体" w:cs="宋体"/>
                <w:color w:val="000000"/>
                <w:sz w:val="18"/>
                <w:szCs w:val="18"/>
              </w:rPr>
            </w:pPr>
          </w:p>
        </w:tc>
      </w:tr>
      <w:tr w14:paraId="057C5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trPr>
        <w:tc>
          <w:tcPr>
            <w:tcW w:w="74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80C753">
            <w:pPr>
              <w:jc w:val="center"/>
              <w:rPr>
                <w:rFonts w:hint="default" w:hAnsi="宋体" w:cs="宋体"/>
                <w:color w:val="000000"/>
                <w:sz w:val="18"/>
                <w:szCs w:val="18"/>
              </w:rPr>
            </w:pPr>
          </w:p>
        </w:tc>
        <w:tc>
          <w:tcPr>
            <w:tcW w:w="53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B18A8F">
            <w:pPr>
              <w:jc w:val="center"/>
              <w:rPr>
                <w:rFonts w:hint="default" w:hAnsi="宋体" w:cs="宋体"/>
                <w:color w:val="000000"/>
                <w:sz w:val="18"/>
                <w:szCs w:val="18"/>
              </w:rPr>
            </w:pPr>
          </w:p>
        </w:tc>
        <w:tc>
          <w:tcPr>
            <w:tcW w:w="898"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794154">
            <w:pPr>
              <w:widowControl/>
              <w:jc w:val="center"/>
              <w:textAlignment w:val="center"/>
              <w:rPr>
                <w:rFonts w:hint="default" w:hAnsi="宋体" w:cs="宋体"/>
                <w:color w:val="000000"/>
                <w:sz w:val="18"/>
                <w:szCs w:val="18"/>
              </w:rPr>
            </w:pPr>
            <w:r>
              <w:rPr>
                <w:rFonts w:hint="default" w:hAnsi="宋体" w:cs="宋体"/>
                <w:color w:val="000000"/>
                <w:sz w:val="18"/>
                <w:szCs w:val="18"/>
                <w:lang w:bidi="ar"/>
              </w:rPr>
              <w:t>成本指标</w:t>
            </w:r>
          </w:p>
        </w:tc>
        <w:tc>
          <w:tcPr>
            <w:tcW w:w="2181"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54D784">
            <w:pPr>
              <w:widowControl/>
              <w:textAlignment w:val="center"/>
              <w:rPr>
                <w:rFonts w:hint="default" w:hAnsi="宋体" w:cs="宋体"/>
                <w:color w:val="000000"/>
                <w:sz w:val="20"/>
                <w:szCs w:val="20"/>
              </w:rPr>
            </w:pPr>
            <w:r>
              <w:rPr>
                <w:rFonts w:hint="default" w:hAnsi="宋体" w:cs="宋体"/>
                <w:color w:val="000000"/>
                <w:sz w:val="20"/>
                <w:szCs w:val="20"/>
                <w:lang w:bidi="ar"/>
              </w:rPr>
              <w:t>镇域内村社干部生活补助、基层组织活动和公共服务运行、烤烟产业等项目支出预算控制额</w:t>
            </w:r>
          </w:p>
        </w:tc>
        <w:tc>
          <w:tcPr>
            <w:tcW w:w="13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3C1A76">
            <w:pPr>
              <w:widowControl/>
              <w:jc w:val="center"/>
              <w:textAlignment w:val="center"/>
              <w:rPr>
                <w:rFonts w:hint="default" w:hAnsi="宋体" w:cs="宋体"/>
                <w:color w:val="000000"/>
                <w:sz w:val="20"/>
                <w:szCs w:val="20"/>
              </w:rPr>
            </w:pPr>
            <w:r>
              <w:rPr>
                <w:rFonts w:hint="default" w:hAnsi="宋体" w:cs="宋体"/>
                <w:color w:val="000000"/>
                <w:sz w:val="20"/>
                <w:szCs w:val="20"/>
                <w:lang w:bidi="ar"/>
              </w:rPr>
              <w:t>≤5503903元</w:t>
            </w:r>
          </w:p>
        </w:tc>
        <w:tc>
          <w:tcPr>
            <w:tcW w:w="17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C34AAA">
            <w:pPr>
              <w:widowControl/>
              <w:jc w:val="center"/>
              <w:textAlignment w:val="center"/>
              <w:rPr>
                <w:rFonts w:hint="default" w:hAnsi="宋体" w:cs="宋体"/>
                <w:color w:val="000000"/>
                <w:sz w:val="20"/>
                <w:szCs w:val="20"/>
              </w:rPr>
            </w:pPr>
            <w:r>
              <w:rPr>
                <w:rFonts w:hint="default" w:hAnsi="宋体" w:cs="宋体"/>
                <w:color w:val="000000"/>
                <w:sz w:val="20"/>
                <w:szCs w:val="20"/>
                <w:lang w:bidi="ar"/>
              </w:rPr>
              <w:t>551.35万元</w:t>
            </w:r>
          </w:p>
        </w:tc>
        <w:tc>
          <w:tcPr>
            <w:tcW w:w="237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D3E52E">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年底人员变动追加</w:t>
            </w:r>
          </w:p>
        </w:tc>
      </w:tr>
      <w:tr w14:paraId="77C0E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6" w:hRule="atLeast"/>
        </w:trPr>
        <w:tc>
          <w:tcPr>
            <w:tcW w:w="74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0815FD">
            <w:pPr>
              <w:jc w:val="center"/>
              <w:rPr>
                <w:rFonts w:hint="default" w:hAnsi="宋体" w:cs="宋体"/>
                <w:color w:val="000000"/>
                <w:sz w:val="18"/>
                <w:szCs w:val="18"/>
              </w:rPr>
            </w:pPr>
          </w:p>
        </w:tc>
        <w:tc>
          <w:tcPr>
            <w:tcW w:w="53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DDDEE8">
            <w:pPr>
              <w:jc w:val="center"/>
              <w:rPr>
                <w:rFonts w:hint="default" w:hAnsi="宋体" w:cs="宋体"/>
                <w:color w:val="000000"/>
                <w:sz w:val="18"/>
                <w:szCs w:val="18"/>
              </w:rPr>
            </w:pPr>
          </w:p>
        </w:tc>
        <w:tc>
          <w:tcPr>
            <w:tcW w:w="898"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B4B94C">
            <w:pPr>
              <w:jc w:val="center"/>
              <w:rPr>
                <w:rFonts w:hint="default" w:hAnsi="宋体" w:cs="宋体"/>
                <w:color w:val="000000"/>
                <w:sz w:val="18"/>
                <w:szCs w:val="18"/>
              </w:rPr>
            </w:pPr>
          </w:p>
        </w:tc>
        <w:tc>
          <w:tcPr>
            <w:tcW w:w="2181"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14628C">
            <w:pPr>
              <w:widowControl/>
              <w:textAlignment w:val="center"/>
              <w:rPr>
                <w:rFonts w:hint="default" w:hAnsi="宋体" w:cs="宋体"/>
                <w:color w:val="000000"/>
                <w:sz w:val="20"/>
                <w:szCs w:val="20"/>
              </w:rPr>
            </w:pPr>
            <w:r>
              <w:rPr>
                <w:rFonts w:hint="default" w:hAnsi="宋体" w:cs="宋体"/>
                <w:color w:val="000000"/>
                <w:sz w:val="20"/>
                <w:szCs w:val="20"/>
                <w:lang w:bidi="ar"/>
              </w:rPr>
              <w:t>镇域内人员及日常公用经费支出预算控制</w:t>
            </w:r>
          </w:p>
        </w:tc>
        <w:tc>
          <w:tcPr>
            <w:tcW w:w="13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8D7C67">
            <w:pPr>
              <w:widowControl/>
              <w:jc w:val="center"/>
              <w:textAlignment w:val="center"/>
              <w:rPr>
                <w:rFonts w:hint="default" w:hAnsi="宋体" w:cs="宋体"/>
                <w:color w:val="000000"/>
                <w:sz w:val="20"/>
                <w:szCs w:val="20"/>
              </w:rPr>
            </w:pPr>
            <w:r>
              <w:rPr>
                <w:rFonts w:hint="default" w:hAnsi="宋体" w:cs="宋体"/>
                <w:color w:val="000000"/>
                <w:sz w:val="20"/>
                <w:szCs w:val="20"/>
                <w:lang w:bidi="ar"/>
              </w:rPr>
              <w:t>≤9476281.4元</w:t>
            </w:r>
          </w:p>
        </w:tc>
        <w:tc>
          <w:tcPr>
            <w:tcW w:w="17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C13CA5">
            <w:pPr>
              <w:widowControl/>
              <w:jc w:val="center"/>
              <w:textAlignment w:val="center"/>
              <w:rPr>
                <w:rFonts w:hint="default" w:hAnsi="宋体" w:cs="宋体"/>
                <w:color w:val="000000"/>
                <w:sz w:val="20"/>
                <w:szCs w:val="20"/>
              </w:rPr>
            </w:pPr>
            <w:r>
              <w:rPr>
                <w:rFonts w:hint="default" w:hAnsi="宋体" w:cs="宋体"/>
                <w:color w:val="000000"/>
                <w:sz w:val="20"/>
                <w:szCs w:val="20"/>
                <w:lang w:bidi="ar"/>
              </w:rPr>
              <w:t>1101.71万元</w:t>
            </w:r>
          </w:p>
        </w:tc>
        <w:tc>
          <w:tcPr>
            <w:tcW w:w="237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C95AFA">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年中项目追加经费</w:t>
            </w:r>
          </w:p>
        </w:tc>
      </w:tr>
      <w:tr w14:paraId="760EE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4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455AA4">
            <w:pPr>
              <w:jc w:val="center"/>
              <w:rPr>
                <w:rFonts w:hint="default" w:hAnsi="宋体" w:cs="宋体"/>
                <w:color w:val="000000"/>
                <w:sz w:val="18"/>
                <w:szCs w:val="18"/>
              </w:rPr>
            </w:pPr>
          </w:p>
        </w:tc>
        <w:tc>
          <w:tcPr>
            <w:tcW w:w="532"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7DB006">
            <w:pPr>
              <w:jc w:val="center"/>
              <w:rPr>
                <w:rFonts w:hint="default" w:hAnsi="宋体" w:cs="宋体"/>
                <w:color w:val="000000"/>
                <w:sz w:val="18"/>
                <w:szCs w:val="18"/>
              </w:rPr>
            </w:pPr>
          </w:p>
        </w:tc>
        <w:tc>
          <w:tcPr>
            <w:tcW w:w="898" w:type="dxa"/>
            <w:tcBorders>
              <w:top w:val="single" w:color="000000" w:sz="4" w:space="0"/>
              <w:left w:val="single" w:color="000000" w:sz="4" w:space="0"/>
              <w:bottom w:val="nil"/>
              <w:right w:val="single" w:color="000000" w:sz="4" w:space="0"/>
              <w:tl2br w:val="nil"/>
              <w:tr2bl w:val="nil"/>
            </w:tcBorders>
            <w:noWrap w:val="0"/>
            <w:vAlign w:val="center"/>
          </w:tcPr>
          <w:p w14:paraId="559FD7B1">
            <w:pPr>
              <w:widowControl/>
              <w:jc w:val="center"/>
              <w:textAlignment w:val="center"/>
              <w:rPr>
                <w:rFonts w:hint="default" w:hAnsi="宋体" w:cs="宋体"/>
                <w:color w:val="000000"/>
                <w:sz w:val="18"/>
                <w:szCs w:val="18"/>
              </w:rPr>
            </w:pPr>
            <w:r>
              <w:rPr>
                <w:rFonts w:hint="default" w:hAnsi="宋体" w:cs="宋体"/>
                <w:color w:val="000000"/>
                <w:sz w:val="18"/>
                <w:szCs w:val="18"/>
                <w:lang w:bidi="ar"/>
              </w:rPr>
              <w:t>社会效益</w:t>
            </w:r>
            <w:r>
              <w:rPr>
                <w:rFonts w:hint="default" w:hAnsi="宋体" w:cs="宋体"/>
                <w:color w:val="000000"/>
                <w:sz w:val="18"/>
                <w:szCs w:val="18"/>
                <w:lang w:bidi="ar"/>
              </w:rPr>
              <w:br w:type="textWrapping"/>
            </w:r>
            <w:r>
              <w:rPr>
                <w:rFonts w:hint="default" w:hAnsi="宋体" w:cs="宋体"/>
                <w:color w:val="000000"/>
                <w:sz w:val="18"/>
                <w:szCs w:val="18"/>
                <w:lang w:bidi="ar"/>
              </w:rPr>
              <w:t>指标</w:t>
            </w:r>
          </w:p>
        </w:tc>
        <w:tc>
          <w:tcPr>
            <w:tcW w:w="2181"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FD67B1">
            <w:pPr>
              <w:widowControl/>
              <w:textAlignment w:val="center"/>
              <w:rPr>
                <w:rFonts w:hint="default" w:hAnsi="宋体" w:cs="宋体"/>
                <w:color w:val="000000"/>
                <w:sz w:val="20"/>
                <w:szCs w:val="20"/>
              </w:rPr>
            </w:pPr>
            <w:r>
              <w:rPr>
                <w:rFonts w:hint="default" w:hAnsi="宋体" w:cs="宋体"/>
                <w:color w:val="000000"/>
                <w:sz w:val="20"/>
                <w:szCs w:val="20"/>
                <w:lang w:bidi="ar"/>
              </w:rPr>
              <w:t>完善政府公共服务能力，提升整体服务水平</w:t>
            </w:r>
          </w:p>
        </w:tc>
        <w:tc>
          <w:tcPr>
            <w:tcW w:w="13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043C59">
            <w:pPr>
              <w:widowControl/>
              <w:jc w:val="center"/>
              <w:textAlignment w:val="center"/>
              <w:rPr>
                <w:rFonts w:hint="default" w:hAnsi="宋体" w:cs="宋体"/>
                <w:color w:val="000000"/>
                <w:sz w:val="18"/>
                <w:szCs w:val="18"/>
              </w:rPr>
            </w:pPr>
            <w:r>
              <w:rPr>
                <w:rFonts w:hint="default" w:hAnsi="宋体" w:cs="宋体"/>
                <w:color w:val="000000"/>
                <w:sz w:val="18"/>
                <w:szCs w:val="18"/>
                <w:lang w:bidi="ar"/>
              </w:rPr>
              <w:t>有效提升</w:t>
            </w:r>
          </w:p>
        </w:tc>
        <w:tc>
          <w:tcPr>
            <w:tcW w:w="17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40731F">
            <w:pPr>
              <w:widowControl/>
              <w:jc w:val="center"/>
              <w:textAlignment w:val="center"/>
              <w:rPr>
                <w:rFonts w:hint="default" w:hAnsi="宋体" w:cs="宋体"/>
                <w:color w:val="000000"/>
                <w:sz w:val="18"/>
                <w:szCs w:val="18"/>
              </w:rPr>
            </w:pPr>
            <w:r>
              <w:rPr>
                <w:rFonts w:hint="default" w:hAnsi="宋体" w:cs="宋体"/>
                <w:color w:val="000000"/>
                <w:sz w:val="18"/>
                <w:szCs w:val="18"/>
                <w:lang w:bidi="ar"/>
              </w:rPr>
              <w:t>有效提升</w:t>
            </w:r>
          </w:p>
        </w:tc>
        <w:tc>
          <w:tcPr>
            <w:tcW w:w="237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26C6C4">
            <w:pPr>
              <w:jc w:val="center"/>
              <w:rPr>
                <w:rFonts w:hint="default" w:hAnsi="宋体" w:cs="宋体"/>
                <w:color w:val="000000"/>
                <w:sz w:val="18"/>
                <w:szCs w:val="18"/>
              </w:rPr>
            </w:pPr>
          </w:p>
        </w:tc>
      </w:tr>
      <w:tr w14:paraId="5A607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74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458BF2">
            <w:pPr>
              <w:jc w:val="center"/>
              <w:rPr>
                <w:rFonts w:hint="default" w:hAnsi="宋体" w:cs="宋体"/>
                <w:color w:val="000000"/>
                <w:sz w:val="18"/>
                <w:szCs w:val="18"/>
              </w:rPr>
            </w:pPr>
          </w:p>
        </w:tc>
        <w:tc>
          <w:tcPr>
            <w:tcW w:w="53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97EF6E">
            <w:pPr>
              <w:jc w:val="center"/>
              <w:rPr>
                <w:rFonts w:hint="default" w:hAnsi="宋体" w:cs="宋体"/>
                <w:color w:val="000000"/>
                <w:sz w:val="18"/>
                <w:szCs w:val="18"/>
              </w:rPr>
            </w:pPr>
          </w:p>
        </w:tc>
        <w:tc>
          <w:tcPr>
            <w:tcW w:w="898" w:type="dxa"/>
            <w:tcBorders>
              <w:top w:val="single" w:color="000000" w:sz="4" w:space="0"/>
              <w:left w:val="single" w:color="000000" w:sz="4" w:space="0"/>
              <w:bottom w:val="nil"/>
              <w:right w:val="single" w:color="000000" w:sz="4" w:space="0"/>
              <w:tl2br w:val="nil"/>
              <w:tr2bl w:val="nil"/>
            </w:tcBorders>
            <w:noWrap w:val="0"/>
            <w:vAlign w:val="center"/>
          </w:tcPr>
          <w:p w14:paraId="412A0BB7">
            <w:pPr>
              <w:widowControl/>
              <w:jc w:val="center"/>
              <w:textAlignment w:val="center"/>
              <w:rPr>
                <w:rFonts w:hint="default" w:hAnsi="宋体" w:cs="宋体"/>
                <w:color w:val="000000"/>
                <w:sz w:val="18"/>
                <w:szCs w:val="18"/>
              </w:rPr>
            </w:pPr>
            <w:r>
              <w:rPr>
                <w:rFonts w:hint="default" w:hAnsi="宋体" w:cs="宋体"/>
                <w:color w:val="000000"/>
                <w:sz w:val="18"/>
                <w:szCs w:val="18"/>
                <w:lang w:bidi="ar"/>
              </w:rPr>
              <w:t>可持续影响指标</w:t>
            </w:r>
          </w:p>
        </w:tc>
        <w:tc>
          <w:tcPr>
            <w:tcW w:w="2181" w:type="dxa"/>
            <w:gridSpan w:val="2"/>
            <w:tcBorders>
              <w:top w:val="single" w:color="000000" w:sz="4" w:space="0"/>
              <w:left w:val="single" w:color="000000" w:sz="4" w:space="0"/>
              <w:bottom w:val="nil"/>
              <w:right w:val="single" w:color="000000" w:sz="4" w:space="0"/>
              <w:tl2br w:val="nil"/>
              <w:tr2bl w:val="nil"/>
            </w:tcBorders>
            <w:noWrap w:val="0"/>
            <w:vAlign w:val="center"/>
          </w:tcPr>
          <w:p w14:paraId="2B465928">
            <w:pPr>
              <w:widowControl/>
              <w:textAlignment w:val="center"/>
              <w:rPr>
                <w:rFonts w:hint="default" w:hAnsi="宋体" w:cs="宋体"/>
                <w:color w:val="000000"/>
                <w:sz w:val="20"/>
                <w:szCs w:val="20"/>
              </w:rPr>
            </w:pPr>
            <w:r>
              <w:rPr>
                <w:rFonts w:hint="default" w:hAnsi="宋体" w:cs="宋体"/>
                <w:color w:val="000000"/>
                <w:sz w:val="20"/>
                <w:szCs w:val="20"/>
                <w:lang w:bidi="ar"/>
              </w:rPr>
              <w:t>项目持续发挥作用的期限</w:t>
            </w:r>
          </w:p>
        </w:tc>
        <w:tc>
          <w:tcPr>
            <w:tcW w:w="1316" w:type="dxa"/>
            <w:tcBorders>
              <w:top w:val="single" w:color="000000" w:sz="4" w:space="0"/>
              <w:left w:val="single" w:color="000000" w:sz="4" w:space="0"/>
              <w:bottom w:val="nil"/>
              <w:right w:val="single" w:color="000000" w:sz="4" w:space="0"/>
              <w:tl2br w:val="nil"/>
              <w:tr2bl w:val="nil"/>
            </w:tcBorders>
            <w:noWrap w:val="0"/>
            <w:vAlign w:val="center"/>
          </w:tcPr>
          <w:p w14:paraId="4644085B">
            <w:pPr>
              <w:widowControl/>
              <w:jc w:val="center"/>
              <w:textAlignment w:val="center"/>
              <w:rPr>
                <w:rFonts w:hint="default" w:hAnsi="宋体" w:cs="宋体"/>
                <w:color w:val="000000"/>
                <w:sz w:val="20"/>
                <w:szCs w:val="20"/>
              </w:rPr>
            </w:pPr>
            <w:r>
              <w:rPr>
                <w:rFonts w:hint="default" w:hAnsi="宋体" w:cs="宋体"/>
                <w:color w:val="000000"/>
                <w:sz w:val="20"/>
                <w:szCs w:val="20"/>
                <w:lang w:bidi="ar"/>
              </w:rPr>
              <w:t>≥1年</w:t>
            </w:r>
          </w:p>
        </w:tc>
        <w:tc>
          <w:tcPr>
            <w:tcW w:w="1733" w:type="dxa"/>
            <w:tcBorders>
              <w:top w:val="single" w:color="000000" w:sz="4" w:space="0"/>
              <w:left w:val="single" w:color="000000" w:sz="4" w:space="0"/>
              <w:bottom w:val="nil"/>
              <w:right w:val="single" w:color="000000" w:sz="4" w:space="0"/>
              <w:tl2br w:val="nil"/>
              <w:tr2bl w:val="nil"/>
            </w:tcBorders>
            <w:noWrap w:val="0"/>
            <w:vAlign w:val="center"/>
          </w:tcPr>
          <w:p w14:paraId="3AB2BA62">
            <w:pPr>
              <w:widowControl/>
              <w:jc w:val="center"/>
              <w:textAlignment w:val="center"/>
              <w:rPr>
                <w:rFonts w:hint="default" w:hAnsi="宋体" w:cs="宋体"/>
                <w:color w:val="000000"/>
                <w:sz w:val="20"/>
                <w:szCs w:val="20"/>
              </w:rPr>
            </w:pPr>
            <w:r>
              <w:rPr>
                <w:rFonts w:hint="default" w:hAnsi="宋体" w:cs="宋体"/>
                <w:color w:val="000000"/>
                <w:sz w:val="20"/>
                <w:szCs w:val="20"/>
                <w:lang w:bidi="ar"/>
              </w:rPr>
              <w:t>≥1年</w:t>
            </w:r>
          </w:p>
        </w:tc>
        <w:tc>
          <w:tcPr>
            <w:tcW w:w="2374" w:type="dxa"/>
            <w:tcBorders>
              <w:top w:val="single" w:color="000000" w:sz="4" w:space="0"/>
              <w:left w:val="single" w:color="000000" w:sz="4" w:space="0"/>
              <w:bottom w:val="nil"/>
              <w:right w:val="single" w:color="000000" w:sz="4" w:space="0"/>
              <w:tl2br w:val="nil"/>
              <w:tr2bl w:val="nil"/>
            </w:tcBorders>
            <w:noWrap w:val="0"/>
            <w:vAlign w:val="center"/>
          </w:tcPr>
          <w:p w14:paraId="18FC06EB">
            <w:pPr>
              <w:jc w:val="center"/>
              <w:rPr>
                <w:rFonts w:hint="default" w:hAnsi="宋体" w:cs="宋体"/>
                <w:color w:val="000000"/>
                <w:sz w:val="18"/>
                <w:szCs w:val="18"/>
              </w:rPr>
            </w:pPr>
          </w:p>
        </w:tc>
      </w:tr>
      <w:tr w14:paraId="12109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4" w:hRule="atLeast"/>
        </w:trPr>
        <w:tc>
          <w:tcPr>
            <w:tcW w:w="74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55737D">
            <w:pPr>
              <w:jc w:val="center"/>
              <w:rPr>
                <w:rFonts w:hint="default" w:hAnsi="宋体" w:cs="宋体"/>
                <w:color w:val="000000"/>
                <w:sz w:val="18"/>
                <w:szCs w:val="18"/>
              </w:rPr>
            </w:pPr>
          </w:p>
        </w:tc>
        <w:tc>
          <w:tcPr>
            <w:tcW w:w="5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D59342">
            <w:pPr>
              <w:widowControl/>
              <w:jc w:val="center"/>
              <w:textAlignment w:val="center"/>
              <w:rPr>
                <w:rFonts w:hint="default" w:hAnsi="宋体" w:cs="宋体"/>
                <w:color w:val="000000"/>
                <w:sz w:val="18"/>
                <w:szCs w:val="18"/>
              </w:rPr>
            </w:pPr>
            <w:r>
              <w:rPr>
                <w:rFonts w:hint="default" w:hAnsi="宋体" w:cs="宋体"/>
                <w:color w:val="000000"/>
                <w:sz w:val="18"/>
                <w:szCs w:val="18"/>
                <w:lang w:bidi="ar"/>
              </w:rPr>
              <w:t>满意度</w:t>
            </w:r>
            <w:r>
              <w:rPr>
                <w:rFonts w:hint="default" w:hAnsi="宋体" w:cs="宋体"/>
                <w:color w:val="000000"/>
                <w:sz w:val="18"/>
                <w:szCs w:val="18"/>
                <w:lang w:bidi="ar"/>
              </w:rPr>
              <w:br w:type="textWrapping"/>
            </w:r>
            <w:r>
              <w:rPr>
                <w:rFonts w:hint="default" w:hAnsi="宋体" w:cs="宋体"/>
                <w:color w:val="000000"/>
                <w:sz w:val="18"/>
                <w:szCs w:val="18"/>
                <w:lang w:bidi="ar"/>
              </w:rPr>
              <w:t>指标</w:t>
            </w:r>
          </w:p>
        </w:tc>
        <w:tc>
          <w:tcPr>
            <w:tcW w:w="89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557A22">
            <w:pPr>
              <w:widowControl/>
              <w:jc w:val="center"/>
              <w:textAlignment w:val="center"/>
              <w:rPr>
                <w:rFonts w:hint="default" w:hAnsi="宋体" w:cs="宋体"/>
                <w:color w:val="000000"/>
                <w:sz w:val="18"/>
                <w:szCs w:val="18"/>
              </w:rPr>
            </w:pPr>
            <w:r>
              <w:rPr>
                <w:rFonts w:hint="default" w:hAnsi="宋体" w:cs="宋体"/>
                <w:color w:val="000000"/>
                <w:sz w:val="18"/>
                <w:szCs w:val="18"/>
                <w:lang w:bidi="ar"/>
              </w:rPr>
              <w:t>服务对象满意度指标</w:t>
            </w:r>
          </w:p>
        </w:tc>
        <w:tc>
          <w:tcPr>
            <w:tcW w:w="2181"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62DE24">
            <w:pPr>
              <w:widowControl/>
              <w:textAlignment w:val="center"/>
              <w:rPr>
                <w:rFonts w:hint="default" w:hAnsi="宋体" w:cs="宋体"/>
                <w:color w:val="000000"/>
                <w:sz w:val="20"/>
                <w:szCs w:val="20"/>
              </w:rPr>
            </w:pPr>
            <w:r>
              <w:rPr>
                <w:rFonts w:hint="default" w:hAnsi="宋体" w:cs="宋体"/>
                <w:color w:val="000000"/>
                <w:sz w:val="20"/>
                <w:szCs w:val="20"/>
                <w:lang w:bidi="ar"/>
              </w:rPr>
              <w:t>服务群众满意度</w:t>
            </w:r>
          </w:p>
        </w:tc>
        <w:tc>
          <w:tcPr>
            <w:tcW w:w="13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9B88CE">
            <w:pPr>
              <w:widowControl/>
              <w:jc w:val="center"/>
              <w:textAlignment w:val="center"/>
              <w:rPr>
                <w:rFonts w:hint="default" w:hAnsi="宋体" w:cs="宋体"/>
                <w:color w:val="000000"/>
                <w:sz w:val="20"/>
                <w:szCs w:val="20"/>
              </w:rPr>
            </w:pPr>
            <w:r>
              <w:rPr>
                <w:rFonts w:hint="default" w:hAnsi="宋体" w:cs="宋体"/>
                <w:color w:val="000000"/>
                <w:sz w:val="20"/>
                <w:szCs w:val="20"/>
                <w:lang w:bidi="ar"/>
              </w:rPr>
              <w:t>≥95%</w:t>
            </w:r>
          </w:p>
        </w:tc>
        <w:tc>
          <w:tcPr>
            <w:tcW w:w="17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3DD5F1">
            <w:pPr>
              <w:widowControl/>
              <w:jc w:val="center"/>
              <w:textAlignment w:val="center"/>
              <w:rPr>
                <w:rFonts w:hint="default" w:hAnsi="宋体" w:cs="宋体"/>
                <w:color w:val="000000"/>
                <w:sz w:val="20"/>
                <w:szCs w:val="20"/>
              </w:rPr>
            </w:pPr>
            <w:r>
              <w:rPr>
                <w:rFonts w:hint="default" w:hAnsi="宋体" w:cs="宋体"/>
                <w:color w:val="000000"/>
                <w:sz w:val="20"/>
                <w:szCs w:val="20"/>
                <w:lang w:bidi="ar"/>
              </w:rPr>
              <w:t>≥95%</w:t>
            </w:r>
          </w:p>
        </w:tc>
        <w:tc>
          <w:tcPr>
            <w:tcW w:w="237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923328">
            <w:pPr>
              <w:jc w:val="center"/>
              <w:rPr>
                <w:rFonts w:hint="default" w:hAnsi="宋体" w:cs="宋体"/>
                <w:color w:val="000000"/>
                <w:sz w:val="18"/>
                <w:szCs w:val="18"/>
              </w:rPr>
            </w:pPr>
          </w:p>
        </w:tc>
      </w:tr>
    </w:tbl>
    <w:p w14:paraId="7E083A84">
      <w:pPr>
        <w:rPr>
          <w:rFonts w:hint="default"/>
          <w:sz w:val="24"/>
          <w:szCs w:val="24"/>
        </w:rPr>
      </w:pPr>
    </w:p>
    <w:p w14:paraId="35079A00">
      <w:pPr>
        <w:autoSpaceDE/>
        <w:autoSpaceDN/>
        <w:adjustRightInd/>
        <w:spacing w:line="556" w:lineRule="exact"/>
        <w:ind w:firstLine="640" w:firstLineChars="200"/>
        <w:rPr>
          <w:rFonts w:hint="eastAsia" w:ascii="Times New Roman" w:eastAsia="仿宋" w:cs="仿宋"/>
          <w:sz w:val="32"/>
          <w:szCs w:val="32"/>
        </w:rPr>
      </w:pPr>
    </w:p>
    <w:p w14:paraId="7BB85AD1">
      <w:pPr>
        <w:autoSpaceDE/>
        <w:autoSpaceDN/>
        <w:adjustRightInd/>
        <w:spacing w:line="556" w:lineRule="exact"/>
        <w:ind w:firstLine="640" w:firstLineChars="200"/>
        <w:rPr>
          <w:rFonts w:hint="eastAsia" w:ascii="Times New Roman" w:eastAsia="仿宋" w:cs="仿宋"/>
          <w:sz w:val="32"/>
          <w:szCs w:val="32"/>
        </w:rPr>
      </w:pPr>
    </w:p>
    <w:p w14:paraId="7B33351C">
      <w:pPr>
        <w:pStyle w:val="6"/>
        <w:rPr>
          <w:rFonts w:hint="eastAsia" w:ascii="Times New Roman" w:eastAsia="仿宋" w:cs="仿宋"/>
          <w:sz w:val="32"/>
          <w:szCs w:val="32"/>
        </w:rPr>
      </w:pPr>
    </w:p>
    <w:p w14:paraId="5F1FBE0B">
      <w:pPr>
        <w:rPr>
          <w:rFonts w:hint="eastAsia" w:ascii="Times New Roman" w:eastAsia="仿宋" w:cs="仿宋"/>
          <w:sz w:val="32"/>
          <w:szCs w:val="32"/>
        </w:rPr>
      </w:pPr>
    </w:p>
    <w:p w14:paraId="4A1BB833">
      <w:pPr>
        <w:pStyle w:val="6"/>
        <w:rPr>
          <w:rFonts w:hint="eastAsia" w:ascii="Times New Roman" w:eastAsia="仿宋" w:cs="仿宋"/>
          <w:sz w:val="32"/>
          <w:szCs w:val="32"/>
        </w:rPr>
      </w:pPr>
    </w:p>
    <w:p w14:paraId="2EF19C44">
      <w:pPr>
        <w:pStyle w:val="2"/>
        <w:ind w:left="0" w:leftChars="0" w:firstLine="0" w:firstLineChars="0"/>
        <w:rPr>
          <w:rFonts w:hint="eastAsia" w:ascii="Times New Roman" w:hAnsi="Times New Roman" w:eastAsia="仿宋" w:cs="仿宋"/>
          <w:sz w:val="32"/>
          <w:szCs w:val="32"/>
        </w:rPr>
      </w:pPr>
    </w:p>
    <w:p w14:paraId="2D6CF311">
      <w:pPr>
        <w:rPr>
          <w:rFonts w:hint="eastAsia" w:ascii="Times New Roman" w:eastAsia="仿宋" w:cs="仿宋"/>
          <w:sz w:val="32"/>
          <w:szCs w:val="32"/>
        </w:rPr>
      </w:pPr>
    </w:p>
    <w:p w14:paraId="0E94F7C0">
      <w:pPr>
        <w:pStyle w:val="2"/>
        <w:rPr>
          <w:rFonts w:hint="eastAsia" w:ascii="Times New Roman" w:hAnsi="Times New Roman" w:eastAsia="仿宋" w:cs="仿宋"/>
          <w:sz w:val="32"/>
          <w:szCs w:val="32"/>
        </w:rPr>
      </w:pPr>
    </w:p>
    <w:p w14:paraId="387263E4">
      <w:pPr>
        <w:rPr>
          <w:rFonts w:hint="default"/>
          <w:sz w:val="24"/>
          <w:szCs w:val="24"/>
        </w:rPr>
      </w:pPr>
    </w:p>
    <w:p w14:paraId="4629BA57">
      <w:pPr>
        <w:autoSpaceDE/>
        <w:autoSpaceDN/>
        <w:adjustRightInd/>
        <w:spacing w:line="556" w:lineRule="exact"/>
        <w:rPr>
          <w:rFonts w:hint="eastAsia" w:ascii="黑体" w:hAnsi="黑体" w:eastAsia="黑体" w:cs="黑体"/>
          <w:sz w:val="32"/>
          <w:szCs w:val="32"/>
        </w:rPr>
      </w:pPr>
      <w:r>
        <w:rPr>
          <w:rFonts w:hint="eastAsia" w:ascii="黑体" w:hAnsi="黑体" w:eastAsia="黑体" w:cs="黑体"/>
          <w:sz w:val="32"/>
          <w:szCs w:val="32"/>
        </w:rPr>
        <w:t>附件2-1：</w:t>
      </w:r>
    </w:p>
    <w:p w14:paraId="465422D5">
      <w:pPr>
        <w:numPr>
          <w:ilvl w:val="0"/>
          <w:numId w:val="0"/>
        </w:numPr>
        <w:tabs>
          <w:tab w:val="center" w:pos="4482"/>
          <w:tab w:val="left" w:pos="7482"/>
        </w:tabs>
        <w:autoSpaceDE/>
        <w:autoSpaceDN/>
        <w:adjustRightInd/>
        <w:spacing w:line="576" w:lineRule="exact"/>
        <w:jc w:val="center"/>
        <w:rPr>
          <w:rFonts w:hint="eastAsia" w:ascii="Times New Roman" w:eastAsia="方正小标宋简体" w:cs="方正小标宋简体"/>
          <w:kern w:val="2"/>
          <w:sz w:val="44"/>
          <w:szCs w:val="44"/>
        </w:rPr>
      </w:pPr>
      <w:r>
        <w:rPr>
          <w:rFonts w:hint="eastAsia" w:ascii="Times New Roman" w:eastAsia="方正小标宋简体" w:cs="方正小标宋简体"/>
          <w:kern w:val="2"/>
          <w:sz w:val="44"/>
          <w:szCs w:val="44"/>
        </w:rPr>
        <w:t>广元市昭化区太公镇人民政府</w:t>
      </w:r>
    </w:p>
    <w:p w14:paraId="50E21C1C">
      <w:pPr>
        <w:numPr>
          <w:ilvl w:val="0"/>
          <w:numId w:val="0"/>
        </w:numPr>
        <w:tabs>
          <w:tab w:val="center" w:pos="4482"/>
          <w:tab w:val="left" w:pos="7482"/>
        </w:tabs>
        <w:autoSpaceDE/>
        <w:autoSpaceDN/>
        <w:adjustRightInd/>
        <w:spacing w:line="576" w:lineRule="exact"/>
        <w:jc w:val="center"/>
        <w:rPr>
          <w:rFonts w:hint="eastAsia" w:ascii="Times New Roman" w:eastAsia="方正小标宋简体" w:cs="方正小标宋简体"/>
          <w:kern w:val="2"/>
          <w:sz w:val="44"/>
          <w:szCs w:val="44"/>
        </w:rPr>
      </w:pPr>
      <w:r>
        <w:rPr>
          <w:rFonts w:hint="eastAsia" w:ascii="Times New Roman" w:eastAsia="方正小标宋简体" w:cs="方正小标宋简体"/>
          <w:kern w:val="2"/>
          <w:sz w:val="44"/>
          <w:szCs w:val="44"/>
        </w:rPr>
        <w:t>2023年基层组织活动和公共运行维护经费</w:t>
      </w:r>
    </w:p>
    <w:p w14:paraId="1D9539C9">
      <w:pPr>
        <w:numPr>
          <w:ilvl w:val="0"/>
          <w:numId w:val="0"/>
        </w:numPr>
        <w:tabs>
          <w:tab w:val="center" w:pos="4482"/>
          <w:tab w:val="left" w:pos="7482"/>
        </w:tabs>
        <w:autoSpaceDE/>
        <w:autoSpaceDN/>
        <w:adjustRightInd/>
        <w:spacing w:line="576" w:lineRule="exact"/>
        <w:jc w:val="center"/>
        <w:rPr>
          <w:rFonts w:hint="eastAsia" w:ascii="Times New Roman" w:eastAsia="方正小标宋简体" w:cs="方正小标宋简体"/>
          <w:kern w:val="2"/>
          <w:sz w:val="44"/>
          <w:szCs w:val="44"/>
        </w:rPr>
      </w:pPr>
      <w:r>
        <w:rPr>
          <w:rFonts w:hint="eastAsia" w:ascii="Times New Roman" w:eastAsia="方正小标宋简体" w:cs="方正小标宋简体"/>
          <w:kern w:val="2"/>
          <w:sz w:val="44"/>
          <w:szCs w:val="44"/>
        </w:rPr>
        <w:t>支出绩效自评报告</w:t>
      </w:r>
    </w:p>
    <w:p w14:paraId="34564AC0">
      <w:pPr>
        <w:autoSpaceDE/>
        <w:autoSpaceDN/>
        <w:adjustRightInd/>
        <w:spacing w:line="556" w:lineRule="exact"/>
        <w:rPr>
          <w:rFonts w:hint="eastAsia" w:ascii="Times New Roman" w:eastAsia="Times New Roman"/>
          <w:sz w:val="32"/>
          <w:szCs w:val="32"/>
        </w:rPr>
      </w:pPr>
    </w:p>
    <w:p w14:paraId="722959CE">
      <w:pPr>
        <w:spacing w:line="576" w:lineRule="exact"/>
        <w:ind w:firstLine="640" w:firstLineChars="200"/>
        <w:rPr>
          <w:rFonts w:hint="eastAsia" w:ascii="Times New Roman" w:eastAsia="仿宋_GB2312"/>
          <w:color w:val="000000"/>
          <w:sz w:val="32"/>
          <w:szCs w:val="24"/>
        </w:rPr>
      </w:pPr>
      <w:r>
        <w:rPr>
          <w:rFonts w:hint="eastAsia" w:ascii="Times New Roman" w:eastAsia="仿宋_GB2312"/>
          <w:color w:val="000000"/>
          <w:sz w:val="32"/>
          <w:szCs w:val="24"/>
        </w:rPr>
        <w:t>为严格落实项目预算执行，根据《广元市昭化区财政局关于开展2024年部门、政策和项目支出绩效评价工作的通知》（昭财发</w:t>
      </w:r>
      <w:r>
        <w:rPr>
          <w:rFonts w:hint="eastAsia" w:ascii="Times New Roman" w:eastAsia="仿宋_GB2312"/>
          <w:color w:val="000000"/>
          <w:sz w:val="32"/>
          <w:szCs w:val="24"/>
          <w:lang w:eastAsia="zh-CN"/>
        </w:rPr>
        <w:t>〔</w:t>
      </w:r>
      <w:r>
        <w:rPr>
          <w:rFonts w:hint="eastAsia" w:ascii="Times New Roman" w:eastAsia="仿宋_GB2312"/>
          <w:color w:val="000000"/>
          <w:sz w:val="32"/>
          <w:szCs w:val="24"/>
        </w:rPr>
        <w:t>2024</w:t>
      </w:r>
      <w:r>
        <w:rPr>
          <w:rFonts w:hint="eastAsia" w:ascii="Times New Roman" w:eastAsia="仿宋_GB2312"/>
          <w:color w:val="000000"/>
          <w:sz w:val="32"/>
          <w:szCs w:val="24"/>
          <w:lang w:eastAsia="zh-CN"/>
        </w:rPr>
        <w:t>〕</w:t>
      </w:r>
      <w:r>
        <w:rPr>
          <w:rFonts w:hint="eastAsia" w:ascii="Times New Roman" w:eastAsia="仿宋_GB2312"/>
          <w:color w:val="000000"/>
          <w:sz w:val="32"/>
          <w:szCs w:val="24"/>
        </w:rPr>
        <w:t xml:space="preserve">11号）文件要求，我镇积极组织对2023年基层组织活动和公共运行维护经费项目资金进行绩效评价。保证我镇项目支出的资金使用合理合规，现将我镇2023年基层组织活动和公共运行维护经费项目绩效自评报告如下：     </w:t>
      </w:r>
    </w:p>
    <w:p w14:paraId="361485D8">
      <w:pPr>
        <w:spacing w:line="576" w:lineRule="exact"/>
        <w:ind w:firstLine="640" w:firstLineChars="200"/>
        <w:rPr>
          <w:rFonts w:hint="eastAsia" w:ascii="黑体" w:hAnsi="黑体" w:eastAsia="黑体" w:cs="黑体"/>
          <w:color w:val="000000"/>
          <w:sz w:val="32"/>
          <w:szCs w:val="24"/>
          <w:lang w:val="zh-CN"/>
        </w:rPr>
      </w:pPr>
      <w:r>
        <w:rPr>
          <w:rFonts w:hint="eastAsia" w:ascii="黑体" w:hAnsi="黑体" w:eastAsia="黑体" w:cs="黑体"/>
          <w:color w:val="000000"/>
          <w:sz w:val="32"/>
          <w:szCs w:val="24"/>
          <w:lang w:val="zh-CN"/>
        </w:rPr>
        <w:t>一、项目概况</w:t>
      </w:r>
    </w:p>
    <w:p w14:paraId="45A629E9">
      <w:pPr>
        <w:spacing w:line="576" w:lineRule="exact"/>
        <w:ind w:firstLine="640"/>
        <w:rPr>
          <w:rFonts w:hint="eastAsia" w:ascii="Times New Roman" w:eastAsia="楷体_GB2312" w:cs="楷体_GB2312"/>
          <w:kern w:val="2"/>
          <w:sz w:val="32"/>
          <w:szCs w:val="32"/>
          <w:lang w:val="zh-CN"/>
        </w:rPr>
      </w:pPr>
      <w:r>
        <w:rPr>
          <w:rFonts w:hint="eastAsia" w:ascii="Times New Roman" w:eastAsia="楷体_GB2312" w:cs="楷体_GB2312"/>
          <w:kern w:val="2"/>
          <w:sz w:val="32"/>
          <w:szCs w:val="32"/>
        </w:rPr>
        <w:t>（一）</w:t>
      </w:r>
      <w:r>
        <w:rPr>
          <w:rFonts w:hint="eastAsia" w:ascii="Times New Roman" w:eastAsia="楷体_GB2312" w:cs="楷体_GB2312"/>
          <w:kern w:val="2"/>
          <w:sz w:val="32"/>
          <w:szCs w:val="32"/>
          <w:lang w:val="zh-CN"/>
        </w:rPr>
        <w:t>项目资金申报及批复情况</w:t>
      </w:r>
    </w:p>
    <w:p w14:paraId="0F1C273B">
      <w:pPr>
        <w:spacing w:line="576" w:lineRule="exact"/>
        <w:ind w:firstLine="640" w:firstLineChars="200"/>
        <w:rPr>
          <w:rFonts w:hint="eastAsia" w:ascii="Times New Roman" w:eastAsia="仿宋_GB2312"/>
          <w:color w:val="000000"/>
          <w:sz w:val="32"/>
          <w:szCs w:val="24"/>
          <w:lang w:val="zh-CN"/>
        </w:rPr>
      </w:pPr>
      <w:r>
        <w:rPr>
          <w:rFonts w:hint="eastAsia" w:ascii="Times New Roman" w:eastAsia="仿宋_GB2312"/>
          <w:color w:val="000000"/>
          <w:sz w:val="32"/>
          <w:szCs w:val="24"/>
        </w:rPr>
        <w:t>我镇2023年基层组织活动和公共运行维护经费项目为2023年年初预算资金，涉及我镇13个村2个社区77个社，金额99万元。预算口径为一类村（社区）8万元/村，二类村（社区）7万元/村，三类村（社区）6万元/村；主要用于各村农村基础设施和环境类、农业生产服务类、农村生活服务类及农村社会管理类等四个类别，由各村居自行组织实施，镇分管领导、联村领导、干部及相关部门会同各村进行验收后公示，该项目符合财政专项资金管理办法等相关规定。区财政局于2023年2月21日对该项目预算批复资金99万元。</w:t>
      </w:r>
    </w:p>
    <w:p w14:paraId="3FEBFEE3">
      <w:pPr>
        <w:spacing w:line="576" w:lineRule="exact"/>
        <w:ind w:firstLine="640"/>
        <w:rPr>
          <w:rFonts w:hint="eastAsia" w:ascii="Times New Roman" w:eastAsia="楷体_GB2312" w:cs="楷体_GB2312"/>
          <w:kern w:val="2"/>
          <w:sz w:val="32"/>
          <w:szCs w:val="32"/>
          <w:lang w:val="zh-CN"/>
        </w:rPr>
      </w:pPr>
      <w:r>
        <w:rPr>
          <w:rFonts w:hint="eastAsia" w:ascii="Times New Roman" w:eastAsia="楷体_GB2312" w:cs="楷体_GB2312"/>
          <w:kern w:val="2"/>
          <w:sz w:val="32"/>
          <w:szCs w:val="32"/>
          <w:lang w:val="zh-CN"/>
        </w:rPr>
        <w:t>（二）项目绩效目标</w:t>
      </w:r>
    </w:p>
    <w:p w14:paraId="76A797D7">
      <w:pPr>
        <w:spacing w:line="576" w:lineRule="exact"/>
        <w:ind w:firstLine="640" w:firstLineChars="200"/>
        <w:rPr>
          <w:rFonts w:hint="eastAsia" w:ascii="Times New Roman" w:eastAsia="仿宋_GB2312"/>
          <w:color w:val="000000"/>
          <w:sz w:val="32"/>
          <w:szCs w:val="24"/>
        </w:rPr>
      </w:pPr>
      <w:r>
        <w:rPr>
          <w:rFonts w:hint="eastAsia" w:ascii="Times New Roman" w:eastAsia="仿宋_GB2312"/>
          <w:color w:val="000000"/>
          <w:sz w:val="32"/>
          <w:szCs w:val="24"/>
        </w:rPr>
        <w:t>加强基层组织建设，提高公共运行服务保障水平和社会治理能力，按照《广元市昭化区基层活动和公共服务运行经费使用管理办法》。</w:t>
      </w:r>
    </w:p>
    <w:p w14:paraId="201F8237">
      <w:pPr>
        <w:spacing w:line="576" w:lineRule="exact"/>
        <w:ind w:firstLine="640" w:firstLineChars="200"/>
        <w:rPr>
          <w:rFonts w:hint="eastAsia" w:ascii="Times New Roman" w:eastAsia="仿宋_GB2312"/>
          <w:color w:val="000000"/>
          <w:sz w:val="32"/>
          <w:szCs w:val="24"/>
        </w:rPr>
      </w:pPr>
      <w:r>
        <w:rPr>
          <w:rFonts w:hint="eastAsia" w:ascii="Times New Roman" w:eastAsia="仿宋_GB2312"/>
          <w:color w:val="000000"/>
          <w:sz w:val="32"/>
          <w:szCs w:val="24"/>
        </w:rPr>
        <w:t>2023年年初预算设置产出指标为：保障村社区出行畅通，对村道路烂路维修1.5公里，全年垃圾清运次数180次，动植物防疫村防员补助个数13个，园林绿化面积2亩，维护森林防火哨卡4个。年中因部分项目调整，产出指标更改为：全年垃圾清运不少于800次，村道路两旁栽植花草不少于3处，村内道路基础设施维护12处，水利基础设施维修维护不少于8处，维持15个村（社区）日常办公运转，项目已完成总额的100%。</w:t>
      </w:r>
    </w:p>
    <w:p w14:paraId="2E5AE96B">
      <w:pPr>
        <w:spacing w:line="576" w:lineRule="exact"/>
        <w:ind w:firstLine="640"/>
        <w:rPr>
          <w:rFonts w:hint="eastAsia" w:ascii="Times New Roman" w:eastAsia="楷体_GB2312" w:cs="楷体_GB2312"/>
          <w:kern w:val="2"/>
          <w:sz w:val="32"/>
          <w:szCs w:val="32"/>
          <w:lang w:val="zh-CN"/>
        </w:rPr>
      </w:pPr>
      <w:r>
        <w:rPr>
          <w:rFonts w:hint="eastAsia" w:ascii="Times New Roman" w:eastAsia="楷体_GB2312" w:cs="楷体_GB2312"/>
          <w:kern w:val="2"/>
          <w:sz w:val="32"/>
          <w:szCs w:val="32"/>
          <w:lang w:val="zh-CN"/>
        </w:rPr>
        <w:t>（三）项目资金申报相符性</w:t>
      </w:r>
    </w:p>
    <w:p w14:paraId="091A2829">
      <w:pPr>
        <w:spacing w:line="576" w:lineRule="exact"/>
        <w:ind w:firstLine="640" w:firstLineChars="200"/>
        <w:rPr>
          <w:rFonts w:hint="eastAsia" w:ascii="Times New Roman" w:eastAsia="仿宋_GB2312"/>
          <w:color w:val="000000"/>
          <w:sz w:val="32"/>
          <w:szCs w:val="24"/>
        </w:rPr>
      </w:pPr>
      <w:r>
        <w:rPr>
          <w:rFonts w:hint="eastAsia" w:ascii="Times New Roman" w:eastAsia="仿宋_GB2312"/>
          <w:color w:val="000000"/>
          <w:sz w:val="32"/>
          <w:szCs w:val="24"/>
        </w:rPr>
        <w:t>2023年基层组织活动和公共运行维护经费</w:t>
      </w:r>
      <w:r>
        <w:rPr>
          <w:rFonts w:hint="eastAsia" w:ascii="Times New Roman" w:eastAsia="仿宋_GB2312"/>
          <w:color w:val="000000"/>
          <w:sz w:val="32"/>
          <w:szCs w:val="24"/>
          <w:lang w:val="zh-CN"/>
        </w:rPr>
        <w:t>项目年初各村（社区）上报本年度的实施项目，经项目竣工验收，实施项目均与项目实施范围相符，</w:t>
      </w:r>
      <w:r>
        <w:rPr>
          <w:rFonts w:hint="eastAsia" w:ascii="Times New Roman" w:eastAsia="仿宋_GB2312"/>
          <w:color w:val="000000"/>
          <w:sz w:val="32"/>
          <w:szCs w:val="24"/>
        </w:rPr>
        <w:t>申报目标合理，项目可申报实施。</w:t>
      </w:r>
    </w:p>
    <w:p w14:paraId="1597DBA2">
      <w:pPr>
        <w:spacing w:line="576" w:lineRule="exact"/>
        <w:ind w:firstLine="640"/>
        <w:rPr>
          <w:rFonts w:hint="eastAsia" w:ascii="Times New Roman" w:eastAsia="楷体_GB2312" w:cs="楷体_GB2312"/>
          <w:kern w:val="2"/>
          <w:sz w:val="32"/>
          <w:szCs w:val="32"/>
          <w:lang w:val="zh-CN"/>
        </w:rPr>
      </w:pPr>
      <w:r>
        <w:rPr>
          <w:rFonts w:hint="eastAsia" w:ascii="Times New Roman" w:eastAsia="楷体_GB2312" w:cs="楷体_GB2312"/>
          <w:kern w:val="2"/>
          <w:sz w:val="32"/>
          <w:szCs w:val="32"/>
          <w:lang w:val="zh-CN"/>
        </w:rPr>
        <w:t>（四）自评步骤及方法</w:t>
      </w:r>
    </w:p>
    <w:p w14:paraId="5CDB6D3B">
      <w:pPr>
        <w:spacing w:line="576" w:lineRule="exact"/>
        <w:ind w:firstLine="640" w:firstLineChars="200"/>
        <w:rPr>
          <w:rFonts w:hint="eastAsia" w:ascii="Times New Roman" w:eastAsia="仿宋_GB2312"/>
          <w:color w:val="000000"/>
          <w:sz w:val="32"/>
          <w:szCs w:val="24"/>
          <w:lang w:val="zh-CN"/>
        </w:rPr>
      </w:pPr>
      <w:r>
        <w:rPr>
          <w:rFonts w:hint="eastAsia" w:ascii="Times New Roman" w:eastAsia="仿宋_GB2312"/>
          <w:color w:val="000000"/>
          <w:sz w:val="32"/>
          <w:szCs w:val="24"/>
          <w:lang w:val="zh-CN"/>
        </w:rPr>
        <w:t>我镇</w:t>
      </w:r>
      <w:r>
        <w:rPr>
          <w:rFonts w:hint="eastAsia" w:ascii="Times New Roman" w:eastAsia="仿宋_GB2312"/>
          <w:color w:val="000000"/>
          <w:sz w:val="32"/>
          <w:szCs w:val="24"/>
        </w:rPr>
        <w:t>2023年基层组织活动和公共运行维护经费项目采用的方法是各村自评、镇级审核的方式。具体步骤为：各村对项目实施的前、中、后进行自评，镇分管领导会同相关部门对项目的实施情况进行全程监管，最后镇财政所对项目资料进行审核。</w:t>
      </w:r>
    </w:p>
    <w:p w14:paraId="782FBBCD">
      <w:pPr>
        <w:spacing w:line="576" w:lineRule="exact"/>
        <w:ind w:firstLine="640"/>
        <w:rPr>
          <w:rFonts w:hint="eastAsia" w:ascii="黑体" w:hAnsi="黑体" w:eastAsia="黑体" w:cs="黑体"/>
          <w:kern w:val="2"/>
          <w:sz w:val="32"/>
          <w:szCs w:val="32"/>
          <w:lang w:val="zh-CN"/>
        </w:rPr>
      </w:pPr>
      <w:r>
        <w:rPr>
          <w:rFonts w:hint="eastAsia" w:ascii="黑体" w:hAnsi="黑体" w:eastAsia="黑体" w:cs="黑体"/>
          <w:color w:val="000000"/>
          <w:sz w:val="32"/>
          <w:szCs w:val="24"/>
        </w:rPr>
        <w:t>二、项目实施及管理情况</w:t>
      </w:r>
    </w:p>
    <w:p w14:paraId="039FAC7F">
      <w:pPr>
        <w:spacing w:line="576" w:lineRule="exact"/>
        <w:ind w:firstLine="640"/>
        <w:rPr>
          <w:rFonts w:hint="eastAsia" w:ascii="Times New Roman" w:eastAsia="楷体_GB2312" w:cs="楷体_GB2312"/>
          <w:kern w:val="2"/>
          <w:sz w:val="32"/>
          <w:szCs w:val="32"/>
          <w:lang w:val="zh-CN"/>
        </w:rPr>
      </w:pPr>
      <w:r>
        <w:rPr>
          <w:rFonts w:hint="eastAsia" w:ascii="Times New Roman" w:eastAsia="楷体_GB2312" w:cs="楷体_GB2312"/>
          <w:kern w:val="2"/>
          <w:sz w:val="32"/>
          <w:szCs w:val="32"/>
          <w:lang w:val="zh-CN"/>
        </w:rPr>
        <w:t>（一）资金计划、到位及使用情况</w:t>
      </w:r>
    </w:p>
    <w:p w14:paraId="1FC94CBE">
      <w:pPr>
        <w:spacing w:line="576" w:lineRule="exact"/>
        <w:ind w:firstLine="640" w:firstLineChars="200"/>
        <w:rPr>
          <w:rFonts w:hint="eastAsia" w:ascii="Times New Roman" w:eastAsia="仿宋_GB2312"/>
          <w:color w:val="000000"/>
          <w:sz w:val="32"/>
          <w:szCs w:val="24"/>
        </w:rPr>
      </w:pPr>
      <w:r>
        <w:rPr>
          <w:rFonts w:hint="eastAsia" w:ascii="Times New Roman" w:eastAsia="仿宋_GB2312"/>
          <w:color w:val="000000"/>
          <w:sz w:val="32"/>
          <w:szCs w:val="24"/>
          <w:lang w:val="zh-CN"/>
        </w:rPr>
        <w:t>1.资金计划及到位。</w:t>
      </w:r>
      <w:r>
        <w:rPr>
          <w:rFonts w:hint="eastAsia" w:ascii="Times New Roman" w:eastAsia="仿宋_GB2312"/>
          <w:color w:val="000000"/>
          <w:sz w:val="32"/>
          <w:szCs w:val="24"/>
        </w:rPr>
        <w:t>2023年基层组织活动和公共运行维护经费项目</w:t>
      </w:r>
      <w:r>
        <w:rPr>
          <w:rFonts w:hint="eastAsia" w:ascii="Times New Roman" w:eastAsia="仿宋_GB2312"/>
          <w:color w:val="000000"/>
          <w:sz w:val="32"/>
          <w:szCs w:val="24"/>
          <w:lang w:val="zh-CN"/>
        </w:rPr>
        <w:t>资金</w:t>
      </w:r>
      <w:r>
        <w:rPr>
          <w:rFonts w:hint="eastAsia" w:ascii="Times New Roman" w:eastAsia="仿宋_GB2312"/>
          <w:color w:val="000000"/>
          <w:sz w:val="32"/>
          <w:szCs w:val="24"/>
        </w:rPr>
        <w:t>99万元，其中：上级资金安排72万元，本级资金安排27万元，已到位99万元。其中：张家村、黄金村、太平村等3个村（社区）按一类村（社区）计划资金8万元/村，太公岭村、红军山社区、黄龙社区等3个村（社区）按二类村（社区）计划资金7万元/村，水磨村、高照村、双庙村、白头村、玄贞村、红卫村、学堂村、场埃村、回龙村等9个村（社区）按三类村（社区）计划资金6万元/村。以项目资金管理并实施，按照村实施、镇监管、验收，在村公示不少于5个工作日，群众无异议后上报镇财政所，财政所统一到区财政局报账，区财政局通过一体化平台将资金直接支付到第三施工方。</w:t>
      </w:r>
    </w:p>
    <w:p w14:paraId="273A40F9">
      <w:pPr>
        <w:spacing w:line="576" w:lineRule="exact"/>
        <w:ind w:firstLine="640" w:firstLineChars="200"/>
        <w:rPr>
          <w:rFonts w:hint="eastAsia" w:ascii="Times New Roman" w:eastAsia="仿宋_GB2312"/>
          <w:color w:val="000000"/>
          <w:sz w:val="32"/>
          <w:szCs w:val="24"/>
        </w:rPr>
      </w:pPr>
      <w:r>
        <w:rPr>
          <w:rFonts w:hint="eastAsia" w:ascii="Times New Roman" w:eastAsia="仿宋_GB2312"/>
          <w:color w:val="000000"/>
          <w:sz w:val="32"/>
          <w:szCs w:val="24"/>
          <w:lang w:val="zh-CN"/>
        </w:rPr>
        <w:t>2.资金使用。截至目前，全镇</w:t>
      </w:r>
      <w:r>
        <w:rPr>
          <w:rFonts w:hint="eastAsia" w:ascii="Times New Roman" w:eastAsia="仿宋_GB2312"/>
          <w:color w:val="000000"/>
          <w:sz w:val="32"/>
          <w:szCs w:val="24"/>
        </w:rPr>
        <w:t>13</w:t>
      </w:r>
      <w:r>
        <w:rPr>
          <w:rFonts w:hint="eastAsia" w:ascii="Times New Roman" w:eastAsia="仿宋_GB2312"/>
          <w:color w:val="000000"/>
          <w:sz w:val="32"/>
          <w:szCs w:val="24"/>
          <w:lang w:val="zh-CN"/>
        </w:rPr>
        <w:t>个村2社区共实施农村公共服务运行维护项目</w:t>
      </w:r>
      <w:r>
        <w:rPr>
          <w:rFonts w:hint="eastAsia" w:ascii="Times New Roman" w:eastAsia="仿宋_GB2312"/>
          <w:color w:val="000000"/>
          <w:sz w:val="32"/>
          <w:szCs w:val="24"/>
        </w:rPr>
        <w:t>71</w:t>
      </w:r>
      <w:r>
        <w:rPr>
          <w:rFonts w:hint="eastAsia" w:ascii="Times New Roman" w:eastAsia="仿宋_GB2312"/>
          <w:color w:val="000000"/>
          <w:sz w:val="32"/>
          <w:szCs w:val="24"/>
          <w:lang w:val="zh-CN"/>
        </w:rPr>
        <w:t>个，其中：（1）农村基础设施和环境项目类的运行维护项目</w:t>
      </w:r>
      <w:r>
        <w:rPr>
          <w:rFonts w:hint="eastAsia" w:ascii="Times New Roman" w:eastAsia="仿宋_GB2312"/>
          <w:color w:val="000000"/>
          <w:sz w:val="32"/>
          <w:szCs w:val="24"/>
        </w:rPr>
        <w:t>52个89.36万元，</w:t>
      </w:r>
      <w:r>
        <w:rPr>
          <w:rFonts w:hint="eastAsia" w:ascii="Times New Roman" w:eastAsia="仿宋_GB2312"/>
          <w:color w:val="000000"/>
          <w:sz w:val="32"/>
          <w:szCs w:val="24"/>
          <w:lang w:val="zh-CN"/>
        </w:rPr>
        <w:t>（2）</w:t>
      </w:r>
      <w:r>
        <w:rPr>
          <w:rFonts w:hint="eastAsia" w:ascii="Times New Roman" w:eastAsia="仿宋_GB2312"/>
          <w:color w:val="000000"/>
          <w:sz w:val="32"/>
          <w:szCs w:val="24"/>
        </w:rPr>
        <w:t>农业生产服务类项目的运行维护项目10个3.44万元，</w:t>
      </w:r>
      <w:r>
        <w:rPr>
          <w:rFonts w:hint="eastAsia" w:ascii="Times New Roman" w:eastAsia="仿宋_GB2312"/>
          <w:color w:val="000000"/>
          <w:sz w:val="32"/>
          <w:szCs w:val="24"/>
          <w:lang w:val="zh-CN"/>
        </w:rPr>
        <w:t>（3）</w:t>
      </w:r>
      <w:r>
        <w:rPr>
          <w:rFonts w:hint="eastAsia" w:ascii="Times New Roman" w:eastAsia="仿宋_GB2312"/>
          <w:color w:val="000000"/>
          <w:sz w:val="32"/>
          <w:szCs w:val="24"/>
        </w:rPr>
        <w:t>农村生活服务类项目的运行维护项目8个6万元，</w:t>
      </w:r>
      <w:r>
        <w:rPr>
          <w:rFonts w:hint="eastAsia" w:ascii="Times New Roman" w:eastAsia="仿宋_GB2312"/>
          <w:color w:val="000000"/>
          <w:sz w:val="32"/>
          <w:szCs w:val="24"/>
          <w:lang w:val="zh-CN"/>
        </w:rPr>
        <w:t>（4）</w:t>
      </w:r>
      <w:r>
        <w:rPr>
          <w:rFonts w:hint="eastAsia" w:ascii="Times New Roman" w:eastAsia="仿宋_GB2312"/>
          <w:color w:val="000000"/>
          <w:sz w:val="32"/>
          <w:szCs w:val="24"/>
        </w:rPr>
        <w:t>农村社会管理类项目的运行维护项目1个0.2万元。</w:t>
      </w:r>
    </w:p>
    <w:p w14:paraId="46A9E5B0">
      <w:pPr>
        <w:spacing w:line="576" w:lineRule="exact"/>
        <w:ind w:firstLine="640" w:firstLineChars="200"/>
        <w:rPr>
          <w:rFonts w:hint="eastAsia" w:ascii="Times New Roman" w:eastAsia="仿宋_GB2312"/>
          <w:color w:val="000000"/>
          <w:sz w:val="32"/>
          <w:szCs w:val="24"/>
          <w:lang w:val="zh-CN"/>
        </w:rPr>
      </w:pPr>
      <w:r>
        <w:rPr>
          <w:rFonts w:hint="eastAsia" w:ascii="Times New Roman" w:eastAsia="仿宋_GB2312"/>
          <w:color w:val="000000"/>
          <w:sz w:val="32"/>
          <w:szCs w:val="24"/>
          <w:lang w:val="zh-CN"/>
        </w:rPr>
        <w:t>截至目前，我镇已申报资金计划</w:t>
      </w:r>
      <w:r>
        <w:rPr>
          <w:rFonts w:hint="eastAsia" w:ascii="Times New Roman" w:eastAsia="仿宋_GB2312"/>
          <w:color w:val="000000"/>
          <w:sz w:val="32"/>
          <w:szCs w:val="24"/>
        </w:rPr>
        <w:t>99万元，审批资金99万元，支付资金99万元，已全额兑付到位</w:t>
      </w:r>
      <w:r>
        <w:rPr>
          <w:rFonts w:hint="eastAsia" w:ascii="Times New Roman" w:eastAsia="仿宋_GB2312"/>
          <w:color w:val="000000"/>
          <w:sz w:val="32"/>
          <w:szCs w:val="24"/>
          <w:lang w:val="zh-CN"/>
        </w:rPr>
        <w:t>。</w:t>
      </w:r>
    </w:p>
    <w:p w14:paraId="6C7284BB">
      <w:pPr>
        <w:spacing w:line="576" w:lineRule="exact"/>
        <w:ind w:firstLine="640"/>
        <w:rPr>
          <w:rFonts w:hint="eastAsia" w:ascii="Times New Roman" w:eastAsia="楷体_GB2312" w:cs="楷体_GB2312"/>
          <w:kern w:val="2"/>
          <w:sz w:val="32"/>
          <w:szCs w:val="32"/>
          <w:lang w:val="zh-CN"/>
        </w:rPr>
      </w:pPr>
      <w:r>
        <w:rPr>
          <w:rFonts w:hint="eastAsia" w:ascii="Times New Roman" w:eastAsia="楷体_GB2312" w:cs="楷体_GB2312"/>
          <w:kern w:val="2"/>
          <w:sz w:val="32"/>
          <w:szCs w:val="32"/>
          <w:lang w:val="zh-CN"/>
        </w:rPr>
        <w:t>（二）项目财务管理情况</w:t>
      </w:r>
    </w:p>
    <w:p w14:paraId="02CADFF5">
      <w:pPr>
        <w:spacing w:line="576" w:lineRule="exact"/>
        <w:ind w:firstLine="640" w:firstLineChars="200"/>
        <w:rPr>
          <w:rFonts w:hint="eastAsia" w:ascii="Times New Roman" w:eastAsia="仿宋_GB2312"/>
          <w:color w:val="000000"/>
          <w:sz w:val="32"/>
          <w:szCs w:val="24"/>
        </w:rPr>
      </w:pPr>
      <w:r>
        <w:rPr>
          <w:rFonts w:hint="eastAsia" w:ascii="Times New Roman" w:eastAsia="仿宋_GB2312"/>
          <w:color w:val="000000"/>
          <w:sz w:val="32"/>
          <w:szCs w:val="24"/>
          <w:lang w:val="zh-CN"/>
        </w:rPr>
        <w:t>为加强基层组织建设，提高公共运行服务保障水平和社会治理能力，按照《广元市昭化区基层活动和公共服务运行经费使用管理办法》，我镇</w:t>
      </w:r>
      <w:r>
        <w:rPr>
          <w:rFonts w:hint="eastAsia" w:ascii="Times New Roman" w:eastAsia="仿宋_GB2312"/>
          <w:color w:val="000000"/>
          <w:sz w:val="32"/>
          <w:szCs w:val="24"/>
        </w:rPr>
        <w:t>2023年基层组织活动和公共服务运行维护项目由财政所按照村级实施、乡镇监管、验收并上报财政局报账，该项目严格按照财务管理制度执行，进度严格按照项目资金管理办法对资金进行计划申请、划拨、使用，及时、规范，严格遵守财经纪律，不侵占、挪用项目专项资金，对收支进行账务处理和会计核算。</w:t>
      </w:r>
    </w:p>
    <w:p w14:paraId="71BCC2E8">
      <w:pPr>
        <w:spacing w:line="576" w:lineRule="exact"/>
        <w:ind w:firstLine="640" w:firstLineChars="200"/>
        <w:rPr>
          <w:rFonts w:hint="eastAsia" w:ascii="Times New Roman" w:eastAsia="仿宋_GB2312"/>
          <w:color w:val="000000"/>
          <w:sz w:val="32"/>
          <w:szCs w:val="24"/>
        </w:rPr>
      </w:pPr>
      <w:r>
        <w:rPr>
          <w:rFonts w:hint="eastAsia" w:ascii="Times New Roman" w:eastAsia="仿宋_GB2312"/>
          <w:color w:val="000000"/>
          <w:sz w:val="32"/>
          <w:szCs w:val="24"/>
        </w:rPr>
        <w:t>由于该项目的部分项目需要实施到年底方能验收，故2023年基层组织活动和公共服务运行维护项目资料收集较晚，未能在2023年及时报账。为加快结转资金拨付，2024年区财政集中对该项目进行了集中支出，</w:t>
      </w:r>
      <w:r>
        <w:rPr>
          <w:rFonts w:hint="eastAsia" w:ascii="Times New Roman" w:eastAsia="仿宋_GB2312"/>
          <w:color w:val="000000"/>
          <w:sz w:val="32"/>
          <w:szCs w:val="24"/>
          <w:lang w:eastAsia="zh-CN"/>
        </w:rPr>
        <w:t>截至目前</w:t>
      </w:r>
      <w:r>
        <w:rPr>
          <w:rFonts w:hint="eastAsia" w:ascii="Times New Roman" w:eastAsia="仿宋_GB2312"/>
          <w:color w:val="000000"/>
          <w:sz w:val="32"/>
          <w:szCs w:val="24"/>
        </w:rPr>
        <w:t>，该项目资金已全部通过一体化支付平台全额兑付到位。</w:t>
      </w:r>
    </w:p>
    <w:p w14:paraId="79CF253D">
      <w:pPr>
        <w:spacing w:line="576" w:lineRule="exact"/>
        <w:ind w:firstLine="640"/>
        <w:rPr>
          <w:rFonts w:hint="eastAsia" w:ascii="Times New Roman" w:eastAsia="楷体_GB2312" w:cs="楷体_GB2312"/>
          <w:kern w:val="2"/>
          <w:sz w:val="32"/>
          <w:szCs w:val="32"/>
          <w:lang w:val="zh-CN"/>
        </w:rPr>
      </w:pPr>
      <w:r>
        <w:rPr>
          <w:rFonts w:hint="eastAsia" w:ascii="Times New Roman" w:eastAsia="楷体_GB2312" w:cs="楷体_GB2312"/>
          <w:kern w:val="2"/>
          <w:sz w:val="32"/>
          <w:szCs w:val="32"/>
          <w:lang w:val="zh-CN"/>
        </w:rPr>
        <w:t>（三）项目组织实施及管理情况</w:t>
      </w:r>
    </w:p>
    <w:p w14:paraId="29475373">
      <w:pPr>
        <w:spacing w:line="576" w:lineRule="exact"/>
        <w:ind w:firstLine="640" w:firstLineChars="200"/>
        <w:rPr>
          <w:rFonts w:hint="eastAsia" w:ascii="Times New Roman" w:eastAsia="仿宋_GB2312"/>
          <w:color w:val="000000"/>
          <w:sz w:val="32"/>
          <w:szCs w:val="24"/>
        </w:rPr>
      </w:pPr>
      <w:r>
        <w:rPr>
          <w:rFonts w:hint="default" w:ascii="Times New Roman" w:eastAsia="仿宋_GB2312"/>
          <w:color w:val="000000"/>
          <w:sz w:val="32"/>
          <w:szCs w:val="24"/>
          <w:lang w:val="zh-CN"/>
        </w:rPr>
        <mc:AlternateContent>
          <mc:Choice Requires="wps">
            <w:drawing>
              <wp:anchor distT="0" distB="0" distL="114300" distR="114300" simplePos="0" relativeHeight="251669504" behindDoc="0" locked="0" layoutInCell="1" allowOverlap="1">
                <wp:simplePos x="0" y="0"/>
                <wp:positionH relativeFrom="column">
                  <wp:posOffset>3214370</wp:posOffset>
                </wp:positionH>
                <wp:positionV relativeFrom="paragraph">
                  <wp:posOffset>930910</wp:posOffset>
                </wp:positionV>
                <wp:extent cx="259715" cy="75565"/>
                <wp:effectExtent l="12700" t="12700" r="13335" b="26035"/>
                <wp:wrapNone/>
                <wp:docPr id="11" name="燕尾形箭头 8"/>
                <wp:cNvGraphicFramePr/>
                <a:graphic xmlns:a="http://schemas.openxmlformats.org/drawingml/2006/main">
                  <a:graphicData uri="http://schemas.microsoft.com/office/word/2010/wordprocessingShape">
                    <wps:wsp>
                      <wps:cNvSpPr/>
                      <wps:spPr>
                        <a:xfrm>
                          <a:off x="0" y="0"/>
                          <a:ext cx="259715" cy="75565"/>
                        </a:xfrm>
                        <a:prstGeom prst="notchedRightArrow">
                          <a:avLst>
                            <a:gd name="adj1" fmla="val 50000"/>
                            <a:gd name="adj2" fmla="val 49995"/>
                          </a:avLst>
                        </a:prstGeom>
                        <a:solidFill>
                          <a:srgbClr val="4F81BD"/>
                        </a:solidFill>
                        <a:ln w="25400" cap="flat" cmpd="sng">
                          <a:solidFill>
                            <a:srgbClr val="385D8A"/>
                          </a:solidFill>
                          <a:prstDash val="solid"/>
                          <a:round/>
                          <a:headEnd type="none" w="med" len="med"/>
                          <a:tailEnd type="none" w="med" len="med"/>
                        </a:ln>
                      </wps:spPr>
                      <wps:bodyPr vert="horz" wrap="square" anchor="ctr" anchorCtr="0" upright="1"/>
                    </wps:wsp>
                  </a:graphicData>
                </a:graphic>
              </wp:anchor>
            </w:drawing>
          </mc:Choice>
          <mc:Fallback>
            <w:pict>
              <v:shape id="燕尾形箭头 8" o:spid="_x0000_s1026" o:spt="94" type="#_x0000_t94" style="position:absolute;left:0pt;margin-left:253.1pt;margin-top:73.3pt;height:5.95pt;width:20.45pt;z-index:251669504;v-text-anchor:middle;mso-width-relative:page;mso-height-relative:page;" fillcolor="#4F81BD" filled="t" stroked="t" coordsize="21600,21600" o:gfxdata="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hjomQdYA&#10;AAALAQAADwAAAAAAAAABACAAAAAiAAAAZHJzL2Rvd25yZXYueG1sUEsBAhQAFAAAAAgAh07iQDMc&#10;t69aAgAAugQAAA4AAAAAAAAAAQAgAAAAJQEAAGRycy9lMm9Eb2MueG1sUEsFBgAAAAAGAAYAWQEA&#10;APEFAAAAAA==&#10;" adj="18459,5400">
                <v:fill on="t" focussize="0,0"/>
                <v:stroke weight="2pt" color="#385D8A" joinstyle="round"/>
                <v:imagedata o:title=""/>
                <o:lock v:ext="edit" aspectratio="f"/>
              </v:shape>
            </w:pict>
          </mc:Fallback>
        </mc:AlternateContent>
      </w:r>
      <w:r>
        <w:rPr>
          <w:rFonts w:hint="default" w:ascii="Times New Roman" w:eastAsia="仿宋_GB2312"/>
          <w:color w:val="000000"/>
          <w:sz w:val="32"/>
          <w:szCs w:val="24"/>
          <w:lang w:val="zh-CN"/>
        </w:rPr>
        <mc:AlternateContent>
          <mc:Choice Requires="wps">
            <w:drawing>
              <wp:anchor distT="0" distB="0" distL="114300" distR="114300" simplePos="0" relativeHeight="251670528" behindDoc="0" locked="0" layoutInCell="1" allowOverlap="1">
                <wp:simplePos x="0" y="0"/>
                <wp:positionH relativeFrom="column">
                  <wp:posOffset>2476500</wp:posOffset>
                </wp:positionH>
                <wp:positionV relativeFrom="paragraph">
                  <wp:posOffset>932180</wp:posOffset>
                </wp:positionV>
                <wp:extent cx="259715" cy="75565"/>
                <wp:effectExtent l="12700" t="12700" r="13335" b="26035"/>
                <wp:wrapNone/>
                <wp:docPr id="12" name="燕尾形箭头 7"/>
                <wp:cNvGraphicFramePr/>
                <a:graphic xmlns:a="http://schemas.openxmlformats.org/drawingml/2006/main">
                  <a:graphicData uri="http://schemas.microsoft.com/office/word/2010/wordprocessingShape">
                    <wps:wsp>
                      <wps:cNvSpPr/>
                      <wps:spPr>
                        <a:xfrm>
                          <a:off x="0" y="0"/>
                          <a:ext cx="259715" cy="75565"/>
                        </a:xfrm>
                        <a:prstGeom prst="notchedRightArrow">
                          <a:avLst>
                            <a:gd name="adj1" fmla="val 50000"/>
                            <a:gd name="adj2" fmla="val 49995"/>
                          </a:avLst>
                        </a:prstGeom>
                        <a:solidFill>
                          <a:srgbClr val="4F81BD"/>
                        </a:solidFill>
                        <a:ln w="25400" cap="flat" cmpd="sng">
                          <a:solidFill>
                            <a:srgbClr val="385D8A"/>
                          </a:solidFill>
                          <a:prstDash val="solid"/>
                          <a:round/>
                          <a:headEnd type="none" w="med" len="med"/>
                          <a:tailEnd type="none" w="med" len="med"/>
                        </a:ln>
                      </wps:spPr>
                      <wps:bodyPr vert="horz" wrap="square" anchor="ctr" anchorCtr="0" upright="1"/>
                    </wps:wsp>
                  </a:graphicData>
                </a:graphic>
              </wp:anchor>
            </w:drawing>
          </mc:Choice>
          <mc:Fallback>
            <w:pict>
              <v:shape id="燕尾形箭头 7" o:spid="_x0000_s1026" o:spt="94" type="#_x0000_t94" style="position:absolute;left:0pt;margin-left:195pt;margin-top:73.4pt;height:5.95pt;width:20.45pt;z-index:251670528;v-text-anchor:middle;mso-width-relative:page;mso-height-relative:page;" fillcolor="#4F81BD" filled="t" stroked="t" coordsize="21600,21600" o:gfxdata="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ZJ3PU&#10;1wAAAAsBAAAPAAAAAAAAAAEAIAAAACIAAABkcnMvZG93bnJldi54bWxQSwECFAAUAAAACACHTuJA&#10;Jet45FsCAAC6BAAADgAAAAAAAAABACAAAAAmAQAAZHJzL2Uyb0RvYy54bWxQSwUGAAAAAAYABgBZ&#10;AQAA8wUAAAAA&#10;" adj="18459,5400">
                <v:fill on="t" focussize="0,0"/>
                <v:stroke weight="2pt" color="#385D8A" joinstyle="round"/>
                <v:imagedata o:title=""/>
                <o:lock v:ext="edit" aspectratio="f"/>
              </v:shape>
            </w:pict>
          </mc:Fallback>
        </mc:AlternateContent>
      </w:r>
      <w:r>
        <w:rPr>
          <w:rFonts w:hint="default" w:ascii="Times New Roman" w:eastAsia="仿宋_GB2312"/>
          <w:color w:val="000000"/>
          <w:sz w:val="32"/>
          <w:szCs w:val="24"/>
          <w:lang w:val="zh-CN"/>
        </w:rPr>
        <mc:AlternateContent>
          <mc:Choice Requires="wps">
            <w:drawing>
              <wp:anchor distT="0" distB="0" distL="114300" distR="114300" simplePos="0" relativeHeight="251671552" behindDoc="0" locked="0" layoutInCell="1" allowOverlap="1">
                <wp:simplePos x="0" y="0"/>
                <wp:positionH relativeFrom="column">
                  <wp:posOffset>1756410</wp:posOffset>
                </wp:positionH>
                <wp:positionV relativeFrom="paragraph">
                  <wp:posOffset>932180</wp:posOffset>
                </wp:positionV>
                <wp:extent cx="259715" cy="75565"/>
                <wp:effectExtent l="12700" t="12700" r="13335" b="26035"/>
                <wp:wrapNone/>
                <wp:docPr id="13" name="燕尾形箭头 6"/>
                <wp:cNvGraphicFramePr/>
                <a:graphic xmlns:a="http://schemas.openxmlformats.org/drawingml/2006/main">
                  <a:graphicData uri="http://schemas.microsoft.com/office/word/2010/wordprocessingShape">
                    <wps:wsp>
                      <wps:cNvSpPr/>
                      <wps:spPr>
                        <a:xfrm>
                          <a:off x="0" y="0"/>
                          <a:ext cx="259715" cy="75565"/>
                        </a:xfrm>
                        <a:prstGeom prst="notchedRightArrow">
                          <a:avLst>
                            <a:gd name="adj1" fmla="val 50000"/>
                            <a:gd name="adj2" fmla="val 49995"/>
                          </a:avLst>
                        </a:prstGeom>
                        <a:solidFill>
                          <a:srgbClr val="4F81BD"/>
                        </a:solidFill>
                        <a:ln w="25400" cap="flat" cmpd="sng">
                          <a:solidFill>
                            <a:srgbClr val="385D8A"/>
                          </a:solidFill>
                          <a:prstDash val="solid"/>
                          <a:round/>
                          <a:headEnd type="none" w="med" len="med"/>
                          <a:tailEnd type="none" w="med" len="med"/>
                        </a:ln>
                      </wps:spPr>
                      <wps:bodyPr vert="horz" wrap="square" anchor="ctr" anchorCtr="0" upright="1"/>
                    </wps:wsp>
                  </a:graphicData>
                </a:graphic>
              </wp:anchor>
            </w:drawing>
          </mc:Choice>
          <mc:Fallback>
            <w:pict>
              <v:shape id="燕尾形箭头 6" o:spid="_x0000_s1026" o:spt="94" type="#_x0000_t94" style="position:absolute;left:0pt;margin-left:138.3pt;margin-top:73.4pt;height:5.95pt;width:20.45pt;z-index:251671552;v-text-anchor:middle;mso-width-relative:page;mso-height-relative:page;" fillcolor="#4F81BD" filled="t" stroked="t" coordsize="21600,21600" o:gfxdata="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RKbo+&#10;1wAAAAsBAAAPAAAAAAAAAAEAIAAAACIAAABkcnMvZG93bnJldi54bWxQSwECFAAUAAAACACHTuJA&#10;ifmholsCAAC6BAAADgAAAAAAAAABACAAAAAmAQAAZHJzL2Uyb0RvYy54bWxQSwUGAAAAAAYABgBZ&#10;AQAA8wUAAAAA&#10;" adj="18459,5400">
                <v:fill on="t" focussize="0,0"/>
                <v:stroke weight="2pt" color="#385D8A" joinstyle="round"/>
                <v:imagedata o:title=""/>
                <o:lock v:ext="edit" aspectratio="f"/>
              </v:shape>
            </w:pict>
          </mc:Fallback>
        </mc:AlternateContent>
      </w:r>
      <w:r>
        <w:rPr>
          <w:rFonts w:hint="default" w:ascii="Times New Roman" w:eastAsia="仿宋_GB2312"/>
          <w:color w:val="000000"/>
          <w:sz w:val="32"/>
          <w:szCs w:val="24"/>
          <w:lang w:val="zh-CN"/>
        </w:rPr>
        <mc:AlternateContent>
          <mc:Choice Requires="wps">
            <w:drawing>
              <wp:anchor distT="0" distB="0" distL="114300" distR="114300" simplePos="0" relativeHeight="251672576" behindDoc="0" locked="0" layoutInCell="1" allowOverlap="1">
                <wp:simplePos x="0" y="0"/>
                <wp:positionH relativeFrom="column">
                  <wp:posOffset>1069340</wp:posOffset>
                </wp:positionH>
                <wp:positionV relativeFrom="paragraph">
                  <wp:posOffset>920115</wp:posOffset>
                </wp:positionV>
                <wp:extent cx="259715" cy="75565"/>
                <wp:effectExtent l="12700" t="12700" r="13335" b="26035"/>
                <wp:wrapNone/>
                <wp:docPr id="14" name="燕尾形箭头 9"/>
                <wp:cNvGraphicFramePr/>
                <a:graphic xmlns:a="http://schemas.openxmlformats.org/drawingml/2006/main">
                  <a:graphicData uri="http://schemas.microsoft.com/office/word/2010/wordprocessingShape">
                    <wps:wsp>
                      <wps:cNvSpPr/>
                      <wps:spPr>
                        <a:xfrm>
                          <a:off x="0" y="0"/>
                          <a:ext cx="259715" cy="75565"/>
                        </a:xfrm>
                        <a:prstGeom prst="notchedRightArrow">
                          <a:avLst>
                            <a:gd name="adj1" fmla="val 50000"/>
                            <a:gd name="adj2" fmla="val 49995"/>
                          </a:avLst>
                        </a:prstGeom>
                        <a:solidFill>
                          <a:srgbClr val="4F81BD"/>
                        </a:solidFill>
                        <a:ln w="25400" cap="flat" cmpd="sng">
                          <a:solidFill>
                            <a:srgbClr val="385D8A"/>
                          </a:solidFill>
                          <a:prstDash val="solid"/>
                          <a:round/>
                          <a:headEnd type="none" w="med" len="med"/>
                          <a:tailEnd type="none" w="med" len="med"/>
                        </a:ln>
                      </wps:spPr>
                      <wps:bodyPr vert="horz" wrap="square" anchor="ctr" anchorCtr="0" upright="1"/>
                    </wps:wsp>
                  </a:graphicData>
                </a:graphic>
              </wp:anchor>
            </w:drawing>
          </mc:Choice>
          <mc:Fallback>
            <w:pict>
              <v:shape id="燕尾形箭头 9" o:spid="_x0000_s1026" o:spt="94" type="#_x0000_t94" style="position:absolute;left:0pt;margin-left:84.2pt;margin-top:72.45pt;height:5.95pt;width:20.45pt;z-index:251672576;v-text-anchor:middle;mso-width-relative:page;mso-height-relative:page;" fillcolor="#4F81BD" filled="t" stroked="t" coordsize="21600,21600" o:gfxdata="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1yD31&#10;1wAAAAsBAAAPAAAAAAAAAAEAIAAAACIAAABkcnMvZG93bnJldi54bWxQSwECFAAUAAAACACHTuJA&#10;MALnVlsCAAC6BAAADgAAAAAAAAABACAAAAAmAQAAZHJzL2Uyb0RvYy54bWxQSwUGAAAAAAYABgBZ&#10;AQAA8wUAAAAA&#10;" adj="18459,5400">
                <v:fill on="t" focussize="0,0"/>
                <v:stroke weight="2pt" color="#385D8A" joinstyle="round"/>
                <v:imagedata o:title=""/>
                <o:lock v:ext="edit" aspectratio="f"/>
              </v:shape>
            </w:pict>
          </mc:Fallback>
        </mc:AlternateContent>
      </w:r>
      <w:r>
        <w:rPr>
          <w:rFonts w:hint="default" w:ascii="Times New Roman" w:eastAsia="仿宋_GB2312"/>
          <w:color w:val="000000"/>
          <w:sz w:val="32"/>
          <w:szCs w:val="24"/>
          <w:lang w:val="zh-CN"/>
        </w:rPr>
        <mc:AlternateContent>
          <mc:Choice Requires="wps">
            <w:drawing>
              <wp:anchor distT="0" distB="0" distL="114300" distR="114300" simplePos="0" relativeHeight="251668480" behindDoc="0" locked="0" layoutInCell="1" allowOverlap="1">
                <wp:simplePos x="0" y="0"/>
                <wp:positionH relativeFrom="column">
                  <wp:posOffset>5085080</wp:posOffset>
                </wp:positionH>
                <wp:positionV relativeFrom="paragraph">
                  <wp:posOffset>551815</wp:posOffset>
                </wp:positionV>
                <wp:extent cx="259715" cy="75565"/>
                <wp:effectExtent l="12700" t="12700" r="13335" b="26035"/>
                <wp:wrapNone/>
                <wp:docPr id="10" name="燕尾形箭头 4"/>
                <wp:cNvGraphicFramePr/>
                <a:graphic xmlns:a="http://schemas.openxmlformats.org/drawingml/2006/main">
                  <a:graphicData uri="http://schemas.microsoft.com/office/word/2010/wordprocessingShape">
                    <wps:wsp>
                      <wps:cNvSpPr/>
                      <wps:spPr>
                        <a:xfrm>
                          <a:off x="0" y="0"/>
                          <a:ext cx="259715" cy="75565"/>
                        </a:xfrm>
                        <a:prstGeom prst="notchedRightArrow">
                          <a:avLst>
                            <a:gd name="adj1" fmla="val 50000"/>
                            <a:gd name="adj2" fmla="val 49995"/>
                          </a:avLst>
                        </a:prstGeom>
                        <a:solidFill>
                          <a:srgbClr val="4F81BD"/>
                        </a:solidFill>
                        <a:ln w="25400" cap="flat" cmpd="sng">
                          <a:solidFill>
                            <a:srgbClr val="385D8A"/>
                          </a:solidFill>
                          <a:prstDash val="solid"/>
                          <a:round/>
                          <a:headEnd type="none" w="med" len="med"/>
                          <a:tailEnd type="none" w="med" len="med"/>
                        </a:ln>
                      </wps:spPr>
                      <wps:bodyPr vert="horz" wrap="square" anchor="ctr" anchorCtr="0" upright="1"/>
                    </wps:wsp>
                  </a:graphicData>
                </a:graphic>
              </wp:anchor>
            </w:drawing>
          </mc:Choice>
          <mc:Fallback>
            <w:pict>
              <v:shape id="燕尾形箭头 4" o:spid="_x0000_s1026" o:spt="94" type="#_x0000_t94" style="position:absolute;left:0pt;margin-left:400.4pt;margin-top:43.45pt;height:5.95pt;width:20.45pt;z-index:251668480;v-text-anchor:middle;mso-width-relative:page;mso-height-relative:page;" fillcolor="#4F81BD" filled="t" stroked="t" coordsize="21600,21600" o:gfxdata="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YPqlCdYA&#10;AAAJAQAADwAAAAAAAAABACAAAAAiAAAAZHJzL2Rvd25yZXYueG1sUEsBAhQAFAAAAAgAh07iQEpd&#10;lZtaAgAAugQAAA4AAAAAAAAAAQAgAAAAJQEAAGRycy9lMm9Eb2MueG1sUEsFBgAAAAAGAAYAWQEA&#10;APEFAAAAAA==&#10;" adj="18459,5400">
                <v:fill on="t" focussize="0,0"/>
                <v:stroke weight="2pt" color="#385D8A" joinstyle="round"/>
                <v:imagedata o:title=""/>
                <o:lock v:ext="edit" aspectratio="f"/>
              </v:shape>
            </w:pict>
          </mc:Fallback>
        </mc:AlternateContent>
      </w:r>
      <w:r>
        <w:rPr>
          <w:rFonts w:hint="default" w:ascii="Times New Roman" w:eastAsia="仿宋_GB2312"/>
          <w:color w:val="000000"/>
          <w:sz w:val="32"/>
          <w:szCs w:val="24"/>
          <w:lang w:val="zh-CN"/>
        </w:rPr>
        <mc:AlternateContent>
          <mc:Choice Requires="wps">
            <w:drawing>
              <wp:anchor distT="0" distB="0" distL="114300" distR="114300" simplePos="0" relativeHeight="251666432" behindDoc="0" locked="0" layoutInCell="1" allowOverlap="1">
                <wp:simplePos x="0" y="0"/>
                <wp:positionH relativeFrom="column">
                  <wp:posOffset>4322445</wp:posOffset>
                </wp:positionH>
                <wp:positionV relativeFrom="paragraph">
                  <wp:posOffset>540385</wp:posOffset>
                </wp:positionV>
                <wp:extent cx="259715" cy="75565"/>
                <wp:effectExtent l="12700" t="12700" r="13335" b="26035"/>
                <wp:wrapNone/>
                <wp:docPr id="8" name="燕尾形箭头 3"/>
                <wp:cNvGraphicFramePr/>
                <a:graphic xmlns:a="http://schemas.openxmlformats.org/drawingml/2006/main">
                  <a:graphicData uri="http://schemas.microsoft.com/office/word/2010/wordprocessingShape">
                    <wps:wsp>
                      <wps:cNvSpPr/>
                      <wps:spPr>
                        <a:xfrm>
                          <a:off x="0" y="0"/>
                          <a:ext cx="259715" cy="75565"/>
                        </a:xfrm>
                        <a:prstGeom prst="notchedRightArrow">
                          <a:avLst>
                            <a:gd name="adj1" fmla="val 50000"/>
                            <a:gd name="adj2" fmla="val 49995"/>
                          </a:avLst>
                        </a:prstGeom>
                        <a:solidFill>
                          <a:srgbClr val="4F81BD"/>
                        </a:solidFill>
                        <a:ln w="25400" cap="flat" cmpd="sng">
                          <a:solidFill>
                            <a:srgbClr val="385D8A"/>
                          </a:solidFill>
                          <a:prstDash val="solid"/>
                          <a:round/>
                          <a:headEnd type="none" w="med" len="med"/>
                          <a:tailEnd type="none" w="med" len="med"/>
                        </a:ln>
                      </wps:spPr>
                      <wps:bodyPr vert="horz" wrap="square" anchor="ctr" anchorCtr="0" upright="1"/>
                    </wps:wsp>
                  </a:graphicData>
                </a:graphic>
              </wp:anchor>
            </w:drawing>
          </mc:Choice>
          <mc:Fallback>
            <w:pict>
              <v:shape id="燕尾形箭头 3" o:spid="_x0000_s1026" o:spt="94" type="#_x0000_t94" style="position:absolute;left:0pt;margin-left:340.35pt;margin-top:42.55pt;height:5.95pt;width:20.45pt;z-index:251666432;v-text-anchor:middle;mso-width-relative:page;mso-height-relative:page;" fillcolor="#4F81BD" filled="t" stroked="t" coordsize="21600,21600" o:gfxdata="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u7PoYdUA&#10;AAAJAQAADwAAAAAAAAABACAAAAAiAAAAZHJzL2Rvd25yZXYueG1sUEsBAhQAFAAAAAgAh07iQAoI&#10;GM9bAgAAuQQAAA4AAAAAAAAAAQAgAAAAJAEAAGRycy9lMm9Eb2MueG1sUEsFBgAAAAAGAAYAWQEA&#10;APEFAAAAAA==&#10;" adj="18459,5400">
                <v:fill on="t" focussize="0,0"/>
                <v:stroke weight="2pt" color="#385D8A" joinstyle="round"/>
                <v:imagedata o:title=""/>
                <o:lock v:ext="edit" aspectratio="f"/>
              </v:shape>
            </w:pict>
          </mc:Fallback>
        </mc:AlternateContent>
      </w:r>
      <w:r>
        <w:rPr>
          <w:rFonts w:hint="default" w:ascii="Times New Roman" w:eastAsia="仿宋_GB2312"/>
          <w:color w:val="000000"/>
          <w:sz w:val="32"/>
          <w:szCs w:val="24"/>
          <w:lang w:val="zh-CN"/>
        </w:rPr>
        <mc:AlternateContent>
          <mc:Choice Requires="wps">
            <w:drawing>
              <wp:anchor distT="0" distB="0" distL="114300" distR="114300" simplePos="0" relativeHeight="251667456" behindDoc="0" locked="0" layoutInCell="1" allowOverlap="1">
                <wp:simplePos x="0" y="0"/>
                <wp:positionH relativeFrom="column">
                  <wp:posOffset>2931795</wp:posOffset>
                </wp:positionH>
                <wp:positionV relativeFrom="paragraph">
                  <wp:posOffset>562610</wp:posOffset>
                </wp:positionV>
                <wp:extent cx="259715" cy="75565"/>
                <wp:effectExtent l="12700" t="12700" r="13335" b="26035"/>
                <wp:wrapNone/>
                <wp:docPr id="9" name="燕尾形箭头 2"/>
                <wp:cNvGraphicFramePr/>
                <a:graphic xmlns:a="http://schemas.openxmlformats.org/drawingml/2006/main">
                  <a:graphicData uri="http://schemas.microsoft.com/office/word/2010/wordprocessingShape">
                    <wps:wsp>
                      <wps:cNvSpPr/>
                      <wps:spPr>
                        <a:xfrm>
                          <a:off x="0" y="0"/>
                          <a:ext cx="259715" cy="75565"/>
                        </a:xfrm>
                        <a:prstGeom prst="notchedRightArrow">
                          <a:avLst>
                            <a:gd name="adj1" fmla="val 50000"/>
                            <a:gd name="adj2" fmla="val 49995"/>
                          </a:avLst>
                        </a:prstGeom>
                        <a:solidFill>
                          <a:srgbClr val="4F81BD"/>
                        </a:solidFill>
                        <a:ln w="25400" cap="flat" cmpd="sng">
                          <a:solidFill>
                            <a:srgbClr val="385D8A"/>
                          </a:solidFill>
                          <a:prstDash val="solid"/>
                          <a:round/>
                          <a:headEnd type="none" w="med" len="med"/>
                          <a:tailEnd type="none" w="med" len="med"/>
                        </a:ln>
                      </wps:spPr>
                      <wps:bodyPr vert="horz" wrap="square" anchor="ctr" anchorCtr="0" upright="1"/>
                    </wps:wsp>
                  </a:graphicData>
                </a:graphic>
              </wp:anchor>
            </w:drawing>
          </mc:Choice>
          <mc:Fallback>
            <w:pict>
              <v:shape id="燕尾形箭头 2" o:spid="_x0000_s1026" o:spt="94" type="#_x0000_t94" style="position:absolute;left:0pt;margin-left:230.85pt;margin-top:44.3pt;height:5.95pt;width:20.45pt;z-index:251667456;v-text-anchor:middle;mso-width-relative:page;mso-height-relative:page;" fillcolor="#4F81BD" filled="t" stroked="t" coordsize="21600,21600" o:gfxdata="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3milq1QAA&#10;AAoBAAAPAAAAAAAAAAEAIAAAACIAAABkcnMvZG93bnJldi54bWxQSwECFAAUAAAACACHTuJAphrB&#10;iVoCAAC5BAAADgAAAAAAAAABACAAAAAkAQAAZHJzL2Uyb0RvYy54bWxQSwUGAAAAAAYABgBZAQAA&#10;8AUAAAAA&#10;" adj="18459,5400">
                <v:fill on="t" focussize="0,0"/>
                <v:stroke weight="2pt" color="#385D8A" joinstyle="round"/>
                <v:imagedata o:title=""/>
                <o:lock v:ext="edit" aspectratio="f"/>
              </v:shape>
            </w:pict>
          </mc:Fallback>
        </mc:AlternateContent>
      </w:r>
      <w:r>
        <w:rPr>
          <w:rFonts w:hint="eastAsia" w:ascii="Times New Roman" w:eastAsia="仿宋_GB2312"/>
          <w:color w:val="000000"/>
          <w:sz w:val="32"/>
          <w:szCs w:val="24"/>
        </w:rPr>
        <w:t>我镇2023年基层组织活动和公共运行维护经费项目由各村按照项目管理要求，按照征求意见    召开代表会   公示    上报镇政府备案   实施   验收   公示   财政支付的程序实施，并制定项目管理制度，在项目运行中，由分管领导、联村领导干部全程监管。</w:t>
      </w:r>
    </w:p>
    <w:p w14:paraId="43D0AB57">
      <w:pPr>
        <w:spacing w:line="576" w:lineRule="exact"/>
        <w:ind w:firstLine="640" w:firstLineChars="200"/>
        <w:rPr>
          <w:rFonts w:hint="eastAsia" w:ascii="黑体" w:hAnsi="黑体" w:eastAsia="黑体" w:cs="黑体"/>
          <w:color w:val="000000"/>
          <w:sz w:val="32"/>
          <w:szCs w:val="24"/>
          <w:lang w:val="zh-CN"/>
        </w:rPr>
      </w:pPr>
      <w:r>
        <w:rPr>
          <w:rFonts w:hint="eastAsia" w:ascii="黑体" w:hAnsi="黑体" w:eastAsia="黑体" w:cs="黑体"/>
          <w:color w:val="000000"/>
          <w:sz w:val="32"/>
          <w:szCs w:val="24"/>
        </w:rPr>
        <w:t>三、项目绩效情况</w:t>
      </w:r>
      <w:r>
        <w:rPr>
          <w:rFonts w:hint="eastAsia" w:ascii="黑体" w:hAnsi="黑体" w:eastAsia="黑体" w:cs="黑体"/>
          <w:color w:val="000000"/>
          <w:sz w:val="32"/>
          <w:szCs w:val="24"/>
          <w:lang w:val="zh-CN"/>
        </w:rPr>
        <w:tab/>
      </w:r>
    </w:p>
    <w:p w14:paraId="048E4786">
      <w:pPr>
        <w:spacing w:line="576" w:lineRule="exact"/>
        <w:ind w:firstLine="640"/>
        <w:rPr>
          <w:rFonts w:hint="eastAsia" w:ascii="Times New Roman" w:eastAsia="楷体_GB2312" w:cs="楷体_GB2312"/>
          <w:kern w:val="2"/>
          <w:sz w:val="32"/>
          <w:szCs w:val="32"/>
          <w:lang w:val="zh-CN"/>
        </w:rPr>
      </w:pPr>
      <w:r>
        <w:rPr>
          <w:rFonts w:hint="eastAsia" w:ascii="Times New Roman" w:eastAsia="楷体_GB2312" w:cs="楷体_GB2312"/>
          <w:kern w:val="2"/>
          <w:sz w:val="32"/>
          <w:szCs w:val="32"/>
          <w:lang w:val="zh-CN"/>
        </w:rPr>
        <w:t>（一）项目完成情况</w:t>
      </w:r>
    </w:p>
    <w:p w14:paraId="40820D4A">
      <w:pPr>
        <w:spacing w:line="576" w:lineRule="exact"/>
        <w:ind w:firstLine="640" w:firstLineChars="200"/>
        <w:rPr>
          <w:rFonts w:hint="eastAsia" w:ascii="Times New Roman" w:eastAsia="仿宋_GB2312"/>
          <w:color w:val="000000"/>
          <w:sz w:val="32"/>
          <w:szCs w:val="24"/>
        </w:rPr>
      </w:pPr>
      <w:r>
        <w:rPr>
          <w:rFonts w:hint="eastAsia" w:ascii="Times New Roman" w:eastAsia="仿宋_GB2312"/>
          <w:color w:val="000000"/>
          <w:sz w:val="32"/>
          <w:szCs w:val="24"/>
        </w:rPr>
        <w:t>1.目标任务完成情况。</w:t>
      </w:r>
      <w:r>
        <w:rPr>
          <w:rFonts w:hint="eastAsia" w:ascii="Times New Roman" w:eastAsia="仿宋_GB2312"/>
          <w:color w:val="000000"/>
          <w:sz w:val="32"/>
          <w:szCs w:val="24"/>
          <w:lang w:eastAsia="zh-CN"/>
        </w:rPr>
        <w:t>截至2023年</w:t>
      </w:r>
      <w:r>
        <w:rPr>
          <w:rFonts w:hint="eastAsia" w:ascii="Times New Roman" w:eastAsia="仿宋_GB2312"/>
          <w:color w:val="000000"/>
          <w:sz w:val="32"/>
          <w:szCs w:val="24"/>
        </w:rPr>
        <w:t>12月31日，我镇2023年基层组织活动和公共运行维护经费项目完工率均为100%，总计资金99万元。（1）农村基础设施和环境项目类的运行维护方面：</w:t>
      </w:r>
      <w:r>
        <w:rPr>
          <w:rFonts w:hint="eastAsia" w:ascii="Times New Roman" w:eastAsia="仿宋_GB2312"/>
          <w:color w:val="000000"/>
          <w:sz w:val="32"/>
          <w:szCs w:val="24"/>
          <w:lang w:eastAsia="zh-CN"/>
        </w:rPr>
        <w:t>场埃村</w:t>
      </w:r>
      <w:r>
        <w:rPr>
          <w:rFonts w:hint="eastAsia" w:ascii="Times New Roman" w:eastAsia="仿宋_GB2312"/>
          <w:color w:val="000000"/>
          <w:sz w:val="32"/>
          <w:szCs w:val="24"/>
        </w:rPr>
        <w:t>1、2、5社的村内道路修补（长150m*宽3.5m*高0.18m）3.11万元，安全饮水整治维修1、2、3、4、5社人饮水1万元，3社坟林湾堰塘清淤、治漏防护栏等1.89万元；玄贞村二社三社垮塌涵洞维护，二社损毁路面维护、二社、三社、四社打通断头路4.18万元，整治山坪塘清淤治漏0.62万元，全村垃圾清运0.6万元，购买防灭火物资0.3万元；张家村活动阵地维修张家村村委会刷涂料1.5万元，张家村三社、塘二岩至莎当边维修渠系800米，张家村1社，医院田防洪渠系维修硬化50米，张家村4组、熊大蒲处、张家村7组、周家坡处渠系维修、水池建设5万元，1-7社道路清杂理乱0.7万元，全村森林防灭火物资筹备0.5万元；白头村维修整治一、二社联社道路（康家岩——阁儿里）、道路维修（一社）4.53万元，山坪塘整治0.3万元，垃圾清运及村道绿化0.97万元，购买防火物质0.2万元；红军山社区安装太阳能路灯及维修费2.5万元，垃圾清运、环境整治及垃圾填埋3.9万元；水磨村1—4社烂路，2—5社烂路整治，烂路破碎，建渣转运，安装人工费1.15万元，全村垃圾清运1.52万元，购买花种，村道路两边种花及松土除草0.22万元；高照村三社到六社道路扩宽基础整治1.2公里1.2万元，全村垃圾中转运输、清理，大环境治理清杂2.02万元；红卫村道路维护</w:t>
      </w:r>
      <w:r>
        <w:rPr>
          <w:rFonts w:hint="eastAsia" w:ascii="Times New Roman" w:eastAsia="仿宋_GB2312"/>
          <w:color w:val="000000"/>
          <w:sz w:val="32"/>
          <w:szCs w:val="24"/>
          <w:lang w:eastAsia="zh-CN"/>
        </w:rPr>
        <w:t>混凝土</w:t>
      </w:r>
      <w:r>
        <w:rPr>
          <w:rFonts w:hint="eastAsia" w:ascii="Times New Roman" w:eastAsia="仿宋_GB2312"/>
          <w:color w:val="000000"/>
          <w:sz w:val="32"/>
          <w:szCs w:val="24"/>
        </w:rPr>
        <w:t>堡坎3.73万元，村聚集点清扫、全村垃圾桶清运0.85万元，健身广场厕所全面维修1.42万元；黄金村道路维护3.15万元，4个蓄水池清理，一组放水设施治漏1.92万元，垃圾清运2万元，购买花种子0.12万元；黄龙社区道路维护4.98万元，垃圾清运、污水沟整治1.67万元；学堂村破损路面、接路口隐患整治4.9万元，村内垃圾清运、购垃圾桶0.9万元；太平村四组病塘治理、七组道路塌方整治、十社渠系治理3.36万元，十个社垃圾收集及居民点环境卫生治理3.5万元，回龙村原雷音村入口至原雷音村村委会烂路修复补烂、张家场镇入口至张绍李房屋右侧烂路修复2.5万元，4、5、6社人饮水管道维护2万元；太公岭村村内道路维护4.8万元，1-7社，7个村民小组，共21个垃圾桶的清洗及垃圾清运1.2万元；双庙村村内道路5处损毁涵洞涵管更换路面修复3.46万元，清运处理全村所有公共垃圾桶垃圾1.2万元，种植红叶石楠36棵、金边女贞2棵，万年青2棵，桂花树18棵0.65万元，更换破损瓦片500片，屋顶装饰喷漆500平方米0.39万元。（2）农业生产服务类项目的运行维护方面：玄贞村动物防疫0.3万元；张家村动植物疫病防治消毒、防疫0.3万元；水磨村全村动物防疫0.24万元；高照村动植物疫病防治消毒、防疫0.3万元；黄金村动物防疫0.6万元；黄龙社区场镇及垃圾中转站防疫消毒0.2万元；太平村全村十个社四季动物圈舍消毒，春秋二季疫苗注射0.7万元；回龙村动物防疫</w:t>
      </w:r>
      <w:r>
        <w:rPr>
          <w:rFonts w:hint="eastAsia" w:ascii="Times New Roman" w:eastAsia="仿宋_GB2312"/>
          <w:color w:val="000000"/>
          <w:sz w:val="32"/>
          <w:szCs w:val="24"/>
          <w:lang w:eastAsia="zh-CN"/>
        </w:rPr>
        <w:t>－</w:t>
      </w:r>
      <w:r>
        <w:rPr>
          <w:rFonts w:hint="eastAsia" w:ascii="Times New Roman" w:eastAsia="仿宋_GB2312"/>
          <w:color w:val="000000"/>
          <w:sz w:val="32"/>
          <w:szCs w:val="24"/>
        </w:rPr>
        <w:t>非洲猪瘟防控0.3万元；太公岭村7个村民小组400余头生猪防疫和各户的猪舍进行彻底消毒0.2万元；双庙村全村动物疫情防控（动物防疫人员补贴）0.3万元。（3）农村生活服务类项目的运行维护方面：红军山社区文化活动0.6万元；水磨村广播电视网络维护0.12万元；高照村辅助</w:t>
      </w:r>
      <w:r>
        <w:rPr>
          <w:rFonts w:hint="eastAsia" w:ascii="Times New Roman" w:eastAsia="仿宋_GB2312"/>
          <w:color w:val="000000"/>
          <w:sz w:val="32"/>
          <w:szCs w:val="24"/>
          <w:lang w:eastAsia="zh-CN"/>
        </w:rPr>
        <w:t>设施建设</w:t>
      </w:r>
      <w:r>
        <w:rPr>
          <w:rFonts w:hint="eastAsia" w:ascii="Times New Roman" w:eastAsia="仿宋_GB2312"/>
          <w:color w:val="000000"/>
          <w:sz w:val="32"/>
          <w:szCs w:val="24"/>
        </w:rPr>
        <w:t>修搭建仓储棚2.48万元；黄金村广播网络维护2.14万元；黄龙社区广播电视网络日常维护费用0.15万元；太平村全村网络及维修0.44万元；回龙村1-6社广告宣传栏制作1.2万元；太公岭村活动阵地维护0.8万元。（4）农村社会管理类项目的运行维护方面：学堂村购油锯、灭火器、打火把等0.2万元。</w:t>
      </w:r>
    </w:p>
    <w:p w14:paraId="51488A51">
      <w:pPr>
        <w:spacing w:line="576" w:lineRule="exact"/>
        <w:ind w:firstLine="640" w:firstLineChars="200"/>
        <w:rPr>
          <w:rFonts w:hint="eastAsia" w:ascii="Times New Roman" w:eastAsia="仿宋_GB2312"/>
          <w:color w:val="000000"/>
          <w:sz w:val="32"/>
          <w:szCs w:val="24"/>
        </w:rPr>
      </w:pPr>
      <w:r>
        <w:rPr>
          <w:rFonts w:hint="eastAsia" w:ascii="Times New Roman" w:eastAsia="仿宋_GB2312"/>
          <w:color w:val="000000"/>
          <w:sz w:val="32"/>
          <w:szCs w:val="24"/>
        </w:rPr>
        <w:t>2.目标完成质量。太公镇2023年基层组织活动及农村公共服务运行维护项目在区财政局关心帮助及业务指导下，在镇党委政府坚强领导下，各村（社区）有序推进，保质保量完成各项任务，经村（社区）居民评价，满意度为96%。</w:t>
      </w:r>
    </w:p>
    <w:p w14:paraId="548B7118">
      <w:pPr>
        <w:spacing w:line="576" w:lineRule="exact"/>
        <w:ind w:firstLine="640" w:firstLineChars="200"/>
        <w:rPr>
          <w:rFonts w:hint="eastAsia" w:ascii="Times New Roman" w:eastAsia="仿宋_GB2312"/>
          <w:color w:val="000000"/>
          <w:sz w:val="32"/>
          <w:szCs w:val="24"/>
        </w:rPr>
      </w:pPr>
      <w:r>
        <w:rPr>
          <w:rFonts w:hint="eastAsia" w:ascii="Times New Roman" w:eastAsia="仿宋_GB2312"/>
          <w:color w:val="000000"/>
          <w:sz w:val="32"/>
          <w:szCs w:val="24"/>
        </w:rPr>
        <w:t>3.目标完成进度。</w:t>
      </w:r>
      <w:r>
        <w:rPr>
          <w:rFonts w:hint="eastAsia" w:ascii="Times New Roman" w:eastAsia="仿宋_GB2312"/>
          <w:color w:val="000000"/>
          <w:sz w:val="32"/>
          <w:szCs w:val="24"/>
          <w:lang w:eastAsia="zh-CN"/>
        </w:rPr>
        <w:t>截至2023年</w:t>
      </w:r>
      <w:r>
        <w:rPr>
          <w:rFonts w:hint="eastAsia" w:ascii="Times New Roman" w:eastAsia="仿宋_GB2312"/>
          <w:color w:val="000000"/>
          <w:sz w:val="32"/>
          <w:szCs w:val="24"/>
        </w:rPr>
        <w:t>12月31日，农村公共服务运行维护项目已完成100%。</w:t>
      </w:r>
    </w:p>
    <w:p w14:paraId="7749A6C1">
      <w:pPr>
        <w:spacing w:line="576" w:lineRule="exact"/>
        <w:ind w:firstLine="640"/>
        <w:rPr>
          <w:rFonts w:hint="eastAsia" w:ascii="Times New Roman" w:eastAsia="楷体_GB2312" w:cs="楷体_GB2312"/>
          <w:kern w:val="2"/>
          <w:sz w:val="32"/>
          <w:szCs w:val="32"/>
          <w:lang w:val="zh-CN"/>
        </w:rPr>
      </w:pPr>
      <w:r>
        <w:rPr>
          <w:rFonts w:hint="eastAsia" w:ascii="Times New Roman" w:eastAsia="楷体_GB2312" w:cs="楷体_GB2312"/>
          <w:kern w:val="2"/>
          <w:sz w:val="32"/>
          <w:szCs w:val="32"/>
          <w:lang w:val="zh-CN"/>
        </w:rPr>
        <w:t>（二）项目效益情况</w:t>
      </w:r>
    </w:p>
    <w:p w14:paraId="05241649">
      <w:pPr>
        <w:spacing w:line="576" w:lineRule="exact"/>
        <w:ind w:firstLine="640" w:firstLineChars="200"/>
        <w:rPr>
          <w:rFonts w:hint="eastAsia" w:ascii="Times New Roman" w:eastAsia="仿宋_GB2312"/>
          <w:color w:val="000000"/>
          <w:sz w:val="32"/>
          <w:szCs w:val="24"/>
        </w:rPr>
      </w:pPr>
      <w:r>
        <w:rPr>
          <w:rFonts w:hint="eastAsia" w:ascii="Times New Roman" w:eastAsia="仿宋_GB2312"/>
          <w:color w:val="000000"/>
          <w:sz w:val="32"/>
          <w:szCs w:val="24"/>
        </w:rPr>
        <w:t>通过2023年基层组织活动和公共运行维护经费项目的实施，一是改善了我镇13个村2个社区群众生产、生活条件，为群众生产生活带来了便利，为乡村振兴奠定了基础，群众生活质量和幸福指数均得到提高；二</w:t>
      </w:r>
      <w:r>
        <w:rPr>
          <w:rFonts w:hint="eastAsia" w:ascii="Times New Roman" w:eastAsia="仿宋_GB2312"/>
          <w:color w:val="000000"/>
          <w:sz w:val="32"/>
          <w:szCs w:val="24"/>
          <w:lang w:val="zh-CN"/>
        </w:rPr>
        <w:t>是通过对环境卫生的整治工作，群众的卫生习惯大幅提升，环境卫生有了一定的改变，营造了良好的卫生环境；</w:t>
      </w:r>
      <w:r>
        <w:rPr>
          <w:rFonts w:hint="eastAsia" w:ascii="Times New Roman" w:eastAsia="仿宋_GB2312"/>
          <w:color w:val="000000"/>
          <w:sz w:val="32"/>
          <w:szCs w:val="24"/>
        </w:rPr>
        <w:t>二是通过项目的实施，群众参与村（社区）各项事务机会增加，村（社区）</w:t>
      </w:r>
      <w:r>
        <w:rPr>
          <w:rFonts w:hint="eastAsia" w:ascii="Times New Roman" w:eastAsia="仿宋_GB2312"/>
          <w:color w:val="000000"/>
          <w:sz w:val="32"/>
          <w:szCs w:val="24"/>
          <w:lang w:val="zh-CN"/>
        </w:rPr>
        <w:t>基层组织建设得到加强，公共服务管理和社会管理水平得到提升，干群关系更加融洽，基层政权更加稳固。</w:t>
      </w:r>
    </w:p>
    <w:p w14:paraId="2A430F55">
      <w:pPr>
        <w:spacing w:line="576" w:lineRule="exact"/>
        <w:ind w:firstLine="640"/>
        <w:rPr>
          <w:rFonts w:hint="eastAsia" w:ascii="Times New Roman" w:eastAsia="楷体_GB2312" w:cs="楷体_GB2312"/>
          <w:kern w:val="2"/>
          <w:sz w:val="32"/>
          <w:szCs w:val="32"/>
          <w:lang w:val="zh-CN"/>
        </w:rPr>
      </w:pPr>
      <w:r>
        <w:rPr>
          <w:rFonts w:hint="eastAsia" w:ascii="Times New Roman" w:eastAsia="楷体_GB2312" w:cs="楷体_GB2312"/>
          <w:kern w:val="2"/>
          <w:sz w:val="32"/>
          <w:szCs w:val="32"/>
          <w:lang w:val="zh-CN"/>
        </w:rPr>
        <w:t>（三）违规记录</w:t>
      </w:r>
    </w:p>
    <w:p w14:paraId="69871828">
      <w:pPr>
        <w:spacing w:line="576" w:lineRule="exact"/>
        <w:ind w:firstLine="640" w:firstLineChars="200"/>
        <w:rPr>
          <w:rFonts w:hint="eastAsia" w:ascii="Times New Roman" w:eastAsia="仿宋_GB2312"/>
          <w:color w:val="000000"/>
          <w:sz w:val="32"/>
          <w:szCs w:val="24"/>
        </w:rPr>
      </w:pPr>
      <w:r>
        <w:rPr>
          <w:rFonts w:hint="eastAsia" w:ascii="Times New Roman" w:eastAsia="仿宋_GB2312"/>
          <w:color w:val="000000"/>
          <w:sz w:val="32"/>
          <w:szCs w:val="24"/>
        </w:rPr>
        <w:t>2023年基层组织活动和公共运行维护经费项目根据《广元市昭化区财政局 广元市昭化区农业局关于印发</w:t>
      </w:r>
      <w:r>
        <w:rPr>
          <w:rFonts w:hint="eastAsia" w:ascii="Times New Roman" w:eastAsia="仿宋_GB2312"/>
          <w:color w:val="000000"/>
          <w:sz w:val="32"/>
          <w:szCs w:val="24"/>
          <w:lang w:eastAsia="zh-CN"/>
        </w:rPr>
        <w:t>〈</w:t>
      </w:r>
      <w:r>
        <w:rPr>
          <w:rFonts w:hint="eastAsia" w:ascii="Times New Roman" w:eastAsia="仿宋_GB2312"/>
          <w:color w:val="000000"/>
          <w:sz w:val="32"/>
          <w:szCs w:val="24"/>
        </w:rPr>
        <w:t>广元市昭化区基层组织活动和公共服务运行经费使用管理办法</w:t>
      </w:r>
      <w:r>
        <w:rPr>
          <w:rFonts w:hint="eastAsia" w:ascii="Times New Roman" w:eastAsia="仿宋_GB2312"/>
          <w:color w:val="000000"/>
          <w:sz w:val="32"/>
          <w:szCs w:val="24"/>
          <w:lang w:eastAsia="zh-CN"/>
        </w:rPr>
        <w:t>〉</w:t>
      </w:r>
      <w:r>
        <w:rPr>
          <w:rFonts w:hint="eastAsia" w:ascii="Times New Roman" w:eastAsia="仿宋_GB2312"/>
          <w:color w:val="000000"/>
          <w:sz w:val="32"/>
          <w:szCs w:val="24"/>
        </w:rPr>
        <w:t>的通知》（昭财发</w:t>
      </w:r>
      <w:r>
        <w:rPr>
          <w:rFonts w:hint="eastAsia" w:ascii="Times New Roman" w:eastAsia="仿宋_GB2312"/>
          <w:color w:val="000000"/>
          <w:sz w:val="32"/>
          <w:szCs w:val="24"/>
          <w:lang w:eastAsia="zh-CN"/>
        </w:rPr>
        <w:t>〔</w:t>
      </w:r>
      <w:r>
        <w:rPr>
          <w:rFonts w:hint="eastAsia" w:ascii="Times New Roman" w:eastAsia="仿宋_GB2312"/>
          <w:color w:val="000000"/>
          <w:sz w:val="32"/>
          <w:szCs w:val="24"/>
        </w:rPr>
        <w:t>2017</w:t>
      </w:r>
      <w:r>
        <w:rPr>
          <w:rFonts w:hint="eastAsia" w:ascii="Times New Roman" w:eastAsia="仿宋_GB2312"/>
          <w:color w:val="000000"/>
          <w:sz w:val="32"/>
          <w:szCs w:val="24"/>
          <w:lang w:eastAsia="zh-CN"/>
        </w:rPr>
        <w:t>〕</w:t>
      </w:r>
      <w:r>
        <w:rPr>
          <w:rFonts w:hint="eastAsia" w:ascii="Times New Roman" w:eastAsia="仿宋_GB2312"/>
          <w:color w:val="000000"/>
          <w:sz w:val="32"/>
          <w:szCs w:val="24"/>
        </w:rPr>
        <w:t>90号）文件精神执行，在执行过程中，项目严格按照管理办法实施，项目实施合规、合法，未出现挤占、挪用等违规行为。</w:t>
      </w:r>
    </w:p>
    <w:p w14:paraId="41A71198">
      <w:pPr>
        <w:spacing w:line="576" w:lineRule="exact"/>
        <w:ind w:firstLine="640" w:firstLineChars="200"/>
        <w:rPr>
          <w:rFonts w:hint="eastAsia" w:ascii="黑体" w:hAnsi="黑体" w:eastAsia="黑体" w:cs="黑体"/>
          <w:color w:val="000000"/>
          <w:sz w:val="32"/>
          <w:szCs w:val="24"/>
        </w:rPr>
      </w:pPr>
      <w:r>
        <w:rPr>
          <w:rFonts w:hint="eastAsia" w:ascii="黑体" w:hAnsi="黑体" w:eastAsia="黑体" w:cs="黑体"/>
          <w:color w:val="000000"/>
          <w:sz w:val="32"/>
          <w:szCs w:val="24"/>
        </w:rPr>
        <w:t>四、自评结论及建议</w:t>
      </w:r>
    </w:p>
    <w:p w14:paraId="34CC29AE">
      <w:pPr>
        <w:spacing w:line="576" w:lineRule="exact"/>
        <w:ind w:firstLine="640"/>
        <w:rPr>
          <w:rFonts w:hint="eastAsia" w:ascii="Times New Roman" w:eastAsia="楷体_GB2312" w:cs="楷体_GB2312"/>
          <w:kern w:val="2"/>
          <w:sz w:val="32"/>
          <w:szCs w:val="32"/>
          <w:lang w:val="zh-CN"/>
        </w:rPr>
      </w:pPr>
      <w:r>
        <w:rPr>
          <w:rFonts w:hint="eastAsia" w:ascii="Times New Roman" w:eastAsia="楷体_GB2312" w:cs="楷体_GB2312"/>
          <w:kern w:val="2"/>
          <w:sz w:val="32"/>
          <w:szCs w:val="32"/>
          <w:lang w:val="zh-CN"/>
        </w:rPr>
        <w:t>（一）自评结论</w:t>
      </w:r>
    </w:p>
    <w:p w14:paraId="2DE4531C">
      <w:pPr>
        <w:spacing w:line="576" w:lineRule="exact"/>
        <w:ind w:firstLine="640" w:firstLineChars="200"/>
        <w:rPr>
          <w:rFonts w:hint="eastAsia" w:ascii="Times New Roman" w:eastAsia="仿宋_GB2312"/>
          <w:color w:val="000000"/>
          <w:sz w:val="32"/>
          <w:szCs w:val="24"/>
          <w:lang w:val="zh-CN"/>
        </w:rPr>
      </w:pPr>
      <w:r>
        <w:rPr>
          <w:rFonts w:hint="eastAsia" w:ascii="Times New Roman" w:eastAsia="仿宋_GB2312"/>
          <w:color w:val="000000"/>
          <w:sz w:val="32"/>
          <w:szCs w:val="24"/>
        </w:rPr>
        <w:t>2023年基层组织活动和公共运行维护经费项目</w:t>
      </w:r>
      <w:r>
        <w:rPr>
          <w:rFonts w:hint="eastAsia" w:ascii="Times New Roman" w:eastAsia="仿宋_GB2312"/>
          <w:color w:val="000000"/>
          <w:sz w:val="32"/>
          <w:szCs w:val="24"/>
          <w:lang w:val="zh-CN"/>
        </w:rPr>
        <w:t>资金能按照相关规定进行使用和管理，程序较为规范，取得了良好的经济收益和社会效益。</w:t>
      </w:r>
      <w:r>
        <w:rPr>
          <w:rFonts w:hint="eastAsia" w:ascii="Times New Roman" w:eastAsia="仿宋_GB2312"/>
          <w:color w:val="000000"/>
          <w:sz w:val="32"/>
          <w:szCs w:val="24"/>
        </w:rPr>
        <w:t>我镇按照《广元市昭化区人民政府办公室关于印发</w:t>
      </w:r>
      <w:r>
        <w:rPr>
          <w:rFonts w:hint="eastAsia" w:ascii="Times New Roman" w:eastAsia="仿宋_GB2312"/>
          <w:color w:val="000000"/>
          <w:sz w:val="32"/>
          <w:szCs w:val="24"/>
          <w:lang w:eastAsia="zh-CN"/>
        </w:rPr>
        <w:t>〈</w:t>
      </w:r>
      <w:r>
        <w:rPr>
          <w:rFonts w:hint="eastAsia" w:ascii="Times New Roman" w:eastAsia="仿宋_GB2312"/>
          <w:color w:val="000000"/>
          <w:sz w:val="32"/>
          <w:szCs w:val="24"/>
        </w:rPr>
        <w:t>广元市昭化区财政预算绩效管理实施细则</w:t>
      </w:r>
      <w:r>
        <w:rPr>
          <w:rFonts w:hint="eastAsia" w:ascii="Times New Roman" w:eastAsia="仿宋_GB2312"/>
          <w:color w:val="000000"/>
          <w:sz w:val="32"/>
          <w:szCs w:val="24"/>
          <w:lang w:eastAsia="zh-CN"/>
        </w:rPr>
        <w:t>〉</w:t>
      </w:r>
      <w:r>
        <w:rPr>
          <w:rFonts w:hint="eastAsia" w:ascii="Times New Roman" w:eastAsia="仿宋_GB2312"/>
          <w:color w:val="000000"/>
          <w:sz w:val="32"/>
          <w:szCs w:val="24"/>
        </w:rPr>
        <w:t>的通知》</w:t>
      </w:r>
      <w:r>
        <w:rPr>
          <w:rFonts w:hint="eastAsia" w:ascii="Times New Roman" w:eastAsia="仿宋_GB2312"/>
          <w:color w:val="000000"/>
          <w:sz w:val="32"/>
          <w:szCs w:val="24"/>
          <w:lang w:eastAsia="zh-CN"/>
        </w:rPr>
        <w:t>（</w:t>
      </w:r>
      <w:r>
        <w:rPr>
          <w:rFonts w:hint="eastAsia" w:ascii="Times New Roman" w:eastAsia="仿宋_GB2312"/>
          <w:color w:val="000000"/>
          <w:sz w:val="32"/>
          <w:szCs w:val="24"/>
        </w:rPr>
        <w:t>昭府办函</w:t>
      </w:r>
      <w:r>
        <w:rPr>
          <w:rFonts w:hint="eastAsia" w:ascii="Times New Roman" w:eastAsia="仿宋_GB2312"/>
          <w:color w:val="000000"/>
          <w:sz w:val="32"/>
          <w:szCs w:val="24"/>
          <w:lang w:eastAsia="zh-CN"/>
        </w:rPr>
        <w:t>〔</w:t>
      </w:r>
      <w:r>
        <w:rPr>
          <w:rFonts w:hint="eastAsia" w:ascii="Times New Roman" w:eastAsia="仿宋_GB2312"/>
          <w:color w:val="000000"/>
          <w:sz w:val="32"/>
          <w:szCs w:val="24"/>
        </w:rPr>
        <w:t>2018</w:t>
      </w:r>
      <w:r>
        <w:rPr>
          <w:rFonts w:hint="eastAsia" w:ascii="Times New Roman" w:eastAsia="仿宋_GB2312"/>
          <w:color w:val="000000"/>
          <w:sz w:val="32"/>
          <w:szCs w:val="24"/>
          <w:lang w:eastAsia="zh-CN"/>
        </w:rPr>
        <w:t>〕</w:t>
      </w:r>
      <w:r>
        <w:rPr>
          <w:rFonts w:hint="eastAsia" w:ascii="Times New Roman" w:eastAsia="仿宋_GB2312"/>
          <w:color w:val="000000"/>
          <w:sz w:val="32"/>
          <w:szCs w:val="24"/>
        </w:rPr>
        <w:t>118号</w:t>
      </w:r>
      <w:r>
        <w:rPr>
          <w:rFonts w:hint="eastAsia" w:ascii="Times New Roman" w:eastAsia="仿宋_GB2312"/>
          <w:color w:val="000000"/>
          <w:sz w:val="32"/>
          <w:szCs w:val="24"/>
          <w:lang w:eastAsia="zh-CN"/>
        </w:rPr>
        <w:t>）</w:t>
      </w:r>
      <w:r>
        <w:rPr>
          <w:rFonts w:hint="eastAsia" w:ascii="Times New Roman" w:eastAsia="仿宋_GB2312"/>
          <w:color w:val="000000"/>
          <w:sz w:val="32"/>
          <w:szCs w:val="24"/>
        </w:rPr>
        <w:t>广元市昭化区项目支出绩效评价指标体系开展绩效评价，自评得分为91.8分。</w:t>
      </w:r>
    </w:p>
    <w:p w14:paraId="2B3360FE">
      <w:pPr>
        <w:spacing w:line="576" w:lineRule="exact"/>
        <w:ind w:firstLine="640"/>
        <w:rPr>
          <w:rFonts w:hint="eastAsia" w:ascii="Times New Roman" w:eastAsia="楷体_GB2312" w:cs="楷体_GB2312"/>
          <w:kern w:val="2"/>
          <w:sz w:val="32"/>
          <w:szCs w:val="32"/>
          <w:lang w:val="zh-CN"/>
        </w:rPr>
      </w:pPr>
      <w:r>
        <w:rPr>
          <w:rFonts w:hint="eastAsia" w:ascii="Times New Roman" w:eastAsia="楷体_GB2312" w:cs="楷体_GB2312"/>
          <w:kern w:val="2"/>
          <w:sz w:val="32"/>
          <w:szCs w:val="32"/>
          <w:lang w:val="zh-CN"/>
        </w:rPr>
        <w:t>（二）存在的问题</w:t>
      </w:r>
    </w:p>
    <w:p w14:paraId="54DABE45">
      <w:pPr>
        <w:spacing w:line="576" w:lineRule="exact"/>
        <w:ind w:firstLine="640" w:firstLineChars="200"/>
        <w:rPr>
          <w:rFonts w:hint="eastAsia" w:ascii="Times New Roman" w:eastAsia="仿宋_GB2312"/>
          <w:color w:val="000000"/>
          <w:sz w:val="32"/>
          <w:szCs w:val="24"/>
          <w:lang w:val="zh-CN"/>
        </w:rPr>
      </w:pPr>
      <w:r>
        <w:rPr>
          <w:rFonts w:hint="eastAsia" w:ascii="Times New Roman" w:eastAsia="仿宋_GB2312"/>
          <w:color w:val="000000"/>
          <w:sz w:val="32"/>
          <w:szCs w:val="24"/>
          <w:lang w:val="zh-CN"/>
        </w:rPr>
        <w:t>一是因部分项目实施到年底方能验收，项目资料收集较晚，致使没有及时申报资金支付；二是在支付过程中，部分村（居）提供的三方账户信息有误，导致项目资金支付失败，需要重新支付。</w:t>
      </w:r>
    </w:p>
    <w:p w14:paraId="0243A8B3">
      <w:pPr>
        <w:spacing w:line="576" w:lineRule="exact"/>
        <w:ind w:firstLine="640"/>
        <w:rPr>
          <w:rFonts w:hint="eastAsia" w:ascii="Times New Roman" w:eastAsia="楷体_GB2312" w:cs="楷体_GB2312"/>
          <w:kern w:val="2"/>
          <w:sz w:val="32"/>
          <w:szCs w:val="32"/>
          <w:lang w:val="zh-CN"/>
        </w:rPr>
      </w:pPr>
      <w:r>
        <w:rPr>
          <w:rFonts w:hint="eastAsia" w:ascii="Times New Roman" w:eastAsia="楷体_GB2312" w:cs="楷体_GB2312"/>
          <w:kern w:val="2"/>
          <w:sz w:val="32"/>
          <w:szCs w:val="32"/>
          <w:lang w:val="zh-CN"/>
        </w:rPr>
        <w:t>（三）相关措施或建议</w:t>
      </w:r>
    </w:p>
    <w:p w14:paraId="586F4E13">
      <w:pPr>
        <w:spacing w:line="576" w:lineRule="exact"/>
        <w:ind w:firstLine="640" w:firstLineChars="200"/>
        <w:rPr>
          <w:rFonts w:hint="eastAsia" w:ascii="Times New Roman" w:eastAsia="仿宋_GB2312"/>
          <w:color w:val="000000"/>
          <w:sz w:val="32"/>
          <w:szCs w:val="24"/>
        </w:rPr>
      </w:pPr>
      <w:r>
        <w:rPr>
          <w:rFonts w:hint="eastAsia" w:ascii="Times New Roman" w:eastAsia="仿宋_GB2312"/>
          <w:color w:val="000000"/>
          <w:sz w:val="32"/>
          <w:szCs w:val="24"/>
        </w:rPr>
        <w:t>一是优化项目规划，各村（居）要广泛征求民意，准确掌握所辖村（居）内群众急需解决的急难问题，科学制定规划，切实改善本村内群众的生产、生活、出行条件，增强群众幸福感；二是加强项目管理，做好事前、事中、事后监督，及时完善资料报账，做到当年项目当年报账，不跨年度支付；三是加强工作能力提升，认真核实村（居）上报的账户信息，确保项目资金及时支付到位。</w:t>
      </w:r>
    </w:p>
    <w:p w14:paraId="79A027CB">
      <w:pPr>
        <w:pStyle w:val="2"/>
        <w:rPr>
          <w:rFonts w:hint="eastAsia" w:ascii="Times New Roman" w:eastAsia="仿宋_GB2312"/>
          <w:color w:val="000000"/>
          <w:sz w:val="32"/>
          <w:szCs w:val="24"/>
        </w:rPr>
      </w:pPr>
    </w:p>
    <w:p w14:paraId="2E14B084">
      <w:pPr>
        <w:rPr>
          <w:rFonts w:hint="eastAsia" w:ascii="Times New Roman" w:eastAsia="仿宋_GB2312"/>
          <w:color w:val="000000"/>
          <w:sz w:val="32"/>
          <w:szCs w:val="24"/>
        </w:rPr>
      </w:pPr>
    </w:p>
    <w:p w14:paraId="17223868">
      <w:pPr>
        <w:pStyle w:val="2"/>
        <w:rPr>
          <w:rFonts w:hint="eastAsia" w:ascii="Times New Roman" w:eastAsia="仿宋_GB2312"/>
          <w:color w:val="000000"/>
          <w:sz w:val="32"/>
          <w:szCs w:val="24"/>
        </w:rPr>
      </w:pPr>
    </w:p>
    <w:p w14:paraId="512EC44E">
      <w:pPr>
        <w:rPr>
          <w:rFonts w:hint="eastAsia" w:ascii="Times New Roman" w:eastAsia="仿宋_GB2312"/>
          <w:color w:val="000000"/>
          <w:sz w:val="32"/>
          <w:szCs w:val="24"/>
        </w:rPr>
      </w:pPr>
    </w:p>
    <w:p w14:paraId="52E43410">
      <w:pPr>
        <w:pStyle w:val="2"/>
        <w:rPr>
          <w:rFonts w:hint="eastAsia" w:ascii="Times New Roman" w:eastAsia="仿宋_GB2312"/>
          <w:color w:val="000000"/>
          <w:sz w:val="32"/>
          <w:szCs w:val="24"/>
        </w:rPr>
      </w:pPr>
    </w:p>
    <w:p w14:paraId="2E9E2DC4">
      <w:pPr>
        <w:rPr>
          <w:rFonts w:hint="eastAsia" w:ascii="Times New Roman" w:eastAsia="仿宋_GB2312"/>
          <w:color w:val="000000"/>
          <w:sz w:val="32"/>
          <w:szCs w:val="24"/>
        </w:rPr>
      </w:pPr>
    </w:p>
    <w:p w14:paraId="7677E5DE">
      <w:pPr>
        <w:pStyle w:val="2"/>
        <w:rPr>
          <w:rFonts w:hint="eastAsia" w:ascii="Times New Roman" w:eastAsia="仿宋_GB2312"/>
          <w:color w:val="000000"/>
          <w:sz w:val="32"/>
          <w:szCs w:val="24"/>
        </w:rPr>
      </w:pPr>
    </w:p>
    <w:p w14:paraId="2E011220">
      <w:pPr>
        <w:rPr>
          <w:rFonts w:hint="eastAsia" w:ascii="Times New Roman" w:eastAsia="仿宋_GB2312"/>
          <w:color w:val="000000"/>
          <w:sz w:val="32"/>
          <w:szCs w:val="24"/>
        </w:rPr>
      </w:pPr>
    </w:p>
    <w:p w14:paraId="5BB8BEEF">
      <w:pPr>
        <w:pStyle w:val="2"/>
        <w:rPr>
          <w:rFonts w:hint="eastAsia" w:ascii="Times New Roman" w:eastAsia="仿宋_GB2312"/>
          <w:color w:val="000000"/>
          <w:sz w:val="32"/>
          <w:szCs w:val="24"/>
        </w:rPr>
      </w:pPr>
    </w:p>
    <w:p w14:paraId="5E72E441">
      <w:pPr>
        <w:rPr>
          <w:rFonts w:hint="eastAsia" w:ascii="Times New Roman" w:eastAsia="仿宋_GB2312"/>
          <w:color w:val="000000"/>
          <w:sz w:val="32"/>
          <w:szCs w:val="24"/>
        </w:rPr>
      </w:pPr>
    </w:p>
    <w:p w14:paraId="7F91633B">
      <w:pPr>
        <w:rPr>
          <w:rFonts w:hint="eastAsia"/>
        </w:rPr>
      </w:pPr>
    </w:p>
    <w:p w14:paraId="737F04FB">
      <w:pPr>
        <w:pStyle w:val="2"/>
        <w:rPr>
          <w:rFonts w:hint="eastAsia"/>
        </w:rPr>
      </w:pPr>
    </w:p>
    <w:p w14:paraId="647746FD">
      <w:pPr>
        <w:rPr>
          <w:rFonts w:hint="eastAsia"/>
        </w:rPr>
      </w:pPr>
    </w:p>
    <w:tbl>
      <w:tblPr>
        <w:tblStyle w:val="14"/>
        <w:tblpPr w:leftFromText="180" w:rightFromText="180" w:vertAnchor="text" w:horzAnchor="page" w:tblpX="533" w:tblpY="168"/>
        <w:tblOverlap w:val="never"/>
        <w:tblW w:w="112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2"/>
        <w:gridCol w:w="804"/>
        <w:gridCol w:w="1162"/>
        <w:gridCol w:w="1076"/>
        <w:gridCol w:w="2231"/>
        <w:gridCol w:w="1577"/>
        <w:gridCol w:w="1816"/>
        <w:gridCol w:w="1702"/>
      </w:tblGrid>
      <w:tr w14:paraId="14FA1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1240" w:type="dxa"/>
            <w:gridSpan w:val="8"/>
            <w:tcBorders>
              <w:top w:val="nil"/>
              <w:left w:val="nil"/>
              <w:bottom w:val="nil"/>
              <w:right w:val="nil"/>
              <w:tl2br w:val="nil"/>
              <w:tr2bl w:val="nil"/>
            </w:tcBorders>
            <w:noWrap w:val="0"/>
            <w:vAlign w:val="center"/>
          </w:tcPr>
          <w:p w14:paraId="42161DB4">
            <w:pPr>
              <w:widowControl/>
              <w:jc w:val="center"/>
              <w:textAlignment w:val="center"/>
              <w:rPr>
                <w:rFonts w:hint="eastAsia" w:ascii="Times New Roman" w:eastAsia="方正小标宋简体" w:cs="方正小标宋简体"/>
                <w:color w:val="000000"/>
                <w:sz w:val="36"/>
                <w:szCs w:val="36"/>
              </w:rPr>
            </w:pPr>
            <w:r>
              <w:rPr>
                <w:rFonts w:hint="eastAsia" w:ascii="Times New Roman" w:eastAsia="方正小标宋简体" w:cs="方正小标宋简体"/>
                <w:color w:val="000000"/>
                <w:sz w:val="36"/>
                <w:szCs w:val="36"/>
                <w:lang w:bidi="ar"/>
              </w:rPr>
              <w:t>广元市昭化区财政项目（政策）支出绩效自评表</w:t>
            </w:r>
          </w:p>
        </w:tc>
      </w:tr>
      <w:tr w14:paraId="19082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11240" w:type="dxa"/>
            <w:gridSpan w:val="8"/>
            <w:tcBorders>
              <w:top w:val="nil"/>
              <w:left w:val="nil"/>
              <w:bottom w:val="nil"/>
              <w:right w:val="nil"/>
              <w:tl2br w:val="nil"/>
              <w:tr2bl w:val="nil"/>
            </w:tcBorders>
            <w:noWrap w:val="0"/>
            <w:vAlign w:val="top"/>
          </w:tcPr>
          <w:p w14:paraId="562F3C82">
            <w:pPr>
              <w:widowControl/>
              <w:jc w:val="center"/>
              <w:textAlignment w:val="top"/>
              <w:rPr>
                <w:rFonts w:hint="default" w:cs="宋体"/>
                <w:b/>
                <w:color w:val="000000"/>
                <w:sz w:val="24"/>
                <w:szCs w:val="24"/>
              </w:rPr>
            </w:pPr>
            <w:r>
              <w:rPr>
                <w:rFonts w:hint="default" w:cs="宋体"/>
                <w:b/>
                <w:color w:val="000000"/>
                <w:sz w:val="24"/>
                <w:szCs w:val="24"/>
                <w:lang w:bidi="ar"/>
              </w:rPr>
              <w:t>（ 2023年度）</w:t>
            </w:r>
          </w:p>
        </w:tc>
      </w:tr>
      <w:tr w14:paraId="7D774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167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6A5B14">
            <w:pPr>
              <w:widowControl/>
              <w:jc w:val="center"/>
              <w:textAlignment w:val="center"/>
              <w:rPr>
                <w:rFonts w:hint="default" w:cs="宋体"/>
                <w:color w:val="000000"/>
                <w:sz w:val="18"/>
                <w:szCs w:val="18"/>
              </w:rPr>
            </w:pPr>
            <w:r>
              <w:rPr>
                <w:rFonts w:hint="default" w:cs="宋体"/>
                <w:color w:val="000000"/>
                <w:sz w:val="18"/>
                <w:szCs w:val="18"/>
                <w:lang w:bidi="ar"/>
              </w:rPr>
              <w:t>项目（政策）名称</w:t>
            </w:r>
          </w:p>
        </w:tc>
        <w:tc>
          <w:tcPr>
            <w:tcW w:w="9564"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A6033A">
            <w:pPr>
              <w:widowControl/>
              <w:jc w:val="center"/>
              <w:textAlignment w:val="center"/>
              <w:rPr>
                <w:rFonts w:hint="default" w:cs="宋体"/>
                <w:color w:val="000000"/>
                <w:sz w:val="18"/>
                <w:szCs w:val="18"/>
              </w:rPr>
            </w:pPr>
            <w:r>
              <w:rPr>
                <w:rFonts w:hint="default" w:cs="宋体"/>
                <w:color w:val="000000"/>
                <w:sz w:val="18"/>
                <w:szCs w:val="18"/>
                <w:lang w:bidi="ar"/>
              </w:rPr>
              <w:t>2023年基层组织活动和公共运行维护经费</w:t>
            </w:r>
          </w:p>
        </w:tc>
      </w:tr>
      <w:tr w14:paraId="09ECE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167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55D71B">
            <w:pPr>
              <w:widowControl/>
              <w:jc w:val="center"/>
              <w:textAlignment w:val="center"/>
              <w:rPr>
                <w:rFonts w:hint="default" w:cs="宋体"/>
                <w:color w:val="000000"/>
                <w:sz w:val="18"/>
                <w:szCs w:val="18"/>
              </w:rPr>
            </w:pPr>
            <w:r>
              <w:rPr>
                <w:rFonts w:hint="default" w:cs="宋体"/>
                <w:color w:val="000000"/>
                <w:sz w:val="18"/>
                <w:szCs w:val="18"/>
                <w:lang w:bidi="ar"/>
              </w:rPr>
              <w:t>主管部门</w:t>
            </w:r>
          </w:p>
        </w:tc>
        <w:tc>
          <w:tcPr>
            <w:tcW w:w="4469"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66F498">
            <w:pPr>
              <w:widowControl/>
              <w:jc w:val="center"/>
              <w:textAlignment w:val="center"/>
              <w:rPr>
                <w:rFonts w:hint="default" w:cs="宋体"/>
                <w:color w:val="000000"/>
                <w:sz w:val="18"/>
                <w:szCs w:val="18"/>
              </w:rPr>
            </w:pPr>
            <w:r>
              <w:rPr>
                <w:rFonts w:hint="default" w:cs="宋体"/>
                <w:color w:val="000000"/>
                <w:sz w:val="18"/>
                <w:szCs w:val="18"/>
                <w:lang w:bidi="ar"/>
              </w:rPr>
              <w:t>广元市昭化区太公镇人民政府</w:t>
            </w:r>
          </w:p>
        </w:tc>
        <w:tc>
          <w:tcPr>
            <w:tcW w:w="15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38E693">
            <w:pPr>
              <w:widowControl/>
              <w:jc w:val="center"/>
              <w:textAlignment w:val="center"/>
              <w:rPr>
                <w:rFonts w:hint="default" w:cs="宋体"/>
                <w:color w:val="000000"/>
                <w:sz w:val="18"/>
                <w:szCs w:val="18"/>
              </w:rPr>
            </w:pPr>
            <w:r>
              <w:rPr>
                <w:rFonts w:hint="default" w:cs="宋体"/>
                <w:color w:val="000000"/>
                <w:sz w:val="18"/>
                <w:szCs w:val="18"/>
                <w:lang w:bidi="ar"/>
              </w:rPr>
              <w:t>实施单位</w:t>
            </w:r>
          </w:p>
        </w:tc>
        <w:tc>
          <w:tcPr>
            <w:tcW w:w="351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2A27F3">
            <w:pPr>
              <w:widowControl/>
              <w:jc w:val="center"/>
              <w:textAlignment w:val="center"/>
              <w:rPr>
                <w:rFonts w:hint="default" w:cs="宋体"/>
                <w:color w:val="000000"/>
                <w:sz w:val="18"/>
                <w:szCs w:val="18"/>
              </w:rPr>
            </w:pPr>
            <w:r>
              <w:rPr>
                <w:rFonts w:hint="default" w:cs="宋体"/>
                <w:color w:val="000000"/>
                <w:sz w:val="18"/>
                <w:szCs w:val="18"/>
                <w:lang w:bidi="ar"/>
              </w:rPr>
              <w:t>镇域内13个村、2个社区</w:t>
            </w:r>
          </w:p>
        </w:tc>
      </w:tr>
      <w:tr w14:paraId="2A89F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1676"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038CDC35">
            <w:pPr>
              <w:widowControl/>
              <w:jc w:val="center"/>
              <w:textAlignment w:val="center"/>
              <w:rPr>
                <w:rFonts w:hint="default" w:cs="宋体"/>
                <w:color w:val="000000"/>
                <w:sz w:val="18"/>
                <w:szCs w:val="18"/>
              </w:rPr>
            </w:pPr>
            <w:r>
              <w:rPr>
                <w:rFonts w:hint="default" w:cs="宋体"/>
                <w:color w:val="000000"/>
                <w:sz w:val="18"/>
                <w:szCs w:val="18"/>
                <w:lang w:bidi="ar"/>
              </w:rPr>
              <w:t>项目（政策）资金（万元）</w:t>
            </w:r>
          </w:p>
        </w:tc>
        <w:tc>
          <w:tcPr>
            <w:tcW w:w="2238" w:type="dxa"/>
            <w:gridSpan w:val="2"/>
            <w:tcBorders>
              <w:top w:val="nil"/>
              <w:left w:val="single" w:color="000000" w:sz="4" w:space="0"/>
              <w:bottom w:val="single" w:color="000000" w:sz="4" w:space="0"/>
              <w:right w:val="single" w:color="000000" w:sz="4" w:space="0"/>
              <w:tl2br w:val="nil"/>
              <w:tr2bl w:val="nil"/>
            </w:tcBorders>
            <w:noWrap w:val="0"/>
            <w:vAlign w:val="center"/>
          </w:tcPr>
          <w:p w14:paraId="76D63945">
            <w:pPr>
              <w:widowControl/>
              <w:jc w:val="center"/>
              <w:textAlignment w:val="center"/>
              <w:rPr>
                <w:rFonts w:hint="default" w:cs="宋体"/>
                <w:color w:val="000000"/>
                <w:sz w:val="18"/>
                <w:szCs w:val="18"/>
              </w:rPr>
            </w:pPr>
            <w:r>
              <w:rPr>
                <w:rFonts w:hint="default" w:cs="宋体"/>
                <w:color w:val="000000"/>
                <w:sz w:val="18"/>
                <w:szCs w:val="18"/>
                <w:lang w:bidi="ar"/>
              </w:rPr>
              <w:t>年度预算数（万元）</w:t>
            </w:r>
          </w:p>
        </w:tc>
        <w:tc>
          <w:tcPr>
            <w:tcW w:w="2231" w:type="dxa"/>
            <w:tcBorders>
              <w:top w:val="nil"/>
              <w:left w:val="single" w:color="000000" w:sz="4" w:space="0"/>
              <w:bottom w:val="single" w:color="000000" w:sz="4" w:space="0"/>
              <w:right w:val="single" w:color="000000" w:sz="4" w:space="0"/>
              <w:tl2br w:val="nil"/>
              <w:tr2bl w:val="nil"/>
            </w:tcBorders>
            <w:noWrap w:val="0"/>
            <w:vAlign w:val="center"/>
          </w:tcPr>
          <w:p w14:paraId="7DF422E6">
            <w:pPr>
              <w:widowControl/>
              <w:jc w:val="center"/>
              <w:textAlignment w:val="center"/>
              <w:rPr>
                <w:rFonts w:hint="default" w:cs="宋体"/>
                <w:color w:val="000000"/>
                <w:sz w:val="18"/>
                <w:szCs w:val="18"/>
              </w:rPr>
            </w:pPr>
            <w:r>
              <w:rPr>
                <w:rFonts w:hint="default" w:cs="宋体"/>
                <w:color w:val="000000"/>
                <w:sz w:val="18"/>
                <w:szCs w:val="18"/>
                <w:lang w:bidi="ar"/>
              </w:rPr>
              <w:t>年初预算数</w:t>
            </w:r>
          </w:p>
        </w:tc>
        <w:tc>
          <w:tcPr>
            <w:tcW w:w="1577" w:type="dxa"/>
            <w:tcBorders>
              <w:top w:val="nil"/>
              <w:left w:val="single" w:color="000000" w:sz="4" w:space="0"/>
              <w:bottom w:val="single" w:color="000000" w:sz="4" w:space="0"/>
              <w:right w:val="single" w:color="000000" w:sz="4" w:space="0"/>
              <w:tl2br w:val="nil"/>
              <w:tr2bl w:val="nil"/>
            </w:tcBorders>
            <w:noWrap w:val="0"/>
            <w:vAlign w:val="center"/>
          </w:tcPr>
          <w:p w14:paraId="5E1C7B94">
            <w:pPr>
              <w:widowControl/>
              <w:jc w:val="center"/>
              <w:textAlignment w:val="center"/>
              <w:rPr>
                <w:rFonts w:hint="default" w:cs="宋体"/>
                <w:color w:val="000000"/>
                <w:sz w:val="18"/>
                <w:szCs w:val="18"/>
              </w:rPr>
            </w:pPr>
            <w:r>
              <w:rPr>
                <w:rFonts w:hint="default" w:cs="宋体"/>
                <w:color w:val="000000"/>
                <w:sz w:val="18"/>
                <w:szCs w:val="18"/>
                <w:lang w:bidi="ar"/>
              </w:rPr>
              <w:t>全年预算数</w:t>
            </w:r>
          </w:p>
        </w:tc>
        <w:tc>
          <w:tcPr>
            <w:tcW w:w="1816" w:type="dxa"/>
            <w:tcBorders>
              <w:top w:val="nil"/>
              <w:left w:val="single" w:color="000000" w:sz="4" w:space="0"/>
              <w:bottom w:val="single" w:color="000000" w:sz="4" w:space="0"/>
              <w:right w:val="single" w:color="000000" w:sz="4" w:space="0"/>
              <w:tl2br w:val="nil"/>
              <w:tr2bl w:val="nil"/>
            </w:tcBorders>
            <w:noWrap w:val="0"/>
            <w:vAlign w:val="center"/>
          </w:tcPr>
          <w:p w14:paraId="5B798565">
            <w:pPr>
              <w:widowControl/>
              <w:jc w:val="center"/>
              <w:textAlignment w:val="center"/>
              <w:rPr>
                <w:rFonts w:hint="default" w:cs="宋体"/>
                <w:color w:val="000000"/>
                <w:sz w:val="18"/>
                <w:szCs w:val="18"/>
              </w:rPr>
            </w:pPr>
            <w:r>
              <w:rPr>
                <w:rFonts w:hint="default" w:cs="宋体"/>
                <w:color w:val="000000"/>
                <w:sz w:val="18"/>
                <w:szCs w:val="18"/>
                <w:lang w:bidi="ar"/>
              </w:rPr>
              <w:t>全年执行数</w:t>
            </w:r>
          </w:p>
        </w:tc>
        <w:tc>
          <w:tcPr>
            <w:tcW w:w="1702" w:type="dxa"/>
            <w:tcBorders>
              <w:top w:val="nil"/>
              <w:left w:val="single" w:color="000000" w:sz="4" w:space="0"/>
              <w:bottom w:val="single" w:color="000000" w:sz="4" w:space="0"/>
              <w:right w:val="single" w:color="000000" w:sz="4" w:space="0"/>
              <w:tl2br w:val="nil"/>
              <w:tr2bl w:val="nil"/>
            </w:tcBorders>
            <w:noWrap w:val="0"/>
            <w:vAlign w:val="center"/>
          </w:tcPr>
          <w:p w14:paraId="3A3AD220">
            <w:pPr>
              <w:widowControl/>
              <w:jc w:val="center"/>
              <w:textAlignment w:val="center"/>
              <w:rPr>
                <w:rFonts w:hint="default" w:cs="宋体"/>
                <w:color w:val="000000"/>
                <w:sz w:val="18"/>
                <w:szCs w:val="18"/>
              </w:rPr>
            </w:pPr>
            <w:r>
              <w:rPr>
                <w:rFonts w:hint="default" w:cs="宋体"/>
                <w:color w:val="000000"/>
                <w:sz w:val="18"/>
                <w:szCs w:val="18"/>
                <w:lang w:bidi="ar"/>
              </w:rPr>
              <w:t>执行率</w:t>
            </w:r>
          </w:p>
        </w:tc>
      </w:tr>
      <w:tr w14:paraId="2002D9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167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0608643">
            <w:pPr>
              <w:jc w:val="center"/>
              <w:rPr>
                <w:rFonts w:hint="default" w:cs="宋体"/>
                <w:color w:val="000000"/>
                <w:sz w:val="18"/>
                <w:szCs w:val="18"/>
              </w:rPr>
            </w:pPr>
          </w:p>
        </w:tc>
        <w:tc>
          <w:tcPr>
            <w:tcW w:w="22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4A26B9">
            <w:pPr>
              <w:widowControl/>
              <w:jc w:val="center"/>
              <w:textAlignment w:val="center"/>
              <w:rPr>
                <w:rFonts w:hint="default" w:cs="宋体"/>
                <w:color w:val="000000"/>
                <w:sz w:val="18"/>
                <w:szCs w:val="18"/>
              </w:rPr>
            </w:pPr>
            <w:r>
              <w:rPr>
                <w:rFonts w:hint="default" w:cs="宋体"/>
                <w:color w:val="000000"/>
                <w:sz w:val="18"/>
                <w:szCs w:val="18"/>
                <w:lang w:bidi="ar"/>
              </w:rPr>
              <w:t>年度资金总额</w:t>
            </w:r>
          </w:p>
        </w:tc>
        <w:tc>
          <w:tcPr>
            <w:tcW w:w="223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241DBA">
            <w:pPr>
              <w:widowControl/>
              <w:jc w:val="center"/>
              <w:textAlignment w:val="center"/>
              <w:rPr>
                <w:rFonts w:hint="default" w:cs="宋体"/>
                <w:color w:val="000000"/>
                <w:sz w:val="18"/>
                <w:szCs w:val="18"/>
              </w:rPr>
            </w:pPr>
            <w:r>
              <w:rPr>
                <w:rFonts w:hint="default" w:cs="宋体"/>
                <w:color w:val="000000"/>
                <w:sz w:val="18"/>
                <w:szCs w:val="18"/>
                <w:lang w:bidi="ar"/>
              </w:rPr>
              <w:t>990000</w:t>
            </w:r>
          </w:p>
        </w:tc>
        <w:tc>
          <w:tcPr>
            <w:tcW w:w="15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CDF841">
            <w:pPr>
              <w:widowControl/>
              <w:jc w:val="center"/>
              <w:textAlignment w:val="center"/>
              <w:rPr>
                <w:rFonts w:hint="default" w:cs="宋体"/>
                <w:color w:val="000000"/>
                <w:sz w:val="18"/>
                <w:szCs w:val="18"/>
              </w:rPr>
            </w:pPr>
            <w:r>
              <w:rPr>
                <w:rFonts w:hint="default" w:cs="宋体"/>
                <w:color w:val="000000"/>
                <w:sz w:val="18"/>
                <w:szCs w:val="18"/>
                <w:lang w:bidi="ar"/>
              </w:rPr>
              <w:t>990000</w:t>
            </w:r>
          </w:p>
        </w:tc>
        <w:tc>
          <w:tcPr>
            <w:tcW w:w="18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8701F8">
            <w:pPr>
              <w:widowControl/>
              <w:jc w:val="center"/>
              <w:textAlignment w:val="center"/>
              <w:rPr>
                <w:rFonts w:hint="default" w:cs="宋体"/>
                <w:color w:val="000000"/>
                <w:sz w:val="18"/>
                <w:szCs w:val="18"/>
              </w:rPr>
            </w:pPr>
            <w:r>
              <w:rPr>
                <w:rFonts w:hint="default" w:cs="宋体"/>
                <w:color w:val="000000"/>
                <w:sz w:val="18"/>
                <w:szCs w:val="18"/>
                <w:lang w:bidi="ar"/>
              </w:rPr>
              <w:t>990000</w:t>
            </w:r>
          </w:p>
        </w:tc>
        <w:tc>
          <w:tcPr>
            <w:tcW w:w="17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223E5D">
            <w:pPr>
              <w:widowControl/>
              <w:jc w:val="center"/>
              <w:textAlignment w:val="center"/>
              <w:rPr>
                <w:rFonts w:hint="default" w:cs="宋体"/>
                <w:color w:val="000000"/>
                <w:sz w:val="18"/>
                <w:szCs w:val="18"/>
              </w:rPr>
            </w:pPr>
            <w:r>
              <w:rPr>
                <w:rFonts w:hint="default" w:cs="宋体"/>
                <w:color w:val="000000"/>
                <w:sz w:val="18"/>
                <w:szCs w:val="18"/>
                <w:lang w:bidi="ar"/>
              </w:rPr>
              <w:t>100%</w:t>
            </w:r>
          </w:p>
        </w:tc>
      </w:tr>
      <w:tr w14:paraId="6AD6F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167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3D61500">
            <w:pPr>
              <w:jc w:val="center"/>
              <w:rPr>
                <w:rFonts w:hint="default" w:cs="宋体"/>
                <w:color w:val="000000"/>
                <w:sz w:val="18"/>
                <w:szCs w:val="18"/>
              </w:rPr>
            </w:pPr>
          </w:p>
        </w:tc>
        <w:tc>
          <w:tcPr>
            <w:tcW w:w="22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A79556">
            <w:pPr>
              <w:widowControl/>
              <w:textAlignment w:val="center"/>
              <w:rPr>
                <w:rFonts w:hint="default" w:cs="宋体"/>
                <w:color w:val="000000"/>
                <w:sz w:val="18"/>
                <w:szCs w:val="18"/>
              </w:rPr>
            </w:pPr>
            <w:r>
              <w:rPr>
                <w:rFonts w:hint="default" w:cs="宋体"/>
                <w:color w:val="000000"/>
                <w:sz w:val="18"/>
                <w:szCs w:val="18"/>
                <w:lang w:bidi="ar"/>
              </w:rPr>
              <w:t>（一）财政拨款小计</w:t>
            </w:r>
          </w:p>
        </w:tc>
        <w:tc>
          <w:tcPr>
            <w:tcW w:w="223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13DF8D">
            <w:pPr>
              <w:widowControl/>
              <w:jc w:val="center"/>
              <w:textAlignment w:val="center"/>
              <w:rPr>
                <w:rFonts w:hint="default" w:cs="宋体"/>
                <w:color w:val="000000"/>
                <w:sz w:val="18"/>
                <w:szCs w:val="18"/>
              </w:rPr>
            </w:pPr>
            <w:r>
              <w:rPr>
                <w:rFonts w:hint="default" w:cs="宋体"/>
                <w:color w:val="000000"/>
                <w:sz w:val="18"/>
                <w:szCs w:val="18"/>
                <w:lang w:bidi="ar"/>
              </w:rPr>
              <w:t>990000</w:t>
            </w:r>
          </w:p>
        </w:tc>
        <w:tc>
          <w:tcPr>
            <w:tcW w:w="15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C3E043">
            <w:pPr>
              <w:widowControl/>
              <w:jc w:val="center"/>
              <w:textAlignment w:val="center"/>
              <w:rPr>
                <w:rFonts w:hint="default" w:cs="宋体"/>
                <w:color w:val="000000"/>
                <w:sz w:val="18"/>
                <w:szCs w:val="18"/>
              </w:rPr>
            </w:pPr>
            <w:r>
              <w:rPr>
                <w:rFonts w:hint="default" w:cs="宋体"/>
                <w:color w:val="000000"/>
                <w:sz w:val="18"/>
                <w:szCs w:val="18"/>
                <w:lang w:bidi="ar"/>
              </w:rPr>
              <w:t>990000</w:t>
            </w:r>
          </w:p>
        </w:tc>
        <w:tc>
          <w:tcPr>
            <w:tcW w:w="18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3073C4">
            <w:pPr>
              <w:widowControl/>
              <w:jc w:val="center"/>
              <w:textAlignment w:val="center"/>
              <w:rPr>
                <w:rFonts w:hint="default" w:cs="宋体"/>
                <w:color w:val="000000"/>
                <w:sz w:val="18"/>
                <w:szCs w:val="18"/>
              </w:rPr>
            </w:pPr>
            <w:r>
              <w:rPr>
                <w:rFonts w:hint="default" w:cs="宋体"/>
                <w:color w:val="000000"/>
                <w:sz w:val="18"/>
                <w:szCs w:val="18"/>
                <w:lang w:bidi="ar"/>
              </w:rPr>
              <w:t>990000</w:t>
            </w:r>
          </w:p>
        </w:tc>
        <w:tc>
          <w:tcPr>
            <w:tcW w:w="17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DB1D18">
            <w:pPr>
              <w:widowControl/>
              <w:jc w:val="center"/>
              <w:textAlignment w:val="center"/>
              <w:rPr>
                <w:rFonts w:hint="default" w:cs="宋体"/>
                <w:color w:val="000000"/>
                <w:sz w:val="18"/>
                <w:szCs w:val="18"/>
              </w:rPr>
            </w:pPr>
            <w:r>
              <w:rPr>
                <w:rFonts w:hint="default" w:cs="宋体"/>
                <w:color w:val="000000"/>
                <w:sz w:val="18"/>
                <w:szCs w:val="18"/>
                <w:lang w:bidi="ar"/>
              </w:rPr>
              <w:t>100%</w:t>
            </w:r>
          </w:p>
        </w:tc>
      </w:tr>
      <w:tr w14:paraId="34E13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167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5D63F0F">
            <w:pPr>
              <w:jc w:val="center"/>
              <w:rPr>
                <w:rFonts w:hint="default" w:cs="宋体"/>
                <w:color w:val="000000"/>
                <w:sz w:val="18"/>
                <w:szCs w:val="18"/>
              </w:rPr>
            </w:pPr>
          </w:p>
        </w:tc>
        <w:tc>
          <w:tcPr>
            <w:tcW w:w="22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6C7B93">
            <w:pPr>
              <w:widowControl/>
              <w:textAlignment w:val="center"/>
              <w:rPr>
                <w:rFonts w:hint="default" w:cs="宋体"/>
                <w:color w:val="000000"/>
                <w:sz w:val="18"/>
                <w:szCs w:val="18"/>
              </w:rPr>
            </w:pPr>
            <w:r>
              <w:rPr>
                <w:rFonts w:hint="default" w:cs="宋体"/>
                <w:color w:val="000000"/>
                <w:sz w:val="18"/>
                <w:szCs w:val="18"/>
                <w:lang w:bidi="ar"/>
              </w:rPr>
              <w:t xml:space="preserve">   1.一般公共预算</w:t>
            </w:r>
          </w:p>
        </w:tc>
        <w:tc>
          <w:tcPr>
            <w:tcW w:w="223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F3496D">
            <w:pPr>
              <w:widowControl/>
              <w:jc w:val="center"/>
              <w:textAlignment w:val="center"/>
              <w:rPr>
                <w:rFonts w:hint="default" w:cs="宋体"/>
                <w:color w:val="000000"/>
                <w:sz w:val="18"/>
                <w:szCs w:val="18"/>
              </w:rPr>
            </w:pPr>
            <w:r>
              <w:rPr>
                <w:rFonts w:hint="default" w:cs="宋体"/>
                <w:color w:val="000000"/>
                <w:sz w:val="18"/>
                <w:szCs w:val="18"/>
                <w:lang w:bidi="ar"/>
              </w:rPr>
              <w:t>990000</w:t>
            </w:r>
          </w:p>
        </w:tc>
        <w:tc>
          <w:tcPr>
            <w:tcW w:w="15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679F9D">
            <w:pPr>
              <w:widowControl/>
              <w:jc w:val="center"/>
              <w:textAlignment w:val="center"/>
              <w:rPr>
                <w:rFonts w:hint="default" w:cs="宋体"/>
                <w:color w:val="000000"/>
                <w:sz w:val="18"/>
                <w:szCs w:val="18"/>
              </w:rPr>
            </w:pPr>
            <w:r>
              <w:rPr>
                <w:rFonts w:hint="default" w:cs="宋体"/>
                <w:color w:val="000000"/>
                <w:sz w:val="18"/>
                <w:szCs w:val="18"/>
                <w:lang w:bidi="ar"/>
              </w:rPr>
              <w:t>990000</w:t>
            </w:r>
          </w:p>
        </w:tc>
        <w:tc>
          <w:tcPr>
            <w:tcW w:w="18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5D1CF6">
            <w:pPr>
              <w:widowControl/>
              <w:jc w:val="center"/>
              <w:textAlignment w:val="center"/>
              <w:rPr>
                <w:rFonts w:hint="default" w:cs="宋体"/>
                <w:color w:val="000000"/>
                <w:sz w:val="18"/>
                <w:szCs w:val="18"/>
              </w:rPr>
            </w:pPr>
            <w:r>
              <w:rPr>
                <w:rFonts w:hint="default" w:cs="宋体"/>
                <w:color w:val="000000"/>
                <w:sz w:val="18"/>
                <w:szCs w:val="18"/>
                <w:lang w:bidi="ar"/>
              </w:rPr>
              <w:t>990000</w:t>
            </w:r>
          </w:p>
        </w:tc>
        <w:tc>
          <w:tcPr>
            <w:tcW w:w="17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B0850F">
            <w:pPr>
              <w:widowControl/>
              <w:jc w:val="center"/>
              <w:textAlignment w:val="center"/>
              <w:rPr>
                <w:rFonts w:hint="default" w:cs="宋体"/>
                <w:color w:val="000000"/>
                <w:sz w:val="18"/>
                <w:szCs w:val="18"/>
              </w:rPr>
            </w:pPr>
            <w:r>
              <w:rPr>
                <w:rFonts w:hint="default" w:cs="宋体"/>
                <w:color w:val="000000"/>
                <w:sz w:val="18"/>
                <w:szCs w:val="18"/>
                <w:lang w:bidi="ar"/>
              </w:rPr>
              <w:t>100%</w:t>
            </w:r>
          </w:p>
        </w:tc>
      </w:tr>
      <w:tr w14:paraId="138903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167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95AC854">
            <w:pPr>
              <w:jc w:val="center"/>
              <w:rPr>
                <w:rFonts w:hint="default" w:cs="宋体"/>
                <w:color w:val="000000"/>
                <w:sz w:val="18"/>
                <w:szCs w:val="18"/>
              </w:rPr>
            </w:pPr>
          </w:p>
        </w:tc>
        <w:tc>
          <w:tcPr>
            <w:tcW w:w="22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3248DC">
            <w:pPr>
              <w:widowControl/>
              <w:textAlignment w:val="center"/>
              <w:rPr>
                <w:rFonts w:hint="default" w:cs="宋体"/>
                <w:color w:val="000000"/>
                <w:sz w:val="18"/>
                <w:szCs w:val="18"/>
              </w:rPr>
            </w:pPr>
            <w:r>
              <w:rPr>
                <w:rFonts w:hint="default" w:cs="宋体"/>
                <w:color w:val="000000"/>
                <w:sz w:val="18"/>
                <w:szCs w:val="18"/>
                <w:lang w:bidi="ar"/>
              </w:rPr>
              <w:t xml:space="preserve">   2.政府性基金</w:t>
            </w:r>
          </w:p>
        </w:tc>
        <w:tc>
          <w:tcPr>
            <w:tcW w:w="223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C6B972">
            <w:pPr>
              <w:rPr>
                <w:rFonts w:hint="default" w:cs="宋体"/>
                <w:color w:val="000000"/>
                <w:sz w:val="18"/>
                <w:szCs w:val="18"/>
              </w:rPr>
            </w:pPr>
          </w:p>
        </w:tc>
        <w:tc>
          <w:tcPr>
            <w:tcW w:w="15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026FC8">
            <w:pPr>
              <w:jc w:val="center"/>
              <w:rPr>
                <w:rFonts w:hint="default" w:cs="宋体"/>
                <w:color w:val="000000"/>
                <w:sz w:val="18"/>
                <w:szCs w:val="18"/>
              </w:rPr>
            </w:pPr>
          </w:p>
        </w:tc>
        <w:tc>
          <w:tcPr>
            <w:tcW w:w="18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AD2AD3">
            <w:pPr>
              <w:jc w:val="center"/>
              <w:rPr>
                <w:rFonts w:hint="default" w:cs="宋体"/>
                <w:color w:val="000000"/>
                <w:sz w:val="18"/>
                <w:szCs w:val="18"/>
              </w:rPr>
            </w:pPr>
          </w:p>
        </w:tc>
        <w:tc>
          <w:tcPr>
            <w:tcW w:w="17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C93C89">
            <w:pPr>
              <w:jc w:val="center"/>
              <w:rPr>
                <w:rFonts w:hint="default" w:cs="宋体"/>
                <w:color w:val="000000"/>
                <w:sz w:val="18"/>
                <w:szCs w:val="18"/>
              </w:rPr>
            </w:pPr>
          </w:p>
        </w:tc>
      </w:tr>
      <w:tr w14:paraId="36A50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167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3E4A8B4">
            <w:pPr>
              <w:jc w:val="center"/>
              <w:rPr>
                <w:rFonts w:hint="default" w:cs="宋体"/>
                <w:color w:val="000000"/>
                <w:sz w:val="18"/>
                <w:szCs w:val="18"/>
              </w:rPr>
            </w:pPr>
          </w:p>
        </w:tc>
        <w:tc>
          <w:tcPr>
            <w:tcW w:w="22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880A29">
            <w:pPr>
              <w:widowControl/>
              <w:textAlignment w:val="center"/>
              <w:rPr>
                <w:rFonts w:hint="default" w:cs="宋体"/>
                <w:color w:val="000000"/>
                <w:sz w:val="18"/>
                <w:szCs w:val="18"/>
              </w:rPr>
            </w:pPr>
            <w:r>
              <w:rPr>
                <w:rFonts w:hint="default" w:cs="宋体"/>
                <w:color w:val="000000"/>
                <w:sz w:val="18"/>
                <w:szCs w:val="18"/>
                <w:lang w:bidi="ar"/>
              </w:rPr>
              <w:t xml:space="preserve">   3.国有资本经营预算</w:t>
            </w:r>
          </w:p>
        </w:tc>
        <w:tc>
          <w:tcPr>
            <w:tcW w:w="223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361B2F">
            <w:pPr>
              <w:rPr>
                <w:rFonts w:hint="default" w:cs="宋体"/>
                <w:color w:val="000000"/>
                <w:sz w:val="18"/>
                <w:szCs w:val="18"/>
              </w:rPr>
            </w:pPr>
          </w:p>
        </w:tc>
        <w:tc>
          <w:tcPr>
            <w:tcW w:w="15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5C5D6E">
            <w:pPr>
              <w:jc w:val="center"/>
              <w:rPr>
                <w:rFonts w:hint="default" w:cs="宋体"/>
                <w:color w:val="000000"/>
                <w:sz w:val="18"/>
                <w:szCs w:val="18"/>
              </w:rPr>
            </w:pPr>
          </w:p>
        </w:tc>
        <w:tc>
          <w:tcPr>
            <w:tcW w:w="18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E7C71C">
            <w:pPr>
              <w:jc w:val="center"/>
              <w:rPr>
                <w:rFonts w:hint="default" w:cs="宋体"/>
                <w:color w:val="000000"/>
                <w:sz w:val="18"/>
                <w:szCs w:val="18"/>
              </w:rPr>
            </w:pPr>
          </w:p>
        </w:tc>
        <w:tc>
          <w:tcPr>
            <w:tcW w:w="17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5C611F">
            <w:pPr>
              <w:jc w:val="center"/>
              <w:rPr>
                <w:rFonts w:hint="default" w:cs="宋体"/>
                <w:color w:val="000000"/>
                <w:sz w:val="18"/>
                <w:szCs w:val="18"/>
              </w:rPr>
            </w:pPr>
          </w:p>
        </w:tc>
      </w:tr>
      <w:tr w14:paraId="4739A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167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F5AE236">
            <w:pPr>
              <w:jc w:val="center"/>
              <w:rPr>
                <w:rFonts w:hint="default" w:cs="宋体"/>
                <w:color w:val="000000"/>
                <w:sz w:val="18"/>
                <w:szCs w:val="18"/>
              </w:rPr>
            </w:pPr>
          </w:p>
        </w:tc>
        <w:tc>
          <w:tcPr>
            <w:tcW w:w="22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440AD8">
            <w:pPr>
              <w:widowControl/>
              <w:textAlignment w:val="center"/>
              <w:rPr>
                <w:rFonts w:hint="default" w:cs="宋体"/>
                <w:color w:val="000000"/>
                <w:sz w:val="18"/>
                <w:szCs w:val="18"/>
              </w:rPr>
            </w:pPr>
            <w:r>
              <w:rPr>
                <w:rFonts w:hint="default" w:cs="宋体"/>
                <w:color w:val="000000"/>
                <w:sz w:val="18"/>
                <w:szCs w:val="18"/>
                <w:lang w:bidi="ar"/>
              </w:rPr>
              <w:t>（二）其他资金</w:t>
            </w:r>
          </w:p>
        </w:tc>
        <w:tc>
          <w:tcPr>
            <w:tcW w:w="223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A1CA7B">
            <w:pPr>
              <w:rPr>
                <w:rFonts w:hint="default" w:cs="宋体"/>
                <w:color w:val="000000"/>
                <w:sz w:val="18"/>
                <w:szCs w:val="18"/>
              </w:rPr>
            </w:pPr>
          </w:p>
        </w:tc>
        <w:tc>
          <w:tcPr>
            <w:tcW w:w="15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EDBEA0">
            <w:pPr>
              <w:jc w:val="center"/>
              <w:rPr>
                <w:rFonts w:hint="default" w:cs="宋体"/>
                <w:color w:val="000000"/>
                <w:sz w:val="18"/>
                <w:szCs w:val="18"/>
              </w:rPr>
            </w:pPr>
          </w:p>
        </w:tc>
        <w:tc>
          <w:tcPr>
            <w:tcW w:w="18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AFF11D">
            <w:pPr>
              <w:jc w:val="center"/>
              <w:rPr>
                <w:rFonts w:hint="default" w:cs="宋体"/>
                <w:color w:val="000000"/>
                <w:sz w:val="18"/>
                <w:szCs w:val="18"/>
              </w:rPr>
            </w:pPr>
          </w:p>
        </w:tc>
        <w:tc>
          <w:tcPr>
            <w:tcW w:w="17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283A20">
            <w:pPr>
              <w:jc w:val="center"/>
              <w:rPr>
                <w:rFonts w:hint="default" w:cs="宋体"/>
                <w:color w:val="000000"/>
                <w:sz w:val="18"/>
                <w:szCs w:val="18"/>
              </w:rPr>
            </w:pPr>
          </w:p>
        </w:tc>
      </w:tr>
      <w:tr w14:paraId="1396F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872"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284944">
            <w:pPr>
              <w:widowControl/>
              <w:jc w:val="center"/>
              <w:textAlignment w:val="center"/>
              <w:rPr>
                <w:rFonts w:hint="default" w:cs="宋体"/>
                <w:color w:val="000000"/>
                <w:sz w:val="18"/>
                <w:szCs w:val="18"/>
              </w:rPr>
            </w:pPr>
            <w:r>
              <w:rPr>
                <w:rFonts w:hint="default" w:cs="宋体"/>
                <w:color w:val="000000"/>
                <w:sz w:val="18"/>
                <w:szCs w:val="18"/>
                <w:lang w:bidi="ar"/>
              </w:rPr>
              <w:t>年度总体目标</w:t>
            </w:r>
          </w:p>
        </w:tc>
        <w:tc>
          <w:tcPr>
            <w:tcW w:w="5273"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951518">
            <w:pPr>
              <w:widowControl/>
              <w:jc w:val="center"/>
              <w:textAlignment w:val="center"/>
              <w:rPr>
                <w:rFonts w:hint="default" w:cs="宋体"/>
                <w:color w:val="000000"/>
                <w:sz w:val="18"/>
                <w:szCs w:val="18"/>
              </w:rPr>
            </w:pPr>
            <w:r>
              <w:rPr>
                <w:rFonts w:hint="default" w:cs="宋体"/>
                <w:color w:val="000000"/>
                <w:sz w:val="18"/>
                <w:szCs w:val="18"/>
                <w:lang w:bidi="ar"/>
              </w:rPr>
              <w:t>预期目标</w:t>
            </w:r>
          </w:p>
        </w:tc>
        <w:tc>
          <w:tcPr>
            <w:tcW w:w="5095"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36FD88">
            <w:pPr>
              <w:widowControl/>
              <w:jc w:val="center"/>
              <w:textAlignment w:val="center"/>
              <w:rPr>
                <w:rFonts w:hint="default" w:cs="宋体"/>
                <w:color w:val="000000"/>
                <w:sz w:val="18"/>
                <w:szCs w:val="18"/>
              </w:rPr>
            </w:pPr>
            <w:r>
              <w:rPr>
                <w:rFonts w:hint="default" w:cs="宋体"/>
                <w:color w:val="000000"/>
                <w:sz w:val="18"/>
                <w:szCs w:val="18"/>
                <w:lang w:bidi="ar"/>
              </w:rPr>
              <w:t>全年实际完成情况</w:t>
            </w:r>
          </w:p>
        </w:tc>
      </w:tr>
      <w:tr w14:paraId="557F2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3" w:hRule="atLeast"/>
        </w:trPr>
        <w:tc>
          <w:tcPr>
            <w:tcW w:w="87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AD83AB">
            <w:pPr>
              <w:jc w:val="center"/>
              <w:rPr>
                <w:rFonts w:hint="default" w:cs="宋体"/>
                <w:color w:val="000000"/>
                <w:sz w:val="18"/>
                <w:szCs w:val="18"/>
              </w:rPr>
            </w:pPr>
          </w:p>
        </w:tc>
        <w:tc>
          <w:tcPr>
            <w:tcW w:w="5273"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988B4F">
            <w:pPr>
              <w:widowControl/>
              <w:textAlignment w:val="center"/>
              <w:rPr>
                <w:rFonts w:hint="default" w:cs="宋体"/>
                <w:color w:val="000000"/>
                <w:sz w:val="18"/>
                <w:szCs w:val="18"/>
              </w:rPr>
            </w:pPr>
            <w:r>
              <w:rPr>
                <w:rFonts w:hint="default" w:cs="宋体"/>
                <w:color w:val="000000"/>
                <w:sz w:val="18"/>
                <w:szCs w:val="18"/>
                <w:lang w:bidi="ar"/>
              </w:rPr>
              <w:t>加强基层组织建设，提高公共运行服务保障水平和社会治理能力，按照《广元市昭化区基层活动和公共服务运行经费使用管理办法》具体实施。项目资金主要用于维护森林防火哨卡4个，镇辖区内所有村社区的垃圾清运计划每月1次，13个村园林绿化村道路两旁种植花草，13个村动物防疫村防员补助支出，15个村社区基础设施维护维修支出。服务对象覆盖13个村2个社区、77个村民小组17246人。群众满意度达到95%以上。</w:t>
            </w:r>
          </w:p>
        </w:tc>
        <w:tc>
          <w:tcPr>
            <w:tcW w:w="5095"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3B1C81">
            <w:pPr>
              <w:widowControl/>
              <w:textAlignment w:val="center"/>
              <w:rPr>
                <w:rFonts w:hint="default" w:cs="宋体"/>
                <w:color w:val="000000"/>
                <w:sz w:val="18"/>
                <w:szCs w:val="18"/>
              </w:rPr>
            </w:pPr>
            <w:r>
              <w:rPr>
                <w:rFonts w:hint="default" w:cs="宋体"/>
                <w:color w:val="000000"/>
                <w:sz w:val="18"/>
                <w:szCs w:val="18"/>
                <w:lang w:bidi="ar"/>
              </w:rPr>
              <w:t>加强基层组织建设，提高公共运行服务保障水平和社会治理能力，按照《广元市昭化区基层活动和公共服务运行经费使用管理办法》具体实施。全年垃圾清运不少于800次，村道路两旁栽植花草不少于3处，村内道路基础设施维护12处，水利基础设施维修维护不少于8处，维持15个村（社区）日常办公运转，服务对象覆盖镇域13个村2个社区77个村民小组17246人，群众满意度95%以上。</w:t>
            </w:r>
          </w:p>
        </w:tc>
      </w:tr>
      <w:tr w14:paraId="1D015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872"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418395">
            <w:pPr>
              <w:widowControl/>
              <w:jc w:val="center"/>
              <w:textAlignment w:val="center"/>
              <w:rPr>
                <w:rFonts w:hint="default" w:cs="宋体"/>
                <w:color w:val="000000"/>
                <w:sz w:val="18"/>
                <w:szCs w:val="18"/>
              </w:rPr>
            </w:pPr>
            <w:r>
              <w:rPr>
                <w:rFonts w:hint="default" w:cs="宋体"/>
                <w:color w:val="000000"/>
                <w:sz w:val="18"/>
                <w:szCs w:val="18"/>
                <w:lang w:bidi="ar"/>
              </w:rPr>
              <w:t>绩效</w:t>
            </w:r>
            <w:r>
              <w:rPr>
                <w:rFonts w:hint="default" w:cs="宋体"/>
                <w:color w:val="000000"/>
                <w:sz w:val="18"/>
                <w:szCs w:val="18"/>
                <w:lang w:bidi="ar"/>
              </w:rPr>
              <w:br w:type="textWrapping"/>
            </w:r>
            <w:r>
              <w:rPr>
                <w:rFonts w:hint="default" w:cs="宋体"/>
                <w:color w:val="000000"/>
                <w:sz w:val="18"/>
                <w:szCs w:val="18"/>
                <w:lang w:bidi="ar"/>
              </w:rPr>
              <w:t>指标</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3CF740">
            <w:pPr>
              <w:widowControl/>
              <w:jc w:val="center"/>
              <w:textAlignment w:val="center"/>
              <w:rPr>
                <w:rFonts w:hint="default" w:cs="宋体"/>
                <w:color w:val="000000"/>
                <w:sz w:val="18"/>
                <w:szCs w:val="18"/>
              </w:rPr>
            </w:pPr>
            <w:r>
              <w:rPr>
                <w:rFonts w:hint="default" w:cs="宋体"/>
                <w:color w:val="000000"/>
                <w:sz w:val="18"/>
                <w:szCs w:val="18"/>
                <w:lang w:bidi="ar"/>
              </w:rPr>
              <w:t>一级指标</w:t>
            </w:r>
          </w:p>
        </w:tc>
        <w:tc>
          <w:tcPr>
            <w:tcW w:w="116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CB0D0F">
            <w:pPr>
              <w:widowControl/>
              <w:jc w:val="center"/>
              <w:textAlignment w:val="center"/>
              <w:rPr>
                <w:rFonts w:hint="default" w:cs="宋体"/>
                <w:color w:val="000000"/>
                <w:sz w:val="18"/>
                <w:szCs w:val="18"/>
              </w:rPr>
            </w:pPr>
            <w:r>
              <w:rPr>
                <w:rFonts w:hint="default" w:cs="宋体"/>
                <w:color w:val="000000"/>
                <w:sz w:val="18"/>
                <w:szCs w:val="18"/>
                <w:lang w:bidi="ar"/>
              </w:rPr>
              <w:t>二级指标</w:t>
            </w:r>
          </w:p>
        </w:tc>
        <w:tc>
          <w:tcPr>
            <w:tcW w:w="3307"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53AC74">
            <w:pPr>
              <w:widowControl/>
              <w:jc w:val="center"/>
              <w:textAlignment w:val="center"/>
              <w:rPr>
                <w:rFonts w:hint="default" w:cs="宋体"/>
                <w:color w:val="000000"/>
                <w:sz w:val="18"/>
                <w:szCs w:val="18"/>
              </w:rPr>
            </w:pPr>
            <w:r>
              <w:rPr>
                <w:rFonts w:hint="default" w:cs="宋体"/>
                <w:color w:val="000000"/>
                <w:sz w:val="18"/>
                <w:szCs w:val="18"/>
                <w:lang w:bidi="ar"/>
              </w:rPr>
              <w:t>三级指标</w:t>
            </w:r>
          </w:p>
        </w:tc>
        <w:tc>
          <w:tcPr>
            <w:tcW w:w="15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6A776D">
            <w:pPr>
              <w:widowControl/>
              <w:jc w:val="center"/>
              <w:textAlignment w:val="center"/>
              <w:rPr>
                <w:rFonts w:hint="default" w:cs="宋体"/>
                <w:color w:val="000000"/>
                <w:sz w:val="18"/>
                <w:szCs w:val="18"/>
              </w:rPr>
            </w:pPr>
            <w:r>
              <w:rPr>
                <w:rFonts w:hint="default" w:cs="宋体"/>
                <w:color w:val="000000"/>
                <w:sz w:val="18"/>
                <w:szCs w:val="18"/>
                <w:lang w:bidi="ar"/>
              </w:rPr>
              <w:t>年度指标值</w:t>
            </w:r>
          </w:p>
        </w:tc>
        <w:tc>
          <w:tcPr>
            <w:tcW w:w="18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93DE1B">
            <w:pPr>
              <w:widowControl/>
              <w:jc w:val="center"/>
              <w:textAlignment w:val="center"/>
              <w:rPr>
                <w:rFonts w:hint="default" w:cs="宋体"/>
                <w:color w:val="000000"/>
                <w:sz w:val="18"/>
                <w:szCs w:val="18"/>
              </w:rPr>
            </w:pPr>
            <w:r>
              <w:rPr>
                <w:rFonts w:hint="default" w:cs="宋体"/>
                <w:color w:val="000000"/>
                <w:sz w:val="18"/>
                <w:szCs w:val="18"/>
                <w:lang w:bidi="ar"/>
              </w:rPr>
              <w:t>实际完成值</w:t>
            </w:r>
          </w:p>
        </w:tc>
        <w:tc>
          <w:tcPr>
            <w:tcW w:w="17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0D4112">
            <w:pPr>
              <w:widowControl/>
              <w:jc w:val="center"/>
              <w:textAlignment w:val="center"/>
              <w:rPr>
                <w:rFonts w:hint="default" w:cs="宋体"/>
                <w:color w:val="000000"/>
                <w:sz w:val="18"/>
                <w:szCs w:val="18"/>
              </w:rPr>
            </w:pPr>
            <w:r>
              <w:rPr>
                <w:rFonts w:hint="default" w:cs="宋体"/>
                <w:color w:val="000000"/>
                <w:sz w:val="18"/>
                <w:szCs w:val="18"/>
                <w:lang w:bidi="ar"/>
              </w:rPr>
              <w:t>偏差原因分析及改进措施</w:t>
            </w:r>
          </w:p>
        </w:tc>
      </w:tr>
      <w:tr w14:paraId="48CD7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87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D4ECBD">
            <w:pPr>
              <w:jc w:val="center"/>
              <w:rPr>
                <w:rFonts w:hint="default" w:cs="宋体"/>
                <w:color w:val="000000"/>
                <w:sz w:val="18"/>
                <w:szCs w:val="18"/>
              </w:rPr>
            </w:pPr>
          </w:p>
        </w:tc>
        <w:tc>
          <w:tcPr>
            <w:tcW w:w="804"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D5D503">
            <w:pPr>
              <w:widowControl/>
              <w:jc w:val="center"/>
              <w:textAlignment w:val="center"/>
              <w:rPr>
                <w:rFonts w:hint="default" w:cs="宋体"/>
                <w:color w:val="000000"/>
                <w:sz w:val="18"/>
                <w:szCs w:val="18"/>
              </w:rPr>
            </w:pPr>
            <w:r>
              <w:rPr>
                <w:rFonts w:hint="default" w:cs="宋体"/>
                <w:color w:val="000000"/>
                <w:sz w:val="18"/>
                <w:szCs w:val="18"/>
                <w:lang w:bidi="ar"/>
              </w:rPr>
              <w:t>产出指标</w:t>
            </w:r>
          </w:p>
        </w:tc>
        <w:tc>
          <w:tcPr>
            <w:tcW w:w="1162"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CB97FF">
            <w:pPr>
              <w:widowControl/>
              <w:jc w:val="center"/>
              <w:textAlignment w:val="center"/>
              <w:rPr>
                <w:rFonts w:hint="default" w:cs="宋体"/>
                <w:color w:val="000000"/>
                <w:sz w:val="18"/>
                <w:szCs w:val="18"/>
              </w:rPr>
            </w:pPr>
            <w:r>
              <w:rPr>
                <w:rFonts w:hint="default" w:cs="宋体"/>
                <w:color w:val="000000"/>
                <w:sz w:val="18"/>
                <w:szCs w:val="18"/>
                <w:lang w:bidi="ar"/>
              </w:rPr>
              <w:t>数量指标</w:t>
            </w:r>
          </w:p>
        </w:tc>
        <w:tc>
          <w:tcPr>
            <w:tcW w:w="3307"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8ABBA2">
            <w:pPr>
              <w:widowControl/>
              <w:textAlignment w:val="center"/>
              <w:rPr>
                <w:rFonts w:hint="default" w:cs="宋体"/>
                <w:color w:val="000000"/>
                <w:sz w:val="18"/>
                <w:szCs w:val="18"/>
              </w:rPr>
            </w:pPr>
            <w:r>
              <w:rPr>
                <w:rFonts w:hint="default" w:cs="宋体"/>
                <w:color w:val="000000"/>
                <w:sz w:val="18"/>
                <w:szCs w:val="18"/>
                <w:lang w:bidi="ar"/>
              </w:rPr>
              <w:t>保障村社区出行畅通，对村道路烂路维修</w:t>
            </w:r>
          </w:p>
        </w:tc>
        <w:tc>
          <w:tcPr>
            <w:tcW w:w="15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2E2CB0">
            <w:pPr>
              <w:widowControl/>
              <w:jc w:val="center"/>
              <w:textAlignment w:val="center"/>
              <w:rPr>
                <w:rFonts w:hint="default" w:cs="宋体"/>
                <w:color w:val="000000"/>
                <w:sz w:val="18"/>
                <w:szCs w:val="18"/>
              </w:rPr>
            </w:pPr>
            <w:r>
              <w:rPr>
                <w:rFonts w:hint="default" w:cs="宋体"/>
                <w:color w:val="000000"/>
                <w:sz w:val="18"/>
                <w:szCs w:val="18"/>
                <w:lang w:bidi="ar"/>
              </w:rPr>
              <w:t>1.5公里</w:t>
            </w:r>
          </w:p>
        </w:tc>
        <w:tc>
          <w:tcPr>
            <w:tcW w:w="18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2D9F16">
            <w:pPr>
              <w:widowControl/>
              <w:jc w:val="center"/>
              <w:textAlignment w:val="center"/>
              <w:rPr>
                <w:rFonts w:hint="default" w:cs="宋体"/>
                <w:color w:val="000000"/>
                <w:sz w:val="18"/>
                <w:szCs w:val="18"/>
              </w:rPr>
            </w:pPr>
            <w:r>
              <w:rPr>
                <w:rFonts w:hint="default" w:cs="宋体"/>
                <w:color w:val="000000"/>
                <w:sz w:val="18"/>
                <w:szCs w:val="18"/>
                <w:lang w:bidi="ar"/>
              </w:rPr>
              <w:t>1.5公里</w:t>
            </w:r>
          </w:p>
        </w:tc>
        <w:tc>
          <w:tcPr>
            <w:tcW w:w="17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A7A7CD">
            <w:pPr>
              <w:jc w:val="center"/>
              <w:rPr>
                <w:rFonts w:hint="default" w:cs="宋体"/>
                <w:color w:val="000000"/>
                <w:sz w:val="18"/>
                <w:szCs w:val="18"/>
              </w:rPr>
            </w:pPr>
          </w:p>
        </w:tc>
      </w:tr>
      <w:tr w14:paraId="609EA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87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410FD7">
            <w:pPr>
              <w:jc w:val="center"/>
              <w:rPr>
                <w:rFonts w:hint="default" w:cs="宋体"/>
                <w:color w:val="000000"/>
                <w:sz w:val="18"/>
                <w:szCs w:val="18"/>
              </w:rPr>
            </w:pPr>
          </w:p>
        </w:tc>
        <w:tc>
          <w:tcPr>
            <w:tcW w:w="80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DE3A23">
            <w:pPr>
              <w:jc w:val="center"/>
              <w:rPr>
                <w:rFonts w:hint="default" w:cs="宋体"/>
                <w:color w:val="000000"/>
                <w:sz w:val="18"/>
                <w:szCs w:val="18"/>
              </w:rPr>
            </w:pPr>
          </w:p>
        </w:tc>
        <w:tc>
          <w:tcPr>
            <w:tcW w:w="116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A23FCE">
            <w:pPr>
              <w:jc w:val="center"/>
              <w:rPr>
                <w:rFonts w:hint="default" w:cs="宋体"/>
                <w:color w:val="000000"/>
                <w:sz w:val="18"/>
                <w:szCs w:val="18"/>
              </w:rPr>
            </w:pPr>
          </w:p>
        </w:tc>
        <w:tc>
          <w:tcPr>
            <w:tcW w:w="3307"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21C242">
            <w:pPr>
              <w:widowControl/>
              <w:textAlignment w:val="center"/>
              <w:rPr>
                <w:rFonts w:hint="default" w:cs="宋体"/>
                <w:color w:val="000000"/>
                <w:sz w:val="18"/>
                <w:szCs w:val="18"/>
              </w:rPr>
            </w:pPr>
            <w:r>
              <w:rPr>
                <w:rFonts w:hint="default" w:cs="宋体"/>
                <w:color w:val="000000"/>
                <w:sz w:val="18"/>
                <w:szCs w:val="18"/>
                <w:lang w:bidi="ar"/>
              </w:rPr>
              <w:t>动植物防疫村防员补助个数</w:t>
            </w:r>
          </w:p>
        </w:tc>
        <w:tc>
          <w:tcPr>
            <w:tcW w:w="15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53FD3A">
            <w:pPr>
              <w:widowControl/>
              <w:jc w:val="center"/>
              <w:textAlignment w:val="center"/>
              <w:rPr>
                <w:rFonts w:hint="default" w:cs="宋体"/>
                <w:color w:val="000000"/>
                <w:sz w:val="18"/>
                <w:szCs w:val="18"/>
              </w:rPr>
            </w:pPr>
            <w:r>
              <w:rPr>
                <w:rFonts w:hint="default" w:cs="宋体"/>
                <w:color w:val="000000"/>
                <w:sz w:val="18"/>
                <w:szCs w:val="18"/>
                <w:lang w:bidi="ar"/>
              </w:rPr>
              <w:t>3个</w:t>
            </w:r>
          </w:p>
        </w:tc>
        <w:tc>
          <w:tcPr>
            <w:tcW w:w="18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326DF5">
            <w:pPr>
              <w:widowControl/>
              <w:jc w:val="center"/>
              <w:textAlignment w:val="center"/>
              <w:rPr>
                <w:rFonts w:hint="default" w:cs="宋体"/>
                <w:color w:val="000000"/>
                <w:sz w:val="18"/>
                <w:szCs w:val="18"/>
              </w:rPr>
            </w:pPr>
            <w:r>
              <w:rPr>
                <w:rFonts w:hint="default" w:cs="宋体"/>
                <w:color w:val="000000"/>
                <w:sz w:val="18"/>
                <w:szCs w:val="18"/>
                <w:lang w:bidi="ar"/>
              </w:rPr>
              <w:t>3个</w:t>
            </w:r>
          </w:p>
        </w:tc>
        <w:tc>
          <w:tcPr>
            <w:tcW w:w="17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29ABFE">
            <w:pPr>
              <w:jc w:val="center"/>
              <w:rPr>
                <w:rFonts w:hint="default" w:cs="宋体"/>
                <w:color w:val="000000"/>
                <w:sz w:val="18"/>
                <w:szCs w:val="18"/>
              </w:rPr>
            </w:pPr>
          </w:p>
        </w:tc>
      </w:tr>
      <w:tr w14:paraId="6A8F3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87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DEE4B1">
            <w:pPr>
              <w:jc w:val="center"/>
              <w:rPr>
                <w:rFonts w:hint="default" w:cs="宋体"/>
                <w:color w:val="000000"/>
                <w:sz w:val="18"/>
                <w:szCs w:val="18"/>
              </w:rPr>
            </w:pPr>
          </w:p>
        </w:tc>
        <w:tc>
          <w:tcPr>
            <w:tcW w:w="80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372DAF">
            <w:pPr>
              <w:jc w:val="center"/>
              <w:rPr>
                <w:rFonts w:hint="default" w:cs="宋体"/>
                <w:color w:val="000000"/>
                <w:sz w:val="18"/>
                <w:szCs w:val="18"/>
              </w:rPr>
            </w:pPr>
          </w:p>
        </w:tc>
        <w:tc>
          <w:tcPr>
            <w:tcW w:w="116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2C7D14">
            <w:pPr>
              <w:jc w:val="center"/>
              <w:rPr>
                <w:rFonts w:hint="default" w:cs="宋体"/>
                <w:color w:val="000000"/>
                <w:sz w:val="18"/>
                <w:szCs w:val="18"/>
              </w:rPr>
            </w:pPr>
          </w:p>
        </w:tc>
        <w:tc>
          <w:tcPr>
            <w:tcW w:w="3307"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BA8665">
            <w:pPr>
              <w:widowControl/>
              <w:textAlignment w:val="center"/>
              <w:rPr>
                <w:rFonts w:hint="default" w:cs="宋体"/>
                <w:color w:val="000000"/>
                <w:sz w:val="18"/>
                <w:szCs w:val="18"/>
              </w:rPr>
            </w:pPr>
            <w:r>
              <w:rPr>
                <w:rFonts w:hint="default" w:cs="宋体"/>
                <w:color w:val="000000"/>
                <w:sz w:val="18"/>
                <w:szCs w:val="18"/>
                <w:lang w:bidi="ar"/>
              </w:rPr>
              <w:t>全年垃圾清运次数</w:t>
            </w:r>
          </w:p>
        </w:tc>
        <w:tc>
          <w:tcPr>
            <w:tcW w:w="15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53DAF3">
            <w:pPr>
              <w:widowControl/>
              <w:jc w:val="center"/>
              <w:textAlignment w:val="center"/>
              <w:rPr>
                <w:rFonts w:hint="default" w:cs="宋体"/>
                <w:color w:val="000000"/>
                <w:sz w:val="18"/>
                <w:szCs w:val="18"/>
              </w:rPr>
            </w:pPr>
            <w:r>
              <w:rPr>
                <w:rFonts w:hint="default" w:cs="宋体"/>
                <w:color w:val="000000"/>
                <w:sz w:val="18"/>
                <w:szCs w:val="18"/>
                <w:lang w:bidi="ar"/>
              </w:rPr>
              <w:t>800次</w:t>
            </w:r>
          </w:p>
        </w:tc>
        <w:tc>
          <w:tcPr>
            <w:tcW w:w="18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0C8643">
            <w:pPr>
              <w:widowControl/>
              <w:jc w:val="center"/>
              <w:textAlignment w:val="center"/>
              <w:rPr>
                <w:rFonts w:hint="default" w:cs="宋体"/>
                <w:color w:val="000000"/>
                <w:sz w:val="18"/>
                <w:szCs w:val="18"/>
              </w:rPr>
            </w:pPr>
            <w:r>
              <w:rPr>
                <w:rFonts w:hint="default" w:cs="宋体"/>
                <w:color w:val="000000"/>
                <w:sz w:val="18"/>
                <w:szCs w:val="18"/>
                <w:lang w:bidi="ar"/>
              </w:rPr>
              <w:t>800次</w:t>
            </w:r>
          </w:p>
        </w:tc>
        <w:tc>
          <w:tcPr>
            <w:tcW w:w="17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32A7C5">
            <w:pPr>
              <w:jc w:val="center"/>
              <w:rPr>
                <w:rFonts w:hint="default" w:cs="宋体"/>
                <w:color w:val="000000"/>
                <w:sz w:val="18"/>
                <w:szCs w:val="18"/>
              </w:rPr>
            </w:pPr>
          </w:p>
        </w:tc>
      </w:tr>
      <w:tr w14:paraId="3880B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87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6A6AEA">
            <w:pPr>
              <w:jc w:val="center"/>
              <w:rPr>
                <w:rFonts w:hint="default" w:cs="宋体"/>
                <w:color w:val="000000"/>
                <w:sz w:val="18"/>
                <w:szCs w:val="18"/>
              </w:rPr>
            </w:pPr>
          </w:p>
        </w:tc>
        <w:tc>
          <w:tcPr>
            <w:tcW w:w="80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6064FF">
            <w:pPr>
              <w:jc w:val="center"/>
              <w:rPr>
                <w:rFonts w:hint="default" w:cs="宋体"/>
                <w:color w:val="000000"/>
                <w:sz w:val="18"/>
                <w:szCs w:val="18"/>
              </w:rPr>
            </w:pPr>
          </w:p>
        </w:tc>
        <w:tc>
          <w:tcPr>
            <w:tcW w:w="116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EA4D44">
            <w:pPr>
              <w:jc w:val="center"/>
              <w:rPr>
                <w:rFonts w:hint="default" w:cs="宋体"/>
                <w:color w:val="000000"/>
                <w:sz w:val="18"/>
                <w:szCs w:val="18"/>
              </w:rPr>
            </w:pPr>
          </w:p>
        </w:tc>
        <w:tc>
          <w:tcPr>
            <w:tcW w:w="3307"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69AB31">
            <w:pPr>
              <w:widowControl/>
              <w:textAlignment w:val="center"/>
              <w:rPr>
                <w:rFonts w:hint="default" w:cs="宋体"/>
                <w:color w:val="000000"/>
                <w:sz w:val="18"/>
                <w:szCs w:val="18"/>
              </w:rPr>
            </w:pPr>
            <w:r>
              <w:rPr>
                <w:rFonts w:hint="default" w:cs="宋体"/>
                <w:color w:val="000000"/>
                <w:sz w:val="18"/>
                <w:szCs w:val="18"/>
                <w:lang w:bidi="ar"/>
              </w:rPr>
              <w:t>山坪塘、渠系整治维护</w:t>
            </w:r>
          </w:p>
        </w:tc>
        <w:tc>
          <w:tcPr>
            <w:tcW w:w="15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353B39">
            <w:pPr>
              <w:widowControl/>
              <w:jc w:val="center"/>
              <w:textAlignment w:val="center"/>
              <w:rPr>
                <w:rFonts w:hint="default" w:cs="宋体"/>
                <w:color w:val="000000"/>
                <w:sz w:val="18"/>
                <w:szCs w:val="18"/>
              </w:rPr>
            </w:pPr>
            <w:r>
              <w:rPr>
                <w:rFonts w:hint="default" w:cs="宋体"/>
                <w:color w:val="000000"/>
                <w:sz w:val="18"/>
                <w:szCs w:val="18"/>
                <w:lang w:bidi="ar"/>
              </w:rPr>
              <w:t>11处</w:t>
            </w:r>
          </w:p>
        </w:tc>
        <w:tc>
          <w:tcPr>
            <w:tcW w:w="18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B9D138">
            <w:pPr>
              <w:widowControl/>
              <w:jc w:val="center"/>
              <w:textAlignment w:val="center"/>
              <w:rPr>
                <w:rFonts w:hint="default" w:cs="宋体"/>
                <w:color w:val="000000"/>
                <w:sz w:val="18"/>
                <w:szCs w:val="18"/>
              </w:rPr>
            </w:pPr>
            <w:r>
              <w:rPr>
                <w:rFonts w:hint="default" w:cs="宋体"/>
                <w:color w:val="000000"/>
                <w:sz w:val="18"/>
                <w:szCs w:val="18"/>
                <w:lang w:bidi="ar"/>
              </w:rPr>
              <w:t>11处</w:t>
            </w:r>
          </w:p>
        </w:tc>
        <w:tc>
          <w:tcPr>
            <w:tcW w:w="17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539EF4">
            <w:pPr>
              <w:jc w:val="center"/>
              <w:rPr>
                <w:rFonts w:hint="default" w:cs="宋体"/>
                <w:color w:val="000000"/>
                <w:sz w:val="18"/>
                <w:szCs w:val="18"/>
              </w:rPr>
            </w:pPr>
          </w:p>
        </w:tc>
      </w:tr>
      <w:tr w14:paraId="4A260F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87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A5E897">
            <w:pPr>
              <w:jc w:val="center"/>
              <w:rPr>
                <w:rFonts w:hint="default" w:cs="宋体"/>
                <w:color w:val="000000"/>
                <w:sz w:val="18"/>
                <w:szCs w:val="18"/>
              </w:rPr>
            </w:pPr>
          </w:p>
        </w:tc>
        <w:tc>
          <w:tcPr>
            <w:tcW w:w="80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FF8689">
            <w:pPr>
              <w:jc w:val="center"/>
              <w:rPr>
                <w:rFonts w:hint="default" w:cs="宋体"/>
                <w:color w:val="000000"/>
                <w:sz w:val="18"/>
                <w:szCs w:val="18"/>
              </w:rPr>
            </w:pPr>
          </w:p>
        </w:tc>
        <w:tc>
          <w:tcPr>
            <w:tcW w:w="116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3AFE8A">
            <w:pPr>
              <w:jc w:val="center"/>
              <w:rPr>
                <w:rFonts w:hint="default" w:cs="宋体"/>
                <w:color w:val="000000"/>
                <w:sz w:val="18"/>
                <w:szCs w:val="18"/>
              </w:rPr>
            </w:pPr>
          </w:p>
        </w:tc>
        <w:tc>
          <w:tcPr>
            <w:tcW w:w="3307"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174F62">
            <w:pPr>
              <w:widowControl/>
              <w:textAlignment w:val="center"/>
              <w:rPr>
                <w:rFonts w:hint="default" w:cs="宋体"/>
                <w:color w:val="000000"/>
                <w:sz w:val="18"/>
                <w:szCs w:val="18"/>
              </w:rPr>
            </w:pPr>
            <w:r>
              <w:rPr>
                <w:rFonts w:hint="default" w:cs="宋体"/>
                <w:color w:val="000000"/>
                <w:sz w:val="18"/>
                <w:szCs w:val="18"/>
                <w:lang w:bidi="ar"/>
              </w:rPr>
              <w:t>园林绿化面积</w:t>
            </w:r>
          </w:p>
        </w:tc>
        <w:tc>
          <w:tcPr>
            <w:tcW w:w="15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D072AA">
            <w:pPr>
              <w:widowControl/>
              <w:jc w:val="center"/>
              <w:textAlignment w:val="center"/>
              <w:rPr>
                <w:rFonts w:hint="default" w:cs="宋体"/>
                <w:color w:val="000000"/>
                <w:sz w:val="18"/>
                <w:szCs w:val="18"/>
              </w:rPr>
            </w:pPr>
            <w:r>
              <w:rPr>
                <w:rFonts w:hint="default" w:cs="宋体"/>
                <w:color w:val="000000"/>
                <w:sz w:val="18"/>
                <w:szCs w:val="18"/>
                <w:lang w:bidi="ar"/>
              </w:rPr>
              <w:t>≥2亩</w:t>
            </w:r>
          </w:p>
        </w:tc>
        <w:tc>
          <w:tcPr>
            <w:tcW w:w="18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8B7067">
            <w:pPr>
              <w:widowControl/>
              <w:jc w:val="center"/>
              <w:textAlignment w:val="center"/>
              <w:rPr>
                <w:rFonts w:hint="default" w:cs="宋体"/>
                <w:color w:val="000000"/>
                <w:sz w:val="18"/>
                <w:szCs w:val="18"/>
              </w:rPr>
            </w:pPr>
            <w:r>
              <w:rPr>
                <w:rFonts w:hint="default" w:cs="宋体"/>
                <w:color w:val="000000"/>
                <w:sz w:val="18"/>
                <w:szCs w:val="18"/>
                <w:lang w:bidi="ar"/>
              </w:rPr>
              <w:t>≥2亩</w:t>
            </w:r>
          </w:p>
        </w:tc>
        <w:tc>
          <w:tcPr>
            <w:tcW w:w="17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9C464D">
            <w:pPr>
              <w:jc w:val="center"/>
              <w:rPr>
                <w:rFonts w:hint="default" w:cs="宋体"/>
                <w:color w:val="000000"/>
                <w:sz w:val="18"/>
                <w:szCs w:val="18"/>
              </w:rPr>
            </w:pPr>
          </w:p>
        </w:tc>
      </w:tr>
      <w:tr w14:paraId="34CCB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87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55890B">
            <w:pPr>
              <w:jc w:val="center"/>
              <w:rPr>
                <w:rFonts w:hint="default" w:cs="宋体"/>
                <w:color w:val="000000"/>
                <w:sz w:val="18"/>
                <w:szCs w:val="18"/>
              </w:rPr>
            </w:pPr>
          </w:p>
        </w:tc>
        <w:tc>
          <w:tcPr>
            <w:tcW w:w="80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F6F85A">
            <w:pPr>
              <w:jc w:val="center"/>
              <w:rPr>
                <w:rFonts w:hint="default" w:cs="宋体"/>
                <w:color w:val="000000"/>
                <w:sz w:val="18"/>
                <w:szCs w:val="18"/>
              </w:rPr>
            </w:pPr>
          </w:p>
        </w:tc>
        <w:tc>
          <w:tcPr>
            <w:tcW w:w="116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304CCA">
            <w:pPr>
              <w:widowControl/>
              <w:jc w:val="center"/>
              <w:textAlignment w:val="center"/>
              <w:rPr>
                <w:rFonts w:hint="default" w:cs="宋体"/>
                <w:color w:val="000000"/>
                <w:sz w:val="18"/>
                <w:szCs w:val="18"/>
              </w:rPr>
            </w:pPr>
            <w:r>
              <w:rPr>
                <w:rFonts w:hint="default" w:cs="宋体"/>
                <w:color w:val="000000"/>
                <w:sz w:val="18"/>
                <w:szCs w:val="18"/>
                <w:lang w:bidi="ar"/>
              </w:rPr>
              <w:t>质量指标</w:t>
            </w:r>
          </w:p>
        </w:tc>
        <w:tc>
          <w:tcPr>
            <w:tcW w:w="3307"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CE47DD">
            <w:pPr>
              <w:widowControl/>
              <w:textAlignment w:val="center"/>
              <w:rPr>
                <w:rFonts w:hint="default" w:cs="宋体"/>
                <w:color w:val="000000"/>
                <w:sz w:val="18"/>
                <w:szCs w:val="18"/>
              </w:rPr>
            </w:pPr>
            <w:r>
              <w:rPr>
                <w:rFonts w:hint="default" w:cs="宋体"/>
                <w:color w:val="000000"/>
                <w:sz w:val="18"/>
                <w:szCs w:val="18"/>
                <w:lang w:bidi="ar"/>
              </w:rPr>
              <w:t>维护森林防火哨卡、维护园林绿化、环境卫生等合格率</w:t>
            </w:r>
          </w:p>
        </w:tc>
        <w:tc>
          <w:tcPr>
            <w:tcW w:w="15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64BE1F">
            <w:pPr>
              <w:widowControl/>
              <w:jc w:val="center"/>
              <w:textAlignment w:val="center"/>
              <w:rPr>
                <w:rFonts w:hint="default" w:cs="宋体"/>
                <w:color w:val="000000"/>
                <w:sz w:val="18"/>
                <w:szCs w:val="18"/>
              </w:rPr>
            </w:pPr>
            <w:r>
              <w:rPr>
                <w:rFonts w:hint="default" w:cs="宋体"/>
                <w:color w:val="000000"/>
                <w:sz w:val="18"/>
                <w:szCs w:val="18"/>
                <w:lang w:bidi="ar"/>
              </w:rPr>
              <w:t>100%</w:t>
            </w:r>
          </w:p>
        </w:tc>
        <w:tc>
          <w:tcPr>
            <w:tcW w:w="18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472692">
            <w:pPr>
              <w:widowControl/>
              <w:jc w:val="center"/>
              <w:textAlignment w:val="center"/>
              <w:rPr>
                <w:rFonts w:hint="default" w:cs="宋体"/>
                <w:color w:val="000000"/>
                <w:sz w:val="18"/>
                <w:szCs w:val="18"/>
              </w:rPr>
            </w:pPr>
            <w:r>
              <w:rPr>
                <w:rFonts w:hint="default" w:cs="宋体"/>
                <w:color w:val="000000"/>
                <w:sz w:val="18"/>
                <w:szCs w:val="18"/>
                <w:lang w:bidi="ar"/>
              </w:rPr>
              <w:t>100%</w:t>
            </w:r>
          </w:p>
        </w:tc>
        <w:tc>
          <w:tcPr>
            <w:tcW w:w="17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EF9DA7">
            <w:pPr>
              <w:jc w:val="center"/>
              <w:rPr>
                <w:rFonts w:hint="default" w:cs="宋体"/>
                <w:color w:val="000000"/>
                <w:sz w:val="18"/>
                <w:szCs w:val="18"/>
              </w:rPr>
            </w:pPr>
          </w:p>
        </w:tc>
      </w:tr>
      <w:tr w14:paraId="237BD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trPr>
        <w:tc>
          <w:tcPr>
            <w:tcW w:w="87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FA96B4">
            <w:pPr>
              <w:jc w:val="center"/>
              <w:rPr>
                <w:rFonts w:hint="default" w:cs="宋体"/>
                <w:color w:val="000000"/>
                <w:sz w:val="18"/>
                <w:szCs w:val="18"/>
              </w:rPr>
            </w:pPr>
          </w:p>
        </w:tc>
        <w:tc>
          <w:tcPr>
            <w:tcW w:w="80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40FF96">
            <w:pPr>
              <w:jc w:val="center"/>
              <w:rPr>
                <w:rFonts w:hint="default" w:cs="宋体"/>
                <w:color w:val="000000"/>
                <w:sz w:val="18"/>
                <w:szCs w:val="18"/>
              </w:rPr>
            </w:pPr>
          </w:p>
        </w:tc>
        <w:tc>
          <w:tcPr>
            <w:tcW w:w="116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7320F6">
            <w:pPr>
              <w:widowControl/>
              <w:jc w:val="center"/>
              <w:textAlignment w:val="center"/>
              <w:rPr>
                <w:rFonts w:hint="default" w:cs="宋体"/>
                <w:color w:val="000000"/>
                <w:sz w:val="18"/>
                <w:szCs w:val="18"/>
              </w:rPr>
            </w:pPr>
            <w:r>
              <w:rPr>
                <w:rFonts w:hint="default" w:cs="宋体"/>
                <w:color w:val="000000"/>
                <w:sz w:val="18"/>
                <w:szCs w:val="18"/>
                <w:lang w:bidi="ar"/>
              </w:rPr>
              <w:t>时效指标</w:t>
            </w:r>
          </w:p>
        </w:tc>
        <w:tc>
          <w:tcPr>
            <w:tcW w:w="3307"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1839BF">
            <w:pPr>
              <w:widowControl/>
              <w:textAlignment w:val="center"/>
              <w:rPr>
                <w:rFonts w:hint="default" w:cs="宋体"/>
                <w:color w:val="000000"/>
                <w:sz w:val="18"/>
                <w:szCs w:val="18"/>
              </w:rPr>
            </w:pPr>
            <w:r>
              <w:rPr>
                <w:rFonts w:hint="default" w:cs="宋体"/>
                <w:color w:val="000000"/>
                <w:sz w:val="18"/>
                <w:szCs w:val="18"/>
                <w:lang w:bidi="ar"/>
              </w:rPr>
              <w:t>项目实施时间为2023年1月1日</w:t>
            </w:r>
            <w:r>
              <w:rPr>
                <w:rFonts w:hint="eastAsia" w:cs="宋体"/>
                <w:color w:val="000000"/>
                <w:sz w:val="18"/>
                <w:szCs w:val="18"/>
                <w:lang w:eastAsia="zh-CN" w:bidi="ar"/>
              </w:rPr>
              <w:t>—</w:t>
            </w:r>
            <w:r>
              <w:rPr>
                <w:rFonts w:hint="default" w:cs="宋体"/>
                <w:color w:val="000000"/>
                <w:sz w:val="18"/>
                <w:szCs w:val="18"/>
                <w:lang w:bidi="ar"/>
              </w:rPr>
              <w:t>2023年12月31日止，项目支付时间为2023年1月1日</w:t>
            </w:r>
            <w:r>
              <w:rPr>
                <w:rFonts w:hint="eastAsia" w:cs="宋体"/>
                <w:color w:val="000000"/>
                <w:sz w:val="18"/>
                <w:szCs w:val="18"/>
                <w:lang w:eastAsia="zh-CN" w:bidi="ar"/>
              </w:rPr>
              <w:t>—</w:t>
            </w:r>
            <w:r>
              <w:rPr>
                <w:rFonts w:hint="default" w:cs="宋体"/>
                <w:color w:val="000000"/>
                <w:sz w:val="18"/>
                <w:szCs w:val="18"/>
                <w:lang w:bidi="ar"/>
              </w:rPr>
              <w:t>2024年12月31日止</w:t>
            </w:r>
          </w:p>
        </w:tc>
        <w:tc>
          <w:tcPr>
            <w:tcW w:w="15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F38779">
            <w:pPr>
              <w:widowControl/>
              <w:jc w:val="center"/>
              <w:textAlignment w:val="center"/>
              <w:rPr>
                <w:rFonts w:hint="default" w:cs="宋体"/>
                <w:color w:val="000000"/>
                <w:sz w:val="22"/>
                <w:szCs w:val="22"/>
              </w:rPr>
            </w:pPr>
            <w:r>
              <w:rPr>
                <w:rFonts w:hint="default" w:cs="宋体"/>
                <w:color w:val="000000"/>
                <w:sz w:val="22"/>
                <w:szCs w:val="22"/>
                <w:lang w:bidi="ar"/>
              </w:rPr>
              <w:t>≥1年</w:t>
            </w:r>
          </w:p>
        </w:tc>
        <w:tc>
          <w:tcPr>
            <w:tcW w:w="18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EFD562">
            <w:pPr>
              <w:widowControl/>
              <w:jc w:val="center"/>
              <w:textAlignment w:val="center"/>
              <w:rPr>
                <w:rFonts w:hint="default" w:cs="宋体"/>
                <w:color w:val="000000"/>
                <w:sz w:val="22"/>
                <w:szCs w:val="22"/>
              </w:rPr>
            </w:pPr>
            <w:r>
              <w:rPr>
                <w:rFonts w:hint="default" w:cs="宋体"/>
                <w:color w:val="000000"/>
                <w:sz w:val="22"/>
                <w:szCs w:val="22"/>
                <w:lang w:bidi="ar"/>
              </w:rPr>
              <w:t>≥1年</w:t>
            </w:r>
          </w:p>
        </w:tc>
        <w:tc>
          <w:tcPr>
            <w:tcW w:w="17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454CB8">
            <w:pPr>
              <w:jc w:val="center"/>
              <w:rPr>
                <w:rFonts w:hint="default" w:cs="宋体"/>
                <w:color w:val="000000"/>
                <w:sz w:val="18"/>
                <w:szCs w:val="18"/>
              </w:rPr>
            </w:pPr>
          </w:p>
        </w:tc>
      </w:tr>
      <w:tr w14:paraId="767BB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87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45B422">
            <w:pPr>
              <w:jc w:val="center"/>
              <w:rPr>
                <w:rFonts w:hint="default" w:cs="宋体"/>
                <w:color w:val="000000"/>
                <w:sz w:val="18"/>
                <w:szCs w:val="18"/>
              </w:rPr>
            </w:pPr>
          </w:p>
        </w:tc>
        <w:tc>
          <w:tcPr>
            <w:tcW w:w="80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831752">
            <w:pPr>
              <w:jc w:val="center"/>
              <w:rPr>
                <w:rFonts w:hint="default" w:cs="宋体"/>
                <w:color w:val="000000"/>
                <w:sz w:val="18"/>
                <w:szCs w:val="18"/>
              </w:rPr>
            </w:pPr>
          </w:p>
        </w:tc>
        <w:tc>
          <w:tcPr>
            <w:tcW w:w="1162"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0DF102">
            <w:pPr>
              <w:widowControl/>
              <w:jc w:val="center"/>
              <w:textAlignment w:val="center"/>
              <w:rPr>
                <w:rFonts w:hint="default" w:cs="宋体"/>
                <w:color w:val="000000"/>
                <w:sz w:val="18"/>
                <w:szCs w:val="18"/>
              </w:rPr>
            </w:pPr>
            <w:r>
              <w:rPr>
                <w:rFonts w:hint="default" w:cs="宋体"/>
                <w:color w:val="000000"/>
                <w:sz w:val="18"/>
                <w:szCs w:val="18"/>
                <w:lang w:bidi="ar"/>
              </w:rPr>
              <w:t>成本指标</w:t>
            </w:r>
          </w:p>
        </w:tc>
        <w:tc>
          <w:tcPr>
            <w:tcW w:w="3307"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A146A3">
            <w:pPr>
              <w:widowControl/>
              <w:textAlignment w:val="center"/>
              <w:rPr>
                <w:rFonts w:hint="default" w:cs="宋体"/>
                <w:color w:val="000000"/>
                <w:sz w:val="18"/>
                <w:szCs w:val="18"/>
              </w:rPr>
            </w:pPr>
            <w:r>
              <w:rPr>
                <w:rFonts w:hint="default" w:cs="宋体"/>
                <w:color w:val="000000"/>
                <w:sz w:val="18"/>
                <w:szCs w:val="18"/>
                <w:lang w:bidi="ar"/>
              </w:rPr>
              <w:t>动物防疫员全年人员工资年初预算控制数</w:t>
            </w:r>
          </w:p>
        </w:tc>
        <w:tc>
          <w:tcPr>
            <w:tcW w:w="15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368843">
            <w:pPr>
              <w:widowControl/>
              <w:jc w:val="center"/>
              <w:textAlignment w:val="center"/>
              <w:rPr>
                <w:rFonts w:hint="default" w:cs="宋体"/>
                <w:color w:val="000000"/>
                <w:sz w:val="18"/>
                <w:szCs w:val="18"/>
              </w:rPr>
            </w:pPr>
            <w:r>
              <w:rPr>
                <w:rFonts w:hint="default" w:cs="宋体"/>
                <w:color w:val="000000"/>
                <w:sz w:val="18"/>
                <w:szCs w:val="18"/>
                <w:lang w:bidi="ar"/>
              </w:rPr>
              <w:t>≤12.06万元</w:t>
            </w:r>
          </w:p>
        </w:tc>
        <w:tc>
          <w:tcPr>
            <w:tcW w:w="18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BDE863">
            <w:pPr>
              <w:widowControl/>
              <w:jc w:val="center"/>
              <w:textAlignment w:val="center"/>
              <w:rPr>
                <w:rFonts w:hint="default" w:cs="宋体"/>
                <w:color w:val="000000"/>
                <w:sz w:val="18"/>
                <w:szCs w:val="18"/>
              </w:rPr>
            </w:pPr>
            <w:r>
              <w:rPr>
                <w:rFonts w:hint="default" w:cs="宋体"/>
                <w:color w:val="000000"/>
                <w:sz w:val="18"/>
                <w:szCs w:val="18"/>
                <w:lang w:bidi="ar"/>
              </w:rPr>
              <w:t>≤12.06万元</w:t>
            </w:r>
          </w:p>
        </w:tc>
        <w:tc>
          <w:tcPr>
            <w:tcW w:w="17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ADE29C">
            <w:pPr>
              <w:jc w:val="center"/>
              <w:rPr>
                <w:rFonts w:hint="default" w:cs="宋体"/>
                <w:color w:val="000000"/>
                <w:sz w:val="18"/>
                <w:szCs w:val="18"/>
              </w:rPr>
            </w:pPr>
          </w:p>
        </w:tc>
      </w:tr>
      <w:tr w14:paraId="4515D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87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94C557">
            <w:pPr>
              <w:jc w:val="center"/>
              <w:rPr>
                <w:rFonts w:hint="default" w:cs="宋体"/>
                <w:color w:val="000000"/>
                <w:sz w:val="18"/>
                <w:szCs w:val="18"/>
              </w:rPr>
            </w:pPr>
          </w:p>
        </w:tc>
        <w:tc>
          <w:tcPr>
            <w:tcW w:w="80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303EEB">
            <w:pPr>
              <w:jc w:val="center"/>
              <w:rPr>
                <w:rFonts w:hint="default" w:cs="宋体"/>
                <w:color w:val="000000"/>
                <w:sz w:val="18"/>
                <w:szCs w:val="18"/>
              </w:rPr>
            </w:pPr>
          </w:p>
        </w:tc>
        <w:tc>
          <w:tcPr>
            <w:tcW w:w="116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2933C2">
            <w:pPr>
              <w:jc w:val="center"/>
              <w:rPr>
                <w:rFonts w:hint="default" w:cs="宋体"/>
                <w:color w:val="000000"/>
                <w:sz w:val="18"/>
                <w:szCs w:val="18"/>
              </w:rPr>
            </w:pPr>
          </w:p>
        </w:tc>
        <w:tc>
          <w:tcPr>
            <w:tcW w:w="3307"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F7B561">
            <w:pPr>
              <w:widowControl/>
              <w:textAlignment w:val="center"/>
              <w:rPr>
                <w:rFonts w:hint="default" w:cs="宋体"/>
                <w:color w:val="000000"/>
                <w:sz w:val="18"/>
                <w:szCs w:val="18"/>
              </w:rPr>
            </w:pPr>
            <w:r>
              <w:rPr>
                <w:rFonts w:hint="default" w:cs="宋体"/>
                <w:color w:val="000000"/>
                <w:sz w:val="18"/>
                <w:szCs w:val="18"/>
                <w:lang w:bidi="ar"/>
              </w:rPr>
              <w:t>山坪塘、渠系整治维护经费全年预算控制额</w:t>
            </w:r>
          </w:p>
        </w:tc>
        <w:tc>
          <w:tcPr>
            <w:tcW w:w="15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28FB8B">
            <w:pPr>
              <w:widowControl/>
              <w:jc w:val="center"/>
              <w:textAlignment w:val="center"/>
              <w:rPr>
                <w:rFonts w:hint="default" w:cs="宋体"/>
                <w:color w:val="000000"/>
                <w:sz w:val="18"/>
                <w:szCs w:val="18"/>
              </w:rPr>
            </w:pPr>
            <w:r>
              <w:rPr>
                <w:rFonts w:hint="default" w:cs="宋体"/>
                <w:color w:val="000000"/>
                <w:sz w:val="18"/>
                <w:szCs w:val="18"/>
                <w:lang w:bidi="ar"/>
              </w:rPr>
              <w:t>17.81</w:t>
            </w:r>
          </w:p>
        </w:tc>
        <w:tc>
          <w:tcPr>
            <w:tcW w:w="18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2AE3B5">
            <w:pPr>
              <w:widowControl/>
              <w:jc w:val="center"/>
              <w:textAlignment w:val="center"/>
              <w:rPr>
                <w:rFonts w:hint="default" w:cs="宋体"/>
                <w:color w:val="000000"/>
                <w:sz w:val="18"/>
                <w:szCs w:val="18"/>
              </w:rPr>
            </w:pPr>
            <w:r>
              <w:rPr>
                <w:rFonts w:hint="default" w:cs="宋体"/>
                <w:color w:val="000000"/>
                <w:sz w:val="18"/>
                <w:szCs w:val="18"/>
                <w:lang w:bidi="ar"/>
              </w:rPr>
              <w:t>17.81</w:t>
            </w:r>
          </w:p>
        </w:tc>
        <w:tc>
          <w:tcPr>
            <w:tcW w:w="17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3D0C4D">
            <w:pPr>
              <w:jc w:val="center"/>
              <w:rPr>
                <w:rFonts w:hint="default" w:cs="宋体"/>
                <w:color w:val="000000"/>
                <w:sz w:val="18"/>
                <w:szCs w:val="18"/>
              </w:rPr>
            </w:pPr>
          </w:p>
        </w:tc>
      </w:tr>
      <w:tr w14:paraId="6814D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87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7A4C6F">
            <w:pPr>
              <w:jc w:val="center"/>
              <w:rPr>
                <w:rFonts w:hint="default" w:cs="宋体"/>
                <w:color w:val="000000"/>
                <w:sz w:val="18"/>
                <w:szCs w:val="18"/>
              </w:rPr>
            </w:pPr>
          </w:p>
        </w:tc>
        <w:tc>
          <w:tcPr>
            <w:tcW w:w="80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42CAB8">
            <w:pPr>
              <w:jc w:val="center"/>
              <w:rPr>
                <w:rFonts w:hint="default" w:cs="宋体"/>
                <w:color w:val="000000"/>
                <w:sz w:val="18"/>
                <w:szCs w:val="18"/>
              </w:rPr>
            </w:pPr>
          </w:p>
        </w:tc>
        <w:tc>
          <w:tcPr>
            <w:tcW w:w="116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51B2F2">
            <w:pPr>
              <w:jc w:val="center"/>
              <w:rPr>
                <w:rFonts w:hint="default" w:cs="宋体"/>
                <w:color w:val="000000"/>
                <w:sz w:val="18"/>
                <w:szCs w:val="18"/>
              </w:rPr>
            </w:pPr>
          </w:p>
        </w:tc>
        <w:tc>
          <w:tcPr>
            <w:tcW w:w="3307"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A255D8">
            <w:pPr>
              <w:widowControl/>
              <w:textAlignment w:val="center"/>
              <w:rPr>
                <w:rFonts w:hint="default" w:cs="宋体"/>
                <w:color w:val="000000"/>
                <w:sz w:val="18"/>
                <w:szCs w:val="18"/>
              </w:rPr>
            </w:pPr>
            <w:r>
              <w:rPr>
                <w:rFonts w:hint="default" w:cs="宋体"/>
                <w:color w:val="000000"/>
                <w:sz w:val="18"/>
                <w:szCs w:val="18"/>
                <w:lang w:bidi="ar"/>
              </w:rPr>
              <w:t>全年道路维护1.5公里年初预算控制额</w:t>
            </w:r>
          </w:p>
        </w:tc>
        <w:tc>
          <w:tcPr>
            <w:tcW w:w="15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ED5C2F">
            <w:pPr>
              <w:widowControl/>
              <w:jc w:val="center"/>
              <w:textAlignment w:val="center"/>
              <w:rPr>
                <w:rFonts w:hint="default" w:cs="宋体"/>
                <w:color w:val="000000"/>
                <w:sz w:val="18"/>
                <w:szCs w:val="18"/>
              </w:rPr>
            </w:pPr>
            <w:r>
              <w:rPr>
                <w:rFonts w:hint="default" w:cs="宋体"/>
                <w:color w:val="000000"/>
                <w:sz w:val="18"/>
                <w:szCs w:val="18"/>
                <w:lang w:bidi="ar"/>
              </w:rPr>
              <w:t>≥41.96万元</w:t>
            </w:r>
          </w:p>
        </w:tc>
        <w:tc>
          <w:tcPr>
            <w:tcW w:w="18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6CB9FF">
            <w:pPr>
              <w:widowControl/>
              <w:jc w:val="center"/>
              <w:textAlignment w:val="center"/>
              <w:rPr>
                <w:rFonts w:hint="default" w:cs="宋体"/>
                <w:color w:val="000000"/>
                <w:sz w:val="18"/>
                <w:szCs w:val="18"/>
              </w:rPr>
            </w:pPr>
            <w:r>
              <w:rPr>
                <w:rFonts w:hint="default" w:cs="宋体"/>
                <w:color w:val="000000"/>
                <w:sz w:val="18"/>
                <w:szCs w:val="18"/>
                <w:lang w:bidi="ar"/>
              </w:rPr>
              <w:t>≥41.96万元</w:t>
            </w:r>
          </w:p>
        </w:tc>
        <w:tc>
          <w:tcPr>
            <w:tcW w:w="17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231104">
            <w:pPr>
              <w:jc w:val="center"/>
              <w:rPr>
                <w:rFonts w:hint="default" w:cs="宋体"/>
                <w:color w:val="000000"/>
                <w:sz w:val="18"/>
                <w:szCs w:val="18"/>
              </w:rPr>
            </w:pPr>
          </w:p>
        </w:tc>
      </w:tr>
      <w:tr w14:paraId="6DD57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87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1AA8C9">
            <w:pPr>
              <w:jc w:val="center"/>
              <w:rPr>
                <w:rFonts w:hint="default" w:cs="宋体"/>
                <w:color w:val="000000"/>
                <w:sz w:val="18"/>
                <w:szCs w:val="18"/>
              </w:rPr>
            </w:pPr>
          </w:p>
        </w:tc>
        <w:tc>
          <w:tcPr>
            <w:tcW w:w="80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79C9F0">
            <w:pPr>
              <w:jc w:val="center"/>
              <w:rPr>
                <w:rFonts w:hint="default" w:cs="宋体"/>
                <w:color w:val="000000"/>
                <w:sz w:val="18"/>
                <w:szCs w:val="18"/>
              </w:rPr>
            </w:pPr>
          </w:p>
        </w:tc>
        <w:tc>
          <w:tcPr>
            <w:tcW w:w="116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66AECC">
            <w:pPr>
              <w:jc w:val="center"/>
              <w:rPr>
                <w:rFonts w:hint="default" w:cs="宋体"/>
                <w:color w:val="000000"/>
                <w:sz w:val="18"/>
                <w:szCs w:val="18"/>
              </w:rPr>
            </w:pPr>
          </w:p>
        </w:tc>
        <w:tc>
          <w:tcPr>
            <w:tcW w:w="3307"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3454D8">
            <w:pPr>
              <w:widowControl/>
              <w:textAlignment w:val="center"/>
              <w:rPr>
                <w:rFonts w:hint="default" w:cs="宋体"/>
                <w:color w:val="000000"/>
                <w:sz w:val="18"/>
                <w:szCs w:val="18"/>
              </w:rPr>
            </w:pPr>
            <w:r>
              <w:rPr>
                <w:rFonts w:hint="default" w:cs="宋体"/>
                <w:color w:val="000000"/>
                <w:sz w:val="18"/>
                <w:szCs w:val="18"/>
                <w:lang w:bidi="ar"/>
              </w:rPr>
              <w:t>全年园林绿化2亩年初预算资金控制额</w:t>
            </w:r>
          </w:p>
        </w:tc>
        <w:tc>
          <w:tcPr>
            <w:tcW w:w="15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0E918E">
            <w:pPr>
              <w:widowControl/>
              <w:jc w:val="center"/>
              <w:textAlignment w:val="center"/>
              <w:rPr>
                <w:rFonts w:hint="default" w:cs="宋体"/>
                <w:color w:val="000000"/>
                <w:sz w:val="18"/>
                <w:szCs w:val="18"/>
              </w:rPr>
            </w:pPr>
            <w:r>
              <w:rPr>
                <w:rFonts w:hint="default" w:cs="宋体"/>
                <w:color w:val="000000"/>
                <w:sz w:val="18"/>
                <w:szCs w:val="18"/>
                <w:lang w:bidi="ar"/>
              </w:rPr>
              <w:t>27.17万元</w:t>
            </w:r>
          </w:p>
        </w:tc>
        <w:tc>
          <w:tcPr>
            <w:tcW w:w="18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07EA27">
            <w:pPr>
              <w:widowControl/>
              <w:jc w:val="center"/>
              <w:textAlignment w:val="center"/>
              <w:rPr>
                <w:rFonts w:hint="default" w:cs="宋体"/>
                <w:color w:val="000000"/>
                <w:sz w:val="18"/>
                <w:szCs w:val="18"/>
              </w:rPr>
            </w:pPr>
            <w:r>
              <w:rPr>
                <w:rFonts w:hint="default" w:cs="宋体"/>
                <w:color w:val="000000"/>
                <w:sz w:val="18"/>
                <w:szCs w:val="18"/>
                <w:lang w:bidi="ar"/>
              </w:rPr>
              <w:t>27.17万元</w:t>
            </w:r>
          </w:p>
        </w:tc>
        <w:tc>
          <w:tcPr>
            <w:tcW w:w="17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DC351D">
            <w:pPr>
              <w:jc w:val="center"/>
              <w:rPr>
                <w:rFonts w:hint="default" w:cs="宋体"/>
                <w:color w:val="000000"/>
                <w:sz w:val="18"/>
                <w:szCs w:val="18"/>
              </w:rPr>
            </w:pPr>
          </w:p>
        </w:tc>
      </w:tr>
      <w:tr w14:paraId="61A8B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87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270F98">
            <w:pPr>
              <w:jc w:val="center"/>
              <w:rPr>
                <w:rFonts w:hint="default" w:cs="宋体"/>
                <w:color w:val="000000"/>
                <w:sz w:val="18"/>
                <w:szCs w:val="18"/>
              </w:rPr>
            </w:pPr>
          </w:p>
        </w:tc>
        <w:tc>
          <w:tcPr>
            <w:tcW w:w="804"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0A55E5">
            <w:pPr>
              <w:jc w:val="center"/>
              <w:rPr>
                <w:rFonts w:hint="default" w:cs="宋体"/>
                <w:color w:val="000000"/>
                <w:sz w:val="18"/>
                <w:szCs w:val="18"/>
              </w:rPr>
            </w:pPr>
          </w:p>
        </w:tc>
        <w:tc>
          <w:tcPr>
            <w:tcW w:w="1162" w:type="dxa"/>
            <w:tcBorders>
              <w:top w:val="single" w:color="000000" w:sz="4" w:space="0"/>
              <w:left w:val="single" w:color="000000" w:sz="4" w:space="0"/>
              <w:bottom w:val="nil"/>
              <w:right w:val="single" w:color="000000" w:sz="4" w:space="0"/>
              <w:tl2br w:val="nil"/>
              <w:tr2bl w:val="nil"/>
            </w:tcBorders>
            <w:noWrap w:val="0"/>
            <w:vAlign w:val="center"/>
          </w:tcPr>
          <w:p w14:paraId="3F8670AA">
            <w:pPr>
              <w:widowControl/>
              <w:jc w:val="center"/>
              <w:textAlignment w:val="center"/>
              <w:rPr>
                <w:rFonts w:hint="default" w:cs="宋体"/>
                <w:color w:val="000000"/>
                <w:sz w:val="18"/>
                <w:szCs w:val="18"/>
              </w:rPr>
            </w:pPr>
            <w:r>
              <w:rPr>
                <w:rFonts w:hint="default" w:cs="宋体"/>
                <w:color w:val="000000"/>
                <w:sz w:val="18"/>
                <w:szCs w:val="18"/>
                <w:lang w:bidi="ar"/>
              </w:rPr>
              <w:t>社会效益</w:t>
            </w:r>
            <w:r>
              <w:rPr>
                <w:rFonts w:hint="default" w:cs="宋体"/>
                <w:color w:val="000000"/>
                <w:sz w:val="18"/>
                <w:szCs w:val="18"/>
                <w:lang w:bidi="ar"/>
              </w:rPr>
              <w:br w:type="textWrapping"/>
            </w:r>
            <w:r>
              <w:rPr>
                <w:rFonts w:hint="default" w:cs="宋体"/>
                <w:color w:val="000000"/>
                <w:sz w:val="18"/>
                <w:szCs w:val="18"/>
                <w:lang w:bidi="ar"/>
              </w:rPr>
              <w:t>指标</w:t>
            </w:r>
          </w:p>
        </w:tc>
        <w:tc>
          <w:tcPr>
            <w:tcW w:w="3307"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FBBB28">
            <w:pPr>
              <w:widowControl/>
              <w:textAlignment w:val="center"/>
              <w:rPr>
                <w:rFonts w:hint="default" w:cs="宋体"/>
                <w:color w:val="000000"/>
                <w:sz w:val="18"/>
                <w:szCs w:val="18"/>
              </w:rPr>
            </w:pPr>
            <w:r>
              <w:rPr>
                <w:rFonts w:hint="default" w:cs="宋体"/>
                <w:color w:val="000000"/>
                <w:sz w:val="18"/>
                <w:szCs w:val="18"/>
                <w:lang w:bidi="ar"/>
              </w:rPr>
              <w:t>确保村民出行畅通、环境优美、生产生活便利、群众幸福指数不断提升</w:t>
            </w:r>
          </w:p>
        </w:tc>
        <w:tc>
          <w:tcPr>
            <w:tcW w:w="15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3CA1A7">
            <w:pPr>
              <w:widowControl/>
              <w:jc w:val="center"/>
              <w:textAlignment w:val="center"/>
              <w:rPr>
                <w:rFonts w:hint="default" w:cs="宋体"/>
                <w:color w:val="000000"/>
                <w:sz w:val="18"/>
                <w:szCs w:val="18"/>
              </w:rPr>
            </w:pPr>
            <w:r>
              <w:rPr>
                <w:rFonts w:hint="default" w:cs="宋体"/>
                <w:color w:val="000000"/>
                <w:sz w:val="18"/>
                <w:szCs w:val="18"/>
                <w:lang w:bidi="ar"/>
              </w:rPr>
              <w:t>优</w:t>
            </w:r>
          </w:p>
        </w:tc>
        <w:tc>
          <w:tcPr>
            <w:tcW w:w="18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F63179">
            <w:pPr>
              <w:widowControl/>
              <w:jc w:val="center"/>
              <w:textAlignment w:val="center"/>
              <w:rPr>
                <w:rFonts w:hint="default" w:cs="宋体"/>
                <w:color w:val="000000"/>
                <w:sz w:val="18"/>
                <w:szCs w:val="18"/>
              </w:rPr>
            </w:pPr>
            <w:r>
              <w:rPr>
                <w:rFonts w:hint="default" w:cs="宋体"/>
                <w:color w:val="000000"/>
                <w:sz w:val="18"/>
                <w:szCs w:val="18"/>
                <w:lang w:bidi="ar"/>
              </w:rPr>
              <w:t>优</w:t>
            </w:r>
          </w:p>
        </w:tc>
        <w:tc>
          <w:tcPr>
            <w:tcW w:w="17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F059E1">
            <w:pPr>
              <w:jc w:val="center"/>
              <w:rPr>
                <w:rFonts w:hint="default" w:cs="宋体"/>
                <w:color w:val="000000"/>
                <w:sz w:val="18"/>
                <w:szCs w:val="18"/>
              </w:rPr>
            </w:pPr>
          </w:p>
        </w:tc>
      </w:tr>
      <w:tr w14:paraId="67677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87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85ED4E">
            <w:pPr>
              <w:jc w:val="center"/>
              <w:rPr>
                <w:rFonts w:hint="default" w:cs="宋体"/>
                <w:color w:val="000000"/>
                <w:sz w:val="18"/>
                <w:szCs w:val="18"/>
              </w:rPr>
            </w:pPr>
          </w:p>
        </w:tc>
        <w:tc>
          <w:tcPr>
            <w:tcW w:w="80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7689B8">
            <w:pPr>
              <w:jc w:val="center"/>
              <w:rPr>
                <w:rFonts w:hint="default" w:cs="宋体"/>
                <w:color w:val="000000"/>
                <w:sz w:val="18"/>
                <w:szCs w:val="18"/>
              </w:rPr>
            </w:pPr>
          </w:p>
        </w:tc>
        <w:tc>
          <w:tcPr>
            <w:tcW w:w="1162" w:type="dxa"/>
            <w:tcBorders>
              <w:top w:val="single" w:color="000000" w:sz="4" w:space="0"/>
              <w:left w:val="single" w:color="000000" w:sz="4" w:space="0"/>
              <w:bottom w:val="nil"/>
              <w:right w:val="single" w:color="000000" w:sz="4" w:space="0"/>
              <w:tl2br w:val="nil"/>
              <w:tr2bl w:val="nil"/>
            </w:tcBorders>
            <w:noWrap w:val="0"/>
            <w:vAlign w:val="center"/>
          </w:tcPr>
          <w:p w14:paraId="0CFDF8A6">
            <w:pPr>
              <w:widowControl/>
              <w:jc w:val="center"/>
              <w:textAlignment w:val="center"/>
              <w:rPr>
                <w:rFonts w:hint="default" w:cs="宋体"/>
                <w:color w:val="000000"/>
                <w:sz w:val="18"/>
                <w:szCs w:val="18"/>
              </w:rPr>
            </w:pPr>
            <w:r>
              <w:rPr>
                <w:rFonts w:hint="default" w:cs="宋体"/>
                <w:color w:val="000000"/>
                <w:sz w:val="18"/>
                <w:szCs w:val="18"/>
                <w:lang w:bidi="ar"/>
              </w:rPr>
              <w:t>生态效益</w:t>
            </w:r>
            <w:r>
              <w:rPr>
                <w:rFonts w:hint="default" w:cs="宋体"/>
                <w:color w:val="000000"/>
                <w:sz w:val="18"/>
                <w:szCs w:val="18"/>
                <w:lang w:bidi="ar"/>
              </w:rPr>
              <w:br w:type="textWrapping"/>
            </w:r>
            <w:r>
              <w:rPr>
                <w:rFonts w:hint="default" w:cs="宋体"/>
                <w:color w:val="000000"/>
                <w:sz w:val="18"/>
                <w:szCs w:val="18"/>
                <w:lang w:bidi="ar"/>
              </w:rPr>
              <w:t>指标</w:t>
            </w:r>
          </w:p>
        </w:tc>
        <w:tc>
          <w:tcPr>
            <w:tcW w:w="3307"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DB0CFA">
            <w:pPr>
              <w:widowControl/>
              <w:textAlignment w:val="center"/>
              <w:rPr>
                <w:rFonts w:hint="default" w:cs="宋体"/>
                <w:color w:val="000000"/>
                <w:sz w:val="18"/>
                <w:szCs w:val="18"/>
              </w:rPr>
            </w:pPr>
            <w:r>
              <w:rPr>
                <w:rFonts w:hint="default" w:cs="宋体"/>
                <w:color w:val="000000"/>
                <w:sz w:val="18"/>
                <w:szCs w:val="18"/>
                <w:lang w:bidi="ar"/>
              </w:rPr>
              <w:t>环境卫生整洁，无“脏乱差”等现象</w:t>
            </w:r>
          </w:p>
        </w:tc>
        <w:tc>
          <w:tcPr>
            <w:tcW w:w="15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674AA9">
            <w:pPr>
              <w:widowControl/>
              <w:jc w:val="center"/>
              <w:textAlignment w:val="center"/>
              <w:rPr>
                <w:rFonts w:hint="default" w:cs="宋体"/>
                <w:color w:val="000000"/>
                <w:sz w:val="18"/>
                <w:szCs w:val="18"/>
              </w:rPr>
            </w:pPr>
            <w:r>
              <w:rPr>
                <w:rFonts w:hint="default" w:cs="宋体"/>
                <w:color w:val="000000"/>
                <w:sz w:val="18"/>
                <w:szCs w:val="18"/>
                <w:lang w:bidi="ar"/>
              </w:rPr>
              <w:t>优</w:t>
            </w:r>
          </w:p>
        </w:tc>
        <w:tc>
          <w:tcPr>
            <w:tcW w:w="18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529287">
            <w:pPr>
              <w:widowControl/>
              <w:jc w:val="center"/>
              <w:textAlignment w:val="center"/>
              <w:rPr>
                <w:rFonts w:hint="default" w:cs="宋体"/>
                <w:color w:val="000000"/>
                <w:sz w:val="18"/>
                <w:szCs w:val="18"/>
              </w:rPr>
            </w:pPr>
            <w:r>
              <w:rPr>
                <w:rFonts w:hint="default" w:cs="宋体"/>
                <w:color w:val="000000"/>
                <w:sz w:val="18"/>
                <w:szCs w:val="18"/>
                <w:lang w:bidi="ar"/>
              </w:rPr>
              <w:t>优</w:t>
            </w:r>
          </w:p>
        </w:tc>
        <w:tc>
          <w:tcPr>
            <w:tcW w:w="17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426D2C">
            <w:pPr>
              <w:jc w:val="center"/>
              <w:rPr>
                <w:rFonts w:hint="default" w:cs="宋体"/>
                <w:color w:val="000000"/>
                <w:sz w:val="18"/>
                <w:szCs w:val="18"/>
              </w:rPr>
            </w:pPr>
          </w:p>
        </w:tc>
      </w:tr>
      <w:tr w14:paraId="07E83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00" w:hRule="atLeast"/>
        </w:trPr>
        <w:tc>
          <w:tcPr>
            <w:tcW w:w="87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7068F5">
            <w:pPr>
              <w:jc w:val="center"/>
              <w:rPr>
                <w:rFonts w:hint="default" w:cs="宋体"/>
                <w:color w:val="000000"/>
                <w:sz w:val="18"/>
                <w:szCs w:val="18"/>
              </w:rPr>
            </w:pP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EAB9FC">
            <w:pPr>
              <w:widowControl/>
              <w:jc w:val="center"/>
              <w:textAlignment w:val="center"/>
              <w:rPr>
                <w:rFonts w:hint="default" w:cs="宋体"/>
                <w:color w:val="000000"/>
                <w:sz w:val="18"/>
                <w:szCs w:val="18"/>
              </w:rPr>
            </w:pPr>
            <w:r>
              <w:rPr>
                <w:rFonts w:hint="default" w:cs="宋体"/>
                <w:color w:val="000000"/>
                <w:sz w:val="18"/>
                <w:szCs w:val="18"/>
                <w:lang w:bidi="ar"/>
              </w:rPr>
              <w:t>满意度</w:t>
            </w:r>
            <w:r>
              <w:rPr>
                <w:rFonts w:hint="default" w:cs="宋体"/>
                <w:color w:val="000000"/>
                <w:sz w:val="18"/>
                <w:szCs w:val="18"/>
                <w:lang w:bidi="ar"/>
              </w:rPr>
              <w:br w:type="textWrapping"/>
            </w:r>
            <w:r>
              <w:rPr>
                <w:rFonts w:hint="default" w:cs="宋体"/>
                <w:color w:val="000000"/>
                <w:sz w:val="18"/>
                <w:szCs w:val="18"/>
                <w:lang w:bidi="ar"/>
              </w:rPr>
              <w:t>指标</w:t>
            </w:r>
          </w:p>
        </w:tc>
        <w:tc>
          <w:tcPr>
            <w:tcW w:w="116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F2BD11">
            <w:pPr>
              <w:widowControl/>
              <w:jc w:val="center"/>
              <w:textAlignment w:val="center"/>
              <w:rPr>
                <w:rFonts w:hint="default" w:cs="宋体"/>
                <w:color w:val="000000"/>
                <w:sz w:val="18"/>
                <w:szCs w:val="18"/>
              </w:rPr>
            </w:pPr>
            <w:r>
              <w:rPr>
                <w:rFonts w:hint="default" w:cs="宋体"/>
                <w:color w:val="000000"/>
                <w:sz w:val="18"/>
                <w:szCs w:val="18"/>
                <w:lang w:bidi="ar"/>
              </w:rPr>
              <w:t>服务对象满意度指标</w:t>
            </w:r>
          </w:p>
        </w:tc>
        <w:tc>
          <w:tcPr>
            <w:tcW w:w="3307"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8DE78B">
            <w:pPr>
              <w:widowControl/>
              <w:textAlignment w:val="center"/>
              <w:rPr>
                <w:rFonts w:hint="default" w:cs="宋体"/>
                <w:color w:val="000000"/>
                <w:sz w:val="18"/>
                <w:szCs w:val="18"/>
              </w:rPr>
            </w:pPr>
            <w:r>
              <w:rPr>
                <w:rFonts w:hint="default" w:cs="宋体"/>
                <w:color w:val="000000"/>
                <w:sz w:val="18"/>
                <w:szCs w:val="18"/>
                <w:lang w:bidi="ar"/>
              </w:rPr>
              <w:t>服务群众满意度</w:t>
            </w:r>
          </w:p>
        </w:tc>
        <w:tc>
          <w:tcPr>
            <w:tcW w:w="15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53248A">
            <w:pPr>
              <w:widowControl/>
              <w:jc w:val="center"/>
              <w:textAlignment w:val="center"/>
              <w:rPr>
                <w:rFonts w:hint="default" w:cs="宋体"/>
                <w:color w:val="000000"/>
                <w:sz w:val="18"/>
                <w:szCs w:val="18"/>
              </w:rPr>
            </w:pPr>
            <w:r>
              <w:rPr>
                <w:rFonts w:hint="default" w:cs="宋体"/>
                <w:color w:val="000000"/>
                <w:sz w:val="18"/>
                <w:szCs w:val="18"/>
                <w:lang w:bidi="ar"/>
              </w:rPr>
              <w:t>≥95%</w:t>
            </w:r>
          </w:p>
        </w:tc>
        <w:tc>
          <w:tcPr>
            <w:tcW w:w="18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AE012B">
            <w:pPr>
              <w:widowControl/>
              <w:jc w:val="center"/>
              <w:textAlignment w:val="center"/>
              <w:rPr>
                <w:rFonts w:hint="default" w:cs="宋体"/>
                <w:color w:val="000000"/>
                <w:sz w:val="18"/>
                <w:szCs w:val="18"/>
              </w:rPr>
            </w:pPr>
            <w:r>
              <w:rPr>
                <w:rFonts w:hint="default" w:cs="宋体"/>
                <w:color w:val="000000"/>
                <w:sz w:val="18"/>
                <w:szCs w:val="18"/>
                <w:lang w:bidi="ar"/>
              </w:rPr>
              <w:t>≥95%</w:t>
            </w:r>
          </w:p>
        </w:tc>
        <w:tc>
          <w:tcPr>
            <w:tcW w:w="17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C143DD">
            <w:pPr>
              <w:jc w:val="center"/>
              <w:rPr>
                <w:rFonts w:hint="default" w:cs="宋体"/>
                <w:color w:val="000000"/>
                <w:sz w:val="18"/>
                <w:szCs w:val="18"/>
              </w:rPr>
            </w:pPr>
          </w:p>
        </w:tc>
      </w:tr>
    </w:tbl>
    <w:p w14:paraId="72CF52CE">
      <w:pPr>
        <w:rPr>
          <w:rFonts w:hint="eastAsia" w:ascii="黑体" w:hAnsi="黑体" w:eastAsia="黑体" w:cs="黑体"/>
          <w:color w:val="auto"/>
          <w:sz w:val="32"/>
          <w:szCs w:val="32"/>
          <w:lang w:bidi="ar"/>
        </w:rPr>
      </w:pPr>
      <w:r>
        <w:rPr>
          <w:rFonts w:hint="eastAsia" w:ascii="黑体" w:hAnsi="黑体" w:eastAsia="黑体" w:cs="黑体"/>
          <w:color w:val="auto"/>
          <w:sz w:val="32"/>
          <w:szCs w:val="32"/>
          <w:lang w:bidi="ar"/>
        </w:rPr>
        <w:t>附件2-2：</w:t>
      </w:r>
    </w:p>
    <w:p w14:paraId="43AA73F2">
      <w:pPr>
        <w:pStyle w:val="2"/>
        <w:rPr>
          <w:rFonts w:hint="default" w:ascii="宋体" w:hAnsi="Times New Roman"/>
          <w:sz w:val="21"/>
          <w:szCs w:val="24"/>
        </w:rPr>
      </w:pPr>
    </w:p>
    <w:p w14:paraId="0C4E99E2">
      <w:pPr>
        <w:autoSpaceDE/>
        <w:autoSpaceDN/>
        <w:adjustRightInd/>
        <w:snapToGrid w:val="0"/>
        <w:spacing w:line="556" w:lineRule="exact"/>
        <w:jc w:val="center"/>
        <w:textAlignment w:val="baseline"/>
        <w:rPr>
          <w:rFonts w:hint="eastAsia" w:ascii="Times New Roman" w:eastAsia="Times New Roman"/>
          <w:sz w:val="44"/>
          <w:szCs w:val="44"/>
        </w:rPr>
      </w:pPr>
      <w:r>
        <w:rPr>
          <w:rFonts w:hint="eastAsia" w:ascii="Times New Roman" w:eastAsia="方正小标宋简体"/>
          <w:sz w:val="44"/>
          <w:szCs w:val="44"/>
        </w:rPr>
        <w:t>广元市昭化区太公镇人民政府</w:t>
      </w:r>
    </w:p>
    <w:p w14:paraId="4A4E7DA4">
      <w:pPr>
        <w:autoSpaceDE/>
        <w:autoSpaceDN/>
        <w:adjustRightInd/>
        <w:snapToGrid w:val="0"/>
        <w:spacing w:line="556" w:lineRule="exact"/>
        <w:jc w:val="center"/>
        <w:textAlignment w:val="baseline"/>
        <w:rPr>
          <w:rFonts w:hint="eastAsia" w:ascii="Times New Roman" w:eastAsia="方正小标宋简体"/>
          <w:color w:val="auto"/>
          <w:sz w:val="44"/>
          <w:szCs w:val="44"/>
        </w:rPr>
      </w:pPr>
      <w:r>
        <w:rPr>
          <w:rFonts w:hint="eastAsia" w:ascii="Times New Roman" w:eastAsia="方正小标宋简体"/>
          <w:color w:val="auto"/>
          <w:sz w:val="44"/>
          <w:szCs w:val="44"/>
        </w:rPr>
        <w:t>2022年农村公共服务运行维护资金支出绩效</w:t>
      </w:r>
    </w:p>
    <w:p w14:paraId="51976043">
      <w:pPr>
        <w:autoSpaceDE/>
        <w:autoSpaceDN/>
        <w:adjustRightInd/>
        <w:snapToGrid w:val="0"/>
        <w:spacing w:line="556" w:lineRule="exact"/>
        <w:jc w:val="center"/>
        <w:textAlignment w:val="baseline"/>
        <w:rPr>
          <w:rFonts w:hint="eastAsia" w:ascii="Times New Roman" w:eastAsia="Times New Roman"/>
          <w:sz w:val="24"/>
          <w:szCs w:val="24"/>
        </w:rPr>
      </w:pPr>
      <w:r>
        <w:rPr>
          <w:rFonts w:hint="eastAsia" w:ascii="Times New Roman" w:eastAsia="方正小标宋简体"/>
          <w:color w:val="auto"/>
          <w:sz w:val="44"/>
          <w:szCs w:val="44"/>
        </w:rPr>
        <w:t>自评报告</w:t>
      </w:r>
    </w:p>
    <w:p w14:paraId="16D29FAB">
      <w:pPr>
        <w:spacing w:line="576" w:lineRule="exact"/>
        <w:ind w:firstLine="640" w:firstLineChars="200"/>
        <w:rPr>
          <w:rFonts w:hint="eastAsia" w:ascii="Times New Roman" w:eastAsia="仿宋_GB2312"/>
          <w:color w:val="000000"/>
          <w:sz w:val="32"/>
          <w:szCs w:val="24"/>
        </w:rPr>
      </w:pPr>
      <w:r>
        <w:rPr>
          <w:rFonts w:hint="eastAsia" w:ascii="Times New Roman" w:eastAsia="仿宋_GB2312"/>
          <w:color w:val="000000"/>
          <w:sz w:val="32"/>
          <w:szCs w:val="24"/>
        </w:rPr>
        <w:t>为严格落实项目预算执行，根据《广元市昭化区财政局关于开展2024年部门、政策和项目支出绩效评价工作的通知》（昭财发</w:t>
      </w:r>
      <w:r>
        <w:rPr>
          <w:rFonts w:hint="eastAsia" w:ascii="Times New Roman" w:eastAsia="仿宋_GB2312"/>
          <w:color w:val="000000"/>
          <w:sz w:val="32"/>
          <w:szCs w:val="24"/>
          <w:lang w:eastAsia="zh-CN"/>
        </w:rPr>
        <w:t>〔</w:t>
      </w:r>
      <w:r>
        <w:rPr>
          <w:rFonts w:hint="eastAsia" w:ascii="Times New Roman" w:eastAsia="仿宋_GB2312"/>
          <w:color w:val="000000"/>
          <w:sz w:val="32"/>
          <w:szCs w:val="24"/>
        </w:rPr>
        <w:t>2024</w:t>
      </w:r>
      <w:r>
        <w:rPr>
          <w:rFonts w:hint="eastAsia" w:ascii="Times New Roman" w:eastAsia="仿宋_GB2312"/>
          <w:color w:val="000000"/>
          <w:sz w:val="32"/>
          <w:szCs w:val="24"/>
          <w:lang w:eastAsia="zh-CN"/>
        </w:rPr>
        <w:t>〕</w:t>
      </w:r>
      <w:r>
        <w:rPr>
          <w:rFonts w:hint="eastAsia" w:ascii="Times New Roman" w:eastAsia="仿宋_GB2312"/>
          <w:color w:val="000000"/>
          <w:sz w:val="32"/>
          <w:szCs w:val="24"/>
        </w:rPr>
        <w:t>11号）文件要求，我镇积极组织对2022年农村公共服务运行维护资金项目资金进行绩效评价。保证我镇项目支出的资金使用合理合规，现将我镇2022年农村公共服务运行维护资金项目绩效自评报告如下：</w:t>
      </w:r>
    </w:p>
    <w:p w14:paraId="06F61966">
      <w:pPr>
        <w:autoSpaceDE/>
        <w:autoSpaceDN/>
        <w:adjustRightInd/>
        <w:spacing w:line="556" w:lineRule="exact"/>
        <w:ind w:firstLine="640" w:firstLineChars="200"/>
        <w:rPr>
          <w:rFonts w:hint="eastAsia" w:ascii="Times New Roman" w:eastAsia="Times New Roman"/>
          <w:sz w:val="20"/>
          <w:szCs w:val="24"/>
          <w:lang w:val="zh-CN"/>
        </w:rPr>
      </w:pPr>
      <w:r>
        <w:rPr>
          <w:rFonts w:hint="eastAsia" w:ascii="Times New Roman" w:eastAsia="黑体"/>
          <w:sz w:val="32"/>
          <w:szCs w:val="24"/>
        </w:rPr>
        <w:t>一、</w:t>
      </w:r>
      <w:r>
        <w:rPr>
          <w:rFonts w:hint="eastAsia" w:ascii="Times New Roman" w:eastAsia="黑体"/>
          <w:sz w:val="32"/>
          <w:szCs w:val="24"/>
          <w:lang w:val="zh-CN"/>
        </w:rPr>
        <w:t>项目概况</w:t>
      </w:r>
    </w:p>
    <w:p w14:paraId="65A54773">
      <w:pPr>
        <w:widowControl/>
        <w:autoSpaceDE/>
        <w:autoSpaceDN/>
        <w:adjustRightInd/>
        <w:spacing w:line="556" w:lineRule="exact"/>
        <w:ind w:firstLine="640" w:firstLineChars="200"/>
        <w:textAlignment w:val="baseline"/>
        <w:rPr>
          <w:rFonts w:hint="eastAsia" w:ascii="Times New Roman" w:eastAsia="Times New Roman"/>
          <w:sz w:val="32"/>
          <w:szCs w:val="24"/>
          <w:lang w:val="zh-CN"/>
        </w:rPr>
      </w:pPr>
      <w:r>
        <w:rPr>
          <w:rFonts w:hint="eastAsia" w:ascii="Times New Roman" w:eastAsia="楷体_GB2312"/>
          <w:sz w:val="32"/>
          <w:szCs w:val="24"/>
        </w:rPr>
        <w:t>（一）</w:t>
      </w:r>
      <w:r>
        <w:rPr>
          <w:rFonts w:hint="eastAsia" w:ascii="Times New Roman" w:eastAsia="楷体_GB2312"/>
          <w:sz w:val="32"/>
          <w:szCs w:val="24"/>
          <w:lang w:val="zh-CN"/>
        </w:rPr>
        <w:t>项目资金申报及批复情况</w:t>
      </w:r>
    </w:p>
    <w:p w14:paraId="011FA996">
      <w:pPr>
        <w:spacing w:line="576" w:lineRule="exact"/>
        <w:ind w:firstLine="640" w:firstLineChars="200"/>
        <w:rPr>
          <w:rFonts w:hint="eastAsia" w:ascii="Times New Roman" w:eastAsia="仿宋_GB2312"/>
          <w:color w:val="000000"/>
          <w:sz w:val="32"/>
          <w:szCs w:val="24"/>
        </w:rPr>
      </w:pPr>
      <w:r>
        <w:rPr>
          <w:rFonts w:hint="eastAsia" w:ascii="Times New Roman" w:eastAsia="仿宋_GB2312"/>
          <w:color w:val="000000"/>
          <w:sz w:val="32"/>
          <w:szCs w:val="24"/>
        </w:rPr>
        <w:t>我镇2022年基层组织活动和公共服务运行经费项目为2022年年初预算安排，涉及我镇13个村2个社区77个社，金额99万元，预算口径为一类村（社区）8万元/村，二类村（社区）7万元/村，三类村（社区）6万元/村；主要用于各村农村基础设施和环境类、农业生产服务类、农村生活服务类及农村社会管理类等四个类别，由各村居自行组织实施，镇分管领导、联村领导、干部及相关部门会同各村进行验收后公示，该项目符合财政专项资金管理办法等相关规定。区财政局于2022年3月22日对该项目预算批复资金99万元</w:t>
      </w:r>
      <w:r>
        <w:rPr>
          <w:rFonts w:hint="eastAsia" w:ascii="Times New Roman" w:eastAsia="仿宋_GB2312"/>
          <w:color w:val="000000"/>
          <w:sz w:val="32"/>
          <w:szCs w:val="24"/>
          <w:lang w:val="zh-CN"/>
        </w:rPr>
        <w:t>，下达资金</w:t>
      </w:r>
      <w:r>
        <w:rPr>
          <w:rFonts w:hint="eastAsia" w:ascii="Times New Roman" w:eastAsia="仿宋_GB2312"/>
          <w:color w:val="000000"/>
          <w:sz w:val="32"/>
          <w:szCs w:val="24"/>
        </w:rPr>
        <w:t>99万元。</w:t>
      </w:r>
    </w:p>
    <w:p w14:paraId="05766F10">
      <w:pPr>
        <w:numPr>
          <w:ilvl w:val="0"/>
          <w:numId w:val="0"/>
        </w:numPr>
        <w:autoSpaceDE/>
        <w:autoSpaceDN/>
        <w:adjustRightInd/>
        <w:spacing w:line="556" w:lineRule="exact"/>
        <w:ind w:firstLine="640" w:firstLineChars="200"/>
        <w:jc w:val="both"/>
        <w:textAlignment w:val="baseline"/>
        <w:rPr>
          <w:rFonts w:hint="eastAsia" w:ascii="Times New Roman" w:eastAsia="Times New Roman"/>
          <w:sz w:val="32"/>
          <w:szCs w:val="24"/>
          <w:lang w:val="zh-CN"/>
        </w:rPr>
      </w:pPr>
      <w:r>
        <w:rPr>
          <w:rFonts w:hint="eastAsia" w:ascii="Times New Roman" w:eastAsia="楷体_GB2312"/>
          <w:sz w:val="32"/>
          <w:szCs w:val="24"/>
          <w:lang w:val="zh-CN"/>
        </w:rPr>
        <w:t>（二）项目绩效目标</w:t>
      </w:r>
    </w:p>
    <w:p w14:paraId="34010DC7">
      <w:pPr>
        <w:spacing w:line="576" w:lineRule="exact"/>
        <w:ind w:firstLine="640" w:firstLineChars="200"/>
        <w:rPr>
          <w:rFonts w:hint="eastAsia" w:ascii="Times New Roman" w:eastAsia="仿宋_GB2312"/>
          <w:color w:val="000000"/>
          <w:sz w:val="32"/>
          <w:szCs w:val="24"/>
        </w:rPr>
      </w:pPr>
      <w:r>
        <w:rPr>
          <w:rFonts w:hint="eastAsia" w:ascii="Times New Roman" w:eastAsia="仿宋_GB2312"/>
          <w:color w:val="000000"/>
          <w:sz w:val="32"/>
          <w:szCs w:val="24"/>
        </w:rPr>
        <w:t>加强基层组织建设，提高公共运行服务保障水平和社会治理能力，按照《广元市昭化区基层活动和公共服务运行经费使用管理办法》，年初预算设置产出指标为：全年垃圾清运不少于700次，新建村能办项目15个，新建森林防火哨卡不少于4处，村道路两旁栽植花草不少于13处，完成15个村（社区）组织活动场所维护、基础设施维护，新建焚烧池14个，维持15个村（社区）日常办公运转。年中因部分项目调整，产出指标更改为：全年垃圾清运不少于700次，新建焚烧池6个，村道路两旁栽植花草不少于2处，村内道路基础设施维护10处，水利基础设施维修维护不少于7处，维持15个村（社区）日常办公运转。项目已完成总额的100%。</w:t>
      </w:r>
    </w:p>
    <w:p w14:paraId="7F1DC2CF">
      <w:pPr>
        <w:numPr>
          <w:ilvl w:val="0"/>
          <w:numId w:val="0"/>
        </w:numPr>
        <w:autoSpaceDE/>
        <w:autoSpaceDN/>
        <w:adjustRightInd/>
        <w:snapToGrid w:val="0"/>
        <w:spacing w:line="556" w:lineRule="exact"/>
        <w:ind w:firstLine="640" w:firstLineChars="200"/>
        <w:jc w:val="both"/>
        <w:textAlignment w:val="baseline"/>
        <w:rPr>
          <w:rFonts w:hint="eastAsia" w:ascii="Times New Roman" w:eastAsia="Times New Roman"/>
          <w:color w:val="auto"/>
          <w:sz w:val="32"/>
          <w:szCs w:val="24"/>
          <w:lang w:val="zh-CN"/>
        </w:rPr>
      </w:pPr>
      <w:r>
        <w:rPr>
          <w:rFonts w:hint="eastAsia" w:ascii="Times New Roman" w:eastAsia="楷体_GB2312"/>
          <w:color w:val="auto"/>
          <w:sz w:val="32"/>
          <w:szCs w:val="24"/>
          <w:lang w:val="zh-CN"/>
        </w:rPr>
        <w:t>（三）项目资金申报相符性</w:t>
      </w:r>
    </w:p>
    <w:p w14:paraId="34FFEC12">
      <w:pPr>
        <w:spacing w:line="576" w:lineRule="exact"/>
        <w:ind w:firstLine="640" w:firstLineChars="200"/>
        <w:rPr>
          <w:rFonts w:hint="eastAsia" w:ascii="Times New Roman" w:eastAsia="仿宋_GB2312"/>
          <w:color w:val="000000"/>
          <w:sz w:val="32"/>
          <w:szCs w:val="24"/>
        </w:rPr>
      </w:pPr>
      <w:r>
        <w:rPr>
          <w:rFonts w:hint="eastAsia" w:ascii="Times New Roman" w:eastAsia="仿宋_GB2312"/>
          <w:color w:val="000000"/>
          <w:sz w:val="32"/>
          <w:szCs w:val="24"/>
        </w:rPr>
        <w:t>2022年农村公共服务运行维护资金</w:t>
      </w:r>
      <w:r>
        <w:rPr>
          <w:rFonts w:hint="eastAsia" w:ascii="Times New Roman" w:eastAsia="仿宋_GB2312"/>
          <w:color w:val="000000"/>
          <w:sz w:val="32"/>
          <w:szCs w:val="24"/>
          <w:lang w:val="zh-CN"/>
        </w:rPr>
        <w:t>项目年初各村（社区）上报本年度的实施项目，经项目竣工验收，实施项目均与项目绩效实施范围、申报相符，相符率</w:t>
      </w:r>
      <w:r>
        <w:rPr>
          <w:rFonts w:hint="eastAsia" w:ascii="Times New Roman" w:eastAsia="仿宋_GB2312"/>
          <w:color w:val="000000"/>
          <w:sz w:val="32"/>
          <w:szCs w:val="24"/>
        </w:rPr>
        <w:t>100%</w:t>
      </w:r>
      <w:r>
        <w:rPr>
          <w:rFonts w:hint="eastAsia" w:ascii="Times New Roman" w:eastAsia="仿宋_GB2312"/>
          <w:color w:val="000000"/>
          <w:sz w:val="32"/>
          <w:szCs w:val="24"/>
          <w:lang w:val="zh-CN"/>
        </w:rPr>
        <w:t>。</w:t>
      </w:r>
    </w:p>
    <w:p w14:paraId="5E08F545">
      <w:pPr>
        <w:pStyle w:val="2"/>
        <w:numPr>
          <w:ilvl w:val="0"/>
          <w:numId w:val="0"/>
        </w:numPr>
        <w:autoSpaceDE/>
        <w:autoSpaceDN/>
        <w:spacing w:line="556" w:lineRule="exact"/>
        <w:ind w:left="0" w:leftChars="0" w:firstLine="640" w:firstLineChars="200"/>
        <w:rPr>
          <w:rFonts w:hint="eastAsia" w:ascii="Times New Roman" w:hAnsi="Times New Roman" w:eastAsia="Times New Roman"/>
          <w:sz w:val="21"/>
          <w:szCs w:val="24"/>
          <w:lang w:val="zh-CN"/>
        </w:rPr>
      </w:pPr>
      <w:r>
        <w:rPr>
          <w:rFonts w:hint="eastAsia" w:ascii="Times New Roman" w:hAnsi="Times New Roman" w:eastAsia="楷体_GB2312"/>
          <w:color w:val="auto"/>
          <w:kern w:val="2"/>
          <w:sz w:val="32"/>
          <w:szCs w:val="32"/>
          <w:lang w:val="zh-CN"/>
        </w:rPr>
        <w:t>（四）自评步骤及方法</w:t>
      </w:r>
    </w:p>
    <w:p w14:paraId="57AB3079">
      <w:pPr>
        <w:spacing w:line="576" w:lineRule="exact"/>
        <w:ind w:firstLine="640" w:firstLineChars="200"/>
        <w:rPr>
          <w:rFonts w:hint="eastAsia" w:ascii="Times New Roman" w:eastAsia="仿宋_GB2312"/>
          <w:color w:val="000000"/>
          <w:sz w:val="32"/>
          <w:szCs w:val="24"/>
          <w:lang w:val="zh-CN"/>
        </w:rPr>
      </w:pPr>
      <w:r>
        <w:rPr>
          <w:rFonts w:hint="eastAsia" w:ascii="Times New Roman" w:eastAsia="仿宋_GB2312"/>
          <w:color w:val="000000"/>
          <w:sz w:val="32"/>
          <w:szCs w:val="24"/>
          <w:lang w:val="zh-CN"/>
        </w:rPr>
        <w:t>我镇</w:t>
      </w:r>
      <w:r>
        <w:rPr>
          <w:rFonts w:hint="eastAsia" w:ascii="Times New Roman" w:eastAsia="仿宋_GB2312"/>
          <w:color w:val="000000"/>
          <w:sz w:val="32"/>
          <w:szCs w:val="24"/>
        </w:rPr>
        <w:t>2022年农村公共服务运行维护资金项目采用的方法是各村自评、镇级审核的方式。具体步骤为：各村对项目实施的前、中、后进行自评，镇分管领导会同相关部门对项目的实施情况进行全程监管，最后镇财政所对项目资料进行审核。</w:t>
      </w:r>
    </w:p>
    <w:p w14:paraId="3F27651E">
      <w:pPr>
        <w:autoSpaceDE/>
        <w:autoSpaceDN/>
        <w:adjustRightInd/>
        <w:snapToGrid w:val="0"/>
        <w:spacing w:line="556" w:lineRule="exact"/>
        <w:ind w:firstLine="640" w:firstLineChars="200"/>
        <w:jc w:val="both"/>
        <w:textAlignment w:val="baseline"/>
        <w:rPr>
          <w:rFonts w:hint="eastAsia" w:ascii="Times New Roman" w:eastAsia="Times New Roman"/>
          <w:sz w:val="20"/>
          <w:szCs w:val="24"/>
        </w:rPr>
      </w:pPr>
      <w:r>
        <w:rPr>
          <w:rFonts w:hint="eastAsia" w:ascii="Times New Roman" w:eastAsia="黑体"/>
          <w:sz w:val="32"/>
          <w:szCs w:val="24"/>
        </w:rPr>
        <w:t>二、项目实施及管理情况</w:t>
      </w:r>
    </w:p>
    <w:p w14:paraId="59FF374D">
      <w:pPr>
        <w:autoSpaceDE/>
        <w:autoSpaceDN/>
        <w:adjustRightInd/>
        <w:snapToGrid w:val="0"/>
        <w:spacing w:line="556" w:lineRule="exact"/>
        <w:ind w:firstLine="640" w:firstLineChars="200"/>
        <w:jc w:val="both"/>
        <w:textAlignment w:val="baseline"/>
        <w:rPr>
          <w:rFonts w:hint="eastAsia" w:ascii="Times New Roman" w:eastAsia="Times New Roman"/>
          <w:sz w:val="20"/>
          <w:szCs w:val="24"/>
          <w:lang w:val="zh-CN"/>
        </w:rPr>
      </w:pPr>
      <w:r>
        <w:rPr>
          <w:rFonts w:hint="eastAsia" w:ascii="Times New Roman" w:eastAsia="楷体_GB2312"/>
          <w:sz w:val="32"/>
          <w:szCs w:val="24"/>
          <w:lang w:val="zh-CN"/>
        </w:rPr>
        <w:t>（一）资金计划、到位及使用情况</w:t>
      </w:r>
    </w:p>
    <w:p w14:paraId="390293B8">
      <w:pPr>
        <w:spacing w:line="576" w:lineRule="exact"/>
        <w:ind w:firstLine="640" w:firstLineChars="200"/>
        <w:rPr>
          <w:rFonts w:hint="eastAsia" w:ascii="Times New Roman" w:eastAsia="仿宋_GB2312"/>
          <w:color w:val="000000"/>
          <w:sz w:val="32"/>
          <w:szCs w:val="24"/>
          <w:lang w:val="zh-CN"/>
        </w:rPr>
      </w:pPr>
      <w:r>
        <w:rPr>
          <w:rFonts w:hint="eastAsia" w:ascii="Times New Roman" w:eastAsia="仿宋_GB2312"/>
          <w:color w:val="000000"/>
          <w:sz w:val="32"/>
          <w:szCs w:val="24"/>
          <w:lang w:val="zh-CN"/>
        </w:rPr>
        <w:t>1.资金计划及到位。镇本级2022年初预算农村公共服务运行维护资金99万元，已到位99万元，其中：张家村、黄金村、太平村等3个村（社区）按一类村（社区）计划资金8万元/村，太公岭村、红军山社区、黄龙社区等3个村（社区）按二类村（社区）计划资金7万元/村，水磨村、高照村、双庙村、白头村、玄贞村、红卫村、学堂村、场埃村、回龙村等9个村（社区）按三类村（社区）计划资金6万元/村。以项目资金管理并实施，按照村实施、镇监管、验收，在村公示不少于5个工作日，群众无异议后上报镇财政所，财政所统一到区财政局报账，区财政局通过一体化平台将资金直接支付到第三施工方。</w:t>
      </w:r>
    </w:p>
    <w:p w14:paraId="49DF09B1">
      <w:pPr>
        <w:spacing w:line="576" w:lineRule="exact"/>
        <w:ind w:firstLine="640" w:firstLineChars="200"/>
        <w:rPr>
          <w:rFonts w:hint="eastAsia" w:ascii="Times New Roman" w:eastAsia="仿宋_GB2312"/>
          <w:color w:val="000000"/>
          <w:sz w:val="32"/>
          <w:szCs w:val="24"/>
          <w:lang w:val="zh-CN"/>
        </w:rPr>
      </w:pPr>
      <w:r>
        <w:rPr>
          <w:rFonts w:hint="eastAsia" w:ascii="Times New Roman" w:eastAsia="仿宋_GB2312"/>
          <w:color w:val="000000"/>
          <w:sz w:val="32"/>
          <w:szCs w:val="24"/>
          <w:lang w:val="zh-CN"/>
        </w:rPr>
        <w:t>2.资金使用。2022年，全镇13个村2社区共实施农村公共服务运行维护项目73个，其中：（1）农村基础设施和环境项目类的运行维护项目52个92.01万元，（2）农业生产服务类项目的运行维护项目11个4.25万元，（3）农村生活服务类项目的运行维护项目4个0.83万元，（4）农村社会管理类项目的运行维护项目6个1.91万元。</w:t>
      </w:r>
    </w:p>
    <w:p w14:paraId="6058AE3A">
      <w:pPr>
        <w:spacing w:line="576" w:lineRule="exact"/>
        <w:ind w:firstLine="640" w:firstLineChars="200"/>
        <w:rPr>
          <w:rFonts w:hint="eastAsia" w:ascii="Times New Roman" w:eastAsia="仿宋_GB2312"/>
          <w:color w:val="000000"/>
          <w:sz w:val="32"/>
          <w:szCs w:val="24"/>
          <w:lang w:val="zh-CN"/>
        </w:rPr>
      </w:pPr>
      <w:r>
        <w:rPr>
          <w:rFonts w:hint="eastAsia" w:ascii="Times New Roman" w:eastAsia="仿宋_GB2312"/>
          <w:color w:val="000000"/>
          <w:sz w:val="32"/>
          <w:szCs w:val="24"/>
          <w:lang w:val="zh-CN"/>
        </w:rPr>
        <w:t>2023年12月31日前，我镇已申报资金计划99万元，审批资金99万元，支付资金99万元，已全额兑付到位。</w:t>
      </w:r>
    </w:p>
    <w:p w14:paraId="3C914DB7">
      <w:pPr>
        <w:autoSpaceDE/>
        <w:autoSpaceDN/>
        <w:adjustRightInd/>
        <w:snapToGrid w:val="0"/>
        <w:spacing w:line="556" w:lineRule="exact"/>
        <w:ind w:firstLine="640" w:firstLineChars="200"/>
        <w:jc w:val="both"/>
        <w:textAlignment w:val="baseline"/>
        <w:rPr>
          <w:rFonts w:hint="eastAsia" w:ascii="Times New Roman" w:eastAsia="Times New Roman"/>
          <w:sz w:val="20"/>
          <w:szCs w:val="24"/>
        </w:rPr>
      </w:pPr>
      <w:r>
        <w:rPr>
          <w:rFonts w:hint="eastAsia" w:ascii="Times New Roman" w:eastAsia="楷体_GB2312"/>
          <w:sz w:val="32"/>
          <w:szCs w:val="24"/>
          <w:lang w:val="zh-CN"/>
        </w:rPr>
        <w:t>（二）项目财务管理情况</w:t>
      </w:r>
    </w:p>
    <w:p w14:paraId="606440C3">
      <w:pPr>
        <w:spacing w:line="576" w:lineRule="exact"/>
        <w:ind w:firstLine="640" w:firstLineChars="200"/>
        <w:rPr>
          <w:rFonts w:hint="eastAsia" w:ascii="Times New Roman" w:eastAsia="仿宋_GB2312"/>
          <w:color w:val="000000"/>
          <w:sz w:val="32"/>
          <w:szCs w:val="24"/>
          <w:lang w:val="zh-CN"/>
        </w:rPr>
      </w:pPr>
      <w:r>
        <w:rPr>
          <w:rFonts w:hint="eastAsia" w:ascii="Times New Roman" w:eastAsia="仿宋_GB2312"/>
          <w:color w:val="000000"/>
          <w:sz w:val="32"/>
          <w:szCs w:val="24"/>
          <w:lang w:val="zh-CN"/>
        </w:rPr>
        <w:t>为加强基层组织建设，提高公共运行服务保障水平和社会治理能力，按照《广元市昭化区基层活动和公共服务运行经费使用管理办法》，我镇2022年基层组织活动和公共服务运行维护项目由财政所按照村级实施、乡镇监管、验收并上报财政局报账，该项目进度严格按照项目资金管理办法对资金进行计划申请、划拨、使用，及时、规范对收支进行账务处理和会计核算。</w:t>
      </w:r>
    </w:p>
    <w:p w14:paraId="54B2C995">
      <w:pPr>
        <w:spacing w:line="576" w:lineRule="exact"/>
        <w:ind w:firstLine="640" w:firstLineChars="200"/>
        <w:rPr>
          <w:rFonts w:hint="eastAsia" w:ascii="Times New Roman" w:eastAsia="仿宋_GB2312"/>
          <w:color w:val="000000"/>
          <w:sz w:val="32"/>
          <w:szCs w:val="24"/>
          <w:lang w:val="zh-CN"/>
        </w:rPr>
      </w:pPr>
      <w:r>
        <w:rPr>
          <w:rFonts w:hint="eastAsia" w:ascii="Times New Roman" w:eastAsia="仿宋_GB2312"/>
          <w:color w:val="000000"/>
          <w:sz w:val="32"/>
          <w:szCs w:val="24"/>
          <w:lang w:val="zh-CN"/>
        </w:rPr>
        <w:t>2023年12月31日前，我镇已申报资金计划99万元，审批资金99万元，支付资金99万元，已全额兑付到位。</w:t>
      </w:r>
    </w:p>
    <w:p w14:paraId="43B3CAAF">
      <w:pPr>
        <w:autoSpaceDE/>
        <w:autoSpaceDN/>
        <w:adjustRightInd/>
        <w:snapToGrid w:val="0"/>
        <w:spacing w:line="556" w:lineRule="exact"/>
        <w:ind w:firstLine="640" w:firstLineChars="200"/>
        <w:jc w:val="both"/>
        <w:textAlignment w:val="baseline"/>
        <w:rPr>
          <w:rFonts w:hint="eastAsia" w:ascii="Times New Roman" w:eastAsia="Times New Roman"/>
          <w:sz w:val="20"/>
          <w:szCs w:val="24"/>
        </w:rPr>
      </w:pPr>
      <w:r>
        <w:rPr>
          <w:rFonts w:hint="eastAsia" w:ascii="Times New Roman" w:eastAsia="楷体_GB2312"/>
          <w:sz w:val="32"/>
          <w:szCs w:val="24"/>
          <w:lang w:val="zh-CN"/>
        </w:rPr>
        <w:t>（三）项目组织实施及管理情况</w:t>
      </w:r>
    </w:p>
    <w:p w14:paraId="2368FF50">
      <w:pPr>
        <w:spacing w:line="576" w:lineRule="exact"/>
        <w:ind w:firstLine="640" w:firstLineChars="200"/>
        <w:rPr>
          <w:rFonts w:hint="eastAsia" w:ascii="Times New Roman" w:eastAsia="仿宋_GB2312"/>
          <w:color w:val="000000"/>
          <w:sz w:val="32"/>
          <w:szCs w:val="24"/>
          <w:lang w:val="zh-CN"/>
        </w:rPr>
      </w:pPr>
      <w:r>
        <w:rPr>
          <w:rFonts w:hint="default" w:ascii="Times New Roman" w:eastAsia="仿宋_GB2312"/>
          <w:color w:val="000000"/>
          <w:sz w:val="32"/>
          <w:szCs w:val="24"/>
          <w:lang w:val="zh-CN"/>
        </w:rPr>
        <mc:AlternateContent>
          <mc:Choice Requires="wps">
            <w:drawing>
              <wp:anchor distT="0" distB="0" distL="114300" distR="114300" simplePos="0" relativeHeight="251679744" behindDoc="0" locked="0" layoutInCell="1" allowOverlap="1">
                <wp:simplePos x="0" y="0"/>
                <wp:positionH relativeFrom="column">
                  <wp:posOffset>2586990</wp:posOffset>
                </wp:positionH>
                <wp:positionV relativeFrom="paragraph">
                  <wp:posOffset>856615</wp:posOffset>
                </wp:positionV>
                <wp:extent cx="259715" cy="75565"/>
                <wp:effectExtent l="12700" t="12700" r="13335" b="26035"/>
                <wp:wrapNone/>
                <wp:docPr id="21" name="燕尾形箭头 2"/>
                <wp:cNvGraphicFramePr/>
                <a:graphic xmlns:a="http://schemas.openxmlformats.org/drawingml/2006/main">
                  <a:graphicData uri="http://schemas.microsoft.com/office/word/2010/wordprocessingShape">
                    <wps:wsp>
                      <wps:cNvSpPr/>
                      <wps:spPr>
                        <a:xfrm>
                          <a:off x="0" y="0"/>
                          <a:ext cx="259715" cy="75565"/>
                        </a:xfrm>
                        <a:prstGeom prst="notchedRightArrow">
                          <a:avLst>
                            <a:gd name="adj1" fmla="val 50000"/>
                            <a:gd name="adj2" fmla="val 49995"/>
                          </a:avLst>
                        </a:prstGeom>
                        <a:solidFill>
                          <a:srgbClr val="4F81BD"/>
                        </a:solidFill>
                        <a:ln w="25400" cap="flat" cmpd="sng">
                          <a:solidFill>
                            <a:srgbClr val="385D8A"/>
                          </a:solidFill>
                          <a:prstDash val="solid"/>
                          <a:round/>
                          <a:headEnd type="none" w="med" len="med"/>
                          <a:tailEnd type="none" w="med" len="med"/>
                        </a:ln>
                      </wps:spPr>
                      <wps:bodyPr vert="horz" wrap="square" anchor="ctr" anchorCtr="0" upright="1"/>
                    </wps:wsp>
                  </a:graphicData>
                </a:graphic>
              </wp:anchor>
            </w:drawing>
          </mc:Choice>
          <mc:Fallback>
            <w:pict>
              <v:shape id="燕尾形箭头 2" o:spid="_x0000_s1026" o:spt="94" type="#_x0000_t94" style="position:absolute;left:0pt;margin-left:203.7pt;margin-top:67.45pt;height:5.95pt;width:20.45pt;z-index:251679744;v-text-anchor:middle;mso-width-relative:page;mso-height-relative:page;" fillcolor="#4F81BD" filled="t" stroked="t" coordsize="21600,21600" o:gfxdata="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PKxobW&#10;AAAACwEAAA8AAAAAAAAAAQAgAAAAIgAAAGRycy9kb3ducmV2LnhtbFBLAQIUABQAAAAIAIdO4kB3&#10;6PvGWwIAALoEAAAOAAAAAAAAAAEAIAAAACUBAABkcnMvZTJvRG9jLnhtbFBLBQYAAAAABgAGAFkB&#10;AADyBQAAAAA=&#10;" adj="18459,5400">
                <v:fill on="t" focussize="0,0"/>
                <v:stroke weight="2pt" color="#385D8A" joinstyle="round"/>
                <v:imagedata o:title=""/>
                <o:lock v:ext="edit" aspectratio="f"/>
              </v:shape>
            </w:pict>
          </mc:Fallback>
        </mc:AlternateContent>
      </w:r>
      <w:r>
        <w:rPr>
          <w:rFonts w:hint="default" w:ascii="Times New Roman" w:eastAsia="仿宋_GB2312"/>
          <w:color w:val="000000"/>
          <w:sz w:val="32"/>
          <w:szCs w:val="24"/>
          <w:lang w:val="zh-CN"/>
        </w:rPr>
        <mc:AlternateContent>
          <mc:Choice Requires="wps">
            <w:drawing>
              <wp:anchor distT="0" distB="0" distL="114300" distR="114300" simplePos="0" relativeHeight="251678720" behindDoc="0" locked="0" layoutInCell="1" allowOverlap="1">
                <wp:simplePos x="0" y="0"/>
                <wp:positionH relativeFrom="column">
                  <wp:posOffset>1865630</wp:posOffset>
                </wp:positionH>
                <wp:positionV relativeFrom="paragraph">
                  <wp:posOffset>860425</wp:posOffset>
                </wp:positionV>
                <wp:extent cx="259715" cy="75565"/>
                <wp:effectExtent l="12700" t="12700" r="13335" b="26035"/>
                <wp:wrapNone/>
                <wp:docPr id="20" name="燕尾形箭头 4"/>
                <wp:cNvGraphicFramePr/>
                <a:graphic xmlns:a="http://schemas.openxmlformats.org/drawingml/2006/main">
                  <a:graphicData uri="http://schemas.microsoft.com/office/word/2010/wordprocessingShape">
                    <wps:wsp>
                      <wps:cNvSpPr/>
                      <wps:spPr>
                        <a:xfrm>
                          <a:off x="0" y="0"/>
                          <a:ext cx="259715" cy="75565"/>
                        </a:xfrm>
                        <a:prstGeom prst="notchedRightArrow">
                          <a:avLst>
                            <a:gd name="adj1" fmla="val 50000"/>
                            <a:gd name="adj2" fmla="val 49995"/>
                          </a:avLst>
                        </a:prstGeom>
                        <a:solidFill>
                          <a:srgbClr val="4F81BD"/>
                        </a:solidFill>
                        <a:ln w="25400" cap="flat" cmpd="sng">
                          <a:solidFill>
                            <a:srgbClr val="385D8A"/>
                          </a:solidFill>
                          <a:prstDash val="solid"/>
                          <a:round/>
                          <a:headEnd type="none" w="med" len="med"/>
                          <a:tailEnd type="none" w="med" len="med"/>
                        </a:ln>
                      </wps:spPr>
                      <wps:bodyPr vert="horz" wrap="square" anchor="ctr" anchorCtr="0" upright="1"/>
                    </wps:wsp>
                  </a:graphicData>
                </a:graphic>
              </wp:anchor>
            </w:drawing>
          </mc:Choice>
          <mc:Fallback>
            <w:pict>
              <v:shape id="燕尾形箭头 4" o:spid="_x0000_s1026" o:spt="94" type="#_x0000_t94" style="position:absolute;left:0pt;margin-left:146.9pt;margin-top:67.75pt;height:5.95pt;width:20.45pt;z-index:251678720;v-text-anchor:middle;mso-width-relative:page;mso-height-relative:page;" fillcolor="#4F81BD" filled="t" stroked="t" coordsize="21600,21600" o:gfxdata="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OdvTS&#10;1wAAAAsBAAAPAAAAAAAAAAEAIAAAACIAAABkcnMvZG93bnJldi54bWxQSwECFAAUAAAACACHTuJA&#10;nQkvMlsCAAC6BAAADgAAAAAAAAABACAAAAAmAQAAZHJzL2Uyb0RvYy54bWxQSwUGAAAAAAYABgBZ&#10;AQAA8wUAAAAA&#10;" adj="18459,5400">
                <v:fill on="t" focussize="0,0"/>
                <v:stroke weight="2pt" color="#385D8A" joinstyle="round"/>
                <v:imagedata o:title=""/>
                <o:lock v:ext="edit" aspectratio="f"/>
              </v:shape>
            </w:pict>
          </mc:Fallback>
        </mc:AlternateContent>
      </w:r>
      <w:r>
        <w:rPr>
          <w:rFonts w:hint="default" w:ascii="Times New Roman" w:eastAsia="仿宋_GB2312"/>
          <w:color w:val="000000"/>
          <w:sz w:val="32"/>
          <w:szCs w:val="24"/>
          <w:lang w:val="zh-CN"/>
        </w:rPr>
        <mc:AlternateContent>
          <mc:Choice Requires="wps">
            <w:drawing>
              <wp:anchor distT="0" distB="0" distL="114300" distR="114300" simplePos="0" relativeHeight="251677696" behindDoc="0" locked="0" layoutInCell="1" allowOverlap="1">
                <wp:simplePos x="0" y="0"/>
                <wp:positionH relativeFrom="column">
                  <wp:posOffset>1144905</wp:posOffset>
                </wp:positionH>
                <wp:positionV relativeFrom="paragraph">
                  <wp:posOffset>885190</wp:posOffset>
                </wp:positionV>
                <wp:extent cx="259715" cy="75565"/>
                <wp:effectExtent l="12700" t="12700" r="13335" b="26035"/>
                <wp:wrapNone/>
                <wp:docPr id="19" name="燕尾形箭头 3"/>
                <wp:cNvGraphicFramePr/>
                <a:graphic xmlns:a="http://schemas.openxmlformats.org/drawingml/2006/main">
                  <a:graphicData uri="http://schemas.microsoft.com/office/word/2010/wordprocessingShape">
                    <wps:wsp>
                      <wps:cNvSpPr/>
                      <wps:spPr>
                        <a:xfrm>
                          <a:off x="0" y="0"/>
                          <a:ext cx="259715" cy="75565"/>
                        </a:xfrm>
                        <a:prstGeom prst="notchedRightArrow">
                          <a:avLst>
                            <a:gd name="adj1" fmla="val 50000"/>
                            <a:gd name="adj2" fmla="val 49995"/>
                          </a:avLst>
                        </a:prstGeom>
                        <a:solidFill>
                          <a:srgbClr val="4F81BD"/>
                        </a:solidFill>
                        <a:ln w="25400" cap="flat" cmpd="sng">
                          <a:solidFill>
                            <a:srgbClr val="385D8A"/>
                          </a:solidFill>
                          <a:prstDash val="solid"/>
                          <a:round/>
                          <a:headEnd type="none" w="med" len="med"/>
                          <a:tailEnd type="none" w="med" len="med"/>
                        </a:ln>
                      </wps:spPr>
                      <wps:bodyPr vert="horz" wrap="square" anchor="ctr" anchorCtr="0" upright="1"/>
                    </wps:wsp>
                  </a:graphicData>
                </a:graphic>
              </wp:anchor>
            </w:drawing>
          </mc:Choice>
          <mc:Fallback>
            <w:pict>
              <v:shape id="燕尾形箭头 3" o:spid="_x0000_s1026" o:spt="94" type="#_x0000_t94" style="position:absolute;left:0pt;margin-left:90.15pt;margin-top:69.7pt;height:5.95pt;width:20.45pt;z-index:251677696;v-text-anchor:middle;mso-width-relative:page;mso-height-relative:page;" fillcolor="#4F81BD" filled="t" stroked="t" coordsize="21600,21600" o:gfxdata="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GwyerW&#10;AAAACwEAAA8AAAAAAAAAAQAgAAAAIgAAAGRycy9kb3ducmV2LnhtbFBLAQIUABQAAAAIAIdO4kCI&#10;MH05WwIAALoEAAAOAAAAAAAAAAEAIAAAACUBAABkcnMvZTJvRG9jLnhtbFBLBQYAAAAABgAGAFkB&#10;AADyBQAAAAA=&#10;" adj="18459,5400">
                <v:fill on="t" focussize="0,0"/>
                <v:stroke weight="2pt" color="#385D8A" joinstyle="round"/>
                <v:imagedata o:title=""/>
                <o:lock v:ext="edit" aspectratio="f"/>
              </v:shape>
            </w:pict>
          </mc:Fallback>
        </mc:AlternateContent>
      </w:r>
      <w:r>
        <w:rPr>
          <w:rFonts w:hint="default" w:ascii="Times New Roman" w:eastAsia="仿宋_GB2312"/>
          <w:color w:val="000000"/>
          <w:sz w:val="32"/>
          <w:szCs w:val="24"/>
          <w:lang w:val="zh-CN"/>
        </w:rPr>
        <mc:AlternateContent>
          <mc:Choice Requires="wps">
            <w:drawing>
              <wp:anchor distT="0" distB="0" distL="114300" distR="114300" simplePos="0" relativeHeight="251676672" behindDoc="0" locked="0" layoutInCell="1" allowOverlap="1">
                <wp:simplePos x="0" y="0"/>
                <wp:positionH relativeFrom="column">
                  <wp:posOffset>445135</wp:posOffset>
                </wp:positionH>
                <wp:positionV relativeFrom="paragraph">
                  <wp:posOffset>875665</wp:posOffset>
                </wp:positionV>
                <wp:extent cx="259715" cy="75565"/>
                <wp:effectExtent l="12700" t="12700" r="13335" b="26035"/>
                <wp:wrapNone/>
                <wp:docPr id="18" name="燕尾形箭头 8"/>
                <wp:cNvGraphicFramePr/>
                <a:graphic xmlns:a="http://schemas.openxmlformats.org/drawingml/2006/main">
                  <a:graphicData uri="http://schemas.microsoft.com/office/word/2010/wordprocessingShape">
                    <wps:wsp>
                      <wps:cNvSpPr/>
                      <wps:spPr>
                        <a:xfrm>
                          <a:off x="0" y="0"/>
                          <a:ext cx="259715" cy="75565"/>
                        </a:xfrm>
                        <a:prstGeom prst="notchedRightArrow">
                          <a:avLst>
                            <a:gd name="adj1" fmla="val 50000"/>
                            <a:gd name="adj2" fmla="val 49995"/>
                          </a:avLst>
                        </a:prstGeom>
                        <a:solidFill>
                          <a:srgbClr val="4F81BD"/>
                        </a:solidFill>
                        <a:ln w="25400" cap="flat" cmpd="sng">
                          <a:solidFill>
                            <a:srgbClr val="385D8A"/>
                          </a:solidFill>
                          <a:prstDash val="solid"/>
                          <a:round/>
                          <a:headEnd type="none" w="med" len="med"/>
                          <a:tailEnd type="none" w="med" len="med"/>
                        </a:ln>
                      </wps:spPr>
                      <wps:bodyPr vert="horz" wrap="square" anchor="ctr" anchorCtr="0" upright="1"/>
                    </wps:wsp>
                  </a:graphicData>
                </a:graphic>
              </wp:anchor>
            </w:drawing>
          </mc:Choice>
          <mc:Fallback>
            <w:pict>
              <v:shape id="燕尾形箭头 8" o:spid="_x0000_s1026" o:spt="94" type="#_x0000_t94" style="position:absolute;left:0pt;margin-left:35.05pt;margin-top:68.95pt;height:5.95pt;width:20.45pt;z-index:251676672;v-text-anchor:middle;mso-width-relative:page;mso-height-relative:page;" fillcolor="#4F81BD" filled="t" stroked="t" coordsize="21600,21600" o:gfxdata="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uoGETW&#10;AAAACgEAAA8AAAAAAAAAAQAgAAAAIgAAAGRycy9kb3ducmV2LnhtbFBLAQIUABQAAAAIAIdO4kC3&#10;glK/WwIAALoEAAAOAAAAAAAAAAEAIAAAACUBAABkcnMvZTJvRG9jLnhtbFBLBQYAAAAABgAGAFkB&#10;AADyBQAAAAA=&#10;" adj="18459,5400">
                <v:fill on="t" focussize="0,0"/>
                <v:stroke weight="2pt" color="#385D8A" joinstyle="round"/>
                <v:imagedata o:title=""/>
                <o:lock v:ext="edit" aspectratio="f"/>
              </v:shape>
            </w:pict>
          </mc:Fallback>
        </mc:AlternateContent>
      </w:r>
      <w:r>
        <w:rPr>
          <w:rFonts w:hint="default" w:ascii="Times New Roman" w:eastAsia="仿宋_GB2312"/>
          <w:color w:val="000000"/>
          <w:sz w:val="32"/>
          <w:szCs w:val="24"/>
          <w:lang w:val="zh-CN"/>
        </w:rPr>
        <mc:AlternateContent>
          <mc:Choice Requires="wps">
            <w:drawing>
              <wp:anchor distT="0" distB="0" distL="114300" distR="114300" simplePos="0" relativeHeight="251673600" behindDoc="0" locked="0" layoutInCell="1" allowOverlap="1">
                <wp:simplePos x="0" y="0"/>
                <wp:positionH relativeFrom="column">
                  <wp:posOffset>4429125</wp:posOffset>
                </wp:positionH>
                <wp:positionV relativeFrom="paragraph">
                  <wp:posOffset>541655</wp:posOffset>
                </wp:positionV>
                <wp:extent cx="259715" cy="75565"/>
                <wp:effectExtent l="12700" t="12700" r="13335" b="26035"/>
                <wp:wrapNone/>
                <wp:docPr id="15" name="燕尾形箭头 7"/>
                <wp:cNvGraphicFramePr/>
                <a:graphic xmlns:a="http://schemas.openxmlformats.org/drawingml/2006/main">
                  <a:graphicData uri="http://schemas.microsoft.com/office/word/2010/wordprocessingShape">
                    <wps:wsp>
                      <wps:cNvSpPr/>
                      <wps:spPr>
                        <a:xfrm>
                          <a:off x="0" y="0"/>
                          <a:ext cx="259715" cy="75565"/>
                        </a:xfrm>
                        <a:prstGeom prst="notchedRightArrow">
                          <a:avLst>
                            <a:gd name="adj1" fmla="val 50000"/>
                            <a:gd name="adj2" fmla="val 49995"/>
                          </a:avLst>
                        </a:prstGeom>
                        <a:solidFill>
                          <a:srgbClr val="4F81BD"/>
                        </a:solidFill>
                        <a:ln w="25400" cap="flat" cmpd="sng">
                          <a:solidFill>
                            <a:srgbClr val="385D8A"/>
                          </a:solidFill>
                          <a:prstDash val="solid"/>
                          <a:round/>
                          <a:headEnd type="none" w="med" len="med"/>
                          <a:tailEnd type="none" w="med" len="med"/>
                        </a:ln>
                      </wps:spPr>
                      <wps:bodyPr vert="horz" wrap="square" anchor="ctr" anchorCtr="0" upright="1"/>
                    </wps:wsp>
                  </a:graphicData>
                </a:graphic>
              </wp:anchor>
            </w:drawing>
          </mc:Choice>
          <mc:Fallback>
            <w:pict>
              <v:shape id="燕尾形箭头 7" o:spid="_x0000_s1026" o:spt="94" type="#_x0000_t94" style="position:absolute;left:0pt;margin-left:348.75pt;margin-top:42.65pt;height:5.95pt;width:20.45pt;z-index:251673600;v-text-anchor:middle;mso-width-relative:page;mso-height-relative:page;" fillcolor="#4F81BD" filled="t" stroked="t" coordsize="21600,21600" o:gfxdata="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Q95QodYA&#10;AAAJAQAADwAAAAAAAAABACAAAAAiAAAAZHJzL2Rvd25yZXYueG1sUEsBAhQAFAAAAAgAh07iQGZj&#10;C11aAgAAugQAAA4AAAAAAAAAAQAgAAAAJQEAAGRycy9lMm9Eb2MueG1sUEsFBgAAAAAGAAYAWQEA&#10;APEFAAAAAA==&#10;" adj="18459,5400">
                <v:fill on="t" focussize="0,0"/>
                <v:stroke weight="2pt" color="#385D8A" joinstyle="round"/>
                <v:imagedata o:title=""/>
                <o:lock v:ext="edit" aspectratio="f"/>
              </v:shape>
            </w:pict>
          </mc:Fallback>
        </mc:AlternateContent>
      </w:r>
      <w:r>
        <w:rPr>
          <w:rFonts w:hint="default" w:ascii="Times New Roman" w:eastAsia="仿宋_GB2312"/>
          <w:color w:val="000000"/>
          <w:sz w:val="32"/>
          <w:szCs w:val="24"/>
          <w:lang w:val="zh-CN"/>
        </w:rPr>
        <mc:AlternateContent>
          <mc:Choice Requires="wps">
            <w:drawing>
              <wp:anchor distT="0" distB="0" distL="114300" distR="114300" simplePos="0" relativeHeight="251674624" behindDoc="0" locked="0" layoutInCell="1" allowOverlap="1">
                <wp:simplePos x="0" y="0"/>
                <wp:positionH relativeFrom="column">
                  <wp:posOffset>3716020</wp:posOffset>
                </wp:positionH>
                <wp:positionV relativeFrom="paragraph">
                  <wp:posOffset>545465</wp:posOffset>
                </wp:positionV>
                <wp:extent cx="259715" cy="75565"/>
                <wp:effectExtent l="12700" t="12700" r="13335" b="26035"/>
                <wp:wrapNone/>
                <wp:docPr id="16" name="燕尾形箭头 6"/>
                <wp:cNvGraphicFramePr/>
                <a:graphic xmlns:a="http://schemas.openxmlformats.org/drawingml/2006/main">
                  <a:graphicData uri="http://schemas.microsoft.com/office/word/2010/wordprocessingShape">
                    <wps:wsp>
                      <wps:cNvSpPr/>
                      <wps:spPr>
                        <a:xfrm>
                          <a:off x="0" y="0"/>
                          <a:ext cx="259715" cy="75565"/>
                        </a:xfrm>
                        <a:prstGeom prst="notchedRightArrow">
                          <a:avLst>
                            <a:gd name="adj1" fmla="val 50000"/>
                            <a:gd name="adj2" fmla="val 49995"/>
                          </a:avLst>
                        </a:prstGeom>
                        <a:solidFill>
                          <a:srgbClr val="4F81BD"/>
                        </a:solidFill>
                        <a:ln w="25400" cap="flat" cmpd="sng">
                          <a:solidFill>
                            <a:srgbClr val="385D8A"/>
                          </a:solidFill>
                          <a:prstDash val="solid"/>
                          <a:round/>
                          <a:headEnd type="none" w="med" len="med"/>
                          <a:tailEnd type="none" w="med" len="med"/>
                        </a:ln>
                      </wps:spPr>
                      <wps:bodyPr vert="horz" wrap="square" anchor="ctr" anchorCtr="0" upright="1"/>
                    </wps:wsp>
                  </a:graphicData>
                </a:graphic>
              </wp:anchor>
            </w:drawing>
          </mc:Choice>
          <mc:Fallback>
            <w:pict>
              <v:shape id="燕尾形箭头 6" o:spid="_x0000_s1026" o:spt="94" type="#_x0000_t94" style="position:absolute;left:0pt;margin-left:292.6pt;margin-top:42.95pt;height:5.95pt;width:20.45pt;z-index:251674624;v-text-anchor:middle;mso-width-relative:page;mso-height-relative:page;" fillcolor="#4F81BD" filled="t" stroked="t" coordsize="21600,21600" o:gfxdata="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cOC4vW&#10;AAAACQEAAA8AAAAAAAAAAQAgAAAAIgAAAGRycy9kb3ducmV2LnhtbFBLAQIUABQAAAAIAIdO4kC9&#10;dK6pWwIAALoEAAAOAAAAAAAAAAEAIAAAACUBAABkcnMvZTJvRG9jLnhtbFBLBQYAAAAABgAGAFkB&#10;AADyBQAAAAA=&#10;" adj="18459,5400">
                <v:fill on="t" focussize="0,0"/>
                <v:stroke weight="2pt" color="#385D8A" joinstyle="round"/>
                <v:imagedata o:title=""/>
                <o:lock v:ext="edit" aspectratio="f"/>
              </v:shape>
            </w:pict>
          </mc:Fallback>
        </mc:AlternateContent>
      </w:r>
      <w:r>
        <w:rPr>
          <w:rFonts w:hint="default" w:ascii="Times New Roman" w:eastAsia="仿宋_GB2312"/>
          <w:color w:val="000000"/>
          <w:sz w:val="32"/>
          <w:szCs w:val="24"/>
          <w:lang w:val="zh-CN"/>
        </w:rPr>
        <mc:AlternateContent>
          <mc:Choice Requires="wps">
            <w:drawing>
              <wp:anchor distT="0" distB="0" distL="114300" distR="114300" simplePos="0" relativeHeight="251675648" behindDoc="0" locked="0" layoutInCell="1" allowOverlap="1">
                <wp:simplePos x="0" y="0"/>
                <wp:positionH relativeFrom="column">
                  <wp:posOffset>2303145</wp:posOffset>
                </wp:positionH>
                <wp:positionV relativeFrom="paragraph">
                  <wp:posOffset>524510</wp:posOffset>
                </wp:positionV>
                <wp:extent cx="259715" cy="75565"/>
                <wp:effectExtent l="12700" t="12700" r="13335" b="26035"/>
                <wp:wrapNone/>
                <wp:docPr id="17" name="燕尾形箭头 9"/>
                <wp:cNvGraphicFramePr/>
                <a:graphic xmlns:a="http://schemas.openxmlformats.org/drawingml/2006/main">
                  <a:graphicData uri="http://schemas.microsoft.com/office/word/2010/wordprocessingShape">
                    <wps:wsp>
                      <wps:cNvSpPr/>
                      <wps:spPr>
                        <a:xfrm>
                          <a:off x="0" y="0"/>
                          <a:ext cx="259715" cy="75565"/>
                        </a:xfrm>
                        <a:prstGeom prst="notchedRightArrow">
                          <a:avLst>
                            <a:gd name="adj1" fmla="val 50000"/>
                            <a:gd name="adj2" fmla="val 49995"/>
                          </a:avLst>
                        </a:prstGeom>
                        <a:solidFill>
                          <a:srgbClr val="4F81BD"/>
                        </a:solidFill>
                        <a:ln w="25400" cap="flat" cmpd="sng">
                          <a:solidFill>
                            <a:srgbClr val="385D8A"/>
                          </a:solidFill>
                          <a:prstDash val="solid"/>
                          <a:round/>
                          <a:headEnd type="none" w="med" len="med"/>
                          <a:tailEnd type="none" w="med" len="med"/>
                        </a:ln>
                      </wps:spPr>
                      <wps:bodyPr vert="horz" wrap="square" anchor="ctr" anchorCtr="0" upright="1"/>
                    </wps:wsp>
                  </a:graphicData>
                </a:graphic>
              </wp:anchor>
            </w:drawing>
          </mc:Choice>
          <mc:Fallback>
            <w:pict>
              <v:shape id="燕尾形箭头 9" o:spid="_x0000_s1026" o:spt="94" type="#_x0000_t94" style="position:absolute;left:0pt;margin-left:181.35pt;margin-top:41.3pt;height:5.95pt;width:20.45pt;z-index:251675648;v-text-anchor:middle;mso-width-relative:page;mso-height-relative:page;" fillcolor="#4F81BD" filled="t" stroked="t" coordsize="21600,21600" o:gfxdata="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tVwHW&#10;AAAACQEAAA8AAAAAAAAAAQAgAAAAIgAAAGRycy9kb3ducmV2LnhtbFBLAQIUABQAAAAIAIdO4kDc&#10;hh1QWwIAALoEAAAOAAAAAAAAAAEAIAAAACUBAABkcnMvZTJvRG9jLnhtbFBLBQYAAAAABgAGAFkB&#10;AADyBQAAAAA=&#10;" adj="18459,5400">
                <v:fill on="t" focussize="0,0"/>
                <v:stroke weight="2pt" color="#385D8A" joinstyle="round"/>
                <v:imagedata o:title=""/>
                <o:lock v:ext="edit" aspectratio="f"/>
              </v:shape>
            </w:pict>
          </mc:Fallback>
        </mc:AlternateContent>
      </w:r>
      <w:r>
        <w:rPr>
          <w:rFonts w:hint="eastAsia" w:ascii="Times New Roman" w:eastAsia="仿宋_GB2312"/>
          <w:color w:val="000000"/>
          <w:sz w:val="32"/>
          <w:szCs w:val="24"/>
          <w:lang w:val="zh-CN"/>
        </w:rPr>
        <w:t>我镇2022年农村公共服务运行维护资金项目由各村按照项目管理要求，按照征求意见    召开代表会   公示    上报镇政府备案   实施   验收   公示   财政支付的程序实施，并制定项目管理制度，在项目运行中，由分管领导、联村领导干部全程监管。</w:t>
      </w:r>
    </w:p>
    <w:p w14:paraId="2C9F6E3F">
      <w:pPr>
        <w:autoSpaceDE/>
        <w:autoSpaceDN/>
        <w:adjustRightInd/>
        <w:snapToGrid w:val="0"/>
        <w:spacing w:line="556" w:lineRule="exact"/>
        <w:ind w:firstLine="640" w:firstLineChars="200"/>
        <w:jc w:val="both"/>
        <w:textAlignment w:val="baseline"/>
        <w:rPr>
          <w:rFonts w:hint="eastAsia" w:ascii="Times New Roman" w:eastAsia="Times New Roman"/>
          <w:sz w:val="20"/>
          <w:szCs w:val="24"/>
          <w:lang w:val="zh-CN"/>
        </w:rPr>
      </w:pPr>
      <w:r>
        <w:rPr>
          <w:rFonts w:hint="eastAsia" w:ascii="Times New Roman" w:eastAsia="黑体"/>
          <w:sz w:val="32"/>
          <w:szCs w:val="24"/>
        </w:rPr>
        <w:t>三、项目绩效情况</w:t>
      </w:r>
      <w:r>
        <w:rPr>
          <w:rFonts w:hint="eastAsia" w:ascii="Times New Roman" w:eastAsia="Times New Roman"/>
          <w:sz w:val="32"/>
          <w:szCs w:val="24"/>
          <w:lang w:val="zh-CN"/>
        </w:rPr>
        <w:tab/>
      </w:r>
    </w:p>
    <w:p w14:paraId="7F152974">
      <w:pPr>
        <w:autoSpaceDE/>
        <w:autoSpaceDN/>
        <w:adjustRightInd/>
        <w:snapToGrid w:val="0"/>
        <w:spacing w:line="556" w:lineRule="exact"/>
        <w:ind w:firstLine="640" w:firstLineChars="200"/>
        <w:jc w:val="both"/>
        <w:textAlignment w:val="baseline"/>
        <w:rPr>
          <w:rFonts w:hint="eastAsia" w:ascii="Times New Roman" w:eastAsia="Times New Roman"/>
          <w:sz w:val="20"/>
          <w:szCs w:val="24"/>
        </w:rPr>
      </w:pPr>
      <w:r>
        <w:rPr>
          <w:rFonts w:hint="eastAsia" w:ascii="Times New Roman" w:eastAsia="楷体_GB2312"/>
          <w:sz w:val="32"/>
          <w:szCs w:val="24"/>
          <w:lang w:val="zh-CN"/>
        </w:rPr>
        <w:t>（一）项目完成情况</w:t>
      </w:r>
    </w:p>
    <w:p w14:paraId="7791B8E9">
      <w:pPr>
        <w:spacing w:line="576" w:lineRule="exact"/>
        <w:ind w:firstLine="640" w:firstLineChars="200"/>
        <w:rPr>
          <w:rFonts w:hint="eastAsia" w:ascii="Times New Roman" w:eastAsia="仿宋_GB2312"/>
          <w:color w:val="000000"/>
          <w:sz w:val="32"/>
          <w:szCs w:val="24"/>
          <w:lang w:val="zh-CN"/>
        </w:rPr>
      </w:pPr>
      <w:r>
        <w:rPr>
          <w:rFonts w:hint="eastAsia" w:ascii="Times New Roman" w:eastAsia="仿宋_GB2312"/>
          <w:color w:val="000000"/>
          <w:sz w:val="32"/>
          <w:szCs w:val="24"/>
          <w:lang w:val="zh-CN"/>
        </w:rPr>
        <w:t>1.目标任务完成情况。截至2023年12月31日，各村（社区）农村公共服务运行维护资金项目完工率均为100%，总计资金99万元。（1）农村基础设施和环境项目类的运行维护方面：红军山社区垃圾清运、路灯维修和环境卫生整治5.7万元，太公场镇朱真街路面污水井、雨水井维修1.3万元；玄贞村村内道路维护3.5万元，整治山坪塘3口1.3万元，垃圾清运0.6万元，新建祭祀集中焚烧池1个0.3万元；红卫村排水沟整治、饮水管网、水表维护5.15万元，道路清扫、垃圾清运0.85万元；太公岭村村内道路维护5.6万元，垃圾清运1.2万元；村内道路维修3.8万元，垃圾清运、人居环境整治1.9万元；高照村村道路维护1.2万元，山坪塘堰塘清淤、加埂、砌堡坎、垒副坡等2.8万元，垃圾清运、环境治理1.4万元，新建焚烧池1个0.3万元；黄金村道路整治4.7万元，垃圾清运2万元，新建焚烧池1个0.26万元，环境卫生整治（购买花种子）0.15万元；水磨村村内堡坎和村道烂路及涵洞3.44万元，环境卫生及购买花种子1.72万元，新建焚烧池1个0.36万元；学堂村村内垃圾清运0.6万元，安装太阳能路灯5万元；太平村渠系和病塘维修4.36万元，垃圾收集及居民点环境卫生治理2.5万元；张家村道路维护3万元，张家村胜利水库渠系、山坪塘整治、维护渠系4.24万元，环境治理0.46万元；黄龙社区广场坝子维修2.75万元，防洪堰整治0.2万元，垃圾清运、购垃圾桶0.85万元，路灯维护、改建公厕2.75万元；回龙村道路环境综合治理4.77万元，垃圾清运0.4万元；白头村村社道路维修2.85万元，垃圾清运及村社环境整治2.05万元，新建焚烧池1个0.3万元；双庙村道路维护3.16万元，安全饮水管道维护0.24万元，垃圾清运、购置垃圾桶1.8万元，新建焚烧池1个0.2万元。（2）农业生产服务类项目的运行维护方面：玄贞村、太公岭村、高照村、黄金村、水磨村、学堂村、太平村、张家村、回龙村、白头村、双庙村等11个村的动植物疫病防治4.25万元。（3）农村生活服务类项目的运行维护方面：黄金村、水磨村、太平村、黄龙社区等4个村的广播电视“村村通”0.83万元。（4）农村社会管理类项目的运行维护方面：场埃村、黄金村、学堂村、黄龙社区、回龙村、双庙村等6个村购买新冠疫情防控物资1.91万元。</w:t>
      </w:r>
    </w:p>
    <w:p w14:paraId="0C87A9D2">
      <w:pPr>
        <w:spacing w:line="576" w:lineRule="exact"/>
        <w:ind w:firstLine="640" w:firstLineChars="200"/>
        <w:rPr>
          <w:rFonts w:hint="eastAsia" w:ascii="Times New Roman" w:eastAsia="仿宋_GB2312"/>
          <w:color w:val="000000"/>
          <w:sz w:val="32"/>
          <w:szCs w:val="24"/>
          <w:lang w:val="zh-CN"/>
        </w:rPr>
      </w:pPr>
      <w:r>
        <w:rPr>
          <w:rFonts w:hint="eastAsia" w:ascii="Times New Roman" w:eastAsia="仿宋_GB2312"/>
          <w:color w:val="000000"/>
          <w:sz w:val="32"/>
          <w:szCs w:val="24"/>
          <w:lang w:val="zh-CN"/>
        </w:rPr>
        <w:t>2.目标完成质量。太公镇农村公共服务运行维护资金项目在区财政局关心帮助及业务指导下，在镇党委政府坚强领导下，各村（社区）有序推进，保质保量完成各项任务，经村（社区）居民评价，满意度为96%。</w:t>
      </w:r>
    </w:p>
    <w:p w14:paraId="5A7AADF3">
      <w:pPr>
        <w:spacing w:line="576" w:lineRule="exact"/>
        <w:ind w:firstLine="640" w:firstLineChars="200"/>
        <w:rPr>
          <w:rFonts w:hint="eastAsia" w:ascii="Times New Roman" w:eastAsia="仿宋_GB2312"/>
          <w:color w:val="000000"/>
          <w:sz w:val="32"/>
          <w:szCs w:val="24"/>
          <w:lang w:val="zh-CN"/>
        </w:rPr>
      </w:pPr>
      <w:r>
        <w:rPr>
          <w:rFonts w:hint="eastAsia" w:ascii="Times New Roman" w:eastAsia="仿宋_GB2312"/>
          <w:color w:val="000000"/>
          <w:sz w:val="32"/>
          <w:szCs w:val="24"/>
          <w:lang w:val="zh-CN"/>
        </w:rPr>
        <w:t>3.目标完成进度。截至2023年12月31日，农村公共服务运行维护项目已完成100%。</w:t>
      </w:r>
    </w:p>
    <w:p w14:paraId="70EA3E93">
      <w:pPr>
        <w:autoSpaceDE/>
        <w:autoSpaceDN/>
        <w:adjustRightInd/>
        <w:snapToGrid w:val="0"/>
        <w:spacing w:line="556" w:lineRule="exact"/>
        <w:ind w:firstLine="640" w:firstLineChars="200"/>
        <w:jc w:val="both"/>
        <w:textAlignment w:val="baseline"/>
        <w:rPr>
          <w:rFonts w:hint="eastAsia" w:ascii="Times New Roman" w:eastAsia="Times New Roman"/>
          <w:sz w:val="32"/>
          <w:szCs w:val="24"/>
          <w:lang w:val="zh-CN"/>
        </w:rPr>
      </w:pPr>
      <w:r>
        <w:rPr>
          <w:rFonts w:hint="eastAsia" w:ascii="Times New Roman" w:eastAsia="楷体_GB2312"/>
          <w:sz w:val="32"/>
          <w:szCs w:val="24"/>
          <w:lang w:val="zh-CN"/>
        </w:rPr>
        <w:t>（二）项目效益情况</w:t>
      </w:r>
    </w:p>
    <w:p w14:paraId="0F0D12B5">
      <w:pPr>
        <w:spacing w:line="576" w:lineRule="exact"/>
        <w:ind w:firstLine="640" w:firstLineChars="200"/>
        <w:rPr>
          <w:rFonts w:hint="eastAsia" w:ascii="Times New Roman" w:eastAsia="仿宋_GB2312"/>
          <w:color w:val="000000"/>
          <w:sz w:val="32"/>
          <w:szCs w:val="24"/>
          <w:lang w:val="zh-CN"/>
        </w:rPr>
      </w:pPr>
      <w:r>
        <w:rPr>
          <w:rFonts w:hint="eastAsia" w:ascii="Times New Roman" w:eastAsia="仿宋_GB2312"/>
          <w:color w:val="000000"/>
          <w:sz w:val="32"/>
          <w:szCs w:val="24"/>
          <w:lang w:val="zh-CN"/>
        </w:rPr>
        <w:t>通过2022年农村公共服务运行维护资金项目的实施，一是改善了我镇13个村2个社区群众生产、生活条件，为群众生产生活带来了便利，为乡村振兴奠定了基础，群众生活质量和幸福指数均得到提高；二是通过对环境卫生的整治工作，群众的卫生习惯大幅提升，环境卫生有了一定的改变，营造了良好的卫生环境；二是通过项目的实施，群众参与村（社区）各项事务机会增加，村（社区）基层组织建设得到加强，公共服务管理和社会管理水平得到提升，干群关系更加融洽，基层政权更加稳固。</w:t>
      </w:r>
    </w:p>
    <w:p w14:paraId="48388767">
      <w:pPr>
        <w:autoSpaceDE/>
        <w:autoSpaceDN/>
        <w:adjustRightInd/>
        <w:snapToGrid w:val="0"/>
        <w:spacing w:line="556" w:lineRule="exact"/>
        <w:ind w:firstLine="640" w:firstLineChars="200"/>
        <w:jc w:val="both"/>
        <w:textAlignment w:val="baseline"/>
        <w:rPr>
          <w:rFonts w:hint="eastAsia" w:ascii="Times New Roman" w:eastAsia="Times New Roman"/>
          <w:sz w:val="20"/>
          <w:szCs w:val="24"/>
        </w:rPr>
      </w:pPr>
      <w:r>
        <w:rPr>
          <w:rFonts w:hint="eastAsia" w:ascii="Times New Roman" w:eastAsia="黑体"/>
          <w:sz w:val="32"/>
          <w:szCs w:val="24"/>
        </w:rPr>
        <w:t>四、自评结论及建议</w:t>
      </w:r>
    </w:p>
    <w:p w14:paraId="5701F042">
      <w:pPr>
        <w:autoSpaceDE/>
        <w:autoSpaceDN/>
        <w:adjustRightInd/>
        <w:snapToGrid w:val="0"/>
        <w:spacing w:line="556" w:lineRule="exact"/>
        <w:ind w:firstLine="640" w:firstLineChars="200"/>
        <w:jc w:val="both"/>
        <w:textAlignment w:val="baseline"/>
        <w:rPr>
          <w:rFonts w:hint="eastAsia" w:ascii="Times New Roman" w:eastAsia="Times New Roman"/>
          <w:sz w:val="32"/>
          <w:szCs w:val="24"/>
          <w:lang w:val="zh-CN"/>
        </w:rPr>
      </w:pPr>
      <w:r>
        <w:rPr>
          <w:rFonts w:hint="eastAsia" w:ascii="Times New Roman" w:eastAsia="楷体_GB2312"/>
          <w:sz w:val="32"/>
          <w:szCs w:val="24"/>
          <w:lang w:val="zh-CN"/>
        </w:rPr>
        <w:t>（一）评价结论</w:t>
      </w:r>
    </w:p>
    <w:p w14:paraId="1A5A25EC">
      <w:pPr>
        <w:spacing w:line="576" w:lineRule="exact"/>
        <w:ind w:firstLine="640" w:firstLineChars="200"/>
        <w:rPr>
          <w:rFonts w:hint="eastAsia" w:ascii="Times New Roman" w:eastAsia="仿宋_GB2312"/>
          <w:color w:val="000000"/>
          <w:sz w:val="32"/>
          <w:szCs w:val="24"/>
          <w:lang w:val="zh-CN"/>
        </w:rPr>
      </w:pPr>
      <w:r>
        <w:rPr>
          <w:rFonts w:hint="eastAsia" w:ascii="Times New Roman" w:eastAsia="仿宋_GB2312"/>
          <w:color w:val="000000"/>
          <w:sz w:val="32"/>
          <w:szCs w:val="24"/>
          <w:lang w:val="zh-CN"/>
        </w:rPr>
        <w:t>2022年农村公共服务运行维护资金项目资金能按照相关规定进行使用和管理，程序较为规范，取得了良好的经济收益和社会效益。我镇按照《广元市昭化区人民政府办公室关于印发〈广元市昭化区财政预算绩效管理实施细则〉的通知》（昭府办函〔2018〕118号）广元市昭化区项目支出绩效评价指标体系开展绩效评价，自评得分为93.3分。</w:t>
      </w:r>
    </w:p>
    <w:p w14:paraId="21A2C2DA">
      <w:pPr>
        <w:autoSpaceDE/>
        <w:autoSpaceDN/>
        <w:adjustRightInd/>
        <w:snapToGrid w:val="0"/>
        <w:spacing w:line="556" w:lineRule="exact"/>
        <w:ind w:firstLine="640" w:firstLineChars="200"/>
        <w:jc w:val="both"/>
        <w:textAlignment w:val="baseline"/>
        <w:rPr>
          <w:rFonts w:hint="eastAsia" w:ascii="Times New Roman" w:eastAsia="Times New Roman"/>
          <w:sz w:val="32"/>
          <w:szCs w:val="24"/>
          <w:lang w:val="zh-CN"/>
        </w:rPr>
      </w:pPr>
      <w:r>
        <w:rPr>
          <w:rFonts w:hint="eastAsia" w:ascii="Times New Roman" w:eastAsia="楷体_GB2312"/>
          <w:sz w:val="32"/>
          <w:szCs w:val="24"/>
          <w:lang w:val="zh-CN"/>
        </w:rPr>
        <w:t>（二）存在的问题</w:t>
      </w:r>
    </w:p>
    <w:p w14:paraId="3A5DC824">
      <w:pPr>
        <w:spacing w:line="576" w:lineRule="exact"/>
        <w:ind w:firstLine="640" w:firstLineChars="200"/>
        <w:rPr>
          <w:rFonts w:hint="eastAsia" w:ascii="Times New Roman" w:eastAsia="仿宋_GB2312"/>
          <w:color w:val="000000"/>
          <w:sz w:val="32"/>
          <w:szCs w:val="24"/>
          <w:lang w:val="zh-CN"/>
        </w:rPr>
      </w:pPr>
      <w:r>
        <w:rPr>
          <w:rFonts w:hint="eastAsia" w:ascii="Times New Roman" w:eastAsia="仿宋_GB2312"/>
          <w:color w:val="000000"/>
          <w:sz w:val="32"/>
          <w:szCs w:val="24"/>
          <w:lang w:val="zh-CN"/>
        </w:rPr>
        <w:t>是在支付过程中，部分村（居）提供的三方账户信息有误，导致支付失败重复支付。</w:t>
      </w:r>
    </w:p>
    <w:p w14:paraId="1BC3CE8A">
      <w:pPr>
        <w:autoSpaceDE/>
        <w:autoSpaceDN/>
        <w:adjustRightInd/>
        <w:snapToGrid w:val="0"/>
        <w:spacing w:line="556" w:lineRule="exact"/>
        <w:ind w:firstLine="640" w:firstLineChars="200"/>
        <w:jc w:val="both"/>
        <w:textAlignment w:val="baseline"/>
        <w:rPr>
          <w:rFonts w:hint="eastAsia" w:ascii="Times New Roman" w:eastAsia="Times New Roman"/>
          <w:sz w:val="32"/>
          <w:szCs w:val="24"/>
          <w:lang w:val="zh-CN"/>
        </w:rPr>
      </w:pPr>
      <w:r>
        <w:rPr>
          <w:rFonts w:hint="eastAsia" w:ascii="Times New Roman" w:eastAsia="楷体_GB2312"/>
          <w:sz w:val="32"/>
          <w:szCs w:val="24"/>
          <w:lang w:val="zh-CN"/>
        </w:rPr>
        <w:t>（三）相关措施建议</w:t>
      </w:r>
    </w:p>
    <w:p w14:paraId="2BADF6BF">
      <w:pPr>
        <w:spacing w:line="576" w:lineRule="exact"/>
        <w:ind w:firstLine="640" w:firstLineChars="200"/>
        <w:rPr>
          <w:rFonts w:hint="default" w:ascii="宋体" w:hAnsi="Times New Roman" w:cs="仿宋_GB2312"/>
          <w:color w:val="auto"/>
          <w:sz w:val="32"/>
          <w:szCs w:val="32"/>
          <w:lang w:bidi="ar"/>
        </w:rPr>
      </w:pPr>
      <w:r>
        <w:rPr>
          <w:rFonts w:hint="eastAsia" w:ascii="Times New Roman" w:eastAsia="仿宋_GB2312"/>
          <w:color w:val="000000"/>
          <w:sz w:val="32"/>
          <w:szCs w:val="24"/>
          <w:lang w:val="zh-CN"/>
        </w:rPr>
        <w:t>一是优化项目规划，各村（居）要广泛征求民意，准确掌握所辖村（居）内群众急需解决的急难问题，科学制定规划，切实改善本村内群众的生产、生活、出行条件，增强群众幸福感；二是加强项目管理，做好事前、事中、事后监督，及时完善资料报账，做到当年项目当年报账，不跨年度支付；三是加强工作能力提升，认真核实村（居）上报的账户信息，确保项目资金及时支付到位。</w:t>
      </w:r>
    </w:p>
    <w:tbl>
      <w:tblPr>
        <w:tblStyle w:val="14"/>
        <w:tblW w:w="11160" w:type="dxa"/>
        <w:tblInd w:w="-101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61"/>
        <w:gridCol w:w="1358"/>
        <w:gridCol w:w="1408"/>
        <w:gridCol w:w="926"/>
        <w:gridCol w:w="1326"/>
        <w:gridCol w:w="1242"/>
        <w:gridCol w:w="1233"/>
        <w:gridCol w:w="2306"/>
      </w:tblGrid>
      <w:tr w14:paraId="64530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11160" w:type="dxa"/>
            <w:gridSpan w:val="8"/>
            <w:tcBorders>
              <w:top w:val="nil"/>
              <w:left w:val="nil"/>
              <w:bottom w:val="nil"/>
              <w:right w:val="nil"/>
              <w:tl2br w:val="nil"/>
              <w:tr2bl w:val="nil"/>
            </w:tcBorders>
            <w:noWrap w:val="0"/>
            <w:vAlign w:val="center"/>
          </w:tcPr>
          <w:p w14:paraId="673D37EF">
            <w:pPr>
              <w:widowControl/>
              <w:jc w:val="center"/>
              <w:textAlignment w:val="center"/>
              <w:rPr>
                <w:rFonts w:hint="eastAsia" w:ascii="Times New Roman" w:eastAsia="方正小标宋简体" w:cs="方正小标宋简体"/>
                <w:color w:val="000000"/>
                <w:sz w:val="40"/>
                <w:szCs w:val="40"/>
              </w:rPr>
            </w:pPr>
            <w:r>
              <w:rPr>
                <w:rFonts w:hint="eastAsia" w:ascii="Times New Roman" w:eastAsia="方正小标宋简体" w:cs="方正小标宋简体"/>
                <w:color w:val="000000"/>
                <w:sz w:val="40"/>
                <w:szCs w:val="40"/>
                <w:lang w:bidi="ar"/>
              </w:rPr>
              <w:t>广元市昭化区财政项目支出绩效自评表</w:t>
            </w:r>
          </w:p>
        </w:tc>
      </w:tr>
      <w:tr w14:paraId="1D4D1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atLeast"/>
        </w:trPr>
        <w:tc>
          <w:tcPr>
            <w:tcW w:w="11160" w:type="dxa"/>
            <w:gridSpan w:val="8"/>
            <w:tcBorders>
              <w:top w:val="nil"/>
              <w:left w:val="nil"/>
              <w:bottom w:val="nil"/>
              <w:right w:val="nil"/>
              <w:tl2br w:val="nil"/>
              <w:tr2bl w:val="nil"/>
            </w:tcBorders>
            <w:noWrap w:val="0"/>
            <w:vAlign w:val="top"/>
          </w:tcPr>
          <w:p w14:paraId="3B63A688">
            <w:pPr>
              <w:widowControl/>
              <w:jc w:val="center"/>
              <w:textAlignment w:val="top"/>
              <w:rPr>
                <w:rFonts w:hint="default" w:cs="宋体"/>
                <w:color w:val="000000"/>
                <w:sz w:val="21"/>
                <w:szCs w:val="21"/>
              </w:rPr>
            </w:pPr>
            <w:r>
              <w:rPr>
                <w:rFonts w:hint="default" w:cs="宋体"/>
                <w:color w:val="000000"/>
                <w:sz w:val="21"/>
                <w:szCs w:val="21"/>
                <w:lang w:bidi="ar"/>
              </w:rPr>
              <w:t>（2023年度）</w:t>
            </w:r>
          </w:p>
        </w:tc>
      </w:tr>
      <w:tr w14:paraId="5751E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 w:hRule="atLeast"/>
        </w:trPr>
        <w:tc>
          <w:tcPr>
            <w:tcW w:w="27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6C0439">
            <w:pPr>
              <w:widowControl/>
              <w:jc w:val="center"/>
              <w:textAlignment w:val="center"/>
              <w:rPr>
                <w:rFonts w:hint="default" w:cs="宋体"/>
                <w:color w:val="000000"/>
                <w:sz w:val="16"/>
                <w:szCs w:val="16"/>
              </w:rPr>
            </w:pPr>
            <w:r>
              <w:rPr>
                <w:rFonts w:hint="default" w:cs="宋体"/>
                <w:color w:val="000000"/>
                <w:sz w:val="16"/>
                <w:szCs w:val="16"/>
                <w:lang w:bidi="ar"/>
              </w:rPr>
              <w:t>项目（政策）名称</w:t>
            </w:r>
          </w:p>
        </w:tc>
        <w:tc>
          <w:tcPr>
            <w:tcW w:w="8441"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B8208F">
            <w:pPr>
              <w:widowControl/>
              <w:jc w:val="center"/>
              <w:textAlignment w:val="center"/>
              <w:rPr>
                <w:rFonts w:hint="default" w:cs="宋体"/>
                <w:color w:val="000000"/>
                <w:sz w:val="16"/>
                <w:szCs w:val="16"/>
              </w:rPr>
            </w:pPr>
            <w:r>
              <w:rPr>
                <w:rFonts w:hint="default" w:cs="宋体"/>
                <w:color w:val="000000"/>
                <w:sz w:val="16"/>
                <w:szCs w:val="16"/>
                <w:lang w:bidi="ar"/>
              </w:rPr>
              <w:t>2022年基层组织活动和公共服务运行经费</w:t>
            </w:r>
          </w:p>
        </w:tc>
      </w:tr>
      <w:tr w14:paraId="4E64D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 w:hRule="atLeast"/>
        </w:trPr>
        <w:tc>
          <w:tcPr>
            <w:tcW w:w="27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45EB53">
            <w:pPr>
              <w:widowControl/>
              <w:jc w:val="center"/>
              <w:textAlignment w:val="center"/>
              <w:rPr>
                <w:rFonts w:hint="default" w:cs="宋体"/>
                <w:color w:val="000000"/>
                <w:sz w:val="16"/>
                <w:szCs w:val="16"/>
              </w:rPr>
            </w:pPr>
            <w:r>
              <w:rPr>
                <w:rFonts w:hint="default" w:cs="宋体"/>
                <w:color w:val="000000"/>
                <w:sz w:val="16"/>
                <w:szCs w:val="16"/>
                <w:lang w:bidi="ar"/>
              </w:rPr>
              <w:t>主管部门</w:t>
            </w:r>
          </w:p>
        </w:tc>
        <w:tc>
          <w:tcPr>
            <w:tcW w:w="4902"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CFEC26">
            <w:pPr>
              <w:widowControl/>
              <w:jc w:val="center"/>
              <w:textAlignment w:val="center"/>
              <w:rPr>
                <w:rFonts w:hint="default" w:cs="宋体"/>
                <w:color w:val="000000"/>
                <w:sz w:val="16"/>
                <w:szCs w:val="16"/>
              </w:rPr>
            </w:pPr>
            <w:r>
              <w:rPr>
                <w:rFonts w:hint="default" w:cs="宋体"/>
                <w:color w:val="000000"/>
                <w:sz w:val="16"/>
                <w:szCs w:val="16"/>
                <w:lang w:bidi="ar"/>
              </w:rPr>
              <w:t>广元市昭化区人民政府</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7DB7C6">
            <w:pPr>
              <w:widowControl/>
              <w:jc w:val="center"/>
              <w:textAlignment w:val="center"/>
              <w:rPr>
                <w:rFonts w:hint="default" w:cs="宋体"/>
                <w:color w:val="000000"/>
                <w:sz w:val="16"/>
                <w:szCs w:val="16"/>
              </w:rPr>
            </w:pPr>
            <w:r>
              <w:rPr>
                <w:rFonts w:hint="default" w:cs="宋体"/>
                <w:color w:val="000000"/>
                <w:sz w:val="16"/>
                <w:szCs w:val="16"/>
                <w:lang w:bidi="ar"/>
              </w:rPr>
              <w:t>实施单位</w:t>
            </w:r>
          </w:p>
        </w:tc>
        <w:tc>
          <w:tcPr>
            <w:tcW w:w="230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F876B1">
            <w:pPr>
              <w:widowControl/>
              <w:textAlignment w:val="center"/>
              <w:rPr>
                <w:rFonts w:hint="default" w:cs="宋体"/>
                <w:color w:val="000000"/>
                <w:sz w:val="16"/>
                <w:szCs w:val="16"/>
              </w:rPr>
            </w:pPr>
            <w:r>
              <w:rPr>
                <w:rFonts w:hint="default" w:cs="宋体"/>
                <w:color w:val="000000"/>
                <w:sz w:val="16"/>
                <w:szCs w:val="16"/>
                <w:lang w:bidi="ar"/>
              </w:rPr>
              <w:t>镇域内13个村、2个社区</w:t>
            </w:r>
          </w:p>
        </w:tc>
      </w:tr>
      <w:tr w14:paraId="6BA46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 w:hRule="atLeast"/>
        </w:trPr>
        <w:tc>
          <w:tcPr>
            <w:tcW w:w="2719"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20B69A93">
            <w:pPr>
              <w:widowControl/>
              <w:jc w:val="center"/>
              <w:textAlignment w:val="center"/>
              <w:rPr>
                <w:rFonts w:hint="default" w:cs="宋体"/>
                <w:color w:val="000000"/>
                <w:sz w:val="16"/>
                <w:szCs w:val="16"/>
              </w:rPr>
            </w:pPr>
            <w:r>
              <w:rPr>
                <w:rFonts w:hint="default" w:cs="宋体"/>
                <w:color w:val="000000"/>
                <w:sz w:val="16"/>
                <w:szCs w:val="16"/>
                <w:lang w:bidi="ar"/>
              </w:rPr>
              <w:t>项目（政策）资金（万元）</w:t>
            </w:r>
          </w:p>
        </w:tc>
        <w:tc>
          <w:tcPr>
            <w:tcW w:w="2334" w:type="dxa"/>
            <w:gridSpan w:val="2"/>
            <w:tcBorders>
              <w:top w:val="nil"/>
              <w:left w:val="single" w:color="000000" w:sz="4" w:space="0"/>
              <w:bottom w:val="single" w:color="000000" w:sz="4" w:space="0"/>
              <w:right w:val="single" w:color="000000" w:sz="4" w:space="0"/>
              <w:tl2br w:val="nil"/>
              <w:tr2bl w:val="nil"/>
            </w:tcBorders>
            <w:noWrap w:val="0"/>
            <w:vAlign w:val="center"/>
          </w:tcPr>
          <w:p w14:paraId="737C8F6E">
            <w:pPr>
              <w:jc w:val="center"/>
              <w:rPr>
                <w:rFonts w:hint="default" w:cs="宋体"/>
                <w:color w:val="000000"/>
                <w:sz w:val="16"/>
                <w:szCs w:val="16"/>
              </w:rPr>
            </w:pPr>
          </w:p>
        </w:tc>
        <w:tc>
          <w:tcPr>
            <w:tcW w:w="1326" w:type="dxa"/>
            <w:tcBorders>
              <w:top w:val="nil"/>
              <w:left w:val="single" w:color="000000" w:sz="4" w:space="0"/>
              <w:bottom w:val="single" w:color="000000" w:sz="4" w:space="0"/>
              <w:right w:val="single" w:color="000000" w:sz="4" w:space="0"/>
              <w:tl2br w:val="nil"/>
              <w:tr2bl w:val="nil"/>
            </w:tcBorders>
            <w:noWrap w:val="0"/>
            <w:vAlign w:val="center"/>
          </w:tcPr>
          <w:p w14:paraId="7831C797">
            <w:pPr>
              <w:widowControl/>
              <w:jc w:val="center"/>
              <w:textAlignment w:val="center"/>
              <w:rPr>
                <w:rFonts w:hint="default" w:cs="宋体"/>
                <w:color w:val="000000"/>
                <w:sz w:val="16"/>
                <w:szCs w:val="16"/>
              </w:rPr>
            </w:pPr>
            <w:r>
              <w:rPr>
                <w:rFonts w:hint="default" w:cs="宋体"/>
                <w:color w:val="000000"/>
                <w:sz w:val="16"/>
                <w:szCs w:val="16"/>
                <w:lang w:bidi="ar"/>
              </w:rPr>
              <w:t>年初预算数</w:t>
            </w:r>
          </w:p>
        </w:tc>
        <w:tc>
          <w:tcPr>
            <w:tcW w:w="1242" w:type="dxa"/>
            <w:tcBorders>
              <w:top w:val="nil"/>
              <w:left w:val="single" w:color="000000" w:sz="4" w:space="0"/>
              <w:bottom w:val="single" w:color="000000" w:sz="4" w:space="0"/>
              <w:right w:val="single" w:color="000000" w:sz="4" w:space="0"/>
              <w:tl2br w:val="nil"/>
              <w:tr2bl w:val="nil"/>
            </w:tcBorders>
            <w:noWrap w:val="0"/>
            <w:vAlign w:val="center"/>
          </w:tcPr>
          <w:p w14:paraId="136FC1B7">
            <w:pPr>
              <w:widowControl/>
              <w:jc w:val="center"/>
              <w:textAlignment w:val="center"/>
              <w:rPr>
                <w:rFonts w:hint="default" w:cs="宋体"/>
                <w:color w:val="000000"/>
                <w:sz w:val="16"/>
                <w:szCs w:val="16"/>
              </w:rPr>
            </w:pPr>
            <w:r>
              <w:rPr>
                <w:rFonts w:hint="default" w:cs="宋体"/>
                <w:color w:val="000000"/>
                <w:sz w:val="16"/>
                <w:szCs w:val="16"/>
                <w:lang w:bidi="ar"/>
              </w:rPr>
              <w:t>全年预算数</w:t>
            </w:r>
          </w:p>
        </w:tc>
        <w:tc>
          <w:tcPr>
            <w:tcW w:w="1233" w:type="dxa"/>
            <w:tcBorders>
              <w:top w:val="nil"/>
              <w:left w:val="single" w:color="000000" w:sz="4" w:space="0"/>
              <w:bottom w:val="single" w:color="000000" w:sz="4" w:space="0"/>
              <w:right w:val="single" w:color="000000" w:sz="4" w:space="0"/>
              <w:tl2br w:val="nil"/>
              <w:tr2bl w:val="nil"/>
            </w:tcBorders>
            <w:noWrap w:val="0"/>
            <w:vAlign w:val="center"/>
          </w:tcPr>
          <w:p w14:paraId="767B8B86">
            <w:pPr>
              <w:widowControl/>
              <w:jc w:val="center"/>
              <w:textAlignment w:val="center"/>
              <w:rPr>
                <w:rFonts w:hint="default" w:cs="宋体"/>
                <w:color w:val="000000"/>
                <w:sz w:val="16"/>
                <w:szCs w:val="16"/>
              </w:rPr>
            </w:pPr>
            <w:r>
              <w:rPr>
                <w:rFonts w:hint="default" w:cs="宋体"/>
                <w:color w:val="000000"/>
                <w:sz w:val="16"/>
                <w:szCs w:val="16"/>
                <w:lang w:bidi="ar"/>
              </w:rPr>
              <w:t>全年执行数</w:t>
            </w:r>
          </w:p>
        </w:tc>
        <w:tc>
          <w:tcPr>
            <w:tcW w:w="230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CDA5DA">
            <w:pPr>
              <w:widowControl/>
              <w:jc w:val="center"/>
              <w:textAlignment w:val="center"/>
              <w:rPr>
                <w:rFonts w:hint="default" w:cs="宋体"/>
                <w:color w:val="000000"/>
                <w:sz w:val="16"/>
                <w:szCs w:val="16"/>
              </w:rPr>
            </w:pPr>
            <w:r>
              <w:rPr>
                <w:rFonts w:hint="default" w:cs="宋体"/>
                <w:color w:val="000000"/>
                <w:sz w:val="16"/>
                <w:szCs w:val="16"/>
                <w:lang w:bidi="ar"/>
              </w:rPr>
              <w:t>执行率</w:t>
            </w:r>
          </w:p>
        </w:tc>
      </w:tr>
      <w:tr w14:paraId="385E1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 w:hRule="atLeast"/>
        </w:trPr>
        <w:tc>
          <w:tcPr>
            <w:tcW w:w="2719"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1E8755E">
            <w:pPr>
              <w:jc w:val="center"/>
              <w:rPr>
                <w:rFonts w:hint="default" w:cs="宋体"/>
                <w:color w:val="000000"/>
                <w:sz w:val="16"/>
                <w:szCs w:val="16"/>
              </w:rPr>
            </w:pPr>
          </w:p>
        </w:tc>
        <w:tc>
          <w:tcPr>
            <w:tcW w:w="233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1655FC">
            <w:pPr>
              <w:widowControl/>
              <w:jc w:val="both"/>
              <w:textAlignment w:val="center"/>
              <w:rPr>
                <w:rFonts w:hint="default" w:cs="宋体"/>
                <w:color w:val="000000"/>
                <w:sz w:val="16"/>
                <w:szCs w:val="16"/>
              </w:rPr>
            </w:pPr>
            <w:r>
              <w:rPr>
                <w:rFonts w:hint="default" w:cs="宋体"/>
                <w:color w:val="000000"/>
                <w:sz w:val="16"/>
                <w:szCs w:val="16"/>
                <w:lang w:bidi="ar"/>
              </w:rPr>
              <w:t>年度资金总额</w:t>
            </w:r>
          </w:p>
        </w:tc>
        <w:tc>
          <w:tcPr>
            <w:tcW w:w="132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4AEE59">
            <w:pPr>
              <w:widowControl/>
              <w:jc w:val="center"/>
              <w:textAlignment w:val="center"/>
              <w:rPr>
                <w:rFonts w:hint="default" w:cs="宋体"/>
                <w:color w:val="000000"/>
                <w:sz w:val="16"/>
                <w:szCs w:val="16"/>
              </w:rPr>
            </w:pPr>
            <w:r>
              <w:rPr>
                <w:rFonts w:hint="default" w:cs="宋体"/>
                <w:color w:val="000000"/>
                <w:sz w:val="16"/>
                <w:szCs w:val="16"/>
                <w:lang w:bidi="ar"/>
              </w:rPr>
              <w:t>99</w:t>
            </w:r>
          </w:p>
        </w:tc>
        <w:tc>
          <w:tcPr>
            <w:tcW w:w="124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FC5588">
            <w:pPr>
              <w:widowControl/>
              <w:jc w:val="center"/>
              <w:textAlignment w:val="center"/>
              <w:rPr>
                <w:rFonts w:hint="default" w:cs="宋体"/>
                <w:color w:val="000000"/>
                <w:sz w:val="16"/>
                <w:szCs w:val="16"/>
              </w:rPr>
            </w:pPr>
            <w:r>
              <w:rPr>
                <w:rFonts w:hint="default" w:cs="宋体"/>
                <w:color w:val="000000"/>
                <w:sz w:val="16"/>
                <w:szCs w:val="16"/>
                <w:lang w:bidi="ar"/>
              </w:rPr>
              <w:t>99</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D0E0C3">
            <w:pPr>
              <w:widowControl/>
              <w:jc w:val="center"/>
              <w:textAlignment w:val="center"/>
              <w:rPr>
                <w:rFonts w:hint="default" w:cs="宋体"/>
                <w:color w:val="000000"/>
                <w:sz w:val="16"/>
                <w:szCs w:val="16"/>
              </w:rPr>
            </w:pPr>
            <w:r>
              <w:rPr>
                <w:rFonts w:hint="default" w:cs="宋体"/>
                <w:color w:val="000000"/>
                <w:sz w:val="16"/>
                <w:szCs w:val="16"/>
                <w:lang w:bidi="ar"/>
              </w:rPr>
              <w:t>99</w:t>
            </w:r>
          </w:p>
        </w:tc>
        <w:tc>
          <w:tcPr>
            <w:tcW w:w="230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672C6D">
            <w:pPr>
              <w:widowControl/>
              <w:jc w:val="center"/>
              <w:textAlignment w:val="center"/>
              <w:rPr>
                <w:rFonts w:hint="default" w:cs="宋体"/>
                <w:color w:val="000000"/>
                <w:sz w:val="16"/>
                <w:szCs w:val="16"/>
              </w:rPr>
            </w:pPr>
            <w:r>
              <w:rPr>
                <w:rFonts w:hint="default" w:cs="宋体"/>
                <w:color w:val="000000"/>
                <w:sz w:val="16"/>
                <w:szCs w:val="16"/>
                <w:lang w:bidi="ar"/>
              </w:rPr>
              <w:t>100%</w:t>
            </w:r>
          </w:p>
        </w:tc>
      </w:tr>
      <w:tr w14:paraId="38914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 w:hRule="atLeast"/>
        </w:trPr>
        <w:tc>
          <w:tcPr>
            <w:tcW w:w="2719"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24C02DB">
            <w:pPr>
              <w:jc w:val="center"/>
              <w:rPr>
                <w:rFonts w:hint="default" w:cs="宋体"/>
                <w:color w:val="000000"/>
                <w:sz w:val="16"/>
                <w:szCs w:val="16"/>
              </w:rPr>
            </w:pPr>
          </w:p>
        </w:tc>
        <w:tc>
          <w:tcPr>
            <w:tcW w:w="233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85E702">
            <w:pPr>
              <w:widowControl/>
              <w:textAlignment w:val="center"/>
              <w:rPr>
                <w:rFonts w:hint="default" w:cs="宋体"/>
                <w:color w:val="000000"/>
                <w:sz w:val="16"/>
                <w:szCs w:val="16"/>
              </w:rPr>
            </w:pPr>
            <w:r>
              <w:rPr>
                <w:rFonts w:hint="default" w:cs="宋体"/>
                <w:color w:val="000000"/>
                <w:sz w:val="16"/>
                <w:szCs w:val="16"/>
                <w:lang w:bidi="ar"/>
              </w:rPr>
              <w:t>（一）财政拨款小计</w:t>
            </w:r>
          </w:p>
        </w:tc>
        <w:tc>
          <w:tcPr>
            <w:tcW w:w="132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73035E">
            <w:pPr>
              <w:widowControl/>
              <w:jc w:val="center"/>
              <w:textAlignment w:val="center"/>
              <w:rPr>
                <w:rFonts w:hint="default" w:cs="宋体"/>
                <w:color w:val="000000"/>
                <w:sz w:val="16"/>
                <w:szCs w:val="16"/>
              </w:rPr>
            </w:pPr>
            <w:r>
              <w:rPr>
                <w:rFonts w:hint="default" w:cs="宋体"/>
                <w:color w:val="000000"/>
                <w:sz w:val="16"/>
                <w:szCs w:val="16"/>
                <w:lang w:bidi="ar"/>
              </w:rPr>
              <w:t>99</w:t>
            </w:r>
          </w:p>
        </w:tc>
        <w:tc>
          <w:tcPr>
            <w:tcW w:w="124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2F56AF">
            <w:pPr>
              <w:widowControl/>
              <w:jc w:val="center"/>
              <w:textAlignment w:val="center"/>
              <w:rPr>
                <w:rFonts w:hint="default" w:cs="宋体"/>
                <w:color w:val="000000"/>
                <w:sz w:val="16"/>
                <w:szCs w:val="16"/>
              </w:rPr>
            </w:pPr>
            <w:r>
              <w:rPr>
                <w:rFonts w:hint="default" w:cs="宋体"/>
                <w:color w:val="000000"/>
                <w:sz w:val="16"/>
                <w:szCs w:val="16"/>
                <w:lang w:bidi="ar"/>
              </w:rPr>
              <w:t>99</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FC7118">
            <w:pPr>
              <w:widowControl/>
              <w:jc w:val="center"/>
              <w:textAlignment w:val="center"/>
              <w:rPr>
                <w:rFonts w:hint="default" w:cs="宋体"/>
                <w:color w:val="000000"/>
                <w:sz w:val="16"/>
                <w:szCs w:val="16"/>
              </w:rPr>
            </w:pPr>
            <w:r>
              <w:rPr>
                <w:rFonts w:hint="default" w:cs="宋体"/>
                <w:color w:val="000000"/>
                <w:sz w:val="16"/>
                <w:szCs w:val="16"/>
                <w:lang w:bidi="ar"/>
              </w:rPr>
              <w:t>99</w:t>
            </w:r>
          </w:p>
        </w:tc>
        <w:tc>
          <w:tcPr>
            <w:tcW w:w="230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741215">
            <w:pPr>
              <w:widowControl/>
              <w:jc w:val="center"/>
              <w:textAlignment w:val="center"/>
              <w:rPr>
                <w:rFonts w:hint="default" w:cs="宋体"/>
                <w:color w:val="000000"/>
                <w:sz w:val="16"/>
                <w:szCs w:val="16"/>
              </w:rPr>
            </w:pPr>
            <w:r>
              <w:rPr>
                <w:rFonts w:hint="default" w:cs="宋体"/>
                <w:color w:val="000000"/>
                <w:sz w:val="16"/>
                <w:szCs w:val="16"/>
                <w:lang w:bidi="ar"/>
              </w:rPr>
              <w:t>100%</w:t>
            </w:r>
          </w:p>
        </w:tc>
      </w:tr>
      <w:tr w14:paraId="522D1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 w:hRule="atLeast"/>
        </w:trPr>
        <w:tc>
          <w:tcPr>
            <w:tcW w:w="2719"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51ACF49">
            <w:pPr>
              <w:jc w:val="center"/>
              <w:rPr>
                <w:rFonts w:hint="default" w:cs="宋体"/>
                <w:color w:val="000000"/>
                <w:sz w:val="16"/>
                <w:szCs w:val="16"/>
              </w:rPr>
            </w:pPr>
          </w:p>
        </w:tc>
        <w:tc>
          <w:tcPr>
            <w:tcW w:w="233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AEF118">
            <w:pPr>
              <w:widowControl/>
              <w:textAlignment w:val="center"/>
              <w:rPr>
                <w:rFonts w:hint="default" w:cs="宋体"/>
                <w:color w:val="000000"/>
                <w:sz w:val="16"/>
                <w:szCs w:val="16"/>
              </w:rPr>
            </w:pPr>
            <w:r>
              <w:rPr>
                <w:rFonts w:hint="default" w:cs="宋体"/>
                <w:color w:val="000000"/>
                <w:sz w:val="16"/>
                <w:szCs w:val="16"/>
                <w:lang w:bidi="ar"/>
              </w:rPr>
              <w:t xml:space="preserve">   1.一般公共预算</w:t>
            </w:r>
          </w:p>
        </w:tc>
        <w:tc>
          <w:tcPr>
            <w:tcW w:w="132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151DA0">
            <w:pPr>
              <w:widowControl/>
              <w:jc w:val="center"/>
              <w:textAlignment w:val="center"/>
              <w:rPr>
                <w:rFonts w:hint="default" w:cs="宋体"/>
                <w:color w:val="000000"/>
                <w:sz w:val="16"/>
                <w:szCs w:val="16"/>
              </w:rPr>
            </w:pPr>
            <w:r>
              <w:rPr>
                <w:rFonts w:hint="default" w:cs="宋体"/>
                <w:color w:val="000000"/>
                <w:sz w:val="16"/>
                <w:szCs w:val="16"/>
                <w:lang w:bidi="ar"/>
              </w:rPr>
              <w:t>99</w:t>
            </w:r>
          </w:p>
        </w:tc>
        <w:tc>
          <w:tcPr>
            <w:tcW w:w="124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0CA2E1">
            <w:pPr>
              <w:widowControl/>
              <w:jc w:val="center"/>
              <w:textAlignment w:val="center"/>
              <w:rPr>
                <w:rFonts w:hint="default" w:cs="宋体"/>
                <w:color w:val="000000"/>
                <w:sz w:val="16"/>
                <w:szCs w:val="16"/>
              </w:rPr>
            </w:pPr>
            <w:r>
              <w:rPr>
                <w:rFonts w:hint="default" w:cs="宋体"/>
                <w:color w:val="000000"/>
                <w:sz w:val="16"/>
                <w:szCs w:val="16"/>
                <w:lang w:bidi="ar"/>
              </w:rPr>
              <w:t>99</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82495B">
            <w:pPr>
              <w:widowControl/>
              <w:jc w:val="center"/>
              <w:textAlignment w:val="center"/>
              <w:rPr>
                <w:rFonts w:hint="default" w:cs="宋体"/>
                <w:color w:val="000000"/>
                <w:sz w:val="16"/>
                <w:szCs w:val="16"/>
              </w:rPr>
            </w:pPr>
            <w:r>
              <w:rPr>
                <w:rFonts w:hint="default" w:cs="宋体"/>
                <w:color w:val="000000"/>
                <w:sz w:val="16"/>
                <w:szCs w:val="16"/>
                <w:lang w:bidi="ar"/>
              </w:rPr>
              <w:t>99</w:t>
            </w:r>
          </w:p>
        </w:tc>
        <w:tc>
          <w:tcPr>
            <w:tcW w:w="230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1D09D9">
            <w:pPr>
              <w:widowControl/>
              <w:jc w:val="center"/>
              <w:textAlignment w:val="center"/>
              <w:rPr>
                <w:rFonts w:hint="default" w:cs="宋体"/>
                <w:color w:val="000000"/>
                <w:sz w:val="16"/>
                <w:szCs w:val="16"/>
              </w:rPr>
            </w:pPr>
            <w:r>
              <w:rPr>
                <w:rFonts w:hint="default" w:cs="宋体"/>
                <w:color w:val="000000"/>
                <w:sz w:val="16"/>
                <w:szCs w:val="16"/>
                <w:lang w:bidi="ar"/>
              </w:rPr>
              <w:t>100%</w:t>
            </w:r>
          </w:p>
        </w:tc>
      </w:tr>
      <w:tr w14:paraId="5DDD5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 w:hRule="atLeast"/>
        </w:trPr>
        <w:tc>
          <w:tcPr>
            <w:tcW w:w="2719"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98B9C21">
            <w:pPr>
              <w:jc w:val="center"/>
              <w:rPr>
                <w:rFonts w:hint="default" w:cs="宋体"/>
                <w:color w:val="000000"/>
                <w:sz w:val="16"/>
                <w:szCs w:val="16"/>
              </w:rPr>
            </w:pPr>
          </w:p>
        </w:tc>
        <w:tc>
          <w:tcPr>
            <w:tcW w:w="233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175D0B">
            <w:pPr>
              <w:widowControl/>
              <w:textAlignment w:val="center"/>
              <w:rPr>
                <w:rFonts w:hint="default" w:cs="宋体"/>
                <w:color w:val="000000"/>
                <w:sz w:val="16"/>
                <w:szCs w:val="16"/>
              </w:rPr>
            </w:pPr>
            <w:r>
              <w:rPr>
                <w:rFonts w:hint="default" w:cs="宋体"/>
                <w:color w:val="000000"/>
                <w:sz w:val="16"/>
                <w:szCs w:val="16"/>
                <w:lang w:bidi="ar"/>
              </w:rPr>
              <w:t xml:space="preserve">   2.政府性基金</w:t>
            </w:r>
          </w:p>
        </w:tc>
        <w:tc>
          <w:tcPr>
            <w:tcW w:w="132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A6CA40">
            <w:pPr>
              <w:rPr>
                <w:rFonts w:hint="default" w:cs="宋体"/>
                <w:color w:val="000000"/>
                <w:sz w:val="16"/>
                <w:szCs w:val="16"/>
              </w:rPr>
            </w:pPr>
          </w:p>
        </w:tc>
        <w:tc>
          <w:tcPr>
            <w:tcW w:w="124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183C48">
            <w:pPr>
              <w:jc w:val="center"/>
              <w:rPr>
                <w:rFonts w:hint="default" w:cs="宋体"/>
                <w:color w:val="000000"/>
                <w:sz w:val="16"/>
                <w:szCs w:val="16"/>
              </w:rPr>
            </w:pP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16E9E3">
            <w:pPr>
              <w:jc w:val="center"/>
              <w:rPr>
                <w:rFonts w:hint="default" w:cs="宋体"/>
                <w:color w:val="000000"/>
                <w:sz w:val="16"/>
                <w:szCs w:val="16"/>
              </w:rPr>
            </w:pPr>
          </w:p>
        </w:tc>
        <w:tc>
          <w:tcPr>
            <w:tcW w:w="230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934D0E">
            <w:pPr>
              <w:jc w:val="center"/>
              <w:rPr>
                <w:rFonts w:hint="default" w:cs="宋体"/>
                <w:color w:val="000000"/>
                <w:sz w:val="16"/>
                <w:szCs w:val="16"/>
              </w:rPr>
            </w:pPr>
          </w:p>
        </w:tc>
      </w:tr>
      <w:tr w14:paraId="26E3A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 w:hRule="atLeast"/>
        </w:trPr>
        <w:tc>
          <w:tcPr>
            <w:tcW w:w="2719"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D08349A">
            <w:pPr>
              <w:jc w:val="center"/>
              <w:rPr>
                <w:rFonts w:hint="default" w:cs="宋体"/>
                <w:color w:val="000000"/>
                <w:sz w:val="16"/>
                <w:szCs w:val="16"/>
              </w:rPr>
            </w:pPr>
          </w:p>
        </w:tc>
        <w:tc>
          <w:tcPr>
            <w:tcW w:w="233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2186D7">
            <w:pPr>
              <w:widowControl/>
              <w:textAlignment w:val="center"/>
              <w:rPr>
                <w:rFonts w:hint="default" w:cs="宋体"/>
                <w:color w:val="000000"/>
                <w:sz w:val="16"/>
                <w:szCs w:val="16"/>
              </w:rPr>
            </w:pPr>
            <w:r>
              <w:rPr>
                <w:rFonts w:hint="default" w:cs="宋体"/>
                <w:color w:val="000000"/>
                <w:sz w:val="16"/>
                <w:szCs w:val="16"/>
                <w:lang w:bidi="ar"/>
              </w:rPr>
              <w:t xml:space="preserve">  3.国有资本经营预算</w:t>
            </w:r>
          </w:p>
        </w:tc>
        <w:tc>
          <w:tcPr>
            <w:tcW w:w="132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F78EA3">
            <w:pPr>
              <w:rPr>
                <w:rFonts w:hint="default" w:cs="宋体"/>
                <w:color w:val="000000"/>
                <w:sz w:val="16"/>
                <w:szCs w:val="16"/>
              </w:rPr>
            </w:pPr>
          </w:p>
        </w:tc>
        <w:tc>
          <w:tcPr>
            <w:tcW w:w="124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2E24CE">
            <w:pPr>
              <w:jc w:val="center"/>
              <w:rPr>
                <w:rFonts w:hint="default" w:cs="宋体"/>
                <w:color w:val="000000"/>
                <w:sz w:val="16"/>
                <w:szCs w:val="16"/>
              </w:rPr>
            </w:pP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D1EA89">
            <w:pPr>
              <w:jc w:val="center"/>
              <w:rPr>
                <w:rFonts w:hint="default" w:cs="宋体"/>
                <w:color w:val="000000"/>
                <w:sz w:val="16"/>
                <w:szCs w:val="16"/>
              </w:rPr>
            </w:pPr>
          </w:p>
        </w:tc>
        <w:tc>
          <w:tcPr>
            <w:tcW w:w="230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034614">
            <w:pPr>
              <w:jc w:val="center"/>
              <w:rPr>
                <w:rFonts w:hint="default" w:cs="宋体"/>
                <w:color w:val="000000"/>
                <w:sz w:val="16"/>
                <w:szCs w:val="16"/>
              </w:rPr>
            </w:pPr>
          </w:p>
        </w:tc>
      </w:tr>
      <w:tr w14:paraId="1AF1C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 w:hRule="atLeast"/>
        </w:trPr>
        <w:tc>
          <w:tcPr>
            <w:tcW w:w="2719"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777E686">
            <w:pPr>
              <w:jc w:val="center"/>
              <w:rPr>
                <w:rFonts w:hint="default" w:cs="宋体"/>
                <w:color w:val="000000"/>
                <w:sz w:val="16"/>
                <w:szCs w:val="16"/>
              </w:rPr>
            </w:pPr>
          </w:p>
        </w:tc>
        <w:tc>
          <w:tcPr>
            <w:tcW w:w="233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99923C">
            <w:pPr>
              <w:widowControl/>
              <w:textAlignment w:val="center"/>
              <w:rPr>
                <w:rFonts w:hint="default" w:cs="宋体"/>
                <w:color w:val="000000"/>
                <w:sz w:val="16"/>
                <w:szCs w:val="16"/>
              </w:rPr>
            </w:pPr>
            <w:r>
              <w:rPr>
                <w:rFonts w:hint="default" w:cs="宋体"/>
                <w:color w:val="000000"/>
                <w:sz w:val="16"/>
                <w:szCs w:val="16"/>
                <w:lang w:bidi="ar"/>
              </w:rPr>
              <w:t xml:space="preserve">  4.社保基金</w:t>
            </w:r>
          </w:p>
        </w:tc>
        <w:tc>
          <w:tcPr>
            <w:tcW w:w="132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085A2B">
            <w:pPr>
              <w:rPr>
                <w:rFonts w:hint="default" w:cs="宋体"/>
                <w:color w:val="000000"/>
                <w:sz w:val="16"/>
                <w:szCs w:val="16"/>
              </w:rPr>
            </w:pPr>
          </w:p>
        </w:tc>
        <w:tc>
          <w:tcPr>
            <w:tcW w:w="124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147E80">
            <w:pPr>
              <w:jc w:val="center"/>
              <w:rPr>
                <w:rFonts w:hint="default" w:cs="宋体"/>
                <w:color w:val="000000"/>
                <w:sz w:val="16"/>
                <w:szCs w:val="16"/>
              </w:rPr>
            </w:pP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A6A2E9">
            <w:pPr>
              <w:jc w:val="center"/>
              <w:rPr>
                <w:rFonts w:hint="default" w:cs="宋体"/>
                <w:color w:val="000000"/>
                <w:sz w:val="16"/>
                <w:szCs w:val="16"/>
              </w:rPr>
            </w:pPr>
          </w:p>
        </w:tc>
        <w:tc>
          <w:tcPr>
            <w:tcW w:w="230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4606C0">
            <w:pPr>
              <w:jc w:val="center"/>
              <w:rPr>
                <w:rFonts w:hint="default" w:cs="宋体"/>
                <w:color w:val="000000"/>
                <w:sz w:val="16"/>
                <w:szCs w:val="16"/>
              </w:rPr>
            </w:pPr>
          </w:p>
        </w:tc>
      </w:tr>
      <w:tr w14:paraId="43935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 w:hRule="atLeast"/>
        </w:trPr>
        <w:tc>
          <w:tcPr>
            <w:tcW w:w="2719"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5E2AD29">
            <w:pPr>
              <w:jc w:val="center"/>
              <w:rPr>
                <w:rFonts w:hint="default" w:cs="宋体"/>
                <w:color w:val="000000"/>
                <w:sz w:val="16"/>
                <w:szCs w:val="16"/>
              </w:rPr>
            </w:pPr>
          </w:p>
        </w:tc>
        <w:tc>
          <w:tcPr>
            <w:tcW w:w="2334" w:type="dxa"/>
            <w:gridSpan w:val="2"/>
            <w:tcBorders>
              <w:top w:val="single" w:color="000000" w:sz="4" w:space="0"/>
              <w:left w:val="single" w:color="000000" w:sz="4" w:space="0"/>
              <w:bottom w:val="nil"/>
              <w:right w:val="single" w:color="000000" w:sz="4" w:space="0"/>
              <w:tl2br w:val="nil"/>
              <w:tr2bl w:val="nil"/>
            </w:tcBorders>
            <w:noWrap w:val="0"/>
            <w:vAlign w:val="center"/>
          </w:tcPr>
          <w:p w14:paraId="57BCCBF3">
            <w:pPr>
              <w:widowControl/>
              <w:textAlignment w:val="center"/>
              <w:rPr>
                <w:rFonts w:hint="default" w:cs="宋体"/>
                <w:color w:val="000000"/>
                <w:sz w:val="16"/>
                <w:szCs w:val="16"/>
              </w:rPr>
            </w:pPr>
            <w:r>
              <w:rPr>
                <w:rFonts w:hint="default" w:cs="宋体"/>
                <w:color w:val="000000"/>
                <w:sz w:val="16"/>
                <w:szCs w:val="16"/>
                <w:lang w:bidi="ar"/>
              </w:rPr>
              <w:t>（二）其他资金</w:t>
            </w:r>
          </w:p>
        </w:tc>
        <w:tc>
          <w:tcPr>
            <w:tcW w:w="1326" w:type="dxa"/>
            <w:tcBorders>
              <w:top w:val="single" w:color="000000" w:sz="4" w:space="0"/>
              <w:left w:val="single" w:color="000000" w:sz="4" w:space="0"/>
              <w:bottom w:val="nil"/>
              <w:right w:val="single" w:color="000000" w:sz="4" w:space="0"/>
              <w:tl2br w:val="nil"/>
              <w:tr2bl w:val="nil"/>
            </w:tcBorders>
            <w:noWrap w:val="0"/>
            <w:vAlign w:val="center"/>
          </w:tcPr>
          <w:p w14:paraId="1EFA5E56">
            <w:pPr>
              <w:rPr>
                <w:rFonts w:hint="default" w:cs="宋体"/>
                <w:color w:val="000000"/>
                <w:sz w:val="16"/>
                <w:szCs w:val="16"/>
              </w:rPr>
            </w:pPr>
          </w:p>
        </w:tc>
        <w:tc>
          <w:tcPr>
            <w:tcW w:w="1242" w:type="dxa"/>
            <w:tcBorders>
              <w:top w:val="single" w:color="000000" w:sz="4" w:space="0"/>
              <w:left w:val="single" w:color="000000" w:sz="4" w:space="0"/>
              <w:bottom w:val="nil"/>
              <w:right w:val="single" w:color="000000" w:sz="4" w:space="0"/>
              <w:tl2br w:val="nil"/>
              <w:tr2bl w:val="nil"/>
            </w:tcBorders>
            <w:noWrap w:val="0"/>
            <w:vAlign w:val="center"/>
          </w:tcPr>
          <w:p w14:paraId="0AC280BC">
            <w:pPr>
              <w:jc w:val="center"/>
              <w:rPr>
                <w:rFonts w:hint="default" w:cs="宋体"/>
                <w:color w:val="000000"/>
                <w:sz w:val="16"/>
                <w:szCs w:val="16"/>
              </w:rPr>
            </w:pPr>
          </w:p>
        </w:tc>
        <w:tc>
          <w:tcPr>
            <w:tcW w:w="1233" w:type="dxa"/>
            <w:tcBorders>
              <w:top w:val="single" w:color="000000" w:sz="4" w:space="0"/>
              <w:left w:val="single" w:color="000000" w:sz="4" w:space="0"/>
              <w:bottom w:val="nil"/>
              <w:right w:val="single" w:color="000000" w:sz="4" w:space="0"/>
              <w:tl2br w:val="nil"/>
              <w:tr2bl w:val="nil"/>
            </w:tcBorders>
            <w:noWrap w:val="0"/>
            <w:vAlign w:val="center"/>
          </w:tcPr>
          <w:p w14:paraId="0C1A64D7">
            <w:pPr>
              <w:jc w:val="center"/>
              <w:rPr>
                <w:rFonts w:hint="default" w:cs="宋体"/>
                <w:color w:val="000000"/>
                <w:sz w:val="16"/>
                <w:szCs w:val="16"/>
              </w:rPr>
            </w:pPr>
          </w:p>
        </w:tc>
        <w:tc>
          <w:tcPr>
            <w:tcW w:w="2306" w:type="dxa"/>
            <w:tcBorders>
              <w:top w:val="single" w:color="000000" w:sz="4" w:space="0"/>
              <w:left w:val="single" w:color="000000" w:sz="4" w:space="0"/>
              <w:bottom w:val="nil"/>
              <w:right w:val="single" w:color="000000" w:sz="4" w:space="0"/>
              <w:tl2br w:val="nil"/>
              <w:tr2bl w:val="nil"/>
            </w:tcBorders>
            <w:noWrap w:val="0"/>
            <w:vAlign w:val="center"/>
          </w:tcPr>
          <w:p w14:paraId="14678D98">
            <w:pPr>
              <w:jc w:val="center"/>
              <w:rPr>
                <w:rFonts w:hint="default" w:cs="宋体"/>
                <w:color w:val="000000"/>
                <w:sz w:val="16"/>
                <w:szCs w:val="16"/>
              </w:rPr>
            </w:pPr>
          </w:p>
        </w:tc>
      </w:tr>
      <w:tr w14:paraId="22E4B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 w:hRule="atLeast"/>
        </w:trPr>
        <w:tc>
          <w:tcPr>
            <w:tcW w:w="1361"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F5BE71">
            <w:pPr>
              <w:widowControl/>
              <w:jc w:val="center"/>
              <w:textAlignment w:val="center"/>
              <w:rPr>
                <w:rFonts w:hint="default" w:cs="宋体"/>
                <w:color w:val="000000"/>
                <w:sz w:val="16"/>
                <w:szCs w:val="16"/>
              </w:rPr>
            </w:pPr>
            <w:r>
              <w:rPr>
                <w:rFonts w:hint="default" w:cs="宋体"/>
                <w:color w:val="000000"/>
                <w:sz w:val="16"/>
                <w:szCs w:val="16"/>
                <w:lang w:bidi="ar"/>
              </w:rPr>
              <w:t>年度总体目标</w:t>
            </w:r>
          </w:p>
        </w:tc>
        <w:tc>
          <w:tcPr>
            <w:tcW w:w="5018" w:type="dxa"/>
            <w:gridSpan w:val="4"/>
            <w:tcBorders>
              <w:top w:val="single" w:color="000000" w:sz="4" w:space="0"/>
              <w:left w:val="single" w:color="000000" w:sz="4" w:space="0"/>
              <w:bottom w:val="single" w:color="000000" w:sz="4" w:space="0"/>
              <w:right w:val="single" w:color="000000" w:sz="4" w:space="0"/>
              <w:tl2br w:val="nil"/>
              <w:tr2bl w:val="nil"/>
            </w:tcBorders>
            <w:noWrap/>
            <w:vAlign w:val="center"/>
          </w:tcPr>
          <w:p w14:paraId="7DA2D5B5">
            <w:pPr>
              <w:widowControl/>
              <w:jc w:val="center"/>
              <w:textAlignment w:val="center"/>
              <w:rPr>
                <w:rFonts w:hint="default" w:cs="宋体"/>
                <w:color w:val="000000"/>
                <w:sz w:val="16"/>
                <w:szCs w:val="16"/>
              </w:rPr>
            </w:pPr>
            <w:r>
              <w:rPr>
                <w:rFonts w:hint="default" w:cs="宋体"/>
                <w:color w:val="000000"/>
                <w:sz w:val="16"/>
                <w:szCs w:val="16"/>
                <w:lang w:bidi="ar"/>
              </w:rPr>
              <w:t>预期目标</w:t>
            </w:r>
          </w:p>
        </w:tc>
        <w:tc>
          <w:tcPr>
            <w:tcW w:w="4781"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68E350">
            <w:pPr>
              <w:widowControl/>
              <w:jc w:val="center"/>
              <w:textAlignment w:val="center"/>
              <w:rPr>
                <w:rFonts w:hint="default" w:cs="宋体"/>
                <w:color w:val="000000"/>
                <w:sz w:val="16"/>
                <w:szCs w:val="16"/>
              </w:rPr>
            </w:pPr>
            <w:r>
              <w:rPr>
                <w:rFonts w:hint="default" w:cs="宋体"/>
                <w:color w:val="000000"/>
                <w:sz w:val="16"/>
                <w:szCs w:val="16"/>
                <w:lang w:bidi="ar"/>
              </w:rPr>
              <w:t>完成情况</w:t>
            </w:r>
          </w:p>
        </w:tc>
      </w:tr>
      <w:tr w14:paraId="7073D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5" w:hRule="atLeast"/>
        </w:trPr>
        <w:tc>
          <w:tcPr>
            <w:tcW w:w="1361"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E317BA">
            <w:pPr>
              <w:jc w:val="center"/>
              <w:rPr>
                <w:rFonts w:hint="default" w:cs="宋体"/>
                <w:color w:val="000000"/>
                <w:sz w:val="16"/>
                <w:szCs w:val="16"/>
              </w:rPr>
            </w:pPr>
          </w:p>
        </w:tc>
        <w:tc>
          <w:tcPr>
            <w:tcW w:w="5018"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7D9E5F">
            <w:pPr>
              <w:widowControl/>
              <w:textAlignment w:val="center"/>
              <w:rPr>
                <w:rFonts w:hint="default" w:cs="宋体"/>
                <w:color w:val="000000"/>
                <w:sz w:val="16"/>
                <w:szCs w:val="16"/>
              </w:rPr>
            </w:pPr>
            <w:r>
              <w:rPr>
                <w:rFonts w:hint="default" w:cs="宋体"/>
                <w:color w:val="000000"/>
                <w:sz w:val="16"/>
                <w:szCs w:val="16"/>
                <w:lang w:bidi="ar"/>
              </w:rPr>
              <w:t>加强基层组织建设，提高公共运行服务保障水平和社会治理能力，按照《广元市昭化区基层活动和公共服务运行经费使用管理办法》具体实施。项目资金主要用于新建森林防火哨卡4个，新建焚烧池14个，新建13个村2个社区村能办项目，镇辖区内所有村社区的垃圾清运计划每周1次，13个村园林绿化村道路两旁种植花草，13个村动物防疫村防员补助支出，15个村社区基础设施维护维修及2个社区文化体检及健身活动支出，服务对象覆盖13个村2个社区、77个村民小组17246人。群众满意度达到95%以上。</w:t>
            </w:r>
          </w:p>
        </w:tc>
        <w:tc>
          <w:tcPr>
            <w:tcW w:w="4781"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E37467">
            <w:pPr>
              <w:widowControl/>
              <w:textAlignment w:val="center"/>
              <w:rPr>
                <w:rFonts w:hint="default" w:cs="宋体"/>
                <w:color w:val="000000"/>
                <w:sz w:val="16"/>
                <w:szCs w:val="16"/>
              </w:rPr>
            </w:pPr>
            <w:r>
              <w:rPr>
                <w:rFonts w:hint="default" w:cs="宋体"/>
                <w:color w:val="000000"/>
                <w:sz w:val="16"/>
                <w:szCs w:val="16"/>
                <w:lang w:bidi="ar"/>
              </w:rPr>
              <w:t>加强基层组织建设，提高公共运行服务保障水平和社会治理能力，按照《广元市昭化区基层活动和公共服务运行经费使用管理办法》具体实施。全年垃圾清运不少于700次，新建焚烧池6个，村道路两旁栽植花草2处，村内道路基础设施维护12处，水利基础设施维修维护9处，维持15个村（社区）日常办公运转。服务对象覆盖镇域13个村2个社区77个村民小组17189人，群众满意度95%以上。</w:t>
            </w:r>
          </w:p>
        </w:tc>
      </w:tr>
      <w:tr w14:paraId="5E31D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 w:hRule="atLeast"/>
        </w:trPr>
        <w:tc>
          <w:tcPr>
            <w:tcW w:w="1361" w:type="dxa"/>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7A709DA0">
            <w:pPr>
              <w:widowControl/>
              <w:jc w:val="center"/>
              <w:textAlignment w:val="center"/>
              <w:rPr>
                <w:rFonts w:hint="default" w:cs="宋体"/>
                <w:color w:val="000000"/>
                <w:sz w:val="16"/>
                <w:szCs w:val="16"/>
              </w:rPr>
            </w:pPr>
            <w:r>
              <w:rPr>
                <w:rFonts w:hint="default" w:cs="宋体"/>
                <w:color w:val="000000"/>
                <w:sz w:val="16"/>
                <w:szCs w:val="16"/>
                <w:lang w:bidi="ar"/>
              </w:rPr>
              <w:t>绩效指标</w:t>
            </w:r>
          </w:p>
        </w:tc>
        <w:tc>
          <w:tcPr>
            <w:tcW w:w="135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82A149">
            <w:pPr>
              <w:widowControl/>
              <w:jc w:val="center"/>
              <w:textAlignment w:val="center"/>
              <w:rPr>
                <w:rFonts w:hint="default" w:cs="宋体"/>
                <w:color w:val="000000"/>
                <w:sz w:val="16"/>
                <w:szCs w:val="16"/>
              </w:rPr>
            </w:pPr>
            <w:r>
              <w:rPr>
                <w:rFonts w:hint="default" w:cs="宋体"/>
                <w:color w:val="000000"/>
                <w:sz w:val="16"/>
                <w:szCs w:val="16"/>
                <w:lang w:bidi="ar"/>
              </w:rPr>
              <w:t>一级指标</w:t>
            </w:r>
          </w:p>
        </w:tc>
        <w:tc>
          <w:tcPr>
            <w:tcW w:w="14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78C56B">
            <w:pPr>
              <w:widowControl/>
              <w:jc w:val="center"/>
              <w:textAlignment w:val="center"/>
              <w:rPr>
                <w:rFonts w:hint="default" w:cs="宋体"/>
                <w:color w:val="000000"/>
                <w:sz w:val="16"/>
                <w:szCs w:val="16"/>
              </w:rPr>
            </w:pPr>
            <w:r>
              <w:rPr>
                <w:rFonts w:hint="default" w:cs="宋体"/>
                <w:color w:val="000000"/>
                <w:sz w:val="16"/>
                <w:szCs w:val="16"/>
                <w:lang w:bidi="ar"/>
              </w:rPr>
              <w:t>二级指标</w:t>
            </w:r>
          </w:p>
        </w:tc>
        <w:tc>
          <w:tcPr>
            <w:tcW w:w="225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B515CA">
            <w:pPr>
              <w:widowControl/>
              <w:jc w:val="center"/>
              <w:textAlignment w:val="center"/>
              <w:rPr>
                <w:rFonts w:hint="default" w:cs="宋体"/>
                <w:color w:val="000000"/>
                <w:sz w:val="16"/>
                <w:szCs w:val="16"/>
              </w:rPr>
            </w:pPr>
            <w:r>
              <w:rPr>
                <w:rFonts w:hint="default" w:cs="宋体"/>
                <w:color w:val="000000"/>
                <w:sz w:val="16"/>
                <w:szCs w:val="16"/>
                <w:lang w:bidi="ar"/>
              </w:rPr>
              <w:t>三级指标</w:t>
            </w:r>
          </w:p>
        </w:tc>
        <w:tc>
          <w:tcPr>
            <w:tcW w:w="124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248275">
            <w:pPr>
              <w:widowControl/>
              <w:jc w:val="center"/>
              <w:textAlignment w:val="center"/>
              <w:rPr>
                <w:rFonts w:hint="default" w:cs="宋体"/>
                <w:color w:val="000000"/>
                <w:sz w:val="16"/>
                <w:szCs w:val="16"/>
              </w:rPr>
            </w:pPr>
            <w:r>
              <w:rPr>
                <w:rFonts w:hint="default" w:cs="宋体"/>
                <w:color w:val="000000"/>
                <w:sz w:val="16"/>
                <w:szCs w:val="16"/>
                <w:lang w:bidi="ar"/>
              </w:rPr>
              <w:t>年度指标值</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2EFFD2">
            <w:pPr>
              <w:widowControl/>
              <w:jc w:val="center"/>
              <w:textAlignment w:val="center"/>
              <w:rPr>
                <w:rFonts w:hint="default" w:cs="宋体"/>
                <w:color w:val="000000"/>
                <w:sz w:val="16"/>
                <w:szCs w:val="16"/>
              </w:rPr>
            </w:pPr>
            <w:r>
              <w:rPr>
                <w:rFonts w:hint="default" w:cs="宋体"/>
                <w:color w:val="000000"/>
                <w:sz w:val="16"/>
                <w:szCs w:val="16"/>
                <w:lang w:bidi="ar"/>
              </w:rPr>
              <w:t>实际完成值</w:t>
            </w:r>
          </w:p>
        </w:tc>
        <w:tc>
          <w:tcPr>
            <w:tcW w:w="230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37D4C5">
            <w:pPr>
              <w:widowControl/>
              <w:jc w:val="center"/>
              <w:textAlignment w:val="center"/>
              <w:rPr>
                <w:rFonts w:hint="default" w:cs="宋体"/>
                <w:color w:val="000000"/>
                <w:sz w:val="16"/>
                <w:szCs w:val="16"/>
              </w:rPr>
            </w:pPr>
            <w:r>
              <w:rPr>
                <w:rFonts w:hint="default" w:cs="宋体"/>
                <w:color w:val="000000"/>
                <w:sz w:val="16"/>
                <w:szCs w:val="16"/>
                <w:lang w:bidi="ar"/>
              </w:rPr>
              <w:t>偏差原因分析及改进措施</w:t>
            </w:r>
          </w:p>
        </w:tc>
      </w:tr>
      <w:tr w14:paraId="37E39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 w:hRule="atLeast"/>
        </w:trPr>
        <w:tc>
          <w:tcPr>
            <w:tcW w:w="1361"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46600C41">
            <w:pPr>
              <w:jc w:val="center"/>
              <w:rPr>
                <w:rFonts w:hint="default" w:cs="宋体"/>
                <w:color w:val="000000"/>
                <w:sz w:val="16"/>
                <w:szCs w:val="16"/>
              </w:rPr>
            </w:pPr>
          </w:p>
        </w:tc>
        <w:tc>
          <w:tcPr>
            <w:tcW w:w="1358"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FF576C">
            <w:pPr>
              <w:widowControl/>
              <w:jc w:val="center"/>
              <w:textAlignment w:val="center"/>
              <w:rPr>
                <w:rFonts w:hint="default" w:cs="宋体"/>
                <w:color w:val="000000"/>
                <w:sz w:val="16"/>
                <w:szCs w:val="16"/>
              </w:rPr>
            </w:pPr>
            <w:r>
              <w:rPr>
                <w:rFonts w:hint="default" w:cs="宋体"/>
                <w:color w:val="000000"/>
                <w:sz w:val="16"/>
                <w:szCs w:val="16"/>
                <w:lang w:bidi="ar"/>
              </w:rPr>
              <w:t>产出指标</w:t>
            </w:r>
          </w:p>
        </w:tc>
        <w:tc>
          <w:tcPr>
            <w:tcW w:w="1408"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5381F2">
            <w:pPr>
              <w:widowControl/>
              <w:jc w:val="center"/>
              <w:textAlignment w:val="center"/>
              <w:rPr>
                <w:rFonts w:hint="default" w:cs="宋体"/>
                <w:color w:val="000000"/>
                <w:sz w:val="16"/>
                <w:szCs w:val="16"/>
              </w:rPr>
            </w:pPr>
            <w:r>
              <w:rPr>
                <w:rFonts w:hint="default" w:cs="宋体"/>
                <w:color w:val="000000"/>
                <w:sz w:val="16"/>
                <w:szCs w:val="16"/>
                <w:lang w:bidi="ar"/>
              </w:rPr>
              <w:t>数量指标</w:t>
            </w:r>
          </w:p>
        </w:tc>
        <w:tc>
          <w:tcPr>
            <w:tcW w:w="225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E31231">
            <w:pPr>
              <w:widowControl/>
              <w:jc w:val="center"/>
              <w:textAlignment w:val="center"/>
              <w:rPr>
                <w:rFonts w:hint="default" w:cs="宋体"/>
                <w:color w:val="000000"/>
                <w:sz w:val="16"/>
                <w:szCs w:val="16"/>
              </w:rPr>
            </w:pPr>
            <w:r>
              <w:rPr>
                <w:rFonts w:hint="default" w:cs="宋体"/>
                <w:color w:val="000000"/>
                <w:sz w:val="16"/>
                <w:szCs w:val="16"/>
                <w:lang w:bidi="ar"/>
              </w:rPr>
              <w:t>全年清运垃圾次数</w:t>
            </w:r>
          </w:p>
        </w:tc>
        <w:tc>
          <w:tcPr>
            <w:tcW w:w="1242"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357E68CB">
            <w:pPr>
              <w:widowControl/>
              <w:textAlignment w:val="center"/>
              <w:rPr>
                <w:rFonts w:hint="default" w:cs="宋体"/>
                <w:color w:val="000000"/>
                <w:sz w:val="16"/>
                <w:szCs w:val="16"/>
              </w:rPr>
            </w:pPr>
            <w:r>
              <w:rPr>
                <w:rFonts w:hint="default" w:cs="宋体"/>
                <w:color w:val="000000"/>
                <w:sz w:val="16"/>
                <w:szCs w:val="16"/>
                <w:lang w:bidi="ar"/>
              </w:rPr>
              <w:t>≥700次</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15A070">
            <w:pPr>
              <w:widowControl/>
              <w:jc w:val="center"/>
              <w:textAlignment w:val="center"/>
              <w:rPr>
                <w:rFonts w:hint="default" w:cs="宋体"/>
                <w:color w:val="000000"/>
                <w:sz w:val="16"/>
                <w:szCs w:val="16"/>
              </w:rPr>
            </w:pPr>
            <w:r>
              <w:rPr>
                <w:rFonts w:hint="default" w:cs="宋体"/>
                <w:color w:val="000000"/>
                <w:sz w:val="16"/>
                <w:szCs w:val="16"/>
                <w:lang w:bidi="ar"/>
              </w:rPr>
              <w:t>700次</w:t>
            </w:r>
          </w:p>
        </w:tc>
        <w:tc>
          <w:tcPr>
            <w:tcW w:w="230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CD96F5">
            <w:pPr>
              <w:jc w:val="center"/>
              <w:rPr>
                <w:rFonts w:hint="default" w:cs="宋体"/>
                <w:color w:val="000000"/>
                <w:sz w:val="16"/>
                <w:szCs w:val="16"/>
              </w:rPr>
            </w:pPr>
          </w:p>
        </w:tc>
      </w:tr>
      <w:tr w14:paraId="0738C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 w:hRule="atLeast"/>
        </w:trPr>
        <w:tc>
          <w:tcPr>
            <w:tcW w:w="1361"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3CB5D45">
            <w:pPr>
              <w:jc w:val="center"/>
              <w:rPr>
                <w:rFonts w:hint="default" w:cs="宋体"/>
                <w:color w:val="000000"/>
                <w:sz w:val="16"/>
                <w:szCs w:val="16"/>
              </w:rPr>
            </w:pPr>
          </w:p>
        </w:tc>
        <w:tc>
          <w:tcPr>
            <w:tcW w:w="1358"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CD2EBE">
            <w:pPr>
              <w:jc w:val="center"/>
              <w:rPr>
                <w:rFonts w:hint="default" w:cs="宋体"/>
                <w:color w:val="000000"/>
                <w:sz w:val="16"/>
                <w:szCs w:val="16"/>
              </w:rPr>
            </w:pPr>
          </w:p>
        </w:tc>
        <w:tc>
          <w:tcPr>
            <w:tcW w:w="1408"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D68D01">
            <w:pPr>
              <w:jc w:val="center"/>
              <w:rPr>
                <w:rFonts w:hint="default" w:cs="宋体"/>
                <w:color w:val="000000"/>
                <w:sz w:val="16"/>
                <w:szCs w:val="16"/>
              </w:rPr>
            </w:pPr>
          </w:p>
        </w:tc>
        <w:tc>
          <w:tcPr>
            <w:tcW w:w="225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3E8166">
            <w:pPr>
              <w:widowControl/>
              <w:jc w:val="center"/>
              <w:textAlignment w:val="center"/>
              <w:rPr>
                <w:rFonts w:hint="default" w:cs="宋体"/>
                <w:color w:val="000000"/>
                <w:sz w:val="16"/>
                <w:szCs w:val="16"/>
              </w:rPr>
            </w:pPr>
            <w:r>
              <w:rPr>
                <w:rFonts w:hint="default" w:cs="宋体"/>
                <w:color w:val="000000"/>
                <w:sz w:val="16"/>
                <w:szCs w:val="16"/>
                <w:lang w:bidi="ar"/>
              </w:rPr>
              <w:t>村内道路维修个数</w:t>
            </w:r>
          </w:p>
        </w:tc>
        <w:tc>
          <w:tcPr>
            <w:tcW w:w="124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914FA9">
            <w:pPr>
              <w:widowControl/>
              <w:textAlignment w:val="center"/>
              <w:rPr>
                <w:rFonts w:hint="default" w:cs="宋体"/>
                <w:color w:val="000000"/>
                <w:sz w:val="16"/>
                <w:szCs w:val="16"/>
              </w:rPr>
            </w:pPr>
            <w:r>
              <w:rPr>
                <w:rFonts w:hint="default" w:cs="宋体"/>
                <w:color w:val="000000"/>
                <w:sz w:val="16"/>
                <w:szCs w:val="16"/>
                <w:lang w:bidi="ar"/>
              </w:rPr>
              <w:t>≦12</w:t>
            </w:r>
            <w:r>
              <w:rPr>
                <w:rStyle w:val="21"/>
                <w:rFonts w:hint="default" w:hAnsi="Times New Roman"/>
                <w:sz w:val="16"/>
                <w:szCs w:val="16"/>
                <w:lang w:bidi="ar"/>
              </w:rPr>
              <w:t>个</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545E8A">
            <w:pPr>
              <w:widowControl/>
              <w:jc w:val="center"/>
              <w:textAlignment w:val="center"/>
              <w:rPr>
                <w:rFonts w:hint="default" w:cs="宋体"/>
                <w:color w:val="000000"/>
                <w:sz w:val="16"/>
                <w:szCs w:val="16"/>
              </w:rPr>
            </w:pPr>
            <w:r>
              <w:rPr>
                <w:rFonts w:hint="default" w:cs="宋体"/>
                <w:color w:val="000000"/>
                <w:sz w:val="16"/>
                <w:szCs w:val="16"/>
                <w:lang w:bidi="ar"/>
              </w:rPr>
              <w:t>12个</w:t>
            </w:r>
          </w:p>
        </w:tc>
        <w:tc>
          <w:tcPr>
            <w:tcW w:w="230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39C308">
            <w:pPr>
              <w:jc w:val="center"/>
              <w:rPr>
                <w:rFonts w:hint="default" w:cs="宋体"/>
                <w:color w:val="000000"/>
                <w:sz w:val="16"/>
                <w:szCs w:val="16"/>
              </w:rPr>
            </w:pPr>
          </w:p>
        </w:tc>
      </w:tr>
      <w:tr w14:paraId="0ACBB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 w:hRule="atLeast"/>
        </w:trPr>
        <w:tc>
          <w:tcPr>
            <w:tcW w:w="1361"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88360E3">
            <w:pPr>
              <w:jc w:val="center"/>
              <w:rPr>
                <w:rFonts w:hint="default" w:cs="宋体"/>
                <w:color w:val="000000"/>
                <w:sz w:val="16"/>
                <w:szCs w:val="16"/>
              </w:rPr>
            </w:pPr>
          </w:p>
        </w:tc>
        <w:tc>
          <w:tcPr>
            <w:tcW w:w="1358"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25A6E6">
            <w:pPr>
              <w:jc w:val="center"/>
              <w:rPr>
                <w:rFonts w:hint="default" w:cs="宋体"/>
                <w:color w:val="000000"/>
                <w:sz w:val="16"/>
                <w:szCs w:val="16"/>
              </w:rPr>
            </w:pPr>
          </w:p>
        </w:tc>
        <w:tc>
          <w:tcPr>
            <w:tcW w:w="1408"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A4F8E7">
            <w:pPr>
              <w:jc w:val="center"/>
              <w:rPr>
                <w:rFonts w:hint="default" w:cs="宋体"/>
                <w:color w:val="000000"/>
                <w:sz w:val="16"/>
                <w:szCs w:val="16"/>
              </w:rPr>
            </w:pPr>
          </w:p>
        </w:tc>
        <w:tc>
          <w:tcPr>
            <w:tcW w:w="225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EC2F46">
            <w:pPr>
              <w:widowControl/>
              <w:jc w:val="center"/>
              <w:textAlignment w:val="center"/>
              <w:rPr>
                <w:rFonts w:hint="default" w:cs="宋体"/>
                <w:color w:val="000000"/>
                <w:sz w:val="16"/>
                <w:szCs w:val="16"/>
              </w:rPr>
            </w:pPr>
            <w:r>
              <w:rPr>
                <w:rFonts w:hint="default" w:cs="宋体"/>
                <w:color w:val="000000"/>
                <w:sz w:val="16"/>
                <w:szCs w:val="16"/>
                <w:lang w:bidi="ar"/>
              </w:rPr>
              <w:t>村内水利设施项目维修个数</w:t>
            </w:r>
          </w:p>
        </w:tc>
        <w:tc>
          <w:tcPr>
            <w:tcW w:w="1242"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0D096178">
            <w:pPr>
              <w:widowControl/>
              <w:textAlignment w:val="center"/>
              <w:rPr>
                <w:rFonts w:hint="default" w:cs="宋体"/>
                <w:color w:val="000000"/>
                <w:sz w:val="16"/>
                <w:szCs w:val="16"/>
              </w:rPr>
            </w:pPr>
            <w:r>
              <w:rPr>
                <w:rFonts w:hint="default" w:cs="宋体"/>
                <w:color w:val="000000"/>
                <w:sz w:val="16"/>
                <w:szCs w:val="16"/>
                <w:lang w:bidi="ar"/>
              </w:rPr>
              <w:t>≦</w:t>
            </w:r>
            <w:r>
              <w:rPr>
                <w:rStyle w:val="27"/>
                <w:rFonts w:hint="default" w:hAnsi="Times New Roman"/>
                <w:sz w:val="16"/>
                <w:szCs w:val="16"/>
                <w:lang w:bidi="ar"/>
              </w:rPr>
              <w:t>9个</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ED201F">
            <w:pPr>
              <w:widowControl/>
              <w:jc w:val="center"/>
              <w:textAlignment w:val="center"/>
              <w:rPr>
                <w:rFonts w:hint="default" w:cs="宋体"/>
                <w:color w:val="000000"/>
                <w:sz w:val="16"/>
                <w:szCs w:val="16"/>
              </w:rPr>
            </w:pPr>
            <w:r>
              <w:rPr>
                <w:rFonts w:hint="default" w:cs="宋体"/>
                <w:color w:val="000000"/>
                <w:sz w:val="16"/>
                <w:szCs w:val="16"/>
                <w:lang w:bidi="ar"/>
              </w:rPr>
              <w:t>9个</w:t>
            </w:r>
          </w:p>
        </w:tc>
        <w:tc>
          <w:tcPr>
            <w:tcW w:w="230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84DC8F">
            <w:pPr>
              <w:jc w:val="center"/>
              <w:rPr>
                <w:rFonts w:hint="default" w:cs="宋体"/>
                <w:color w:val="000000"/>
                <w:sz w:val="16"/>
                <w:szCs w:val="16"/>
              </w:rPr>
            </w:pPr>
          </w:p>
        </w:tc>
      </w:tr>
      <w:tr w14:paraId="7DA13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 w:hRule="atLeast"/>
        </w:trPr>
        <w:tc>
          <w:tcPr>
            <w:tcW w:w="1361"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7114464A">
            <w:pPr>
              <w:jc w:val="center"/>
              <w:rPr>
                <w:rFonts w:hint="default" w:cs="宋体"/>
                <w:color w:val="000000"/>
                <w:sz w:val="16"/>
                <w:szCs w:val="16"/>
              </w:rPr>
            </w:pPr>
          </w:p>
        </w:tc>
        <w:tc>
          <w:tcPr>
            <w:tcW w:w="1358"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929E20">
            <w:pPr>
              <w:jc w:val="center"/>
              <w:rPr>
                <w:rFonts w:hint="default" w:cs="宋体"/>
                <w:color w:val="000000"/>
                <w:sz w:val="16"/>
                <w:szCs w:val="16"/>
              </w:rPr>
            </w:pPr>
          </w:p>
        </w:tc>
        <w:tc>
          <w:tcPr>
            <w:tcW w:w="1408"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328F2B">
            <w:pPr>
              <w:jc w:val="center"/>
              <w:rPr>
                <w:rFonts w:hint="default" w:cs="宋体"/>
                <w:color w:val="000000"/>
                <w:sz w:val="16"/>
                <w:szCs w:val="16"/>
              </w:rPr>
            </w:pPr>
          </w:p>
        </w:tc>
        <w:tc>
          <w:tcPr>
            <w:tcW w:w="225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C6DBE8">
            <w:pPr>
              <w:widowControl/>
              <w:jc w:val="center"/>
              <w:textAlignment w:val="center"/>
              <w:rPr>
                <w:rFonts w:hint="default" w:cs="宋体"/>
                <w:color w:val="000000"/>
                <w:sz w:val="16"/>
                <w:szCs w:val="16"/>
              </w:rPr>
            </w:pPr>
            <w:r>
              <w:rPr>
                <w:rFonts w:hint="default" w:cs="宋体"/>
                <w:color w:val="000000"/>
                <w:sz w:val="16"/>
                <w:szCs w:val="16"/>
                <w:lang w:bidi="ar"/>
              </w:rPr>
              <w:t>村道路两旁栽植花草</w:t>
            </w:r>
          </w:p>
        </w:tc>
        <w:tc>
          <w:tcPr>
            <w:tcW w:w="1242"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25F21C38">
            <w:pPr>
              <w:widowControl/>
              <w:textAlignment w:val="center"/>
              <w:rPr>
                <w:rFonts w:hint="default" w:cs="宋体"/>
                <w:color w:val="000000"/>
                <w:sz w:val="16"/>
                <w:szCs w:val="16"/>
              </w:rPr>
            </w:pPr>
            <w:r>
              <w:rPr>
                <w:rFonts w:hint="default" w:cs="宋体"/>
                <w:color w:val="000000"/>
                <w:sz w:val="16"/>
                <w:szCs w:val="16"/>
                <w:lang w:bidi="ar"/>
              </w:rPr>
              <w:t>≥2处</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2FABD8">
            <w:pPr>
              <w:widowControl/>
              <w:jc w:val="center"/>
              <w:textAlignment w:val="center"/>
              <w:rPr>
                <w:rFonts w:hint="default" w:cs="宋体"/>
                <w:color w:val="000000"/>
                <w:sz w:val="16"/>
                <w:szCs w:val="16"/>
              </w:rPr>
            </w:pPr>
            <w:r>
              <w:rPr>
                <w:rFonts w:hint="default" w:cs="宋体"/>
                <w:color w:val="000000"/>
                <w:sz w:val="16"/>
                <w:szCs w:val="16"/>
                <w:lang w:bidi="ar"/>
              </w:rPr>
              <w:t>2处</w:t>
            </w:r>
          </w:p>
        </w:tc>
        <w:tc>
          <w:tcPr>
            <w:tcW w:w="230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EB6B93">
            <w:pPr>
              <w:jc w:val="center"/>
              <w:rPr>
                <w:rFonts w:hint="default" w:cs="宋体"/>
                <w:color w:val="000000"/>
                <w:sz w:val="16"/>
                <w:szCs w:val="16"/>
              </w:rPr>
            </w:pPr>
          </w:p>
        </w:tc>
      </w:tr>
      <w:tr w14:paraId="24E08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 w:hRule="atLeast"/>
        </w:trPr>
        <w:tc>
          <w:tcPr>
            <w:tcW w:w="1361"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1FA2E2B5">
            <w:pPr>
              <w:jc w:val="center"/>
              <w:rPr>
                <w:rFonts w:hint="default" w:cs="宋体"/>
                <w:color w:val="000000"/>
                <w:sz w:val="16"/>
                <w:szCs w:val="16"/>
              </w:rPr>
            </w:pPr>
          </w:p>
        </w:tc>
        <w:tc>
          <w:tcPr>
            <w:tcW w:w="1358"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6E9E98">
            <w:pPr>
              <w:jc w:val="center"/>
              <w:rPr>
                <w:rFonts w:hint="default" w:cs="宋体"/>
                <w:color w:val="000000"/>
                <w:sz w:val="16"/>
                <w:szCs w:val="16"/>
              </w:rPr>
            </w:pPr>
          </w:p>
        </w:tc>
        <w:tc>
          <w:tcPr>
            <w:tcW w:w="1408"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A6FA96">
            <w:pPr>
              <w:jc w:val="center"/>
              <w:rPr>
                <w:rFonts w:hint="default" w:cs="宋体"/>
                <w:color w:val="000000"/>
                <w:sz w:val="16"/>
                <w:szCs w:val="16"/>
              </w:rPr>
            </w:pPr>
          </w:p>
        </w:tc>
        <w:tc>
          <w:tcPr>
            <w:tcW w:w="225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C2D803">
            <w:pPr>
              <w:widowControl/>
              <w:jc w:val="center"/>
              <w:textAlignment w:val="center"/>
              <w:rPr>
                <w:rFonts w:hint="default" w:cs="宋体"/>
                <w:color w:val="000000"/>
                <w:sz w:val="16"/>
                <w:szCs w:val="16"/>
              </w:rPr>
            </w:pPr>
            <w:r>
              <w:rPr>
                <w:rFonts w:hint="default" w:cs="宋体"/>
                <w:color w:val="000000"/>
                <w:sz w:val="16"/>
                <w:szCs w:val="16"/>
                <w:lang w:bidi="ar"/>
              </w:rPr>
              <w:t>新建焚烧池</w:t>
            </w:r>
          </w:p>
        </w:tc>
        <w:tc>
          <w:tcPr>
            <w:tcW w:w="124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5842EB">
            <w:pPr>
              <w:widowControl/>
              <w:textAlignment w:val="center"/>
              <w:rPr>
                <w:rFonts w:hint="default" w:cs="宋体"/>
                <w:color w:val="000000"/>
                <w:sz w:val="16"/>
                <w:szCs w:val="16"/>
              </w:rPr>
            </w:pPr>
            <w:r>
              <w:rPr>
                <w:rFonts w:hint="default" w:cs="宋体"/>
                <w:color w:val="000000"/>
                <w:sz w:val="16"/>
                <w:szCs w:val="16"/>
                <w:lang w:bidi="ar"/>
              </w:rPr>
              <w:t>≦</w:t>
            </w:r>
            <w:r>
              <w:rPr>
                <w:rStyle w:val="21"/>
                <w:rFonts w:hint="default" w:hAnsi="Times New Roman"/>
                <w:sz w:val="16"/>
                <w:szCs w:val="16"/>
                <w:lang w:bidi="ar"/>
              </w:rPr>
              <w:t>6个</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469308">
            <w:pPr>
              <w:widowControl/>
              <w:jc w:val="center"/>
              <w:textAlignment w:val="center"/>
              <w:rPr>
                <w:rFonts w:hint="default" w:cs="宋体"/>
                <w:color w:val="000000"/>
                <w:sz w:val="16"/>
                <w:szCs w:val="16"/>
              </w:rPr>
            </w:pPr>
            <w:r>
              <w:rPr>
                <w:rFonts w:hint="default" w:cs="宋体"/>
                <w:color w:val="000000"/>
                <w:sz w:val="16"/>
                <w:szCs w:val="16"/>
                <w:lang w:bidi="ar"/>
              </w:rPr>
              <w:t>6个</w:t>
            </w:r>
          </w:p>
        </w:tc>
        <w:tc>
          <w:tcPr>
            <w:tcW w:w="230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9995B4">
            <w:pPr>
              <w:jc w:val="center"/>
              <w:rPr>
                <w:rFonts w:hint="default" w:cs="宋体"/>
                <w:color w:val="000000"/>
                <w:sz w:val="16"/>
                <w:szCs w:val="16"/>
              </w:rPr>
            </w:pPr>
          </w:p>
        </w:tc>
      </w:tr>
      <w:tr w14:paraId="1162B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361"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C0162A4">
            <w:pPr>
              <w:jc w:val="center"/>
              <w:rPr>
                <w:rFonts w:hint="default" w:cs="宋体"/>
                <w:color w:val="000000"/>
                <w:sz w:val="16"/>
                <w:szCs w:val="16"/>
              </w:rPr>
            </w:pPr>
          </w:p>
        </w:tc>
        <w:tc>
          <w:tcPr>
            <w:tcW w:w="1358"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DCC2CA">
            <w:pPr>
              <w:jc w:val="center"/>
              <w:rPr>
                <w:rFonts w:hint="default" w:cs="宋体"/>
                <w:color w:val="000000"/>
                <w:sz w:val="16"/>
                <w:szCs w:val="16"/>
              </w:rPr>
            </w:pPr>
          </w:p>
        </w:tc>
        <w:tc>
          <w:tcPr>
            <w:tcW w:w="1408"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B5EE43">
            <w:pPr>
              <w:jc w:val="center"/>
              <w:rPr>
                <w:rFonts w:hint="default" w:cs="宋体"/>
                <w:color w:val="000000"/>
                <w:sz w:val="16"/>
                <w:szCs w:val="16"/>
              </w:rPr>
            </w:pPr>
          </w:p>
        </w:tc>
        <w:tc>
          <w:tcPr>
            <w:tcW w:w="225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ECD2A6">
            <w:pPr>
              <w:widowControl/>
              <w:jc w:val="center"/>
              <w:textAlignment w:val="center"/>
              <w:rPr>
                <w:rFonts w:hint="default" w:cs="宋体"/>
                <w:color w:val="000000"/>
                <w:sz w:val="16"/>
                <w:szCs w:val="16"/>
              </w:rPr>
            </w:pPr>
            <w:r>
              <w:rPr>
                <w:rFonts w:hint="default" w:cs="宋体"/>
                <w:color w:val="000000"/>
                <w:sz w:val="16"/>
                <w:szCs w:val="16"/>
                <w:lang w:bidi="ar"/>
              </w:rPr>
              <w:t>村内动植物防疫及传染病防治个数</w:t>
            </w:r>
          </w:p>
        </w:tc>
        <w:tc>
          <w:tcPr>
            <w:tcW w:w="1242"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19B88E79">
            <w:pPr>
              <w:widowControl/>
              <w:textAlignment w:val="center"/>
              <w:rPr>
                <w:rFonts w:hint="default" w:cs="宋体"/>
                <w:color w:val="000000"/>
                <w:sz w:val="16"/>
                <w:szCs w:val="16"/>
              </w:rPr>
            </w:pPr>
            <w:r>
              <w:rPr>
                <w:rFonts w:hint="default" w:cs="宋体"/>
                <w:color w:val="000000"/>
                <w:sz w:val="16"/>
                <w:szCs w:val="16"/>
                <w:lang w:bidi="ar"/>
              </w:rPr>
              <w:t>≦17个</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FFEE14">
            <w:pPr>
              <w:widowControl/>
              <w:jc w:val="center"/>
              <w:textAlignment w:val="center"/>
              <w:rPr>
                <w:rFonts w:hint="default" w:cs="宋体"/>
                <w:color w:val="000000"/>
                <w:sz w:val="16"/>
                <w:szCs w:val="16"/>
              </w:rPr>
            </w:pPr>
            <w:r>
              <w:rPr>
                <w:rFonts w:hint="default" w:cs="宋体"/>
                <w:color w:val="000000"/>
                <w:sz w:val="16"/>
                <w:szCs w:val="16"/>
                <w:lang w:bidi="ar"/>
              </w:rPr>
              <w:t>17个</w:t>
            </w:r>
          </w:p>
        </w:tc>
        <w:tc>
          <w:tcPr>
            <w:tcW w:w="230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446442">
            <w:pPr>
              <w:jc w:val="center"/>
              <w:rPr>
                <w:rFonts w:hint="default" w:cs="宋体"/>
                <w:color w:val="000000"/>
                <w:sz w:val="16"/>
                <w:szCs w:val="16"/>
              </w:rPr>
            </w:pPr>
          </w:p>
        </w:tc>
      </w:tr>
      <w:tr w14:paraId="3D965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 w:hRule="atLeast"/>
        </w:trPr>
        <w:tc>
          <w:tcPr>
            <w:tcW w:w="1361"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C279432">
            <w:pPr>
              <w:jc w:val="center"/>
              <w:rPr>
                <w:rFonts w:hint="default" w:cs="宋体"/>
                <w:color w:val="000000"/>
                <w:sz w:val="16"/>
                <w:szCs w:val="16"/>
              </w:rPr>
            </w:pPr>
          </w:p>
        </w:tc>
        <w:tc>
          <w:tcPr>
            <w:tcW w:w="1358"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3DE0CF">
            <w:pPr>
              <w:jc w:val="center"/>
              <w:rPr>
                <w:rFonts w:hint="default" w:cs="宋体"/>
                <w:color w:val="000000"/>
                <w:sz w:val="16"/>
                <w:szCs w:val="16"/>
              </w:rPr>
            </w:pPr>
          </w:p>
        </w:tc>
        <w:tc>
          <w:tcPr>
            <w:tcW w:w="1408"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434DB4">
            <w:pPr>
              <w:widowControl/>
              <w:jc w:val="center"/>
              <w:textAlignment w:val="center"/>
              <w:rPr>
                <w:rFonts w:hint="default" w:cs="宋体"/>
                <w:color w:val="000000"/>
                <w:sz w:val="16"/>
                <w:szCs w:val="16"/>
              </w:rPr>
            </w:pPr>
            <w:r>
              <w:rPr>
                <w:rFonts w:hint="default" w:cs="宋体"/>
                <w:color w:val="000000"/>
                <w:sz w:val="16"/>
                <w:szCs w:val="16"/>
                <w:lang w:bidi="ar"/>
              </w:rPr>
              <w:t>质量指标</w:t>
            </w:r>
          </w:p>
        </w:tc>
        <w:tc>
          <w:tcPr>
            <w:tcW w:w="225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6CAB8B">
            <w:pPr>
              <w:widowControl/>
              <w:jc w:val="center"/>
              <w:textAlignment w:val="center"/>
              <w:rPr>
                <w:rFonts w:hint="default" w:cs="宋体"/>
                <w:color w:val="000000"/>
                <w:sz w:val="16"/>
                <w:szCs w:val="16"/>
              </w:rPr>
            </w:pPr>
            <w:r>
              <w:rPr>
                <w:rFonts w:hint="default" w:cs="宋体"/>
                <w:color w:val="000000"/>
                <w:sz w:val="16"/>
                <w:szCs w:val="16"/>
                <w:lang w:bidi="ar"/>
              </w:rPr>
              <w:t>基础设施设备完成情况</w:t>
            </w:r>
          </w:p>
        </w:tc>
        <w:tc>
          <w:tcPr>
            <w:tcW w:w="1242"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6A150479">
            <w:pPr>
              <w:widowControl/>
              <w:textAlignment w:val="center"/>
              <w:rPr>
                <w:rFonts w:hint="default" w:cs="宋体"/>
                <w:color w:val="000000"/>
                <w:sz w:val="16"/>
                <w:szCs w:val="16"/>
              </w:rPr>
            </w:pPr>
            <w:r>
              <w:rPr>
                <w:rFonts w:hint="default" w:cs="宋体"/>
                <w:color w:val="000000"/>
                <w:sz w:val="16"/>
                <w:szCs w:val="16"/>
                <w:lang w:bidi="ar"/>
              </w:rPr>
              <w:t>≥95%</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819C66">
            <w:pPr>
              <w:widowControl/>
              <w:jc w:val="center"/>
              <w:textAlignment w:val="center"/>
              <w:rPr>
                <w:rFonts w:hint="default" w:cs="宋体"/>
                <w:color w:val="000000"/>
                <w:sz w:val="16"/>
                <w:szCs w:val="16"/>
              </w:rPr>
            </w:pPr>
            <w:r>
              <w:rPr>
                <w:rFonts w:hint="default" w:cs="宋体"/>
                <w:color w:val="000000"/>
                <w:sz w:val="16"/>
                <w:szCs w:val="16"/>
                <w:lang w:bidi="ar"/>
              </w:rPr>
              <w:t>95%</w:t>
            </w:r>
          </w:p>
        </w:tc>
        <w:tc>
          <w:tcPr>
            <w:tcW w:w="230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36CE0E">
            <w:pPr>
              <w:jc w:val="center"/>
              <w:rPr>
                <w:rFonts w:hint="default" w:cs="宋体"/>
                <w:color w:val="000000"/>
                <w:sz w:val="16"/>
                <w:szCs w:val="16"/>
              </w:rPr>
            </w:pPr>
          </w:p>
        </w:tc>
      </w:tr>
      <w:tr w14:paraId="42506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361"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3826541">
            <w:pPr>
              <w:jc w:val="center"/>
              <w:rPr>
                <w:rFonts w:hint="default" w:cs="宋体"/>
                <w:color w:val="000000"/>
                <w:sz w:val="16"/>
                <w:szCs w:val="16"/>
              </w:rPr>
            </w:pPr>
          </w:p>
        </w:tc>
        <w:tc>
          <w:tcPr>
            <w:tcW w:w="1358"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ED74E7">
            <w:pPr>
              <w:jc w:val="center"/>
              <w:rPr>
                <w:rFonts w:hint="default" w:cs="宋体"/>
                <w:color w:val="000000"/>
                <w:sz w:val="16"/>
                <w:szCs w:val="16"/>
              </w:rPr>
            </w:pPr>
          </w:p>
        </w:tc>
        <w:tc>
          <w:tcPr>
            <w:tcW w:w="1408"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86990D">
            <w:pPr>
              <w:jc w:val="center"/>
              <w:rPr>
                <w:rFonts w:hint="default" w:cs="宋体"/>
                <w:color w:val="000000"/>
                <w:sz w:val="16"/>
                <w:szCs w:val="16"/>
              </w:rPr>
            </w:pPr>
          </w:p>
        </w:tc>
        <w:tc>
          <w:tcPr>
            <w:tcW w:w="225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6C6B32">
            <w:pPr>
              <w:widowControl/>
              <w:jc w:val="center"/>
              <w:textAlignment w:val="center"/>
              <w:rPr>
                <w:rFonts w:hint="default" w:cs="宋体"/>
                <w:color w:val="000000"/>
                <w:sz w:val="16"/>
                <w:szCs w:val="16"/>
              </w:rPr>
            </w:pPr>
            <w:r>
              <w:rPr>
                <w:rFonts w:hint="default" w:cs="宋体"/>
                <w:color w:val="000000"/>
                <w:sz w:val="16"/>
                <w:szCs w:val="16"/>
                <w:lang w:bidi="ar"/>
              </w:rPr>
              <w:t>村容村貌良好，基础设施配备基本完成</w:t>
            </w:r>
          </w:p>
        </w:tc>
        <w:tc>
          <w:tcPr>
            <w:tcW w:w="1242"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52131C8A">
            <w:pPr>
              <w:widowControl/>
              <w:textAlignment w:val="center"/>
              <w:rPr>
                <w:rFonts w:hint="default" w:cs="宋体"/>
                <w:color w:val="000000"/>
                <w:sz w:val="16"/>
                <w:szCs w:val="16"/>
              </w:rPr>
            </w:pPr>
            <w:r>
              <w:rPr>
                <w:rFonts w:hint="default" w:cs="宋体"/>
                <w:color w:val="000000"/>
                <w:sz w:val="16"/>
                <w:szCs w:val="16"/>
                <w:lang w:bidi="ar"/>
              </w:rPr>
              <w:t>优</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0D3455">
            <w:pPr>
              <w:widowControl/>
              <w:jc w:val="center"/>
              <w:textAlignment w:val="center"/>
              <w:rPr>
                <w:rFonts w:hint="default" w:cs="宋体"/>
                <w:color w:val="000000"/>
                <w:sz w:val="16"/>
                <w:szCs w:val="16"/>
              </w:rPr>
            </w:pPr>
            <w:r>
              <w:rPr>
                <w:rFonts w:hint="default" w:cs="宋体"/>
                <w:color w:val="000000"/>
                <w:sz w:val="16"/>
                <w:szCs w:val="16"/>
                <w:lang w:bidi="ar"/>
              </w:rPr>
              <w:t>优</w:t>
            </w:r>
          </w:p>
        </w:tc>
        <w:tc>
          <w:tcPr>
            <w:tcW w:w="230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99DD99">
            <w:pPr>
              <w:jc w:val="center"/>
              <w:rPr>
                <w:rFonts w:hint="default" w:cs="宋体"/>
                <w:color w:val="000000"/>
                <w:sz w:val="16"/>
                <w:szCs w:val="16"/>
              </w:rPr>
            </w:pPr>
          </w:p>
        </w:tc>
      </w:tr>
      <w:tr w14:paraId="4B5AB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 w:hRule="atLeast"/>
        </w:trPr>
        <w:tc>
          <w:tcPr>
            <w:tcW w:w="1361"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75449A2F">
            <w:pPr>
              <w:jc w:val="center"/>
              <w:rPr>
                <w:rFonts w:hint="default" w:cs="宋体"/>
                <w:color w:val="000000"/>
                <w:sz w:val="16"/>
                <w:szCs w:val="16"/>
              </w:rPr>
            </w:pPr>
          </w:p>
        </w:tc>
        <w:tc>
          <w:tcPr>
            <w:tcW w:w="1358"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A6B455">
            <w:pPr>
              <w:jc w:val="center"/>
              <w:rPr>
                <w:rFonts w:hint="default" w:cs="宋体"/>
                <w:color w:val="000000"/>
                <w:sz w:val="16"/>
                <w:szCs w:val="16"/>
              </w:rPr>
            </w:pPr>
          </w:p>
        </w:tc>
        <w:tc>
          <w:tcPr>
            <w:tcW w:w="14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1F741F">
            <w:pPr>
              <w:widowControl/>
              <w:jc w:val="center"/>
              <w:textAlignment w:val="center"/>
              <w:rPr>
                <w:rFonts w:hint="default" w:cs="宋体"/>
                <w:color w:val="000000"/>
                <w:sz w:val="16"/>
                <w:szCs w:val="16"/>
              </w:rPr>
            </w:pPr>
            <w:r>
              <w:rPr>
                <w:rFonts w:hint="default" w:cs="宋体"/>
                <w:color w:val="000000"/>
                <w:sz w:val="16"/>
                <w:szCs w:val="16"/>
                <w:lang w:bidi="ar"/>
              </w:rPr>
              <w:t>时效指标</w:t>
            </w:r>
          </w:p>
        </w:tc>
        <w:tc>
          <w:tcPr>
            <w:tcW w:w="225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305805">
            <w:pPr>
              <w:widowControl/>
              <w:jc w:val="center"/>
              <w:textAlignment w:val="center"/>
              <w:rPr>
                <w:rFonts w:hint="default" w:cs="宋体"/>
                <w:color w:val="000000"/>
                <w:sz w:val="16"/>
                <w:szCs w:val="16"/>
              </w:rPr>
            </w:pPr>
            <w:r>
              <w:rPr>
                <w:rFonts w:hint="default" w:cs="宋体"/>
                <w:color w:val="000000"/>
                <w:sz w:val="16"/>
                <w:szCs w:val="16"/>
                <w:lang w:bidi="ar"/>
              </w:rPr>
              <w:t>项目实施时限</w:t>
            </w:r>
          </w:p>
        </w:tc>
        <w:tc>
          <w:tcPr>
            <w:tcW w:w="1242"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11992DDD">
            <w:pPr>
              <w:widowControl/>
              <w:textAlignment w:val="center"/>
              <w:rPr>
                <w:rFonts w:hint="default" w:cs="宋体"/>
                <w:color w:val="000000"/>
                <w:sz w:val="16"/>
                <w:szCs w:val="16"/>
              </w:rPr>
            </w:pPr>
            <w:r>
              <w:rPr>
                <w:rFonts w:hint="default" w:cs="宋体"/>
                <w:color w:val="000000"/>
                <w:sz w:val="16"/>
                <w:szCs w:val="16"/>
                <w:lang w:bidi="ar"/>
              </w:rPr>
              <w:t>≥1年</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DEB733">
            <w:pPr>
              <w:widowControl/>
              <w:jc w:val="center"/>
              <w:textAlignment w:val="center"/>
              <w:rPr>
                <w:rFonts w:hint="default" w:cs="宋体"/>
                <w:color w:val="000000"/>
                <w:sz w:val="16"/>
                <w:szCs w:val="16"/>
              </w:rPr>
            </w:pPr>
            <w:r>
              <w:rPr>
                <w:rFonts w:hint="default" w:cs="宋体"/>
                <w:color w:val="000000"/>
                <w:sz w:val="16"/>
                <w:szCs w:val="16"/>
                <w:lang w:bidi="ar"/>
              </w:rPr>
              <w:t>1年</w:t>
            </w:r>
          </w:p>
        </w:tc>
        <w:tc>
          <w:tcPr>
            <w:tcW w:w="230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048048">
            <w:pPr>
              <w:jc w:val="center"/>
              <w:rPr>
                <w:rFonts w:hint="default" w:cs="宋体"/>
                <w:color w:val="000000"/>
                <w:sz w:val="16"/>
                <w:szCs w:val="16"/>
              </w:rPr>
            </w:pPr>
          </w:p>
        </w:tc>
      </w:tr>
      <w:tr w14:paraId="4063A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361"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723A54C8">
            <w:pPr>
              <w:jc w:val="center"/>
              <w:rPr>
                <w:rFonts w:hint="default" w:cs="宋体"/>
                <w:color w:val="000000"/>
                <w:sz w:val="16"/>
                <w:szCs w:val="16"/>
              </w:rPr>
            </w:pPr>
          </w:p>
        </w:tc>
        <w:tc>
          <w:tcPr>
            <w:tcW w:w="1358"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BBDE15">
            <w:pPr>
              <w:jc w:val="center"/>
              <w:rPr>
                <w:rFonts w:hint="default" w:cs="宋体"/>
                <w:color w:val="000000"/>
                <w:sz w:val="16"/>
                <w:szCs w:val="16"/>
              </w:rPr>
            </w:pPr>
          </w:p>
        </w:tc>
        <w:tc>
          <w:tcPr>
            <w:tcW w:w="14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FB3387">
            <w:pPr>
              <w:widowControl/>
              <w:jc w:val="center"/>
              <w:textAlignment w:val="center"/>
              <w:rPr>
                <w:rFonts w:hint="default" w:cs="宋体"/>
                <w:color w:val="000000"/>
                <w:sz w:val="16"/>
                <w:szCs w:val="16"/>
              </w:rPr>
            </w:pPr>
            <w:r>
              <w:rPr>
                <w:rFonts w:hint="default" w:cs="宋体"/>
                <w:color w:val="000000"/>
                <w:sz w:val="16"/>
                <w:szCs w:val="16"/>
                <w:lang w:bidi="ar"/>
              </w:rPr>
              <w:t>成本指标</w:t>
            </w:r>
          </w:p>
        </w:tc>
        <w:tc>
          <w:tcPr>
            <w:tcW w:w="225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49222B">
            <w:pPr>
              <w:widowControl/>
              <w:jc w:val="center"/>
              <w:textAlignment w:val="center"/>
              <w:rPr>
                <w:rFonts w:hint="default" w:cs="宋体"/>
                <w:color w:val="000000"/>
                <w:sz w:val="16"/>
                <w:szCs w:val="16"/>
              </w:rPr>
            </w:pPr>
            <w:r>
              <w:rPr>
                <w:rFonts w:hint="default" w:cs="宋体"/>
                <w:color w:val="000000"/>
                <w:sz w:val="16"/>
                <w:szCs w:val="16"/>
                <w:lang w:bidi="ar"/>
              </w:rPr>
              <w:t>村级组织活动和农村公共服务资金成本控制额</w:t>
            </w:r>
          </w:p>
        </w:tc>
        <w:tc>
          <w:tcPr>
            <w:tcW w:w="1242"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032A2355">
            <w:pPr>
              <w:widowControl/>
              <w:textAlignment w:val="center"/>
              <w:rPr>
                <w:rFonts w:hint="default" w:cs="宋体"/>
                <w:color w:val="000000"/>
                <w:sz w:val="16"/>
                <w:szCs w:val="16"/>
              </w:rPr>
            </w:pPr>
            <w:r>
              <w:rPr>
                <w:rFonts w:hint="default" w:cs="宋体"/>
                <w:color w:val="000000"/>
                <w:sz w:val="16"/>
                <w:szCs w:val="16"/>
                <w:lang w:bidi="ar"/>
              </w:rPr>
              <w:t>≤99万元</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A19F7D">
            <w:pPr>
              <w:widowControl/>
              <w:jc w:val="center"/>
              <w:textAlignment w:val="center"/>
              <w:rPr>
                <w:rFonts w:hint="default" w:cs="宋体"/>
                <w:color w:val="000000"/>
                <w:sz w:val="16"/>
                <w:szCs w:val="16"/>
              </w:rPr>
            </w:pPr>
            <w:r>
              <w:rPr>
                <w:rFonts w:hint="default" w:cs="宋体"/>
                <w:color w:val="000000"/>
                <w:sz w:val="16"/>
                <w:szCs w:val="16"/>
                <w:lang w:bidi="ar"/>
              </w:rPr>
              <w:t>99万元</w:t>
            </w:r>
          </w:p>
        </w:tc>
        <w:tc>
          <w:tcPr>
            <w:tcW w:w="230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696929">
            <w:pPr>
              <w:jc w:val="center"/>
              <w:rPr>
                <w:rFonts w:hint="default" w:cs="宋体"/>
                <w:color w:val="000000"/>
                <w:sz w:val="16"/>
                <w:szCs w:val="16"/>
              </w:rPr>
            </w:pPr>
          </w:p>
        </w:tc>
      </w:tr>
      <w:tr w14:paraId="76DFC5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 w:hRule="atLeast"/>
        </w:trPr>
        <w:tc>
          <w:tcPr>
            <w:tcW w:w="1361"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443C39B">
            <w:pPr>
              <w:jc w:val="center"/>
              <w:rPr>
                <w:rFonts w:hint="default" w:cs="宋体"/>
                <w:color w:val="000000"/>
                <w:sz w:val="16"/>
                <w:szCs w:val="16"/>
              </w:rPr>
            </w:pPr>
          </w:p>
        </w:tc>
        <w:tc>
          <w:tcPr>
            <w:tcW w:w="1358"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CFF2EE">
            <w:pPr>
              <w:jc w:val="center"/>
              <w:rPr>
                <w:rFonts w:hint="default" w:cs="宋体"/>
                <w:color w:val="000000"/>
                <w:sz w:val="16"/>
                <w:szCs w:val="16"/>
              </w:rPr>
            </w:pPr>
          </w:p>
        </w:tc>
        <w:tc>
          <w:tcPr>
            <w:tcW w:w="14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706582">
            <w:pPr>
              <w:widowControl/>
              <w:jc w:val="center"/>
              <w:textAlignment w:val="center"/>
              <w:rPr>
                <w:rFonts w:hint="default" w:cs="宋体"/>
                <w:color w:val="000000"/>
                <w:sz w:val="16"/>
                <w:szCs w:val="16"/>
              </w:rPr>
            </w:pPr>
            <w:r>
              <w:rPr>
                <w:rFonts w:hint="default" w:cs="宋体"/>
                <w:color w:val="000000"/>
                <w:sz w:val="16"/>
                <w:szCs w:val="16"/>
                <w:lang w:bidi="ar"/>
              </w:rPr>
              <w:t>社会效指标</w:t>
            </w:r>
          </w:p>
        </w:tc>
        <w:tc>
          <w:tcPr>
            <w:tcW w:w="2252" w:type="dxa"/>
            <w:gridSpan w:val="2"/>
            <w:tcBorders>
              <w:top w:val="single" w:color="000000" w:sz="4" w:space="0"/>
              <w:left w:val="single" w:color="000000" w:sz="4" w:space="0"/>
              <w:bottom w:val="nil"/>
              <w:right w:val="single" w:color="000000" w:sz="4" w:space="0"/>
              <w:tl2br w:val="nil"/>
              <w:tr2bl w:val="nil"/>
            </w:tcBorders>
            <w:noWrap w:val="0"/>
            <w:vAlign w:val="center"/>
          </w:tcPr>
          <w:p w14:paraId="59ED14EA">
            <w:pPr>
              <w:widowControl/>
              <w:jc w:val="center"/>
              <w:textAlignment w:val="center"/>
              <w:rPr>
                <w:rFonts w:hint="default" w:cs="宋体"/>
                <w:color w:val="000000"/>
                <w:sz w:val="16"/>
                <w:szCs w:val="16"/>
              </w:rPr>
            </w:pPr>
            <w:r>
              <w:rPr>
                <w:rFonts w:hint="default" w:cs="宋体"/>
                <w:color w:val="000000"/>
                <w:sz w:val="16"/>
                <w:szCs w:val="16"/>
                <w:lang w:bidi="ar"/>
              </w:rPr>
              <w:t>提升群众服务水平率</w:t>
            </w:r>
          </w:p>
        </w:tc>
        <w:tc>
          <w:tcPr>
            <w:tcW w:w="1242" w:type="dxa"/>
            <w:tcBorders>
              <w:top w:val="single" w:color="000000" w:sz="4" w:space="0"/>
              <w:left w:val="single" w:color="000000" w:sz="4" w:space="0"/>
              <w:bottom w:val="nil"/>
              <w:right w:val="single" w:color="000000" w:sz="4" w:space="0"/>
              <w:tl2br w:val="nil"/>
              <w:tr2bl w:val="nil"/>
            </w:tcBorders>
            <w:noWrap/>
            <w:vAlign w:val="center"/>
          </w:tcPr>
          <w:p w14:paraId="474E02BB">
            <w:pPr>
              <w:widowControl/>
              <w:textAlignment w:val="center"/>
              <w:rPr>
                <w:rFonts w:hint="default" w:cs="宋体"/>
                <w:color w:val="000000"/>
                <w:sz w:val="16"/>
                <w:szCs w:val="16"/>
              </w:rPr>
            </w:pPr>
            <w:r>
              <w:rPr>
                <w:rFonts w:hint="default" w:cs="宋体"/>
                <w:color w:val="000000"/>
                <w:sz w:val="16"/>
                <w:szCs w:val="16"/>
                <w:lang w:bidi="ar"/>
              </w:rPr>
              <w:t>≥95%</w:t>
            </w:r>
          </w:p>
        </w:tc>
        <w:tc>
          <w:tcPr>
            <w:tcW w:w="1233" w:type="dxa"/>
            <w:tcBorders>
              <w:top w:val="single" w:color="000000" w:sz="4" w:space="0"/>
              <w:left w:val="single" w:color="000000" w:sz="4" w:space="0"/>
              <w:bottom w:val="nil"/>
              <w:right w:val="single" w:color="000000" w:sz="4" w:space="0"/>
              <w:tl2br w:val="nil"/>
              <w:tr2bl w:val="nil"/>
            </w:tcBorders>
            <w:noWrap w:val="0"/>
            <w:vAlign w:val="center"/>
          </w:tcPr>
          <w:p w14:paraId="02B1523D">
            <w:pPr>
              <w:widowControl/>
              <w:jc w:val="center"/>
              <w:textAlignment w:val="center"/>
              <w:rPr>
                <w:rFonts w:hint="default" w:cs="宋体"/>
                <w:color w:val="000000"/>
                <w:sz w:val="16"/>
                <w:szCs w:val="16"/>
              </w:rPr>
            </w:pPr>
            <w:r>
              <w:rPr>
                <w:rFonts w:hint="default" w:cs="宋体"/>
                <w:color w:val="000000"/>
                <w:sz w:val="16"/>
                <w:szCs w:val="16"/>
                <w:lang w:bidi="ar"/>
              </w:rPr>
              <w:t>96%</w:t>
            </w:r>
          </w:p>
        </w:tc>
        <w:tc>
          <w:tcPr>
            <w:tcW w:w="230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AF9A54">
            <w:pPr>
              <w:jc w:val="center"/>
              <w:rPr>
                <w:rFonts w:hint="default" w:cs="宋体"/>
                <w:color w:val="000000"/>
                <w:sz w:val="16"/>
                <w:szCs w:val="16"/>
              </w:rPr>
            </w:pPr>
          </w:p>
        </w:tc>
      </w:tr>
      <w:tr w14:paraId="1247F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361"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FE0045D">
            <w:pPr>
              <w:jc w:val="center"/>
              <w:rPr>
                <w:rFonts w:hint="default" w:cs="宋体"/>
                <w:color w:val="000000"/>
                <w:sz w:val="16"/>
                <w:szCs w:val="16"/>
              </w:rPr>
            </w:pPr>
          </w:p>
        </w:tc>
        <w:tc>
          <w:tcPr>
            <w:tcW w:w="1358"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FCC1F8">
            <w:pPr>
              <w:jc w:val="center"/>
              <w:rPr>
                <w:rFonts w:hint="default" w:cs="宋体"/>
                <w:color w:val="000000"/>
                <w:sz w:val="16"/>
                <w:szCs w:val="16"/>
              </w:rPr>
            </w:pPr>
          </w:p>
        </w:tc>
        <w:tc>
          <w:tcPr>
            <w:tcW w:w="1408" w:type="dxa"/>
            <w:tcBorders>
              <w:top w:val="single" w:color="000000" w:sz="4" w:space="0"/>
              <w:left w:val="single" w:color="000000" w:sz="4" w:space="0"/>
              <w:bottom w:val="nil"/>
              <w:right w:val="single" w:color="000000" w:sz="4" w:space="0"/>
              <w:tl2br w:val="nil"/>
              <w:tr2bl w:val="nil"/>
            </w:tcBorders>
            <w:noWrap w:val="0"/>
            <w:vAlign w:val="center"/>
          </w:tcPr>
          <w:p w14:paraId="6A1C3BB9">
            <w:pPr>
              <w:widowControl/>
              <w:jc w:val="center"/>
              <w:textAlignment w:val="center"/>
              <w:rPr>
                <w:rFonts w:hint="default" w:cs="宋体"/>
                <w:color w:val="000000"/>
                <w:sz w:val="16"/>
                <w:szCs w:val="16"/>
              </w:rPr>
            </w:pPr>
            <w:r>
              <w:rPr>
                <w:rFonts w:hint="default" w:cs="宋体"/>
                <w:color w:val="000000"/>
                <w:sz w:val="16"/>
                <w:szCs w:val="16"/>
                <w:lang w:bidi="ar"/>
              </w:rPr>
              <w:t>生态效益指标</w:t>
            </w:r>
          </w:p>
        </w:tc>
        <w:tc>
          <w:tcPr>
            <w:tcW w:w="225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3E54FB">
            <w:pPr>
              <w:widowControl/>
              <w:jc w:val="center"/>
              <w:textAlignment w:val="center"/>
              <w:rPr>
                <w:rFonts w:hint="default" w:cs="宋体"/>
                <w:color w:val="000000"/>
                <w:sz w:val="16"/>
                <w:szCs w:val="16"/>
              </w:rPr>
            </w:pPr>
            <w:r>
              <w:rPr>
                <w:rFonts w:hint="default" w:cs="宋体"/>
                <w:color w:val="000000"/>
                <w:sz w:val="16"/>
                <w:szCs w:val="16"/>
                <w:lang w:bidi="ar"/>
              </w:rPr>
              <w:t>环境卫生清洁度无“脏、乱、差”现象发生</w:t>
            </w:r>
          </w:p>
        </w:tc>
        <w:tc>
          <w:tcPr>
            <w:tcW w:w="1242"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7A322474">
            <w:pPr>
              <w:widowControl/>
              <w:textAlignment w:val="center"/>
              <w:rPr>
                <w:rFonts w:hint="default" w:cs="宋体"/>
                <w:color w:val="000000"/>
                <w:sz w:val="16"/>
                <w:szCs w:val="16"/>
              </w:rPr>
            </w:pPr>
            <w:r>
              <w:rPr>
                <w:rFonts w:hint="default" w:cs="宋体"/>
                <w:color w:val="000000"/>
                <w:sz w:val="16"/>
                <w:szCs w:val="16"/>
                <w:lang w:bidi="ar"/>
              </w:rPr>
              <w:t>优</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F30D20">
            <w:pPr>
              <w:widowControl/>
              <w:jc w:val="center"/>
              <w:textAlignment w:val="center"/>
              <w:rPr>
                <w:rFonts w:hint="default" w:cs="宋体"/>
                <w:color w:val="000000"/>
                <w:sz w:val="16"/>
                <w:szCs w:val="16"/>
              </w:rPr>
            </w:pPr>
            <w:r>
              <w:rPr>
                <w:rFonts w:hint="default" w:cs="宋体"/>
                <w:color w:val="000000"/>
                <w:sz w:val="16"/>
                <w:szCs w:val="16"/>
                <w:lang w:bidi="ar"/>
              </w:rPr>
              <w:t>优</w:t>
            </w:r>
          </w:p>
        </w:tc>
        <w:tc>
          <w:tcPr>
            <w:tcW w:w="230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59FF97">
            <w:pPr>
              <w:jc w:val="center"/>
              <w:rPr>
                <w:rFonts w:hint="default" w:cs="宋体"/>
                <w:color w:val="000000"/>
                <w:sz w:val="16"/>
                <w:szCs w:val="16"/>
              </w:rPr>
            </w:pPr>
          </w:p>
        </w:tc>
      </w:tr>
      <w:tr w14:paraId="580B5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 w:hRule="atLeast"/>
        </w:trPr>
        <w:tc>
          <w:tcPr>
            <w:tcW w:w="1361"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42FDFF3">
            <w:pPr>
              <w:jc w:val="center"/>
              <w:rPr>
                <w:rFonts w:hint="default" w:cs="宋体"/>
                <w:color w:val="000000"/>
                <w:sz w:val="16"/>
                <w:szCs w:val="16"/>
              </w:rPr>
            </w:pPr>
          </w:p>
        </w:tc>
        <w:tc>
          <w:tcPr>
            <w:tcW w:w="1358"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85480D">
            <w:pPr>
              <w:jc w:val="center"/>
              <w:rPr>
                <w:rFonts w:hint="default" w:cs="宋体"/>
                <w:color w:val="000000"/>
                <w:sz w:val="16"/>
                <w:szCs w:val="16"/>
              </w:rPr>
            </w:pPr>
          </w:p>
        </w:tc>
        <w:tc>
          <w:tcPr>
            <w:tcW w:w="14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7181C2">
            <w:pPr>
              <w:widowControl/>
              <w:jc w:val="center"/>
              <w:textAlignment w:val="center"/>
              <w:rPr>
                <w:rFonts w:hint="default" w:cs="宋体"/>
                <w:color w:val="000000"/>
                <w:sz w:val="16"/>
                <w:szCs w:val="16"/>
              </w:rPr>
            </w:pPr>
            <w:r>
              <w:rPr>
                <w:rFonts w:hint="default" w:cs="宋体"/>
                <w:color w:val="000000"/>
                <w:sz w:val="16"/>
                <w:szCs w:val="16"/>
                <w:lang w:bidi="ar"/>
              </w:rPr>
              <w:t>可持续影响指标</w:t>
            </w:r>
          </w:p>
        </w:tc>
        <w:tc>
          <w:tcPr>
            <w:tcW w:w="225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96E8BC">
            <w:pPr>
              <w:widowControl/>
              <w:jc w:val="center"/>
              <w:textAlignment w:val="center"/>
              <w:rPr>
                <w:rFonts w:hint="default" w:cs="宋体"/>
                <w:color w:val="000000"/>
                <w:sz w:val="16"/>
                <w:szCs w:val="16"/>
              </w:rPr>
            </w:pPr>
            <w:r>
              <w:rPr>
                <w:rFonts w:hint="default" w:cs="宋体"/>
                <w:color w:val="000000"/>
                <w:sz w:val="16"/>
                <w:szCs w:val="16"/>
                <w:lang w:bidi="ar"/>
              </w:rPr>
              <w:t>项目使用年限</w:t>
            </w:r>
          </w:p>
        </w:tc>
        <w:tc>
          <w:tcPr>
            <w:tcW w:w="1242"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62BB891D">
            <w:pPr>
              <w:widowControl/>
              <w:textAlignment w:val="center"/>
              <w:rPr>
                <w:rFonts w:hint="default" w:cs="宋体"/>
                <w:color w:val="000000"/>
                <w:sz w:val="16"/>
                <w:szCs w:val="16"/>
              </w:rPr>
            </w:pPr>
            <w:r>
              <w:rPr>
                <w:rFonts w:hint="default" w:cs="宋体"/>
                <w:color w:val="000000"/>
                <w:sz w:val="16"/>
                <w:szCs w:val="16"/>
                <w:lang w:bidi="ar"/>
              </w:rPr>
              <w:t>＞1年</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B5F847">
            <w:pPr>
              <w:widowControl/>
              <w:jc w:val="center"/>
              <w:textAlignment w:val="center"/>
              <w:rPr>
                <w:rFonts w:hint="default" w:cs="宋体"/>
                <w:color w:val="000000"/>
                <w:sz w:val="16"/>
                <w:szCs w:val="16"/>
              </w:rPr>
            </w:pPr>
            <w:r>
              <w:rPr>
                <w:rFonts w:hint="default" w:cs="宋体"/>
                <w:color w:val="000000"/>
                <w:sz w:val="16"/>
                <w:szCs w:val="16"/>
                <w:lang w:bidi="ar"/>
              </w:rPr>
              <w:t>1年</w:t>
            </w:r>
          </w:p>
        </w:tc>
        <w:tc>
          <w:tcPr>
            <w:tcW w:w="230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5A6134">
            <w:pPr>
              <w:jc w:val="center"/>
              <w:rPr>
                <w:rFonts w:hint="default" w:cs="宋体"/>
                <w:color w:val="000000"/>
                <w:sz w:val="16"/>
                <w:szCs w:val="16"/>
              </w:rPr>
            </w:pPr>
          </w:p>
        </w:tc>
      </w:tr>
      <w:tr w14:paraId="59D26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7" w:hRule="atLeast"/>
        </w:trPr>
        <w:tc>
          <w:tcPr>
            <w:tcW w:w="1361"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7B24FCB0">
            <w:pPr>
              <w:jc w:val="center"/>
              <w:rPr>
                <w:rFonts w:hint="default" w:cs="宋体"/>
                <w:color w:val="000000"/>
                <w:sz w:val="16"/>
                <w:szCs w:val="16"/>
              </w:rPr>
            </w:pPr>
          </w:p>
        </w:tc>
        <w:tc>
          <w:tcPr>
            <w:tcW w:w="135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0C0525">
            <w:pPr>
              <w:widowControl/>
              <w:jc w:val="center"/>
              <w:textAlignment w:val="center"/>
              <w:rPr>
                <w:rFonts w:hint="default" w:cs="宋体"/>
                <w:color w:val="000000"/>
                <w:sz w:val="16"/>
                <w:szCs w:val="16"/>
              </w:rPr>
            </w:pPr>
            <w:r>
              <w:rPr>
                <w:rFonts w:hint="default" w:cs="宋体"/>
                <w:color w:val="000000"/>
                <w:sz w:val="16"/>
                <w:szCs w:val="16"/>
                <w:lang w:bidi="ar"/>
              </w:rPr>
              <w:t>满意度</w:t>
            </w:r>
            <w:r>
              <w:rPr>
                <w:rFonts w:hint="default" w:cs="宋体"/>
                <w:color w:val="000000"/>
                <w:sz w:val="16"/>
                <w:szCs w:val="16"/>
                <w:lang w:bidi="ar"/>
              </w:rPr>
              <w:br w:type="textWrapping"/>
            </w:r>
            <w:r>
              <w:rPr>
                <w:rFonts w:hint="default" w:cs="宋体"/>
                <w:color w:val="000000"/>
                <w:sz w:val="16"/>
                <w:szCs w:val="16"/>
                <w:lang w:bidi="ar"/>
              </w:rPr>
              <w:t>指标</w:t>
            </w:r>
          </w:p>
        </w:tc>
        <w:tc>
          <w:tcPr>
            <w:tcW w:w="14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4F9210">
            <w:pPr>
              <w:widowControl/>
              <w:jc w:val="center"/>
              <w:textAlignment w:val="center"/>
              <w:rPr>
                <w:rFonts w:hint="default" w:cs="宋体"/>
                <w:color w:val="000000"/>
                <w:sz w:val="16"/>
                <w:szCs w:val="16"/>
              </w:rPr>
            </w:pPr>
            <w:r>
              <w:rPr>
                <w:rFonts w:hint="default" w:cs="宋体"/>
                <w:color w:val="000000"/>
                <w:sz w:val="16"/>
                <w:szCs w:val="16"/>
                <w:lang w:bidi="ar"/>
              </w:rPr>
              <w:t>服务对象满意度指标</w:t>
            </w:r>
          </w:p>
        </w:tc>
        <w:tc>
          <w:tcPr>
            <w:tcW w:w="225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31B9F7">
            <w:pPr>
              <w:widowControl/>
              <w:jc w:val="center"/>
              <w:textAlignment w:val="center"/>
              <w:rPr>
                <w:rFonts w:hint="default" w:cs="宋体"/>
                <w:color w:val="000000"/>
                <w:sz w:val="16"/>
                <w:szCs w:val="16"/>
              </w:rPr>
            </w:pPr>
            <w:r>
              <w:rPr>
                <w:rFonts w:hint="default" w:cs="宋体"/>
                <w:color w:val="000000"/>
                <w:sz w:val="16"/>
                <w:szCs w:val="16"/>
                <w:lang w:bidi="ar"/>
              </w:rPr>
              <w:t>群众满意度</w:t>
            </w:r>
          </w:p>
        </w:tc>
        <w:tc>
          <w:tcPr>
            <w:tcW w:w="1242"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39050661">
            <w:pPr>
              <w:widowControl/>
              <w:textAlignment w:val="center"/>
              <w:rPr>
                <w:rFonts w:hint="default" w:cs="宋体"/>
                <w:color w:val="000000"/>
                <w:sz w:val="16"/>
                <w:szCs w:val="16"/>
              </w:rPr>
            </w:pPr>
            <w:r>
              <w:rPr>
                <w:rFonts w:hint="default" w:cs="宋体"/>
                <w:color w:val="000000"/>
                <w:sz w:val="16"/>
                <w:szCs w:val="16"/>
                <w:lang w:bidi="ar"/>
              </w:rPr>
              <w:t>≥95%</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6FAD9A">
            <w:pPr>
              <w:widowControl/>
              <w:jc w:val="center"/>
              <w:textAlignment w:val="center"/>
              <w:rPr>
                <w:rFonts w:hint="default" w:cs="宋体"/>
                <w:color w:val="000000"/>
                <w:sz w:val="16"/>
                <w:szCs w:val="16"/>
              </w:rPr>
            </w:pPr>
            <w:r>
              <w:rPr>
                <w:rFonts w:hint="default" w:cs="宋体"/>
                <w:color w:val="000000"/>
                <w:sz w:val="16"/>
                <w:szCs w:val="16"/>
                <w:lang w:bidi="ar"/>
              </w:rPr>
              <w:t>96%</w:t>
            </w:r>
          </w:p>
        </w:tc>
        <w:tc>
          <w:tcPr>
            <w:tcW w:w="230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BCE4BE">
            <w:pPr>
              <w:jc w:val="center"/>
              <w:rPr>
                <w:rFonts w:hint="default" w:cs="宋体"/>
                <w:color w:val="000000"/>
                <w:sz w:val="16"/>
                <w:szCs w:val="16"/>
              </w:rPr>
            </w:pPr>
          </w:p>
        </w:tc>
      </w:tr>
    </w:tbl>
    <w:p w14:paraId="5B84950F">
      <w:pPr>
        <w:rPr>
          <w:rFonts w:hint="eastAsia" w:ascii="黑体" w:hAnsi="黑体" w:eastAsia="黑体" w:cs="黑体"/>
          <w:color w:val="auto"/>
          <w:sz w:val="32"/>
          <w:szCs w:val="32"/>
          <w:lang w:bidi="ar"/>
        </w:rPr>
      </w:pPr>
      <w:r>
        <w:rPr>
          <w:rFonts w:hint="eastAsia" w:ascii="黑体" w:hAnsi="黑体" w:eastAsia="黑体" w:cs="黑体"/>
          <w:color w:val="auto"/>
          <w:sz w:val="32"/>
          <w:szCs w:val="32"/>
          <w:lang w:bidi="ar"/>
        </w:rPr>
        <w:t>附件2-3：</w:t>
      </w:r>
    </w:p>
    <w:p w14:paraId="4948B4DF">
      <w:pPr>
        <w:numPr>
          <w:ilvl w:val="0"/>
          <w:numId w:val="0"/>
        </w:numPr>
        <w:tabs>
          <w:tab w:val="center" w:pos="4482"/>
          <w:tab w:val="left" w:pos="7482"/>
        </w:tabs>
        <w:autoSpaceDE/>
        <w:autoSpaceDN/>
        <w:adjustRightInd/>
        <w:spacing w:line="576" w:lineRule="exact"/>
        <w:jc w:val="center"/>
        <w:rPr>
          <w:rFonts w:hint="eastAsia" w:ascii="Times New Roman" w:eastAsia="方正小标宋简体" w:cs="方正小标宋简体"/>
          <w:kern w:val="2"/>
          <w:sz w:val="44"/>
          <w:szCs w:val="44"/>
        </w:rPr>
      </w:pPr>
      <w:r>
        <w:rPr>
          <w:rFonts w:hint="eastAsia" w:ascii="Times New Roman" w:eastAsia="方正小标宋简体" w:cs="方正小标宋简体"/>
          <w:kern w:val="2"/>
          <w:sz w:val="44"/>
          <w:szCs w:val="44"/>
        </w:rPr>
        <w:t>广元市昭化区太公镇人民政府</w:t>
      </w:r>
    </w:p>
    <w:p w14:paraId="6621D9DF">
      <w:pPr>
        <w:numPr>
          <w:ilvl w:val="0"/>
          <w:numId w:val="0"/>
        </w:numPr>
        <w:tabs>
          <w:tab w:val="center" w:pos="4482"/>
          <w:tab w:val="left" w:pos="7482"/>
        </w:tabs>
        <w:autoSpaceDE/>
        <w:autoSpaceDN/>
        <w:adjustRightInd/>
        <w:spacing w:line="576" w:lineRule="exact"/>
        <w:jc w:val="center"/>
        <w:rPr>
          <w:rFonts w:hint="eastAsia" w:ascii="Times New Roman" w:eastAsia="方正小标宋简体" w:cs="方正小标宋简体"/>
          <w:kern w:val="2"/>
          <w:sz w:val="44"/>
          <w:szCs w:val="44"/>
        </w:rPr>
      </w:pPr>
      <w:r>
        <w:rPr>
          <w:rFonts w:hint="eastAsia" w:ascii="Times New Roman" w:eastAsia="方正小标宋简体" w:cs="方正小标宋简体"/>
          <w:kern w:val="2"/>
          <w:sz w:val="44"/>
          <w:szCs w:val="44"/>
        </w:rPr>
        <w:t>2023年干部周转房支出绩效自评报告</w:t>
      </w:r>
    </w:p>
    <w:p w14:paraId="3B0932D6">
      <w:pPr>
        <w:numPr>
          <w:ilvl w:val="0"/>
          <w:numId w:val="0"/>
        </w:numPr>
        <w:autoSpaceDE/>
        <w:autoSpaceDN/>
        <w:adjustRightInd/>
        <w:spacing w:line="596" w:lineRule="exact"/>
        <w:jc w:val="center"/>
        <w:rPr>
          <w:rFonts w:hint="eastAsia" w:ascii="Times New Roman" w:eastAsia="Times New Roman"/>
          <w:sz w:val="28"/>
          <w:szCs w:val="28"/>
        </w:rPr>
      </w:pPr>
    </w:p>
    <w:p w14:paraId="0056B7AB">
      <w:pPr>
        <w:spacing w:line="576" w:lineRule="exact"/>
        <w:ind w:firstLine="640" w:firstLineChars="200"/>
        <w:rPr>
          <w:rFonts w:hint="eastAsia" w:ascii="Times New Roman" w:eastAsia="仿宋_GB2312"/>
          <w:color w:val="000000"/>
          <w:sz w:val="32"/>
          <w:szCs w:val="24"/>
          <w:lang w:val="zh-CN"/>
        </w:rPr>
      </w:pPr>
      <w:r>
        <w:rPr>
          <w:rFonts w:hint="eastAsia" w:ascii="Times New Roman" w:eastAsia="仿宋_GB2312"/>
          <w:color w:val="000000"/>
          <w:sz w:val="32"/>
          <w:szCs w:val="24"/>
          <w:lang w:val="zh-CN"/>
        </w:rPr>
        <w:t>为严格落实项目预算执行，根据《广元市昭化区财政局关于开展2024年部门、政策和项目支出绩效评价工作的通知》（昭财发〔2024〕11号）文件要求，我镇积极组织对2023年干部周转房支出项目资金进行绩效评价。保证我镇项目支出的资金使用合理合规，现将我镇2023年干部周转房支出项目绩效自评报告如下：</w:t>
      </w:r>
    </w:p>
    <w:p w14:paraId="017B1397">
      <w:pPr>
        <w:numPr>
          <w:ilvl w:val="0"/>
          <w:numId w:val="2"/>
        </w:numPr>
        <w:autoSpaceDE/>
        <w:autoSpaceDN/>
        <w:snapToGrid w:val="0"/>
        <w:spacing w:line="596" w:lineRule="exact"/>
        <w:ind w:firstLine="640" w:firstLineChars="200"/>
        <w:rPr>
          <w:rFonts w:hint="eastAsia" w:ascii="Times New Roman" w:eastAsia="Times New Roman"/>
          <w:sz w:val="32"/>
          <w:szCs w:val="32"/>
          <w:lang w:val="zh-CN"/>
        </w:rPr>
      </w:pPr>
      <w:r>
        <w:rPr>
          <w:rFonts w:hint="eastAsia" w:ascii="Times New Roman" w:eastAsia="黑体"/>
          <w:sz w:val="32"/>
          <w:szCs w:val="32"/>
          <w:lang w:val="zh-CN"/>
        </w:rPr>
        <w:t>项目概况</w:t>
      </w:r>
    </w:p>
    <w:p w14:paraId="7873AE1B">
      <w:pPr>
        <w:numPr>
          <w:ilvl w:val="0"/>
          <w:numId w:val="0"/>
        </w:numPr>
        <w:autoSpaceDE/>
        <w:autoSpaceDN/>
        <w:snapToGrid w:val="0"/>
        <w:spacing w:line="596" w:lineRule="exact"/>
        <w:rPr>
          <w:rFonts w:hint="eastAsia" w:ascii="Times New Roman" w:eastAsia="仿宋_GB2312"/>
          <w:color w:val="000000"/>
          <w:sz w:val="32"/>
          <w:szCs w:val="24"/>
          <w:lang w:val="zh-CN"/>
        </w:rPr>
      </w:pPr>
      <w:r>
        <w:rPr>
          <w:rFonts w:hint="eastAsia" w:ascii="Times New Roman" w:eastAsia="黑体"/>
          <w:sz w:val="32"/>
          <w:szCs w:val="32"/>
        </w:rPr>
        <w:t xml:space="preserve">    </w:t>
      </w:r>
      <w:r>
        <w:rPr>
          <w:rFonts w:hint="eastAsia" w:ascii="Times New Roman" w:eastAsia="楷体_GB2312"/>
          <w:sz w:val="32"/>
          <w:szCs w:val="32"/>
        </w:rPr>
        <w:t>（一）</w:t>
      </w:r>
      <w:r>
        <w:rPr>
          <w:rFonts w:hint="eastAsia" w:ascii="Times New Roman" w:eastAsia="楷体_GB2312"/>
          <w:sz w:val="32"/>
          <w:szCs w:val="32"/>
          <w:lang w:val="zh-CN"/>
        </w:rPr>
        <w:t>项目资金申报及批复情况。</w:t>
      </w:r>
      <w:r>
        <w:rPr>
          <w:rFonts w:hint="eastAsia" w:ascii="Times New Roman" w:eastAsia="仿宋_GB2312"/>
          <w:color w:val="000000"/>
          <w:sz w:val="32"/>
          <w:szCs w:val="24"/>
          <w:lang w:val="zh-CN"/>
        </w:rPr>
        <w:t>广元市昭化区太公镇干部周转房建设项目于2022年1月7日经发改立项，2023年2月5日开工建设，2024年1月21日竣工验收。项目估算总投资708.40万元，其中：购置设施设备 22.40万元。资金来源为省、市专项建设资金及区本级财政配套。2023年申请资金总额50万元，其中申请财政资金50万元。</w:t>
      </w:r>
    </w:p>
    <w:p w14:paraId="3427849E">
      <w:pPr>
        <w:autoSpaceDE/>
        <w:autoSpaceDN/>
        <w:snapToGrid w:val="0"/>
        <w:spacing w:line="596" w:lineRule="exact"/>
        <w:ind w:firstLine="640" w:firstLineChars="200"/>
        <w:rPr>
          <w:rFonts w:hint="eastAsia" w:ascii="Times New Roman" w:eastAsia="仿宋_GB2312"/>
          <w:color w:val="000000"/>
          <w:sz w:val="32"/>
          <w:szCs w:val="24"/>
          <w:lang w:val="zh-CN"/>
        </w:rPr>
      </w:pPr>
      <w:r>
        <w:rPr>
          <w:rFonts w:hint="eastAsia" w:ascii="Times New Roman" w:eastAsia="楷体_GB2312"/>
          <w:sz w:val="32"/>
          <w:szCs w:val="32"/>
          <w:lang w:val="zh-CN"/>
        </w:rPr>
        <w:t>（二）项目绩效目标。</w:t>
      </w:r>
      <w:r>
        <w:rPr>
          <w:rFonts w:hint="eastAsia" w:ascii="Times New Roman" w:eastAsia="仿宋_GB2312"/>
          <w:color w:val="000000"/>
          <w:sz w:val="32"/>
          <w:szCs w:val="24"/>
          <w:lang w:val="zh-CN"/>
        </w:rPr>
        <w:t>该项目主要建设内容及规模为：新建干部周转房1栋，建筑面积1960㎡，配套建设雨污管网、强弱电、化粪池等附属工作，购置厨卫及室内床、衣柜等设施设备。广元市昭化区太公镇干部周转房建设项目专项经费绩效总体目标为解决太公镇政府干部职工周转住房问题，绩效目标受益人群为政府干部职工共56人，建设房间数量56套。旨在保障干部基本住宿的基础上激发干部安心基层、干事创业的热情与活力，增强服务能力、提高治理效能。</w:t>
      </w:r>
    </w:p>
    <w:p w14:paraId="31FDBD8C">
      <w:pPr>
        <w:autoSpaceDE/>
        <w:autoSpaceDN/>
        <w:snapToGrid w:val="0"/>
        <w:spacing w:line="596" w:lineRule="exact"/>
        <w:ind w:firstLine="640" w:firstLineChars="200"/>
        <w:rPr>
          <w:rFonts w:hint="eastAsia" w:ascii="Times New Roman" w:eastAsia="仿宋_GB2312"/>
          <w:color w:val="000000"/>
          <w:sz w:val="32"/>
          <w:szCs w:val="24"/>
          <w:lang w:val="zh-CN"/>
        </w:rPr>
      </w:pPr>
      <w:r>
        <w:rPr>
          <w:rFonts w:hint="eastAsia" w:ascii="Times New Roman" w:eastAsia="楷体_GB2312"/>
          <w:sz w:val="32"/>
          <w:szCs w:val="32"/>
          <w:lang w:val="zh-CN"/>
        </w:rPr>
        <w:t>（三）项目资金申报相符性。</w:t>
      </w:r>
      <w:r>
        <w:rPr>
          <w:rFonts w:hint="eastAsia" w:ascii="Times New Roman" w:eastAsia="仿宋_GB2312"/>
          <w:color w:val="000000"/>
          <w:sz w:val="32"/>
          <w:szCs w:val="24"/>
          <w:lang w:val="zh-CN"/>
        </w:rPr>
        <w:t>本项目申报内容与具体实施内容相符，不存在任何不相符的现象。</w:t>
      </w:r>
    </w:p>
    <w:p w14:paraId="63989D5E">
      <w:pPr>
        <w:autoSpaceDE/>
        <w:autoSpaceDN/>
        <w:snapToGrid w:val="0"/>
        <w:spacing w:line="596" w:lineRule="exact"/>
        <w:ind w:firstLine="640" w:firstLineChars="200"/>
        <w:rPr>
          <w:rFonts w:hint="eastAsia" w:ascii="Times New Roman" w:eastAsia="楷体_GB2312"/>
          <w:sz w:val="32"/>
          <w:szCs w:val="32"/>
          <w:lang w:val="zh-CN"/>
        </w:rPr>
      </w:pPr>
      <w:r>
        <w:rPr>
          <w:rFonts w:hint="eastAsia" w:ascii="Times New Roman" w:eastAsia="楷体_GB2312"/>
          <w:sz w:val="32"/>
          <w:szCs w:val="32"/>
          <w:lang w:val="zh-CN"/>
        </w:rPr>
        <w:t>（四）自评步骤及方法</w:t>
      </w:r>
    </w:p>
    <w:p w14:paraId="5E2CD1D3">
      <w:pPr>
        <w:autoSpaceDE/>
        <w:autoSpaceDN/>
        <w:snapToGrid w:val="0"/>
        <w:spacing w:line="596" w:lineRule="exact"/>
        <w:ind w:firstLine="640" w:firstLineChars="200"/>
        <w:rPr>
          <w:rFonts w:hint="eastAsia" w:ascii="Times New Roman" w:eastAsia="仿宋_GB2312"/>
          <w:color w:val="000000"/>
          <w:sz w:val="32"/>
          <w:szCs w:val="24"/>
          <w:lang w:val="zh-CN"/>
        </w:rPr>
      </w:pPr>
      <w:r>
        <w:rPr>
          <w:rFonts w:hint="eastAsia" w:ascii="Times New Roman" w:eastAsia="仿宋_GB2312"/>
          <w:color w:val="000000"/>
          <w:sz w:val="32"/>
          <w:szCs w:val="24"/>
          <w:lang w:val="zh-CN"/>
        </w:rPr>
        <w:t>按区财政部门绩效管理相关规定，成立自评小组，认真开展项目绩效评价工作，根据区财政部门下发的项目绩效评价管理相关文件及评价体系实施，针对申报内容、实施情况、资金兑现、财务管理、社会效益等作出自我评价，收集整理各项数据和相关资料，综合分析，汇总后填写各项评价指标评分表。</w:t>
      </w:r>
    </w:p>
    <w:p w14:paraId="036A3823">
      <w:pPr>
        <w:autoSpaceDE/>
        <w:autoSpaceDN/>
        <w:snapToGrid w:val="0"/>
        <w:spacing w:line="596" w:lineRule="exact"/>
        <w:ind w:firstLine="640" w:firstLineChars="200"/>
        <w:rPr>
          <w:rFonts w:hint="eastAsia" w:ascii="Times New Roman" w:eastAsia="Times New Roman"/>
          <w:color w:val="auto"/>
          <w:sz w:val="32"/>
          <w:szCs w:val="32"/>
        </w:rPr>
      </w:pPr>
      <w:r>
        <w:rPr>
          <w:rFonts w:hint="eastAsia" w:ascii="Times New Roman" w:eastAsia="黑体"/>
          <w:color w:val="auto"/>
          <w:sz w:val="32"/>
          <w:szCs w:val="32"/>
        </w:rPr>
        <w:t>二、项目实施及管理情况</w:t>
      </w:r>
    </w:p>
    <w:p w14:paraId="68FDF592">
      <w:pPr>
        <w:autoSpaceDE/>
        <w:autoSpaceDN/>
        <w:snapToGrid w:val="0"/>
        <w:spacing w:line="596" w:lineRule="exact"/>
        <w:ind w:firstLine="640" w:firstLineChars="200"/>
        <w:rPr>
          <w:rFonts w:hint="eastAsia" w:ascii="Times New Roman" w:eastAsia="Times New Roman"/>
          <w:color w:val="auto"/>
          <w:sz w:val="32"/>
          <w:szCs w:val="32"/>
          <w:lang w:val="zh-CN"/>
        </w:rPr>
      </w:pPr>
      <w:r>
        <w:rPr>
          <w:rFonts w:hint="eastAsia" w:ascii="Times New Roman" w:eastAsia="楷体_GB2312"/>
          <w:color w:val="auto"/>
          <w:sz w:val="32"/>
          <w:szCs w:val="32"/>
          <w:lang w:val="zh-CN"/>
        </w:rPr>
        <w:t>（一）资金计划、到位及使用情况</w:t>
      </w:r>
    </w:p>
    <w:p w14:paraId="2A80409C">
      <w:pPr>
        <w:autoSpaceDE/>
        <w:autoSpaceDN/>
        <w:snapToGrid w:val="0"/>
        <w:spacing w:line="596" w:lineRule="exact"/>
        <w:ind w:firstLine="640" w:firstLineChars="200"/>
        <w:rPr>
          <w:rFonts w:hint="eastAsia" w:ascii="Times New Roman" w:eastAsia="仿宋_GB2312"/>
          <w:color w:val="000000"/>
          <w:sz w:val="32"/>
          <w:szCs w:val="24"/>
          <w:lang w:val="zh-CN"/>
        </w:rPr>
      </w:pPr>
      <w:r>
        <w:rPr>
          <w:rFonts w:hint="eastAsia" w:ascii="Times New Roman" w:eastAsia="仿宋_GB2312"/>
          <w:color w:val="000000"/>
          <w:sz w:val="32"/>
          <w:szCs w:val="24"/>
          <w:lang w:val="zh-CN"/>
        </w:rPr>
        <w:t>1.资金计划及到位。太公镇干部周转房于2023年2月开工建设，拟建规模为1960平方米，总投资708.40万元，资金来源按省、市、区4:3:3比例进行分担（省市专项建设资金及区本级财政配套），其中省级专项建设资金需项目竣工验收后向省级申报。截至目前，我镇干部周转房建设项目共计到位资金50万元，其中省级专项建设资金0万元（正在走资金申报程序）、市级专项建设资金0万元、区本级财政配套50万元。</w:t>
      </w:r>
    </w:p>
    <w:p w14:paraId="6A038D0E">
      <w:pPr>
        <w:autoSpaceDE/>
        <w:autoSpaceDN/>
        <w:snapToGrid w:val="0"/>
        <w:spacing w:line="596" w:lineRule="exact"/>
        <w:ind w:firstLine="640" w:firstLineChars="200"/>
        <w:rPr>
          <w:rFonts w:hint="eastAsia" w:ascii="Times New Roman" w:eastAsia="仿宋_GB2312"/>
          <w:color w:val="000000"/>
          <w:sz w:val="32"/>
          <w:szCs w:val="24"/>
          <w:lang w:val="zh-CN"/>
        </w:rPr>
      </w:pPr>
      <w:r>
        <w:rPr>
          <w:rFonts w:hint="eastAsia" w:ascii="Times New Roman" w:eastAsia="仿宋_GB2312"/>
          <w:color w:val="000000"/>
          <w:sz w:val="32"/>
          <w:szCs w:val="24"/>
          <w:lang w:val="zh-CN"/>
        </w:rPr>
        <w:t>2.资金使用。截至目前，该项目实际支出资金50万元，其中支付施工方人工及材料费用50万元，已支付开支范围、支付标准、支付进度、支付依据等合规合法且与预算相符，暂未发现其他问题。</w:t>
      </w:r>
    </w:p>
    <w:p w14:paraId="66931319">
      <w:pPr>
        <w:autoSpaceDE/>
        <w:autoSpaceDN/>
        <w:snapToGrid w:val="0"/>
        <w:spacing w:line="596" w:lineRule="exact"/>
        <w:ind w:firstLine="640" w:firstLineChars="200"/>
        <w:rPr>
          <w:rFonts w:hint="eastAsia" w:ascii="Times New Roman" w:eastAsia="Times New Roman"/>
          <w:color w:val="auto"/>
          <w:sz w:val="32"/>
          <w:szCs w:val="32"/>
          <w:lang w:val="zh-CN"/>
        </w:rPr>
      </w:pPr>
      <w:r>
        <w:rPr>
          <w:rFonts w:hint="eastAsia" w:ascii="Times New Roman" w:eastAsia="楷体_GB2312"/>
          <w:color w:val="auto"/>
          <w:sz w:val="32"/>
          <w:szCs w:val="32"/>
          <w:lang w:val="zh-CN"/>
        </w:rPr>
        <w:t>（二）项目财务管理情况</w:t>
      </w:r>
    </w:p>
    <w:p w14:paraId="465FF68B">
      <w:pPr>
        <w:autoSpaceDE/>
        <w:autoSpaceDN/>
        <w:snapToGrid w:val="0"/>
        <w:spacing w:line="596" w:lineRule="exact"/>
        <w:ind w:firstLine="640" w:firstLineChars="200"/>
        <w:rPr>
          <w:rFonts w:hint="eastAsia" w:ascii="Times New Roman" w:eastAsia="仿宋_GB2312"/>
          <w:color w:val="000000"/>
          <w:sz w:val="32"/>
          <w:szCs w:val="24"/>
          <w:lang w:val="zh-CN"/>
        </w:rPr>
      </w:pPr>
      <w:r>
        <w:rPr>
          <w:rFonts w:hint="eastAsia" w:ascii="Times New Roman" w:eastAsia="仿宋_GB2312"/>
          <w:color w:val="000000"/>
          <w:sz w:val="32"/>
          <w:szCs w:val="24"/>
          <w:lang w:val="zh-CN"/>
        </w:rPr>
        <w:t>该项目实施单位财务管理制度健全且严格执行财务管理制度、财务处理及时、会计核算规范。</w:t>
      </w:r>
    </w:p>
    <w:p w14:paraId="36EC707F">
      <w:pPr>
        <w:autoSpaceDE/>
        <w:autoSpaceDN/>
        <w:snapToGrid w:val="0"/>
        <w:spacing w:line="596" w:lineRule="exact"/>
        <w:ind w:firstLine="640" w:firstLineChars="200"/>
        <w:rPr>
          <w:rFonts w:hint="eastAsia" w:ascii="Times New Roman" w:eastAsia="Times New Roman"/>
          <w:sz w:val="32"/>
          <w:szCs w:val="32"/>
          <w:lang w:val="zh-CN"/>
        </w:rPr>
      </w:pPr>
      <w:r>
        <w:rPr>
          <w:rFonts w:hint="eastAsia" w:ascii="Times New Roman" w:eastAsia="楷体_GB2312"/>
          <w:sz w:val="32"/>
          <w:szCs w:val="32"/>
          <w:lang w:val="zh-CN"/>
        </w:rPr>
        <w:t>（三）项目组织实施及管理情况</w:t>
      </w:r>
    </w:p>
    <w:p w14:paraId="5D55D17D">
      <w:pPr>
        <w:autoSpaceDE/>
        <w:autoSpaceDN/>
        <w:snapToGrid w:val="0"/>
        <w:spacing w:line="596" w:lineRule="exact"/>
        <w:ind w:firstLine="640" w:firstLineChars="200"/>
        <w:rPr>
          <w:rFonts w:hint="eastAsia" w:ascii="Times New Roman" w:eastAsia="仿宋_GB2312"/>
          <w:color w:val="000000"/>
          <w:sz w:val="32"/>
          <w:szCs w:val="24"/>
          <w:lang w:val="zh-CN"/>
        </w:rPr>
      </w:pPr>
      <w:r>
        <w:rPr>
          <w:rFonts w:hint="eastAsia" w:ascii="Times New Roman" w:eastAsia="仿宋_GB2312"/>
          <w:color w:val="000000"/>
          <w:sz w:val="32"/>
          <w:szCs w:val="24"/>
          <w:lang w:val="zh-CN"/>
        </w:rPr>
        <w:t>该项目由广元市昭化区太公镇人民政府主管，并成立项目建设领导小组对施工过程进行监督及管理，由四川星翔建筑工程有限公司中标施工。</w:t>
      </w:r>
    </w:p>
    <w:p w14:paraId="68CEC033">
      <w:pPr>
        <w:autoSpaceDE/>
        <w:autoSpaceDN/>
        <w:snapToGrid w:val="0"/>
        <w:spacing w:line="596" w:lineRule="exact"/>
        <w:ind w:firstLine="640" w:firstLineChars="200"/>
        <w:rPr>
          <w:rFonts w:hint="eastAsia" w:ascii="Times New Roman" w:eastAsia="Times New Roman"/>
          <w:sz w:val="32"/>
          <w:szCs w:val="32"/>
          <w:lang w:val="zh-CN"/>
        </w:rPr>
      </w:pPr>
      <w:r>
        <w:rPr>
          <w:rFonts w:hint="eastAsia" w:ascii="Times New Roman" w:eastAsia="黑体"/>
          <w:sz w:val="32"/>
          <w:szCs w:val="32"/>
        </w:rPr>
        <w:t>三、项目绩效情况</w:t>
      </w:r>
      <w:r>
        <w:rPr>
          <w:rFonts w:hint="eastAsia" w:ascii="Times New Roman" w:eastAsia="Times New Roman"/>
          <w:sz w:val="32"/>
          <w:szCs w:val="32"/>
          <w:lang w:val="zh-CN"/>
        </w:rPr>
        <w:tab/>
      </w:r>
    </w:p>
    <w:p w14:paraId="78866CBF">
      <w:pPr>
        <w:autoSpaceDE/>
        <w:autoSpaceDN/>
        <w:snapToGrid w:val="0"/>
        <w:spacing w:line="596" w:lineRule="exact"/>
        <w:ind w:firstLine="640" w:firstLineChars="200"/>
        <w:rPr>
          <w:rFonts w:hint="eastAsia" w:ascii="Times New Roman" w:eastAsia="仿宋" w:cs="仿宋"/>
          <w:color w:val="000000"/>
          <w:sz w:val="32"/>
          <w:szCs w:val="32"/>
          <w:lang w:val="zh-CN" w:bidi="ar"/>
        </w:rPr>
      </w:pPr>
      <w:r>
        <w:rPr>
          <w:rFonts w:hint="eastAsia" w:ascii="Times New Roman" w:eastAsia="楷体_GB2312"/>
          <w:sz w:val="32"/>
          <w:szCs w:val="32"/>
          <w:lang w:val="zh-CN"/>
        </w:rPr>
        <w:t>（一）项目完成情况。截至</w:t>
      </w:r>
      <w:r>
        <w:rPr>
          <w:rFonts w:hint="eastAsia" w:ascii="Times New Roman" w:eastAsia="仿宋_GB2312"/>
          <w:color w:val="000000"/>
          <w:sz w:val="32"/>
          <w:szCs w:val="24"/>
          <w:lang w:val="zh-CN"/>
        </w:rPr>
        <w:t>自评时点，该项目已全部完工并通过验收，施工进度100%。本次绩效评价范围内的项目资金到位50万元，实际支付50万元，项目的到位资金及使用均控制在预算范围内。</w:t>
      </w:r>
    </w:p>
    <w:p w14:paraId="727722BD">
      <w:pPr>
        <w:numPr>
          <w:ilvl w:val="0"/>
          <w:numId w:val="0"/>
        </w:numPr>
        <w:autoSpaceDE/>
        <w:autoSpaceDN/>
        <w:snapToGrid w:val="0"/>
        <w:spacing w:line="596" w:lineRule="exact"/>
        <w:ind w:firstLine="640" w:firstLineChars="200"/>
        <w:rPr>
          <w:rFonts w:hint="eastAsia" w:ascii="Times New Roman" w:eastAsia="仿宋" w:cs="仿宋"/>
          <w:color w:val="000000"/>
          <w:sz w:val="32"/>
          <w:szCs w:val="32"/>
          <w:lang w:val="zh-CN" w:bidi="ar"/>
        </w:rPr>
      </w:pPr>
      <w:r>
        <w:rPr>
          <w:rFonts w:hint="eastAsia" w:ascii="Times New Roman" w:eastAsia="楷体_GB2312"/>
          <w:sz w:val="32"/>
          <w:szCs w:val="32"/>
          <w:lang w:val="zh-CN"/>
        </w:rPr>
        <w:t>（二）项目效益情况。</w:t>
      </w:r>
      <w:r>
        <w:rPr>
          <w:rFonts w:hint="eastAsia" w:ascii="Times New Roman" w:eastAsia="仿宋_GB2312"/>
          <w:color w:val="000000"/>
          <w:sz w:val="32"/>
          <w:szCs w:val="24"/>
          <w:lang w:val="zh-CN"/>
        </w:rPr>
        <w:t>该项目的实施能有效地解决干部职工周转住房问题，提高乡镇干部对住宿条件满意度，稳定干部职工，解决其后顾之忧，激发干部安心基层、干事创业的热情与活力，增强干部服务能力、提高社会治理效能。</w:t>
      </w:r>
    </w:p>
    <w:p w14:paraId="103D19AF">
      <w:pPr>
        <w:numPr>
          <w:ilvl w:val="0"/>
          <w:numId w:val="0"/>
        </w:numPr>
        <w:autoSpaceDE/>
        <w:autoSpaceDN/>
        <w:snapToGrid w:val="0"/>
        <w:spacing w:line="596" w:lineRule="exact"/>
        <w:ind w:firstLine="640" w:firstLineChars="200"/>
        <w:rPr>
          <w:rFonts w:hint="eastAsia" w:ascii="Times New Roman" w:eastAsia="仿宋" w:cs="仿宋"/>
          <w:sz w:val="32"/>
          <w:szCs w:val="32"/>
          <w:lang w:val="zh-CN"/>
        </w:rPr>
      </w:pPr>
      <w:r>
        <w:rPr>
          <w:rFonts w:hint="eastAsia" w:ascii="Times New Roman" w:eastAsia="楷体_GB2312"/>
          <w:sz w:val="32"/>
          <w:szCs w:val="32"/>
          <w:lang w:val="zh-CN"/>
        </w:rPr>
        <w:t>（三）违规记录。</w:t>
      </w:r>
      <w:r>
        <w:rPr>
          <w:rFonts w:hint="eastAsia" w:ascii="Times New Roman" w:eastAsia="仿宋_GB2312"/>
          <w:color w:val="000000"/>
          <w:sz w:val="32"/>
          <w:szCs w:val="24"/>
          <w:lang w:val="zh-CN"/>
        </w:rPr>
        <w:t>无。</w:t>
      </w:r>
    </w:p>
    <w:p w14:paraId="02D2F9A7">
      <w:pPr>
        <w:autoSpaceDE/>
        <w:autoSpaceDN/>
        <w:snapToGrid w:val="0"/>
        <w:spacing w:line="596" w:lineRule="exact"/>
        <w:ind w:firstLine="640" w:firstLineChars="200"/>
        <w:rPr>
          <w:rFonts w:hint="eastAsia" w:ascii="Times New Roman" w:eastAsia="Times New Roman"/>
          <w:sz w:val="32"/>
          <w:szCs w:val="32"/>
        </w:rPr>
      </w:pPr>
      <w:r>
        <w:rPr>
          <w:rFonts w:hint="eastAsia" w:ascii="Times New Roman" w:eastAsia="黑体"/>
          <w:sz w:val="32"/>
          <w:szCs w:val="32"/>
        </w:rPr>
        <w:t>四、自评结论及建议</w:t>
      </w:r>
    </w:p>
    <w:p w14:paraId="5CC3A060">
      <w:pPr>
        <w:autoSpaceDE/>
        <w:autoSpaceDN/>
        <w:snapToGrid w:val="0"/>
        <w:spacing w:line="596" w:lineRule="exact"/>
        <w:ind w:firstLine="640" w:firstLineChars="200"/>
        <w:rPr>
          <w:rFonts w:hint="eastAsia" w:ascii="Times New Roman" w:eastAsia="仿宋" w:cs="仿宋"/>
          <w:color w:val="000000"/>
          <w:sz w:val="32"/>
          <w:szCs w:val="32"/>
          <w:lang w:val="zh-CN" w:bidi="ar"/>
        </w:rPr>
      </w:pPr>
      <w:r>
        <w:rPr>
          <w:rFonts w:hint="eastAsia" w:ascii="Times New Roman" w:eastAsia="楷体_GB2312"/>
          <w:sz w:val="32"/>
          <w:szCs w:val="32"/>
          <w:lang w:val="zh-CN"/>
        </w:rPr>
        <w:t>（一）自评结论。</w:t>
      </w:r>
      <w:r>
        <w:rPr>
          <w:rFonts w:hint="eastAsia" w:ascii="Times New Roman" w:eastAsia="仿宋_GB2312"/>
          <w:color w:val="000000"/>
          <w:sz w:val="32"/>
          <w:szCs w:val="24"/>
          <w:lang w:val="zh-CN"/>
        </w:rPr>
        <w:t>为加强财政支出管理，强化支出责任，建立科学、合理的财政支出绩效评价管理体系，提高财政资金使用效益，根据《中华人民共和国预算法》等国家有关规定，对绩效目标的设定情况、资金投入和使用情况等进行评价，自评分为96.8分。</w:t>
      </w:r>
    </w:p>
    <w:p w14:paraId="37665A6F">
      <w:pPr>
        <w:autoSpaceDE/>
        <w:autoSpaceDN/>
        <w:snapToGrid w:val="0"/>
        <w:spacing w:line="596" w:lineRule="exact"/>
        <w:ind w:firstLine="640" w:firstLineChars="200"/>
        <w:rPr>
          <w:rFonts w:hint="eastAsia" w:ascii="Times New Roman" w:eastAsia="仿宋" w:cs="仿宋"/>
          <w:color w:val="000000"/>
          <w:sz w:val="32"/>
          <w:szCs w:val="32"/>
          <w:lang w:val="zh-CN" w:bidi="ar"/>
        </w:rPr>
      </w:pPr>
      <w:r>
        <w:rPr>
          <w:rFonts w:hint="eastAsia" w:ascii="Times New Roman" w:eastAsia="楷体_GB2312"/>
          <w:sz w:val="32"/>
          <w:szCs w:val="32"/>
          <w:lang w:val="zh-CN"/>
        </w:rPr>
        <w:t>（二）存在的问题。</w:t>
      </w:r>
      <w:r>
        <w:rPr>
          <w:rFonts w:hint="eastAsia" w:ascii="Times New Roman" w:eastAsia="仿宋_GB2312"/>
          <w:color w:val="000000"/>
          <w:sz w:val="32"/>
          <w:szCs w:val="24"/>
          <w:lang w:val="zh-CN"/>
        </w:rPr>
        <w:t>项目资金匹配及到位缓慢。</w:t>
      </w:r>
    </w:p>
    <w:p w14:paraId="6C2F8A5C">
      <w:pPr>
        <w:autoSpaceDE/>
        <w:autoSpaceDN/>
        <w:snapToGrid w:val="0"/>
        <w:spacing w:line="596" w:lineRule="exact"/>
        <w:ind w:firstLine="640" w:firstLineChars="200"/>
        <w:rPr>
          <w:rFonts w:hint="eastAsia" w:ascii="Times New Roman" w:eastAsia="仿宋_GB2312"/>
          <w:color w:val="000000"/>
          <w:sz w:val="32"/>
          <w:szCs w:val="24"/>
          <w:lang w:val="zh-CN"/>
        </w:rPr>
      </w:pPr>
      <w:r>
        <w:rPr>
          <w:rFonts w:hint="eastAsia" w:ascii="Times New Roman" w:eastAsia="楷体_GB2312"/>
          <w:sz w:val="32"/>
          <w:szCs w:val="32"/>
          <w:lang w:val="zh-CN"/>
        </w:rPr>
        <w:t>（三）相关措施或建议。</w:t>
      </w:r>
      <w:r>
        <w:rPr>
          <w:rFonts w:hint="eastAsia" w:ascii="Times New Roman" w:eastAsia="仿宋_GB2312"/>
          <w:color w:val="000000"/>
          <w:sz w:val="32"/>
          <w:szCs w:val="24"/>
          <w:lang w:val="zh-CN"/>
        </w:rPr>
        <w:t>我镇将积极与上级相关单位沟通协调，确保资金及时到位兑付。</w:t>
      </w:r>
    </w:p>
    <w:p w14:paraId="08E32A2B">
      <w:pPr>
        <w:autoSpaceDE/>
        <w:autoSpaceDN/>
        <w:snapToGrid w:val="0"/>
        <w:spacing w:line="596" w:lineRule="exact"/>
        <w:ind w:firstLine="640" w:firstLineChars="200"/>
        <w:rPr>
          <w:rFonts w:hint="default"/>
          <w:sz w:val="32"/>
          <w:szCs w:val="32"/>
          <w:lang w:val="zh-CN"/>
        </w:rPr>
      </w:pPr>
    </w:p>
    <w:p w14:paraId="5D2E0110">
      <w:pPr>
        <w:pStyle w:val="2"/>
        <w:rPr>
          <w:rFonts w:hint="default" w:ascii="宋体" w:hAnsi="Times New Roman"/>
          <w:sz w:val="32"/>
          <w:szCs w:val="32"/>
          <w:lang w:val="zh-CN"/>
        </w:rPr>
      </w:pPr>
    </w:p>
    <w:p w14:paraId="69D0EBD7">
      <w:pPr>
        <w:rPr>
          <w:rFonts w:hint="default"/>
          <w:sz w:val="32"/>
          <w:szCs w:val="32"/>
          <w:lang w:val="zh-CN"/>
        </w:rPr>
      </w:pPr>
    </w:p>
    <w:p w14:paraId="330D382F">
      <w:pPr>
        <w:pStyle w:val="2"/>
        <w:rPr>
          <w:rFonts w:hint="default" w:ascii="宋体" w:hAnsi="Times New Roman"/>
          <w:sz w:val="32"/>
          <w:szCs w:val="32"/>
          <w:lang w:val="zh-CN"/>
        </w:rPr>
      </w:pPr>
    </w:p>
    <w:p w14:paraId="0398E146">
      <w:pPr>
        <w:rPr>
          <w:rFonts w:hint="default"/>
          <w:sz w:val="32"/>
          <w:szCs w:val="32"/>
          <w:lang w:val="zh-CN"/>
        </w:rPr>
      </w:pPr>
    </w:p>
    <w:p w14:paraId="264141E2">
      <w:pPr>
        <w:pStyle w:val="2"/>
        <w:rPr>
          <w:rFonts w:hint="default" w:ascii="宋体" w:hAnsi="Times New Roman"/>
          <w:sz w:val="32"/>
          <w:szCs w:val="32"/>
          <w:lang w:val="zh-CN"/>
        </w:rPr>
      </w:pPr>
    </w:p>
    <w:p w14:paraId="4A5DCB92">
      <w:pPr>
        <w:rPr>
          <w:rFonts w:hint="default"/>
          <w:sz w:val="32"/>
          <w:szCs w:val="32"/>
          <w:lang w:val="zh-CN"/>
        </w:rPr>
      </w:pPr>
    </w:p>
    <w:p w14:paraId="70798BAA">
      <w:pPr>
        <w:pStyle w:val="2"/>
        <w:rPr>
          <w:rFonts w:hint="default"/>
          <w:sz w:val="21"/>
          <w:szCs w:val="24"/>
          <w:lang w:val="zh-CN"/>
        </w:rPr>
      </w:pPr>
    </w:p>
    <w:p w14:paraId="59AD2A6C">
      <w:pPr>
        <w:rPr>
          <w:rFonts w:hint="default"/>
          <w:sz w:val="24"/>
          <w:szCs w:val="24"/>
          <w:lang w:val="zh-CN"/>
        </w:rPr>
      </w:pPr>
    </w:p>
    <w:p w14:paraId="31D11609">
      <w:pPr>
        <w:pStyle w:val="2"/>
        <w:rPr>
          <w:rFonts w:hint="default" w:ascii="宋体" w:hAnsi="Times New Roman"/>
          <w:sz w:val="32"/>
          <w:szCs w:val="32"/>
          <w:lang w:val="zh-CN"/>
        </w:rPr>
      </w:pPr>
    </w:p>
    <w:p w14:paraId="35D726CB">
      <w:pPr>
        <w:rPr>
          <w:rFonts w:hint="default"/>
          <w:lang w:val="zh-CN"/>
        </w:rPr>
      </w:pPr>
    </w:p>
    <w:p w14:paraId="775C6DC2">
      <w:pPr>
        <w:rPr>
          <w:rFonts w:hint="default"/>
          <w:sz w:val="32"/>
          <w:szCs w:val="32"/>
          <w:lang w:val="zh-CN"/>
        </w:rPr>
      </w:pPr>
    </w:p>
    <w:tbl>
      <w:tblPr>
        <w:tblStyle w:val="14"/>
        <w:tblW w:w="10700" w:type="dxa"/>
        <w:tblInd w:w="-62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14"/>
        <w:gridCol w:w="698"/>
        <w:gridCol w:w="1513"/>
        <w:gridCol w:w="1065"/>
        <w:gridCol w:w="1257"/>
        <w:gridCol w:w="1298"/>
        <w:gridCol w:w="1568"/>
        <w:gridCol w:w="1987"/>
      </w:tblGrid>
      <w:tr w14:paraId="7EF2A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83" w:hRule="atLeast"/>
        </w:trPr>
        <w:tc>
          <w:tcPr>
            <w:tcW w:w="10700" w:type="dxa"/>
            <w:gridSpan w:val="8"/>
            <w:tcBorders>
              <w:top w:val="nil"/>
              <w:left w:val="nil"/>
              <w:bottom w:val="nil"/>
              <w:right w:val="nil"/>
              <w:tl2br w:val="nil"/>
              <w:tr2bl w:val="nil"/>
            </w:tcBorders>
            <w:noWrap w:val="0"/>
            <w:vAlign w:val="center"/>
          </w:tcPr>
          <w:p w14:paraId="33B2C74C">
            <w:pPr>
              <w:widowControl/>
              <w:jc w:val="center"/>
              <w:textAlignment w:val="center"/>
              <w:rPr>
                <w:rFonts w:hint="eastAsia" w:ascii="Times New Roman" w:eastAsia="方正小标宋简体" w:cs="方正小标宋简体"/>
                <w:color w:val="000000"/>
                <w:sz w:val="36"/>
                <w:szCs w:val="36"/>
              </w:rPr>
            </w:pPr>
            <w:r>
              <w:rPr>
                <w:rFonts w:hint="eastAsia" w:ascii="Times New Roman" w:eastAsia="方正小标宋简体" w:cs="方正小标宋简体"/>
                <w:color w:val="000000"/>
                <w:sz w:val="36"/>
                <w:szCs w:val="36"/>
                <w:lang w:bidi="ar"/>
              </w:rPr>
              <w:t>广元市昭化区财政项目（政策）支出绩效自评表</w:t>
            </w:r>
          </w:p>
        </w:tc>
      </w:tr>
      <w:tr w14:paraId="7440E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10700" w:type="dxa"/>
            <w:gridSpan w:val="8"/>
            <w:tcBorders>
              <w:top w:val="nil"/>
              <w:left w:val="nil"/>
              <w:bottom w:val="nil"/>
              <w:right w:val="nil"/>
              <w:tl2br w:val="nil"/>
              <w:tr2bl w:val="nil"/>
            </w:tcBorders>
            <w:noWrap w:val="0"/>
            <w:vAlign w:val="top"/>
          </w:tcPr>
          <w:p w14:paraId="406A8FB2">
            <w:pPr>
              <w:widowControl/>
              <w:jc w:val="center"/>
              <w:textAlignment w:val="top"/>
              <w:rPr>
                <w:rFonts w:hint="default" w:cs="宋体"/>
                <w:b/>
                <w:color w:val="000000"/>
                <w:sz w:val="24"/>
                <w:szCs w:val="24"/>
              </w:rPr>
            </w:pPr>
            <w:r>
              <w:rPr>
                <w:rFonts w:hint="default" w:cs="宋体"/>
                <w:b/>
                <w:color w:val="000000"/>
                <w:sz w:val="24"/>
                <w:szCs w:val="24"/>
                <w:lang w:bidi="ar"/>
              </w:rPr>
              <w:t>（ 2023年度）</w:t>
            </w:r>
          </w:p>
        </w:tc>
      </w:tr>
      <w:tr w14:paraId="0A61A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201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9D0DF7">
            <w:pPr>
              <w:widowControl/>
              <w:jc w:val="center"/>
              <w:textAlignment w:val="center"/>
              <w:rPr>
                <w:rFonts w:hint="default" w:cs="宋体"/>
                <w:color w:val="000000"/>
                <w:sz w:val="18"/>
                <w:szCs w:val="18"/>
              </w:rPr>
            </w:pPr>
            <w:r>
              <w:rPr>
                <w:rFonts w:hint="default" w:cs="宋体"/>
                <w:color w:val="000000"/>
                <w:sz w:val="18"/>
                <w:szCs w:val="18"/>
                <w:lang w:bidi="ar"/>
              </w:rPr>
              <w:t>项目（政策）名称</w:t>
            </w:r>
          </w:p>
        </w:tc>
        <w:tc>
          <w:tcPr>
            <w:tcW w:w="868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88D7A7">
            <w:pPr>
              <w:widowControl/>
              <w:jc w:val="center"/>
              <w:textAlignment w:val="center"/>
              <w:rPr>
                <w:rFonts w:hint="default" w:cs="宋体"/>
                <w:color w:val="000000"/>
                <w:sz w:val="18"/>
                <w:szCs w:val="18"/>
              </w:rPr>
            </w:pPr>
            <w:r>
              <w:rPr>
                <w:rFonts w:hint="default" w:cs="宋体"/>
                <w:color w:val="000000"/>
                <w:sz w:val="18"/>
                <w:szCs w:val="18"/>
                <w:lang w:bidi="ar"/>
              </w:rPr>
              <w:t>太公政府干部周转房项目资金</w:t>
            </w:r>
          </w:p>
        </w:tc>
      </w:tr>
      <w:tr w14:paraId="06DE4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201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A26B6C">
            <w:pPr>
              <w:widowControl/>
              <w:jc w:val="center"/>
              <w:textAlignment w:val="center"/>
              <w:rPr>
                <w:rFonts w:hint="default" w:cs="宋体"/>
                <w:color w:val="000000"/>
                <w:sz w:val="18"/>
                <w:szCs w:val="18"/>
              </w:rPr>
            </w:pPr>
            <w:r>
              <w:rPr>
                <w:rFonts w:hint="default" w:cs="宋体"/>
                <w:color w:val="000000"/>
                <w:sz w:val="18"/>
                <w:szCs w:val="18"/>
                <w:lang w:bidi="ar"/>
              </w:rPr>
              <w:t>主管部门</w:t>
            </w:r>
          </w:p>
        </w:tc>
        <w:tc>
          <w:tcPr>
            <w:tcW w:w="3835"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8B429C">
            <w:pPr>
              <w:widowControl/>
              <w:jc w:val="center"/>
              <w:textAlignment w:val="center"/>
              <w:rPr>
                <w:rFonts w:hint="default" w:cs="宋体"/>
                <w:color w:val="000000"/>
                <w:sz w:val="18"/>
                <w:szCs w:val="18"/>
              </w:rPr>
            </w:pPr>
            <w:r>
              <w:rPr>
                <w:rFonts w:hint="default" w:cs="宋体"/>
                <w:color w:val="000000"/>
                <w:sz w:val="18"/>
                <w:szCs w:val="18"/>
                <w:lang w:bidi="ar"/>
              </w:rPr>
              <w:t>广元市昭化区太公镇人民政府</w:t>
            </w:r>
          </w:p>
        </w:tc>
        <w:tc>
          <w:tcPr>
            <w:tcW w:w="129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05FEBC">
            <w:pPr>
              <w:widowControl/>
              <w:jc w:val="center"/>
              <w:textAlignment w:val="center"/>
              <w:rPr>
                <w:rFonts w:hint="default" w:cs="宋体"/>
                <w:color w:val="000000"/>
                <w:sz w:val="18"/>
                <w:szCs w:val="18"/>
              </w:rPr>
            </w:pPr>
            <w:r>
              <w:rPr>
                <w:rFonts w:hint="default" w:cs="宋体"/>
                <w:color w:val="000000"/>
                <w:sz w:val="18"/>
                <w:szCs w:val="18"/>
                <w:lang w:bidi="ar"/>
              </w:rPr>
              <w:t>实施单位</w:t>
            </w:r>
          </w:p>
        </w:tc>
        <w:tc>
          <w:tcPr>
            <w:tcW w:w="355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FE9483">
            <w:pPr>
              <w:widowControl/>
              <w:jc w:val="center"/>
              <w:textAlignment w:val="center"/>
              <w:rPr>
                <w:rFonts w:hint="default" w:cs="宋体"/>
                <w:color w:val="000000"/>
                <w:sz w:val="18"/>
                <w:szCs w:val="18"/>
              </w:rPr>
            </w:pPr>
            <w:r>
              <w:rPr>
                <w:rFonts w:hint="default" w:cs="宋体"/>
                <w:color w:val="000000"/>
                <w:sz w:val="18"/>
                <w:szCs w:val="18"/>
                <w:lang w:bidi="ar"/>
              </w:rPr>
              <w:t>广元市昭化区太公镇人民政府</w:t>
            </w:r>
          </w:p>
        </w:tc>
      </w:tr>
      <w:tr w14:paraId="53B0D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2012"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4D55991E">
            <w:pPr>
              <w:widowControl/>
              <w:jc w:val="center"/>
              <w:textAlignment w:val="center"/>
              <w:rPr>
                <w:rFonts w:hint="default" w:cs="宋体"/>
                <w:color w:val="000000"/>
                <w:sz w:val="18"/>
                <w:szCs w:val="18"/>
              </w:rPr>
            </w:pPr>
            <w:r>
              <w:rPr>
                <w:rFonts w:hint="default" w:cs="宋体"/>
                <w:color w:val="000000"/>
                <w:sz w:val="18"/>
                <w:szCs w:val="18"/>
                <w:lang w:bidi="ar"/>
              </w:rPr>
              <w:t>项目（政策）资金（万元）</w:t>
            </w:r>
          </w:p>
        </w:tc>
        <w:tc>
          <w:tcPr>
            <w:tcW w:w="2578" w:type="dxa"/>
            <w:gridSpan w:val="2"/>
            <w:tcBorders>
              <w:top w:val="nil"/>
              <w:left w:val="single" w:color="000000" w:sz="4" w:space="0"/>
              <w:bottom w:val="single" w:color="000000" w:sz="4" w:space="0"/>
              <w:right w:val="single" w:color="000000" w:sz="4" w:space="0"/>
              <w:tl2br w:val="nil"/>
              <w:tr2bl w:val="nil"/>
            </w:tcBorders>
            <w:noWrap w:val="0"/>
            <w:vAlign w:val="center"/>
          </w:tcPr>
          <w:p w14:paraId="542C279D">
            <w:pPr>
              <w:widowControl/>
              <w:jc w:val="center"/>
              <w:textAlignment w:val="center"/>
              <w:rPr>
                <w:rFonts w:hint="default" w:cs="宋体"/>
                <w:color w:val="000000"/>
                <w:sz w:val="18"/>
                <w:szCs w:val="18"/>
              </w:rPr>
            </w:pPr>
            <w:r>
              <w:rPr>
                <w:rFonts w:hint="default" w:cs="宋体"/>
                <w:color w:val="000000"/>
                <w:sz w:val="18"/>
                <w:szCs w:val="18"/>
                <w:lang w:bidi="ar"/>
              </w:rPr>
              <w:t>年度预算数（万元）</w:t>
            </w:r>
          </w:p>
        </w:tc>
        <w:tc>
          <w:tcPr>
            <w:tcW w:w="1257" w:type="dxa"/>
            <w:tcBorders>
              <w:top w:val="nil"/>
              <w:left w:val="single" w:color="000000" w:sz="4" w:space="0"/>
              <w:bottom w:val="single" w:color="000000" w:sz="4" w:space="0"/>
              <w:right w:val="single" w:color="000000" w:sz="4" w:space="0"/>
              <w:tl2br w:val="nil"/>
              <w:tr2bl w:val="nil"/>
            </w:tcBorders>
            <w:noWrap w:val="0"/>
            <w:vAlign w:val="center"/>
          </w:tcPr>
          <w:p w14:paraId="4CB55246">
            <w:pPr>
              <w:widowControl/>
              <w:jc w:val="center"/>
              <w:textAlignment w:val="center"/>
              <w:rPr>
                <w:rFonts w:hint="default" w:cs="宋体"/>
                <w:color w:val="000000"/>
                <w:sz w:val="18"/>
                <w:szCs w:val="18"/>
              </w:rPr>
            </w:pPr>
            <w:r>
              <w:rPr>
                <w:rFonts w:hint="default" w:cs="宋体"/>
                <w:color w:val="000000"/>
                <w:sz w:val="18"/>
                <w:szCs w:val="18"/>
                <w:lang w:bidi="ar"/>
              </w:rPr>
              <w:t>年初预算数</w:t>
            </w:r>
          </w:p>
        </w:tc>
        <w:tc>
          <w:tcPr>
            <w:tcW w:w="1298" w:type="dxa"/>
            <w:tcBorders>
              <w:top w:val="nil"/>
              <w:left w:val="single" w:color="000000" w:sz="4" w:space="0"/>
              <w:bottom w:val="single" w:color="000000" w:sz="4" w:space="0"/>
              <w:right w:val="single" w:color="000000" w:sz="4" w:space="0"/>
              <w:tl2br w:val="nil"/>
              <w:tr2bl w:val="nil"/>
            </w:tcBorders>
            <w:noWrap w:val="0"/>
            <w:vAlign w:val="center"/>
          </w:tcPr>
          <w:p w14:paraId="53A604E1">
            <w:pPr>
              <w:widowControl/>
              <w:jc w:val="center"/>
              <w:textAlignment w:val="center"/>
              <w:rPr>
                <w:rFonts w:hint="default" w:cs="宋体"/>
                <w:color w:val="000000"/>
                <w:sz w:val="18"/>
                <w:szCs w:val="18"/>
              </w:rPr>
            </w:pPr>
            <w:r>
              <w:rPr>
                <w:rFonts w:hint="default" w:cs="宋体"/>
                <w:color w:val="000000"/>
                <w:sz w:val="18"/>
                <w:szCs w:val="18"/>
                <w:lang w:bidi="ar"/>
              </w:rPr>
              <w:t>全年预算数</w:t>
            </w:r>
          </w:p>
        </w:tc>
        <w:tc>
          <w:tcPr>
            <w:tcW w:w="1568" w:type="dxa"/>
            <w:tcBorders>
              <w:top w:val="nil"/>
              <w:left w:val="single" w:color="000000" w:sz="4" w:space="0"/>
              <w:bottom w:val="single" w:color="000000" w:sz="4" w:space="0"/>
              <w:right w:val="single" w:color="000000" w:sz="4" w:space="0"/>
              <w:tl2br w:val="nil"/>
              <w:tr2bl w:val="nil"/>
            </w:tcBorders>
            <w:noWrap w:val="0"/>
            <w:vAlign w:val="center"/>
          </w:tcPr>
          <w:p w14:paraId="3739AF47">
            <w:pPr>
              <w:widowControl/>
              <w:jc w:val="center"/>
              <w:textAlignment w:val="center"/>
              <w:rPr>
                <w:rFonts w:hint="default" w:cs="宋体"/>
                <w:color w:val="000000"/>
                <w:sz w:val="18"/>
                <w:szCs w:val="18"/>
              </w:rPr>
            </w:pPr>
            <w:r>
              <w:rPr>
                <w:rFonts w:hint="default" w:cs="宋体"/>
                <w:color w:val="000000"/>
                <w:sz w:val="18"/>
                <w:szCs w:val="18"/>
                <w:lang w:bidi="ar"/>
              </w:rPr>
              <w:t>全年执行数</w:t>
            </w:r>
          </w:p>
        </w:tc>
        <w:tc>
          <w:tcPr>
            <w:tcW w:w="1987" w:type="dxa"/>
            <w:tcBorders>
              <w:top w:val="nil"/>
              <w:left w:val="single" w:color="000000" w:sz="4" w:space="0"/>
              <w:bottom w:val="single" w:color="000000" w:sz="4" w:space="0"/>
              <w:right w:val="single" w:color="000000" w:sz="4" w:space="0"/>
              <w:tl2br w:val="nil"/>
              <w:tr2bl w:val="nil"/>
            </w:tcBorders>
            <w:noWrap w:val="0"/>
            <w:vAlign w:val="center"/>
          </w:tcPr>
          <w:p w14:paraId="402C77F0">
            <w:pPr>
              <w:widowControl/>
              <w:jc w:val="center"/>
              <w:textAlignment w:val="center"/>
              <w:rPr>
                <w:rFonts w:hint="default" w:cs="宋体"/>
                <w:color w:val="000000"/>
                <w:sz w:val="18"/>
                <w:szCs w:val="18"/>
              </w:rPr>
            </w:pPr>
            <w:r>
              <w:rPr>
                <w:rFonts w:hint="default" w:cs="宋体"/>
                <w:color w:val="000000"/>
                <w:sz w:val="18"/>
                <w:szCs w:val="18"/>
                <w:lang w:bidi="ar"/>
              </w:rPr>
              <w:t>执行率</w:t>
            </w:r>
          </w:p>
        </w:tc>
      </w:tr>
      <w:tr w14:paraId="2A0E0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2012"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CC27F13">
            <w:pPr>
              <w:jc w:val="center"/>
              <w:rPr>
                <w:rFonts w:hint="default" w:cs="宋体"/>
                <w:color w:val="000000"/>
                <w:sz w:val="18"/>
                <w:szCs w:val="18"/>
              </w:rPr>
            </w:pPr>
          </w:p>
        </w:tc>
        <w:tc>
          <w:tcPr>
            <w:tcW w:w="257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A06112">
            <w:pPr>
              <w:widowControl/>
              <w:jc w:val="center"/>
              <w:textAlignment w:val="center"/>
              <w:rPr>
                <w:rFonts w:hint="default" w:cs="宋体"/>
                <w:color w:val="000000"/>
                <w:sz w:val="18"/>
                <w:szCs w:val="18"/>
              </w:rPr>
            </w:pPr>
            <w:r>
              <w:rPr>
                <w:rFonts w:hint="default" w:cs="宋体"/>
                <w:color w:val="000000"/>
                <w:sz w:val="18"/>
                <w:szCs w:val="18"/>
                <w:lang w:bidi="ar"/>
              </w:rPr>
              <w:t>年度资金总额</w:t>
            </w:r>
          </w:p>
        </w:tc>
        <w:tc>
          <w:tcPr>
            <w:tcW w:w="12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81A124">
            <w:pPr>
              <w:jc w:val="both"/>
              <w:rPr>
                <w:rFonts w:hint="default" w:cs="宋体"/>
                <w:color w:val="000000"/>
                <w:sz w:val="18"/>
                <w:szCs w:val="18"/>
              </w:rPr>
            </w:pPr>
          </w:p>
        </w:tc>
        <w:tc>
          <w:tcPr>
            <w:tcW w:w="129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32B8A6">
            <w:pPr>
              <w:widowControl/>
              <w:jc w:val="center"/>
              <w:textAlignment w:val="center"/>
              <w:rPr>
                <w:rFonts w:hint="default" w:cs="宋体"/>
                <w:color w:val="000000"/>
                <w:sz w:val="18"/>
                <w:szCs w:val="18"/>
              </w:rPr>
            </w:pPr>
            <w:r>
              <w:rPr>
                <w:rFonts w:hint="default" w:cs="宋体"/>
                <w:color w:val="000000"/>
                <w:sz w:val="18"/>
                <w:szCs w:val="18"/>
                <w:lang w:bidi="ar"/>
              </w:rPr>
              <w:t>50</w:t>
            </w:r>
          </w:p>
        </w:tc>
        <w:tc>
          <w:tcPr>
            <w:tcW w:w="15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AE3EB1">
            <w:pPr>
              <w:widowControl/>
              <w:jc w:val="center"/>
              <w:textAlignment w:val="center"/>
              <w:rPr>
                <w:rFonts w:hint="default" w:cs="宋体"/>
                <w:color w:val="000000"/>
                <w:sz w:val="18"/>
                <w:szCs w:val="18"/>
              </w:rPr>
            </w:pPr>
            <w:r>
              <w:rPr>
                <w:rFonts w:hint="default" w:cs="宋体"/>
                <w:color w:val="000000"/>
                <w:sz w:val="18"/>
                <w:szCs w:val="18"/>
                <w:lang w:bidi="ar"/>
              </w:rPr>
              <w:t>50</w:t>
            </w:r>
          </w:p>
        </w:tc>
        <w:tc>
          <w:tcPr>
            <w:tcW w:w="198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565873">
            <w:pPr>
              <w:widowControl/>
              <w:jc w:val="center"/>
              <w:textAlignment w:val="center"/>
              <w:rPr>
                <w:rFonts w:hint="default" w:cs="宋体"/>
                <w:color w:val="000000"/>
                <w:sz w:val="18"/>
                <w:szCs w:val="18"/>
              </w:rPr>
            </w:pPr>
            <w:r>
              <w:rPr>
                <w:rFonts w:hint="default" w:cs="宋体"/>
                <w:color w:val="000000"/>
                <w:sz w:val="18"/>
                <w:szCs w:val="18"/>
                <w:lang w:bidi="ar"/>
              </w:rPr>
              <w:t>100%</w:t>
            </w:r>
          </w:p>
        </w:tc>
      </w:tr>
      <w:tr w14:paraId="709E7A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2012"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8B6B328">
            <w:pPr>
              <w:jc w:val="center"/>
              <w:rPr>
                <w:rFonts w:hint="default" w:cs="宋体"/>
                <w:color w:val="000000"/>
                <w:sz w:val="18"/>
                <w:szCs w:val="18"/>
              </w:rPr>
            </w:pPr>
          </w:p>
        </w:tc>
        <w:tc>
          <w:tcPr>
            <w:tcW w:w="257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BE872F">
            <w:pPr>
              <w:widowControl/>
              <w:textAlignment w:val="center"/>
              <w:rPr>
                <w:rFonts w:hint="default" w:cs="宋体"/>
                <w:color w:val="000000"/>
                <w:sz w:val="18"/>
                <w:szCs w:val="18"/>
              </w:rPr>
            </w:pPr>
            <w:r>
              <w:rPr>
                <w:rFonts w:hint="default" w:cs="宋体"/>
                <w:color w:val="000000"/>
                <w:sz w:val="18"/>
                <w:szCs w:val="18"/>
                <w:lang w:bidi="ar"/>
              </w:rPr>
              <w:t>（一）财政拨款小计</w:t>
            </w:r>
          </w:p>
        </w:tc>
        <w:tc>
          <w:tcPr>
            <w:tcW w:w="12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5FC5BB">
            <w:pPr>
              <w:rPr>
                <w:rFonts w:hint="default" w:cs="宋体"/>
                <w:color w:val="000000"/>
                <w:sz w:val="18"/>
                <w:szCs w:val="18"/>
              </w:rPr>
            </w:pPr>
          </w:p>
        </w:tc>
        <w:tc>
          <w:tcPr>
            <w:tcW w:w="129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92E392">
            <w:pPr>
              <w:widowControl/>
              <w:jc w:val="center"/>
              <w:textAlignment w:val="center"/>
              <w:rPr>
                <w:rFonts w:hint="default" w:cs="宋体"/>
                <w:color w:val="000000"/>
                <w:sz w:val="18"/>
                <w:szCs w:val="18"/>
              </w:rPr>
            </w:pPr>
            <w:r>
              <w:rPr>
                <w:rFonts w:hint="default" w:cs="宋体"/>
                <w:color w:val="000000"/>
                <w:sz w:val="18"/>
                <w:szCs w:val="18"/>
                <w:lang w:bidi="ar"/>
              </w:rPr>
              <w:t>50</w:t>
            </w:r>
          </w:p>
        </w:tc>
        <w:tc>
          <w:tcPr>
            <w:tcW w:w="15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67D98D">
            <w:pPr>
              <w:widowControl/>
              <w:jc w:val="center"/>
              <w:textAlignment w:val="center"/>
              <w:rPr>
                <w:rFonts w:hint="default" w:cs="宋体"/>
                <w:color w:val="000000"/>
                <w:sz w:val="18"/>
                <w:szCs w:val="18"/>
              </w:rPr>
            </w:pPr>
            <w:r>
              <w:rPr>
                <w:rFonts w:hint="default" w:cs="宋体"/>
                <w:color w:val="000000"/>
                <w:sz w:val="18"/>
                <w:szCs w:val="18"/>
                <w:lang w:bidi="ar"/>
              </w:rPr>
              <w:t>50</w:t>
            </w:r>
          </w:p>
        </w:tc>
        <w:tc>
          <w:tcPr>
            <w:tcW w:w="198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B3DE66">
            <w:pPr>
              <w:widowControl/>
              <w:jc w:val="center"/>
              <w:textAlignment w:val="center"/>
              <w:rPr>
                <w:rFonts w:hint="default" w:cs="宋体"/>
                <w:color w:val="000000"/>
                <w:sz w:val="18"/>
                <w:szCs w:val="18"/>
              </w:rPr>
            </w:pPr>
            <w:r>
              <w:rPr>
                <w:rFonts w:hint="default" w:cs="宋体"/>
                <w:color w:val="000000"/>
                <w:sz w:val="18"/>
                <w:szCs w:val="18"/>
                <w:lang w:bidi="ar"/>
              </w:rPr>
              <w:t>100%</w:t>
            </w:r>
          </w:p>
        </w:tc>
      </w:tr>
      <w:tr w14:paraId="4A4DF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2012"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ABC2272">
            <w:pPr>
              <w:jc w:val="center"/>
              <w:rPr>
                <w:rFonts w:hint="default" w:cs="宋体"/>
                <w:color w:val="000000"/>
                <w:sz w:val="18"/>
                <w:szCs w:val="18"/>
              </w:rPr>
            </w:pPr>
          </w:p>
        </w:tc>
        <w:tc>
          <w:tcPr>
            <w:tcW w:w="257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72DB06">
            <w:pPr>
              <w:widowControl/>
              <w:textAlignment w:val="center"/>
              <w:rPr>
                <w:rFonts w:hint="default" w:cs="宋体"/>
                <w:color w:val="000000"/>
                <w:sz w:val="18"/>
                <w:szCs w:val="18"/>
              </w:rPr>
            </w:pPr>
            <w:r>
              <w:rPr>
                <w:rFonts w:hint="default" w:cs="宋体"/>
                <w:color w:val="000000"/>
                <w:sz w:val="18"/>
                <w:szCs w:val="18"/>
                <w:lang w:bidi="ar"/>
              </w:rPr>
              <w:t xml:space="preserve">   1.一般公共预算</w:t>
            </w:r>
          </w:p>
        </w:tc>
        <w:tc>
          <w:tcPr>
            <w:tcW w:w="12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C88E9C">
            <w:pPr>
              <w:rPr>
                <w:rFonts w:hint="default" w:cs="宋体"/>
                <w:color w:val="000000"/>
                <w:sz w:val="18"/>
                <w:szCs w:val="18"/>
              </w:rPr>
            </w:pPr>
          </w:p>
        </w:tc>
        <w:tc>
          <w:tcPr>
            <w:tcW w:w="129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CA27B3">
            <w:pPr>
              <w:widowControl/>
              <w:jc w:val="center"/>
              <w:textAlignment w:val="center"/>
              <w:rPr>
                <w:rFonts w:hint="default" w:cs="宋体"/>
                <w:color w:val="000000"/>
                <w:sz w:val="18"/>
                <w:szCs w:val="18"/>
              </w:rPr>
            </w:pPr>
            <w:r>
              <w:rPr>
                <w:rFonts w:hint="default" w:cs="宋体"/>
                <w:color w:val="000000"/>
                <w:sz w:val="18"/>
                <w:szCs w:val="18"/>
                <w:lang w:bidi="ar"/>
              </w:rPr>
              <w:t>50</w:t>
            </w:r>
          </w:p>
        </w:tc>
        <w:tc>
          <w:tcPr>
            <w:tcW w:w="15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E69966">
            <w:pPr>
              <w:widowControl/>
              <w:jc w:val="center"/>
              <w:textAlignment w:val="center"/>
              <w:rPr>
                <w:rFonts w:hint="default" w:cs="宋体"/>
                <w:color w:val="000000"/>
                <w:sz w:val="18"/>
                <w:szCs w:val="18"/>
              </w:rPr>
            </w:pPr>
            <w:r>
              <w:rPr>
                <w:rFonts w:hint="default" w:cs="宋体"/>
                <w:color w:val="000000"/>
                <w:sz w:val="18"/>
                <w:szCs w:val="18"/>
                <w:lang w:bidi="ar"/>
              </w:rPr>
              <w:t>50</w:t>
            </w:r>
          </w:p>
        </w:tc>
        <w:tc>
          <w:tcPr>
            <w:tcW w:w="198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880F89">
            <w:pPr>
              <w:widowControl/>
              <w:jc w:val="center"/>
              <w:textAlignment w:val="center"/>
              <w:rPr>
                <w:rFonts w:hint="default" w:cs="宋体"/>
                <w:color w:val="000000"/>
                <w:sz w:val="18"/>
                <w:szCs w:val="18"/>
              </w:rPr>
            </w:pPr>
            <w:r>
              <w:rPr>
                <w:rFonts w:hint="default" w:cs="宋体"/>
                <w:color w:val="000000"/>
                <w:sz w:val="18"/>
                <w:szCs w:val="18"/>
                <w:lang w:bidi="ar"/>
              </w:rPr>
              <w:t>100%</w:t>
            </w:r>
          </w:p>
        </w:tc>
      </w:tr>
      <w:tr w14:paraId="45B2A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2012"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F09313D">
            <w:pPr>
              <w:jc w:val="center"/>
              <w:rPr>
                <w:rFonts w:hint="default" w:cs="宋体"/>
                <w:color w:val="000000"/>
                <w:sz w:val="18"/>
                <w:szCs w:val="18"/>
              </w:rPr>
            </w:pPr>
          </w:p>
        </w:tc>
        <w:tc>
          <w:tcPr>
            <w:tcW w:w="257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3D0C35">
            <w:pPr>
              <w:widowControl/>
              <w:textAlignment w:val="center"/>
              <w:rPr>
                <w:rFonts w:hint="default" w:cs="宋体"/>
                <w:color w:val="000000"/>
                <w:sz w:val="18"/>
                <w:szCs w:val="18"/>
              </w:rPr>
            </w:pPr>
            <w:r>
              <w:rPr>
                <w:rFonts w:hint="default" w:cs="宋体"/>
                <w:color w:val="000000"/>
                <w:sz w:val="18"/>
                <w:szCs w:val="18"/>
                <w:lang w:bidi="ar"/>
              </w:rPr>
              <w:t xml:space="preserve">   2.政府性基金</w:t>
            </w:r>
          </w:p>
        </w:tc>
        <w:tc>
          <w:tcPr>
            <w:tcW w:w="12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309EAD">
            <w:pPr>
              <w:rPr>
                <w:rFonts w:hint="default" w:cs="宋体"/>
                <w:color w:val="000000"/>
                <w:sz w:val="18"/>
                <w:szCs w:val="18"/>
              </w:rPr>
            </w:pPr>
          </w:p>
        </w:tc>
        <w:tc>
          <w:tcPr>
            <w:tcW w:w="129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3BD05D">
            <w:pPr>
              <w:jc w:val="center"/>
              <w:rPr>
                <w:rFonts w:hint="default" w:cs="宋体"/>
                <w:color w:val="000000"/>
                <w:sz w:val="18"/>
                <w:szCs w:val="18"/>
              </w:rPr>
            </w:pPr>
          </w:p>
        </w:tc>
        <w:tc>
          <w:tcPr>
            <w:tcW w:w="15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7B8913">
            <w:pPr>
              <w:jc w:val="center"/>
              <w:rPr>
                <w:rFonts w:hint="default" w:cs="宋体"/>
                <w:color w:val="000000"/>
                <w:sz w:val="18"/>
                <w:szCs w:val="18"/>
              </w:rPr>
            </w:pPr>
          </w:p>
        </w:tc>
        <w:tc>
          <w:tcPr>
            <w:tcW w:w="198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FCCD4B">
            <w:pPr>
              <w:jc w:val="center"/>
              <w:rPr>
                <w:rFonts w:hint="default" w:cs="宋体"/>
                <w:color w:val="000000"/>
                <w:sz w:val="18"/>
                <w:szCs w:val="18"/>
              </w:rPr>
            </w:pPr>
          </w:p>
        </w:tc>
      </w:tr>
      <w:tr w14:paraId="6103C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2012"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8FD3178">
            <w:pPr>
              <w:jc w:val="center"/>
              <w:rPr>
                <w:rFonts w:hint="default" w:cs="宋体"/>
                <w:color w:val="000000"/>
                <w:sz w:val="18"/>
                <w:szCs w:val="18"/>
              </w:rPr>
            </w:pPr>
          </w:p>
        </w:tc>
        <w:tc>
          <w:tcPr>
            <w:tcW w:w="257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9C3D56">
            <w:pPr>
              <w:widowControl/>
              <w:textAlignment w:val="center"/>
              <w:rPr>
                <w:rFonts w:hint="default" w:cs="宋体"/>
                <w:color w:val="000000"/>
                <w:sz w:val="18"/>
                <w:szCs w:val="18"/>
              </w:rPr>
            </w:pPr>
            <w:r>
              <w:rPr>
                <w:rFonts w:hint="default" w:cs="宋体"/>
                <w:color w:val="000000"/>
                <w:sz w:val="18"/>
                <w:szCs w:val="18"/>
                <w:lang w:bidi="ar"/>
              </w:rPr>
              <w:t xml:space="preserve">   3.国有资本经营预算</w:t>
            </w:r>
          </w:p>
        </w:tc>
        <w:tc>
          <w:tcPr>
            <w:tcW w:w="12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134AF6">
            <w:pPr>
              <w:rPr>
                <w:rFonts w:hint="default" w:cs="宋体"/>
                <w:color w:val="000000"/>
                <w:sz w:val="18"/>
                <w:szCs w:val="18"/>
              </w:rPr>
            </w:pPr>
          </w:p>
        </w:tc>
        <w:tc>
          <w:tcPr>
            <w:tcW w:w="129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0BB622">
            <w:pPr>
              <w:jc w:val="center"/>
              <w:rPr>
                <w:rFonts w:hint="default" w:cs="宋体"/>
                <w:color w:val="000000"/>
                <w:sz w:val="18"/>
                <w:szCs w:val="18"/>
              </w:rPr>
            </w:pPr>
          </w:p>
        </w:tc>
        <w:tc>
          <w:tcPr>
            <w:tcW w:w="15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654D67">
            <w:pPr>
              <w:jc w:val="center"/>
              <w:rPr>
                <w:rFonts w:hint="default" w:cs="宋体"/>
                <w:color w:val="000000"/>
                <w:sz w:val="18"/>
                <w:szCs w:val="18"/>
              </w:rPr>
            </w:pPr>
          </w:p>
        </w:tc>
        <w:tc>
          <w:tcPr>
            <w:tcW w:w="198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B4BA92">
            <w:pPr>
              <w:jc w:val="center"/>
              <w:rPr>
                <w:rFonts w:hint="default" w:cs="宋体"/>
                <w:color w:val="000000"/>
                <w:sz w:val="18"/>
                <w:szCs w:val="18"/>
              </w:rPr>
            </w:pPr>
          </w:p>
        </w:tc>
      </w:tr>
      <w:tr w14:paraId="4AE6B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2012"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E39C1B6">
            <w:pPr>
              <w:jc w:val="center"/>
              <w:rPr>
                <w:rFonts w:hint="default" w:cs="宋体"/>
                <w:color w:val="000000"/>
                <w:sz w:val="18"/>
                <w:szCs w:val="18"/>
              </w:rPr>
            </w:pPr>
          </w:p>
        </w:tc>
        <w:tc>
          <w:tcPr>
            <w:tcW w:w="257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C86882">
            <w:pPr>
              <w:widowControl/>
              <w:textAlignment w:val="center"/>
              <w:rPr>
                <w:rFonts w:hint="default" w:cs="宋体"/>
                <w:color w:val="000000"/>
                <w:sz w:val="18"/>
                <w:szCs w:val="18"/>
              </w:rPr>
            </w:pPr>
            <w:r>
              <w:rPr>
                <w:rFonts w:hint="default" w:cs="宋体"/>
                <w:color w:val="000000"/>
                <w:sz w:val="18"/>
                <w:szCs w:val="18"/>
                <w:lang w:bidi="ar"/>
              </w:rPr>
              <w:t>（二）其他资金</w:t>
            </w:r>
          </w:p>
        </w:tc>
        <w:tc>
          <w:tcPr>
            <w:tcW w:w="12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B95273">
            <w:pPr>
              <w:rPr>
                <w:rFonts w:hint="default" w:cs="宋体"/>
                <w:color w:val="000000"/>
                <w:sz w:val="18"/>
                <w:szCs w:val="18"/>
              </w:rPr>
            </w:pPr>
          </w:p>
        </w:tc>
        <w:tc>
          <w:tcPr>
            <w:tcW w:w="129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B26E3C">
            <w:pPr>
              <w:jc w:val="center"/>
              <w:rPr>
                <w:rFonts w:hint="default" w:cs="宋体"/>
                <w:color w:val="000000"/>
                <w:sz w:val="18"/>
                <w:szCs w:val="18"/>
              </w:rPr>
            </w:pPr>
          </w:p>
        </w:tc>
        <w:tc>
          <w:tcPr>
            <w:tcW w:w="15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DC8FF7">
            <w:pPr>
              <w:jc w:val="center"/>
              <w:rPr>
                <w:rFonts w:hint="default" w:cs="宋体"/>
                <w:color w:val="000000"/>
                <w:sz w:val="18"/>
                <w:szCs w:val="18"/>
              </w:rPr>
            </w:pPr>
          </w:p>
        </w:tc>
        <w:tc>
          <w:tcPr>
            <w:tcW w:w="198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0A6CE5">
            <w:pPr>
              <w:jc w:val="center"/>
              <w:rPr>
                <w:rFonts w:hint="default" w:cs="宋体"/>
                <w:color w:val="000000"/>
                <w:sz w:val="18"/>
                <w:szCs w:val="18"/>
              </w:rPr>
            </w:pPr>
          </w:p>
        </w:tc>
      </w:tr>
      <w:tr w14:paraId="01CC9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1314"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884AFA">
            <w:pPr>
              <w:widowControl/>
              <w:jc w:val="center"/>
              <w:textAlignment w:val="center"/>
              <w:rPr>
                <w:rFonts w:hint="default" w:cs="宋体"/>
                <w:color w:val="000000"/>
                <w:sz w:val="18"/>
                <w:szCs w:val="18"/>
              </w:rPr>
            </w:pPr>
            <w:r>
              <w:rPr>
                <w:rFonts w:hint="default" w:cs="宋体"/>
                <w:color w:val="000000"/>
                <w:sz w:val="18"/>
                <w:szCs w:val="18"/>
                <w:lang w:bidi="ar"/>
              </w:rPr>
              <w:t>年度总体目标</w:t>
            </w:r>
          </w:p>
        </w:tc>
        <w:tc>
          <w:tcPr>
            <w:tcW w:w="4533"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2A569E">
            <w:pPr>
              <w:widowControl/>
              <w:jc w:val="center"/>
              <w:textAlignment w:val="center"/>
              <w:rPr>
                <w:rFonts w:hint="default" w:cs="宋体"/>
                <w:color w:val="000000"/>
                <w:sz w:val="18"/>
                <w:szCs w:val="18"/>
              </w:rPr>
            </w:pPr>
            <w:r>
              <w:rPr>
                <w:rFonts w:hint="default" w:cs="宋体"/>
                <w:color w:val="000000"/>
                <w:sz w:val="18"/>
                <w:szCs w:val="18"/>
                <w:lang w:bidi="ar"/>
              </w:rPr>
              <w:t>预期目标</w:t>
            </w:r>
          </w:p>
        </w:tc>
        <w:tc>
          <w:tcPr>
            <w:tcW w:w="4853"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7AD53A">
            <w:pPr>
              <w:widowControl/>
              <w:jc w:val="center"/>
              <w:textAlignment w:val="center"/>
              <w:rPr>
                <w:rFonts w:hint="default" w:cs="宋体"/>
                <w:color w:val="000000"/>
                <w:sz w:val="18"/>
                <w:szCs w:val="18"/>
              </w:rPr>
            </w:pPr>
            <w:r>
              <w:rPr>
                <w:rFonts w:hint="default" w:cs="宋体"/>
                <w:color w:val="000000"/>
                <w:sz w:val="18"/>
                <w:szCs w:val="18"/>
                <w:lang w:bidi="ar"/>
              </w:rPr>
              <w:t>全年实际完成情况</w:t>
            </w:r>
          </w:p>
        </w:tc>
      </w:tr>
      <w:tr w14:paraId="7423E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1" w:hRule="atLeast"/>
        </w:trPr>
        <w:tc>
          <w:tcPr>
            <w:tcW w:w="131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C266A7">
            <w:pPr>
              <w:jc w:val="center"/>
              <w:rPr>
                <w:rFonts w:hint="default" w:cs="宋体"/>
                <w:color w:val="000000"/>
                <w:sz w:val="18"/>
                <w:szCs w:val="18"/>
              </w:rPr>
            </w:pPr>
          </w:p>
        </w:tc>
        <w:tc>
          <w:tcPr>
            <w:tcW w:w="4533"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5CCF5E">
            <w:pPr>
              <w:widowControl/>
              <w:textAlignment w:val="center"/>
              <w:rPr>
                <w:rFonts w:hint="default" w:cs="宋体"/>
                <w:color w:val="000000"/>
                <w:sz w:val="18"/>
                <w:szCs w:val="18"/>
              </w:rPr>
            </w:pPr>
            <w:r>
              <w:rPr>
                <w:rFonts w:hint="default" w:cs="宋体"/>
                <w:color w:val="000000"/>
                <w:sz w:val="18"/>
                <w:szCs w:val="18"/>
                <w:lang w:bidi="ar"/>
              </w:rPr>
              <w:t>按照省、市、区两项改革“后半篇”文章关于涉改乡镇干部周转房保障工作总体安排部署，我镇干部周转房建设项目纳入了全省2022年项目范围，根据省上确定的保障工作方案，我镇干部周转房拟建1960平方米，总投资708.40万元，资金来源为省、市、区财政按4:3:3进行分担。项目建成后，将保障我镇56名干部周转房用房需求，进一步激发干部安心基层、干事创业的热情与活力，增强服务能力、提高治理效能，为推进乡村振兴、新型城镇化和区域经济发展提供坚实保障。群众满意度98%以上。</w:t>
            </w:r>
          </w:p>
        </w:tc>
        <w:tc>
          <w:tcPr>
            <w:tcW w:w="4853"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8EC7A8">
            <w:pPr>
              <w:widowControl/>
              <w:textAlignment w:val="center"/>
              <w:rPr>
                <w:rFonts w:hint="default" w:cs="宋体"/>
                <w:color w:val="000000"/>
                <w:sz w:val="18"/>
                <w:szCs w:val="18"/>
              </w:rPr>
            </w:pPr>
            <w:r>
              <w:rPr>
                <w:rFonts w:hint="default" w:cs="宋体"/>
                <w:color w:val="000000"/>
                <w:sz w:val="18"/>
                <w:szCs w:val="18"/>
                <w:lang w:bidi="ar"/>
              </w:rPr>
              <w:t>按照省、市、区两项改革“后半篇”文章关于涉改乡镇干部周转房保障工作总体安排部署，我镇干部周转房建设项目纳入了全省2022年项目范围，根据省上确定的保障工作方案，我镇干部周转房拟建1960平方米，总投资708.40万元，资金来源为省、市、区财政按4:3:3进行分担。项目建成后，将保障我镇56名干部周转房用房需求，进一步激发干部安心基层、干事创业的热情与活力，增强服务能力、提高治理效能，为推进乡村振兴、新型城镇化和区域经济发展提供坚实保障。群众满意度达到了98%以上。</w:t>
            </w:r>
          </w:p>
        </w:tc>
      </w:tr>
      <w:tr w14:paraId="7983C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7" w:hRule="atLeast"/>
        </w:trPr>
        <w:tc>
          <w:tcPr>
            <w:tcW w:w="1314"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21FF68">
            <w:pPr>
              <w:widowControl/>
              <w:jc w:val="center"/>
              <w:textAlignment w:val="center"/>
              <w:rPr>
                <w:rFonts w:hint="default" w:cs="宋体"/>
                <w:color w:val="000000"/>
                <w:sz w:val="18"/>
                <w:szCs w:val="18"/>
              </w:rPr>
            </w:pPr>
            <w:r>
              <w:rPr>
                <w:rFonts w:hint="default" w:cs="宋体"/>
                <w:color w:val="000000"/>
                <w:sz w:val="18"/>
                <w:szCs w:val="18"/>
                <w:lang w:bidi="ar"/>
              </w:rPr>
              <w:t>绩效</w:t>
            </w:r>
            <w:r>
              <w:rPr>
                <w:rFonts w:hint="default" w:cs="宋体"/>
                <w:color w:val="000000"/>
                <w:sz w:val="18"/>
                <w:szCs w:val="18"/>
                <w:lang w:bidi="ar"/>
              </w:rPr>
              <w:br w:type="textWrapping"/>
            </w:r>
            <w:r>
              <w:rPr>
                <w:rFonts w:hint="default" w:cs="宋体"/>
                <w:color w:val="000000"/>
                <w:sz w:val="18"/>
                <w:szCs w:val="18"/>
                <w:lang w:bidi="ar"/>
              </w:rPr>
              <w:t>指标</w:t>
            </w:r>
          </w:p>
        </w:tc>
        <w:tc>
          <w:tcPr>
            <w:tcW w:w="69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F03BE3">
            <w:pPr>
              <w:widowControl/>
              <w:jc w:val="center"/>
              <w:textAlignment w:val="center"/>
              <w:rPr>
                <w:rFonts w:hint="default" w:cs="宋体"/>
                <w:color w:val="000000"/>
                <w:sz w:val="18"/>
                <w:szCs w:val="18"/>
              </w:rPr>
            </w:pPr>
            <w:r>
              <w:rPr>
                <w:rFonts w:hint="default" w:cs="宋体"/>
                <w:color w:val="000000"/>
                <w:sz w:val="18"/>
                <w:szCs w:val="18"/>
                <w:lang w:bidi="ar"/>
              </w:rPr>
              <w:t>一级指标</w:t>
            </w:r>
          </w:p>
        </w:tc>
        <w:tc>
          <w:tcPr>
            <w:tcW w:w="151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BCB91C">
            <w:pPr>
              <w:widowControl/>
              <w:jc w:val="center"/>
              <w:textAlignment w:val="center"/>
              <w:rPr>
                <w:rFonts w:hint="default" w:cs="宋体"/>
                <w:color w:val="000000"/>
                <w:sz w:val="18"/>
                <w:szCs w:val="18"/>
              </w:rPr>
            </w:pPr>
            <w:r>
              <w:rPr>
                <w:rFonts w:hint="default" w:cs="宋体"/>
                <w:color w:val="000000"/>
                <w:sz w:val="18"/>
                <w:szCs w:val="18"/>
                <w:lang w:bidi="ar"/>
              </w:rPr>
              <w:t>二级指标</w:t>
            </w:r>
          </w:p>
        </w:tc>
        <w:tc>
          <w:tcPr>
            <w:tcW w:w="232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5F51F0">
            <w:pPr>
              <w:widowControl/>
              <w:jc w:val="center"/>
              <w:textAlignment w:val="center"/>
              <w:rPr>
                <w:rFonts w:hint="default" w:cs="宋体"/>
                <w:color w:val="000000"/>
                <w:sz w:val="18"/>
                <w:szCs w:val="18"/>
              </w:rPr>
            </w:pPr>
            <w:r>
              <w:rPr>
                <w:rFonts w:hint="default" w:cs="宋体"/>
                <w:color w:val="000000"/>
                <w:sz w:val="18"/>
                <w:szCs w:val="18"/>
                <w:lang w:bidi="ar"/>
              </w:rPr>
              <w:t>三级指标</w:t>
            </w:r>
          </w:p>
        </w:tc>
        <w:tc>
          <w:tcPr>
            <w:tcW w:w="129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BCB641">
            <w:pPr>
              <w:widowControl/>
              <w:jc w:val="center"/>
              <w:textAlignment w:val="center"/>
              <w:rPr>
                <w:rFonts w:hint="default" w:cs="宋体"/>
                <w:color w:val="000000"/>
                <w:sz w:val="18"/>
                <w:szCs w:val="18"/>
              </w:rPr>
            </w:pPr>
            <w:r>
              <w:rPr>
                <w:rFonts w:hint="default" w:cs="宋体"/>
                <w:color w:val="000000"/>
                <w:sz w:val="18"/>
                <w:szCs w:val="18"/>
                <w:lang w:bidi="ar"/>
              </w:rPr>
              <w:t>年度指标值</w:t>
            </w:r>
          </w:p>
        </w:tc>
        <w:tc>
          <w:tcPr>
            <w:tcW w:w="15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25B3B6">
            <w:pPr>
              <w:widowControl/>
              <w:jc w:val="center"/>
              <w:textAlignment w:val="center"/>
              <w:rPr>
                <w:rFonts w:hint="default" w:cs="宋体"/>
                <w:color w:val="000000"/>
                <w:sz w:val="18"/>
                <w:szCs w:val="18"/>
              </w:rPr>
            </w:pPr>
            <w:r>
              <w:rPr>
                <w:rFonts w:hint="default" w:cs="宋体"/>
                <w:color w:val="000000"/>
                <w:sz w:val="18"/>
                <w:szCs w:val="18"/>
                <w:lang w:bidi="ar"/>
              </w:rPr>
              <w:t>实际完成值</w:t>
            </w:r>
          </w:p>
        </w:tc>
        <w:tc>
          <w:tcPr>
            <w:tcW w:w="198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5A3C0D">
            <w:pPr>
              <w:widowControl/>
              <w:jc w:val="center"/>
              <w:textAlignment w:val="center"/>
              <w:rPr>
                <w:rFonts w:hint="default" w:cs="宋体"/>
                <w:color w:val="000000"/>
                <w:sz w:val="18"/>
                <w:szCs w:val="18"/>
              </w:rPr>
            </w:pPr>
            <w:r>
              <w:rPr>
                <w:rFonts w:hint="default" w:cs="宋体"/>
                <w:color w:val="000000"/>
                <w:sz w:val="18"/>
                <w:szCs w:val="18"/>
                <w:lang w:bidi="ar"/>
              </w:rPr>
              <w:t>偏差原因分析及改进措施</w:t>
            </w:r>
          </w:p>
        </w:tc>
      </w:tr>
      <w:tr w14:paraId="75DA8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131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360056">
            <w:pPr>
              <w:jc w:val="center"/>
              <w:rPr>
                <w:rFonts w:hint="default" w:cs="宋体"/>
                <w:color w:val="000000"/>
                <w:sz w:val="18"/>
                <w:szCs w:val="18"/>
              </w:rPr>
            </w:pPr>
          </w:p>
        </w:tc>
        <w:tc>
          <w:tcPr>
            <w:tcW w:w="698"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EA83C0">
            <w:pPr>
              <w:widowControl/>
              <w:jc w:val="center"/>
              <w:textAlignment w:val="center"/>
              <w:rPr>
                <w:rFonts w:hint="default" w:cs="宋体"/>
                <w:color w:val="000000"/>
                <w:sz w:val="18"/>
                <w:szCs w:val="18"/>
              </w:rPr>
            </w:pPr>
            <w:r>
              <w:rPr>
                <w:rFonts w:hint="default" w:cs="宋体"/>
                <w:color w:val="000000"/>
                <w:sz w:val="18"/>
                <w:szCs w:val="18"/>
                <w:lang w:bidi="ar"/>
              </w:rPr>
              <w:t>产出指标</w:t>
            </w:r>
          </w:p>
        </w:tc>
        <w:tc>
          <w:tcPr>
            <w:tcW w:w="151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7CF48A">
            <w:pPr>
              <w:widowControl/>
              <w:jc w:val="center"/>
              <w:textAlignment w:val="center"/>
              <w:rPr>
                <w:rFonts w:hint="default" w:cs="宋体"/>
                <w:color w:val="000000"/>
                <w:sz w:val="18"/>
                <w:szCs w:val="18"/>
              </w:rPr>
            </w:pPr>
            <w:r>
              <w:rPr>
                <w:rFonts w:hint="default" w:cs="宋体"/>
                <w:color w:val="000000"/>
                <w:sz w:val="18"/>
                <w:szCs w:val="18"/>
                <w:lang w:bidi="ar"/>
              </w:rPr>
              <w:t>数量指标</w:t>
            </w:r>
          </w:p>
        </w:tc>
        <w:tc>
          <w:tcPr>
            <w:tcW w:w="232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EA20D0">
            <w:pPr>
              <w:widowControl/>
              <w:jc w:val="center"/>
              <w:textAlignment w:val="center"/>
              <w:rPr>
                <w:rFonts w:hint="default" w:cs="宋体"/>
                <w:color w:val="000000"/>
                <w:sz w:val="18"/>
                <w:szCs w:val="18"/>
              </w:rPr>
            </w:pPr>
            <w:r>
              <w:rPr>
                <w:rFonts w:hint="default" w:cs="宋体"/>
                <w:color w:val="000000"/>
                <w:sz w:val="18"/>
                <w:szCs w:val="18"/>
                <w:lang w:bidi="ar"/>
              </w:rPr>
              <w:t>新建干部周转房间数</w:t>
            </w:r>
          </w:p>
        </w:tc>
        <w:tc>
          <w:tcPr>
            <w:tcW w:w="129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E5575D">
            <w:pPr>
              <w:widowControl/>
              <w:jc w:val="center"/>
              <w:textAlignment w:val="center"/>
              <w:rPr>
                <w:rFonts w:hint="default" w:cs="宋体"/>
                <w:color w:val="000000"/>
                <w:sz w:val="18"/>
                <w:szCs w:val="18"/>
              </w:rPr>
            </w:pPr>
            <w:r>
              <w:rPr>
                <w:rFonts w:hint="default" w:cs="宋体"/>
                <w:color w:val="000000"/>
                <w:sz w:val="18"/>
                <w:szCs w:val="18"/>
                <w:lang w:bidi="ar"/>
              </w:rPr>
              <w:t>=56套</w:t>
            </w:r>
          </w:p>
        </w:tc>
        <w:tc>
          <w:tcPr>
            <w:tcW w:w="15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A8A7EB">
            <w:pPr>
              <w:widowControl/>
              <w:jc w:val="center"/>
              <w:textAlignment w:val="center"/>
              <w:rPr>
                <w:rFonts w:hint="default" w:cs="宋体"/>
                <w:color w:val="000000"/>
                <w:sz w:val="18"/>
                <w:szCs w:val="18"/>
              </w:rPr>
            </w:pPr>
            <w:r>
              <w:rPr>
                <w:rFonts w:hint="default" w:cs="宋体"/>
                <w:color w:val="000000"/>
                <w:sz w:val="18"/>
                <w:szCs w:val="18"/>
                <w:lang w:bidi="ar"/>
              </w:rPr>
              <w:t>=56套</w:t>
            </w:r>
          </w:p>
        </w:tc>
        <w:tc>
          <w:tcPr>
            <w:tcW w:w="198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ABC216">
            <w:pPr>
              <w:jc w:val="center"/>
              <w:rPr>
                <w:rFonts w:hint="default" w:cs="宋体"/>
                <w:color w:val="000000"/>
                <w:sz w:val="18"/>
                <w:szCs w:val="18"/>
              </w:rPr>
            </w:pPr>
          </w:p>
        </w:tc>
      </w:tr>
      <w:tr w14:paraId="0BD17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131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592C57">
            <w:pPr>
              <w:jc w:val="center"/>
              <w:rPr>
                <w:rFonts w:hint="default" w:cs="宋体"/>
                <w:color w:val="000000"/>
                <w:sz w:val="18"/>
                <w:szCs w:val="18"/>
              </w:rPr>
            </w:pPr>
          </w:p>
        </w:tc>
        <w:tc>
          <w:tcPr>
            <w:tcW w:w="698"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A15B0F">
            <w:pPr>
              <w:jc w:val="center"/>
              <w:rPr>
                <w:rFonts w:hint="default" w:cs="宋体"/>
                <w:color w:val="000000"/>
                <w:sz w:val="18"/>
                <w:szCs w:val="18"/>
              </w:rPr>
            </w:pPr>
          </w:p>
        </w:tc>
        <w:tc>
          <w:tcPr>
            <w:tcW w:w="151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6138B2">
            <w:pPr>
              <w:widowControl/>
              <w:jc w:val="center"/>
              <w:textAlignment w:val="center"/>
              <w:rPr>
                <w:rFonts w:hint="default" w:cs="宋体"/>
                <w:color w:val="000000"/>
                <w:sz w:val="18"/>
                <w:szCs w:val="18"/>
              </w:rPr>
            </w:pPr>
            <w:r>
              <w:rPr>
                <w:rFonts w:hint="default" w:cs="宋体"/>
                <w:color w:val="000000"/>
                <w:sz w:val="18"/>
                <w:szCs w:val="18"/>
                <w:lang w:bidi="ar"/>
              </w:rPr>
              <w:t>质量指标</w:t>
            </w:r>
          </w:p>
        </w:tc>
        <w:tc>
          <w:tcPr>
            <w:tcW w:w="232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8AC706">
            <w:pPr>
              <w:widowControl/>
              <w:jc w:val="center"/>
              <w:textAlignment w:val="center"/>
              <w:rPr>
                <w:rFonts w:hint="default" w:cs="宋体"/>
                <w:color w:val="000000"/>
                <w:sz w:val="18"/>
                <w:szCs w:val="18"/>
              </w:rPr>
            </w:pPr>
            <w:r>
              <w:rPr>
                <w:rFonts w:hint="default" w:cs="宋体"/>
                <w:color w:val="000000"/>
                <w:sz w:val="18"/>
                <w:szCs w:val="18"/>
                <w:lang w:bidi="ar"/>
              </w:rPr>
              <w:t>项目验收合格率</w:t>
            </w:r>
          </w:p>
        </w:tc>
        <w:tc>
          <w:tcPr>
            <w:tcW w:w="129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A0D954">
            <w:pPr>
              <w:widowControl/>
              <w:jc w:val="center"/>
              <w:textAlignment w:val="center"/>
              <w:rPr>
                <w:rFonts w:hint="default" w:cs="宋体"/>
                <w:color w:val="000000"/>
                <w:sz w:val="18"/>
                <w:szCs w:val="18"/>
              </w:rPr>
            </w:pPr>
            <w:r>
              <w:rPr>
                <w:rFonts w:hint="default" w:cs="宋体"/>
                <w:color w:val="000000"/>
                <w:sz w:val="18"/>
                <w:szCs w:val="18"/>
                <w:lang w:bidi="ar"/>
              </w:rPr>
              <w:t>=100%</w:t>
            </w:r>
          </w:p>
        </w:tc>
        <w:tc>
          <w:tcPr>
            <w:tcW w:w="15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E4A877">
            <w:pPr>
              <w:widowControl/>
              <w:jc w:val="center"/>
              <w:textAlignment w:val="center"/>
              <w:rPr>
                <w:rFonts w:hint="default" w:cs="宋体"/>
                <w:color w:val="000000"/>
                <w:sz w:val="18"/>
                <w:szCs w:val="18"/>
              </w:rPr>
            </w:pPr>
            <w:r>
              <w:rPr>
                <w:rFonts w:hint="default" w:cs="宋体"/>
                <w:color w:val="000000"/>
                <w:sz w:val="18"/>
                <w:szCs w:val="18"/>
                <w:lang w:bidi="ar"/>
              </w:rPr>
              <w:t>=100%</w:t>
            </w:r>
          </w:p>
        </w:tc>
        <w:tc>
          <w:tcPr>
            <w:tcW w:w="198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C9C74D">
            <w:pPr>
              <w:jc w:val="center"/>
              <w:rPr>
                <w:rFonts w:hint="default" w:cs="宋体"/>
                <w:color w:val="000000"/>
                <w:sz w:val="18"/>
                <w:szCs w:val="18"/>
              </w:rPr>
            </w:pPr>
          </w:p>
        </w:tc>
      </w:tr>
      <w:tr w14:paraId="08825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131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A41B02">
            <w:pPr>
              <w:jc w:val="center"/>
              <w:rPr>
                <w:rFonts w:hint="default" w:cs="宋体"/>
                <w:color w:val="000000"/>
                <w:sz w:val="18"/>
                <w:szCs w:val="18"/>
              </w:rPr>
            </w:pPr>
          </w:p>
        </w:tc>
        <w:tc>
          <w:tcPr>
            <w:tcW w:w="698"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B5F913">
            <w:pPr>
              <w:jc w:val="center"/>
              <w:rPr>
                <w:rFonts w:hint="default" w:cs="宋体"/>
                <w:color w:val="000000"/>
                <w:sz w:val="18"/>
                <w:szCs w:val="18"/>
              </w:rPr>
            </w:pPr>
          </w:p>
        </w:tc>
        <w:tc>
          <w:tcPr>
            <w:tcW w:w="151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E35F16">
            <w:pPr>
              <w:widowControl/>
              <w:jc w:val="center"/>
              <w:textAlignment w:val="center"/>
              <w:rPr>
                <w:rFonts w:hint="default" w:cs="宋体"/>
                <w:color w:val="000000"/>
                <w:sz w:val="18"/>
                <w:szCs w:val="18"/>
              </w:rPr>
            </w:pPr>
            <w:r>
              <w:rPr>
                <w:rFonts w:hint="default" w:cs="宋体"/>
                <w:color w:val="000000"/>
                <w:sz w:val="18"/>
                <w:szCs w:val="18"/>
                <w:lang w:bidi="ar"/>
              </w:rPr>
              <w:t>时效指标</w:t>
            </w:r>
          </w:p>
        </w:tc>
        <w:tc>
          <w:tcPr>
            <w:tcW w:w="232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3C7145">
            <w:pPr>
              <w:widowControl/>
              <w:jc w:val="center"/>
              <w:textAlignment w:val="center"/>
              <w:rPr>
                <w:rFonts w:hint="default" w:cs="宋体"/>
                <w:color w:val="000000"/>
                <w:sz w:val="18"/>
                <w:szCs w:val="18"/>
              </w:rPr>
            </w:pPr>
            <w:r>
              <w:rPr>
                <w:rFonts w:hint="default" w:cs="宋体"/>
                <w:color w:val="000000"/>
                <w:sz w:val="18"/>
                <w:szCs w:val="18"/>
                <w:lang w:bidi="ar"/>
              </w:rPr>
              <w:t>项目实施时间</w:t>
            </w:r>
          </w:p>
        </w:tc>
        <w:tc>
          <w:tcPr>
            <w:tcW w:w="129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8BCB50">
            <w:pPr>
              <w:widowControl/>
              <w:jc w:val="center"/>
              <w:textAlignment w:val="center"/>
              <w:rPr>
                <w:rFonts w:hint="default" w:cs="宋体"/>
                <w:color w:val="000000"/>
                <w:sz w:val="18"/>
                <w:szCs w:val="18"/>
              </w:rPr>
            </w:pPr>
            <w:r>
              <w:rPr>
                <w:rFonts w:hint="default" w:cs="宋体"/>
                <w:color w:val="000000"/>
                <w:sz w:val="18"/>
                <w:szCs w:val="18"/>
                <w:lang w:bidi="ar"/>
              </w:rPr>
              <w:t>≥1年</w:t>
            </w:r>
          </w:p>
        </w:tc>
        <w:tc>
          <w:tcPr>
            <w:tcW w:w="15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2F4734">
            <w:pPr>
              <w:widowControl/>
              <w:jc w:val="center"/>
              <w:textAlignment w:val="center"/>
              <w:rPr>
                <w:rFonts w:hint="default" w:cs="宋体"/>
                <w:color w:val="000000"/>
                <w:sz w:val="18"/>
                <w:szCs w:val="18"/>
              </w:rPr>
            </w:pPr>
            <w:r>
              <w:rPr>
                <w:rFonts w:hint="default" w:cs="宋体"/>
                <w:color w:val="000000"/>
                <w:sz w:val="18"/>
                <w:szCs w:val="18"/>
                <w:lang w:bidi="ar"/>
              </w:rPr>
              <w:t>≥1年</w:t>
            </w:r>
          </w:p>
        </w:tc>
        <w:tc>
          <w:tcPr>
            <w:tcW w:w="198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4B0020">
            <w:pPr>
              <w:jc w:val="center"/>
              <w:rPr>
                <w:rFonts w:hint="default" w:cs="宋体"/>
                <w:color w:val="000000"/>
                <w:sz w:val="18"/>
                <w:szCs w:val="18"/>
              </w:rPr>
            </w:pPr>
          </w:p>
        </w:tc>
      </w:tr>
      <w:tr w14:paraId="70F6B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131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A09A03">
            <w:pPr>
              <w:jc w:val="center"/>
              <w:rPr>
                <w:rFonts w:hint="default" w:cs="宋体"/>
                <w:color w:val="000000"/>
                <w:sz w:val="18"/>
                <w:szCs w:val="18"/>
              </w:rPr>
            </w:pPr>
          </w:p>
        </w:tc>
        <w:tc>
          <w:tcPr>
            <w:tcW w:w="698"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345543">
            <w:pPr>
              <w:jc w:val="center"/>
              <w:rPr>
                <w:rFonts w:hint="default" w:cs="宋体"/>
                <w:color w:val="000000"/>
                <w:sz w:val="18"/>
                <w:szCs w:val="18"/>
              </w:rPr>
            </w:pPr>
          </w:p>
        </w:tc>
        <w:tc>
          <w:tcPr>
            <w:tcW w:w="151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DF51B5">
            <w:pPr>
              <w:widowControl/>
              <w:jc w:val="center"/>
              <w:textAlignment w:val="center"/>
              <w:rPr>
                <w:rFonts w:hint="default" w:cs="宋体"/>
                <w:color w:val="000000"/>
                <w:sz w:val="18"/>
                <w:szCs w:val="18"/>
              </w:rPr>
            </w:pPr>
            <w:r>
              <w:rPr>
                <w:rFonts w:hint="default" w:cs="宋体"/>
                <w:color w:val="000000"/>
                <w:sz w:val="18"/>
                <w:szCs w:val="18"/>
                <w:lang w:bidi="ar"/>
              </w:rPr>
              <w:t>成本指标</w:t>
            </w:r>
          </w:p>
        </w:tc>
        <w:tc>
          <w:tcPr>
            <w:tcW w:w="232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230953">
            <w:pPr>
              <w:widowControl/>
              <w:jc w:val="center"/>
              <w:textAlignment w:val="center"/>
              <w:rPr>
                <w:rFonts w:hint="default" w:cs="宋体"/>
                <w:color w:val="000000"/>
                <w:sz w:val="18"/>
                <w:szCs w:val="18"/>
              </w:rPr>
            </w:pPr>
            <w:r>
              <w:rPr>
                <w:rFonts w:hint="default" w:cs="宋体"/>
                <w:color w:val="000000"/>
                <w:sz w:val="18"/>
                <w:szCs w:val="18"/>
                <w:lang w:bidi="ar"/>
              </w:rPr>
              <w:t>项目本级配套资金</w:t>
            </w:r>
          </w:p>
        </w:tc>
        <w:tc>
          <w:tcPr>
            <w:tcW w:w="129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82E399">
            <w:pPr>
              <w:widowControl/>
              <w:jc w:val="center"/>
              <w:textAlignment w:val="center"/>
              <w:rPr>
                <w:rFonts w:hint="default" w:cs="宋体"/>
                <w:color w:val="000000"/>
                <w:sz w:val="18"/>
                <w:szCs w:val="18"/>
              </w:rPr>
            </w:pPr>
            <w:r>
              <w:rPr>
                <w:rFonts w:hint="default" w:cs="宋体"/>
                <w:color w:val="000000"/>
                <w:sz w:val="18"/>
                <w:szCs w:val="18"/>
                <w:lang w:bidi="ar"/>
              </w:rPr>
              <w:t>=50万</w:t>
            </w:r>
          </w:p>
        </w:tc>
        <w:tc>
          <w:tcPr>
            <w:tcW w:w="15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2C2DA7">
            <w:pPr>
              <w:widowControl/>
              <w:jc w:val="center"/>
              <w:textAlignment w:val="center"/>
              <w:rPr>
                <w:rFonts w:hint="default" w:cs="宋体"/>
                <w:color w:val="000000"/>
                <w:sz w:val="18"/>
                <w:szCs w:val="18"/>
              </w:rPr>
            </w:pPr>
            <w:r>
              <w:rPr>
                <w:rFonts w:hint="default" w:cs="宋体"/>
                <w:color w:val="000000"/>
                <w:sz w:val="18"/>
                <w:szCs w:val="18"/>
                <w:lang w:bidi="ar"/>
              </w:rPr>
              <w:t>=50万</w:t>
            </w:r>
          </w:p>
        </w:tc>
        <w:tc>
          <w:tcPr>
            <w:tcW w:w="198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346302">
            <w:pPr>
              <w:jc w:val="center"/>
              <w:rPr>
                <w:rFonts w:hint="default" w:cs="宋体"/>
                <w:color w:val="000000"/>
                <w:sz w:val="18"/>
                <w:szCs w:val="18"/>
              </w:rPr>
            </w:pPr>
          </w:p>
        </w:tc>
      </w:tr>
      <w:tr w14:paraId="46B21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7" w:hRule="atLeast"/>
        </w:trPr>
        <w:tc>
          <w:tcPr>
            <w:tcW w:w="131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8EB292">
            <w:pPr>
              <w:jc w:val="center"/>
              <w:rPr>
                <w:rFonts w:hint="default" w:cs="宋体"/>
                <w:color w:val="000000"/>
                <w:sz w:val="18"/>
                <w:szCs w:val="18"/>
              </w:rPr>
            </w:pPr>
          </w:p>
        </w:tc>
        <w:tc>
          <w:tcPr>
            <w:tcW w:w="698"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2D90ED">
            <w:pPr>
              <w:widowControl/>
              <w:jc w:val="center"/>
              <w:textAlignment w:val="center"/>
              <w:rPr>
                <w:rFonts w:hint="default" w:cs="宋体"/>
                <w:color w:val="000000"/>
                <w:sz w:val="18"/>
                <w:szCs w:val="18"/>
              </w:rPr>
            </w:pPr>
            <w:r>
              <w:rPr>
                <w:rFonts w:hint="default" w:cs="宋体"/>
                <w:color w:val="000000"/>
                <w:sz w:val="18"/>
                <w:szCs w:val="18"/>
                <w:lang w:bidi="ar"/>
              </w:rPr>
              <w:t>效益指标</w:t>
            </w:r>
          </w:p>
        </w:tc>
        <w:tc>
          <w:tcPr>
            <w:tcW w:w="1513" w:type="dxa"/>
            <w:tcBorders>
              <w:top w:val="single" w:color="000000" w:sz="4" w:space="0"/>
              <w:left w:val="single" w:color="000000" w:sz="4" w:space="0"/>
              <w:bottom w:val="nil"/>
              <w:right w:val="single" w:color="000000" w:sz="4" w:space="0"/>
              <w:tl2br w:val="nil"/>
              <w:tr2bl w:val="nil"/>
            </w:tcBorders>
            <w:noWrap w:val="0"/>
            <w:vAlign w:val="center"/>
          </w:tcPr>
          <w:p w14:paraId="2521C2C7">
            <w:pPr>
              <w:widowControl/>
              <w:jc w:val="center"/>
              <w:textAlignment w:val="center"/>
              <w:rPr>
                <w:rFonts w:hint="default" w:cs="宋体"/>
                <w:color w:val="000000"/>
                <w:sz w:val="18"/>
                <w:szCs w:val="18"/>
              </w:rPr>
            </w:pPr>
            <w:r>
              <w:rPr>
                <w:rFonts w:hint="default" w:cs="宋体"/>
                <w:color w:val="000000"/>
                <w:sz w:val="18"/>
                <w:szCs w:val="18"/>
                <w:lang w:bidi="ar"/>
              </w:rPr>
              <w:t>经济效益</w:t>
            </w:r>
            <w:r>
              <w:rPr>
                <w:rFonts w:hint="default" w:cs="宋体"/>
                <w:color w:val="000000"/>
                <w:sz w:val="18"/>
                <w:szCs w:val="18"/>
                <w:lang w:bidi="ar"/>
              </w:rPr>
              <w:br w:type="textWrapping"/>
            </w:r>
            <w:r>
              <w:rPr>
                <w:rFonts w:hint="default" w:cs="宋体"/>
                <w:color w:val="000000"/>
                <w:sz w:val="18"/>
                <w:szCs w:val="18"/>
                <w:lang w:bidi="ar"/>
              </w:rPr>
              <w:t>指标</w:t>
            </w:r>
          </w:p>
        </w:tc>
        <w:tc>
          <w:tcPr>
            <w:tcW w:w="232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6D4D21">
            <w:pPr>
              <w:widowControl/>
              <w:jc w:val="center"/>
              <w:textAlignment w:val="center"/>
              <w:rPr>
                <w:rFonts w:hint="default" w:cs="宋体"/>
                <w:color w:val="000000"/>
                <w:sz w:val="18"/>
                <w:szCs w:val="18"/>
              </w:rPr>
            </w:pPr>
            <w:r>
              <w:rPr>
                <w:rFonts w:hint="default" w:cs="宋体"/>
                <w:color w:val="000000"/>
                <w:sz w:val="18"/>
                <w:szCs w:val="18"/>
                <w:lang w:bidi="ar"/>
              </w:rPr>
              <w:t>项目本级配套资金</w:t>
            </w:r>
          </w:p>
        </w:tc>
        <w:tc>
          <w:tcPr>
            <w:tcW w:w="129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6EAD86">
            <w:pPr>
              <w:widowControl/>
              <w:jc w:val="center"/>
              <w:textAlignment w:val="center"/>
              <w:rPr>
                <w:rFonts w:hint="default" w:cs="宋体"/>
                <w:color w:val="000000"/>
                <w:sz w:val="18"/>
                <w:szCs w:val="18"/>
              </w:rPr>
            </w:pPr>
            <w:r>
              <w:rPr>
                <w:rFonts w:hint="default" w:cs="宋体"/>
                <w:color w:val="000000"/>
                <w:sz w:val="18"/>
                <w:szCs w:val="18"/>
                <w:lang w:bidi="ar"/>
              </w:rPr>
              <w:t>=50万</w:t>
            </w:r>
          </w:p>
        </w:tc>
        <w:tc>
          <w:tcPr>
            <w:tcW w:w="15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B92433">
            <w:pPr>
              <w:widowControl/>
              <w:jc w:val="center"/>
              <w:textAlignment w:val="center"/>
              <w:rPr>
                <w:rFonts w:hint="default" w:cs="宋体"/>
                <w:color w:val="000000"/>
                <w:sz w:val="18"/>
                <w:szCs w:val="18"/>
              </w:rPr>
            </w:pPr>
            <w:r>
              <w:rPr>
                <w:rFonts w:hint="default" w:cs="宋体"/>
                <w:color w:val="000000"/>
                <w:sz w:val="18"/>
                <w:szCs w:val="18"/>
                <w:lang w:bidi="ar"/>
              </w:rPr>
              <w:t>=50万</w:t>
            </w:r>
          </w:p>
        </w:tc>
        <w:tc>
          <w:tcPr>
            <w:tcW w:w="198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5513ED">
            <w:pPr>
              <w:jc w:val="center"/>
              <w:rPr>
                <w:rFonts w:hint="default" w:cs="宋体"/>
                <w:color w:val="000000"/>
                <w:sz w:val="18"/>
                <w:szCs w:val="18"/>
              </w:rPr>
            </w:pPr>
          </w:p>
        </w:tc>
      </w:tr>
      <w:tr w14:paraId="4A193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0" w:hRule="atLeast"/>
        </w:trPr>
        <w:tc>
          <w:tcPr>
            <w:tcW w:w="131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CC8C48">
            <w:pPr>
              <w:jc w:val="center"/>
              <w:rPr>
                <w:rFonts w:hint="default" w:cs="宋体"/>
                <w:color w:val="000000"/>
                <w:sz w:val="18"/>
                <w:szCs w:val="18"/>
              </w:rPr>
            </w:pPr>
          </w:p>
        </w:tc>
        <w:tc>
          <w:tcPr>
            <w:tcW w:w="698"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645059">
            <w:pPr>
              <w:jc w:val="center"/>
              <w:rPr>
                <w:rFonts w:hint="default" w:cs="宋体"/>
                <w:color w:val="000000"/>
                <w:sz w:val="18"/>
                <w:szCs w:val="18"/>
              </w:rPr>
            </w:pPr>
          </w:p>
        </w:tc>
        <w:tc>
          <w:tcPr>
            <w:tcW w:w="1513" w:type="dxa"/>
            <w:tcBorders>
              <w:top w:val="single" w:color="000000" w:sz="4" w:space="0"/>
              <w:left w:val="single" w:color="000000" w:sz="4" w:space="0"/>
              <w:bottom w:val="nil"/>
              <w:right w:val="single" w:color="000000" w:sz="4" w:space="0"/>
              <w:tl2br w:val="nil"/>
              <w:tr2bl w:val="nil"/>
            </w:tcBorders>
            <w:noWrap w:val="0"/>
            <w:vAlign w:val="center"/>
          </w:tcPr>
          <w:p w14:paraId="297295C2">
            <w:pPr>
              <w:widowControl/>
              <w:jc w:val="center"/>
              <w:textAlignment w:val="center"/>
              <w:rPr>
                <w:rFonts w:hint="default" w:cs="宋体"/>
                <w:color w:val="000000"/>
                <w:sz w:val="18"/>
                <w:szCs w:val="18"/>
              </w:rPr>
            </w:pPr>
            <w:r>
              <w:rPr>
                <w:rFonts w:hint="default" w:cs="宋体"/>
                <w:color w:val="000000"/>
                <w:sz w:val="18"/>
                <w:szCs w:val="18"/>
                <w:lang w:bidi="ar"/>
              </w:rPr>
              <w:t>社会效益</w:t>
            </w:r>
            <w:r>
              <w:rPr>
                <w:rFonts w:hint="default" w:cs="宋体"/>
                <w:color w:val="000000"/>
                <w:sz w:val="18"/>
                <w:szCs w:val="18"/>
                <w:lang w:bidi="ar"/>
              </w:rPr>
              <w:br w:type="textWrapping"/>
            </w:r>
            <w:r>
              <w:rPr>
                <w:rFonts w:hint="default" w:cs="宋体"/>
                <w:color w:val="000000"/>
                <w:sz w:val="18"/>
                <w:szCs w:val="18"/>
                <w:lang w:bidi="ar"/>
              </w:rPr>
              <w:t>指标</w:t>
            </w:r>
          </w:p>
        </w:tc>
        <w:tc>
          <w:tcPr>
            <w:tcW w:w="232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6B1A2B">
            <w:pPr>
              <w:widowControl/>
              <w:jc w:val="center"/>
              <w:textAlignment w:val="center"/>
              <w:rPr>
                <w:rFonts w:hint="default" w:cs="宋体"/>
                <w:color w:val="000000"/>
                <w:sz w:val="18"/>
                <w:szCs w:val="18"/>
              </w:rPr>
            </w:pPr>
            <w:r>
              <w:rPr>
                <w:rFonts w:hint="default" w:cs="宋体"/>
                <w:color w:val="000000"/>
                <w:sz w:val="18"/>
                <w:szCs w:val="18"/>
                <w:lang w:bidi="ar"/>
              </w:rPr>
              <w:t>激发干部安心基层、干事创业的热情与活力，增强服务能力、提高治理效能</w:t>
            </w:r>
          </w:p>
        </w:tc>
        <w:tc>
          <w:tcPr>
            <w:tcW w:w="129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A21F0F">
            <w:pPr>
              <w:widowControl/>
              <w:jc w:val="center"/>
              <w:textAlignment w:val="center"/>
              <w:rPr>
                <w:rFonts w:hint="default" w:cs="宋体"/>
                <w:color w:val="000000"/>
                <w:sz w:val="18"/>
                <w:szCs w:val="18"/>
              </w:rPr>
            </w:pPr>
            <w:r>
              <w:rPr>
                <w:rFonts w:hint="default" w:cs="宋体"/>
                <w:color w:val="000000"/>
                <w:sz w:val="18"/>
                <w:szCs w:val="18"/>
                <w:lang w:bidi="ar"/>
              </w:rPr>
              <w:t>有效</w:t>
            </w:r>
          </w:p>
        </w:tc>
        <w:tc>
          <w:tcPr>
            <w:tcW w:w="15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856FD4">
            <w:pPr>
              <w:widowControl/>
              <w:jc w:val="center"/>
              <w:textAlignment w:val="center"/>
              <w:rPr>
                <w:rFonts w:hint="default" w:cs="宋体"/>
                <w:color w:val="000000"/>
                <w:sz w:val="18"/>
                <w:szCs w:val="18"/>
              </w:rPr>
            </w:pPr>
            <w:r>
              <w:rPr>
                <w:rFonts w:hint="default" w:cs="宋体"/>
                <w:color w:val="000000"/>
                <w:sz w:val="18"/>
                <w:szCs w:val="18"/>
                <w:lang w:bidi="ar"/>
              </w:rPr>
              <w:t>有效</w:t>
            </w:r>
          </w:p>
        </w:tc>
        <w:tc>
          <w:tcPr>
            <w:tcW w:w="198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8EE6DD">
            <w:pPr>
              <w:jc w:val="center"/>
              <w:rPr>
                <w:rFonts w:hint="default" w:cs="宋体"/>
                <w:color w:val="000000"/>
                <w:sz w:val="18"/>
                <w:szCs w:val="18"/>
              </w:rPr>
            </w:pPr>
          </w:p>
        </w:tc>
      </w:tr>
      <w:tr w14:paraId="79231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3" w:hRule="atLeast"/>
        </w:trPr>
        <w:tc>
          <w:tcPr>
            <w:tcW w:w="131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A8DF91">
            <w:pPr>
              <w:jc w:val="center"/>
              <w:rPr>
                <w:rFonts w:hint="default" w:cs="宋体"/>
                <w:color w:val="000000"/>
                <w:sz w:val="18"/>
                <w:szCs w:val="18"/>
              </w:rPr>
            </w:pPr>
          </w:p>
        </w:tc>
        <w:tc>
          <w:tcPr>
            <w:tcW w:w="69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F095E2">
            <w:pPr>
              <w:widowControl/>
              <w:jc w:val="center"/>
              <w:textAlignment w:val="center"/>
              <w:rPr>
                <w:rFonts w:hint="default" w:cs="宋体"/>
                <w:color w:val="000000"/>
                <w:sz w:val="18"/>
                <w:szCs w:val="18"/>
              </w:rPr>
            </w:pPr>
            <w:r>
              <w:rPr>
                <w:rFonts w:hint="default" w:cs="宋体"/>
                <w:color w:val="000000"/>
                <w:sz w:val="18"/>
                <w:szCs w:val="18"/>
                <w:lang w:bidi="ar"/>
              </w:rPr>
              <w:t>满意度</w:t>
            </w:r>
            <w:r>
              <w:rPr>
                <w:rFonts w:hint="default" w:cs="宋体"/>
                <w:color w:val="000000"/>
                <w:sz w:val="18"/>
                <w:szCs w:val="18"/>
                <w:lang w:bidi="ar"/>
              </w:rPr>
              <w:br w:type="textWrapping"/>
            </w:r>
            <w:r>
              <w:rPr>
                <w:rFonts w:hint="default" w:cs="宋体"/>
                <w:color w:val="000000"/>
                <w:sz w:val="18"/>
                <w:szCs w:val="18"/>
                <w:lang w:bidi="ar"/>
              </w:rPr>
              <w:t>指标</w:t>
            </w:r>
          </w:p>
        </w:tc>
        <w:tc>
          <w:tcPr>
            <w:tcW w:w="151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958085">
            <w:pPr>
              <w:widowControl/>
              <w:jc w:val="center"/>
              <w:textAlignment w:val="center"/>
              <w:rPr>
                <w:rFonts w:hint="default" w:cs="宋体"/>
                <w:color w:val="000000"/>
                <w:sz w:val="18"/>
                <w:szCs w:val="18"/>
              </w:rPr>
            </w:pPr>
            <w:r>
              <w:rPr>
                <w:rFonts w:hint="default" w:cs="宋体"/>
                <w:color w:val="000000"/>
                <w:sz w:val="18"/>
                <w:szCs w:val="18"/>
                <w:lang w:bidi="ar"/>
              </w:rPr>
              <w:t>服务对象满意度指标</w:t>
            </w:r>
          </w:p>
        </w:tc>
        <w:tc>
          <w:tcPr>
            <w:tcW w:w="232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415B72">
            <w:pPr>
              <w:widowControl/>
              <w:jc w:val="center"/>
              <w:textAlignment w:val="center"/>
              <w:rPr>
                <w:rFonts w:hint="default" w:cs="宋体"/>
                <w:color w:val="000000"/>
                <w:sz w:val="18"/>
                <w:szCs w:val="18"/>
              </w:rPr>
            </w:pPr>
            <w:r>
              <w:rPr>
                <w:rFonts w:hint="default" w:cs="宋体"/>
                <w:color w:val="000000"/>
                <w:sz w:val="18"/>
                <w:szCs w:val="18"/>
                <w:lang w:bidi="ar"/>
              </w:rPr>
              <w:t>干部对周转房建设满意度</w:t>
            </w:r>
          </w:p>
        </w:tc>
        <w:tc>
          <w:tcPr>
            <w:tcW w:w="129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FE931D">
            <w:pPr>
              <w:widowControl/>
              <w:jc w:val="center"/>
              <w:textAlignment w:val="center"/>
              <w:rPr>
                <w:rFonts w:hint="default" w:cs="宋体"/>
                <w:color w:val="000000"/>
                <w:sz w:val="18"/>
                <w:szCs w:val="18"/>
              </w:rPr>
            </w:pPr>
            <w:r>
              <w:rPr>
                <w:rFonts w:hint="default" w:cs="宋体"/>
                <w:color w:val="000000"/>
                <w:sz w:val="18"/>
                <w:szCs w:val="18"/>
                <w:lang w:bidi="ar"/>
              </w:rPr>
              <w:t>≥98%</w:t>
            </w:r>
          </w:p>
        </w:tc>
        <w:tc>
          <w:tcPr>
            <w:tcW w:w="15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707375">
            <w:pPr>
              <w:widowControl/>
              <w:jc w:val="center"/>
              <w:textAlignment w:val="center"/>
              <w:rPr>
                <w:rFonts w:hint="default" w:cs="宋体"/>
                <w:color w:val="000000"/>
                <w:sz w:val="18"/>
                <w:szCs w:val="18"/>
              </w:rPr>
            </w:pPr>
            <w:r>
              <w:rPr>
                <w:rFonts w:hint="default" w:cs="宋体"/>
                <w:color w:val="000000"/>
                <w:sz w:val="18"/>
                <w:szCs w:val="18"/>
                <w:lang w:bidi="ar"/>
              </w:rPr>
              <w:t>≥98%</w:t>
            </w:r>
          </w:p>
        </w:tc>
        <w:tc>
          <w:tcPr>
            <w:tcW w:w="198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4630D2">
            <w:pPr>
              <w:jc w:val="center"/>
              <w:rPr>
                <w:rFonts w:hint="default" w:cs="宋体"/>
                <w:color w:val="000000"/>
                <w:sz w:val="18"/>
                <w:szCs w:val="18"/>
              </w:rPr>
            </w:pPr>
          </w:p>
        </w:tc>
      </w:tr>
    </w:tbl>
    <w:p w14:paraId="087057F8">
      <w:pPr>
        <w:rPr>
          <w:rFonts w:hint="eastAsia" w:ascii="黑体" w:hAnsi="黑体" w:eastAsia="黑体" w:cs="黑体"/>
          <w:sz w:val="32"/>
          <w:szCs w:val="32"/>
        </w:rPr>
      </w:pPr>
      <w:r>
        <w:rPr>
          <w:rFonts w:hint="eastAsia" w:ascii="黑体" w:hAnsi="黑体" w:eastAsia="黑体" w:cs="黑体"/>
          <w:sz w:val="32"/>
          <w:szCs w:val="32"/>
          <w:lang w:val="zh-CN"/>
        </w:rPr>
        <w:t>附件</w:t>
      </w:r>
      <w:r>
        <w:rPr>
          <w:rFonts w:hint="eastAsia" w:ascii="黑体" w:hAnsi="黑体" w:eastAsia="黑体" w:cs="黑体"/>
          <w:sz w:val="32"/>
          <w:szCs w:val="32"/>
        </w:rPr>
        <w:t>2-4：</w:t>
      </w:r>
    </w:p>
    <w:p w14:paraId="2F164A69">
      <w:pPr>
        <w:pStyle w:val="2"/>
        <w:rPr>
          <w:rFonts w:hint="default" w:ascii="宋体" w:hAnsi="Times New Roman"/>
          <w:sz w:val="21"/>
          <w:szCs w:val="24"/>
        </w:rPr>
      </w:pPr>
    </w:p>
    <w:p w14:paraId="20ACD0DD">
      <w:pPr>
        <w:numPr>
          <w:ilvl w:val="0"/>
          <w:numId w:val="0"/>
        </w:numPr>
        <w:tabs>
          <w:tab w:val="center" w:pos="4482"/>
          <w:tab w:val="left" w:pos="7482"/>
        </w:tabs>
        <w:autoSpaceDE/>
        <w:autoSpaceDN/>
        <w:adjustRightInd/>
        <w:spacing w:line="576" w:lineRule="exact"/>
        <w:jc w:val="center"/>
        <w:rPr>
          <w:rFonts w:hint="eastAsia" w:ascii="Times New Roman" w:eastAsia="方正小标宋简体" w:cs="方正小标宋简体"/>
          <w:kern w:val="2"/>
          <w:sz w:val="44"/>
          <w:szCs w:val="44"/>
        </w:rPr>
      </w:pPr>
      <w:r>
        <w:rPr>
          <w:rFonts w:hint="eastAsia" w:ascii="Times New Roman" w:eastAsia="方正小标宋简体" w:cs="方正小标宋简体"/>
          <w:kern w:val="2"/>
          <w:sz w:val="44"/>
          <w:szCs w:val="44"/>
        </w:rPr>
        <w:t>广元市昭化区太公镇人民政府</w:t>
      </w:r>
    </w:p>
    <w:p w14:paraId="1B6CC5FB">
      <w:pPr>
        <w:numPr>
          <w:ilvl w:val="0"/>
          <w:numId w:val="0"/>
        </w:numPr>
        <w:tabs>
          <w:tab w:val="center" w:pos="4482"/>
          <w:tab w:val="left" w:pos="7482"/>
        </w:tabs>
        <w:autoSpaceDE/>
        <w:autoSpaceDN/>
        <w:adjustRightInd/>
        <w:spacing w:line="576" w:lineRule="exact"/>
        <w:jc w:val="center"/>
        <w:rPr>
          <w:rFonts w:hint="eastAsia" w:ascii="Times New Roman" w:eastAsia="方正小标宋简体" w:cs="方正小标宋简体"/>
          <w:kern w:val="2"/>
          <w:sz w:val="44"/>
          <w:szCs w:val="44"/>
        </w:rPr>
      </w:pPr>
      <w:r>
        <w:rPr>
          <w:rFonts w:hint="eastAsia" w:ascii="Times New Roman" w:eastAsia="方正小标宋简体" w:cs="方正小标宋简体"/>
          <w:kern w:val="2"/>
          <w:sz w:val="44"/>
          <w:szCs w:val="44"/>
        </w:rPr>
        <w:t>2023年村（社区）人员和办公经费、绩效考核经费、镇村办公经费等项目支出绩效自评报告</w:t>
      </w:r>
    </w:p>
    <w:p w14:paraId="36F21128">
      <w:pPr>
        <w:pStyle w:val="2"/>
        <w:rPr>
          <w:rFonts w:hint="default" w:ascii="宋体" w:hAnsi="Times New Roman"/>
          <w:sz w:val="21"/>
          <w:szCs w:val="24"/>
        </w:rPr>
      </w:pPr>
    </w:p>
    <w:p w14:paraId="1F7D2DD2">
      <w:pPr>
        <w:autoSpaceDE/>
        <w:autoSpaceDN/>
        <w:snapToGrid w:val="0"/>
        <w:spacing w:line="596" w:lineRule="exact"/>
        <w:ind w:firstLine="640" w:firstLineChars="200"/>
        <w:rPr>
          <w:rFonts w:hint="eastAsia" w:ascii="Times New Roman" w:eastAsia="仿宋_GB2312"/>
          <w:color w:val="000000"/>
          <w:sz w:val="32"/>
          <w:szCs w:val="24"/>
          <w:lang w:val="zh-CN"/>
        </w:rPr>
      </w:pPr>
      <w:r>
        <w:rPr>
          <w:rFonts w:hint="eastAsia" w:ascii="Times New Roman" w:eastAsia="仿宋_GB2312"/>
          <w:color w:val="000000"/>
          <w:sz w:val="32"/>
          <w:szCs w:val="24"/>
          <w:lang w:val="zh-CN"/>
        </w:rPr>
        <w:t xml:space="preserve">为严格落实项目预算执行，根据《广元市昭化区财政局关于开展2024年部门、政策和项目支出绩效评价工作的通知》（昭财发〔2024〕11号）文件要求，我镇积极组织对2023年村（社区）人员和办公经费、绩效考核经费、镇村办公经费等项目资金进行绩效评价。保证我镇项目支出的资金使用合理合规，现将我镇2023年村（社区）人员和办公经费、绩效考核经费、镇村办公经费等项目绩效自评报告如下：    </w:t>
      </w:r>
    </w:p>
    <w:p w14:paraId="4097F41D">
      <w:pPr>
        <w:autoSpaceDE/>
        <w:autoSpaceDN/>
        <w:snapToGrid w:val="0"/>
        <w:spacing w:line="596" w:lineRule="exact"/>
        <w:ind w:firstLine="640" w:firstLineChars="200"/>
        <w:rPr>
          <w:rFonts w:hint="eastAsia" w:ascii="黑体" w:hAnsi="黑体" w:eastAsia="黑体" w:cs="黑体"/>
          <w:color w:val="000000"/>
          <w:sz w:val="32"/>
          <w:szCs w:val="32"/>
          <w:lang w:val="zh-CN" w:bidi="ar"/>
        </w:rPr>
      </w:pPr>
      <w:r>
        <w:rPr>
          <w:rFonts w:hint="eastAsia" w:ascii="黑体" w:hAnsi="黑体" w:eastAsia="黑体" w:cs="黑体"/>
          <w:color w:val="000000"/>
          <w:sz w:val="32"/>
          <w:szCs w:val="32"/>
          <w:lang w:val="zh-CN" w:bidi="ar"/>
        </w:rPr>
        <w:t>一、项目概况</w:t>
      </w:r>
    </w:p>
    <w:p w14:paraId="110CFCE3">
      <w:pPr>
        <w:autoSpaceDE/>
        <w:autoSpaceDN/>
        <w:snapToGrid w:val="0"/>
        <w:spacing w:line="596" w:lineRule="exact"/>
        <w:ind w:firstLine="640" w:firstLineChars="200"/>
        <w:rPr>
          <w:rFonts w:hint="eastAsia" w:ascii="Times New Roman" w:eastAsia="楷体_GB2312"/>
          <w:sz w:val="32"/>
          <w:szCs w:val="32"/>
          <w:lang w:val="zh-CN"/>
        </w:rPr>
      </w:pPr>
      <w:r>
        <w:rPr>
          <w:rFonts w:hint="eastAsia" w:ascii="Times New Roman" w:eastAsia="楷体_GB2312"/>
          <w:sz w:val="32"/>
          <w:szCs w:val="32"/>
          <w:lang w:val="zh-CN"/>
        </w:rPr>
        <w:t>（一）项目资金申报及批复情况</w:t>
      </w:r>
    </w:p>
    <w:p w14:paraId="17418FCC">
      <w:pPr>
        <w:autoSpaceDE/>
        <w:autoSpaceDN/>
        <w:snapToGrid w:val="0"/>
        <w:spacing w:line="596" w:lineRule="exact"/>
        <w:ind w:firstLine="640" w:firstLineChars="200"/>
        <w:rPr>
          <w:rFonts w:hint="eastAsia" w:ascii="Times New Roman" w:eastAsia="仿宋_GB2312"/>
          <w:color w:val="000000"/>
          <w:sz w:val="32"/>
          <w:szCs w:val="24"/>
          <w:lang w:val="zh-CN"/>
        </w:rPr>
      </w:pPr>
      <w:r>
        <w:rPr>
          <w:rFonts w:hint="eastAsia" w:ascii="Times New Roman" w:eastAsia="仿宋_GB2312"/>
          <w:color w:val="000000"/>
          <w:sz w:val="32"/>
          <w:szCs w:val="24"/>
          <w:lang w:val="zh-CN"/>
        </w:rPr>
        <w:t>1.我镇2023年村（社区）人员和办公经费项目为2023年年初预算安排，涉及我镇13个村2个社区77个社，金额349.67万元。预算口径为：一是村干部报酬执行根据区委办、区政府办《关于印发广元市昭化区村常职干部专职化管理办法的通知》（昭委办〔2020〕42号）文件规定的村干部报酬标准执行：村党组织书记（村委会主任）3000元/月，村党组织副书记、村委会副主任及村文书2100元/月，专干1500元/月，组干部680元/月。村干部养老保险预算由区财政给予最高400元/人/年的养老保险补贴，村干部人身意外伤害保险预算由区财政给予100元/人/年的人身意外伤害保险补助。二是社区干部报酬执行根据昭组通[2021]28号、昭委办〔2021〕26号文件，城市社区专职工作者的基本报酬，按照社区正职（书记/主任）、社区副职（副书记/副主任）、其他专职工作者三类，建立“三岗7级”岗位等级次序，主要由基本工资、职级工资、职称工资和绩效工资4个部分组成。其中，基本工资与社区专职工作者学历和职务层次相对应；职级工资随在社区工作年限进行调增，每满5年可提升1个等级，考核为“不称职”或受到党纪政务处分的年度不计算为提升等级的工作年限；职称工资按照取得的社区工作者职业水平证书确定；绩效工资与年度考核等次挂钩，考核“不称职”的不享受绩效工资。绩效工资按人员总数的20%为优秀，80%为称职的比例测算。集镇社区专职工作者基本报酬参照原有薪酬待遇确定，由基本工资、职称工资、绩效工资组成，其中，一类社区党组织书记（居委会主任）基本工资3500元/月，社区党组织副书记和居委会副主任基本工资2450元/月，专干基本工资2100元/月；二、三类社区党组织书记（居委会主任）基本工资3000元/月，社区党组织副书记、居委会副主任基本工资2100元/月，专干基本工资1800元/月。职称工资与城市社区一致。绩效工资按年度一次性发放，并与年度考核挂钩，按照社区党组织书记（居委会主任）5000元/年，社区党组织副书记、居委会副主任3000元/年，专干1500元/年的标准执行。社保缴费测算：基本养老保险16%、失业保险0.6%、工伤0.5%、基本医疗保险7.5%、生育保险0.5%。对签订民事劳动协议的人员，已享受其他养老保险待遇或领取退休金的人员，不再重复购买基本养老保险；还未享受的，参照《广元市昭化区村常职干部专职化管理办法》，在自愿参保的前提下，按照“先缴后补”的原则，采取个人缴费+政府补贴的方式，根据实际参保情况，由区财政给予最高400元/人/年的养老保险补助、100元/人/年的人身意外伤害保险补助。</w:t>
      </w:r>
    </w:p>
    <w:p w14:paraId="30EF2D2C">
      <w:pPr>
        <w:autoSpaceDE/>
        <w:autoSpaceDN/>
        <w:snapToGrid w:val="0"/>
        <w:spacing w:line="596" w:lineRule="exact"/>
        <w:ind w:firstLine="640" w:firstLineChars="200"/>
        <w:rPr>
          <w:rFonts w:hint="eastAsia" w:ascii="Times New Roman" w:eastAsia="仿宋_GB2312"/>
          <w:color w:val="000000"/>
          <w:sz w:val="32"/>
          <w:szCs w:val="24"/>
          <w:lang w:val="zh-CN"/>
        </w:rPr>
      </w:pPr>
      <w:r>
        <w:rPr>
          <w:rFonts w:hint="eastAsia" w:ascii="Times New Roman" w:eastAsia="仿宋_GB2312"/>
          <w:color w:val="000000"/>
          <w:sz w:val="32"/>
          <w:szCs w:val="24"/>
          <w:lang w:val="zh-CN"/>
        </w:rPr>
        <w:t>2.村（社区）干部绩效考核经费为年中预算追加资金，金额34.53万元，其中：社区专职干部绩效2.9万元，村社干部绩效考核资金31.63万元。追加资金为根据村（社区）2022年工作考核结果发放绩效考核资金。</w:t>
      </w:r>
    </w:p>
    <w:p w14:paraId="681ECECE">
      <w:pPr>
        <w:autoSpaceDE/>
        <w:autoSpaceDN/>
        <w:snapToGrid w:val="0"/>
        <w:spacing w:line="596" w:lineRule="exact"/>
        <w:ind w:firstLine="640" w:firstLineChars="200"/>
        <w:rPr>
          <w:rFonts w:hint="eastAsia" w:ascii="Times New Roman" w:eastAsia="仿宋_GB2312"/>
          <w:color w:val="000000"/>
          <w:sz w:val="32"/>
          <w:szCs w:val="24"/>
          <w:lang w:val="zh-CN"/>
        </w:rPr>
      </w:pPr>
      <w:r>
        <w:rPr>
          <w:rFonts w:hint="eastAsia" w:ascii="Times New Roman" w:eastAsia="仿宋_GB2312"/>
          <w:color w:val="000000"/>
          <w:sz w:val="32"/>
          <w:szCs w:val="24"/>
          <w:lang w:val="zh-CN"/>
        </w:rPr>
        <w:t xml:space="preserve"> 3.太公镇镇村办公经费为2022年结转资金安排，金额67.94万元。预算口径为2022年上年结转资金继续使用。</w:t>
      </w:r>
    </w:p>
    <w:p w14:paraId="44BFEDF6">
      <w:pPr>
        <w:autoSpaceDE/>
        <w:autoSpaceDN/>
        <w:snapToGrid w:val="0"/>
        <w:spacing w:line="596" w:lineRule="exact"/>
        <w:ind w:firstLine="640" w:firstLineChars="200"/>
        <w:rPr>
          <w:rFonts w:hint="eastAsia" w:ascii="Times New Roman" w:eastAsia="仿宋" w:cs="仿宋"/>
          <w:color w:val="000000"/>
          <w:sz w:val="32"/>
          <w:szCs w:val="32"/>
          <w:lang w:bidi="ar"/>
        </w:rPr>
      </w:pPr>
      <w:r>
        <w:rPr>
          <w:rFonts w:hint="eastAsia" w:ascii="Times New Roman" w:eastAsia="仿宋_GB2312"/>
          <w:color w:val="000000"/>
          <w:sz w:val="32"/>
          <w:szCs w:val="24"/>
          <w:lang w:val="zh-CN"/>
        </w:rPr>
        <w:t>区财政局于2023年2月21日对2023年村（社区）人员和办公经费项目预算批复资金349.67万元，年中追加资金34.53万元，解决上年结转资金67.94万元，合计下达资金452.14万元。</w:t>
      </w:r>
    </w:p>
    <w:p w14:paraId="4FFFBA04">
      <w:pPr>
        <w:autoSpaceDE/>
        <w:autoSpaceDN/>
        <w:snapToGrid w:val="0"/>
        <w:spacing w:line="596" w:lineRule="exact"/>
        <w:ind w:firstLine="640" w:firstLineChars="200"/>
        <w:rPr>
          <w:rFonts w:hint="eastAsia" w:ascii="Times New Roman" w:eastAsia="楷体_GB2312"/>
          <w:sz w:val="32"/>
          <w:szCs w:val="32"/>
          <w:lang w:val="zh-CN"/>
        </w:rPr>
      </w:pPr>
      <w:r>
        <w:rPr>
          <w:rFonts w:hint="eastAsia" w:ascii="Times New Roman" w:eastAsia="楷体_GB2312"/>
          <w:sz w:val="32"/>
          <w:szCs w:val="32"/>
          <w:lang w:val="zh-CN"/>
        </w:rPr>
        <w:t>（二）项目绩效目标</w:t>
      </w:r>
    </w:p>
    <w:p w14:paraId="2D027924">
      <w:pPr>
        <w:autoSpaceDE/>
        <w:autoSpaceDN/>
        <w:snapToGrid w:val="0"/>
        <w:spacing w:line="596" w:lineRule="exact"/>
        <w:ind w:firstLine="640" w:firstLineChars="200"/>
        <w:rPr>
          <w:rFonts w:hint="eastAsia" w:ascii="Times New Roman" w:eastAsia="仿宋_GB2312"/>
          <w:color w:val="000000"/>
          <w:sz w:val="32"/>
          <w:szCs w:val="24"/>
          <w:lang w:val="zh-CN"/>
        </w:rPr>
      </w:pPr>
      <w:r>
        <w:rPr>
          <w:rFonts w:hint="eastAsia" w:ascii="Times New Roman" w:eastAsia="仿宋_GB2312"/>
          <w:color w:val="000000"/>
          <w:sz w:val="32"/>
          <w:szCs w:val="24"/>
          <w:lang w:val="zh-CN"/>
        </w:rPr>
        <w:t>1.2023年村（社区）人员和办公经费是为保障村（社区）干部每月生活补助和村级办公的正常运转，提高干部工作积极性，年初预算设置产出指标为：保障辖区村社干部生活补助人数不少于155人生活补助按月发放成功，保障辖区内13个村2个社区运转正常。项目已完成总额的100%。</w:t>
      </w:r>
    </w:p>
    <w:p w14:paraId="572B1BBF">
      <w:pPr>
        <w:autoSpaceDE/>
        <w:autoSpaceDN/>
        <w:snapToGrid w:val="0"/>
        <w:spacing w:line="596" w:lineRule="exact"/>
        <w:ind w:firstLine="640" w:firstLineChars="200"/>
        <w:rPr>
          <w:rFonts w:hint="eastAsia" w:ascii="Times New Roman" w:eastAsia="仿宋_GB2312"/>
          <w:color w:val="000000"/>
          <w:sz w:val="32"/>
          <w:szCs w:val="24"/>
          <w:lang w:val="zh-CN"/>
        </w:rPr>
      </w:pPr>
      <w:r>
        <w:rPr>
          <w:rFonts w:hint="eastAsia" w:ascii="Times New Roman" w:eastAsia="仿宋_GB2312"/>
          <w:color w:val="000000"/>
          <w:sz w:val="32"/>
          <w:szCs w:val="24"/>
          <w:lang w:val="zh-CN"/>
        </w:rPr>
        <w:t>2.村（社区）干部绩效考核经费是根据村（社区）2022年工作考核结果发放绩效考核资金。项目已完成总额的100%。</w:t>
      </w:r>
    </w:p>
    <w:p w14:paraId="063065ED">
      <w:pPr>
        <w:autoSpaceDE/>
        <w:autoSpaceDN/>
        <w:snapToGrid w:val="0"/>
        <w:spacing w:line="596" w:lineRule="exact"/>
        <w:ind w:firstLine="640" w:firstLineChars="200"/>
        <w:rPr>
          <w:rFonts w:hint="eastAsia" w:ascii="Times New Roman" w:eastAsia="仿宋_GB2312"/>
          <w:color w:val="000000"/>
          <w:sz w:val="32"/>
          <w:szCs w:val="24"/>
          <w:lang w:val="zh-CN"/>
        </w:rPr>
      </w:pPr>
      <w:r>
        <w:rPr>
          <w:rFonts w:hint="eastAsia" w:ascii="Times New Roman" w:eastAsia="仿宋_GB2312"/>
          <w:color w:val="000000"/>
          <w:sz w:val="32"/>
          <w:szCs w:val="24"/>
          <w:lang w:val="zh-CN"/>
        </w:rPr>
        <w:t>3.太公镇镇村办公经费为2022年结转资金安排，2023年继续使用。项目已完成总额的100%。</w:t>
      </w:r>
    </w:p>
    <w:p w14:paraId="70E61B0C">
      <w:pPr>
        <w:autoSpaceDE/>
        <w:autoSpaceDN/>
        <w:snapToGrid w:val="0"/>
        <w:spacing w:line="596" w:lineRule="exact"/>
        <w:ind w:firstLine="640" w:firstLineChars="200"/>
        <w:rPr>
          <w:rFonts w:hint="eastAsia" w:ascii="Times New Roman" w:eastAsia="楷体_GB2312"/>
          <w:sz w:val="32"/>
          <w:szCs w:val="32"/>
          <w:lang w:val="zh-CN"/>
        </w:rPr>
      </w:pPr>
      <w:r>
        <w:rPr>
          <w:rFonts w:hint="eastAsia" w:ascii="Times New Roman" w:eastAsia="楷体_GB2312"/>
          <w:sz w:val="32"/>
          <w:szCs w:val="32"/>
          <w:lang w:val="zh-CN"/>
        </w:rPr>
        <w:t>（三）项目资金申报相符性</w:t>
      </w:r>
    </w:p>
    <w:p w14:paraId="3845A4EB">
      <w:pPr>
        <w:autoSpaceDE/>
        <w:autoSpaceDN/>
        <w:snapToGrid w:val="0"/>
        <w:spacing w:line="596" w:lineRule="exact"/>
        <w:ind w:firstLine="640" w:firstLineChars="200"/>
        <w:rPr>
          <w:rFonts w:hint="eastAsia" w:ascii="Times New Roman" w:eastAsia="仿宋_GB2312"/>
          <w:color w:val="000000"/>
          <w:sz w:val="32"/>
          <w:szCs w:val="24"/>
          <w:lang w:val="zh-CN"/>
        </w:rPr>
      </w:pPr>
      <w:r>
        <w:rPr>
          <w:rFonts w:hint="eastAsia" w:ascii="Times New Roman" w:eastAsia="仿宋_GB2312"/>
          <w:color w:val="000000"/>
          <w:sz w:val="32"/>
          <w:szCs w:val="24"/>
          <w:lang w:val="zh-CN"/>
        </w:rPr>
        <w:t>2023年村（社区）人员和办公经费、村（社区）干部绩效考核经费、太公镇镇村办公经费项目年初各村（社区）上报本年度的实施项目，经项目竣工验收，实施项目均与项目绩效实施范围、申报相符，相符率100%。</w:t>
      </w:r>
    </w:p>
    <w:p w14:paraId="17E40F11">
      <w:pPr>
        <w:autoSpaceDE/>
        <w:autoSpaceDN/>
        <w:snapToGrid w:val="0"/>
        <w:spacing w:line="596" w:lineRule="exact"/>
        <w:ind w:firstLine="640" w:firstLineChars="200"/>
        <w:rPr>
          <w:rFonts w:hint="eastAsia" w:ascii="Times New Roman" w:eastAsia="楷体_GB2312"/>
          <w:sz w:val="32"/>
          <w:szCs w:val="32"/>
          <w:lang w:val="zh-CN"/>
        </w:rPr>
      </w:pPr>
      <w:r>
        <w:rPr>
          <w:rFonts w:hint="eastAsia" w:ascii="Times New Roman" w:eastAsia="楷体_GB2312"/>
          <w:sz w:val="32"/>
          <w:szCs w:val="32"/>
          <w:lang w:val="zh-CN"/>
        </w:rPr>
        <w:t>（四）自评步骤及方法</w:t>
      </w:r>
    </w:p>
    <w:p w14:paraId="1B1CF6CE">
      <w:pPr>
        <w:autoSpaceDE/>
        <w:autoSpaceDN/>
        <w:snapToGrid w:val="0"/>
        <w:spacing w:line="596" w:lineRule="exact"/>
        <w:ind w:firstLine="640" w:firstLineChars="200"/>
        <w:rPr>
          <w:rFonts w:hint="eastAsia" w:ascii="Times New Roman" w:eastAsia="仿宋_GB2312"/>
          <w:color w:val="000000"/>
          <w:sz w:val="32"/>
          <w:szCs w:val="24"/>
          <w:lang w:val="zh-CN"/>
        </w:rPr>
      </w:pPr>
      <w:r>
        <w:rPr>
          <w:rFonts w:hint="eastAsia" w:ascii="Times New Roman" w:eastAsia="仿宋_GB2312"/>
          <w:color w:val="000000"/>
          <w:sz w:val="32"/>
          <w:szCs w:val="24"/>
          <w:lang w:val="zh-CN"/>
        </w:rPr>
        <w:t>我镇2023年村（社区）人员和办公经费、村（社区）干部绩效考核经费属于人员、公用类经费，采取各村申报、党建办制表并报领导审批后交财政所按一体化流程发放的方式进行。太公镇镇村办公经费属于公用类经费，按照一般公共服务经费支出。</w:t>
      </w:r>
    </w:p>
    <w:p w14:paraId="23080369">
      <w:pPr>
        <w:autoSpaceDE/>
        <w:autoSpaceDN/>
        <w:snapToGrid w:val="0"/>
        <w:spacing w:line="596" w:lineRule="exact"/>
        <w:ind w:firstLine="640" w:firstLineChars="200"/>
        <w:rPr>
          <w:rFonts w:hint="eastAsia" w:ascii="黑体" w:hAnsi="黑体" w:eastAsia="黑体" w:cs="黑体"/>
          <w:color w:val="000000"/>
          <w:sz w:val="32"/>
          <w:szCs w:val="32"/>
          <w:lang w:bidi="ar"/>
        </w:rPr>
      </w:pPr>
      <w:r>
        <w:rPr>
          <w:rFonts w:hint="eastAsia" w:ascii="黑体" w:hAnsi="黑体" w:eastAsia="黑体" w:cs="黑体"/>
          <w:color w:val="000000"/>
          <w:sz w:val="32"/>
          <w:szCs w:val="32"/>
          <w:lang w:bidi="ar"/>
        </w:rPr>
        <w:t>二、项目实施及管理情况</w:t>
      </w:r>
    </w:p>
    <w:p w14:paraId="00398D20">
      <w:pPr>
        <w:autoSpaceDE/>
        <w:autoSpaceDN/>
        <w:snapToGrid w:val="0"/>
        <w:spacing w:line="596" w:lineRule="exact"/>
        <w:ind w:firstLine="640" w:firstLineChars="200"/>
        <w:rPr>
          <w:rFonts w:hint="eastAsia" w:ascii="Times New Roman" w:eastAsia="楷体_GB2312"/>
          <w:sz w:val="32"/>
          <w:szCs w:val="32"/>
          <w:lang w:val="zh-CN"/>
        </w:rPr>
      </w:pPr>
      <w:r>
        <w:rPr>
          <w:rFonts w:hint="eastAsia" w:ascii="Times New Roman" w:eastAsia="楷体_GB2312"/>
          <w:sz w:val="32"/>
          <w:szCs w:val="32"/>
          <w:lang w:val="zh-CN"/>
        </w:rPr>
        <w:t>（一）资金计划、到位及使用情况</w:t>
      </w:r>
    </w:p>
    <w:p w14:paraId="18D69731">
      <w:pPr>
        <w:autoSpaceDE/>
        <w:autoSpaceDN/>
        <w:snapToGrid w:val="0"/>
        <w:spacing w:line="596" w:lineRule="exact"/>
        <w:ind w:firstLine="640" w:firstLineChars="200"/>
        <w:rPr>
          <w:rFonts w:hint="eastAsia" w:ascii="Times New Roman" w:eastAsia="仿宋_GB2312"/>
          <w:color w:val="000000"/>
          <w:sz w:val="32"/>
          <w:szCs w:val="24"/>
          <w:lang w:val="zh-CN"/>
        </w:rPr>
      </w:pPr>
      <w:r>
        <w:rPr>
          <w:rFonts w:hint="eastAsia" w:ascii="Times New Roman" w:eastAsia="仿宋_GB2312"/>
          <w:color w:val="000000"/>
          <w:sz w:val="32"/>
          <w:szCs w:val="24"/>
          <w:lang w:val="zh-CN"/>
        </w:rPr>
        <w:t>1.资金计划及到位。镇本级2023年村（社区）人员和办公经费、村（社区）干部绩效考核经费、太公镇镇村办公经费452.14万元，已到位452.14万元。</w:t>
      </w:r>
    </w:p>
    <w:p w14:paraId="389FC58F">
      <w:pPr>
        <w:autoSpaceDE/>
        <w:autoSpaceDN/>
        <w:snapToGrid w:val="0"/>
        <w:spacing w:line="596" w:lineRule="exact"/>
        <w:ind w:firstLine="640" w:firstLineChars="200"/>
        <w:rPr>
          <w:rFonts w:hint="eastAsia" w:ascii="Times New Roman" w:eastAsia="仿宋_GB2312"/>
          <w:color w:val="000000"/>
          <w:sz w:val="32"/>
          <w:szCs w:val="24"/>
          <w:lang w:val="zh-CN"/>
        </w:rPr>
      </w:pPr>
      <w:r>
        <w:rPr>
          <w:rFonts w:hint="eastAsia" w:ascii="Times New Roman" w:eastAsia="仿宋_GB2312"/>
          <w:color w:val="000000"/>
          <w:sz w:val="32"/>
          <w:szCs w:val="24"/>
          <w:lang w:val="zh-CN"/>
        </w:rPr>
        <w:t>2.资金使用。截至目前，2023年村（社区）人员和办公经费、村（社区）干部绩效考核经费、太公镇镇村办公经费已申报资金计划452.14万元，审批资金452.14万元，支付资金452.14万元，已全额兑付到位。</w:t>
      </w:r>
    </w:p>
    <w:p w14:paraId="7F0BA6C2">
      <w:pPr>
        <w:autoSpaceDE/>
        <w:autoSpaceDN/>
        <w:snapToGrid w:val="0"/>
        <w:spacing w:line="596" w:lineRule="exact"/>
        <w:ind w:firstLine="640" w:firstLineChars="200"/>
        <w:rPr>
          <w:rFonts w:hint="eastAsia" w:ascii="Times New Roman" w:eastAsia="楷体_GB2312"/>
          <w:sz w:val="32"/>
          <w:szCs w:val="32"/>
          <w:lang w:val="zh-CN"/>
        </w:rPr>
      </w:pPr>
      <w:r>
        <w:rPr>
          <w:rFonts w:hint="eastAsia" w:ascii="Times New Roman" w:eastAsia="楷体_GB2312"/>
          <w:sz w:val="32"/>
          <w:szCs w:val="32"/>
          <w:lang w:val="zh-CN"/>
        </w:rPr>
        <w:t>（二）项目财务管理情况</w:t>
      </w:r>
    </w:p>
    <w:p w14:paraId="67B823C2">
      <w:pPr>
        <w:autoSpaceDE/>
        <w:autoSpaceDN/>
        <w:snapToGrid w:val="0"/>
        <w:spacing w:line="596" w:lineRule="exact"/>
        <w:ind w:firstLine="640" w:firstLineChars="200"/>
        <w:rPr>
          <w:rFonts w:hint="eastAsia" w:ascii="Times New Roman" w:eastAsia="仿宋" w:cs="仿宋"/>
          <w:color w:val="000000"/>
          <w:sz w:val="32"/>
          <w:szCs w:val="32"/>
          <w:lang w:val="zh-CN" w:bidi="ar"/>
        </w:rPr>
      </w:pPr>
      <w:r>
        <w:rPr>
          <w:rFonts w:hint="eastAsia" w:ascii="Times New Roman" w:eastAsia="仿宋" w:cs="仿宋"/>
          <w:color w:val="000000"/>
          <w:sz w:val="32"/>
          <w:szCs w:val="32"/>
          <w:lang w:bidi="ar"/>
        </w:rPr>
        <w:t>2023</w:t>
      </w:r>
      <w:r>
        <w:rPr>
          <w:rFonts w:hint="eastAsia" w:ascii="Times New Roman" w:eastAsia="仿宋" w:cs="仿宋"/>
          <w:color w:val="000000"/>
          <w:sz w:val="32"/>
          <w:szCs w:val="32"/>
          <w:lang w:eastAsia="zh-CN" w:bidi="ar"/>
        </w:rPr>
        <w:t>年</w:t>
      </w:r>
      <w:r>
        <w:rPr>
          <w:rFonts w:hint="eastAsia" w:ascii="Times New Roman" w:eastAsia="仿宋" w:cs="仿宋"/>
          <w:color w:val="000000"/>
          <w:sz w:val="32"/>
          <w:szCs w:val="32"/>
          <w:lang w:bidi="ar"/>
        </w:rPr>
        <w:t>村（社区）人员和办公经费、村（社区）干部绩效考核经费、太公镇镇村办公经费项目由本单位根据辖区的村（社区）实际情况核定当年的资金金额，镇财政所严格按照资金性质、资金支付要求进行兑付，无截留、挤占、挪用和改变资金用途的情况发生，确保了项目的专款专用。</w:t>
      </w:r>
    </w:p>
    <w:p w14:paraId="27E3DEE5">
      <w:pPr>
        <w:autoSpaceDE/>
        <w:autoSpaceDN/>
        <w:snapToGrid w:val="0"/>
        <w:spacing w:line="596" w:lineRule="exact"/>
        <w:ind w:firstLine="640" w:firstLineChars="200"/>
        <w:rPr>
          <w:rFonts w:hint="eastAsia" w:ascii="Times New Roman" w:eastAsia="楷体_GB2312"/>
          <w:sz w:val="32"/>
          <w:szCs w:val="32"/>
          <w:lang w:val="zh-CN"/>
        </w:rPr>
      </w:pPr>
      <w:r>
        <w:rPr>
          <w:rFonts w:hint="eastAsia" w:ascii="Times New Roman" w:eastAsia="楷体_GB2312"/>
          <w:sz w:val="32"/>
          <w:szCs w:val="32"/>
          <w:lang w:val="zh-CN"/>
        </w:rPr>
        <w:t>（三）项目组织实施及管理情况</w:t>
      </w:r>
    </w:p>
    <w:p w14:paraId="4DFB4FB2">
      <w:pPr>
        <w:autoSpaceDE/>
        <w:autoSpaceDN/>
        <w:snapToGrid w:val="0"/>
        <w:spacing w:line="596" w:lineRule="exact"/>
        <w:ind w:firstLine="640" w:firstLineChars="200"/>
        <w:rPr>
          <w:rFonts w:hint="eastAsia" w:ascii="Times New Roman" w:eastAsia="仿宋" w:cs="仿宋"/>
          <w:color w:val="000000"/>
          <w:sz w:val="32"/>
          <w:szCs w:val="32"/>
          <w:lang w:val="zh-CN" w:bidi="ar"/>
        </w:rPr>
      </w:pPr>
      <w:r>
        <w:rPr>
          <w:rFonts w:hint="eastAsia" w:ascii="Times New Roman" w:eastAsia="仿宋" w:cs="仿宋"/>
          <w:color w:val="000000"/>
          <w:sz w:val="32"/>
          <w:szCs w:val="32"/>
          <w:lang w:val="zh-CN" w:bidi="ar"/>
        </w:rPr>
        <w:t>我镇</w:t>
      </w:r>
      <w:r>
        <w:rPr>
          <w:rFonts w:hint="eastAsia" w:ascii="Times New Roman" w:eastAsia="仿宋" w:cs="仿宋"/>
          <w:color w:val="000000"/>
          <w:sz w:val="32"/>
          <w:szCs w:val="32"/>
          <w:lang w:bidi="ar"/>
        </w:rPr>
        <w:t>2023年村（社区）人员和办公经费、村（社区）干部绩效考核经费、太公镇镇村办公经费属于运转类支出，采取定时申报、按时制表报领导审批后交财政所按一体化流程的方式支付到位。</w:t>
      </w:r>
    </w:p>
    <w:p w14:paraId="65E8C64A">
      <w:pPr>
        <w:autoSpaceDE/>
        <w:autoSpaceDN/>
        <w:snapToGrid w:val="0"/>
        <w:spacing w:line="596" w:lineRule="exact"/>
        <w:ind w:firstLine="640" w:firstLineChars="200"/>
        <w:rPr>
          <w:rFonts w:hint="eastAsia" w:ascii="黑体" w:hAnsi="黑体" w:eastAsia="黑体" w:cs="黑体"/>
          <w:color w:val="000000"/>
          <w:sz w:val="32"/>
          <w:szCs w:val="32"/>
          <w:lang w:val="zh-CN" w:bidi="ar"/>
        </w:rPr>
      </w:pPr>
      <w:r>
        <w:rPr>
          <w:rFonts w:hint="eastAsia" w:ascii="黑体" w:hAnsi="黑体" w:eastAsia="黑体" w:cs="黑体"/>
          <w:color w:val="000000"/>
          <w:sz w:val="32"/>
          <w:szCs w:val="32"/>
          <w:lang w:bidi="ar"/>
        </w:rPr>
        <w:t>三、项目绩效情况</w:t>
      </w:r>
      <w:r>
        <w:rPr>
          <w:rFonts w:hint="eastAsia" w:ascii="黑体" w:hAnsi="黑体" w:eastAsia="黑体" w:cs="黑体"/>
          <w:color w:val="000000"/>
          <w:sz w:val="32"/>
          <w:szCs w:val="32"/>
          <w:lang w:val="zh-CN" w:bidi="ar"/>
        </w:rPr>
        <w:tab/>
      </w:r>
    </w:p>
    <w:p w14:paraId="2D760CC7">
      <w:pPr>
        <w:autoSpaceDE/>
        <w:autoSpaceDN/>
        <w:snapToGrid w:val="0"/>
        <w:spacing w:line="596" w:lineRule="exact"/>
        <w:ind w:firstLine="640" w:firstLineChars="200"/>
        <w:rPr>
          <w:rFonts w:hint="eastAsia" w:ascii="Times New Roman" w:eastAsia="楷体_GB2312"/>
          <w:sz w:val="32"/>
          <w:szCs w:val="32"/>
          <w:lang w:val="zh-CN"/>
        </w:rPr>
      </w:pPr>
      <w:r>
        <w:rPr>
          <w:rFonts w:hint="eastAsia" w:ascii="Times New Roman" w:eastAsia="楷体_GB2312"/>
          <w:sz w:val="32"/>
          <w:szCs w:val="32"/>
          <w:lang w:val="zh-CN"/>
        </w:rPr>
        <w:t>（一）项目完成情况</w:t>
      </w:r>
    </w:p>
    <w:p w14:paraId="49C00A7A">
      <w:pPr>
        <w:autoSpaceDE/>
        <w:autoSpaceDN/>
        <w:snapToGrid w:val="0"/>
        <w:spacing w:line="596" w:lineRule="exact"/>
        <w:ind w:firstLine="640" w:firstLineChars="200"/>
        <w:rPr>
          <w:rFonts w:hint="eastAsia" w:ascii="Times New Roman" w:eastAsia="仿宋" w:cs="仿宋"/>
          <w:color w:val="000000"/>
          <w:sz w:val="32"/>
          <w:szCs w:val="32"/>
          <w:lang w:val="zh-CN" w:bidi="ar"/>
        </w:rPr>
      </w:pPr>
      <w:r>
        <w:rPr>
          <w:rFonts w:hint="eastAsia" w:ascii="Times New Roman" w:eastAsia="仿宋" w:cs="仿宋"/>
          <w:color w:val="000000"/>
          <w:sz w:val="32"/>
          <w:szCs w:val="32"/>
          <w:lang w:val="zh-CN" w:bidi="ar"/>
        </w:rPr>
        <w:t>1.目标任务完成情况。截至2023年12月3</w:t>
      </w:r>
      <w:r>
        <w:rPr>
          <w:rFonts w:hint="eastAsia" w:ascii="Times New Roman" w:eastAsia="仿宋" w:cs="仿宋"/>
          <w:color w:val="000000"/>
          <w:sz w:val="32"/>
          <w:szCs w:val="32"/>
          <w:lang w:bidi="ar"/>
        </w:rPr>
        <w:t>1</w:t>
      </w:r>
      <w:r>
        <w:rPr>
          <w:rFonts w:hint="eastAsia" w:ascii="Times New Roman" w:eastAsia="仿宋" w:cs="仿宋"/>
          <w:color w:val="000000"/>
          <w:sz w:val="32"/>
          <w:szCs w:val="32"/>
          <w:lang w:val="zh-CN" w:bidi="ar"/>
        </w:rPr>
        <w:t>日，我镇</w:t>
      </w:r>
      <w:r>
        <w:rPr>
          <w:rFonts w:hint="eastAsia" w:ascii="Times New Roman" w:eastAsia="仿宋" w:cs="仿宋"/>
          <w:color w:val="000000"/>
          <w:sz w:val="32"/>
          <w:szCs w:val="32"/>
          <w:lang w:bidi="ar"/>
        </w:rPr>
        <w:t>2023年村（社区）人员和办公经费、村（社区）干部绩效考核经费、太公镇镇村办公经费等</w:t>
      </w:r>
      <w:r>
        <w:rPr>
          <w:rFonts w:hint="eastAsia" w:ascii="Times New Roman" w:eastAsia="仿宋" w:cs="仿宋"/>
          <w:color w:val="000000"/>
          <w:sz w:val="32"/>
          <w:szCs w:val="32"/>
          <w:lang w:val="zh-CN" w:bidi="ar"/>
        </w:rPr>
        <w:t>项目已按照财政要求，圆满完成各项既定工作目标。</w:t>
      </w:r>
    </w:p>
    <w:p w14:paraId="7E821B74">
      <w:pPr>
        <w:autoSpaceDE/>
        <w:autoSpaceDN/>
        <w:snapToGrid w:val="0"/>
        <w:spacing w:line="596" w:lineRule="exact"/>
        <w:ind w:firstLine="640" w:firstLineChars="200"/>
        <w:rPr>
          <w:rFonts w:hint="eastAsia" w:ascii="Times New Roman" w:eastAsia="仿宋" w:cs="仿宋"/>
          <w:color w:val="000000"/>
          <w:sz w:val="32"/>
          <w:szCs w:val="32"/>
          <w:lang w:val="zh-CN" w:bidi="ar"/>
        </w:rPr>
      </w:pPr>
      <w:r>
        <w:rPr>
          <w:rFonts w:hint="eastAsia" w:ascii="Times New Roman" w:eastAsia="仿宋" w:cs="仿宋"/>
          <w:color w:val="000000"/>
          <w:sz w:val="32"/>
          <w:szCs w:val="32"/>
          <w:lang w:val="zh-CN" w:bidi="ar"/>
        </w:rPr>
        <w:t>2</w:t>
      </w:r>
      <w:r>
        <w:rPr>
          <w:rFonts w:hint="eastAsia" w:ascii="Times New Roman" w:eastAsia="仿宋" w:cs="仿宋"/>
          <w:color w:val="000000"/>
          <w:sz w:val="32"/>
          <w:szCs w:val="32"/>
          <w:lang w:bidi="ar"/>
        </w:rPr>
        <w:t>.</w:t>
      </w:r>
      <w:r>
        <w:rPr>
          <w:rFonts w:hint="eastAsia" w:ascii="Times New Roman" w:eastAsia="仿宋" w:cs="仿宋"/>
          <w:color w:val="000000"/>
          <w:sz w:val="32"/>
          <w:szCs w:val="32"/>
          <w:lang w:val="zh-CN" w:bidi="ar"/>
        </w:rPr>
        <w:t>目标完成质量。我镇</w:t>
      </w:r>
      <w:r>
        <w:rPr>
          <w:rFonts w:hint="eastAsia" w:ascii="Times New Roman" w:eastAsia="仿宋" w:cs="仿宋"/>
          <w:color w:val="000000"/>
          <w:sz w:val="32"/>
          <w:szCs w:val="32"/>
          <w:lang w:bidi="ar"/>
        </w:rPr>
        <w:t>2023年村（社区）人员和办公经费、村（社区）干部绩效考核经费、太公镇镇村办公经费等</w:t>
      </w:r>
      <w:r>
        <w:rPr>
          <w:rFonts w:hint="eastAsia" w:ascii="Times New Roman" w:eastAsia="仿宋" w:cs="仿宋"/>
          <w:color w:val="000000"/>
          <w:sz w:val="32"/>
          <w:szCs w:val="32"/>
          <w:lang w:val="zh-CN" w:bidi="ar"/>
        </w:rPr>
        <w:t>项目在区财政局关心帮助及业务指导下，在镇党委政府坚强领导下，各村（社区）有序推进，保质保量完成各项任务，经村（社区）居民评价，满意度为</w:t>
      </w:r>
      <w:r>
        <w:rPr>
          <w:rFonts w:hint="eastAsia" w:ascii="Times New Roman" w:eastAsia="仿宋" w:cs="仿宋"/>
          <w:color w:val="000000"/>
          <w:sz w:val="32"/>
          <w:szCs w:val="32"/>
          <w:lang w:bidi="ar"/>
        </w:rPr>
        <w:t>97</w:t>
      </w:r>
      <w:r>
        <w:rPr>
          <w:rFonts w:hint="eastAsia" w:ascii="Times New Roman" w:eastAsia="仿宋" w:cs="仿宋"/>
          <w:color w:val="000000"/>
          <w:sz w:val="32"/>
          <w:szCs w:val="32"/>
          <w:lang w:val="zh-CN" w:bidi="ar"/>
        </w:rPr>
        <w:t>%。</w:t>
      </w:r>
    </w:p>
    <w:p w14:paraId="62517665">
      <w:pPr>
        <w:autoSpaceDE/>
        <w:autoSpaceDN/>
        <w:snapToGrid w:val="0"/>
        <w:spacing w:line="596" w:lineRule="exact"/>
        <w:ind w:firstLine="640" w:firstLineChars="200"/>
        <w:rPr>
          <w:rFonts w:hint="eastAsia" w:ascii="Times New Roman" w:eastAsia="仿宋" w:cs="仿宋"/>
          <w:color w:val="000000"/>
          <w:sz w:val="32"/>
          <w:szCs w:val="32"/>
          <w:lang w:val="zh-CN" w:bidi="ar"/>
        </w:rPr>
      </w:pPr>
      <w:r>
        <w:rPr>
          <w:rFonts w:hint="eastAsia" w:ascii="Times New Roman" w:eastAsia="仿宋" w:cs="仿宋"/>
          <w:color w:val="000000"/>
          <w:sz w:val="32"/>
          <w:szCs w:val="32"/>
          <w:lang w:val="zh-CN" w:bidi="ar"/>
        </w:rPr>
        <w:t>3</w:t>
      </w:r>
      <w:r>
        <w:rPr>
          <w:rFonts w:hint="eastAsia" w:ascii="Times New Roman" w:eastAsia="仿宋" w:cs="仿宋"/>
          <w:color w:val="000000"/>
          <w:sz w:val="32"/>
          <w:szCs w:val="32"/>
          <w:lang w:bidi="ar"/>
        </w:rPr>
        <w:t>.</w:t>
      </w:r>
      <w:r>
        <w:rPr>
          <w:rFonts w:hint="eastAsia" w:ascii="Times New Roman" w:eastAsia="仿宋" w:cs="仿宋"/>
          <w:color w:val="000000"/>
          <w:sz w:val="32"/>
          <w:szCs w:val="32"/>
          <w:lang w:val="zh-CN" w:bidi="ar"/>
        </w:rPr>
        <w:t>目标完成进度。截至目前，我镇</w:t>
      </w:r>
      <w:r>
        <w:rPr>
          <w:rFonts w:hint="eastAsia" w:ascii="Times New Roman" w:eastAsia="仿宋" w:cs="仿宋"/>
          <w:color w:val="000000"/>
          <w:sz w:val="32"/>
          <w:szCs w:val="32"/>
          <w:lang w:bidi="ar"/>
        </w:rPr>
        <w:t>2023年村（社区）人员和办公经费、村（社区）干部绩效考核经费、太公镇镇村办公经费等</w:t>
      </w:r>
      <w:r>
        <w:rPr>
          <w:rFonts w:hint="eastAsia" w:ascii="Times New Roman" w:eastAsia="仿宋" w:cs="仿宋"/>
          <w:color w:val="000000"/>
          <w:sz w:val="32"/>
          <w:szCs w:val="32"/>
          <w:lang w:val="zh-CN" w:bidi="ar"/>
        </w:rPr>
        <w:t>项目已完成100%。</w:t>
      </w:r>
    </w:p>
    <w:p w14:paraId="78DF6AA3">
      <w:pPr>
        <w:autoSpaceDE/>
        <w:autoSpaceDN/>
        <w:snapToGrid w:val="0"/>
        <w:spacing w:line="596" w:lineRule="exact"/>
        <w:ind w:firstLine="640" w:firstLineChars="200"/>
        <w:rPr>
          <w:rFonts w:hint="eastAsia" w:ascii="Times New Roman" w:eastAsia="楷体_GB2312"/>
          <w:sz w:val="32"/>
          <w:szCs w:val="32"/>
          <w:lang w:val="zh-CN"/>
        </w:rPr>
      </w:pPr>
      <w:r>
        <w:rPr>
          <w:rFonts w:hint="eastAsia" w:ascii="Times New Roman" w:eastAsia="楷体_GB2312"/>
          <w:sz w:val="32"/>
          <w:szCs w:val="32"/>
          <w:lang w:val="zh-CN"/>
        </w:rPr>
        <w:t>（二）项目效益情况</w:t>
      </w:r>
    </w:p>
    <w:p w14:paraId="12E9FBA1">
      <w:pPr>
        <w:autoSpaceDE/>
        <w:autoSpaceDN/>
        <w:snapToGrid w:val="0"/>
        <w:spacing w:line="596" w:lineRule="exact"/>
        <w:ind w:firstLine="640" w:firstLineChars="200"/>
        <w:rPr>
          <w:rFonts w:hint="eastAsia" w:ascii="Times New Roman" w:eastAsia="仿宋" w:cs="仿宋"/>
          <w:color w:val="000000"/>
          <w:sz w:val="32"/>
          <w:szCs w:val="32"/>
          <w:lang w:val="zh-CN" w:bidi="ar"/>
        </w:rPr>
      </w:pPr>
      <w:r>
        <w:rPr>
          <w:rFonts w:hint="eastAsia" w:ascii="Times New Roman" w:eastAsia="仿宋" w:cs="仿宋"/>
          <w:color w:val="000000"/>
          <w:sz w:val="32"/>
          <w:szCs w:val="32"/>
          <w:lang w:val="zh-CN" w:bidi="ar"/>
        </w:rPr>
        <w:t>通过2023年村（社区）人员和办公经费、村（社区）干部绩效考核经费、太公镇镇村办公经费等项目的实施，一是提高了村（社区）干部的收入，改善了村（社区）干部的生活环境，群众生活质量和幸福指数均得到提高；二是通过项目的实施，加大了干部工作的积极性，公共服务管理和社会管理水平得到提升，干群关系更加融洽，基层政权更加稳固。</w:t>
      </w:r>
    </w:p>
    <w:p w14:paraId="09BAA7C4">
      <w:pPr>
        <w:autoSpaceDE/>
        <w:autoSpaceDN/>
        <w:snapToGrid w:val="0"/>
        <w:spacing w:line="596" w:lineRule="exact"/>
        <w:ind w:firstLine="640" w:firstLineChars="200"/>
        <w:rPr>
          <w:rFonts w:hint="eastAsia" w:ascii="Times New Roman" w:eastAsia="楷体_GB2312"/>
          <w:sz w:val="32"/>
          <w:szCs w:val="32"/>
          <w:lang w:val="zh-CN"/>
        </w:rPr>
      </w:pPr>
      <w:r>
        <w:rPr>
          <w:rFonts w:hint="eastAsia" w:ascii="Times New Roman" w:eastAsia="楷体_GB2312"/>
          <w:sz w:val="32"/>
          <w:szCs w:val="32"/>
          <w:lang w:val="zh-CN"/>
        </w:rPr>
        <w:t>（三）违规记录</w:t>
      </w:r>
    </w:p>
    <w:p w14:paraId="26D85EAF">
      <w:pPr>
        <w:autoSpaceDE/>
        <w:autoSpaceDN/>
        <w:snapToGrid w:val="0"/>
        <w:spacing w:line="596" w:lineRule="exact"/>
        <w:ind w:firstLine="640" w:firstLineChars="200"/>
        <w:rPr>
          <w:rFonts w:hint="eastAsia" w:ascii="Times New Roman" w:eastAsia="仿宋" w:cs="仿宋"/>
          <w:color w:val="000000"/>
          <w:sz w:val="32"/>
          <w:szCs w:val="32"/>
          <w:lang w:val="zh-CN" w:bidi="ar"/>
        </w:rPr>
      </w:pPr>
      <w:r>
        <w:rPr>
          <w:rFonts w:hint="eastAsia" w:ascii="Times New Roman" w:eastAsia="仿宋" w:cs="仿宋"/>
          <w:color w:val="000000"/>
          <w:sz w:val="32"/>
          <w:szCs w:val="32"/>
          <w:lang w:val="zh-CN" w:bidi="ar"/>
        </w:rPr>
        <w:t>我镇2023年村（社区）人员和办公经费、村（社区）干部绩效考核经费、太公镇镇村办公经费等项目在执行过程中，严格按照项目管理要求，未出现违规违纪现象。</w:t>
      </w:r>
    </w:p>
    <w:p w14:paraId="5A8F6061">
      <w:pPr>
        <w:autoSpaceDE/>
        <w:autoSpaceDN/>
        <w:snapToGrid w:val="0"/>
        <w:spacing w:line="596" w:lineRule="exact"/>
        <w:ind w:firstLine="640" w:firstLineChars="200"/>
        <w:rPr>
          <w:rFonts w:hint="eastAsia" w:ascii="黑体" w:hAnsi="黑体" w:eastAsia="黑体" w:cs="黑体"/>
          <w:color w:val="000000"/>
          <w:sz w:val="32"/>
          <w:szCs w:val="32"/>
          <w:lang w:bidi="ar"/>
        </w:rPr>
      </w:pPr>
      <w:r>
        <w:rPr>
          <w:rFonts w:hint="eastAsia" w:ascii="黑体" w:hAnsi="黑体" w:eastAsia="黑体" w:cs="黑体"/>
          <w:color w:val="000000"/>
          <w:sz w:val="32"/>
          <w:szCs w:val="32"/>
          <w:lang w:bidi="ar"/>
        </w:rPr>
        <w:t>四、自评结论及建议</w:t>
      </w:r>
    </w:p>
    <w:p w14:paraId="0E38378D">
      <w:pPr>
        <w:autoSpaceDE/>
        <w:autoSpaceDN/>
        <w:snapToGrid w:val="0"/>
        <w:spacing w:line="596" w:lineRule="exact"/>
        <w:ind w:firstLine="640" w:firstLineChars="200"/>
        <w:rPr>
          <w:rFonts w:hint="eastAsia" w:ascii="Times New Roman" w:eastAsia="楷体_GB2312"/>
          <w:sz w:val="32"/>
          <w:szCs w:val="32"/>
          <w:lang w:val="zh-CN"/>
        </w:rPr>
      </w:pPr>
      <w:r>
        <w:rPr>
          <w:rFonts w:hint="eastAsia" w:ascii="Times New Roman" w:eastAsia="楷体_GB2312"/>
          <w:sz w:val="32"/>
          <w:szCs w:val="32"/>
          <w:lang w:val="zh-CN"/>
        </w:rPr>
        <w:t>（一）自评结论</w:t>
      </w:r>
    </w:p>
    <w:p w14:paraId="6B4F26F4">
      <w:pPr>
        <w:autoSpaceDE/>
        <w:autoSpaceDN/>
        <w:snapToGrid w:val="0"/>
        <w:spacing w:line="596" w:lineRule="exact"/>
        <w:ind w:firstLine="640" w:firstLineChars="200"/>
        <w:rPr>
          <w:rFonts w:hint="eastAsia" w:ascii="Times New Roman" w:eastAsia="仿宋" w:cs="仿宋"/>
          <w:color w:val="000000"/>
          <w:sz w:val="32"/>
          <w:szCs w:val="32"/>
          <w:lang w:val="zh-CN" w:bidi="ar"/>
        </w:rPr>
      </w:pPr>
      <w:r>
        <w:rPr>
          <w:rFonts w:hint="eastAsia" w:ascii="Times New Roman" w:eastAsia="仿宋" w:cs="仿宋"/>
          <w:color w:val="000000"/>
          <w:sz w:val="32"/>
          <w:szCs w:val="32"/>
          <w:lang w:val="zh-CN" w:bidi="ar"/>
        </w:rPr>
        <w:t>2023年村（社区）人员和办公经费、村（社区）干部绩效考核经费、太公镇镇村办公经费等项目资金能按照相关规定进行使用和管理，程序较为规范，取得了良好的经济收益和社会效益。我镇按照《广元市昭化区人民政府办公室关于印发〈广元市昭化区财政预算绩效管理实施细则〉的通知》（昭府办函〔2018〕118号）广元市昭化区项目支出绩效评价指标体系开展绩效评价，自评得分为94.15分。</w:t>
      </w:r>
    </w:p>
    <w:p w14:paraId="716FEAFA">
      <w:pPr>
        <w:autoSpaceDE/>
        <w:autoSpaceDN/>
        <w:snapToGrid w:val="0"/>
        <w:spacing w:line="596" w:lineRule="exact"/>
        <w:ind w:firstLine="640" w:firstLineChars="200"/>
        <w:rPr>
          <w:rFonts w:hint="eastAsia" w:ascii="Times New Roman" w:eastAsia="仿宋" w:cs="仿宋"/>
          <w:color w:val="000000"/>
          <w:sz w:val="32"/>
          <w:szCs w:val="32"/>
          <w:lang w:val="zh-CN" w:bidi="ar"/>
        </w:rPr>
      </w:pPr>
      <w:r>
        <w:rPr>
          <w:rFonts w:hint="eastAsia" w:ascii="Times New Roman" w:eastAsia="仿宋" w:cs="仿宋"/>
          <w:color w:val="000000"/>
          <w:sz w:val="32"/>
          <w:szCs w:val="32"/>
          <w:lang w:val="zh-CN" w:bidi="ar"/>
        </w:rPr>
        <w:t>（</w:t>
      </w:r>
      <w:r>
        <w:rPr>
          <w:rFonts w:hint="eastAsia" w:ascii="Times New Roman" w:eastAsia="楷体_GB2312"/>
          <w:sz w:val="32"/>
          <w:szCs w:val="32"/>
          <w:lang w:val="zh-CN"/>
        </w:rPr>
        <w:t>二）存在的问题。</w:t>
      </w:r>
      <w:r>
        <w:rPr>
          <w:rFonts w:hint="eastAsia" w:ascii="Times New Roman" w:eastAsia="仿宋" w:cs="仿宋"/>
          <w:color w:val="000000"/>
          <w:sz w:val="32"/>
          <w:szCs w:val="32"/>
          <w:lang w:val="zh-CN" w:bidi="ar"/>
        </w:rPr>
        <w:t>一是各村申报不及时，导致生活补助的申报、支付有所延迟；二是在支付过程中，部分账号信息提供有误，导致支付失败重复支付。</w:t>
      </w:r>
    </w:p>
    <w:p w14:paraId="2EE28BC6">
      <w:pPr>
        <w:autoSpaceDE/>
        <w:autoSpaceDN/>
        <w:snapToGrid w:val="0"/>
        <w:spacing w:line="596" w:lineRule="exact"/>
        <w:ind w:firstLine="640" w:firstLineChars="200"/>
        <w:rPr>
          <w:rFonts w:hint="eastAsia" w:ascii="Times New Roman" w:eastAsia="仿宋" w:cs="仿宋"/>
          <w:color w:val="000000"/>
          <w:sz w:val="32"/>
          <w:szCs w:val="32"/>
          <w:lang w:val="zh-CN" w:bidi="ar"/>
        </w:rPr>
      </w:pPr>
      <w:r>
        <w:rPr>
          <w:rFonts w:hint="eastAsia" w:ascii="Times New Roman" w:eastAsia="楷体_GB2312"/>
          <w:sz w:val="32"/>
          <w:szCs w:val="32"/>
          <w:lang w:val="zh-CN"/>
        </w:rPr>
        <w:t>（三）相关措施或建议。</w:t>
      </w:r>
      <w:r>
        <w:rPr>
          <w:rFonts w:hint="eastAsia" w:ascii="Times New Roman" w:eastAsia="仿宋" w:cs="仿宋"/>
          <w:color w:val="000000"/>
          <w:sz w:val="32"/>
          <w:szCs w:val="32"/>
          <w:lang w:val="zh-CN" w:bidi="ar"/>
        </w:rPr>
        <w:t>一是各村每月按时申报，及时报送生活补助表；二是各村在申报过程中，要认真核实上报的账户信息，确保生活补助能及时、准确兑付到位。</w:t>
      </w:r>
    </w:p>
    <w:p w14:paraId="064849E8">
      <w:pPr>
        <w:autoSpaceDE/>
        <w:autoSpaceDN/>
        <w:snapToGrid w:val="0"/>
        <w:spacing w:line="596" w:lineRule="exact"/>
        <w:ind w:firstLine="640" w:firstLineChars="200"/>
        <w:rPr>
          <w:rFonts w:hint="eastAsia" w:ascii="Times New Roman" w:eastAsia="仿宋" w:cs="仿宋"/>
          <w:color w:val="000000"/>
          <w:sz w:val="32"/>
          <w:szCs w:val="32"/>
          <w:lang w:val="zh-CN" w:bidi="ar"/>
        </w:rPr>
      </w:pPr>
    </w:p>
    <w:p w14:paraId="512824AF">
      <w:pPr>
        <w:rPr>
          <w:rFonts w:hint="eastAsia" w:ascii="Times New Roman" w:eastAsia="仿宋" w:cs="仿宋"/>
          <w:sz w:val="32"/>
          <w:szCs w:val="32"/>
        </w:rPr>
      </w:pPr>
    </w:p>
    <w:p w14:paraId="03DB5505">
      <w:pPr>
        <w:pStyle w:val="2"/>
        <w:rPr>
          <w:rFonts w:hint="eastAsia" w:ascii="Times New Roman" w:hAnsi="Times New Roman" w:eastAsia="仿宋" w:cs="仿宋"/>
          <w:sz w:val="32"/>
          <w:szCs w:val="32"/>
        </w:rPr>
      </w:pPr>
    </w:p>
    <w:p w14:paraId="67615E14">
      <w:pPr>
        <w:rPr>
          <w:rFonts w:hint="eastAsia" w:ascii="Times New Roman" w:eastAsia="仿宋" w:cs="仿宋"/>
          <w:sz w:val="32"/>
          <w:szCs w:val="32"/>
        </w:rPr>
      </w:pPr>
    </w:p>
    <w:p w14:paraId="33EF17F6">
      <w:pPr>
        <w:pStyle w:val="2"/>
        <w:rPr>
          <w:rFonts w:hint="eastAsia" w:ascii="Times New Roman" w:hAnsi="Times New Roman" w:eastAsia="仿宋" w:cs="仿宋"/>
          <w:sz w:val="32"/>
          <w:szCs w:val="32"/>
        </w:rPr>
      </w:pPr>
    </w:p>
    <w:p w14:paraId="418CECFA">
      <w:pPr>
        <w:rPr>
          <w:rFonts w:hint="eastAsia" w:ascii="Times New Roman" w:eastAsia="仿宋" w:cs="仿宋"/>
          <w:sz w:val="32"/>
          <w:szCs w:val="32"/>
        </w:rPr>
      </w:pPr>
    </w:p>
    <w:p w14:paraId="5A798345">
      <w:pPr>
        <w:pStyle w:val="2"/>
        <w:rPr>
          <w:rFonts w:hint="eastAsia" w:ascii="Times New Roman" w:hAnsi="Times New Roman" w:eastAsia="仿宋" w:cs="仿宋"/>
          <w:sz w:val="32"/>
          <w:szCs w:val="32"/>
        </w:rPr>
      </w:pPr>
    </w:p>
    <w:p w14:paraId="772A4D03">
      <w:pPr>
        <w:rPr>
          <w:rFonts w:hint="eastAsia" w:ascii="Times New Roman" w:eastAsia="仿宋" w:cs="仿宋"/>
          <w:sz w:val="32"/>
          <w:szCs w:val="32"/>
        </w:rPr>
      </w:pPr>
    </w:p>
    <w:p w14:paraId="4774D643">
      <w:pPr>
        <w:pStyle w:val="2"/>
        <w:rPr>
          <w:rFonts w:hint="eastAsia" w:ascii="Times New Roman" w:hAnsi="Times New Roman" w:eastAsia="仿宋" w:cs="仿宋"/>
          <w:sz w:val="32"/>
          <w:szCs w:val="32"/>
        </w:rPr>
      </w:pPr>
    </w:p>
    <w:p w14:paraId="7292765E">
      <w:pPr>
        <w:rPr>
          <w:rFonts w:hint="eastAsia" w:ascii="Times New Roman" w:eastAsia="仿宋" w:cs="仿宋"/>
          <w:sz w:val="32"/>
          <w:szCs w:val="32"/>
        </w:rPr>
      </w:pPr>
    </w:p>
    <w:p w14:paraId="38392341">
      <w:pPr>
        <w:pStyle w:val="2"/>
        <w:rPr>
          <w:rFonts w:hint="eastAsia" w:ascii="Times New Roman" w:hAnsi="Times New Roman" w:eastAsia="仿宋" w:cs="仿宋"/>
          <w:sz w:val="32"/>
          <w:szCs w:val="32"/>
        </w:rPr>
      </w:pPr>
    </w:p>
    <w:p w14:paraId="02ECDC99">
      <w:pPr>
        <w:rPr>
          <w:rFonts w:hint="eastAsia" w:ascii="Times New Roman" w:eastAsia="仿宋" w:cs="仿宋"/>
          <w:sz w:val="32"/>
          <w:szCs w:val="32"/>
        </w:rPr>
      </w:pPr>
    </w:p>
    <w:p w14:paraId="2D150E07">
      <w:pPr>
        <w:pStyle w:val="2"/>
        <w:rPr>
          <w:rFonts w:hint="eastAsia" w:ascii="Times New Roman" w:hAnsi="Times New Roman" w:eastAsia="仿宋" w:cs="仿宋"/>
          <w:sz w:val="32"/>
          <w:szCs w:val="32"/>
        </w:rPr>
      </w:pPr>
    </w:p>
    <w:p w14:paraId="157BC886">
      <w:pPr>
        <w:rPr>
          <w:rFonts w:hint="eastAsia" w:ascii="Times New Roman" w:eastAsia="仿宋" w:cs="仿宋"/>
          <w:sz w:val="32"/>
          <w:szCs w:val="32"/>
        </w:rPr>
      </w:pPr>
    </w:p>
    <w:p w14:paraId="3BE6329B">
      <w:pPr>
        <w:pStyle w:val="2"/>
        <w:rPr>
          <w:rFonts w:hint="eastAsia" w:ascii="Times New Roman" w:hAnsi="Times New Roman" w:eastAsia="仿宋" w:cs="仿宋"/>
          <w:sz w:val="32"/>
          <w:szCs w:val="32"/>
        </w:rPr>
      </w:pPr>
    </w:p>
    <w:p w14:paraId="321193F3">
      <w:pPr>
        <w:rPr>
          <w:rFonts w:hint="eastAsia" w:ascii="Times New Roman" w:eastAsia="仿宋" w:cs="仿宋"/>
          <w:sz w:val="32"/>
          <w:szCs w:val="32"/>
        </w:rPr>
      </w:pPr>
    </w:p>
    <w:p w14:paraId="018ED009">
      <w:pPr>
        <w:pStyle w:val="2"/>
        <w:rPr>
          <w:rFonts w:hint="eastAsia" w:ascii="Times New Roman" w:hAnsi="Times New Roman" w:eastAsia="仿宋" w:cs="仿宋"/>
          <w:sz w:val="32"/>
          <w:szCs w:val="32"/>
        </w:rPr>
      </w:pPr>
    </w:p>
    <w:p w14:paraId="7DEECD2D">
      <w:pPr>
        <w:rPr>
          <w:rFonts w:hint="eastAsia" w:ascii="Times New Roman" w:eastAsia="仿宋" w:cs="仿宋"/>
          <w:sz w:val="32"/>
          <w:szCs w:val="32"/>
        </w:rPr>
      </w:pPr>
    </w:p>
    <w:p w14:paraId="335DBDD6">
      <w:pPr>
        <w:pStyle w:val="2"/>
        <w:rPr>
          <w:rFonts w:hint="eastAsia" w:ascii="Times New Roman" w:hAnsi="Times New Roman" w:eastAsia="仿宋" w:cs="仿宋"/>
          <w:sz w:val="32"/>
          <w:szCs w:val="32"/>
        </w:rPr>
      </w:pPr>
    </w:p>
    <w:p w14:paraId="1DFD6C7A">
      <w:pPr>
        <w:rPr>
          <w:rFonts w:hint="eastAsia" w:ascii="Times New Roman" w:hAnsi="Times New Roman" w:eastAsia="仿宋" w:cs="仿宋"/>
          <w:sz w:val="32"/>
          <w:szCs w:val="32"/>
        </w:rPr>
      </w:pPr>
    </w:p>
    <w:p w14:paraId="70214616">
      <w:pPr>
        <w:pStyle w:val="2"/>
        <w:rPr>
          <w:rFonts w:hint="eastAsia"/>
        </w:rPr>
      </w:pPr>
    </w:p>
    <w:p w14:paraId="2B8F7888">
      <w:pPr>
        <w:rPr>
          <w:rFonts w:hint="eastAsia" w:ascii="Times New Roman" w:eastAsia="仿宋" w:cs="仿宋"/>
          <w:sz w:val="32"/>
          <w:szCs w:val="32"/>
        </w:rPr>
      </w:pPr>
    </w:p>
    <w:p w14:paraId="090A7168">
      <w:pPr>
        <w:rPr>
          <w:rFonts w:hint="eastAsia" w:ascii="Times New Roman" w:eastAsia="仿宋" w:cs="仿宋"/>
          <w:sz w:val="32"/>
          <w:szCs w:val="32"/>
        </w:rPr>
      </w:pPr>
    </w:p>
    <w:p w14:paraId="6B74EB6F">
      <w:pPr>
        <w:pStyle w:val="2"/>
        <w:rPr>
          <w:rFonts w:hint="eastAsia" w:ascii="Times New Roman" w:hAnsi="Times New Roman" w:eastAsia="仿宋" w:cs="仿宋"/>
          <w:sz w:val="32"/>
          <w:szCs w:val="32"/>
        </w:rPr>
      </w:pPr>
    </w:p>
    <w:tbl>
      <w:tblPr>
        <w:tblStyle w:val="14"/>
        <w:tblW w:w="10588" w:type="dxa"/>
        <w:tblInd w:w="-68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16"/>
        <w:gridCol w:w="1074"/>
        <w:gridCol w:w="1072"/>
        <w:gridCol w:w="1034"/>
        <w:gridCol w:w="1605"/>
        <w:gridCol w:w="1478"/>
        <w:gridCol w:w="1372"/>
        <w:gridCol w:w="2237"/>
      </w:tblGrid>
      <w:tr w14:paraId="2BE43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588" w:type="dxa"/>
            <w:gridSpan w:val="8"/>
            <w:tcBorders>
              <w:top w:val="nil"/>
              <w:left w:val="nil"/>
              <w:bottom w:val="nil"/>
              <w:right w:val="nil"/>
              <w:tl2br w:val="nil"/>
              <w:tr2bl w:val="nil"/>
            </w:tcBorders>
            <w:noWrap w:val="0"/>
            <w:vAlign w:val="center"/>
          </w:tcPr>
          <w:p w14:paraId="1793D134">
            <w:pPr>
              <w:widowControl/>
              <w:jc w:val="center"/>
              <w:textAlignment w:val="center"/>
              <w:rPr>
                <w:rFonts w:hint="eastAsia" w:ascii="Times New Roman" w:eastAsia="方正小标宋简体" w:cs="方正小标宋简体"/>
                <w:color w:val="000000"/>
                <w:sz w:val="36"/>
                <w:szCs w:val="36"/>
              </w:rPr>
            </w:pPr>
            <w:r>
              <w:rPr>
                <w:rFonts w:hint="eastAsia" w:ascii="Times New Roman" w:eastAsia="方正小标宋简体" w:cs="方正小标宋简体"/>
                <w:color w:val="000000"/>
                <w:sz w:val="36"/>
                <w:szCs w:val="36"/>
                <w:lang w:bidi="ar"/>
              </w:rPr>
              <w:t>广元市昭化区财政项目（政策）支出绩效自评表</w:t>
            </w:r>
          </w:p>
        </w:tc>
      </w:tr>
      <w:tr w14:paraId="7F48F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588" w:type="dxa"/>
            <w:gridSpan w:val="8"/>
            <w:tcBorders>
              <w:top w:val="nil"/>
              <w:left w:val="nil"/>
              <w:bottom w:val="nil"/>
              <w:right w:val="nil"/>
              <w:tl2br w:val="nil"/>
              <w:tr2bl w:val="nil"/>
            </w:tcBorders>
            <w:noWrap w:val="0"/>
            <w:vAlign w:val="top"/>
          </w:tcPr>
          <w:p w14:paraId="13D2BCE8">
            <w:pPr>
              <w:widowControl/>
              <w:jc w:val="center"/>
              <w:textAlignment w:val="top"/>
              <w:rPr>
                <w:rFonts w:hint="default" w:cs="宋体"/>
                <w:b/>
                <w:color w:val="000000"/>
                <w:sz w:val="24"/>
                <w:szCs w:val="24"/>
              </w:rPr>
            </w:pPr>
            <w:r>
              <w:rPr>
                <w:rFonts w:hint="default" w:cs="宋体"/>
                <w:b/>
                <w:color w:val="000000"/>
                <w:sz w:val="24"/>
                <w:szCs w:val="24"/>
                <w:lang w:bidi="ar"/>
              </w:rPr>
              <w:t>（ 2023年度）</w:t>
            </w:r>
          </w:p>
        </w:tc>
      </w:tr>
      <w:tr w14:paraId="43C87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79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E1BD09">
            <w:pPr>
              <w:widowControl/>
              <w:jc w:val="center"/>
              <w:textAlignment w:val="center"/>
              <w:rPr>
                <w:rFonts w:hint="default" w:cs="宋体"/>
                <w:color w:val="000000"/>
                <w:sz w:val="18"/>
                <w:szCs w:val="18"/>
              </w:rPr>
            </w:pPr>
            <w:r>
              <w:rPr>
                <w:rFonts w:hint="default" w:cs="宋体"/>
                <w:color w:val="000000"/>
                <w:sz w:val="18"/>
                <w:szCs w:val="18"/>
                <w:lang w:bidi="ar"/>
              </w:rPr>
              <w:t>项目（政策）名称</w:t>
            </w:r>
          </w:p>
        </w:tc>
        <w:tc>
          <w:tcPr>
            <w:tcW w:w="879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EF2F29">
            <w:pPr>
              <w:widowControl/>
              <w:jc w:val="center"/>
              <w:textAlignment w:val="center"/>
              <w:rPr>
                <w:rFonts w:hint="default" w:cs="宋体"/>
                <w:color w:val="000000"/>
                <w:sz w:val="18"/>
                <w:szCs w:val="18"/>
              </w:rPr>
            </w:pPr>
            <w:r>
              <w:rPr>
                <w:rFonts w:hint="default" w:cs="宋体"/>
                <w:color w:val="000000"/>
                <w:sz w:val="18"/>
                <w:szCs w:val="18"/>
                <w:lang w:bidi="ar"/>
              </w:rPr>
              <w:t>2023年村（社区）人员和办公经费、绩效考核经费、镇村办公经费</w:t>
            </w:r>
          </w:p>
        </w:tc>
      </w:tr>
      <w:tr w14:paraId="05966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79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A2A927">
            <w:pPr>
              <w:widowControl/>
              <w:jc w:val="center"/>
              <w:textAlignment w:val="center"/>
              <w:rPr>
                <w:rFonts w:hint="default" w:cs="宋体"/>
                <w:color w:val="000000"/>
                <w:sz w:val="18"/>
                <w:szCs w:val="18"/>
              </w:rPr>
            </w:pPr>
            <w:r>
              <w:rPr>
                <w:rFonts w:hint="default" w:cs="宋体"/>
                <w:color w:val="000000"/>
                <w:sz w:val="18"/>
                <w:szCs w:val="18"/>
                <w:lang w:bidi="ar"/>
              </w:rPr>
              <w:t>主管部门</w:t>
            </w:r>
          </w:p>
        </w:tc>
        <w:tc>
          <w:tcPr>
            <w:tcW w:w="3711"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B9D169">
            <w:pPr>
              <w:widowControl/>
              <w:jc w:val="center"/>
              <w:textAlignment w:val="center"/>
              <w:rPr>
                <w:rFonts w:hint="default" w:cs="宋体"/>
                <w:color w:val="000000"/>
                <w:sz w:val="18"/>
                <w:szCs w:val="18"/>
              </w:rPr>
            </w:pPr>
            <w:r>
              <w:rPr>
                <w:rFonts w:hint="default" w:cs="宋体"/>
                <w:color w:val="000000"/>
                <w:sz w:val="18"/>
                <w:szCs w:val="18"/>
                <w:lang w:bidi="ar"/>
              </w:rPr>
              <w:t>广元市昭化区太公镇人民政府</w:t>
            </w:r>
          </w:p>
        </w:tc>
        <w:tc>
          <w:tcPr>
            <w:tcW w:w="14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29E3B7">
            <w:pPr>
              <w:widowControl/>
              <w:jc w:val="center"/>
              <w:textAlignment w:val="center"/>
              <w:rPr>
                <w:rFonts w:hint="default" w:cs="宋体"/>
                <w:color w:val="000000"/>
                <w:sz w:val="18"/>
                <w:szCs w:val="18"/>
              </w:rPr>
            </w:pPr>
            <w:r>
              <w:rPr>
                <w:rFonts w:hint="default" w:cs="宋体"/>
                <w:color w:val="000000"/>
                <w:sz w:val="18"/>
                <w:szCs w:val="18"/>
                <w:lang w:bidi="ar"/>
              </w:rPr>
              <w:t>实施单位</w:t>
            </w:r>
          </w:p>
        </w:tc>
        <w:tc>
          <w:tcPr>
            <w:tcW w:w="360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5D3113">
            <w:pPr>
              <w:widowControl/>
              <w:jc w:val="center"/>
              <w:textAlignment w:val="center"/>
              <w:rPr>
                <w:rFonts w:hint="default" w:cs="宋体"/>
                <w:color w:val="000000"/>
                <w:sz w:val="18"/>
                <w:szCs w:val="18"/>
              </w:rPr>
            </w:pPr>
            <w:r>
              <w:rPr>
                <w:rFonts w:hint="default" w:cs="宋体"/>
                <w:color w:val="000000"/>
                <w:sz w:val="18"/>
                <w:szCs w:val="18"/>
                <w:lang w:bidi="ar"/>
              </w:rPr>
              <w:t>镇域内13个村、2个社区</w:t>
            </w:r>
          </w:p>
        </w:tc>
      </w:tr>
      <w:tr w14:paraId="241D9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79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2F93F7CC">
            <w:pPr>
              <w:widowControl/>
              <w:jc w:val="center"/>
              <w:textAlignment w:val="center"/>
              <w:rPr>
                <w:rFonts w:hint="default" w:cs="宋体"/>
                <w:color w:val="000000"/>
                <w:sz w:val="18"/>
                <w:szCs w:val="18"/>
              </w:rPr>
            </w:pPr>
            <w:r>
              <w:rPr>
                <w:rFonts w:hint="default" w:cs="宋体"/>
                <w:color w:val="000000"/>
                <w:sz w:val="18"/>
                <w:szCs w:val="18"/>
                <w:lang w:bidi="ar"/>
              </w:rPr>
              <w:t>项目（政策）资金（万元）</w:t>
            </w:r>
          </w:p>
        </w:tc>
        <w:tc>
          <w:tcPr>
            <w:tcW w:w="2106" w:type="dxa"/>
            <w:gridSpan w:val="2"/>
            <w:tcBorders>
              <w:top w:val="nil"/>
              <w:left w:val="single" w:color="000000" w:sz="4" w:space="0"/>
              <w:bottom w:val="single" w:color="000000" w:sz="4" w:space="0"/>
              <w:right w:val="single" w:color="000000" w:sz="4" w:space="0"/>
              <w:tl2br w:val="nil"/>
              <w:tr2bl w:val="nil"/>
            </w:tcBorders>
            <w:noWrap w:val="0"/>
            <w:vAlign w:val="center"/>
          </w:tcPr>
          <w:p w14:paraId="47FAC760">
            <w:pPr>
              <w:widowControl/>
              <w:jc w:val="center"/>
              <w:textAlignment w:val="center"/>
              <w:rPr>
                <w:rFonts w:hint="default" w:cs="宋体"/>
                <w:color w:val="000000"/>
                <w:sz w:val="18"/>
                <w:szCs w:val="18"/>
              </w:rPr>
            </w:pPr>
            <w:r>
              <w:rPr>
                <w:rFonts w:hint="default" w:cs="宋体"/>
                <w:color w:val="000000"/>
                <w:sz w:val="18"/>
                <w:szCs w:val="18"/>
                <w:lang w:bidi="ar"/>
              </w:rPr>
              <w:t>年度预算数（万元）</w:t>
            </w:r>
          </w:p>
        </w:tc>
        <w:tc>
          <w:tcPr>
            <w:tcW w:w="1605" w:type="dxa"/>
            <w:tcBorders>
              <w:top w:val="nil"/>
              <w:left w:val="single" w:color="000000" w:sz="4" w:space="0"/>
              <w:bottom w:val="single" w:color="000000" w:sz="4" w:space="0"/>
              <w:right w:val="single" w:color="000000" w:sz="4" w:space="0"/>
              <w:tl2br w:val="nil"/>
              <w:tr2bl w:val="nil"/>
            </w:tcBorders>
            <w:noWrap w:val="0"/>
            <w:vAlign w:val="center"/>
          </w:tcPr>
          <w:p w14:paraId="08935696">
            <w:pPr>
              <w:widowControl/>
              <w:jc w:val="center"/>
              <w:textAlignment w:val="center"/>
              <w:rPr>
                <w:rFonts w:hint="default" w:cs="宋体"/>
                <w:color w:val="000000"/>
                <w:sz w:val="18"/>
                <w:szCs w:val="18"/>
              </w:rPr>
            </w:pPr>
            <w:r>
              <w:rPr>
                <w:rFonts w:hint="default" w:cs="宋体"/>
                <w:color w:val="000000"/>
                <w:sz w:val="18"/>
                <w:szCs w:val="18"/>
                <w:lang w:bidi="ar"/>
              </w:rPr>
              <w:t>年初预算数</w:t>
            </w:r>
          </w:p>
        </w:tc>
        <w:tc>
          <w:tcPr>
            <w:tcW w:w="1478" w:type="dxa"/>
            <w:tcBorders>
              <w:top w:val="nil"/>
              <w:left w:val="single" w:color="000000" w:sz="4" w:space="0"/>
              <w:bottom w:val="single" w:color="000000" w:sz="4" w:space="0"/>
              <w:right w:val="single" w:color="000000" w:sz="4" w:space="0"/>
              <w:tl2br w:val="nil"/>
              <w:tr2bl w:val="nil"/>
            </w:tcBorders>
            <w:noWrap w:val="0"/>
            <w:vAlign w:val="center"/>
          </w:tcPr>
          <w:p w14:paraId="4C380F42">
            <w:pPr>
              <w:widowControl/>
              <w:jc w:val="center"/>
              <w:textAlignment w:val="center"/>
              <w:rPr>
                <w:rFonts w:hint="default" w:cs="宋体"/>
                <w:color w:val="000000"/>
                <w:sz w:val="18"/>
                <w:szCs w:val="18"/>
              </w:rPr>
            </w:pPr>
            <w:r>
              <w:rPr>
                <w:rFonts w:hint="default" w:cs="宋体"/>
                <w:color w:val="000000"/>
                <w:sz w:val="18"/>
                <w:szCs w:val="18"/>
                <w:lang w:bidi="ar"/>
              </w:rPr>
              <w:t>全年预算数</w:t>
            </w:r>
          </w:p>
        </w:tc>
        <w:tc>
          <w:tcPr>
            <w:tcW w:w="1372" w:type="dxa"/>
            <w:tcBorders>
              <w:top w:val="nil"/>
              <w:left w:val="single" w:color="000000" w:sz="4" w:space="0"/>
              <w:bottom w:val="single" w:color="000000" w:sz="4" w:space="0"/>
              <w:right w:val="single" w:color="000000" w:sz="4" w:space="0"/>
              <w:tl2br w:val="nil"/>
              <w:tr2bl w:val="nil"/>
            </w:tcBorders>
            <w:noWrap w:val="0"/>
            <w:vAlign w:val="center"/>
          </w:tcPr>
          <w:p w14:paraId="7B8626E8">
            <w:pPr>
              <w:widowControl/>
              <w:jc w:val="center"/>
              <w:textAlignment w:val="center"/>
              <w:rPr>
                <w:rFonts w:hint="default" w:cs="宋体"/>
                <w:color w:val="000000"/>
                <w:sz w:val="18"/>
                <w:szCs w:val="18"/>
              </w:rPr>
            </w:pPr>
            <w:r>
              <w:rPr>
                <w:rFonts w:hint="default" w:cs="宋体"/>
                <w:color w:val="000000"/>
                <w:sz w:val="18"/>
                <w:szCs w:val="18"/>
                <w:lang w:bidi="ar"/>
              </w:rPr>
              <w:t>全年执行数</w:t>
            </w:r>
          </w:p>
        </w:tc>
        <w:tc>
          <w:tcPr>
            <w:tcW w:w="2237" w:type="dxa"/>
            <w:tcBorders>
              <w:top w:val="nil"/>
              <w:left w:val="single" w:color="000000" w:sz="4" w:space="0"/>
              <w:bottom w:val="single" w:color="000000" w:sz="4" w:space="0"/>
              <w:right w:val="single" w:color="000000" w:sz="4" w:space="0"/>
              <w:tl2br w:val="nil"/>
              <w:tr2bl w:val="nil"/>
            </w:tcBorders>
            <w:noWrap w:val="0"/>
            <w:vAlign w:val="center"/>
          </w:tcPr>
          <w:p w14:paraId="1C8816F8">
            <w:pPr>
              <w:widowControl/>
              <w:jc w:val="center"/>
              <w:textAlignment w:val="center"/>
              <w:rPr>
                <w:rFonts w:hint="default" w:cs="宋体"/>
                <w:color w:val="000000"/>
                <w:sz w:val="18"/>
                <w:szCs w:val="18"/>
              </w:rPr>
            </w:pPr>
            <w:r>
              <w:rPr>
                <w:rFonts w:hint="default" w:cs="宋体"/>
                <w:color w:val="000000"/>
                <w:sz w:val="18"/>
                <w:szCs w:val="18"/>
                <w:lang w:bidi="ar"/>
              </w:rPr>
              <w:t>执行率</w:t>
            </w:r>
          </w:p>
        </w:tc>
      </w:tr>
      <w:tr w14:paraId="1BBFB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79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661CC89">
            <w:pPr>
              <w:jc w:val="center"/>
              <w:rPr>
                <w:rFonts w:hint="default" w:cs="宋体"/>
                <w:color w:val="000000"/>
                <w:sz w:val="18"/>
                <w:szCs w:val="18"/>
              </w:rPr>
            </w:pPr>
          </w:p>
        </w:tc>
        <w:tc>
          <w:tcPr>
            <w:tcW w:w="210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877D13">
            <w:pPr>
              <w:widowControl/>
              <w:jc w:val="center"/>
              <w:textAlignment w:val="center"/>
              <w:rPr>
                <w:rFonts w:hint="default" w:cs="宋体"/>
                <w:color w:val="000000"/>
                <w:sz w:val="18"/>
                <w:szCs w:val="18"/>
              </w:rPr>
            </w:pPr>
            <w:r>
              <w:rPr>
                <w:rFonts w:hint="default" w:cs="宋体"/>
                <w:color w:val="000000"/>
                <w:sz w:val="18"/>
                <w:szCs w:val="18"/>
                <w:lang w:bidi="ar"/>
              </w:rPr>
              <w:t>年度资金总额</w:t>
            </w:r>
          </w:p>
        </w:tc>
        <w:tc>
          <w:tcPr>
            <w:tcW w:w="16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B01D58">
            <w:pPr>
              <w:widowControl/>
              <w:jc w:val="center"/>
              <w:textAlignment w:val="center"/>
              <w:rPr>
                <w:rFonts w:hint="default" w:cs="宋体"/>
                <w:color w:val="000000"/>
                <w:sz w:val="18"/>
                <w:szCs w:val="18"/>
              </w:rPr>
            </w:pPr>
            <w:r>
              <w:rPr>
                <w:rFonts w:hint="default" w:cs="宋体"/>
                <w:color w:val="000000"/>
                <w:sz w:val="18"/>
                <w:szCs w:val="18"/>
                <w:lang w:bidi="ar"/>
              </w:rPr>
              <w:t>349.67</w:t>
            </w:r>
          </w:p>
        </w:tc>
        <w:tc>
          <w:tcPr>
            <w:tcW w:w="14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BAF2E7">
            <w:pPr>
              <w:widowControl/>
              <w:jc w:val="center"/>
              <w:textAlignment w:val="center"/>
              <w:rPr>
                <w:rFonts w:hint="default" w:cs="宋体"/>
                <w:color w:val="000000"/>
                <w:sz w:val="18"/>
                <w:szCs w:val="18"/>
              </w:rPr>
            </w:pPr>
            <w:r>
              <w:rPr>
                <w:rFonts w:hint="default" w:cs="宋体"/>
                <w:color w:val="000000"/>
                <w:sz w:val="18"/>
                <w:szCs w:val="18"/>
                <w:lang w:bidi="ar"/>
              </w:rPr>
              <w:t>452.14</w:t>
            </w:r>
          </w:p>
        </w:tc>
        <w:tc>
          <w:tcPr>
            <w:tcW w:w="137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568926">
            <w:pPr>
              <w:widowControl/>
              <w:jc w:val="center"/>
              <w:textAlignment w:val="center"/>
              <w:rPr>
                <w:rFonts w:hint="default" w:cs="宋体"/>
                <w:color w:val="000000"/>
                <w:sz w:val="18"/>
                <w:szCs w:val="18"/>
              </w:rPr>
            </w:pPr>
            <w:r>
              <w:rPr>
                <w:rFonts w:hint="default" w:cs="宋体"/>
                <w:color w:val="000000"/>
                <w:sz w:val="18"/>
                <w:szCs w:val="18"/>
                <w:lang w:bidi="ar"/>
              </w:rPr>
              <w:t>400.55</w:t>
            </w:r>
          </w:p>
        </w:tc>
        <w:tc>
          <w:tcPr>
            <w:tcW w:w="2237" w:type="dxa"/>
            <w:tcBorders>
              <w:top w:val="nil"/>
              <w:left w:val="single" w:color="000000" w:sz="4" w:space="0"/>
              <w:bottom w:val="single" w:color="000000" w:sz="4" w:space="0"/>
              <w:right w:val="single" w:color="000000" w:sz="4" w:space="0"/>
              <w:tl2br w:val="nil"/>
              <w:tr2bl w:val="nil"/>
            </w:tcBorders>
            <w:noWrap w:val="0"/>
            <w:vAlign w:val="center"/>
          </w:tcPr>
          <w:p w14:paraId="79B20166">
            <w:pPr>
              <w:widowControl/>
              <w:jc w:val="center"/>
              <w:textAlignment w:val="center"/>
              <w:rPr>
                <w:rFonts w:hint="default" w:cs="宋体"/>
                <w:color w:val="000000"/>
                <w:sz w:val="18"/>
                <w:szCs w:val="18"/>
              </w:rPr>
            </w:pPr>
            <w:r>
              <w:rPr>
                <w:rFonts w:hint="default" w:cs="宋体"/>
                <w:color w:val="000000"/>
                <w:sz w:val="18"/>
                <w:szCs w:val="18"/>
                <w:lang w:bidi="ar"/>
              </w:rPr>
              <w:t>92.35%</w:t>
            </w:r>
          </w:p>
        </w:tc>
      </w:tr>
      <w:tr w14:paraId="5C00A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79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49FCF00">
            <w:pPr>
              <w:jc w:val="center"/>
              <w:rPr>
                <w:rFonts w:hint="default" w:cs="宋体"/>
                <w:color w:val="000000"/>
                <w:sz w:val="18"/>
                <w:szCs w:val="18"/>
              </w:rPr>
            </w:pPr>
          </w:p>
        </w:tc>
        <w:tc>
          <w:tcPr>
            <w:tcW w:w="210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D1D393">
            <w:pPr>
              <w:widowControl/>
              <w:textAlignment w:val="center"/>
              <w:rPr>
                <w:rFonts w:hint="default" w:cs="宋体"/>
                <w:color w:val="000000"/>
                <w:sz w:val="18"/>
                <w:szCs w:val="18"/>
              </w:rPr>
            </w:pPr>
            <w:r>
              <w:rPr>
                <w:rFonts w:hint="default" w:cs="宋体"/>
                <w:color w:val="000000"/>
                <w:sz w:val="18"/>
                <w:szCs w:val="18"/>
                <w:lang w:bidi="ar"/>
              </w:rPr>
              <w:t>（一）财政拨款小计</w:t>
            </w:r>
          </w:p>
        </w:tc>
        <w:tc>
          <w:tcPr>
            <w:tcW w:w="16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EE8166">
            <w:pPr>
              <w:widowControl/>
              <w:jc w:val="center"/>
              <w:textAlignment w:val="center"/>
              <w:rPr>
                <w:rFonts w:hint="default" w:cs="宋体"/>
                <w:color w:val="000000"/>
                <w:sz w:val="18"/>
                <w:szCs w:val="18"/>
              </w:rPr>
            </w:pPr>
            <w:r>
              <w:rPr>
                <w:rFonts w:hint="default" w:cs="宋体"/>
                <w:color w:val="000000"/>
                <w:sz w:val="18"/>
                <w:szCs w:val="18"/>
                <w:lang w:bidi="ar"/>
              </w:rPr>
              <w:t>349.67</w:t>
            </w:r>
          </w:p>
        </w:tc>
        <w:tc>
          <w:tcPr>
            <w:tcW w:w="14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2E4920">
            <w:pPr>
              <w:widowControl/>
              <w:jc w:val="center"/>
              <w:textAlignment w:val="center"/>
              <w:rPr>
                <w:rFonts w:hint="default" w:cs="宋体"/>
                <w:color w:val="000000"/>
                <w:sz w:val="18"/>
                <w:szCs w:val="18"/>
              </w:rPr>
            </w:pPr>
            <w:r>
              <w:rPr>
                <w:rFonts w:hint="default" w:cs="宋体"/>
                <w:color w:val="000000"/>
                <w:sz w:val="18"/>
                <w:szCs w:val="18"/>
                <w:lang w:bidi="ar"/>
              </w:rPr>
              <w:t>452.14</w:t>
            </w:r>
          </w:p>
        </w:tc>
        <w:tc>
          <w:tcPr>
            <w:tcW w:w="137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A300B4">
            <w:pPr>
              <w:widowControl/>
              <w:jc w:val="center"/>
              <w:textAlignment w:val="center"/>
              <w:rPr>
                <w:rFonts w:hint="default" w:cs="宋体"/>
                <w:color w:val="000000"/>
                <w:sz w:val="18"/>
                <w:szCs w:val="18"/>
              </w:rPr>
            </w:pPr>
            <w:r>
              <w:rPr>
                <w:rFonts w:hint="default" w:cs="宋体"/>
                <w:color w:val="000000"/>
                <w:sz w:val="18"/>
                <w:szCs w:val="18"/>
                <w:lang w:bidi="ar"/>
              </w:rPr>
              <w:t>400.55</w:t>
            </w:r>
          </w:p>
        </w:tc>
        <w:tc>
          <w:tcPr>
            <w:tcW w:w="2237" w:type="dxa"/>
            <w:tcBorders>
              <w:top w:val="nil"/>
              <w:left w:val="single" w:color="000000" w:sz="4" w:space="0"/>
              <w:bottom w:val="single" w:color="000000" w:sz="4" w:space="0"/>
              <w:right w:val="single" w:color="000000" w:sz="4" w:space="0"/>
              <w:tl2br w:val="nil"/>
              <w:tr2bl w:val="nil"/>
            </w:tcBorders>
            <w:noWrap w:val="0"/>
            <w:vAlign w:val="center"/>
          </w:tcPr>
          <w:p w14:paraId="74310E52">
            <w:pPr>
              <w:widowControl/>
              <w:jc w:val="center"/>
              <w:textAlignment w:val="center"/>
              <w:rPr>
                <w:rFonts w:hint="default" w:cs="宋体"/>
                <w:color w:val="000000"/>
                <w:sz w:val="18"/>
                <w:szCs w:val="18"/>
              </w:rPr>
            </w:pPr>
            <w:r>
              <w:rPr>
                <w:rFonts w:hint="default" w:cs="宋体"/>
                <w:color w:val="000000"/>
                <w:sz w:val="18"/>
                <w:szCs w:val="18"/>
                <w:lang w:bidi="ar"/>
              </w:rPr>
              <w:t>92.35%</w:t>
            </w:r>
          </w:p>
        </w:tc>
      </w:tr>
      <w:tr w14:paraId="0CB42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79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FECD43B">
            <w:pPr>
              <w:jc w:val="center"/>
              <w:rPr>
                <w:rFonts w:hint="default" w:cs="宋体"/>
                <w:color w:val="000000"/>
                <w:sz w:val="18"/>
                <w:szCs w:val="18"/>
              </w:rPr>
            </w:pPr>
          </w:p>
        </w:tc>
        <w:tc>
          <w:tcPr>
            <w:tcW w:w="210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72AA77">
            <w:pPr>
              <w:widowControl/>
              <w:textAlignment w:val="center"/>
              <w:rPr>
                <w:rFonts w:hint="default" w:cs="宋体"/>
                <w:color w:val="000000"/>
                <w:sz w:val="18"/>
                <w:szCs w:val="18"/>
              </w:rPr>
            </w:pPr>
            <w:r>
              <w:rPr>
                <w:rFonts w:hint="default" w:cs="宋体"/>
                <w:color w:val="000000"/>
                <w:sz w:val="18"/>
                <w:szCs w:val="18"/>
                <w:lang w:bidi="ar"/>
              </w:rPr>
              <w:t xml:space="preserve">   1.一般公共预算</w:t>
            </w:r>
          </w:p>
        </w:tc>
        <w:tc>
          <w:tcPr>
            <w:tcW w:w="16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D82B36">
            <w:pPr>
              <w:widowControl/>
              <w:jc w:val="center"/>
              <w:textAlignment w:val="center"/>
              <w:rPr>
                <w:rFonts w:hint="default" w:cs="宋体"/>
                <w:color w:val="000000"/>
                <w:sz w:val="18"/>
                <w:szCs w:val="18"/>
              </w:rPr>
            </w:pPr>
            <w:r>
              <w:rPr>
                <w:rFonts w:hint="default" w:cs="宋体"/>
                <w:color w:val="000000"/>
                <w:sz w:val="18"/>
                <w:szCs w:val="18"/>
                <w:lang w:bidi="ar"/>
              </w:rPr>
              <w:t>349.67</w:t>
            </w:r>
          </w:p>
        </w:tc>
        <w:tc>
          <w:tcPr>
            <w:tcW w:w="14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3CC4DF">
            <w:pPr>
              <w:widowControl/>
              <w:jc w:val="center"/>
              <w:textAlignment w:val="center"/>
              <w:rPr>
                <w:rFonts w:hint="default" w:cs="宋体"/>
                <w:color w:val="000000"/>
                <w:sz w:val="18"/>
                <w:szCs w:val="18"/>
              </w:rPr>
            </w:pPr>
            <w:r>
              <w:rPr>
                <w:rFonts w:hint="default" w:cs="宋体"/>
                <w:color w:val="000000"/>
                <w:sz w:val="18"/>
                <w:szCs w:val="18"/>
                <w:lang w:bidi="ar"/>
              </w:rPr>
              <w:t>452.14</w:t>
            </w:r>
          </w:p>
        </w:tc>
        <w:tc>
          <w:tcPr>
            <w:tcW w:w="137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5F8818">
            <w:pPr>
              <w:widowControl/>
              <w:jc w:val="center"/>
              <w:textAlignment w:val="center"/>
              <w:rPr>
                <w:rFonts w:hint="default" w:cs="宋体"/>
                <w:color w:val="000000"/>
                <w:sz w:val="18"/>
                <w:szCs w:val="18"/>
              </w:rPr>
            </w:pPr>
            <w:r>
              <w:rPr>
                <w:rFonts w:hint="default" w:cs="宋体"/>
                <w:color w:val="000000"/>
                <w:sz w:val="18"/>
                <w:szCs w:val="18"/>
                <w:lang w:bidi="ar"/>
              </w:rPr>
              <w:t>417.55</w:t>
            </w:r>
          </w:p>
        </w:tc>
        <w:tc>
          <w:tcPr>
            <w:tcW w:w="2237" w:type="dxa"/>
            <w:tcBorders>
              <w:top w:val="nil"/>
              <w:left w:val="single" w:color="000000" w:sz="4" w:space="0"/>
              <w:bottom w:val="single" w:color="000000" w:sz="4" w:space="0"/>
              <w:right w:val="single" w:color="000000" w:sz="4" w:space="0"/>
              <w:tl2br w:val="nil"/>
              <w:tr2bl w:val="nil"/>
            </w:tcBorders>
            <w:noWrap w:val="0"/>
            <w:vAlign w:val="center"/>
          </w:tcPr>
          <w:p w14:paraId="6D84CD1F">
            <w:pPr>
              <w:widowControl/>
              <w:jc w:val="center"/>
              <w:textAlignment w:val="center"/>
              <w:rPr>
                <w:rFonts w:hint="default" w:cs="宋体"/>
                <w:color w:val="000000"/>
                <w:sz w:val="18"/>
                <w:szCs w:val="18"/>
              </w:rPr>
            </w:pPr>
            <w:r>
              <w:rPr>
                <w:rFonts w:hint="default" w:cs="宋体"/>
                <w:color w:val="000000"/>
                <w:sz w:val="18"/>
                <w:szCs w:val="18"/>
                <w:lang w:bidi="ar"/>
              </w:rPr>
              <w:t>92.35%</w:t>
            </w:r>
          </w:p>
        </w:tc>
      </w:tr>
      <w:tr w14:paraId="738D4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79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3C013E9">
            <w:pPr>
              <w:jc w:val="center"/>
              <w:rPr>
                <w:rFonts w:hint="default" w:cs="宋体"/>
                <w:color w:val="000000"/>
                <w:sz w:val="18"/>
                <w:szCs w:val="18"/>
              </w:rPr>
            </w:pPr>
          </w:p>
        </w:tc>
        <w:tc>
          <w:tcPr>
            <w:tcW w:w="210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C18C97">
            <w:pPr>
              <w:widowControl/>
              <w:textAlignment w:val="center"/>
              <w:rPr>
                <w:rFonts w:hint="default" w:cs="宋体"/>
                <w:color w:val="000000"/>
                <w:sz w:val="18"/>
                <w:szCs w:val="18"/>
              </w:rPr>
            </w:pPr>
            <w:r>
              <w:rPr>
                <w:rFonts w:hint="default" w:cs="宋体"/>
                <w:color w:val="000000"/>
                <w:sz w:val="18"/>
                <w:szCs w:val="18"/>
                <w:lang w:bidi="ar"/>
              </w:rPr>
              <w:t xml:space="preserve">   2.政府性基金</w:t>
            </w:r>
          </w:p>
        </w:tc>
        <w:tc>
          <w:tcPr>
            <w:tcW w:w="16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F44367">
            <w:pPr>
              <w:rPr>
                <w:rFonts w:hint="default" w:cs="宋体"/>
                <w:color w:val="000000"/>
                <w:sz w:val="18"/>
                <w:szCs w:val="18"/>
              </w:rPr>
            </w:pPr>
          </w:p>
        </w:tc>
        <w:tc>
          <w:tcPr>
            <w:tcW w:w="14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5A202A">
            <w:pPr>
              <w:jc w:val="center"/>
              <w:rPr>
                <w:rFonts w:hint="default" w:cs="宋体"/>
                <w:color w:val="000000"/>
                <w:sz w:val="18"/>
                <w:szCs w:val="18"/>
              </w:rPr>
            </w:pPr>
          </w:p>
        </w:tc>
        <w:tc>
          <w:tcPr>
            <w:tcW w:w="137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CACF0A">
            <w:pPr>
              <w:jc w:val="center"/>
              <w:rPr>
                <w:rFonts w:hint="default" w:cs="宋体"/>
                <w:color w:val="000000"/>
                <w:sz w:val="18"/>
                <w:szCs w:val="18"/>
              </w:rPr>
            </w:pPr>
          </w:p>
        </w:tc>
        <w:tc>
          <w:tcPr>
            <w:tcW w:w="223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2536C5">
            <w:pPr>
              <w:jc w:val="center"/>
              <w:rPr>
                <w:rFonts w:hint="default" w:cs="宋体"/>
                <w:color w:val="000000"/>
                <w:sz w:val="18"/>
                <w:szCs w:val="18"/>
              </w:rPr>
            </w:pPr>
          </w:p>
        </w:tc>
      </w:tr>
      <w:tr w14:paraId="6636B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79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D05CFB9">
            <w:pPr>
              <w:jc w:val="center"/>
              <w:rPr>
                <w:rFonts w:hint="default" w:cs="宋体"/>
                <w:color w:val="000000"/>
                <w:sz w:val="18"/>
                <w:szCs w:val="18"/>
              </w:rPr>
            </w:pPr>
          </w:p>
        </w:tc>
        <w:tc>
          <w:tcPr>
            <w:tcW w:w="210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E51598">
            <w:pPr>
              <w:widowControl/>
              <w:textAlignment w:val="center"/>
              <w:rPr>
                <w:rFonts w:hint="default" w:cs="宋体"/>
                <w:color w:val="000000"/>
                <w:sz w:val="18"/>
                <w:szCs w:val="18"/>
              </w:rPr>
            </w:pPr>
            <w:r>
              <w:rPr>
                <w:rFonts w:hint="default" w:cs="宋体"/>
                <w:color w:val="000000"/>
                <w:sz w:val="18"/>
                <w:szCs w:val="18"/>
                <w:lang w:bidi="ar"/>
              </w:rPr>
              <w:t xml:space="preserve">   3.国有资本经营预算</w:t>
            </w:r>
          </w:p>
        </w:tc>
        <w:tc>
          <w:tcPr>
            <w:tcW w:w="16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45D1DC">
            <w:pPr>
              <w:rPr>
                <w:rFonts w:hint="default" w:cs="宋体"/>
                <w:color w:val="000000"/>
                <w:sz w:val="18"/>
                <w:szCs w:val="18"/>
              </w:rPr>
            </w:pPr>
          </w:p>
        </w:tc>
        <w:tc>
          <w:tcPr>
            <w:tcW w:w="14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226BA2">
            <w:pPr>
              <w:jc w:val="center"/>
              <w:rPr>
                <w:rFonts w:hint="default" w:cs="宋体"/>
                <w:color w:val="000000"/>
                <w:sz w:val="18"/>
                <w:szCs w:val="18"/>
              </w:rPr>
            </w:pPr>
          </w:p>
        </w:tc>
        <w:tc>
          <w:tcPr>
            <w:tcW w:w="137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E9F62B">
            <w:pPr>
              <w:jc w:val="center"/>
              <w:rPr>
                <w:rFonts w:hint="default" w:cs="宋体"/>
                <w:color w:val="000000"/>
                <w:sz w:val="18"/>
                <w:szCs w:val="18"/>
              </w:rPr>
            </w:pPr>
          </w:p>
        </w:tc>
        <w:tc>
          <w:tcPr>
            <w:tcW w:w="223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154845">
            <w:pPr>
              <w:jc w:val="center"/>
              <w:rPr>
                <w:rFonts w:hint="default" w:cs="宋体"/>
                <w:color w:val="000000"/>
                <w:sz w:val="18"/>
                <w:szCs w:val="18"/>
              </w:rPr>
            </w:pPr>
          </w:p>
        </w:tc>
      </w:tr>
      <w:tr w14:paraId="05E6A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79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DBD02F0">
            <w:pPr>
              <w:jc w:val="center"/>
              <w:rPr>
                <w:rFonts w:hint="default" w:cs="宋体"/>
                <w:color w:val="000000"/>
                <w:sz w:val="18"/>
                <w:szCs w:val="18"/>
              </w:rPr>
            </w:pPr>
          </w:p>
        </w:tc>
        <w:tc>
          <w:tcPr>
            <w:tcW w:w="210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FB1C3C">
            <w:pPr>
              <w:widowControl/>
              <w:textAlignment w:val="center"/>
              <w:rPr>
                <w:rFonts w:hint="default" w:cs="宋体"/>
                <w:color w:val="000000"/>
                <w:sz w:val="18"/>
                <w:szCs w:val="18"/>
              </w:rPr>
            </w:pPr>
            <w:r>
              <w:rPr>
                <w:rFonts w:hint="default" w:cs="宋体"/>
                <w:color w:val="000000"/>
                <w:sz w:val="18"/>
                <w:szCs w:val="18"/>
                <w:lang w:bidi="ar"/>
              </w:rPr>
              <w:t>（二）其他资金</w:t>
            </w:r>
          </w:p>
        </w:tc>
        <w:tc>
          <w:tcPr>
            <w:tcW w:w="16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4B6B38">
            <w:pPr>
              <w:rPr>
                <w:rFonts w:hint="default" w:cs="宋体"/>
                <w:color w:val="000000"/>
                <w:sz w:val="18"/>
                <w:szCs w:val="18"/>
              </w:rPr>
            </w:pPr>
          </w:p>
        </w:tc>
        <w:tc>
          <w:tcPr>
            <w:tcW w:w="14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491BDF">
            <w:pPr>
              <w:jc w:val="center"/>
              <w:rPr>
                <w:rFonts w:hint="default" w:cs="宋体"/>
                <w:color w:val="000000"/>
                <w:sz w:val="18"/>
                <w:szCs w:val="18"/>
              </w:rPr>
            </w:pPr>
          </w:p>
        </w:tc>
        <w:tc>
          <w:tcPr>
            <w:tcW w:w="137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FA4BDD">
            <w:pPr>
              <w:jc w:val="center"/>
              <w:rPr>
                <w:rFonts w:hint="default" w:cs="宋体"/>
                <w:color w:val="000000"/>
                <w:sz w:val="18"/>
                <w:szCs w:val="18"/>
              </w:rPr>
            </w:pPr>
          </w:p>
        </w:tc>
        <w:tc>
          <w:tcPr>
            <w:tcW w:w="223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2DC054">
            <w:pPr>
              <w:jc w:val="center"/>
              <w:rPr>
                <w:rFonts w:hint="default" w:cs="宋体"/>
                <w:color w:val="000000"/>
                <w:sz w:val="18"/>
                <w:szCs w:val="18"/>
              </w:rPr>
            </w:pPr>
          </w:p>
        </w:tc>
      </w:tr>
      <w:tr w14:paraId="4B5A9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16"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5013C0">
            <w:pPr>
              <w:widowControl/>
              <w:jc w:val="center"/>
              <w:textAlignment w:val="center"/>
              <w:rPr>
                <w:rFonts w:hint="default" w:cs="宋体"/>
                <w:color w:val="000000"/>
                <w:sz w:val="18"/>
                <w:szCs w:val="18"/>
              </w:rPr>
            </w:pPr>
            <w:r>
              <w:rPr>
                <w:rFonts w:hint="default" w:cs="宋体"/>
                <w:color w:val="000000"/>
                <w:sz w:val="18"/>
                <w:szCs w:val="18"/>
                <w:lang w:bidi="ar"/>
              </w:rPr>
              <w:t>年度总体目标</w:t>
            </w:r>
          </w:p>
        </w:tc>
        <w:tc>
          <w:tcPr>
            <w:tcW w:w="4785"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8262C1">
            <w:pPr>
              <w:widowControl/>
              <w:jc w:val="center"/>
              <w:textAlignment w:val="center"/>
              <w:rPr>
                <w:rFonts w:hint="default" w:cs="宋体"/>
                <w:color w:val="000000"/>
                <w:sz w:val="18"/>
                <w:szCs w:val="18"/>
              </w:rPr>
            </w:pPr>
            <w:r>
              <w:rPr>
                <w:rFonts w:hint="default" w:cs="宋体"/>
                <w:color w:val="000000"/>
                <w:sz w:val="18"/>
                <w:szCs w:val="18"/>
                <w:lang w:bidi="ar"/>
              </w:rPr>
              <w:t>预期目标</w:t>
            </w:r>
          </w:p>
        </w:tc>
        <w:tc>
          <w:tcPr>
            <w:tcW w:w="5087"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5AF12E">
            <w:pPr>
              <w:widowControl/>
              <w:jc w:val="center"/>
              <w:textAlignment w:val="center"/>
              <w:rPr>
                <w:rFonts w:hint="default" w:cs="宋体"/>
                <w:color w:val="000000"/>
                <w:sz w:val="18"/>
                <w:szCs w:val="18"/>
              </w:rPr>
            </w:pPr>
            <w:r>
              <w:rPr>
                <w:rFonts w:hint="default" w:cs="宋体"/>
                <w:color w:val="000000"/>
                <w:sz w:val="18"/>
                <w:szCs w:val="18"/>
                <w:lang w:bidi="ar"/>
              </w:rPr>
              <w:t>全年实际完成情况</w:t>
            </w:r>
          </w:p>
        </w:tc>
      </w:tr>
      <w:tr w14:paraId="27A9D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16"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2BBF04">
            <w:pPr>
              <w:jc w:val="center"/>
              <w:rPr>
                <w:rFonts w:hint="default" w:cs="宋体"/>
                <w:color w:val="000000"/>
                <w:sz w:val="18"/>
                <w:szCs w:val="18"/>
              </w:rPr>
            </w:pPr>
          </w:p>
        </w:tc>
        <w:tc>
          <w:tcPr>
            <w:tcW w:w="4785"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631F8A">
            <w:pPr>
              <w:widowControl/>
              <w:textAlignment w:val="center"/>
              <w:rPr>
                <w:rFonts w:hint="default" w:cs="宋体"/>
                <w:color w:val="000000"/>
                <w:sz w:val="18"/>
                <w:szCs w:val="18"/>
              </w:rPr>
            </w:pPr>
            <w:r>
              <w:rPr>
                <w:rFonts w:hint="default" w:cs="宋体"/>
                <w:color w:val="000000"/>
                <w:sz w:val="18"/>
                <w:szCs w:val="18"/>
                <w:lang w:bidi="ar"/>
              </w:rPr>
              <w:t>该项目主要保障镇域13个村2个社区的人员经费和办公费用。人员经费主要保障78个常职干部77个社长的生活补助和村社区干部的保险；办公费主要保障镇域内13个村、2个社区办公费、印刷费、咨询费、手续费、水费、电费、邮电费、取暖费、物业管理费、差旅费、因公出国（境）费用、维修（护）费、租赁费、会议费、培训费、公务接待费、劳务费、委托业务费、工会经费、福利费、公务用车运行维护费、其他交通费、税金及附加费用、其他商品和服务支出、办公设备购置、专用设备购置、信息网络及软件购置更新、其他资本性支出等。</w:t>
            </w:r>
          </w:p>
        </w:tc>
        <w:tc>
          <w:tcPr>
            <w:tcW w:w="5087"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A03934">
            <w:pPr>
              <w:widowControl/>
              <w:textAlignment w:val="center"/>
              <w:rPr>
                <w:rFonts w:hint="default" w:cs="宋体"/>
                <w:color w:val="000000"/>
                <w:sz w:val="18"/>
                <w:szCs w:val="18"/>
              </w:rPr>
            </w:pPr>
            <w:r>
              <w:rPr>
                <w:rFonts w:hint="default" w:cs="宋体"/>
                <w:color w:val="000000"/>
                <w:sz w:val="18"/>
                <w:szCs w:val="18"/>
                <w:lang w:bidi="ar"/>
              </w:rPr>
              <w:t>该项目主要保障了本镇13个村2个社区的人员经费和办公费用。镇村办公经费及村社干部绩效考核资金，</w:t>
            </w:r>
            <w:r>
              <w:rPr>
                <w:rFonts w:hint="eastAsia" w:cs="宋体"/>
                <w:color w:val="000000"/>
                <w:sz w:val="18"/>
                <w:szCs w:val="18"/>
                <w:lang w:eastAsia="zh-CN" w:bidi="ar"/>
              </w:rPr>
              <w:t>截至2023年</w:t>
            </w:r>
            <w:r>
              <w:rPr>
                <w:rFonts w:hint="default" w:cs="宋体"/>
                <w:color w:val="000000"/>
                <w:sz w:val="18"/>
                <w:szCs w:val="18"/>
                <w:lang w:bidi="ar"/>
              </w:rPr>
              <w:t>12月31日，实际支付资金417.55万元，预算执行率88.49%，提高群众办事效率，确保辖区的诉求事事有人管，件件有着落、处理有结果，服务群众满意度达到了95%以上。</w:t>
            </w:r>
          </w:p>
        </w:tc>
      </w:tr>
      <w:tr w14:paraId="61C19E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16"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7E571E">
            <w:pPr>
              <w:widowControl/>
              <w:jc w:val="center"/>
              <w:textAlignment w:val="center"/>
              <w:rPr>
                <w:rFonts w:hint="default" w:cs="宋体"/>
                <w:color w:val="000000"/>
                <w:sz w:val="18"/>
                <w:szCs w:val="18"/>
              </w:rPr>
            </w:pPr>
            <w:r>
              <w:rPr>
                <w:rFonts w:hint="default" w:cs="宋体"/>
                <w:color w:val="000000"/>
                <w:sz w:val="18"/>
                <w:szCs w:val="18"/>
                <w:lang w:bidi="ar"/>
              </w:rPr>
              <w:t>绩效</w:t>
            </w:r>
            <w:r>
              <w:rPr>
                <w:rFonts w:hint="default" w:cs="宋体"/>
                <w:color w:val="000000"/>
                <w:sz w:val="18"/>
                <w:szCs w:val="18"/>
                <w:lang w:bidi="ar"/>
              </w:rPr>
              <w:br w:type="textWrapping"/>
            </w:r>
            <w:r>
              <w:rPr>
                <w:rFonts w:hint="default" w:cs="宋体"/>
                <w:color w:val="000000"/>
                <w:sz w:val="18"/>
                <w:szCs w:val="18"/>
                <w:lang w:bidi="ar"/>
              </w:rPr>
              <w:t>指标</w:t>
            </w:r>
          </w:p>
        </w:tc>
        <w:tc>
          <w:tcPr>
            <w:tcW w:w="107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5FFDE4">
            <w:pPr>
              <w:widowControl/>
              <w:jc w:val="center"/>
              <w:textAlignment w:val="center"/>
              <w:rPr>
                <w:rFonts w:hint="default" w:cs="宋体"/>
                <w:color w:val="000000"/>
                <w:sz w:val="18"/>
                <w:szCs w:val="18"/>
              </w:rPr>
            </w:pPr>
            <w:r>
              <w:rPr>
                <w:rFonts w:hint="default" w:cs="宋体"/>
                <w:color w:val="000000"/>
                <w:sz w:val="18"/>
                <w:szCs w:val="18"/>
                <w:lang w:bidi="ar"/>
              </w:rPr>
              <w:t>一级指标</w:t>
            </w:r>
          </w:p>
        </w:tc>
        <w:tc>
          <w:tcPr>
            <w:tcW w:w="107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76FE06">
            <w:pPr>
              <w:widowControl/>
              <w:jc w:val="center"/>
              <w:textAlignment w:val="center"/>
              <w:rPr>
                <w:rFonts w:hint="default" w:cs="宋体"/>
                <w:color w:val="000000"/>
                <w:sz w:val="18"/>
                <w:szCs w:val="18"/>
              </w:rPr>
            </w:pPr>
            <w:r>
              <w:rPr>
                <w:rFonts w:hint="default" w:cs="宋体"/>
                <w:color w:val="000000"/>
                <w:sz w:val="18"/>
                <w:szCs w:val="18"/>
                <w:lang w:bidi="ar"/>
              </w:rPr>
              <w:t>二级指标</w:t>
            </w:r>
          </w:p>
        </w:tc>
        <w:tc>
          <w:tcPr>
            <w:tcW w:w="263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D6B8B3">
            <w:pPr>
              <w:widowControl/>
              <w:jc w:val="center"/>
              <w:textAlignment w:val="center"/>
              <w:rPr>
                <w:rFonts w:hint="default" w:cs="宋体"/>
                <w:color w:val="000000"/>
                <w:sz w:val="18"/>
                <w:szCs w:val="18"/>
              </w:rPr>
            </w:pPr>
            <w:r>
              <w:rPr>
                <w:rFonts w:hint="default" w:cs="宋体"/>
                <w:color w:val="000000"/>
                <w:sz w:val="18"/>
                <w:szCs w:val="18"/>
                <w:lang w:bidi="ar"/>
              </w:rPr>
              <w:t>三级指标</w:t>
            </w:r>
          </w:p>
        </w:tc>
        <w:tc>
          <w:tcPr>
            <w:tcW w:w="14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E935E8">
            <w:pPr>
              <w:widowControl/>
              <w:jc w:val="center"/>
              <w:textAlignment w:val="center"/>
              <w:rPr>
                <w:rFonts w:hint="default" w:cs="宋体"/>
                <w:color w:val="000000"/>
                <w:sz w:val="18"/>
                <w:szCs w:val="18"/>
              </w:rPr>
            </w:pPr>
            <w:r>
              <w:rPr>
                <w:rFonts w:hint="default" w:cs="宋体"/>
                <w:color w:val="000000"/>
                <w:sz w:val="18"/>
                <w:szCs w:val="18"/>
                <w:lang w:bidi="ar"/>
              </w:rPr>
              <w:t>年度指标值</w:t>
            </w:r>
          </w:p>
        </w:tc>
        <w:tc>
          <w:tcPr>
            <w:tcW w:w="137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2BB1C9">
            <w:pPr>
              <w:widowControl/>
              <w:jc w:val="center"/>
              <w:textAlignment w:val="center"/>
              <w:rPr>
                <w:rFonts w:hint="default" w:cs="宋体"/>
                <w:color w:val="000000"/>
                <w:sz w:val="18"/>
                <w:szCs w:val="18"/>
              </w:rPr>
            </w:pPr>
            <w:r>
              <w:rPr>
                <w:rFonts w:hint="default" w:cs="宋体"/>
                <w:color w:val="000000"/>
                <w:sz w:val="18"/>
                <w:szCs w:val="18"/>
                <w:lang w:bidi="ar"/>
              </w:rPr>
              <w:t>实际完成值</w:t>
            </w:r>
          </w:p>
        </w:tc>
        <w:tc>
          <w:tcPr>
            <w:tcW w:w="223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89BE4A">
            <w:pPr>
              <w:widowControl/>
              <w:jc w:val="center"/>
              <w:textAlignment w:val="center"/>
              <w:rPr>
                <w:rFonts w:hint="default" w:cs="宋体"/>
                <w:color w:val="000000"/>
                <w:sz w:val="18"/>
                <w:szCs w:val="18"/>
              </w:rPr>
            </w:pPr>
            <w:r>
              <w:rPr>
                <w:rFonts w:hint="default" w:cs="宋体"/>
                <w:color w:val="000000"/>
                <w:sz w:val="18"/>
                <w:szCs w:val="18"/>
                <w:lang w:bidi="ar"/>
              </w:rPr>
              <w:t>偏差原因分析及改进措施</w:t>
            </w:r>
          </w:p>
        </w:tc>
      </w:tr>
      <w:tr w14:paraId="2FC6D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16"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53A077">
            <w:pPr>
              <w:jc w:val="center"/>
              <w:rPr>
                <w:rFonts w:hint="default" w:cs="宋体"/>
                <w:color w:val="000000"/>
                <w:sz w:val="18"/>
                <w:szCs w:val="18"/>
              </w:rPr>
            </w:pPr>
          </w:p>
        </w:tc>
        <w:tc>
          <w:tcPr>
            <w:tcW w:w="1074"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EC4052">
            <w:pPr>
              <w:widowControl/>
              <w:jc w:val="center"/>
              <w:textAlignment w:val="center"/>
              <w:rPr>
                <w:rFonts w:hint="default" w:cs="宋体"/>
                <w:color w:val="000000"/>
                <w:sz w:val="18"/>
                <w:szCs w:val="18"/>
              </w:rPr>
            </w:pPr>
            <w:r>
              <w:rPr>
                <w:rFonts w:hint="default" w:cs="宋体"/>
                <w:color w:val="000000"/>
                <w:sz w:val="18"/>
                <w:szCs w:val="18"/>
                <w:lang w:bidi="ar"/>
              </w:rPr>
              <w:t>产出指标</w:t>
            </w:r>
          </w:p>
        </w:tc>
        <w:tc>
          <w:tcPr>
            <w:tcW w:w="1072"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7F9CDC">
            <w:pPr>
              <w:widowControl/>
              <w:jc w:val="center"/>
              <w:textAlignment w:val="center"/>
              <w:rPr>
                <w:rFonts w:hint="default" w:cs="宋体"/>
                <w:color w:val="000000"/>
                <w:sz w:val="18"/>
                <w:szCs w:val="18"/>
              </w:rPr>
            </w:pPr>
            <w:r>
              <w:rPr>
                <w:rFonts w:hint="default" w:cs="宋体"/>
                <w:color w:val="000000"/>
                <w:sz w:val="18"/>
                <w:szCs w:val="18"/>
                <w:lang w:bidi="ar"/>
              </w:rPr>
              <w:t>数量指标</w:t>
            </w:r>
          </w:p>
        </w:tc>
        <w:tc>
          <w:tcPr>
            <w:tcW w:w="263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EDE33C">
            <w:pPr>
              <w:widowControl/>
              <w:jc w:val="center"/>
              <w:textAlignment w:val="center"/>
              <w:rPr>
                <w:rFonts w:hint="default" w:cs="宋体"/>
                <w:color w:val="000000"/>
                <w:sz w:val="18"/>
                <w:szCs w:val="18"/>
              </w:rPr>
            </w:pPr>
            <w:r>
              <w:rPr>
                <w:rFonts w:hint="default" w:cs="宋体"/>
                <w:color w:val="000000"/>
                <w:sz w:val="18"/>
                <w:szCs w:val="18"/>
                <w:lang w:bidi="ar"/>
              </w:rPr>
              <w:t>保障辖区村社干部生活补助人数</w:t>
            </w:r>
          </w:p>
        </w:tc>
        <w:tc>
          <w:tcPr>
            <w:tcW w:w="14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8CC489">
            <w:pPr>
              <w:widowControl/>
              <w:jc w:val="center"/>
              <w:textAlignment w:val="center"/>
              <w:rPr>
                <w:rFonts w:hint="default" w:cs="宋体"/>
                <w:color w:val="000000"/>
                <w:sz w:val="18"/>
                <w:szCs w:val="18"/>
              </w:rPr>
            </w:pPr>
            <w:r>
              <w:rPr>
                <w:rFonts w:hint="default" w:cs="宋体"/>
                <w:color w:val="000000"/>
                <w:sz w:val="18"/>
                <w:szCs w:val="18"/>
                <w:lang w:bidi="ar"/>
              </w:rPr>
              <w:t>≤155人</w:t>
            </w:r>
          </w:p>
        </w:tc>
        <w:tc>
          <w:tcPr>
            <w:tcW w:w="137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6E3469">
            <w:pPr>
              <w:widowControl/>
              <w:jc w:val="center"/>
              <w:textAlignment w:val="center"/>
              <w:rPr>
                <w:rFonts w:hint="default" w:cs="宋体"/>
                <w:color w:val="000000"/>
                <w:sz w:val="18"/>
                <w:szCs w:val="18"/>
              </w:rPr>
            </w:pPr>
            <w:r>
              <w:rPr>
                <w:rFonts w:hint="default" w:cs="宋体"/>
                <w:color w:val="000000"/>
                <w:sz w:val="18"/>
                <w:szCs w:val="18"/>
                <w:lang w:bidi="ar"/>
              </w:rPr>
              <w:t>155人</w:t>
            </w:r>
          </w:p>
        </w:tc>
        <w:tc>
          <w:tcPr>
            <w:tcW w:w="223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6DF6A8">
            <w:pPr>
              <w:jc w:val="center"/>
              <w:rPr>
                <w:rFonts w:hint="default" w:cs="宋体"/>
                <w:color w:val="000000"/>
                <w:sz w:val="18"/>
                <w:szCs w:val="18"/>
              </w:rPr>
            </w:pPr>
          </w:p>
        </w:tc>
      </w:tr>
      <w:tr w14:paraId="20CEE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16"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E6ACA9">
            <w:pPr>
              <w:jc w:val="center"/>
              <w:rPr>
                <w:rFonts w:hint="default" w:cs="宋体"/>
                <w:color w:val="000000"/>
                <w:sz w:val="18"/>
                <w:szCs w:val="18"/>
              </w:rPr>
            </w:pPr>
          </w:p>
        </w:tc>
        <w:tc>
          <w:tcPr>
            <w:tcW w:w="107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615A2F">
            <w:pPr>
              <w:jc w:val="center"/>
              <w:rPr>
                <w:rFonts w:hint="default" w:cs="宋体"/>
                <w:color w:val="000000"/>
                <w:sz w:val="18"/>
                <w:szCs w:val="18"/>
              </w:rPr>
            </w:pPr>
          </w:p>
        </w:tc>
        <w:tc>
          <w:tcPr>
            <w:tcW w:w="107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86569F">
            <w:pPr>
              <w:jc w:val="center"/>
              <w:rPr>
                <w:rFonts w:hint="default" w:cs="宋体"/>
                <w:color w:val="000000"/>
                <w:sz w:val="18"/>
                <w:szCs w:val="18"/>
              </w:rPr>
            </w:pPr>
          </w:p>
        </w:tc>
        <w:tc>
          <w:tcPr>
            <w:tcW w:w="263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A46539">
            <w:pPr>
              <w:widowControl/>
              <w:jc w:val="center"/>
              <w:textAlignment w:val="center"/>
              <w:rPr>
                <w:rFonts w:hint="default" w:cs="宋体"/>
                <w:color w:val="000000"/>
                <w:sz w:val="18"/>
                <w:szCs w:val="18"/>
              </w:rPr>
            </w:pPr>
            <w:r>
              <w:rPr>
                <w:rFonts w:hint="default" w:cs="宋体"/>
                <w:color w:val="000000"/>
                <w:sz w:val="18"/>
                <w:szCs w:val="18"/>
                <w:lang w:bidi="ar"/>
              </w:rPr>
              <w:t>辖区内13个村2个社区全覆盖</w:t>
            </w:r>
          </w:p>
        </w:tc>
        <w:tc>
          <w:tcPr>
            <w:tcW w:w="14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D8F0F2">
            <w:pPr>
              <w:widowControl/>
              <w:jc w:val="center"/>
              <w:textAlignment w:val="center"/>
              <w:rPr>
                <w:rFonts w:hint="default" w:cs="宋体"/>
                <w:color w:val="000000"/>
                <w:sz w:val="18"/>
                <w:szCs w:val="18"/>
              </w:rPr>
            </w:pPr>
            <w:r>
              <w:rPr>
                <w:rFonts w:hint="default" w:cs="宋体"/>
                <w:color w:val="000000"/>
                <w:sz w:val="18"/>
                <w:szCs w:val="18"/>
                <w:lang w:bidi="ar"/>
              </w:rPr>
              <w:t>＝15个</w:t>
            </w:r>
          </w:p>
        </w:tc>
        <w:tc>
          <w:tcPr>
            <w:tcW w:w="137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FE14A6">
            <w:pPr>
              <w:widowControl/>
              <w:jc w:val="center"/>
              <w:textAlignment w:val="center"/>
              <w:rPr>
                <w:rFonts w:hint="default" w:cs="宋体"/>
                <w:color w:val="000000"/>
                <w:sz w:val="18"/>
                <w:szCs w:val="18"/>
              </w:rPr>
            </w:pPr>
            <w:r>
              <w:rPr>
                <w:rFonts w:hint="default" w:cs="宋体"/>
                <w:color w:val="000000"/>
                <w:sz w:val="18"/>
                <w:szCs w:val="18"/>
                <w:lang w:bidi="ar"/>
              </w:rPr>
              <w:t>15个</w:t>
            </w:r>
          </w:p>
        </w:tc>
        <w:tc>
          <w:tcPr>
            <w:tcW w:w="223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3FE517">
            <w:pPr>
              <w:jc w:val="center"/>
              <w:rPr>
                <w:rFonts w:hint="default" w:cs="宋体"/>
                <w:color w:val="000000"/>
                <w:sz w:val="18"/>
                <w:szCs w:val="18"/>
              </w:rPr>
            </w:pPr>
          </w:p>
        </w:tc>
      </w:tr>
      <w:tr w14:paraId="1E16C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16"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B8DCEB">
            <w:pPr>
              <w:jc w:val="center"/>
              <w:rPr>
                <w:rFonts w:hint="default" w:cs="宋体"/>
                <w:color w:val="000000"/>
                <w:sz w:val="18"/>
                <w:szCs w:val="18"/>
              </w:rPr>
            </w:pPr>
          </w:p>
        </w:tc>
        <w:tc>
          <w:tcPr>
            <w:tcW w:w="107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5B1A9D">
            <w:pPr>
              <w:jc w:val="center"/>
              <w:rPr>
                <w:rFonts w:hint="default" w:cs="宋体"/>
                <w:color w:val="000000"/>
                <w:sz w:val="18"/>
                <w:szCs w:val="18"/>
              </w:rPr>
            </w:pPr>
          </w:p>
        </w:tc>
        <w:tc>
          <w:tcPr>
            <w:tcW w:w="107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B417AE">
            <w:pPr>
              <w:widowControl/>
              <w:jc w:val="center"/>
              <w:textAlignment w:val="center"/>
              <w:rPr>
                <w:rFonts w:hint="default" w:cs="宋体"/>
                <w:color w:val="000000"/>
                <w:sz w:val="18"/>
                <w:szCs w:val="18"/>
              </w:rPr>
            </w:pPr>
            <w:r>
              <w:rPr>
                <w:rFonts w:hint="default" w:cs="宋体"/>
                <w:color w:val="000000"/>
                <w:sz w:val="18"/>
                <w:szCs w:val="18"/>
                <w:lang w:bidi="ar"/>
              </w:rPr>
              <w:t>质量指标</w:t>
            </w:r>
          </w:p>
        </w:tc>
        <w:tc>
          <w:tcPr>
            <w:tcW w:w="263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FD00E0">
            <w:pPr>
              <w:widowControl/>
              <w:jc w:val="center"/>
              <w:textAlignment w:val="center"/>
              <w:rPr>
                <w:rFonts w:hint="default" w:cs="宋体"/>
                <w:color w:val="000000"/>
                <w:sz w:val="18"/>
                <w:szCs w:val="18"/>
              </w:rPr>
            </w:pPr>
            <w:r>
              <w:rPr>
                <w:rFonts w:hint="default" w:cs="宋体"/>
                <w:color w:val="000000"/>
                <w:sz w:val="18"/>
                <w:szCs w:val="18"/>
                <w:lang w:bidi="ar"/>
              </w:rPr>
              <w:t>保障村社区运转正常，办公质量高效</w:t>
            </w:r>
          </w:p>
        </w:tc>
        <w:tc>
          <w:tcPr>
            <w:tcW w:w="14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D48175">
            <w:pPr>
              <w:widowControl/>
              <w:jc w:val="center"/>
              <w:textAlignment w:val="center"/>
              <w:rPr>
                <w:rFonts w:hint="default" w:cs="宋体"/>
                <w:color w:val="000000"/>
                <w:sz w:val="18"/>
                <w:szCs w:val="18"/>
              </w:rPr>
            </w:pPr>
            <w:r>
              <w:rPr>
                <w:rFonts w:hint="default" w:cs="宋体"/>
                <w:color w:val="000000"/>
                <w:sz w:val="18"/>
                <w:szCs w:val="18"/>
                <w:lang w:bidi="ar"/>
              </w:rPr>
              <w:t>优</w:t>
            </w:r>
          </w:p>
        </w:tc>
        <w:tc>
          <w:tcPr>
            <w:tcW w:w="137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56A168">
            <w:pPr>
              <w:widowControl/>
              <w:jc w:val="center"/>
              <w:textAlignment w:val="center"/>
              <w:rPr>
                <w:rFonts w:hint="default" w:cs="宋体"/>
                <w:color w:val="000000"/>
                <w:sz w:val="18"/>
                <w:szCs w:val="18"/>
              </w:rPr>
            </w:pPr>
            <w:r>
              <w:rPr>
                <w:rFonts w:hint="default" w:cs="宋体"/>
                <w:color w:val="000000"/>
                <w:sz w:val="18"/>
                <w:szCs w:val="18"/>
                <w:lang w:bidi="ar"/>
              </w:rPr>
              <w:t>优</w:t>
            </w:r>
          </w:p>
        </w:tc>
        <w:tc>
          <w:tcPr>
            <w:tcW w:w="223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0837CE">
            <w:pPr>
              <w:jc w:val="center"/>
              <w:rPr>
                <w:rFonts w:hint="default" w:cs="宋体"/>
                <w:color w:val="000000"/>
                <w:sz w:val="18"/>
                <w:szCs w:val="18"/>
              </w:rPr>
            </w:pPr>
          </w:p>
        </w:tc>
      </w:tr>
      <w:tr w14:paraId="73DF9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16"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A30584">
            <w:pPr>
              <w:jc w:val="center"/>
              <w:rPr>
                <w:rFonts w:hint="default" w:cs="宋体"/>
                <w:color w:val="000000"/>
                <w:sz w:val="18"/>
                <w:szCs w:val="18"/>
              </w:rPr>
            </w:pPr>
          </w:p>
        </w:tc>
        <w:tc>
          <w:tcPr>
            <w:tcW w:w="107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80CC67">
            <w:pPr>
              <w:jc w:val="center"/>
              <w:rPr>
                <w:rFonts w:hint="default" w:cs="宋体"/>
                <w:color w:val="000000"/>
                <w:sz w:val="18"/>
                <w:szCs w:val="18"/>
              </w:rPr>
            </w:pPr>
          </w:p>
        </w:tc>
        <w:tc>
          <w:tcPr>
            <w:tcW w:w="107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B4C815">
            <w:pPr>
              <w:widowControl/>
              <w:jc w:val="center"/>
              <w:textAlignment w:val="center"/>
              <w:rPr>
                <w:rFonts w:hint="default" w:cs="宋体"/>
                <w:color w:val="000000"/>
                <w:sz w:val="18"/>
                <w:szCs w:val="18"/>
              </w:rPr>
            </w:pPr>
            <w:r>
              <w:rPr>
                <w:rFonts w:hint="default" w:cs="宋体"/>
                <w:color w:val="000000"/>
                <w:sz w:val="18"/>
                <w:szCs w:val="18"/>
                <w:lang w:bidi="ar"/>
              </w:rPr>
              <w:t>时效指标</w:t>
            </w:r>
          </w:p>
        </w:tc>
        <w:tc>
          <w:tcPr>
            <w:tcW w:w="263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6414AD">
            <w:pPr>
              <w:widowControl/>
              <w:jc w:val="center"/>
              <w:textAlignment w:val="center"/>
              <w:rPr>
                <w:rFonts w:hint="default" w:cs="宋体"/>
                <w:color w:val="000000"/>
                <w:sz w:val="18"/>
                <w:szCs w:val="18"/>
              </w:rPr>
            </w:pPr>
            <w:r>
              <w:rPr>
                <w:rFonts w:hint="default" w:cs="宋体"/>
                <w:color w:val="000000"/>
                <w:sz w:val="18"/>
                <w:szCs w:val="18"/>
                <w:lang w:bidi="ar"/>
              </w:rPr>
              <w:t>项目使用期限为2023年1月1日</w:t>
            </w:r>
            <w:r>
              <w:rPr>
                <w:rFonts w:hint="eastAsia" w:cs="宋体"/>
                <w:color w:val="000000"/>
                <w:sz w:val="18"/>
                <w:szCs w:val="18"/>
                <w:lang w:eastAsia="zh-CN" w:bidi="ar"/>
              </w:rPr>
              <w:t>—</w:t>
            </w:r>
            <w:r>
              <w:rPr>
                <w:rFonts w:hint="default" w:cs="宋体"/>
                <w:color w:val="000000"/>
                <w:sz w:val="18"/>
                <w:szCs w:val="18"/>
                <w:lang w:bidi="ar"/>
              </w:rPr>
              <w:t>2023年12月31日止</w:t>
            </w:r>
          </w:p>
        </w:tc>
        <w:tc>
          <w:tcPr>
            <w:tcW w:w="14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ABDECB">
            <w:pPr>
              <w:widowControl/>
              <w:jc w:val="center"/>
              <w:textAlignment w:val="center"/>
              <w:rPr>
                <w:rFonts w:hint="default" w:cs="宋体"/>
                <w:color w:val="000000"/>
                <w:sz w:val="18"/>
                <w:szCs w:val="18"/>
              </w:rPr>
            </w:pPr>
            <w:r>
              <w:rPr>
                <w:rFonts w:hint="default" w:cs="宋体"/>
                <w:color w:val="000000"/>
                <w:sz w:val="18"/>
                <w:szCs w:val="18"/>
                <w:lang w:bidi="ar"/>
              </w:rPr>
              <w:t>≥1年</w:t>
            </w:r>
          </w:p>
        </w:tc>
        <w:tc>
          <w:tcPr>
            <w:tcW w:w="137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D062BB">
            <w:pPr>
              <w:widowControl/>
              <w:jc w:val="center"/>
              <w:textAlignment w:val="center"/>
              <w:rPr>
                <w:rFonts w:hint="default" w:cs="宋体"/>
                <w:color w:val="000000"/>
                <w:sz w:val="18"/>
                <w:szCs w:val="18"/>
              </w:rPr>
            </w:pPr>
            <w:r>
              <w:rPr>
                <w:rFonts w:hint="default" w:cs="宋体"/>
                <w:color w:val="000000"/>
                <w:sz w:val="18"/>
                <w:szCs w:val="18"/>
                <w:lang w:bidi="ar"/>
              </w:rPr>
              <w:t>≥1年</w:t>
            </w:r>
          </w:p>
        </w:tc>
        <w:tc>
          <w:tcPr>
            <w:tcW w:w="223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F28EAE">
            <w:pPr>
              <w:jc w:val="center"/>
              <w:rPr>
                <w:rFonts w:hint="default" w:cs="宋体"/>
                <w:color w:val="000000"/>
                <w:sz w:val="18"/>
                <w:szCs w:val="18"/>
              </w:rPr>
            </w:pPr>
          </w:p>
        </w:tc>
      </w:tr>
      <w:tr w14:paraId="0879B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16"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B8B847">
            <w:pPr>
              <w:jc w:val="center"/>
              <w:rPr>
                <w:rFonts w:hint="default" w:cs="宋体"/>
                <w:color w:val="000000"/>
                <w:sz w:val="18"/>
                <w:szCs w:val="18"/>
              </w:rPr>
            </w:pPr>
          </w:p>
        </w:tc>
        <w:tc>
          <w:tcPr>
            <w:tcW w:w="107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B583A1">
            <w:pPr>
              <w:jc w:val="center"/>
              <w:rPr>
                <w:rFonts w:hint="default" w:cs="宋体"/>
                <w:color w:val="000000"/>
                <w:sz w:val="18"/>
                <w:szCs w:val="18"/>
              </w:rPr>
            </w:pPr>
          </w:p>
        </w:tc>
        <w:tc>
          <w:tcPr>
            <w:tcW w:w="1072"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D5C76B">
            <w:pPr>
              <w:widowControl/>
              <w:jc w:val="center"/>
              <w:textAlignment w:val="center"/>
              <w:rPr>
                <w:rFonts w:hint="default" w:cs="宋体"/>
                <w:color w:val="000000"/>
                <w:sz w:val="18"/>
                <w:szCs w:val="18"/>
              </w:rPr>
            </w:pPr>
            <w:r>
              <w:rPr>
                <w:rFonts w:hint="default" w:cs="宋体"/>
                <w:color w:val="000000"/>
                <w:sz w:val="18"/>
                <w:szCs w:val="18"/>
                <w:lang w:bidi="ar"/>
              </w:rPr>
              <w:t>成本指标</w:t>
            </w:r>
          </w:p>
        </w:tc>
        <w:tc>
          <w:tcPr>
            <w:tcW w:w="263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F226E3">
            <w:pPr>
              <w:widowControl/>
              <w:jc w:val="center"/>
              <w:textAlignment w:val="center"/>
              <w:rPr>
                <w:rFonts w:hint="default" w:cs="宋体"/>
                <w:color w:val="000000"/>
                <w:sz w:val="18"/>
                <w:szCs w:val="18"/>
              </w:rPr>
            </w:pPr>
            <w:r>
              <w:rPr>
                <w:rFonts w:hint="default" w:cs="宋体"/>
                <w:color w:val="000000"/>
                <w:sz w:val="18"/>
                <w:szCs w:val="18"/>
                <w:lang w:bidi="ar"/>
              </w:rPr>
              <w:t>村社区办公经费全年预算控制额</w:t>
            </w:r>
          </w:p>
        </w:tc>
        <w:tc>
          <w:tcPr>
            <w:tcW w:w="14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E4E812">
            <w:pPr>
              <w:widowControl/>
              <w:jc w:val="center"/>
              <w:textAlignment w:val="center"/>
              <w:rPr>
                <w:rFonts w:hint="default" w:cs="宋体"/>
                <w:color w:val="000000"/>
                <w:sz w:val="18"/>
                <w:szCs w:val="18"/>
              </w:rPr>
            </w:pPr>
            <w:r>
              <w:rPr>
                <w:rFonts w:hint="default" w:cs="宋体"/>
                <w:color w:val="000000"/>
                <w:sz w:val="18"/>
                <w:szCs w:val="18"/>
                <w:lang w:bidi="ar"/>
              </w:rPr>
              <w:t>=72万元</w:t>
            </w:r>
          </w:p>
        </w:tc>
        <w:tc>
          <w:tcPr>
            <w:tcW w:w="137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72E3DC">
            <w:pPr>
              <w:widowControl/>
              <w:jc w:val="center"/>
              <w:textAlignment w:val="center"/>
              <w:rPr>
                <w:rFonts w:hint="default" w:cs="宋体"/>
                <w:color w:val="000000"/>
                <w:sz w:val="18"/>
                <w:szCs w:val="18"/>
              </w:rPr>
            </w:pPr>
            <w:r>
              <w:rPr>
                <w:rFonts w:hint="default" w:cs="宋体"/>
                <w:color w:val="000000"/>
                <w:sz w:val="18"/>
                <w:szCs w:val="18"/>
                <w:lang w:bidi="ar"/>
              </w:rPr>
              <w:t>47万元</w:t>
            </w:r>
          </w:p>
        </w:tc>
        <w:tc>
          <w:tcPr>
            <w:tcW w:w="223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B52933">
            <w:pPr>
              <w:widowControl/>
              <w:jc w:val="center"/>
              <w:textAlignment w:val="center"/>
              <w:rPr>
                <w:rFonts w:hint="default" w:cs="宋体"/>
                <w:color w:val="000000"/>
                <w:sz w:val="18"/>
                <w:szCs w:val="18"/>
              </w:rPr>
            </w:pPr>
            <w:r>
              <w:rPr>
                <w:rFonts w:hint="default" w:cs="宋体"/>
                <w:color w:val="000000"/>
                <w:sz w:val="18"/>
                <w:szCs w:val="18"/>
                <w:lang w:bidi="ar"/>
              </w:rPr>
              <w:t>年底计划未审核</w:t>
            </w:r>
          </w:p>
        </w:tc>
      </w:tr>
      <w:tr w14:paraId="3FC83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16"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B74DD0">
            <w:pPr>
              <w:jc w:val="center"/>
              <w:rPr>
                <w:rFonts w:hint="default" w:cs="宋体"/>
                <w:color w:val="000000"/>
                <w:sz w:val="18"/>
                <w:szCs w:val="18"/>
              </w:rPr>
            </w:pPr>
          </w:p>
        </w:tc>
        <w:tc>
          <w:tcPr>
            <w:tcW w:w="107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10D01D">
            <w:pPr>
              <w:jc w:val="center"/>
              <w:rPr>
                <w:rFonts w:hint="default" w:cs="宋体"/>
                <w:color w:val="000000"/>
                <w:sz w:val="18"/>
                <w:szCs w:val="18"/>
              </w:rPr>
            </w:pPr>
          </w:p>
        </w:tc>
        <w:tc>
          <w:tcPr>
            <w:tcW w:w="107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F8C046">
            <w:pPr>
              <w:jc w:val="center"/>
              <w:rPr>
                <w:rFonts w:hint="default" w:cs="宋体"/>
                <w:color w:val="000000"/>
                <w:sz w:val="18"/>
                <w:szCs w:val="18"/>
              </w:rPr>
            </w:pPr>
          </w:p>
        </w:tc>
        <w:tc>
          <w:tcPr>
            <w:tcW w:w="263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554ACF">
            <w:pPr>
              <w:widowControl/>
              <w:jc w:val="center"/>
              <w:textAlignment w:val="center"/>
              <w:rPr>
                <w:rFonts w:hint="default" w:cs="宋体"/>
                <w:color w:val="000000"/>
                <w:sz w:val="18"/>
                <w:szCs w:val="18"/>
              </w:rPr>
            </w:pPr>
            <w:r>
              <w:rPr>
                <w:rFonts w:hint="default" w:cs="宋体"/>
                <w:color w:val="000000"/>
                <w:sz w:val="18"/>
                <w:szCs w:val="18"/>
                <w:lang w:bidi="ar"/>
              </w:rPr>
              <w:t>村社区专职干部保险全年预算控制额</w:t>
            </w:r>
          </w:p>
        </w:tc>
        <w:tc>
          <w:tcPr>
            <w:tcW w:w="14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F55ACC">
            <w:pPr>
              <w:widowControl/>
              <w:jc w:val="center"/>
              <w:textAlignment w:val="center"/>
              <w:rPr>
                <w:rFonts w:hint="default" w:cs="宋体"/>
                <w:color w:val="000000"/>
                <w:sz w:val="18"/>
                <w:szCs w:val="18"/>
              </w:rPr>
            </w:pPr>
            <w:r>
              <w:rPr>
                <w:rFonts w:hint="default" w:cs="宋体"/>
                <w:color w:val="000000"/>
                <w:sz w:val="18"/>
                <w:szCs w:val="18"/>
                <w:lang w:bidi="ar"/>
              </w:rPr>
              <w:t>≤12.58万元</w:t>
            </w:r>
          </w:p>
        </w:tc>
        <w:tc>
          <w:tcPr>
            <w:tcW w:w="137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9EC889">
            <w:pPr>
              <w:widowControl/>
              <w:jc w:val="center"/>
              <w:textAlignment w:val="center"/>
              <w:rPr>
                <w:rFonts w:hint="default" w:cs="宋体"/>
                <w:color w:val="000000"/>
                <w:sz w:val="18"/>
                <w:szCs w:val="18"/>
              </w:rPr>
            </w:pPr>
            <w:r>
              <w:rPr>
                <w:rFonts w:hint="default" w:cs="宋体"/>
                <w:color w:val="000000"/>
                <w:sz w:val="18"/>
                <w:szCs w:val="18"/>
                <w:lang w:bidi="ar"/>
              </w:rPr>
              <w:t>12.58万元</w:t>
            </w:r>
          </w:p>
        </w:tc>
        <w:tc>
          <w:tcPr>
            <w:tcW w:w="223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26AB4A">
            <w:pPr>
              <w:jc w:val="center"/>
              <w:rPr>
                <w:rFonts w:hint="default" w:cs="宋体"/>
                <w:color w:val="000000"/>
                <w:sz w:val="18"/>
                <w:szCs w:val="18"/>
              </w:rPr>
            </w:pPr>
          </w:p>
        </w:tc>
      </w:tr>
      <w:tr w14:paraId="760F3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16"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BC8819">
            <w:pPr>
              <w:jc w:val="center"/>
              <w:rPr>
                <w:rFonts w:hint="default" w:cs="宋体"/>
                <w:color w:val="000000"/>
                <w:sz w:val="18"/>
                <w:szCs w:val="18"/>
              </w:rPr>
            </w:pPr>
          </w:p>
        </w:tc>
        <w:tc>
          <w:tcPr>
            <w:tcW w:w="107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087B1E">
            <w:pPr>
              <w:jc w:val="center"/>
              <w:rPr>
                <w:rFonts w:hint="default" w:cs="宋体"/>
                <w:color w:val="000000"/>
                <w:sz w:val="18"/>
                <w:szCs w:val="18"/>
              </w:rPr>
            </w:pPr>
          </w:p>
        </w:tc>
        <w:tc>
          <w:tcPr>
            <w:tcW w:w="107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E2FC66">
            <w:pPr>
              <w:jc w:val="center"/>
              <w:rPr>
                <w:rFonts w:hint="default" w:cs="宋体"/>
                <w:color w:val="000000"/>
                <w:sz w:val="18"/>
                <w:szCs w:val="18"/>
              </w:rPr>
            </w:pPr>
          </w:p>
        </w:tc>
        <w:tc>
          <w:tcPr>
            <w:tcW w:w="263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04672F">
            <w:pPr>
              <w:widowControl/>
              <w:jc w:val="center"/>
              <w:textAlignment w:val="center"/>
              <w:rPr>
                <w:rFonts w:hint="default" w:cs="宋体"/>
                <w:color w:val="000000"/>
                <w:sz w:val="18"/>
                <w:szCs w:val="18"/>
              </w:rPr>
            </w:pPr>
            <w:r>
              <w:rPr>
                <w:rFonts w:hint="default" w:cs="宋体"/>
                <w:color w:val="000000"/>
                <w:sz w:val="18"/>
                <w:szCs w:val="18"/>
                <w:lang w:bidi="ar"/>
              </w:rPr>
              <w:t>2022年度村组干部绩效考核资金</w:t>
            </w:r>
          </w:p>
        </w:tc>
        <w:tc>
          <w:tcPr>
            <w:tcW w:w="14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88FA64">
            <w:pPr>
              <w:widowControl/>
              <w:jc w:val="center"/>
              <w:textAlignment w:val="center"/>
              <w:rPr>
                <w:rFonts w:hint="default" w:cs="宋体"/>
                <w:color w:val="000000"/>
                <w:sz w:val="18"/>
                <w:szCs w:val="18"/>
              </w:rPr>
            </w:pPr>
            <w:r>
              <w:rPr>
                <w:rFonts w:hint="default" w:cs="宋体"/>
                <w:color w:val="000000"/>
                <w:sz w:val="18"/>
                <w:szCs w:val="18"/>
                <w:lang w:bidi="ar"/>
              </w:rPr>
              <w:t>=34.53万元</w:t>
            </w:r>
          </w:p>
        </w:tc>
        <w:tc>
          <w:tcPr>
            <w:tcW w:w="137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10D104">
            <w:pPr>
              <w:widowControl/>
              <w:jc w:val="center"/>
              <w:textAlignment w:val="center"/>
              <w:rPr>
                <w:rFonts w:hint="default" w:cs="宋体"/>
                <w:color w:val="000000"/>
                <w:sz w:val="18"/>
                <w:szCs w:val="18"/>
              </w:rPr>
            </w:pPr>
            <w:r>
              <w:rPr>
                <w:rFonts w:hint="default" w:cs="宋体"/>
                <w:color w:val="000000"/>
                <w:sz w:val="18"/>
                <w:szCs w:val="18"/>
                <w:lang w:bidi="ar"/>
              </w:rPr>
              <w:t>34.53万元</w:t>
            </w:r>
          </w:p>
        </w:tc>
        <w:tc>
          <w:tcPr>
            <w:tcW w:w="223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CBD2D3">
            <w:pPr>
              <w:jc w:val="center"/>
              <w:rPr>
                <w:rFonts w:hint="default" w:cs="宋体"/>
                <w:color w:val="000000"/>
                <w:sz w:val="18"/>
                <w:szCs w:val="18"/>
              </w:rPr>
            </w:pPr>
          </w:p>
        </w:tc>
      </w:tr>
      <w:tr w14:paraId="3172A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16"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BC0867">
            <w:pPr>
              <w:jc w:val="center"/>
              <w:rPr>
                <w:rFonts w:hint="default" w:cs="宋体"/>
                <w:color w:val="000000"/>
                <w:sz w:val="18"/>
                <w:szCs w:val="18"/>
              </w:rPr>
            </w:pPr>
          </w:p>
        </w:tc>
        <w:tc>
          <w:tcPr>
            <w:tcW w:w="107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6D591E">
            <w:pPr>
              <w:jc w:val="center"/>
              <w:rPr>
                <w:rFonts w:hint="default" w:cs="宋体"/>
                <w:color w:val="000000"/>
                <w:sz w:val="18"/>
                <w:szCs w:val="18"/>
              </w:rPr>
            </w:pPr>
          </w:p>
        </w:tc>
        <w:tc>
          <w:tcPr>
            <w:tcW w:w="107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F7F8AF">
            <w:pPr>
              <w:jc w:val="center"/>
              <w:rPr>
                <w:rFonts w:hint="default" w:cs="宋体"/>
                <w:color w:val="000000"/>
                <w:sz w:val="18"/>
                <w:szCs w:val="18"/>
              </w:rPr>
            </w:pPr>
          </w:p>
        </w:tc>
        <w:tc>
          <w:tcPr>
            <w:tcW w:w="263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CC15C9">
            <w:pPr>
              <w:widowControl/>
              <w:jc w:val="center"/>
              <w:textAlignment w:val="center"/>
              <w:rPr>
                <w:rFonts w:hint="default" w:cs="宋体"/>
                <w:color w:val="000000"/>
                <w:sz w:val="18"/>
                <w:szCs w:val="18"/>
              </w:rPr>
            </w:pPr>
            <w:r>
              <w:rPr>
                <w:rFonts w:hint="default" w:cs="宋体"/>
                <w:color w:val="000000"/>
                <w:sz w:val="18"/>
                <w:szCs w:val="18"/>
                <w:lang w:bidi="ar"/>
              </w:rPr>
              <w:t>太公镇镇村办公经费</w:t>
            </w:r>
          </w:p>
        </w:tc>
        <w:tc>
          <w:tcPr>
            <w:tcW w:w="14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5C9F5A">
            <w:pPr>
              <w:widowControl/>
              <w:jc w:val="center"/>
              <w:textAlignment w:val="center"/>
              <w:rPr>
                <w:rFonts w:hint="default" w:cs="宋体"/>
                <w:color w:val="000000"/>
                <w:sz w:val="18"/>
                <w:szCs w:val="18"/>
              </w:rPr>
            </w:pPr>
            <w:r>
              <w:rPr>
                <w:rFonts w:hint="default" w:cs="宋体"/>
                <w:color w:val="000000"/>
                <w:sz w:val="18"/>
                <w:szCs w:val="18"/>
                <w:lang w:bidi="ar"/>
              </w:rPr>
              <w:t>=67.94万元</w:t>
            </w:r>
          </w:p>
        </w:tc>
        <w:tc>
          <w:tcPr>
            <w:tcW w:w="137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D34BA4">
            <w:pPr>
              <w:widowControl/>
              <w:jc w:val="center"/>
              <w:textAlignment w:val="center"/>
              <w:rPr>
                <w:rFonts w:hint="default" w:cs="宋体"/>
                <w:color w:val="000000"/>
                <w:sz w:val="18"/>
                <w:szCs w:val="18"/>
              </w:rPr>
            </w:pPr>
            <w:r>
              <w:rPr>
                <w:rFonts w:hint="default" w:cs="宋体"/>
                <w:color w:val="000000"/>
                <w:sz w:val="18"/>
                <w:szCs w:val="18"/>
                <w:lang w:bidi="ar"/>
              </w:rPr>
              <w:t>58.35万元</w:t>
            </w:r>
          </w:p>
        </w:tc>
        <w:tc>
          <w:tcPr>
            <w:tcW w:w="223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D47450">
            <w:pPr>
              <w:widowControl/>
              <w:jc w:val="center"/>
              <w:textAlignment w:val="center"/>
              <w:rPr>
                <w:rFonts w:hint="default" w:cs="宋体"/>
                <w:color w:val="000000"/>
                <w:sz w:val="18"/>
                <w:szCs w:val="18"/>
              </w:rPr>
            </w:pPr>
            <w:r>
              <w:rPr>
                <w:rFonts w:hint="default" w:cs="宋体"/>
                <w:color w:val="000000"/>
                <w:sz w:val="18"/>
                <w:szCs w:val="18"/>
                <w:lang w:bidi="ar"/>
              </w:rPr>
              <w:t>年底计划未审核</w:t>
            </w:r>
          </w:p>
        </w:tc>
      </w:tr>
      <w:tr w14:paraId="27DBF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16"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7D93FA">
            <w:pPr>
              <w:jc w:val="center"/>
              <w:rPr>
                <w:rFonts w:hint="default" w:cs="宋体"/>
                <w:color w:val="000000"/>
                <w:sz w:val="18"/>
                <w:szCs w:val="18"/>
              </w:rPr>
            </w:pPr>
          </w:p>
        </w:tc>
        <w:tc>
          <w:tcPr>
            <w:tcW w:w="107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9129C1">
            <w:pPr>
              <w:jc w:val="center"/>
              <w:rPr>
                <w:rFonts w:hint="default" w:cs="宋体"/>
                <w:color w:val="000000"/>
                <w:sz w:val="18"/>
                <w:szCs w:val="18"/>
              </w:rPr>
            </w:pPr>
          </w:p>
        </w:tc>
        <w:tc>
          <w:tcPr>
            <w:tcW w:w="107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346A3B">
            <w:pPr>
              <w:jc w:val="center"/>
              <w:rPr>
                <w:rFonts w:hint="default" w:cs="宋体"/>
                <w:color w:val="000000"/>
                <w:sz w:val="18"/>
                <w:szCs w:val="18"/>
              </w:rPr>
            </w:pPr>
          </w:p>
        </w:tc>
        <w:tc>
          <w:tcPr>
            <w:tcW w:w="263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5E696B">
            <w:pPr>
              <w:widowControl/>
              <w:jc w:val="center"/>
              <w:textAlignment w:val="center"/>
              <w:rPr>
                <w:rFonts w:hint="default" w:cs="宋体"/>
                <w:color w:val="000000"/>
                <w:sz w:val="18"/>
                <w:szCs w:val="18"/>
              </w:rPr>
            </w:pPr>
            <w:r>
              <w:rPr>
                <w:rFonts w:hint="default" w:cs="宋体"/>
                <w:color w:val="000000"/>
                <w:sz w:val="18"/>
                <w:szCs w:val="18"/>
                <w:lang w:bidi="ar"/>
              </w:rPr>
              <w:t>村社社区干部全年人员工资全年预算控制额</w:t>
            </w:r>
          </w:p>
        </w:tc>
        <w:tc>
          <w:tcPr>
            <w:tcW w:w="14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1B01AC">
            <w:pPr>
              <w:widowControl/>
              <w:jc w:val="center"/>
              <w:textAlignment w:val="center"/>
              <w:rPr>
                <w:rFonts w:hint="default" w:cs="宋体"/>
                <w:color w:val="000000"/>
                <w:sz w:val="18"/>
                <w:szCs w:val="18"/>
              </w:rPr>
            </w:pPr>
            <w:r>
              <w:rPr>
                <w:rFonts w:hint="default" w:cs="宋体"/>
                <w:color w:val="000000"/>
                <w:sz w:val="18"/>
                <w:szCs w:val="18"/>
                <w:lang w:bidi="ar"/>
              </w:rPr>
              <w:t>=265.09万元</w:t>
            </w:r>
          </w:p>
        </w:tc>
        <w:tc>
          <w:tcPr>
            <w:tcW w:w="137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F85EEC">
            <w:pPr>
              <w:widowControl/>
              <w:jc w:val="center"/>
              <w:textAlignment w:val="center"/>
              <w:rPr>
                <w:rFonts w:hint="default" w:cs="宋体"/>
                <w:color w:val="000000"/>
                <w:sz w:val="18"/>
                <w:szCs w:val="18"/>
              </w:rPr>
            </w:pPr>
            <w:r>
              <w:rPr>
                <w:rFonts w:hint="default" w:cs="宋体"/>
                <w:color w:val="000000"/>
                <w:sz w:val="18"/>
                <w:szCs w:val="18"/>
                <w:lang w:bidi="ar"/>
              </w:rPr>
              <w:t>265.09万元</w:t>
            </w:r>
          </w:p>
        </w:tc>
        <w:tc>
          <w:tcPr>
            <w:tcW w:w="223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54A22E">
            <w:pPr>
              <w:jc w:val="center"/>
              <w:rPr>
                <w:rFonts w:hint="default" w:cs="宋体"/>
                <w:color w:val="000000"/>
                <w:sz w:val="18"/>
                <w:szCs w:val="18"/>
              </w:rPr>
            </w:pPr>
          </w:p>
        </w:tc>
      </w:tr>
      <w:tr w14:paraId="4CF7E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16"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991B8F">
            <w:pPr>
              <w:jc w:val="center"/>
              <w:rPr>
                <w:rFonts w:hint="default" w:cs="宋体"/>
                <w:color w:val="000000"/>
                <w:sz w:val="18"/>
                <w:szCs w:val="18"/>
              </w:rPr>
            </w:pPr>
          </w:p>
        </w:tc>
        <w:tc>
          <w:tcPr>
            <w:tcW w:w="107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2A04E3">
            <w:pPr>
              <w:widowControl/>
              <w:jc w:val="center"/>
              <w:textAlignment w:val="center"/>
              <w:rPr>
                <w:rFonts w:hint="default" w:cs="宋体"/>
                <w:color w:val="000000"/>
                <w:sz w:val="18"/>
                <w:szCs w:val="18"/>
              </w:rPr>
            </w:pPr>
            <w:r>
              <w:rPr>
                <w:rFonts w:hint="default" w:cs="宋体"/>
                <w:color w:val="000000"/>
                <w:sz w:val="18"/>
                <w:szCs w:val="18"/>
                <w:lang w:bidi="ar"/>
              </w:rPr>
              <w:t>效益指标</w:t>
            </w:r>
          </w:p>
        </w:tc>
        <w:tc>
          <w:tcPr>
            <w:tcW w:w="1072" w:type="dxa"/>
            <w:tcBorders>
              <w:top w:val="single" w:color="000000" w:sz="4" w:space="0"/>
              <w:left w:val="single" w:color="000000" w:sz="4" w:space="0"/>
              <w:bottom w:val="nil"/>
              <w:right w:val="single" w:color="000000" w:sz="4" w:space="0"/>
              <w:tl2br w:val="nil"/>
              <w:tr2bl w:val="nil"/>
            </w:tcBorders>
            <w:noWrap w:val="0"/>
            <w:vAlign w:val="center"/>
          </w:tcPr>
          <w:p w14:paraId="4733DCF7">
            <w:pPr>
              <w:widowControl/>
              <w:jc w:val="center"/>
              <w:textAlignment w:val="center"/>
              <w:rPr>
                <w:rFonts w:hint="default" w:cs="宋体"/>
                <w:color w:val="000000"/>
                <w:sz w:val="18"/>
                <w:szCs w:val="18"/>
              </w:rPr>
            </w:pPr>
            <w:r>
              <w:rPr>
                <w:rFonts w:hint="default" w:cs="宋体"/>
                <w:color w:val="000000"/>
                <w:sz w:val="18"/>
                <w:szCs w:val="18"/>
                <w:lang w:bidi="ar"/>
              </w:rPr>
              <w:t>社会效益</w:t>
            </w:r>
            <w:r>
              <w:rPr>
                <w:rFonts w:hint="default" w:cs="宋体"/>
                <w:color w:val="000000"/>
                <w:sz w:val="18"/>
                <w:szCs w:val="18"/>
                <w:lang w:bidi="ar"/>
              </w:rPr>
              <w:br w:type="textWrapping"/>
            </w:r>
            <w:r>
              <w:rPr>
                <w:rFonts w:hint="default" w:cs="宋体"/>
                <w:color w:val="000000"/>
                <w:sz w:val="18"/>
                <w:szCs w:val="18"/>
                <w:lang w:bidi="ar"/>
              </w:rPr>
              <w:t>指标</w:t>
            </w:r>
          </w:p>
        </w:tc>
        <w:tc>
          <w:tcPr>
            <w:tcW w:w="263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8BCCD5">
            <w:pPr>
              <w:widowControl/>
              <w:jc w:val="center"/>
              <w:textAlignment w:val="center"/>
              <w:rPr>
                <w:rFonts w:hint="default" w:cs="宋体"/>
                <w:color w:val="000000"/>
                <w:sz w:val="18"/>
                <w:szCs w:val="18"/>
              </w:rPr>
            </w:pPr>
            <w:r>
              <w:rPr>
                <w:rFonts w:hint="default" w:cs="宋体"/>
                <w:color w:val="000000"/>
                <w:sz w:val="18"/>
                <w:szCs w:val="18"/>
                <w:lang w:bidi="ar"/>
              </w:rPr>
              <w:t>提高群众办事效率，确保辖区的诉求事事有人管，件件有着落、处理有结果</w:t>
            </w:r>
          </w:p>
        </w:tc>
        <w:tc>
          <w:tcPr>
            <w:tcW w:w="14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890DF5">
            <w:pPr>
              <w:widowControl/>
              <w:jc w:val="center"/>
              <w:textAlignment w:val="center"/>
              <w:rPr>
                <w:rFonts w:hint="default" w:cs="宋体"/>
                <w:color w:val="000000"/>
                <w:sz w:val="18"/>
                <w:szCs w:val="18"/>
              </w:rPr>
            </w:pPr>
            <w:r>
              <w:rPr>
                <w:rFonts w:hint="default" w:cs="宋体"/>
                <w:color w:val="000000"/>
                <w:sz w:val="18"/>
                <w:szCs w:val="18"/>
                <w:lang w:bidi="ar"/>
              </w:rPr>
              <w:t>优</w:t>
            </w:r>
          </w:p>
        </w:tc>
        <w:tc>
          <w:tcPr>
            <w:tcW w:w="137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6FEBA8">
            <w:pPr>
              <w:widowControl/>
              <w:jc w:val="center"/>
              <w:textAlignment w:val="center"/>
              <w:rPr>
                <w:rFonts w:hint="default" w:cs="宋体"/>
                <w:color w:val="000000"/>
                <w:sz w:val="18"/>
                <w:szCs w:val="18"/>
              </w:rPr>
            </w:pPr>
            <w:r>
              <w:rPr>
                <w:rFonts w:hint="default" w:cs="宋体"/>
                <w:color w:val="000000"/>
                <w:sz w:val="18"/>
                <w:szCs w:val="18"/>
                <w:lang w:bidi="ar"/>
              </w:rPr>
              <w:t>优</w:t>
            </w:r>
          </w:p>
        </w:tc>
        <w:tc>
          <w:tcPr>
            <w:tcW w:w="223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0C9DEA">
            <w:pPr>
              <w:jc w:val="center"/>
              <w:rPr>
                <w:rFonts w:hint="default" w:cs="宋体"/>
                <w:color w:val="000000"/>
                <w:sz w:val="18"/>
                <w:szCs w:val="18"/>
              </w:rPr>
            </w:pPr>
          </w:p>
        </w:tc>
      </w:tr>
      <w:tr w14:paraId="53791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16"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F0FC41">
            <w:pPr>
              <w:jc w:val="center"/>
              <w:rPr>
                <w:rFonts w:hint="default" w:cs="宋体"/>
                <w:color w:val="000000"/>
                <w:sz w:val="18"/>
                <w:szCs w:val="18"/>
              </w:rPr>
            </w:pPr>
          </w:p>
        </w:tc>
        <w:tc>
          <w:tcPr>
            <w:tcW w:w="107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3FF53C">
            <w:pPr>
              <w:widowControl/>
              <w:jc w:val="center"/>
              <w:textAlignment w:val="center"/>
              <w:rPr>
                <w:rFonts w:hint="default" w:cs="宋体"/>
                <w:color w:val="000000"/>
                <w:sz w:val="18"/>
                <w:szCs w:val="18"/>
              </w:rPr>
            </w:pPr>
            <w:r>
              <w:rPr>
                <w:rFonts w:hint="default" w:cs="宋体"/>
                <w:color w:val="000000"/>
                <w:sz w:val="18"/>
                <w:szCs w:val="18"/>
                <w:lang w:bidi="ar"/>
              </w:rPr>
              <w:t>满意度</w:t>
            </w:r>
            <w:r>
              <w:rPr>
                <w:rFonts w:hint="default" w:cs="宋体"/>
                <w:color w:val="000000"/>
                <w:sz w:val="18"/>
                <w:szCs w:val="18"/>
                <w:lang w:bidi="ar"/>
              </w:rPr>
              <w:br w:type="textWrapping"/>
            </w:r>
            <w:r>
              <w:rPr>
                <w:rFonts w:hint="default" w:cs="宋体"/>
                <w:color w:val="000000"/>
                <w:sz w:val="18"/>
                <w:szCs w:val="18"/>
                <w:lang w:bidi="ar"/>
              </w:rPr>
              <w:t>指标</w:t>
            </w:r>
          </w:p>
        </w:tc>
        <w:tc>
          <w:tcPr>
            <w:tcW w:w="107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26A66C">
            <w:pPr>
              <w:widowControl/>
              <w:jc w:val="center"/>
              <w:textAlignment w:val="center"/>
              <w:rPr>
                <w:rFonts w:hint="default" w:cs="宋体"/>
                <w:color w:val="000000"/>
                <w:sz w:val="18"/>
                <w:szCs w:val="18"/>
              </w:rPr>
            </w:pPr>
            <w:r>
              <w:rPr>
                <w:rFonts w:hint="default" w:cs="宋体"/>
                <w:color w:val="000000"/>
                <w:sz w:val="18"/>
                <w:szCs w:val="18"/>
                <w:lang w:bidi="ar"/>
              </w:rPr>
              <w:t>服务对象满意度指标</w:t>
            </w:r>
          </w:p>
        </w:tc>
        <w:tc>
          <w:tcPr>
            <w:tcW w:w="263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81F811">
            <w:pPr>
              <w:widowControl/>
              <w:jc w:val="center"/>
              <w:textAlignment w:val="center"/>
              <w:rPr>
                <w:rFonts w:hint="default" w:cs="宋体"/>
                <w:color w:val="000000"/>
                <w:sz w:val="18"/>
                <w:szCs w:val="18"/>
              </w:rPr>
            </w:pPr>
            <w:r>
              <w:rPr>
                <w:rFonts w:hint="default" w:cs="宋体"/>
                <w:color w:val="000000"/>
                <w:sz w:val="18"/>
                <w:szCs w:val="18"/>
                <w:lang w:bidi="ar"/>
              </w:rPr>
              <w:t>服务群众满意度</w:t>
            </w:r>
          </w:p>
        </w:tc>
        <w:tc>
          <w:tcPr>
            <w:tcW w:w="14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357B55">
            <w:pPr>
              <w:widowControl/>
              <w:jc w:val="center"/>
              <w:textAlignment w:val="center"/>
              <w:rPr>
                <w:rFonts w:hint="default" w:cs="宋体"/>
                <w:color w:val="000000"/>
                <w:sz w:val="18"/>
                <w:szCs w:val="18"/>
              </w:rPr>
            </w:pPr>
            <w:r>
              <w:rPr>
                <w:rFonts w:hint="default" w:cs="宋体"/>
                <w:color w:val="000000"/>
                <w:sz w:val="18"/>
                <w:szCs w:val="18"/>
                <w:lang w:bidi="ar"/>
              </w:rPr>
              <w:t>≥95%</w:t>
            </w:r>
          </w:p>
        </w:tc>
        <w:tc>
          <w:tcPr>
            <w:tcW w:w="137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01F820">
            <w:pPr>
              <w:widowControl/>
              <w:jc w:val="center"/>
              <w:textAlignment w:val="center"/>
              <w:rPr>
                <w:rFonts w:hint="default" w:cs="宋体"/>
                <w:color w:val="000000"/>
                <w:sz w:val="18"/>
                <w:szCs w:val="18"/>
              </w:rPr>
            </w:pPr>
            <w:r>
              <w:rPr>
                <w:rFonts w:hint="default" w:cs="宋体"/>
                <w:color w:val="000000"/>
                <w:sz w:val="18"/>
                <w:szCs w:val="18"/>
                <w:lang w:bidi="ar"/>
              </w:rPr>
              <w:t>≥95%</w:t>
            </w:r>
          </w:p>
        </w:tc>
        <w:tc>
          <w:tcPr>
            <w:tcW w:w="223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415221">
            <w:pPr>
              <w:jc w:val="center"/>
              <w:rPr>
                <w:rFonts w:hint="default" w:cs="宋体"/>
                <w:color w:val="000000"/>
                <w:sz w:val="18"/>
                <w:szCs w:val="18"/>
              </w:rPr>
            </w:pPr>
          </w:p>
        </w:tc>
      </w:tr>
    </w:tbl>
    <w:p w14:paraId="004B49FC">
      <w:pPr>
        <w:keepNext/>
        <w:keepLines/>
        <w:pageBreakBefore/>
        <w:spacing w:after="313" w:line="576" w:lineRule="exact"/>
        <w:jc w:val="center"/>
        <w:rPr>
          <w:rFonts w:hint="eastAsia" w:ascii="Times New Roman" w:eastAsia="黑体"/>
          <w:kern w:val="44"/>
          <w:sz w:val="44"/>
          <w:szCs w:val="24"/>
        </w:rPr>
      </w:pPr>
      <w:r>
        <w:rPr>
          <w:rFonts w:hint="eastAsia" w:ascii="Times New Roman" w:eastAsia="黑体"/>
          <w:color w:val="000000"/>
          <w:kern w:val="2"/>
          <w:sz w:val="44"/>
          <w:szCs w:val="24"/>
        </w:rPr>
        <w:t>第</w:t>
      </w:r>
      <w:r>
        <w:rPr>
          <w:rFonts w:hint="eastAsia" w:ascii="Times New Roman" w:eastAsia="黑体"/>
          <w:kern w:val="44"/>
          <w:sz w:val="44"/>
          <w:szCs w:val="24"/>
        </w:rPr>
        <w:t>五部分  附表</w:t>
      </w:r>
    </w:p>
    <w:p w14:paraId="26278C0E">
      <w:pPr>
        <w:pStyle w:val="4"/>
        <w:keepNext/>
        <w:keepLines/>
        <w:spacing w:line="576" w:lineRule="exact"/>
        <w:ind w:firstLine="640"/>
        <w:jc w:val="both"/>
        <w:rPr>
          <w:rFonts w:hint="eastAsia" w:ascii="Times New Roman" w:eastAsia="仿宋_GB2312"/>
          <w:b/>
          <w:color w:val="000000"/>
          <w:kern w:val="2"/>
          <w:sz w:val="32"/>
          <w:szCs w:val="24"/>
        </w:rPr>
      </w:pPr>
      <w:r>
        <w:rPr>
          <w:rFonts w:hint="eastAsia" w:ascii="Times New Roman" w:eastAsia="仿宋_GB2312"/>
          <w:color w:val="000000"/>
          <w:kern w:val="2"/>
          <w:sz w:val="32"/>
          <w:szCs w:val="24"/>
        </w:rPr>
        <w:t>一、收</w:t>
      </w:r>
      <w:r>
        <w:rPr>
          <w:rFonts w:hint="eastAsia" w:ascii="Times New Roman" w:eastAsia="仿宋_GB2312"/>
          <w:kern w:val="2"/>
          <w:sz w:val="32"/>
          <w:szCs w:val="24"/>
        </w:rPr>
        <w:t>入支出决算总表</w:t>
      </w:r>
    </w:p>
    <w:p w14:paraId="5ED5C08B">
      <w:pPr>
        <w:pStyle w:val="4"/>
        <w:keepNext/>
        <w:keepLines/>
        <w:spacing w:line="576" w:lineRule="exact"/>
        <w:ind w:firstLine="640"/>
        <w:jc w:val="both"/>
        <w:rPr>
          <w:rFonts w:hint="eastAsia" w:ascii="Times New Roman" w:eastAsia="仿宋_GB2312"/>
          <w:b/>
          <w:color w:val="000000"/>
          <w:kern w:val="2"/>
          <w:sz w:val="32"/>
          <w:szCs w:val="24"/>
        </w:rPr>
      </w:pPr>
      <w:r>
        <w:rPr>
          <w:rFonts w:hint="eastAsia" w:ascii="Times New Roman" w:eastAsia="仿宋_GB2312"/>
          <w:color w:val="000000"/>
          <w:kern w:val="2"/>
          <w:sz w:val="32"/>
          <w:szCs w:val="24"/>
        </w:rPr>
        <w:t>二、收</w:t>
      </w:r>
      <w:r>
        <w:rPr>
          <w:rFonts w:hint="eastAsia" w:ascii="Times New Roman" w:eastAsia="仿宋_GB2312"/>
          <w:kern w:val="2"/>
          <w:sz w:val="32"/>
          <w:szCs w:val="24"/>
        </w:rPr>
        <w:t>入决算表</w:t>
      </w:r>
    </w:p>
    <w:p w14:paraId="3CF0B843">
      <w:pPr>
        <w:pStyle w:val="4"/>
        <w:keepNext/>
        <w:keepLines/>
        <w:spacing w:line="576" w:lineRule="exact"/>
        <w:ind w:firstLine="640"/>
        <w:jc w:val="both"/>
        <w:rPr>
          <w:rFonts w:hint="eastAsia" w:ascii="Times New Roman" w:eastAsia="仿宋_GB2312"/>
          <w:b/>
          <w:color w:val="000000"/>
          <w:kern w:val="2"/>
          <w:sz w:val="32"/>
          <w:szCs w:val="24"/>
        </w:rPr>
      </w:pPr>
      <w:r>
        <w:rPr>
          <w:rFonts w:hint="eastAsia" w:ascii="Times New Roman" w:eastAsia="仿宋_GB2312"/>
          <w:kern w:val="2"/>
          <w:sz w:val="32"/>
          <w:szCs w:val="24"/>
        </w:rPr>
        <w:t>三、</w:t>
      </w:r>
      <w:r>
        <w:rPr>
          <w:rFonts w:hint="eastAsia" w:ascii="Times New Roman" w:eastAsia="仿宋_GB2312"/>
          <w:color w:val="000000"/>
          <w:kern w:val="2"/>
          <w:sz w:val="32"/>
          <w:szCs w:val="24"/>
        </w:rPr>
        <w:t>支</w:t>
      </w:r>
      <w:r>
        <w:rPr>
          <w:rFonts w:hint="eastAsia" w:ascii="Times New Roman" w:eastAsia="仿宋_GB2312"/>
          <w:kern w:val="2"/>
          <w:sz w:val="32"/>
          <w:szCs w:val="24"/>
        </w:rPr>
        <w:t>出决算表</w:t>
      </w:r>
    </w:p>
    <w:p w14:paraId="408CF2CE">
      <w:pPr>
        <w:pStyle w:val="4"/>
        <w:keepNext/>
        <w:keepLines/>
        <w:spacing w:line="576" w:lineRule="exact"/>
        <w:ind w:firstLine="640"/>
        <w:jc w:val="both"/>
        <w:rPr>
          <w:rFonts w:hint="eastAsia" w:ascii="Times New Roman" w:eastAsia="仿宋_GB2312"/>
          <w:color w:val="000000"/>
          <w:kern w:val="2"/>
          <w:sz w:val="32"/>
          <w:szCs w:val="24"/>
        </w:rPr>
      </w:pPr>
      <w:r>
        <w:rPr>
          <w:rFonts w:hint="eastAsia" w:ascii="Times New Roman" w:eastAsia="仿宋_GB2312"/>
          <w:kern w:val="2"/>
          <w:sz w:val="32"/>
          <w:szCs w:val="24"/>
        </w:rPr>
        <w:t>四、</w:t>
      </w:r>
      <w:r>
        <w:rPr>
          <w:rFonts w:hint="eastAsia" w:ascii="Times New Roman" w:eastAsia="仿宋_GB2312"/>
          <w:color w:val="000000"/>
          <w:kern w:val="2"/>
          <w:sz w:val="32"/>
          <w:szCs w:val="24"/>
        </w:rPr>
        <w:t>财</w:t>
      </w:r>
      <w:r>
        <w:rPr>
          <w:rFonts w:hint="eastAsia" w:ascii="Times New Roman" w:eastAsia="仿宋_GB2312"/>
          <w:kern w:val="2"/>
          <w:sz w:val="32"/>
          <w:szCs w:val="24"/>
        </w:rPr>
        <w:t>政拨款收入支出决算总表</w:t>
      </w:r>
    </w:p>
    <w:p w14:paraId="3DAAF98B">
      <w:pPr>
        <w:pStyle w:val="4"/>
        <w:keepNext/>
        <w:keepLines/>
        <w:spacing w:line="576" w:lineRule="exact"/>
        <w:ind w:firstLine="640"/>
        <w:jc w:val="both"/>
        <w:rPr>
          <w:rFonts w:hint="eastAsia" w:ascii="Times New Roman" w:eastAsia="仿宋_GB2312"/>
          <w:kern w:val="2"/>
          <w:sz w:val="32"/>
          <w:szCs w:val="24"/>
        </w:rPr>
      </w:pPr>
      <w:r>
        <w:rPr>
          <w:rFonts w:hint="eastAsia" w:ascii="Times New Roman" w:eastAsia="仿宋_GB2312"/>
          <w:kern w:val="2"/>
          <w:sz w:val="32"/>
          <w:szCs w:val="24"/>
        </w:rPr>
        <w:t>五、</w:t>
      </w:r>
      <w:r>
        <w:rPr>
          <w:rFonts w:hint="eastAsia" w:ascii="Times New Roman" w:eastAsia="仿宋_GB2312"/>
          <w:color w:val="000000"/>
          <w:kern w:val="2"/>
          <w:sz w:val="32"/>
          <w:szCs w:val="24"/>
        </w:rPr>
        <w:t>财</w:t>
      </w:r>
      <w:r>
        <w:rPr>
          <w:rFonts w:hint="eastAsia" w:ascii="Times New Roman" w:eastAsia="仿宋_GB2312"/>
          <w:kern w:val="2"/>
          <w:sz w:val="32"/>
          <w:szCs w:val="24"/>
        </w:rPr>
        <w:t>政拨款支出决算明细表</w:t>
      </w:r>
    </w:p>
    <w:p w14:paraId="51AC5AA2">
      <w:pPr>
        <w:pStyle w:val="4"/>
        <w:keepNext/>
        <w:keepLines/>
        <w:spacing w:line="576" w:lineRule="exact"/>
        <w:ind w:firstLine="640"/>
        <w:jc w:val="both"/>
        <w:rPr>
          <w:rFonts w:hint="eastAsia" w:ascii="Times New Roman" w:eastAsia="仿宋_GB2312"/>
          <w:b/>
          <w:color w:val="000000"/>
          <w:kern w:val="2"/>
          <w:sz w:val="32"/>
          <w:szCs w:val="24"/>
        </w:rPr>
      </w:pPr>
      <w:r>
        <w:rPr>
          <w:rFonts w:hint="eastAsia" w:ascii="Times New Roman" w:eastAsia="仿宋_GB2312"/>
          <w:kern w:val="2"/>
          <w:sz w:val="32"/>
          <w:szCs w:val="24"/>
        </w:rPr>
        <w:t>六、</w:t>
      </w:r>
      <w:r>
        <w:rPr>
          <w:rFonts w:hint="eastAsia" w:ascii="Times New Roman" w:eastAsia="仿宋_GB2312"/>
          <w:color w:val="000000"/>
          <w:kern w:val="2"/>
          <w:sz w:val="32"/>
          <w:szCs w:val="24"/>
        </w:rPr>
        <w:t>一</w:t>
      </w:r>
      <w:r>
        <w:rPr>
          <w:rFonts w:hint="eastAsia" w:ascii="Times New Roman" w:eastAsia="仿宋_GB2312"/>
          <w:kern w:val="2"/>
          <w:sz w:val="32"/>
          <w:szCs w:val="24"/>
        </w:rPr>
        <w:t>般公共预算财政拨款支出决算表</w:t>
      </w:r>
    </w:p>
    <w:p w14:paraId="31D77A2A">
      <w:pPr>
        <w:pStyle w:val="4"/>
        <w:keepNext/>
        <w:keepLines/>
        <w:spacing w:line="576" w:lineRule="exact"/>
        <w:ind w:firstLine="640"/>
        <w:jc w:val="both"/>
        <w:rPr>
          <w:rFonts w:hint="eastAsia" w:ascii="Times New Roman" w:eastAsia="仿宋_GB2312"/>
          <w:b/>
          <w:color w:val="000000"/>
          <w:kern w:val="2"/>
          <w:sz w:val="32"/>
          <w:szCs w:val="24"/>
        </w:rPr>
      </w:pPr>
      <w:r>
        <w:rPr>
          <w:rFonts w:hint="eastAsia" w:ascii="Times New Roman" w:eastAsia="仿宋_GB2312"/>
          <w:kern w:val="2"/>
          <w:sz w:val="32"/>
          <w:szCs w:val="24"/>
        </w:rPr>
        <w:t>七、</w:t>
      </w:r>
      <w:r>
        <w:rPr>
          <w:rFonts w:hint="eastAsia" w:ascii="Times New Roman" w:eastAsia="仿宋_GB2312"/>
          <w:color w:val="000000"/>
          <w:kern w:val="2"/>
          <w:sz w:val="32"/>
          <w:szCs w:val="24"/>
        </w:rPr>
        <w:t>一</w:t>
      </w:r>
      <w:r>
        <w:rPr>
          <w:rFonts w:hint="eastAsia" w:ascii="Times New Roman" w:eastAsia="仿宋_GB2312"/>
          <w:kern w:val="2"/>
          <w:sz w:val="32"/>
          <w:szCs w:val="24"/>
        </w:rPr>
        <w:t>般公共预算财政拨款支出决算明细表</w:t>
      </w:r>
    </w:p>
    <w:p w14:paraId="312CBF6A">
      <w:pPr>
        <w:pStyle w:val="4"/>
        <w:keepNext/>
        <w:keepLines/>
        <w:spacing w:line="576" w:lineRule="exact"/>
        <w:ind w:firstLine="640"/>
        <w:jc w:val="both"/>
        <w:rPr>
          <w:rFonts w:hint="eastAsia" w:ascii="Times New Roman" w:eastAsia="仿宋_GB2312"/>
          <w:b/>
          <w:color w:val="000000"/>
          <w:kern w:val="2"/>
          <w:sz w:val="32"/>
          <w:szCs w:val="24"/>
        </w:rPr>
      </w:pPr>
      <w:r>
        <w:rPr>
          <w:rFonts w:hint="eastAsia" w:ascii="Times New Roman" w:eastAsia="仿宋_GB2312"/>
          <w:kern w:val="2"/>
          <w:sz w:val="32"/>
          <w:szCs w:val="24"/>
        </w:rPr>
        <w:t>八、</w:t>
      </w:r>
      <w:r>
        <w:rPr>
          <w:rFonts w:hint="eastAsia" w:ascii="Times New Roman" w:eastAsia="仿宋_GB2312"/>
          <w:color w:val="000000"/>
          <w:kern w:val="2"/>
          <w:sz w:val="32"/>
          <w:szCs w:val="24"/>
        </w:rPr>
        <w:t>一</w:t>
      </w:r>
      <w:r>
        <w:rPr>
          <w:rFonts w:hint="eastAsia" w:ascii="Times New Roman" w:eastAsia="仿宋_GB2312"/>
          <w:kern w:val="2"/>
          <w:sz w:val="32"/>
          <w:szCs w:val="24"/>
        </w:rPr>
        <w:t>般公共预算财政拨款基本支出决算表</w:t>
      </w:r>
    </w:p>
    <w:p w14:paraId="0661F43E">
      <w:pPr>
        <w:pStyle w:val="4"/>
        <w:keepNext/>
        <w:keepLines/>
        <w:spacing w:line="576" w:lineRule="exact"/>
        <w:ind w:firstLine="640"/>
        <w:jc w:val="both"/>
        <w:rPr>
          <w:rFonts w:hint="eastAsia" w:ascii="Times New Roman" w:eastAsia="仿宋_GB2312"/>
          <w:b/>
          <w:color w:val="000000"/>
          <w:kern w:val="2"/>
          <w:sz w:val="32"/>
          <w:szCs w:val="24"/>
        </w:rPr>
      </w:pPr>
      <w:r>
        <w:rPr>
          <w:rFonts w:hint="eastAsia" w:ascii="Times New Roman" w:eastAsia="仿宋_GB2312"/>
          <w:kern w:val="2"/>
          <w:sz w:val="32"/>
          <w:szCs w:val="24"/>
        </w:rPr>
        <w:t>九、</w:t>
      </w:r>
      <w:r>
        <w:rPr>
          <w:rFonts w:hint="eastAsia" w:ascii="Times New Roman" w:eastAsia="仿宋_GB2312"/>
          <w:color w:val="000000"/>
          <w:kern w:val="2"/>
          <w:sz w:val="32"/>
          <w:szCs w:val="24"/>
        </w:rPr>
        <w:t>一</w:t>
      </w:r>
      <w:r>
        <w:rPr>
          <w:rFonts w:hint="eastAsia" w:ascii="Times New Roman" w:eastAsia="仿宋_GB2312"/>
          <w:kern w:val="2"/>
          <w:sz w:val="32"/>
          <w:szCs w:val="24"/>
        </w:rPr>
        <w:t>般公共预算财政拨款项目支出决算表</w:t>
      </w:r>
    </w:p>
    <w:p w14:paraId="76909DC8">
      <w:pPr>
        <w:pStyle w:val="4"/>
        <w:keepNext/>
        <w:keepLines/>
        <w:spacing w:line="576" w:lineRule="exact"/>
        <w:ind w:firstLine="640"/>
        <w:jc w:val="both"/>
        <w:rPr>
          <w:rFonts w:hint="eastAsia" w:ascii="Times New Roman" w:eastAsia="仿宋_GB2312"/>
          <w:b/>
          <w:color w:val="000000"/>
          <w:kern w:val="2"/>
          <w:sz w:val="32"/>
          <w:szCs w:val="24"/>
        </w:rPr>
      </w:pPr>
      <w:r>
        <w:rPr>
          <w:rFonts w:hint="eastAsia" w:ascii="Times New Roman" w:eastAsia="仿宋_GB2312"/>
          <w:kern w:val="2"/>
          <w:sz w:val="32"/>
          <w:szCs w:val="24"/>
        </w:rPr>
        <w:t>十、</w:t>
      </w:r>
      <w:r>
        <w:rPr>
          <w:rFonts w:hint="eastAsia" w:ascii="Times New Roman" w:eastAsia="仿宋_GB2312"/>
          <w:color w:val="000000"/>
          <w:kern w:val="2"/>
          <w:sz w:val="32"/>
          <w:szCs w:val="24"/>
        </w:rPr>
        <w:t>政</w:t>
      </w:r>
      <w:r>
        <w:rPr>
          <w:rFonts w:hint="eastAsia" w:ascii="Times New Roman" w:eastAsia="仿宋_GB2312"/>
          <w:kern w:val="2"/>
          <w:sz w:val="32"/>
          <w:szCs w:val="24"/>
        </w:rPr>
        <w:t>府性基金预算财政拨款收入支出决算表</w:t>
      </w:r>
    </w:p>
    <w:p w14:paraId="098B0E7A">
      <w:pPr>
        <w:pStyle w:val="4"/>
        <w:keepNext/>
        <w:keepLines/>
        <w:spacing w:line="576" w:lineRule="exact"/>
        <w:ind w:firstLine="640"/>
        <w:jc w:val="both"/>
        <w:rPr>
          <w:rFonts w:hint="eastAsia" w:ascii="Times New Roman" w:eastAsia="仿宋_GB2312"/>
          <w:kern w:val="2"/>
          <w:sz w:val="32"/>
          <w:szCs w:val="24"/>
        </w:rPr>
      </w:pPr>
      <w:r>
        <w:rPr>
          <w:rFonts w:hint="eastAsia" w:ascii="Times New Roman" w:eastAsia="仿宋_GB2312"/>
          <w:kern w:val="2"/>
          <w:sz w:val="32"/>
          <w:szCs w:val="24"/>
        </w:rPr>
        <w:t>十一、国有资本经营预算财政拨款收入支出决算表</w:t>
      </w:r>
    </w:p>
    <w:p w14:paraId="599260EE">
      <w:pPr>
        <w:pStyle w:val="4"/>
        <w:keepNext/>
        <w:keepLines/>
        <w:spacing w:line="576" w:lineRule="exact"/>
        <w:ind w:firstLine="640"/>
        <w:jc w:val="both"/>
        <w:rPr>
          <w:rFonts w:hint="eastAsia" w:ascii="Times New Roman" w:eastAsia="仿宋_GB2312"/>
          <w:kern w:val="2"/>
          <w:sz w:val="32"/>
          <w:szCs w:val="24"/>
        </w:rPr>
      </w:pPr>
      <w:r>
        <w:rPr>
          <w:rFonts w:hint="eastAsia" w:ascii="Times New Roman" w:eastAsia="仿宋_GB2312"/>
          <w:kern w:val="2"/>
          <w:sz w:val="32"/>
          <w:szCs w:val="24"/>
        </w:rPr>
        <w:t>十二、</w:t>
      </w:r>
      <w:r>
        <w:rPr>
          <w:rFonts w:hint="eastAsia" w:ascii="Times New Roman" w:eastAsia="仿宋_GB2312"/>
          <w:color w:val="000000"/>
          <w:kern w:val="2"/>
          <w:sz w:val="32"/>
          <w:szCs w:val="24"/>
        </w:rPr>
        <w:t>国</w:t>
      </w:r>
      <w:r>
        <w:rPr>
          <w:rFonts w:hint="eastAsia" w:ascii="Times New Roman" w:eastAsia="仿宋_GB2312"/>
          <w:kern w:val="2"/>
          <w:sz w:val="32"/>
          <w:szCs w:val="24"/>
        </w:rPr>
        <w:t>有资本经营预算财政拨款支出决算表</w:t>
      </w:r>
    </w:p>
    <w:p w14:paraId="4B9123EC">
      <w:pPr>
        <w:spacing w:line="576" w:lineRule="exact"/>
        <w:rPr>
          <w:rFonts w:hint="eastAsia" w:ascii="Times New Roman" w:eastAsia="方正小标宋简体"/>
          <w:color w:val="000000"/>
          <w:kern w:val="2"/>
          <w:sz w:val="30"/>
          <w:szCs w:val="24"/>
        </w:rPr>
      </w:pPr>
      <w:r>
        <w:rPr>
          <w:rFonts w:hint="eastAsia" w:ascii="Times New Roman" w:eastAsia="仿宋_GB2312"/>
          <w:kern w:val="2"/>
          <w:sz w:val="32"/>
          <w:szCs w:val="24"/>
        </w:rPr>
        <w:t xml:space="preserve">    十三、财政拨款“三公”经费支出决算表</w:t>
      </w:r>
    </w:p>
    <w:sectPr>
      <w:pgSz w:w="12240" w:h="15840"/>
      <w:pgMar w:top="2098" w:right="1474" w:bottom="1984" w:left="1587" w:header="720" w:footer="720" w:gutter="0"/>
      <w:lnNumType w:countBy="0" w:distance="36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103FE69-26E9-4748-BAE2-49ECD37B526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embedRegular r:id="rId2" w:fontKey="{DCB24FE5-E448-4D9A-A938-19904DD746B3}"/>
  </w:font>
  <w:font w:name="仿宋">
    <w:panose1 w:val="02010609060101010101"/>
    <w:charset w:val="86"/>
    <w:family w:val="modern"/>
    <w:pitch w:val="default"/>
    <w:sig w:usb0="800002BF" w:usb1="38CF7CFA" w:usb2="00000016" w:usb3="00000000" w:csb0="00040001" w:csb1="00000000"/>
    <w:embedRegular r:id="rId3" w:fontKey="{72020006-6E97-4B21-B1A7-9821CF8EDE11}"/>
  </w:font>
  <w:font w:name="Cambria">
    <w:panose1 w:val="02040503050406030204"/>
    <w:charset w:val="00"/>
    <w:family w:val="roman"/>
    <w:pitch w:val="default"/>
    <w:sig w:usb0="E00006FF" w:usb1="420024FF" w:usb2="02000000" w:usb3="00000000" w:csb0="2000019F" w:csb1="00000000"/>
    <w:embedRegular r:id="rId4" w:fontKey="{CA159658-BD82-499D-AC67-305DC0B06C45}"/>
  </w:font>
  <w:font w:name="方正小标宋简体">
    <w:panose1 w:val="02000000000000000000"/>
    <w:charset w:val="86"/>
    <w:family w:val="auto"/>
    <w:pitch w:val="default"/>
    <w:sig w:usb0="00000001" w:usb1="08000000" w:usb2="00000000" w:usb3="00000000" w:csb0="00040000" w:csb1="00000000"/>
    <w:embedRegular r:id="rId5" w:fontKey="{B51F1FE1-B1DD-45B4-9DF2-3E3DEDC8E0AC}"/>
  </w:font>
  <w:font w:name="楷体_GB2312">
    <w:panose1 w:val="02010609030101010101"/>
    <w:charset w:val="86"/>
    <w:family w:val="modern"/>
    <w:pitch w:val="default"/>
    <w:sig w:usb0="00000001" w:usb1="080E0000" w:usb2="00000000" w:usb3="00000000" w:csb0="00040000" w:csb1="00000000"/>
    <w:embedRegular r:id="rId6" w:fontKey="{8E33305F-24DB-44A0-AFE9-7F199359D9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BFC48">
    <w:pPr>
      <w:pStyle w:val="9"/>
      <w:rPr>
        <w:rFonts w:hint="default"/>
        <w:sz w:val="18"/>
        <w:szCs w:val="18"/>
      </w:rPr>
    </w:pPr>
    <w:r>
      <w:rPr>
        <w:rFonts w:hint="default"/>
        <w:sz w:val="18"/>
        <w:szCs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E09694">
                          <w:pPr>
                            <w:pStyle w:val="9"/>
                            <w:rPr>
                              <w:rFonts w:hint="eastAsia" w:ascii="Times New Roman" w:eastAsia="Times New Roman"/>
                              <w:sz w:val="32"/>
                              <w:szCs w:val="32"/>
                            </w:rPr>
                          </w:pPr>
                          <w:r>
                            <w:rPr>
                              <w:rFonts w:hint="eastAsia" w:ascii="Times New Roman" w:eastAsia="Times New Roman"/>
                              <w:sz w:val="32"/>
                              <w:szCs w:val="32"/>
                            </w:rPr>
                            <w:t xml:space="preserve">— </w:t>
                          </w:r>
                          <w:r>
                            <w:rPr>
                              <w:rFonts w:hint="eastAsia" w:ascii="Times New Roman" w:eastAsia="Times New Roman"/>
                              <w:sz w:val="32"/>
                              <w:szCs w:val="32"/>
                            </w:rPr>
                            <w:fldChar w:fldCharType="begin"/>
                          </w:r>
                          <w:r>
                            <w:rPr>
                              <w:rFonts w:hint="eastAsia" w:ascii="Times New Roman" w:eastAsia="Times New Roman"/>
                              <w:sz w:val="32"/>
                              <w:szCs w:val="32"/>
                            </w:rPr>
                            <w:instrText xml:space="preserve"> PAGE  \* MERGEFORMAT </w:instrText>
                          </w:r>
                          <w:r>
                            <w:rPr>
                              <w:rFonts w:hint="eastAsia" w:ascii="Times New Roman" w:eastAsia="Times New Roman"/>
                              <w:sz w:val="32"/>
                              <w:szCs w:val="32"/>
                            </w:rPr>
                            <w:fldChar w:fldCharType="separate"/>
                          </w:r>
                          <w:r>
                            <w:rPr>
                              <w:rFonts w:hint="eastAsia" w:ascii="Times New Roman" w:eastAsia="Times New Roman"/>
                              <w:sz w:val="32"/>
                              <w:szCs w:val="32"/>
                            </w:rPr>
                            <w:t>4</w:t>
                          </w:r>
                          <w:r>
                            <w:rPr>
                              <w:rFonts w:hint="eastAsia" w:ascii="Times New Roman" w:eastAsia="Times New Roman"/>
                              <w:sz w:val="32"/>
                              <w:szCs w:val="32"/>
                            </w:rPr>
                            <w:fldChar w:fldCharType="end"/>
                          </w:r>
                          <w:r>
                            <w:rPr>
                              <w:rFonts w:hint="eastAsia" w:ascii="Times New Roman" w:eastAsia="Times New Roman"/>
                              <w:sz w:val="32"/>
                              <w:szCs w:val="32"/>
                            </w:rPr>
                            <w:t xml:space="preserve"> —</w:t>
                          </w:r>
                        </w:p>
                      </w:txbxContent>
                    </wps:txbx>
                    <wps:bodyPr vert="horz" wrap="none" lIns="0" tIns="0" rIns="0" bIns="0" anchor="t" anchorCtr="0" upright="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EeBWO3gEAAL8DAAAOAAAAAAAA&#10;AAEAIAAAAB4BAABkcnMvZTJvRG9jLnhtbFBLBQYAAAAABgAGAFkBAABuBQAAAAA=&#10;">
              <v:fill on="f" focussize="0,0"/>
              <v:stroke on="f"/>
              <v:imagedata o:title=""/>
              <o:lock v:ext="edit" aspectratio="f"/>
              <v:textbox inset="0mm,0mm,0mm,0mm" style="mso-fit-shape-to-text:t;">
                <w:txbxContent>
                  <w:p w14:paraId="24E09694">
                    <w:pPr>
                      <w:pStyle w:val="9"/>
                      <w:rPr>
                        <w:rFonts w:hint="eastAsia" w:ascii="Times New Roman" w:eastAsia="Times New Roman"/>
                        <w:sz w:val="32"/>
                        <w:szCs w:val="32"/>
                      </w:rPr>
                    </w:pPr>
                    <w:r>
                      <w:rPr>
                        <w:rFonts w:hint="eastAsia" w:ascii="Times New Roman" w:eastAsia="Times New Roman"/>
                        <w:sz w:val="32"/>
                        <w:szCs w:val="32"/>
                      </w:rPr>
                      <w:t xml:space="preserve">— </w:t>
                    </w:r>
                    <w:r>
                      <w:rPr>
                        <w:rFonts w:hint="eastAsia" w:ascii="Times New Roman" w:eastAsia="Times New Roman"/>
                        <w:sz w:val="32"/>
                        <w:szCs w:val="32"/>
                      </w:rPr>
                      <w:fldChar w:fldCharType="begin"/>
                    </w:r>
                    <w:r>
                      <w:rPr>
                        <w:rFonts w:hint="eastAsia" w:ascii="Times New Roman" w:eastAsia="Times New Roman"/>
                        <w:sz w:val="32"/>
                        <w:szCs w:val="32"/>
                      </w:rPr>
                      <w:instrText xml:space="preserve"> PAGE  \* MERGEFORMAT </w:instrText>
                    </w:r>
                    <w:r>
                      <w:rPr>
                        <w:rFonts w:hint="eastAsia" w:ascii="Times New Roman" w:eastAsia="Times New Roman"/>
                        <w:sz w:val="32"/>
                        <w:szCs w:val="32"/>
                      </w:rPr>
                      <w:fldChar w:fldCharType="separate"/>
                    </w:r>
                    <w:r>
                      <w:rPr>
                        <w:rFonts w:hint="eastAsia" w:ascii="Times New Roman" w:eastAsia="Times New Roman"/>
                        <w:sz w:val="32"/>
                        <w:szCs w:val="32"/>
                      </w:rPr>
                      <w:t>4</w:t>
                    </w:r>
                    <w:r>
                      <w:rPr>
                        <w:rFonts w:hint="eastAsia" w:ascii="Times New Roman" w:eastAsia="Times New Roman"/>
                        <w:sz w:val="32"/>
                        <w:szCs w:val="32"/>
                      </w:rPr>
                      <w:fldChar w:fldCharType="end"/>
                    </w:r>
                    <w:r>
                      <w:rPr>
                        <w:rFonts w:hint="eastAsia" w:ascii="Times New Roman" w:eastAsia="Times New Roman"/>
                        <w:sz w:val="32"/>
                        <w:szCs w:val="32"/>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3A9076"/>
    <w:multiLevelType w:val="multilevel"/>
    <w:tmpl w:val="893A9076"/>
    <w:lvl w:ilvl="0" w:tentative="0">
      <w:start w:val="2"/>
      <w:numFmt w:val="chineseCounting"/>
      <w:suff w:val="space"/>
      <w:lvlText w:val="第%1部分"/>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1">
    <w:nsid w:val="63F481D1"/>
    <w:multiLevelType w:val="multilevel"/>
    <w:tmpl w:val="63F481D1"/>
    <w:lvl w:ilvl="0" w:tentative="0">
      <w:start w:val="1"/>
      <w:numFmt w:val="chineseCounting"/>
      <w:suff w:val="nothing"/>
      <w:lvlText w:val="%1、"/>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360"/>
  <w:drawingGridHorizontalSpacing w:val="120"/>
  <w:drawingGridVerticalSpacing w:val="120"/>
  <w:displayHorizontalDrawingGridEvery w:val="1"/>
  <w:displayVerticalDrawingGridEvery w:val="1"/>
  <w:doNotUseMarginsForDrawingGridOrigin w:val="1"/>
  <w:drawingGridHorizontalOrigin w:val="1701"/>
  <w:drawingGridVerticalOrigin w:val="1984"/>
  <w:doNotShadeFormData w:val="1"/>
  <w:characterSpacingControl w:val="compressPunctuation"/>
  <w:doNotValidateAgainstSchema/>
  <w:doNotDemarcateInvalidXml/>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VhYTg4NGNkZWJkODFjNzcyZDRjM2M4Y2UzNjI5ZmUifQ=="/>
  </w:docVars>
  <w:rsids>
    <w:rsidRoot w:val="00172A27"/>
    <w:rsid w:val="02E903CF"/>
    <w:rsid w:val="20F2162C"/>
    <w:rsid w:val="257873C3"/>
    <w:rsid w:val="2580651A"/>
    <w:rsid w:val="2A6F5E19"/>
    <w:rsid w:val="360A60B7"/>
    <w:rsid w:val="41354204"/>
    <w:rsid w:val="43984AC5"/>
    <w:rsid w:val="440A3726"/>
    <w:rsid w:val="442F3095"/>
    <w:rsid w:val="44D14D91"/>
    <w:rsid w:val="4B5A4F93"/>
    <w:rsid w:val="4CF6702F"/>
    <w:rsid w:val="4E7C3473"/>
    <w:rsid w:val="57EF2E70"/>
    <w:rsid w:val="5D101956"/>
    <w:rsid w:val="604C0EF7"/>
    <w:rsid w:val="60843D20"/>
    <w:rsid w:val="685747F9"/>
    <w:rsid w:val="6894168D"/>
    <w:rsid w:val="6B2A658B"/>
    <w:rsid w:val="6C6B79A8"/>
    <w:rsid w:val="6D54763D"/>
    <w:rsid w:val="6F0D5D16"/>
    <w:rsid w:val="6FCD36D6"/>
    <w:rsid w:val="71EE69CA"/>
    <w:rsid w:val="736C6EBE"/>
    <w:rsid w:val="78EA70A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0" w:semiHidden="0" w:name="Normal"/>
    <w:lsdException w:qFormat="1" w:uiPriority="99" w:semiHidden="0" w:name="heading 1"/>
    <w:lsdException w:qFormat="1" w:uiPriority="99" w:semiHidden="0" w:name="heading 2"/>
    <w:lsdException w:qFormat="1" w:uiPriority="0"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qFormat="1" w:unhideWhenUsed="0" w:uiPriority="99" w:semiHidden="0" w:name="index 2"/>
    <w:lsdException w:qFormat="1" w:unhideWhenUsed="0" w:uiPriority="99" w:semiHidden="0" w:name="index 3"/>
    <w:lsdException w:qFormat="1" w:unhideWhenUsed="0" w:uiPriority="99" w:semiHidden="0" w:name="index 4"/>
    <w:lsdException w:qFormat="1" w:unhideWhenUsed="0" w:uiPriority="99" w:semiHidden="0" w:name="index 5"/>
    <w:lsdException w:qFormat="1" w:uiPriority="99" w:semiHidden="0" w:name="index 6"/>
    <w:lsdException w:qFormat="1" w:unhideWhenUsed="0" w:uiPriority="99" w:semiHidden="0" w:name="index 7"/>
    <w:lsdException w:qFormat="1" w:unhideWhenUsed="0" w:uiPriority="99" w:semiHidden="0" w:name="index 8"/>
    <w:lsdException w:qFormat="1" w:unhideWhenUsed="0" w:uiPriority="99" w:semiHidden="0" w:name="index 9"/>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nhideWhenUsed="0" w:uiPriority="0" w:semiHidden="0" w:name="footnote text"/>
    <w:lsdException w:qFormat="1" w:unhideWhenUsed="0" w:uiPriority="99" w:semiHidden="0" w:name="annotation text"/>
    <w:lsdException w:qFormat="1" w:uiPriority="99" w:semiHidden="0" w:name="header"/>
    <w:lsdException w:qFormat="1" w:uiPriority="99" w:semiHidden="0" w:name="footer"/>
    <w:lsdException w:qFormat="1" w:unhideWhenUsed="0" w:uiPriority="99" w:semiHidden="0" w:name="index heading"/>
    <w:lsdException w:qFormat="1" w:unhideWhenUsed="0" w:uiPriority="99" w:semiHidden="0" w:name="caption"/>
    <w:lsdException w:qFormat="1" w:uiPriority="99" w:semiHidden="0" w:name="table of figures"/>
    <w:lsdException w:qFormat="1" w:unhideWhenUsed="0" w:uiPriority="99" w:semiHidden="0" w:name="envelope address"/>
    <w:lsdException w:qFormat="1" w:unhideWhenUsed="0" w:uiPriority="99" w:semiHidden="0" w:name="envelope return"/>
    <w:lsdException w:qFormat="1" w:unhideWhenUsed="0" w:uiPriority="99" w:semiHidden="0" w:name="footnote reference"/>
    <w:lsdException w:qFormat="1" w:unhideWhenUsed="0" w:uiPriority="99" w:semiHidden="0" w:name="annotation reference"/>
    <w:lsdException w:qFormat="1" w:unhideWhenUsed="0" w:uiPriority="99" w:semiHidden="0" w:name="line number"/>
    <w:lsdException w:qFormat="1" w:unhideWhenUsed="0" w:uiPriority="99" w:semiHidden="0" w:name="page number"/>
    <w:lsdException w:qFormat="1" w:unhideWhenUsed="0" w:uiPriority="99" w:semiHidden="0" w:name="endnote reference"/>
    <w:lsdException w:qFormat="1" w:unhideWhenUsed="0" w:uiPriority="99" w:semiHidden="0" w:name="endnote text"/>
    <w:lsdException w:qFormat="1" w:unhideWhenUsed="0" w:uiPriority="99" w:semiHidden="0" w:name="table of authorities"/>
    <w:lsdException w:qFormat="1" w:unhideWhenUsed="0" w:uiPriority="99" w:semiHidden="0" w:name="macro"/>
    <w:lsdException w:qFormat="1" w:unhideWhenUsed="0" w:uiPriority="99"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99" w:semiHidden="0" w:name="Title"/>
    <w:lsdException w:qFormat="1" w:unhideWhenUsed="0" w:uiPriority="99" w:semiHidden="0" w:name="Closing"/>
    <w:lsdException w:qFormat="1" w:unhideWhenUsed="0" w:uiPriority="99" w:semiHidden="0" w:name="Signature"/>
    <w:lsdException w:qFormat="1" w:uiPriority="99" w:semiHidden="0" w:name="Default Paragraph Font"/>
    <w:lsdException w:qFormat="1" w:uiPriority="99" w:semiHidden="0" w:name="Body Text"/>
    <w:lsdException w:qFormat="1" w:uiPriority="0"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qFormat="1" w:unhideWhenUsed="0" w:uiPriority="99" w:semiHidden="0" w:name="Message Header"/>
    <w:lsdException w:qFormat="1" w:unhideWhenUsed="0" w:uiPriority="99"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iPriority="0" w:semiHidden="0" w:name="Body Text First Indent 2"/>
    <w:lsdException w:qFormat="1" w:unhideWhenUsed="0" w:uiPriority="99"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iPriority="99" w:semiHidden="0" w:name="Strong"/>
    <w:lsdException w:qFormat="1" w:unhideWhenUsed="0" w:uiPriority="99" w:semiHidden="0" w:name="Emphasis"/>
    <w:lsdException w:qFormat="1" w:unhideWhenUsed="0" w:uiPriority="99" w:semiHidden="0" w:name="Document Map"/>
    <w:lsdException w:qFormat="1" w:unhideWhenUsed="0" w:uiPriority="99" w:semiHidden="0" w:name="Plain Text"/>
    <w:lsdException w:qFormat="1" w:unhideWhenUsed="0" w:uiPriority="99" w:semiHidden="0" w:name="E-mail Signature"/>
    <w:lsdException w:qFormat="1" w:uiPriority="0" w:semiHidden="0" w:name="Normal (Web)"/>
    <w:lsdException w:qFormat="1" w:unhideWhenUsed="0" w:uiPriority="99" w:semiHidden="0" w:name="HTML Acronym"/>
    <w:lsdException w:qFormat="1" w:unhideWhenUsed="0" w:uiPriority="99"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nhideWhenUsed="0" w:uiPriority="99" w:semiHidden="0" w:name="Normal Table"/>
    <w:lsdException w:qFormat="1" w:unhideWhenUsed="0" w:uiPriority="99" w:semiHidden="0" w:name="annotation subject"/>
    <w:lsdException w:qFormat="1" w:unhideWhenUsed="0" w:uiPriority="99" w:semiHidden="0" w:name="Table Simple 1"/>
    <w:lsdException w:qFormat="1" w:unhideWhenUsed="0" w:uiPriority="99" w:semiHidden="0" w:name="Table Simple 2"/>
    <w:lsdException w:qFormat="1" w:unhideWhenUsed="0" w:uiPriority="99" w:semiHidden="0" w:name="Table Simple 3"/>
    <w:lsdException w:qFormat="1" w:unhideWhenUsed="0" w:uiPriority="99" w:semiHidden="0" w:name="Table Classic 1"/>
    <w:lsdException w:qFormat="1" w:unhideWhenUsed="0" w:uiPriority="99" w:semiHidden="0" w:name="Table Classic 2"/>
    <w:lsdException w:qFormat="1" w:unhideWhenUsed="0" w:uiPriority="99" w:semiHidden="0" w:name="Table Classic 3"/>
    <w:lsdException w:qFormat="1" w:unhideWhenUsed="0" w:uiPriority="99" w:semiHidden="0" w:name="Table Classic 4"/>
    <w:lsdException w:qFormat="1" w:unhideWhenUsed="0" w:uiPriority="99" w:semiHidden="0" w:name="Table Colorful 1"/>
    <w:lsdException w:qFormat="1" w:unhideWhenUsed="0" w:uiPriority="99" w:semiHidden="0" w:name="Table Colorful 2"/>
    <w:lsdException w:qFormat="1" w:unhideWhenUsed="0" w:uiPriority="99" w:semiHidden="0" w:name="Table Colorful 3"/>
    <w:lsdException w:qFormat="1" w:unhideWhenUsed="0" w:uiPriority="99" w:semiHidden="0" w:name="Table Columns 1"/>
    <w:lsdException w:qFormat="1" w:unhideWhenUsed="0" w:uiPriority="99" w:semiHidden="0" w:name="Table Columns 2"/>
    <w:lsdException w:qFormat="1" w:unhideWhenUsed="0" w:uiPriority="99" w:semiHidden="0" w:name="Table Columns 3"/>
    <w:lsdException w:qFormat="1" w:unhideWhenUsed="0" w:uiPriority="99" w:semiHidden="0" w:name="Table Columns 4"/>
    <w:lsdException w:qFormat="1" w:unhideWhenUsed="0" w:uiPriority="99" w:semiHidden="0" w:name="Table Columns 5"/>
    <w:lsdException w:qFormat="1" w:unhideWhenUsed="0" w:uiPriority="99" w:semiHidden="0" w:name="Table Grid 1"/>
    <w:lsdException w:qFormat="1" w:unhideWhenUsed="0" w:uiPriority="99" w:semiHidden="0" w:name="Table Grid 2"/>
    <w:lsdException w:qFormat="1" w:unhideWhenUsed="0" w:uiPriority="99" w:semiHidden="0" w:name="Table Grid 3"/>
    <w:lsdException w:qFormat="1" w:unhideWhenUsed="0" w:uiPriority="99" w:semiHidden="0" w:name="Table Grid 4"/>
    <w:lsdException w:qFormat="1" w:unhideWhenUsed="0" w:uiPriority="99" w:semiHidden="0" w:name="Table Grid 5"/>
    <w:lsdException w:qFormat="1" w:unhideWhenUsed="0" w:uiPriority="99" w:semiHidden="0" w:name="Table Grid 6"/>
    <w:lsdException w:qFormat="1" w:unhideWhenUsed="0" w:uiPriority="99" w:semiHidden="0" w:name="Table Grid 7"/>
    <w:lsdException w:qFormat="1" w:unhideWhenUsed="0" w:uiPriority="99" w:semiHidden="0" w:name="Table Grid 8"/>
    <w:lsdException w:qFormat="1" w:unhideWhenUsed="0" w:uiPriority="99" w:semiHidden="0" w:name="Table List 1"/>
    <w:lsdException w:qFormat="1" w:unhideWhenUsed="0" w:uiPriority="99" w:semiHidden="0" w:name="Table List 2"/>
    <w:lsdException w:qFormat="1" w:unhideWhenUsed="0" w:uiPriority="99" w:semiHidden="0" w:name="Table List 3"/>
    <w:lsdException w:qFormat="1" w:unhideWhenUsed="0" w:uiPriority="99" w:semiHidden="0" w:name="Table List 4"/>
    <w:lsdException w:qFormat="1" w:unhideWhenUsed="0" w:uiPriority="99" w:semiHidden="0" w:name="Table List 5"/>
    <w:lsdException w:qFormat="1" w:unhideWhenUsed="0" w:uiPriority="99" w:semiHidden="0" w:name="Table List 6"/>
    <w:lsdException w:qFormat="1" w:unhideWhenUsed="0" w:uiPriority="99" w:semiHidden="0" w:name="Table List 7"/>
    <w:lsdException w:qFormat="1" w:unhideWhenUsed="0" w:uiPriority="99" w:semiHidden="0" w:name="Table List 8"/>
    <w:lsdException w:qFormat="1" w:unhideWhenUsed="0" w:uiPriority="99" w:semiHidden="0" w:name="Table 3D effects 1"/>
    <w:lsdException w:qFormat="1" w:unhideWhenUsed="0" w:uiPriority="99" w:semiHidden="0" w:name="Table 3D effects 2"/>
    <w:lsdException w:qFormat="1" w:unhideWhenUsed="0" w:uiPriority="99" w:semiHidden="0" w:name="Table 3D effects 3"/>
    <w:lsdException w:qFormat="1" w:unhideWhenUsed="0" w:uiPriority="99" w:semiHidden="0" w:name="Table Contemporary"/>
    <w:lsdException w:qFormat="1" w:unhideWhenUsed="0" w:uiPriority="99" w:semiHidden="0" w:name="Table Elegant"/>
    <w:lsdException w:qFormat="1" w:unhideWhenUsed="0" w:uiPriority="99" w:semiHidden="0" w:name="Table Professional"/>
    <w:lsdException w:qFormat="1" w:unhideWhenUsed="0" w:uiPriority="99" w:semiHidden="0" w:name="Table Subtle 1"/>
    <w:lsdException w:qFormat="1" w:unhideWhenUsed="0" w:uiPriority="99" w:semiHidden="0" w:name="Table Subtle 2"/>
    <w:lsdException w:qFormat="1" w:unhideWhenUsed="0" w:uiPriority="99" w:semiHidden="0" w:name="Table Web 1"/>
    <w:lsdException w:qFormat="1" w:unhideWhenUsed="0" w:uiPriority="99" w:semiHidden="0" w:name="Table Web 2"/>
    <w:lsdException w:qFormat="1" w:unhideWhenUsed="0" w:uiPriority="99" w:semiHidden="0" w:name="Table Web 3"/>
    <w:lsdException w:qFormat="1" w:unhideWhenUsed="0" w:uiPriority="99" w:semiHidden="0" w:name="Balloon Text"/>
    <w:lsdException w:qFormat="1" w:unhideWhenUsed="0" w:uiPriority="99" w:semiHidden="0" w:name="Table Grid"/>
    <w:lsdException w:qFormat="1"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qFormat="1"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nhideWhenUsed/>
    <w:qFormat/>
    <w:uiPriority w:val="0"/>
    <w:pPr>
      <w:widowControl w:val="0"/>
      <w:autoSpaceDE w:val="0"/>
      <w:autoSpaceDN w:val="0"/>
      <w:adjustRightInd w:val="0"/>
    </w:pPr>
    <w:rPr>
      <w:rFonts w:hint="default" w:ascii="宋体" w:hAnsi="Times New Roman" w:eastAsia="宋体" w:cs="Times New Roman"/>
      <w:sz w:val="24"/>
      <w:szCs w:val="24"/>
      <w:lang w:val="en-US" w:eastAsia="zh-CN" w:bidi="ar-SA"/>
    </w:rPr>
  </w:style>
  <w:style w:type="paragraph" w:styleId="3">
    <w:name w:val="heading 1"/>
    <w:basedOn w:val="1"/>
    <w:link w:val="25"/>
    <w:unhideWhenUsed/>
    <w:qFormat/>
    <w:uiPriority w:val="99"/>
    <w:pPr>
      <w:outlineLvl w:val="0"/>
    </w:pPr>
    <w:rPr>
      <w:rFonts w:hint="default"/>
      <w:sz w:val="24"/>
      <w:szCs w:val="24"/>
    </w:rPr>
  </w:style>
  <w:style w:type="paragraph" w:styleId="4">
    <w:name w:val="heading 2"/>
    <w:basedOn w:val="1"/>
    <w:link w:val="24"/>
    <w:unhideWhenUsed/>
    <w:qFormat/>
    <w:uiPriority w:val="99"/>
    <w:pPr>
      <w:outlineLvl w:val="1"/>
    </w:pPr>
    <w:rPr>
      <w:rFonts w:hint="default"/>
      <w:sz w:val="24"/>
      <w:szCs w:val="24"/>
    </w:rPr>
  </w:style>
  <w:style w:type="paragraph" w:styleId="5">
    <w:name w:val="heading 3"/>
    <w:basedOn w:val="1"/>
    <w:next w:val="1"/>
    <w:link w:val="23"/>
    <w:unhideWhenUsed/>
    <w:qFormat/>
    <w:uiPriority w:val="0"/>
    <w:pPr>
      <w:keepNext/>
      <w:keepLines/>
      <w:spacing w:line="576" w:lineRule="exact"/>
      <w:outlineLvl w:val="2"/>
    </w:pPr>
    <w:rPr>
      <w:rFonts w:hint="eastAsia" w:ascii="Times New Roman" w:eastAsia="仿宋_GB2312"/>
      <w:b/>
      <w:sz w:val="32"/>
      <w:szCs w:val="24"/>
    </w:rPr>
  </w:style>
  <w:style w:type="character" w:default="1" w:styleId="15">
    <w:name w:val="Default Paragraph Font"/>
    <w:unhideWhenUsed/>
    <w:qFormat/>
    <w:uiPriority w:val="99"/>
    <w:rPr>
      <w:rFonts w:hint="default"/>
      <w:sz w:val="24"/>
      <w:szCs w:val="24"/>
    </w:rPr>
  </w:style>
  <w:style w:type="table" w:default="1" w:styleId="14">
    <w:name w:val="Normal Table"/>
    <w:qFormat/>
    <w:uiPriority w:val="99"/>
    <w:tblPr>
      <w:tblCellMar>
        <w:top w:w="0" w:type="dxa"/>
        <w:left w:w="108" w:type="dxa"/>
        <w:bottom w:w="0" w:type="dxa"/>
        <w:right w:w="108" w:type="dxa"/>
      </w:tblCellMar>
    </w:tblPr>
  </w:style>
  <w:style w:type="paragraph" w:customStyle="1" w:styleId="2">
    <w:name w:val="table of figures1"/>
    <w:basedOn w:val="1"/>
    <w:next w:val="1"/>
    <w:unhideWhenUsed/>
    <w:qFormat/>
    <w:uiPriority w:val="99"/>
    <w:pPr>
      <w:ind w:left="200" w:leftChars="200" w:hanging="200" w:hangingChars="200"/>
    </w:pPr>
    <w:rPr>
      <w:rFonts w:hint="default" w:ascii="Calibri" w:hAnsi="Calibri"/>
      <w:sz w:val="21"/>
      <w:szCs w:val="24"/>
    </w:rPr>
  </w:style>
  <w:style w:type="paragraph" w:styleId="6">
    <w:name w:val="index 6"/>
    <w:basedOn w:val="1"/>
    <w:next w:val="1"/>
    <w:unhideWhenUsed/>
    <w:qFormat/>
    <w:uiPriority w:val="99"/>
    <w:pPr>
      <w:ind w:left="2100"/>
    </w:pPr>
    <w:rPr>
      <w:rFonts w:hint="default"/>
      <w:sz w:val="24"/>
      <w:szCs w:val="24"/>
    </w:rPr>
  </w:style>
  <w:style w:type="paragraph" w:styleId="7">
    <w:name w:val="Body Text"/>
    <w:basedOn w:val="1"/>
    <w:link w:val="20"/>
    <w:unhideWhenUsed/>
    <w:qFormat/>
    <w:uiPriority w:val="99"/>
    <w:pPr>
      <w:spacing w:beforeLines="30"/>
    </w:pPr>
    <w:rPr>
      <w:rFonts w:hint="eastAsia" w:ascii="仿宋_GB2312" w:eastAsia="仿宋_GB2312"/>
      <w:sz w:val="30"/>
      <w:szCs w:val="24"/>
    </w:rPr>
  </w:style>
  <w:style w:type="paragraph" w:styleId="8">
    <w:name w:val="Body Text Indent"/>
    <w:basedOn w:val="1"/>
    <w:unhideWhenUsed/>
    <w:qFormat/>
    <w:uiPriority w:val="0"/>
    <w:pPr>
      <w:ind w:firstLine="200" w:firstLineChars="200"/>
      <w:jc w:val="both"/>
    </w:pPr>
    <w:rPr>
      <w:rFonts w:hint="eastAsia" w:ascii="仿宋_GB2312" w:hAnsi="Calibri" w:eastAsia="仿宋_GB2312"/>
      <w:sz w:val="30"/>
      <w:szCs w:val="20"/>
    </w:rPr>
  </w:style>
  <w:style w:type="paragraph" w:styleId="9">
    <w:name w:val="footer"/>
    <w:basedOn w:val="1"/>
    <w:link w:val="22"/>
    <w:unhideWhenUsed/>
    <w:qFormat/>
    <w:uiPriority w:val="99"/>
    <w:pPr>
      <w:tabs>
        <w:tab w:val="center" w:pos="4153"/>
        <w:tab w:val="right" w:pos="8306"/>
      </w:tabs>
      <w:snapToGrid w:val="0"/>
    </w:pPr>
    <w:rPr>
      <w:rFonts w:hint="default"/>
      <w:sz w:val="18"/>
      <w:szCs w:val="18"/>
    </w:rPr>
  </w:style>
  <w:style w:type="paragraph" w:styleId="10">
    <w:name w:val="header"/>
    <w:basedOn w:val="1"/>
    <w:link w:val="26"/>
    <w:unhideWhenUsed/>
    <w:qFormat/>
    <w:uiPriority w:val="99"/>
    <w:pPr>
      <w:pBdr>
        <w:bottom w:val="single" w:color="auto" w:sz="6" w:space="1"/>
      </w:pBdr>
      <w:tabs>
        <w:tab w:val="center" w:pos="4153"/>
        <w:tab w:val="right" w:pos="8306"/>
      </w:tabs>
      <w:snapToGrid w:val="0"/>
      <w:jc w:val="center"/>
    </w:pPr>
    <w:rPr>
      <w:rFonts w:hint="default"/>
      <w:sz w:val="18"/>
      <w:szCs w:val="18"/>
    </w:rPr>
  </w:style>
  <w:style w:type="paragraph" w:styleId="11">
    <w:name w:val="table of figures"/>
    <w:basedOn w:val="1"/>
    <w:next w:val="1"/>
    <w:unhideWhenUsed/>
    <w:qFormat/>
    <w:uiPriority w:val="99"/>
    <w:pPr>
      <w:ind w:left="200" w:leftChars="200" w:hanging="200" w:hangingChars="200"/>
    </w:pPr>
    <w:rPr>
      <w:rFonts w:hint="default"/>
      <w:sz w:val="24"/>
      <w:szCs w:val="24"/>
    </w:rPr>
  </w:style>
  <w:style w:type="paragraph" w:styleId="12">
    <w:name w:val="Normal (Web)"/>
    <w:basedOn w:val="1"/>
    <w:unhideWhenUsed/>
    <w:qFormat/>
    <w:uiPriority w:val="0"/>
    <w:pPr>
      <w:spacing w:before="100" w:beforeAutospacing="1" w:after="100" w:afterAutospacing="1"/>
    </w:pPr>
    <w:rPr>
      <w:rFonts w:hint="default"/>
      <w:sz w:val="24"/>
      <w:szCs w:val="24"/>
      <w:lang w:bidi="ar"/>
    </w:rPr>
  </w:style>
  <w:style w:type="paragraph" w:styleId="13">
    <w:name w:val="Body Text First Indent 2"/>
    <w:basedOn w:val="8"/>
    <w:unhideWhenUsed/>
    <w:qFormat/>
    <w:uiPriority w:val="0"/>
    <w:pPr>
      <w:ind w:firstLine="420"/>
    </w:pPr>
    <w:rPr>
      <w:rFonts w:hint="eastAsia"/>
      <w:sz w:val="30"/>
      <w:szCs w:val="20"/>
    </w:rPr>
  </w:style>
  <w:style w:type="character" w:styleId="16">
    <w:name w:val="Strong"/>
    <w:basedOn w:val="15"/>
    <w:unhideWhenUsed/>
    <w:qFormat/>
    <w:uiPriority w:val="99"/>
    <w:rPr>
      <w:rFonts w:hint="default"/>
      <w:b/>
      <w:sz w:val="24"/>
      <w:szCs w:val="24"/>
    </w:rPr>
  </w:style>
  <w:style w:type="paragraph" w:styleId="17">
    <w:name w:val="List Paragraph"/>
    <w:basedOn w:val="1"/>
    <w:unhideWhenUsed/>
    <w:qFormat/>
    <w:uiPriority w:val="99"/>
    <w:pPr>
      <w:ind w:firstLine="420" w:firstLineChars="200"/>
    </w:pPr>
    <w:rPr>
      <w:rFonts w:hint="default"/>
      <w:sz w:val="24"/>
      <w:szCs w:val="24"/>
    </w:rPr>
  </w:style>
  <w:style w:type="paragraph" w:styleId="18">
    <w:name w:val="Quote"/>
    <w:next w:val="1"/>
    <w:unhideWhenUsed/>
    <w:qFormat/>
    <w:uiPriority w:val="0"/>
    <w:pPr>
      <w:wordWrap w:val="0"/>
      <w:spacing w:before="200" w:beforeLines="0" w:after="160" w:afterLines="0"/>
      <w:ind w:left="864" w:right="864"/>
      <w:jc w:val="center"/>
    </w:pPr>
    <w:rPr>
      <w:rFonts w:hint="default" w:ascii="Calibri" w:hAnsi="Calibri" w:eastAsia="宋体" w:cs="Times New Roman"/>
      <w:i/>
      <w:sz w:val="21"/>
      <w:szCs w:val="24"/>
      <w:lang w:val="en-US" w:eastAsia="zh-CN" w:bidi="ar-SA"/>
    </w:rPr>
  </w:style>
  <w:style w:type="paragraph" w:customStyle="1" w:styleId="19">
    <w:name w:val="Default"/>
    <w:next w:val="18"/>
    <w:unhideWhenUsed/>
    <w:qFormat/>
    <w:uiPriority w:val="99"/>
    <w:pPr>
      <w:widowControl w:val="0"/>
      <w:autoSpaceDE w:val="0"/>
      <w:autoSpaceDN w:val="0"/>
      <w:adjustRightInd w:val="0"/>
      <w:spacing w:beforeLines="0" w:afterLines="0"/>
    </w:pPr>
    <w:rPr>
      <w:rFonts w:hint="eastAsia" w:ascii="仿宋" w:hAnsi="Calibri" w:eastAsia="仿宋" w:cs="仿宋"/>
      <w:color w:val="000000"/>
      <w:sz w:val="24"/>
      <w:szCs w:val="24"/>
      <w:lang w:val="en-US" w:eastAsia="zh-CN" w:bidi="ar-SA"/>
    </w:rPr>
  </w:style>
  <w:style w:type="character" w:customStyle="1" w:styleId="20">
    <w:name w:val="正文文本 Char"/>
    <w:basedOn w:val="15"/>
    <w:link w:val="7"/>
    <w:unhideWhenUsed/>
    <w:qFormat/>
    <w:locked/>
    <w:uiPriority w:val="99"/>
    <w:rPr>
      <w:rFonts w:hint="default" w:cs="Times New Roman"/>
      <w:sz w:val="24"/>
      <w:szCs w:val="24"/>
    </w:rPr>
  </w:style>
  <w:style w:type="character" w:customStyle="1" w:styleId="21">
    <w:name w:val="font41"/>
    <w:basedOn w:val="15"/>
    <w:unhideWhenUsed/>
    <w:qFormat/>
    <w:uiPriority w:val="0"/>
    <w:rPr>
      <w:rFonts w:hint="default" w:ascii="宋体" w:hAnsi="宋体" w:eastAsia="宋体" w:cs="宋体"/>
      <w:color w:val="000000"/>
      <w:sz w:val="18"/>
      <w:szCs w:val="18"/>
    </w:rPr>
  </w:style>
  <w:style w:type="character" w:customStyle="1" w:styleId="22">
    <w:name w:val="页脚 Char"/>
    <w:basedOn w:val="15"/>
    <w:link w:val="9"/>
    <w:unhideWhenUsed/>
    <w:qFormat/>
    <w:locked/>
    <w:uiPriority w:val="99"/>
    <w:rPr>
      <w:rFonts w:hint="default" w:cs="Times New Roman"/>
      <w:sz w:val="18"/>
      <w:szCs w:val="18"/>
    </w:rPr>
  </w:style>
  <w:style w:type="character" w:customStyle="1" w:styleId="23">
    <w:name w:val="标题 3 Char"/>
    <w:link w:val="5"/>
    <w:unhideWhenUsed/>
    <w:qFormat/>
    <w:uiPriority w:val="0"/>
    <w:rPr>
      <w:rFonts w:hint="eastAsia" w:ascii="Times New Roman" w:hAnsi="Times New Roman" w:eastAsia="Times New Roman"/>
      <w:b/>
      <w:sz w:val="32"/>
      <w:szCs w:val="24"/>
    </w:rPr>
  </w:style>
  <w:style w:type="character" w:customStyle="1" w:styleId="24">
    <w:name w:val="标题 2 Char"/>
    <w:basedOn w:val="15"/>
    <w:link w:val="4"/>
    <w:unhideWhenUsed/>
    <w:qFormat/>
    <w:locked/>
    <w:uiPriority w:val="9"/>
    <w:rPr>
      <w:rFonts w:hint="default" w:ascii="宋体" w:hAnsi="Cambria" w:eastAsia="宋体" w:cs="Times New Roman"/>
      <w:b/>
      <w:sz w:val="32"/>
      <w:szCs w:val="32"/>
    </w:rPr>
  </w:style>
  <w:style w:type="character" w:customStyle="1" w:styleId="25">
    <w:name w:val="标题 1 Char"/>
    <w:basedOn w:val="15"/>
    <w:link w:val="3"/>
    <w:unhideWhenUsed/>
    <w:qFormat/>
    <w:locked/>
    <w:uiPriority w:val="9"/>
    <w:rPr>
      <w:rFonts w:hint="default" w:cs="Times New Roman"/>
      <w:b/>
      <w:kern w:val="44"/>
      <w:sz w:val="44"/>
      <w:szCs w:val="44"/>
    </w:rPr>
  </w:style>
  <w:style w:type="character" w:customStyle="1" w:styleId="26">
    <w:name w:val="页眉 Char"/>
    <w:basedOn w:val="15"/>
    <w:link w:val="10"/>
    <w:unhideWhenUsed/>
    <w:qFormat/>
    <w:locked/>
    <w:uiPriority w:val="99"/>
    <w:rPr>
      <w:rFonts w:hint="default" w:cs="Times New Roman"/>
      <w:sz w:val="18"/>
      <w:szCs w:val="18"/>
    </w:rPr>
  </w:style>
  <w:style w:type="character" w:customStyle="1" w:styleId="27">
    <w:name w:val="font61"/>
    <w:basedOn w:val="15"/>
    <w:unhideWhenUsed/>
    <w:qFormat/>
    <w:uiPriority w:val="0"/>
    <w:rPr>
      <w:rFonts w:hint="default" w:ascii="宋体" w:hAnsi="宋体" w:eastAsia="宋体" w:cs="宋体"/>
      <w:color w:val="00000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83</Pages>
  <Words>36855</Words>
  <Characters>39948</Characters>
  <TotalTime>4</TotalTime>
  <ScaleCrop>false</ScaleCrop>
  <LinksUpToDate>false</LinksUpToDate>
  <CharactersWithSpaces>40142</CharactersWithSpaces>
  <Application>WPS Office_12.1.0.17857_F1E327BC-269C-435d-A152-05C5408002CA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2024-09-25T07:20:00Z</dcterms:created>
  <dc:creator>Administrator</dc:creator>
  <cp:lastModifiedBy>昭化融媒体</cp:lastModifiedBy>
  <dcterms:modified xsi:type="dcterms:W3CDTF">2024-09-26T01:02:17Z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4CC8510414514487B4B4951C8FE8B6F3_13</vt:lpwstr>
  </property>
</Properties>
</file>