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B5E39">
      <w:pPr>
        <w:pageBreakBefore w:val="0"/>
        <w:kinsoku/>
        <w:wordWrap/>
        <w:overflowPunct/>
        <w:topLinePunct w:val="0"/>
        <w:bidi w:val="0"/>
        <w:spacing w:line="600" w:lineRule="exact"/>
        <w:jc w:val="center"/>
        <w:outlineLvl w:val="0"/>
        <w:rPr>
          <w:rFonts w:ascii="方正小标宋简体" w:hAnsi="宋体" w:eastAsia="方正小标宋简体"/>
          <w:color w:val="000000"/>
          <w:sz w:val="72"/>
          <w:szCs w:val="72"/>
        </w:rPr>
      </w:pPr>
      <w:bookmarkStart w:id="0" w:name="_Toc15306267"/>
      <w:bookmarkStart w:id="66" w:name="_GoBack"/>
      <w:bookmarkEnd w:id="66"/>
    </w:p>
    <w:p w14:paraId="1E450080">
      <w:pPr>
        <w:pageBreakBefore w:val="0"/>
        <w:kinsoku/>
        <w:wordWrap/>
        <w:overflowPunct/>
        <w:topLinePunct w:val="0"/>
        <w:bidi w:val="0"/>
        <w:spacing w:line="600" w:lineRule="exact"/>
        <w:jc w:val="center"/>
        <w:outlineLvl w:val="0"/>
        <w:rPr>
          <w:rFonts w:ascii="方正小标宋简体" w:hAnsi="宋体" w:eastAsia="方正小标宋简体"/>
          <w:color w:val="000000"/>
          <w:sz w:val="72"/>
          <w:szCs w:val="72"/>
        </w:rPr>
      </w:pPr>
    </w:p>
    <w:p w14:paraId="080F671B">
      <w:pPr>
        <w:pageBreakBefore w:val="0"/>
        <w:kinsoku/>
        <w:wordWrap/>
        <w:overflowPunct/>
        <w:topLinePunct w:val="0"/>
        <w:bidi w:val="0"/>
        <w:spacing w:line="600" w:lineRule="exact"/>
        <w:jc w:val="center"/>
        <w:outlineLvl w:val="0"/>
        <w:rPr>
          <w:rFonts w:ascii="方正小标宋简体" w:hAnsi="宋体" w:eastAsia="方正小标宋简体"/>
          <w:color w:val="000000"/>
          <w:sz w:val="72"/>
          <w:szCs w:val="72"/>
        </w:rPr>
      </w:pPr>
    </w:p>
    <w:p w14:paraId="225CCBCB">
      <w:pPr>
        <w:pageBreakBefore w:val="0"/>
        <w:kinsoku/>
        <w:wordWrap/>
        <w:overflowPunct/>
        <w:topLinePunct w:val="0"/>
        <w:bidi w:val="0"/>
        <w:spacing w:line="600" w:lineRule="exact"/>
        <w:jc w:val="center"/>
        <w:outlineLvl w:val="0"/>
        <w:rPr>
          <w:rFonts w:ascii="方正小标宋简体" w:hAnsi="宋体" w:eastAsia="方正小标宋简体"/>
          <w:color w:val="000000"/>
          <w:sz w:val="72"/>
          <w:szCs w:val="72"/>
        </w:rPr>
      </w:pPr>
    </w:p>
    <w:p w14:paraId="23DDD027">
      <w:pPr>
        <w:pageBreakBefore w:val="0"/>
        <w:kinsoku/>
        <w:wordWrap/>
        <w:overflowPunct/>
        <w:topLinePunct w:val="0"/>
        <w:bidi w:val="0"/>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193"/>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14:paraId="67F327BE">
      <w:pPr>
        <w:keepNext w:val="0"/>
        <w:keepLines w:val="0"/>
        <w:pageBreakBefore w:val="0"/>
        <w:widowControl w:val="0"/>
        <w:tabs>
          <w:tab w:val="left" w:pos="8400"/>
        </w:tabs>
        <w:kinsoku/>
        <w:wordWrap/>
        <w:overflowPunct/>
        <w:topLinePunct w:val="0"/>
        <w:autoSpaceDE/>
        <w:autoSpaceDN/>
        <w:bidi w:val="0"/>
        <w:adjustRightInd w:val="0"/>
        <w:snapToGrid w:val="0"/>
        <w:spacing w:beforeLines="-2147483648" w:afterLines="-2147483648" w:line="288" w:lineRule="auto"/>
        <w:ind w:right="729" w:rightChars="347"/>
        <w:jc w:val="center"/>
        <w:textAlignment w:val="auto"/>
        <w:outlineLvl w:val="0"/>
        <w:rPr>
          <w:rFonts w:hint="eastAsia" w:ascii="方正小标宋简体" w:hAnsi="宋体" w:eastAsia="方正小标宋简体" w:cs="Times New Roman"/>
          <w:color w:val="000000"/>
          <w:kern w:val="2"/>
          <w:sz w:val="72"/>
          <w:szCs w:val="72"/>
          <w:lang w:val="en-US" w:eastAsia="zh-CN" w:bidi="ar-SA"/>
        </w:rPr>
        <w:sectPr>
          <w:pgSz w:w="11910" w:h="16840"/>
          <w:pgMar w:top="1580" w:right="860" w:bottom="280" w:left="1920" w:header="720" w:footer="720" w:gutter="0"/>
          <w:lnNumType w:countBy="0" w:distance="360"/>
          <w:cols w:space="720" w:num="1"/>
        </w:sectPr>
      </w:pPr>
      <w:r>
        <w:rPr>
          <w:rFonts w:hint="eastAsia" w:ascii="方正小标宋简体" w:hAnsi="宋体" w:eastAsia="方正小标宋简体" w:cs="Times New Roman"/>
          <w:color w:val="000000"/>
          <w:kern w:val="2"/>
          <w:sz w:val="72"/>
          <w:szCs w:val="72"/>
          <w:lang w:val="en-US" w:eastAsia="zh-CN" w:bidi="ar-SA"/>
        </w:rPr>
        <w:t>四川省广元市昭化区经济信息化和科学技术局部门决算</w:t>
      </w:r>
      <w:bookmarkStart w:id="6" w:name="(范本)"/>
      <w:bookmarkEnd w:id="6"/>
    </w:p>
    <w:p w14:paraId="647AA995">
      <w:pPr>
        <w:pageBreakBefore w:val="0"/>
        <w:widowControl/>
        <w:kinsoku/>
        <w:wordWrap/>
        <w:overflowPunct/>
        <w:topLinePunct w:val="0"/>
        <w:bidi w:val="0"/>
        <w:jc w:val="center"/>
        <w:rPr>
          <w:rFonts w:ascii="黑体" w:hAnsi="黑体" w:eastAsia="黑体"/>
          <w:color w:val="000000"/>
          <w:sz w:val="48"/>
          <w:szCs w:val="48"/>
        </w:rPr>
      </w:pPr>
      <w:r>
        <w:rPr>
          <w:rFonts w:hint="eastAsia" w:ascii="黑体" w:hAnsi="黑体" w:eastAsia="黑体"/>
          <w:color w:val="000000"/>
          <w:sz w:val="48"/>
          <w:szCs w:val="48"/>
        </w:rPr>
        <w:t>目录</w:t>
      </w:r>
    </w:p>
    <w:p w14:paraId="685365A1">
      <w:pPr>
        <w:pageBreakBefore w:val="0"/>
        <w:widowControl/>
        <w:kinsoku/>
        <w:wordWrap/>
        <w:overflowPunct/>
        <w:topLinePunct w:val="0"/>
        <w:bidi w:val="0"/>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75286EB6">
      <w:pPr>
        <w:pageBreakBefore w:val="0"/>
        <w:kinsoku/>
        <w:wordWrap/>
        <w:overflowPunct/>
        <w:topLinePunct w:val="0"/>
        <w:bidi w:val="0"/>
      </w:pPr>
    </w:p>
    <w:p w14:paraId="2FDEC1B7">
      <w:pPr>
        <w:pStyle w:val="11"/>
        <w:pageBreakBefore w:val="0"/>
        <w:kinsoku/>
        <w:wordWrap/>
        <w:overflowPunct/>
        <w:topLinePunct w:val="0"/>
        <w:bidi w:val="0"/>
      </w:pPr>
      <w:r>
        <w:fldChar w:fldCharType="begin"/>
      </w:r>
      <w:r>
        <w:instrText xml:space="preserve"> HYPERLINK \l "_Toc15396599" </w:instrText>
      </w:r>
      <w:r>
        <w:fldChar w:fldCharType="separate"/>
      </w:r>
      <w:r>
        <w:rPr>
          <w:rStyle w:val="18"/>
          <w:rFonts w:hint="eastAsia"/>
        </w:rPr>
        <w:t>第一部分部门概况</w:t>
      </w:r>
      <w:r>
        <w:tab/>
      </w:r>
      <w:r>
        <w:t>4</w:t>
      </w:r>
      <w:r>
        <w:fldChar w:fldCharType="end"/>
      </w:r>
    </w:p>
    <w:p w14:paraId="6BE59CBC">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14:paraId="0C0F8E6A">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5182C26B">
      <w:pPr>
        <w:pStyle w:val="11"/>
        <w:pageBreakBefore w:val="0"/>
        <w:kinsoku/>
        <w:wordWrap/>
        <w:overflowPunct/>
        <w:topLinePunct w:val="0"/>
        <w:bidi w:val="0"/>
      </w:pPr>
      <w:r>
        <w:fldChar w:fldCharType="begin"/>
      </w:r>
      <w:r>
        <w:instrText xml:space="preserve"> HYPERLINK \l "_Toc15396602" </w:instrText>
      </w:r>
      <w:r>
        <w:fldChar w:fldCharType="separate"/>
      </w:r>
      <w:r>
        <w:rPr>
          <w:rStyle w:val="18"/>
          <w:rFonts w:hint="eastAsia"/>
        </w:rPr>
        <w:t>第二部分</w:t>
      </w:r>
      <w:r>
        <w:rPr>
          <w:rStyle w:val="18"/>
        </w:rPr>
        <w:t>201</w:t>
      </w:r>
      <w:r>
        <w:rPr>
          <w:rStyle w:val="18"/>
          <w:rFonts w:hint="eastAsia"/>
          <w:lang w:val="en-US" w:eastAsia="zh-CN"/>
        </w:rPr>
        <w:t>9</w:t>
      </w:r>
      <w:r>
        <w:rPr>
          <w:rStyle w:val="18"/>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14:paraId="606D1439">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"_Toc15396603" </w:instrText>
      </w:r>
      <w:r>
        <w:fldChar w:fldCharType="separate"/>
      </w:r>
      <w:r>
        <w:rPr>
          <w:rStyle w:val="18"/>
          <w:rFonts w:hint="eastAsia" w:ascii="仿宋" w:hAnsi="仿宋" w:eastAsia="仿宋"/>
          <w:bCs/>
          <w:sz w:val="28"/>
          <w:szCs w:val="28"/>
        </w:rPr>
        <w:t>一、</w:t>
      </w:r>
      <w:r>
        <w:rPr>
          <w:rStyle w:val="18"/>
          <w:rFonts w:hint="eastAsia" w:ascii="仿宋" w:hAnsi="仿宋" w:eastAsia="仿宋"/>
          <w:sz w:val="28"/>
          <w:szCs w:val="28"/>
        </w:rPr>
        <w:t>收</w:t>
      </w:r>
      <w:r>
        <w:rPr>
          <w:rStyle w:val="18"/>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0E806DA1">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"_Toc15396604" </w:instrText>
      </w:r>
      <w:r>
        <w:fldChar w:fldCharType="separate"/>
      </w:r>
      <w:r>
        <w:rPr>
          <w:rStyle w:val="18"/>
          <w:rFonts w:hint="eastAsia" w:ascii="仿宋" w:hAnsi="仿宋" w:eastAsia="仿宋"/>
          <w:bCs/>
          <w:sz w:val="28"/>
          <w:szCs w:val="28"/>
        </w:rPr>
        <w:t>二、</w:t>
      </w:r>
      <w:r>
        <w:rPr>
          <w:rStyle w:val="18"/>
          <w:rFonts w:hint="eastAsia" w:ascii="仿宋" w:hAnsi="仿宋" w:eastAsia="仿宋"/>
          <w:sz w:val="28"/>
          <w:szCs w:val="28"/>
        </w:rPr>
        <w:t>收</w:t>
      </w:r>
      <w:r>
        <w:rPr>
          <w:rStyle w:val="18"/>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43EB7981">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"_Toc15396605" </w:instrText>
      </w:r>
      <w:r>
        <w:fldChar w:fldCharType="separate"/>
      </w:r>
      <w:r>
        <w:rPr>
          <w:rStyle w:val="18"/>
          <w:rFonts w:hint="eastAsia" w:ascii="仿宋" w:hAnsi="仿宋" w:eastAsia="仿宋"/>
          <w:bCs/>
          <w:sz w:val="28"/>
          <w:szCs w:val="28"/>
        </w:rPr>
        <w:t>三、</w:t>
      </w:r>
      <w:r>
        <w:rPr>
          <w:rStyle w:val="18"/>
          <w:rFonts w:hint="eastAsia" w:ascii="仿宋" w:hAnsi="仿宋" w:eastAsia="仿宋"/>
          <w:sz w:val="28"/>
          <w:szCs w:val="28"/>
        </w:rPr>
        <w:t>支</w:t>
      </w:r>
      <w:r>
        <w:rPr>
          <w:rStyle w:val="18"/>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26B7EFB3">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04E94DFA">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068F9C3B">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37424218">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5676732C">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252F3AB2">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"_Toc15396611" </w:instrText>
      </w:r>
      <w:r>
        <w:fldChar w:fldCharType="separate"/>
      </w:r>
      <w:r>
        <w:rPr>
          <w:rStyle w:val="18"/>
          <w:rFonts w:hint="eastAsia" w:ascii="仿宋" w:hAnsi="仿宋" w:eastAsia="仿宋"/>
          <w:bCs/>
          <w:sz w:val="28"/>
          <w:szCs w:val="28"/>
        </w:rPr>
        <w:t>九、</w:t>
      </w:r>
      <w:r>
        <w:rPr>
          <w:rStyle w:val="18"/>
          <w:rFonts w:hint="eastAsia" w:ascii="仿宋" w:hAnsi="仿宋" w:eastAsia="仿宋"/>
          <w:sz w:val="28"/>
          <w:szCs w:val="28"/>
        </w:rPr>
        <w:t>国</w:t>
      </w:r>
      <w:r>
        <w:rPr>
          <w:rStyle w:val="18"/>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6B5DAF97">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36B795A7">
      <w:pPr>
        <w:pStyle w:val="11"/>
        <w:pageBreakBefore w:val="0"/>
        <w:kinsoku/>
        <w:wordWrap/>
        <w:overflowPunct/>
        <w:topLinePunct w:val="0"/>
        <w:bidi w:val="0"/>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名</w:t>
      </w:r>
      <w:r>
        <w:rPr>
          <w:rStyle w:val="18"/>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00A54119">
      <w:pPr>
        <w:pStyle w:val="11"/>
        <w:pageBreakBefore w:val="0"/>
        <w:kinsoku/>
        <w:wordWrap/>
        <w:overflowPunct/>
        <w:topLinePunct w:val="0"/>
        <w:bidi w:val="0"/>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14:paraId="1FC4DD04">
      <w:pPr>
        <w:pStyle w:val="11"/>
        <w:pageBreakBefore w:val="0"/>
        <w:kinsoku/>
        <w:wordWrap/>
        <w:overflowPunct/>
        <w:topLinePunct w:val="0"/>
        <w:bidi w:val="0"/>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五部分附表</w:t>
      </w:r>
      <w:r>
        <w:tab/>
      </w:r>
      <w:r>
        <w:fldChar w:fldCharType="begin"/>
      </w:r>
      <w:r>
        <w:instrText xml:space="preserve"> PAGEREF _Toc15396618 \h </w:instrText>
      </w:r>
      <w:r>
        <w:fldChar w:fldCharType="separate"/>
      </w:r>
      <w:r>
        <w:t>26</w:t>
      </w:r>
      <w:r>
        <w:fldChar w:fldCharType="end"/>
      </w:r>
      <w:r>
        <w:fldChar w:fldCharType="end"/>
      </w:r>
    </w:p>
    <w:p w14:paraId="6A68F86D">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6DF0C7DC">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D259927">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4605A58F">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1F9F2EEF">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269E861">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3A5FF621">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15C781FD">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44B5F5A">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7C7AD7AB">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003C53B">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9AB8E07">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145B341D">
      <w:pPr>
        <w:pStyle w:val="12"/>
        <w:pageBreakBefore w:val="0"/>
        <w:kinsoku/>
        <w:wordWrap/>
        <w:overflowPunct/>
        <w:topLinePunct w:val="0"/>
        <w:bidi w:val="0"/>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7EB63400">
      <w:pPr>
        <w:pageBreakBefore w:val="0"/>
        <w:widowControl/>
        <w:kinsoku/>
        <w:wordWrap/>
        <w:overflowPunct/>
        <w:topLinePunct w:val="0"/>
        <w:bidi w:val="0"/>
        <w:jc w:val="left"/>
        <w:rPr>
          <w:rFonts w:ascii="仿宋" w:hAnsi="仿宋" w:eastAsia="仿宋"/>
          <w:color w:val="000000"/>
          <w:sz w:val="24"/>
        </w:rPr>
      </w:pPr>
      <w:r>
        <w:rPr>
          <w:rFonts w:ascii="黑体" w:hAnsi="黑体" w:eastAsia="黑体"/>
          <w:color w:val="000000"/>
          <w:sz w:val="48"/>
          <w:szCs w:val="48"/>
        </w:rPr>
        <w:fldChar w:fldCharType="end"/>
      </w:r>
    </w:p>
    <w:p w14:paraId="3E2FFCA2">
      <w:pPr>
        <w:pageBreakBefore w:val="0"/>
        <w:widowControl/>
        <w:kinsoku/>
        <w:wordWrap/>
        <w:overflowPunct/>
        <w:topLinePunct w:val="0"/>
        <w:bidi w:val="0"/>
        <w:jc w:val="left"/>
        <w:rPr>
          <w:rFonts w:ascii="黑体" w:hAnsi="黑体" w:eastAsia="黑体"/>
          <w:bCs/>
          <w:kern w:val="44"/>
          <w:sz w:val="44"/>
          <w:szCs w:val="44"/>
        </w:rPr>
      </w:pPr>
      <w:bookmarkStart w:id="7" w:name="_Toc15396599"/>
      <w:bookmarkStart w:id="8" w:name="_Toc15377196"/>
      <w:r>
        <w:rPr>
          <w:rFonts w:ascii="黑体" w:hAnsi="黑体" w:eastAsia="黑体"/>
          <w:b/>
        </w:rPr>
        <w:br w:type="page"/>
      </w:r>
    </w:p>
    <w:p w14:paraId="2CC8FE21">
      <w:pPr>
        <w:pStyle w:val="3"/>
        <w:pageBreakBefore w:val="0"/>
        <w:kinsoku/>
        <w:wordWrap/>
        <w:overflowPunct/>
        <w:topLinePunct w:val="0"/>
        <w:bidi w:val="0"/>
        <w:spacing w:before="0" w:after="0" w:line="576" w:lineRule="exact"/>
        <w:jc w:val="center"/>
        <w:rPr>
          <w:rStyle w:val="19"/>
          <w:rFonts w:ascii="黑体" w:hAnsi="黑体" w:eastAsia="黑体"/>
          <w:b/>
          <w:bCs w:val="0"/>
        </w:rPr>
      </w:pPr>
      <w:r>
        <w:rPr>
          <w:rFonts w:hint="eastAsia" w:ascii="黑体" w:hAnsi="黑体" w:eastAsia="黑体"/>
          <w:b w:val="0"/>
        </w:rPr>
        <w:t>第一部分</w:t>
      </w:r>
      <w:r>
        <w:rPr>
          <w:rStyle w:val="19"/>
          <w:rFonts w:hint="eastAsia" w:ascii="黑体" w:hAnsi="黑体" w:eastAsia="黑体"/>
          <w:b w:val="0"/>
          <w:bCs w:val="0"/>
        </w:rPr>
        <w:t>部门概况</w:t>
      </w:r>
      <w:bookmarkEnd w:id="7"/>
      <w:bookmarkEnd w:id="8"/>
    </w:p>
    <w:p w14:paraId="2A6FA917">
      <w:pPr>
        <w:pageBreakBefore w:val="0"/>
        <w:widowControl/>
        <w:kinsoku/>
        <w:wordWrap/>
        <w:overflowPunct/>
        <w:topLinePunct w:val="0"/>
        <w:bidi w:val="0"/>
        <w:spacing w:line="576" w:lineRule="exact"/>
        <w:jc w:val="left"/>
        <w:rPr>
          <w:rFonts w:ascii="黑体" w:eastAsia="黑体"/>
          <w:color w:val="000000"/>
          <w:sz w:val="32"/>
          <w:szCs w:val="32"/>
        </w:rPr>
      </w:pPr>
    </w:p>
    <w:p w14:paraId="619BAF44">
      <w:pPr>
        <w:pStyle w:val="4"/>
        <w:pageBreakBefore w:val="0"/>
        <w:kinsoku/>
        <w:wordWrap/>
        <w:overflowPunct/>
        <w:topLinePunct w:val="0"/>
        <w:bidi w:val="0"/>
        <w:spacing w:before="0" w:after="0" w:line="576" w:lineRule="exact"/>
        <w:rPr>
          <w:rStyle w:val="20"/>
          <w:rFonts w:ascii="仿宋" w:hAnsi="仿宋" w:eastAsia="仿宋"/>
          <w:b w:val="0"/>
          <w:bCs w:val="0"/>
        </w:rPr>
      </w:pPr>
      <w:bookmarkStart w:id="9" w:name="_Toc15377197"/>
      <w:bookmarkStart w:id="10" w:name="_Toc15396600"/>
      <w:r>
        <w:rPr>
          <w:rFonts w:hint="eastAsia" w:ascii="黑体" w:hAnsi="黑体" w:eastAsia="黑体"/>
          <w:b w:val="0"/>
          <w:color w:val="000000"/>
        </w:rPr>
        <w:t>一、基</w:t>
      </w:r>
      <w:r>
        <w:rPr>
          <w:rStyle w:val="20"/>
          <w:rFonts w:hint="eastAsia" w:ascii="黑体" w:hAnsi="黑体" w:eastAsia="黑体"/>
          <w:b w:val="0"/>
          <w:bCs w:val="0"/>
        </w:rPr>
        <w:t>本职能及主要工作</w:t>
      </w:r>
      <w:bookmarkEnd w:id="9"/>
      <w:bookmarkEnd w:id="10"/>
    </w:p>
    <w:p w14:paraId="645ADB23">
      <w:pPr>
        <w:pStyle w:val="2"/>
        <w:pageBreakBefore w:val="0"/>
        <w:kinsoku/>
        <w:wordWrap/>
        <w:overflowPunct/>
        <w:topLinePunct w:val="0"/>
        <w:bidi w:val="0"/>
        <w:adjustRightInd w:val="0"/>
        <w:snapToGrid w:val="0"/>
        <w:spacing w:beforeLines="0" w:line="576" w:lineRule="exact"/>
        <w:ind w:firstLine="672" w:firstLineChars="210"/>
        <w:outlineLvl w:val="2"/>
        <w:rPr>
          <w:rFonts w:hint="eastAsia" w:ascii="仿宋" w:hAnsi="仿宋" w:eastAsia="仿宋"/>
          <w:bCs/>
          <w:color w:val="000000"/>
          <w:sz w:val="32"/>
          <w:szCs w:val="32"/>
        </w:rPr>
      </w:pPr>
      <w:bookmarkStart w:id="11" w:name="_Toc15377198"/>
      <w:bookmarkStart w:id="12" w:name="_Toc15378445"/>
      <w:r>
        <w:rPr>
          <w:rFonts w:hint="eastAsia" w:ascii="仿宋" w:hAnsi="仿宋" w:eastAsia="仿宋"/>
          <w:bCs/>
          <w:color w:val="000000"/>
          <w:sz w:val="32"/>
          <w:szCs w:val="32"/>
        </w:rPr>
        <w:t>（一）主要职能。</w:t>
      </w:r>
      <w:bookmarkEnd w:id="11"/>
      <w:bookmarkEnd w:id="12"/>
    </w:p>
    <w:p w14:paraId="05C2D80D">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bookmarkStart w:id="13" w:name="_Toc15377199"/>
      <w:bookmarkStart w:id="14" w:name="_Toc15378446"/>
      <w:r>
        <w:rPr>
          <w:rFonts w:hint="eastAsia" w:ascii="Times New Roman" w:hAnsi="Times New Roman" w:eastAsia="仿宋_GB2312"/>
          <w:color w:val="auto"/>
          <w:sz w:val="32"/>
          <w:szCs w:val="32"/>
          <w:lang w:val="en-US" w:eastAsia="zh-CN"/>
        </w:rPr>
        <w:t>1</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贯彻实施国家有关工业经济、信息化、无线电管理、科学技术方针、政策和法律、法规。</w:t>
      </w:r>
    </w:p>
    <w:p w14:paraId="6F79506A">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组织实施工业强区战略，加强信息化和工业化融合、工业化与城镇化联动，推进全区工业结构调整。参与制订国民经济和社会发展规划，牵头拟定工业、信息化、科学技术发展规划，提出相关行业的优先领域和发展重点，制订行业年度发展计划和产业政策、行业技术规范与行业标准并组织实施，指导行业质量管理工作。</w:t>
      </w:r>
    </w:p>
    <w:p w14:paraId="4A218471">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建立全区工业经济运行预警机制，监测、分析经济运行态势和质量，协调解决新型工业化进程中的重大问题；负责电力、成品油、天然气等重要物资综合调控、紧急调度和交通运输协调工作，负责区级医药储备的监督管理，承办年度工业经济目标责任考核。</w:t>
      </w:r>
    </w:p>
    <w:p w14:paraId="434848CD">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w:t>
      </w:r>
    </w:p>
    <w:p w14:paraId="24D426A2">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负责全区工业和信息化领域的节能降耗、清洁生产和资源节约与综合利用工作，协调推进工业化与生态环境协调发展中的重大问题。</w:t>
      </w:r>
    </w:p>
    <w:p w14:paraId="79B556CF">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推进企业信用制度建设，负责中小企业信用担保和融资体系建设并实施行业监管，制订工业发展资金等财政专项资金使用计划，负责企业技术改造、技术创新、生产运行等涉及财政、信贷、税收、保险等方面问题的协调，指导工业企业直接融资工作，负责企业上市培育工作。</w:t>
      </w:r>
    </w:p>
    <w:p w14:paraId="5F200BF3">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对国家重大工业经济政策实施情况进行督查，指导企业建立现代企业制度、改组改造、兼并重组，负责全区企业治乱减负工作，指导企业经营管理人员、．专业技术人员培训，负责全区大企业大集团和龙头骨干企业的培育工作，负责全区中小企业发展的指导推进工作，组织拟订促进中小企业发展的政策措施，负责推进中小企业服务体系建设。</w:t>
      </w:r>
    </w:p>
    <w:p w14:paraId="5F7E50EF">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对全区工业各行业实施行业管理，制订相关政策措施并组织实施，拟订新材料、节能环保、航空航天、生物医药等战略性新兴产业发展规划、年度计划、政策措施并组织实施。拟订加快农产品加工业发展的政策措施，参与推进农业产业化龙头企业建设，参与推进农业现代化和新农村建设。</w:t>
      </w:r>
    </w:p>
    <w:p w14:paraId="672AF73D">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统筹推进全区信息化工作，制订相关政策并组织实施，指导电子政务、企业信息化、电子商务和物联网发展，推动跨行业、跨部门面向社会服务网络的互联互通和信息资源共享。</w:t>
      </w:r>
    </w:p>
    <w:p w14:paraId="2B283169">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负责全区信息基础设施建设的规划、协调和管理，组织制订通信管线规划并承担相应的管理工作，协调电信市场涉及社会公共利益的重大事项。</w:t>
      </w:r>
    </w:p>
    <w:p w14:paraId="3CA4172A">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11</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组织协调全区信息安全保障体系建设，指导和监督政府部门、重点行业的重要信息系统与信息网络的安全保障工作，指导信息安全防范工作，参与处理网络与信息安全重大事件。</w:t>
      </w:r>
    </w:p>
    <w:p w14:paraId="29F48E84">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12</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统一配置和管理全区无线电频谱资源，依法监督管理无线电台(站)，负责无线电电磁环境保护工作；负责无线电监测、检测和干扰查处，协调军地间和县际间无线电管理相关事宜，维护空中电波秩序，依法组织实施无线电管制。</w:t>
      </w:r>
    </w:p>
    <w:p w14:paraId="0A725FBB">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13</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会同有关部门提出工业和信息化领域对外开放和利用外资的政策建议，参与区域经济合作和承接产业转移工作。指导工业和信息化企业开展对外交流与合作、国际化经营、境外投资及兼并重组。</w:t>
      </w:r>
    </w:p>
    <w:p w14:paraId="265F9D96">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14</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负责组织拟订并实施科技支撑计划、重点基础研究计划、软科学研究计划和统筹协调基础研究、前沿技术研究、重大社会公益性技术研究及关键技术、共性技术研究。</w:t>
      </w:r>
    </w:p>
    <w:p w14:paraId="087A50DC">
      <w:pPr>
        <w:pStyle w:val="2"/>
        <w:pageBreakBefore w:val="0"/>
        <w:kinsoku/>
        <w:wordWrap/>
        <w:overflowPunct/>
        <w:topLinePunct w:val="0"/>
        <w:bidi w:val="0"/>
        <w:adjustRightInd w:val="0"/>
        <w:snapToGrid w:val="0"/>
        <w:spacing w:beforeLines="0" w:line="576" w:lineRule="exact"/>
        <w:ind w:firstLine="672" w:firstLineChars="210"/>
        <w:outlineLvl w:val="2"/>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15</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牵头组织经济社会发展重要领域的重大关键性技术攻关；会同有关部门组织科技重大专项实施中的方案论证、综合平衡、评估验收和拟订相关配套政策，对科技重大专项实施中的重大调整提出建议。</w:t>
      </w:r>
    </w:p>
    <w:p w14:paraId="14FE5C4E">
      <w:pPr>
        <w:pStyle w:val="2"/>
        <w:pageBreakBefore w:val="0"/>
        <w:kinsoku/>
        <w:wordWrap/>
        <w:overflowPunct/>
        <w:topLinePunct w:val="0"/>
        <w:bidi w:val="0"/>
        <w:adjustRightInd w:val="0"/>
        <w:snapToGrid w:val="0"/>
        <w:spacing w:beforeLines="0" w:line="576"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3"/>
      <w:bookmarkEnd w:id="14"/>
    </w:p>
    <w:p w14:paraId="79CE5128">
      <w:pPr>
        <w:pStyle w:val="2"/>
        <w:pageBreakBefore w:val="0"/>
        <w:kinsoku/>
        <w:wordWrap/>
        <w:overflowPunct/>
        <w:topLinePunct w:val="0"/>
        <w:bidi w:val="0"/>
        <w:adjustRightInd w:val="0"/>
        <w:snapToGrid w:val="0"/>
        <w:spacing w:beforeLines="0" w:line="576" w:lineRule="exact"/>
        <w:ind w:firstLine="672" w:firstLineChars="210"/>
        <w:outlineLvl w:val="2"/>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全年规模以上工业总产值120亿元以上，同比增长10%以上；规上工业增加值增长7.5%。累计完成工业投资14亿元以上（市下目标20亿元）占目标70%以上，其中完成技改投资2.5亿元（市下目标12.5亿元）占目标20%。</w:t>
      </w:r>
    </w:p>
    <w:p w14:paraId="2593842F">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lang w:val="en-US" w:eastAsia="zh-CN"/>
        </w:rPr>
        <w:t>招商引资：</w:t>
      </w:r>
      <w:r>
        <w:rPr>
          <w:rFonts w:hint="eastAsia" w:ascii="仿宋" w:hAnsi="仿宋" w:eastAsia="仿宋" w:cs="Times New Roman"/>
          <w:kern w:val="2"/>
          <w:sz w:val="32"/>
          <w:szCs w:val="24"/>
          <w:lang w:val="en-US" w:eastAsia="zh-CN" w:bidi="ar-SA"/>
        </w:rPr>
        <w:t>深入贯彻落实中央、省市经济工作会议精神，主动适应经济发展新常态，进一步坚定抓发展就是抓招商的信心，全员动员抓招商，全区家居产业招商工作实现快速健康发展的良好态势。家居产业城签约30余家，正式开工建设10余家，年底预计将陆续开工建设约一半。</w:t>
      </w:r>
    </w:p>
    <w:p w14:paraId="0968AA48">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lang w:val="en-US" w:eastAsia="zh-CN"/>
        </w:rPr>
        <w:t>科技：</w:t>
      </w:r>
      <w:r>
        <w:rPr>
          <w:rFonts w:hint="eastAsia" w:ascii="仿宋" w:hAnsi="仿宋" w:eastAsia="仿宋" w:cs="Times New Roman"/>
          <w:kern w:val="2"/>
          <w:sz w:val="32"/>
          <w:szCs w:val="24"/>
          <w:lang w:val="en-US" w:eastAsia="zh-CN" w:bidi="ar-SA"/>
        </w:rPr>
        <w:t>培育国家级高新技术企业2家，完成目标任务的100%；申报入库科技型中小企业6家，完成目标任务的120%；签订校企合作协议6项，完成目标任务的150%；取得省市科技成果3项，完成目标任务的100%；高新技术主营业务收入4.06亿元，完成目标任务的150%；科技成果转化产值10.1亿元，完成目标任务的101%；推广新品种、新技术、新模式5个，完成目标任务的160%；科技扶贫在线解决群众科技需求3432条，完成目标任务的176%；争取国省市科技计划资金260万元，完成目标任务的100%。</w:t>
      </w:r>
    </w:p>
    <w:p w14:paraId="5528B4E4">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lang w:val="en-US" w:eastAsia="zh-CN"/>
        </w:rPr>
        <w:t>电力：</w:t>
      </w:r>
      <w:r>
        <w:rPr>
          <w:rFonts w:hint="eastAsia" w:ascii="仿宋" w:hAnsi="仿宋" w:eastAsia="仿宋" w:cs="Times New Roman"/>
          <w:kern w:val="2"/>
          <w:sz w:val="32"/>
          <w:szCs w:val="24"/>
          <w:lang w:val="en-US" w:eastAsia="zh-CN" w:bidi="ar-SA"/>
        </w:rPr>
        <w:t>计划投入572.18万元,实际投入572.18万元,完成率100%。全年计划实施项目7个，已完成项目7个，完成率100%。全年开展电力扶贫类培训班2次，培训105人次，开展指导督导10人次。</w:t>
      </w:r>
    </w:p>
    <w:p w14:paraId="4BE85C76">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lang w:val="en-US" w:eastAsia="zh-CN"/>
        </w:rPr>
        <w:t>信息化：</w:t>
      </w:r>
      <w:r>
        <w:rPr>
          <w:rFonts w:hint="eastAsia" w:ascii="仿宋" w:hAnsi="仿宋" w:eastAsia="仿宋" w:cs="Times New Roman"/>
          <w:kern w:val="2"/>
          <w:sz w:val="32"/>
          <w:szCs w:val="24"/>
          <w:lang w:val="en-US" w:eastAsia="zh-CN" w:bidi="ar-SA"/>
        </w:rPr>
        <w:t>2019年全区信息通信扶贫实际到位资金214.5万元，资金来源为通信运营企业自筹，占年度计划的100%。完成了今年拟脱贫退出的荣华村、佛岩村、艺丰村、玉莲村4个行政村的光纤宽带网络建设，实现了村委会、村文化室、村卫生室通宽带网络；全区所有通村宽带网络运行正常，移动通信网络进一步优化。</w:t>
      </w:r>
    </w:p>
    <w:p w14:paraId="31C7E3F4">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rPr>
        <w:t>民营经济</w:t>
      </w:r>
      <w:r>
        <w:rPr>
          <w:rFonts w:hint="eastAsia" w:ascii="楷体" w:hAnsi="楷体" w:eastAsia="楷体"/>
          <w:w w:val="99"/>
          <w:sz w:val="32"/>
          <w:lang w:eastAsia="zh-CN"/>
        </w:rPr>
        <w:t>：</w:t>
      </w:r>
      <w:r>
        <w:rPr>
          <w:rFonts w:hint="eastAsia" w:ascii="仿宋" w:hAnsi="仿宋" w:eastAsia="仿宋" w:cs="Times New Roman"/>
          <w:kern w:val="2"/>
          <w:sz w:val="32"/>
          <w:szCs w:val="24"/>
          <w:lang w:val="en-US" w:eastAsia="zh-CN" w:bidi="ar-SA"/>
        </w:rPr>
        <w:t>2019年1-3季度全区民营经济增加值249757万元，占GDP比重55.5%，增加值增速13.5%。民间投资增速19%。</w:t>
      </w:r>
    </w:p>
    <w:p w14:paraId="634C8118">
      <w:pPr>
        <w:pStyle w:val="4"/>
        <w:pageBreakBefore w:val="0"/>
        <w:kinsoku/>
        <w:wordWrap/>
        <w:overflowPunct/>
        <w:topLinePunct w:val="0"/>
        <w:bidi w:val="0"/>
        <w:spacing w:before="0" w:after="0" w:line="576" w:lineRule="exact"/>
        <w:ind w:firstLine="640" w:firstLineChars="200"/>
        <w:rPr>
          <w:rStyle w:val="20"/>
          <w:b w:val="0"/>
          <w:bCs w:val="0"/>
        </w:rPr>
      </w:pPr>
      <w:bookmarkStart w:id="15" w:name="_Toc15377200"/>
      <w:bookmarkStart w:id="16" w:name="_Toc15396601"/>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15"/>
      <w:bookmarkEnd w:id="16"/>
    </w:p>
    <w:p w14:paraId="51520BBF">
      <w:pPr>
        <w:pStyle w:val="2"/>
        <w:pageBreakBefore w:val="0"/>
        <w:kinsoku/>
        <w:wordWrap/>
        <w:overflowPunct/>
        <w:topLinePunct w:val="0"/>
        <w:bidi w:val="0"/>
        <w:spacing w:beforeLines="0" w:line="576" w:lineRule="exact"/>
        <w:ind w:firstLine="640" w:firstLineChars="200"/>
        <w:rPr>
          <w:rFonts w:hint="eastAsia" w:ascii="仿宋" w:hAnsi="仿宋" w:eastAsia="仿宋"/>
          <w:sz w:val="32"/>
        </w:rPr>
      </w:pPr>
      <w:r>
        <w:rPr>
          <w:rFonts w:hint="eastAsia" w:ascii="仿宋" w:hAnsi="仿宋" w:eastAsia="仿宋"/>
          <w:sz w:val="32"/>
        </w:rPr>
        <w:t>广元市昭化区经济信息化和科学技术局下属二级单位</w:t>
      </w:r>
      <w:r>
        <w:rPr>
          <w:rFonts w:hint="eastAsia" w:ascii="仿宋" w:hAnsi="仿宋" w:eastAsia="仿宋"/>
          <w:sz w:val="32"/>
          <w:lang w:val="en-US" w:eastAsia="zh-CN"/>
        </w:rPr>
        <w:t>2</w:t>
      </w:r>
      <w:r>
        <w:rPr>
          <w:rFonts w:hint="eastAsia" w:ascii="仿宋" w:hAnsi="仿宋" w:eastAsia="仿宋"/>
          <w:sz w:val="32"/>
        </w:rPr>
        <w:t>个，其中行政单位0个，参照公务员法管理的事业单位0个，其他事业单位</w:t>
      </w:r>
      <w:r>
        <w:rPr>
          <w:rFonts w:hint="eastAsia" w:ascii="仿宋" w:hAnsi="仿宋" w:eastAsia="仿宋"/>
          <w:sz w:val="32"/>
          <w:lang w:val="en-US" w:eastAsia="zh-CN"/>
        </w:rPr>
        <w:t>2</w:t>
      </w:r>
      <w:r>
        <w:rPr>
          <w:rFonts w:hint="eastAsia" w:ascii="仿宋" w:hAnsi="仿宋" w:eastAsia="仿宋"/>
          <w:sz w:val="32"/>
        </w:rPr>
        <w:t>个。</w:t>
      </w:r>
    </w:p>
    <w:p w14:paraId="2C571D32">
      <w:pPr>
        <w:pageBreakBefore w:val="0"/>
        <w:kinsoku/>
        <w:wordWrap/>
        <w:overflowPunct/>
        <w:topLinePunct w:val="0"/>
        <w:bidi w:val="0"/>
        <w:spacing w:line="576" w:lineRule="exact"/>
        <w:ind w:firstLine="800" w:firstLineChars="250"/>
        <w:rPr>
          <w:rFonts w:hint="eastAsia" w:ascii="仿宋" w:hAnsi="仿宋" w:eastAsia="仿宋"/>
          <w:sz w:val="32"/>
          <w:lang w:val="en-US" w:eastAsia="zh-CN"/>
        </w:rPr>
      </w:pPr>
      <w:r>
        <w:rPr>
          <w:rFonts w:hint="eastAsia" w:ascii="仿宋" w:hAnsi="仿宋" w:eastAsia="仿宋"/>
          <w:sz w:val="32"/>
        </w:rPr>
        <w:t>纳入广元市昭化区经济信息化和科学技术局2019年度部门决算编制范围的二级预算单位</w:t>
      </w:r>
      <w:r>
        <w:rPr>
          <w:rFonts w:hint="eastAsia" w:ascii="仿宋" w:hAnsi="仿宋" w:eastAsia="仿宋"/>
          <w:sz w:val="32"/>
          <w:lang w:val="en-US" w:eastAsia="zh-CN"/>
        </w:rPr>
        <w:t>2个。</w:t>
      </w:r>
    </w:p>
    <w:p w14:paraId="24E4D438">
      <w:pPr>
        <w:pageBreakBefore w:val="0"/>
        <w:kinsoku/>
        <w:wordWrap/>
        <w:overflowPunct/>
        <w:topLinePunct w:val="0"/>
        <w:bidi w:val="0"/>
        <w:spacing w:line="576" w:lineRule="exact"/>
        <w:ind w:firstLine="800" w:firstLineChars="250"/>
        <w:rPr>
          <w:rFonts w:hint="eastAsia" w:ascii="仿宋" w:hAnsi="仿宋" w:eastAsia="仿宋"/>
          <w:sz w:val="32"/>
          <w:lang w:val="en-US" w:eastAsia="zh-CN"/>
        </w:rPr>
      </w:pPr>
      <w:r>
        <w:rPr>
          <w:rFonts w:hint="eastAsia" w:ascii="仿宋" w:hAnsi="仿宋" w:eastAsia="仿宋"/>
          <w:sz w:val="32"/>
          <w:lang w:val="en-US" w:eastAsia="zh-CN"/>
        </w:rPr>
        <w:t>1.广元市昭化区生产力促进中心</w:t>
      </w:r>
    </w:p>
    <w:p w14:paraId="34C7B185">
      <w:pPr>
        <w:pageBreakBefore w:val="0"/>
        <w:kinsoku/>
        <w:wordWrap/>
        <w:overflowPunct/>
        <w:topLinePunct w:val="0"/>
        <w:bidi w:val="0"/>
        <w:spacing w:line="576" w:lineRule="exact"/>
        <w:ind w:firstLine="800" w:firstLineChars="250"/>
        <w:rPr>
          <w:rFonts w:hint="default" w:ascii="仿宋" w:hAnsi="仿宋" w:eastAsia="仿宋"/>
          <w:sz w:val="32"/>
          <w:lang w:val="en-US" w:eastAsia="zh-CN"/>
        </w:rPr>
      </w:pPr>
      <w:r>
        <w:rPr>
          <w:rFonts w:hint="eastAsia" w:ascii="仿宋" w:hAnsi="仿宋" w:eastAsia="仿宋"/>
          <w:sz w:val="32"/>
          <w:lang w:val="en-US" w:eastAsia="zh-CN"/>
        </w:rPr>
        <w:t>2.广元市昭化区中小企业创业服务中心</w:t>
      </w:r>
    </w:p>
    <w:p w14:paraId="4E20B5C4">
      <w:pPr>
        <w:pageBreakBefore w:val="0"/>
        <w:kinsoku/>
        <w:wordWrap/>
        <w:overflowPunct/>
        <w:topLinePunct w:val="0"/>
        <w:bidi w:val="0"/>
        <w:spacing w:line="576" w:lineRule="exact"/>
        <w:ind w:firstLine="800" w:firstLineChars="250"/>
        <w:rPr>
          <w:rFonts w:ascii="仿宋" w:hAnsi="仿宋" w:eastAsia="仿宋"/>
          <w:color w:val="000000"/>
          <w:kern w:val="0"/>
          <w:sz w:val="32"/>
          <w:szCs w:val="32"/>
        </w:rPr>
      </w:pPr>
      <w:r>
        <w:rPr>
          <w:rFonts w:hint="eastAsia" w:ascii="仿宋" w:hAnsi="仿宋" w:eastAsia="仿宋"/>
          <w:sz w:val="32"/>
        </w:rPr>
        <w:br w:type="page"/>
      </w:r>
    </w:p>
    <w:p w14:paraId="3BFB4A38">
      <w:pPr>
        <w:pStyle w:val="3"/>
        <w:pageBreakBefore w:val="0"/>
        <w:kinsoku/>
        <w:wordWrap/>
        <w:overflowPunct/>
        <w:topLinePunct w:val="0"/>
        <w:bidi w:val="0"/>
        <w:spacing w:before="0" w:after="0" w:line="576" w:lineRule="exact"/>
        <w:ind w:right="440"/>
        <w:jc w:val="right"/>
        <w:rPr>
          <w:rStyle w:val="19"/>
          <w:rFonts w:ascii="黑体" w:hAnsi="黑体" w:eastAsia="黑体"/>
          <w:b w:val="0"/>
          <w:bCs w:val="0"/>
        </w:rPr>
      </w:pPr>
      <w:bookmarkStart w:id="17" w:name="_Toc15396602"/>
      <w:bookmarkStart w:id="18" w:name="_Toc15377204"/>
      <w:r>
        <w:rPr>
          <w:rFonts w:hint="eastAsia" w:ascii="黑体" w:hAnsi="黑体" w:eastAsia="黑体"/>
          <w:b w:val="0"/>
          <w:color w:val="000000"/>
        </w:rPr>
        <w:t>第二部分</w:t>
      </w:r>
      <w:r>
        <w:rPr>
          <w:rStyle w:val="19"/>
          <w:rFonts w:ascii="黑体" w:hAnsi="黑体" w:eastAsia="黑体"/>
          <w:b w:val="0"/>
          <w:bCs w:val="0"/>
        </w:rPr>
        <w:t>201</w:t>
      </w:r>
      <w:r>
        <w:rPr>
          <w:rStyle w:val="19"/>
          <w:rFonts w:hint="eastAsia" w:ascii="黑体" w:hAnsi="黑体" w:eastAsia="黑体"/>
          <w:b w:val="0"/>
          <w:bCs w:val="0"/>
          <w:lang w:val="en-US" w:eastAsia="zh-CN"/>
        </w:rPr>
        <w:t>9</w:t>
      </w:r>
      <w:r>
        <w:rPr>
          <w:rStyle w:val="19"/>
          <w:rFonts w:hint="eastAsia" w:ascii="黑体" w:hAnsi="黑体" w:eastAsia="黑体"/>
          <w:b w:val="0"/>
          <w:bCs w:val="0"/>
        </w:rPr>
        <w:t>年度部门决算情况说明</w:t>
      </w:r>
      <w:bookmarkEnd w:id="17"/>
      <w:bookmarkEnd w:id="18"/>
    </w:p>
    <w:p w14:paraId="47381B78">
      <w:pPr>
        <w:pageBreakBefore w:val="0"/>
        <w:kinsoku/>
        <w:wordWrap/>
        <w:overflowPunct/>
        <w:topLinePunct w:val="0"/>
        <w:bidi w:val="0"/>
        <w:spacing w:line="576" w:lineRule="exact"/>
      </w:pPr>
    </w:p>
    <w:p w14:paraId="3827AC4C">
      <w:pPr>
        <w:pStyle w:val="29"/>
        <w:pageBreakBefore w:val="0"/>
        <w:numPr>
          <w:ilvl w:val="0"/>
          <w:numId w:val="1"/>
        </w:numPr>
        <w:kinsoku/>
        <w:wordWrap/>
        <w:overflowPunct/>
        <w:topLinePunct w:val="0"/>
        <w:bidi w:val="0"/>
        <w:spacing w:line="576" w:lineRule="exact"/>
        <w:ind w:firstLineChars="0"/>
        <w:outlineLvl w:val="1"/>
        <w:rPr>
          <w:rStyle w:val="20"/>
          <w:rFonts w:ascii="黑体" w:hAnsi="黑体" w:eastAsia="黑体"/>
          <w:b w:val="0"/>
        </w:rPr>
      </w:pPr>
      <w:bookmarkStart w:id="19" w:name="_Toc15396603"/>
      <w:bookmarkStart w:id="20" w:name="_Toc15377205"/>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19"/>
      <w:bookmarkEnd w:id="20"/>
    </w:p>
    <w:p w14:paraId="5A545EBE">
      <w:pPr>
        <w:pageBreakBefore w:val="0"/>
        <w:kinsoku/>
        <w:wordWrap/>
        <w:overflowPunct/>
        <w:topLinePunct w:val="0"/>
        <w:bidi w:val="0"/>
        <w:spacing w:line="576" w:lineRule="exact"/>
        <w:ind w:firstLine="640" w:firstLineChars="200"/>
        <w:rPr>
          <w:rFonts w:hint="eastAsia" w:ascii="仿宋" w:hAnsi="仿宋" w:eastAsia="仿宋"/>
          <w:sz w:val="32"/>
        </w:rPr>
      </w:pPr>
      <w:r>
        <w:rPr>
          <w:rFonts w:hint="eastAsia" w:ascii="仿宋" w:hAnsi="仿宋" w:eastAsia="仿宋"/>
          <w:sz w:val="32"/>
        </w:rPr>
        <w:t>2019年度收、支总计1924.52万元。与2018年相比</w:t>
      </w:r>
      <w:r>
        <w:rPr>
          <w:rFonts w:hint="eastAsia" w:ascii="仿宋" w:hAnsi="仿宋" w:eastAsia="仿宋"/>
          <w:sz w:val="32"/>
          <w:lang w:eastAsia="zh-CN"/>
        </w:rPr>
        <w:t>，</w:t>
      </w:r>
      <w:r>
        <w:rPr>
          <w:rFonts w:hint="eastAsia" w:ascii="仿宋" w:hAnsi="仿宋" w:eastAsia="仿宋"/>
          <w:sz w:val="32"/>
        </w:rPr>
        <w:t>收、支总计减少1130.17万元，下降36.99%。主要变动原因是家居产业城建设基础设施配套资金的减少</w:t>
      </w:r>
      <w:r>
        <w:rPr>
          <w:rFonts w:hint="eastAsia" w:ascii="仿宋" w:hAnsi="仿宋" w:eastAsia="仿宋"/>
          <w:sz w:val="32"/>
          <w:lang w:eastAsia="zh-CN"/>
        </w:rPr>
        <w:t>。</w:t>
      </w:r>
    </w:p>
    <w:p w14:paraId="6CC1A91E">
      <w:pPr>
        <w:pStyle w:val="29"/>
        <w:pageBreakBefore w:val="0"/>
        <w:numPr>
          <w:ilvl w:val="0"/>
          <w:numId w:val="1"/>
        </w:numPr>
        <w:kinsoku/>
        <w:wordWrap/>
        <w:overflowPunct/>
        <w:topLinePunct w:val="0"/>
        <w:bidi w:val="0"/>
        <w:spacing w:line="576" w:lineRule="exact"/>
        <w:ind w:firstLineChars="0"/>
        <w:outlineLvl w:val="1"/>
        <w:rPr>
          <w:rStyle w:val="20"/>
          <w:rFonts w:ascii="黑体" w:hAnsi="黑体" w:eastAsia="黑体"/>
          <w:b w:val="0"/>
        </w:rPr>
      </w:pPr>
      <w:bookmarkStart w:id="21" w:name="_Toc15377206"/>
      <w:bookmarkStart w:id="22" w:name="_Toc15396604"/>
      <w:r>
        <w:rPr>
          <w:rFonts w:hint="eastAsia" w:ascii="黑体" w:hAnsi="黑体" w:eastAsia="黑体"/>
          <w:color w:val="000000"/>
          <w:sz w:val="32"/>
          <w:szCs w:val="32"/>
        </w:rPr>
        <w:t>收</w:t>
      </w:r>
      <w:r>
        <w:rPr>
          <w:rStyle w:val="20"/>
          <w:rFonts w:hint="eastAsia" w:ascii="黑体" w:hAnsi="黑体" w:eastAsia="黑体"/>
          <w:b w:val="0"/>
        </w:rPr>
        <w:t>入决算情况说明</w:t>
      </w:r>
      <w:bookmarkEnd w:id="21"/>
      <w:bookmarkEnd w:id="22"/>
    </w:p>
    <w:p w14:paraId="0A58633C">
      <w:pPr>
        <w:pageBreakBefore w:val="0"/>
        <w:kinsoku/>
        <w:wordWrap/>
        <w:overflowPunct/>
        <w:topLinePunct w:val="0"/>
        <w:bidi w:val="0"/>
        <w:spacing w:line="576" w:lineRule="exact"/>
        <w:ind w:firstLine="640" w:firstLineChars="200"/>
        <w:rPr>
          <w:rFonts w:ascii="仿宋_GB2312" w:eastAsia="仿宋_GB2312"/>
          <w:color w:val="FF0000"/>
          <w:sz w:val="32"/>
          <w:szCs w:val="32"/>
        </w:rPr>
      </w:pPr>
      <w:r>
        <w:rPr>
          <w:rFonts w:hint="eastAsia" w:ascii="仿宋" w:hAnsi="仿宋" w:eastAsia="仿宋"/>
          <w:sz w:val="32"/>
        </w:rPr>
        <w:t>2019年本年收入合计838.13万元，其中：一般公共预算财政拨款收入838.13万元，占100%；政府性基金预算财政拨款收入0万元，占</w:t>
      </w:r>
      <w:r>
        <w:rPr>
          <w:rFonts w:hint="eastAsia" w:ascii="仿宋" w:hAnsi="仿宋" w:eastAsia="仿宋"/>
          <w:sz w:val="32"/>
          <w:lang w:eastAsia="zh-CN"/>
        </w:rPr>
        <w:t>0</w:t>
      </w:r>
      <w:r>
        <w:rPr>
          <w:rFonts w:hint="eastAsia" w:ascii="仿宋" w:hAnsi="仿宋" w:eastAsia="仿宋"/>
          <w:sz w:val="32"/>
        </w:rPr>
        <w:t>%；上级补助收入0万元，占</w:t>
      </w:r>
      <w:r>
        <w:rPr>
          <w:rFonts w:hint="eastAsia" w:ascii="仿宋" w:hAnsi="仿宋" w:eastAsia="仿宋"/>
          <w:sz w:val="32"/>
          <w:lang w:eastAsia="zh-CN"/>
        </w:rPr>
        <w:t>0</w:t>
      </w:r>
      <w:r>
        <w:rPr>
          <w:rFonts w:hint="eastAsia" w:ascii="仿宋" w:hAnsi="仿宋" w:eastAsia="仿宋"/>
          <w:sz w:val="32"/>
        </w:rPr>
        <w:t>%；事业收入0万元，占</w:t>
      </w:r>
      <w:r>
        <w:rPr>
          <w:rFonts w:hint="eastAsia" w:ascii="仿宋" w:hAnsi="仿宋" w:eastAsia="仿宋"/>
          <w:sz w:val="32"/>
          <w:lang w:eastAsia="zh-CN"/>
        </w:rPr>
        <w:t>0</w:t>
      </w:r>
      <w:r>
        <w:rPr>
          <w:rFonts w:hint="eastAsia" w:ascii="仿宋" w:hAnsi="仿宋" w:eastAsia="仿宋"/>
          <w:sz w:val="32"/>
        </w:rPr>
        <w:t>%；经营收入0万元，占</w:t>
      </w:r>
      <w:r>
        <w:rPr>
          <w:rFonts w:hint="eastAsia" w:ascii="仿宋" w:hAnsi="仿宋" w:eastAsia="仿宋"/>
          <w:sz w:val="32"/>
          <w:lang w:eastAsia="zh-CN"/>
        </w:rPr>
        <w:t>0</w:t>
      </w:r>
      <w:r>
        <w:rPr>
          <w:rFonts w:hint="eastAsia" w:ascii="仿宋" w:hAnsi="仿宋" w:eastAsia="仿宋"/>
          <w:sz w:val="32"/>
        </w:rPr>
        <w:t>%；附属单位上缴收入0万元，占</w:t>
      </w:r>
      <w:r>
        <w:rPr>
          <w:rFonts w:hint="eastAsia" w:ascii="仿宋" w:hAnsi="仿宋" w:eastAsia="仿宋"/>
          <w:sz w:val="32"/>
          <w:lang w:eastAsia="zh-CN"/>
        </w:rPr>
        <w:t>0</w:t>
      </w:r>
      <w:r>
        <w:rPr>
          <w:rFonts w:hint="eastAsia" w:ascii="仿宋" w:hAnsi="仿宋" w:eastAsia="仿宋"/>
          <w:sz w:val="32"/>
        </w:rPr>
        <w:t>%；其他收入0万元，占</w:t>
      </w:r>
      <w:r>
        <w:rPr>
          <w:rFonts w:hint="eastAsia" w:ascii="仿宋" w:hAnsi="仿宋" w:eastAsia="仿宋"/>
          <w:sz w:val="32"/>
          <w:lang w:eastAsia="zh-CN"/>
        </w:rPr>
        <w:t>0</w:t>
      </w:r>
      <w:r>
        <w:rPr>
          <w:rFonts w:hint="eastAsia" w:ascii="仿宋" w:hAnsi="仿宋" w:eastAsia="仿宋"/>
          <w:sz w:val="32"/>
        </w:rPr>
        <w:t>%。</w:t>
      </w:r>
    </w:p>
    <w:p w14:paraId="3B2773DE">
      <w:pPr>
        <w:pStyle w:val="29"/>
        <w:pageBreakBefore w:val="0"/>
        <w:numPr>
          <w:ilvl w:val="0"/>
          <w:numId w:val="1"/>
        </w:numPr>
        <w:kinsoku/>
        <w:wordWrap/>
        <w:overflowPunct/>
        <w:topLinePunct w:val="0"/>
        <w:bidi w:val="0"/>
        <w:spacing w:line="576" w:lineRule="exact"/>
        <w:ind w:firstLineChars="0"/>
        <w:outlineLvl w:val="1"/>
        <w:rPr>
          <w:rStyle w:val="20"/>
          <w:rFonts w:ascii="黑体" w:hAnsi="黑体" w:eastAsia="黑体"/>
          <w:b w:val="0"/>
        </w:rPr>
      </w:pPr>
      <w:bookmarkStart w:id="23" w:name="_Toc15377207"/>
      <w:bookmarkStart w:id="24" w:name="_Toc15396605"/>
      <w:r>
        <w:rPr>
          <w:rFonts w:hint="eastAsia" w:ascii="黑体" w:hAnsi="黑体" w:eastAsia="黑体"/>
          <w:color w:val="000000"/>
          <w:sz w:val="32"/>
          <w:szCs w:val="32"/>
        </w:rPr>
        <w:t>支</w:t>
      </w:r>
      <w:r>
        <w:rPr>
          <w:rStyle w:val="20"/>
          <w:rFonts w:hint="eastAsia" w:ascii="黑体" w:hAnsi="黑体" w:eastAsia="黑体"/>
          <w:b w:val="0"/>
        </w:rPr>
        <w:t>出决算情况说明</w:t>
      </w:r>
      <w:bookmarkEnd w:id="23"/>
      <w:bookmarkEnd w:id="24"/>
    </w:p>
    <w:p w14:paraId="14E0A0CD">
      <w:pPr>
        <w:pStyle w:val="2"/>
        <w:pageBreakBefore w:val="0"/>
        <w:kinsoku/>
        <w:wordWrap/>
        <w:overflowPunct/>
        <w:topLinePunct w:val="0"/>
        <w:bidi w:val="0"/>
        <w:spacing w:beforeLines="0" w:line="576" w:lineRule="exact"/>
        <w:ind w:firstLine="640" w:firstLineChars="200"/>
        <w:rPr>
          <w:rFonts w:hint="eastAsia" w:ascii="仿宋" w:hAnsi="仿宋" w:eastAsia="仿宋"/>
          <w:sz w:val="32"/>
        </w:rPr>
      </w:pPr>
      <w:r>
        <w:rPr>
          <w:rFonts w:hint="eastAsia" w:ascii="仿宋" w:hAnsi="仿宋" w:eastAsia="仿宋"/>
          <w:sz w:val="32"/>
        </w:rPr>
        <w:t>2019年本年支出合计1388.70万元，其中：基本支出356.46万元，占25.67%；项目支出1032.24万元，占74.33%；上缴上级支出0万元，占</w:t>
      </w:r>
      <w:r>
        <w:rPr>
          <w:rFonts w:hint="eastAsia" w:ascii="仿宋" w:hAnsi="仿宋" w:eastAsia="仿宋"/>
          <w:sz w:val="32"/>
          <w:lang w:val="en-US" w:eastAsia="zh-CN"/>
        </w:rPr>
        <w:t>0</w:t>
      </w:r>
      <w:r>
        <w:rPr>
          <w:rFonts w:hint="eastAsia" w:ascii="仿宋" w:hAnsi="仿宋" w:eastAsia="仿宋"/>
          <w:sz w:val="32"/>
        </w:rPr>
        <w:t>%；经营支出0万元，占</w:t>
      </w:r>
      <w:r>
        <w:rPr>
          <w:rFonts w:hint="eastAsia" w:ascii="仿宋" w:hAnsi="仿宋" w:eastAsia="仿宋"/>
          <w:sz w:val="32"/>
          <w:lang w:val="en-US" w:eastAsia="zh-CN"/>
        </w:rPr>
        <w:t>0</w:t>
      </w:r>
      <w:r>
        <w:rPr>
          <w:rFonts w:hint="eastAsia" w:ascii="仿宋" w:hAnsi="仿宋" w:eastAsia="仿宋"/>
          <w:sz w:val="32"/>
        </w:rPr>
        <w:t>%；对附属单位补助支出0万元，占</w:t>
      </w:r>
      <w:r>
        <w:rPr>
          <w:rFonts w:hint="eastAsia" w:ascii="仿宋" w:hAnsi="仿宋" w:eastAsia="仿宋"/>
          <w:sz w:val="32"/>
          <w:lang w:val="en-US" w:eastAsia="zh-CN"/>
        </w:rPr>
        <w:t>0</w:t>
      </w:r>
      <w:r>
        <w:rPr>
          <w:rFonts w:hint="eastAsia" w:ascii="仿宋" w:hAnsi="仿宋" w:eastAsia="仿宋"/>
          <w:sz w:val="32"/>
        </w:rPr>
        <w:t>%。</w:t>
      </w:r>
    </w:p>
    <w:p w14:paraId="611F733D">
      <w:pPr>
        <w:pageBreakBefore w:val="0"/>
        <w:kinsoku/>
        <w:wordWrap/>
        <w:overflowPunct/>
        <w:topLinePunct w:val="0"/>
        <w:bidi w:val="0"/>
        <w:spacing w:line="576" w:lineRule="exact"/>
        <w:ind w:firstLine="640" w:firstLineChars="200"/>
        <w:outlineLvl w:val="1"/>
        <w:rPr>
          <w:rStyle w:val="20"/>
          <w:rFonts w:ascii="黑体" w:hAnsi="黑体" w:eastAsia="黑体"/>
          <w:b w:val="0"/>
        </w:rPr>
      </w:pPr>
      <w:bookmarkStart w:id="25" w:name="_Toc15396606"/>
      <w:bookmarkStart w:id="26" w:name="_Toc15377208"/>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25"/>
      <w:bookmarkEnd w:id="26"/>
    </w:p>
    <w:p w14:paraId="6ADF4FDA">
      <w:pPr>
        <w:pStyle w:val="2"/>
        <w:pageBreakBefore w:val="0"/>
        <w:kinsoku/>
        <w:wordWrap/>
        <w:overflowPunct/>
        <w:topLinePunct w:val="0"/>
        <w:bidi w:val="0"/>
        <w:spacing w:beforeLines="0" w:line="576" w:lineRule="exact"/>
        <w:ind w:firstLine="640" w:firstLineChars="200"/>
        <w:rPr>
          <w:rFonts w:hint="eastAsia" w:ascii="仿宋" w:hAnsi="仿宋" w:eastAsia="仿宋"/>
          <w:sz w:val="32"/>
        </w:rPr>
      </w:pPr>
      <w:r>
        <w:rPr>
          <w:rFonts w:hint="eastAsia" w:ascii="仿宋" w:hAnsi="仿宋" w:eastAsia="仿宋"/>
          <w:sz w:val="32"/>
        </w:rPr>
        <w:t>2019年财政拨款收、支总计1924.52万元。与2018年相比，财政拨款收、支总计减少1130.17万元，下降36.99%。主要变动原因是家居产业城建设基础设施配套资金的减少。</w:t>
      </w:r>
    </w:p>
    <w:p w14:paraId="6C69003B">
      <w:pPr>
        <w:pageBreakBefore w:val="0"/>
        <w:kinsoku/>
        <w:wordWrap/>
        <w:overflowPunct/>
        <w:topLinePunct w:val="0"/>
        <w:bidi w:val="0"/>
        <w:spacing w:line="576" w:lineRule="exact"/>
        <w:ind w:firstLine="640" w:firstLineChars="200"/>
        <w:outlineLvl w:val="1"/>
        <w:rPr>
          <w:rStyle w:val="20"/>
          <w:rFonts w:ascii="黑体" w:hAnsi="黑体" w:eastAsia="黑体"/>
          <w:b w:val="0"/>
        </w:rPr>
      </w:pPr>
      <w:bookmarkStart w:id="27" w:name="_Toc15377209"/>
      <w:bookmarkStart w:id="28"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27"/>
      <w:bookmarkEnd w:id="28"/>
    </w:p>
    <w:p w14:paraId="6FF059B0">
      <w:pPr>
        <w:pageBreakBefore w:val="0"/>
        <w:kinsoku/>
        <w:wordWrap/>
        <w:overflowPunct/>
        <w:topLinePunct w:val="0"/>
        <w:bidi w:val="0"/>
        <w:spacing w:line="576"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14:paraId="4FC63768">
      <w:pPr>
        <w:pStyle w:val="2"/>
        <w:pageBreakBefore w:val="0"/>
        <w:kinsoku/>
        <w:wordWrap/>
        <w:overflowPunct/>
        <w:topLinePunct w:val="0"/>
        <w:bidi w:val="0"/>
        <w:spacing w:beforeLines="0" w:line="576" w:lineRule="exact"/>
        <w:ind w:firstLine="640" w:firstLineChars="200"/>
        <w:rPr>
          <w:rFonts w:hint="eastAsia" w:ascii="仿宋" w:hAnsi="仿宋" w:eastAsia="仿宋"/>
          <w:sz w:val="32"/>
        </w:rPr>
      </w:pPr>
      <w:bookmarkStart w:id="30" w:name="_Toc15377211"/>
      <w:r>
        <w:rPr>
          <w:rFonts w:hint="eastAsia" w:ascii="仿宋" w:hAnsi="仿宋" w:eastAsia="仿宋"/>
          <w:sz w:val="32"/>
        </w:rPr>
        <w:t>2019年一般公共预算财政拨款支出1388.70万元，占本年支出合计的100%。与2018年相比，一般公共预算财政拨款减少579.59万元，下降29.45%。主要变动原因是家居产业城建设基础设施配套资金的减少。</w:t>
      </w:r>
    </w:p>
    <w:p w14:paraId="7EA72B14">
      <w:pPr>
        <w:pageBreakBefore w:val="0"/>
        <w:kinsoku/>
        <w:wordWrap/>
        <w:overflowPunct/>
        <w:topLinePunct w:val="0"/>
        <w:bidi w:val="0"/>
        <w:spacing w:line="576"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0"/>
    </w:p>
    <w:p w14:paraId="27F9F9E4">
      <w:pPr>
        <w:pStyle w:val="2"/>
        <w:pageBreakBefore w:val="0"/>
        <w:kinsoku/>
        <w:wordWrap/>
        <w:overflowPunct/>
        <w:topLinePunct w:val="0"/>
        <w:bidi w:val="0"/>
        <w:spacing w:beforeLines="0" w:line="576" w:lineRule="exact"/>
        <w:ind w:firstLine="640" w:firstLineChars="200"/>
        <w:rPr>
          <w:rFonts w:hint="eastAsia" w:ascii="仿宋" w:hAnsi="仿宋" w:eastAsia="仿宋"/>
          <w:sz w:val="32"/>
          <w:lang w:val="en-US" w:eastAsia="zh-CN"/>
        </w:rPr>
      </w:pPr>
      <w:r>
        <w:rPr>
          <w:rFonts w:hint="eastAsia" w:ascii="仿宋" w:hAnsi="仿宋" w:eastAsia="仿宋"/>
          <w:sz w:val="32"/>
        </w:rPr>
        <w:t>2019年一般公共预算财政拨款支出1388.7万元，主要用于以下方面:一般公共服务（类）支出314.94万元，占22.68%；教育支出（类）</w:t>
      </w:r>
      <w:r>
        <w:rPr>
          <w:rFonts w:hint="eastAsia" w:ascii="仿宋" w:hAnsi="仿宋" w:eastAsia="仿宋"/>
          <w:sz w:val="32"/>
          <w:lang w:val="en-US" w:eastAsia="zh-CN"/>
        </w:rPr>
        <w:t>0</w:t>
      </w:r>
      <w:r>
        <w:rPr>
          <w:rFonts w:hint="eastAsia" w:ascii="仿宋" w:hAnsi="仿宋" w:eastAsia="仿宋"/>
          <w:sz w:val="32"/>
        </w:rPr>
        <w:t>万元，占</w:t>
      </w:r>
      <w:r>
        <w:rPr>
          <w:rFonts w:hint="eastAsia" w:ascii="仿宋" w:hAnsi="仿宋" w:eastAsia="仿宋"/>
          <w:sz w:val="32"/>
          <w:lang w:val="en-US" w:eastAsia="zh-CN"/>
        </w:rPr>
        <w:t>0</w:t>
      </w:r>
      <w:r>
        <w:rPr>
          <w:rFonts w:hint="eastAsia" w:ascii="仿宋" w:hAnsi="仿宋" w:eastAsia="仿宋"/>
          <w:sz w:val="32"/>
        </w:rPr>
        <w:t>%；科学技术（类）支出301.67万元，占21.72%；文化旅游体育与传媒（类）支出</w:t>
      </w:r>
      <w:r>
        <w:rPr>
          <w:rFonts w:hint="eastAsia" w:ascii="仿宋" w:hAnsi="仿宋" w:eastAsia="仿宋"/>
          <w:sz w:val="32"/>
          <w:lang w:val="en-US" w:eastAsia="zh-CN"/>
        </w:rPr>
        <w:t>0</w:t>
      </w:r>
      <w:r>
        <w:rPr>
          <w:rFonts w:hint="eastAsia" w:ascii="仿宋" w:hAnsi="仿宋" w:eastAsia="仿宋"/>
          <w:sz w:val="32"/>
        </w:rPr>
        <w:t>万元，占</w:t>
      </w:r>
      <w:r>
        <w:rPr>
          <w:rFonts w:hint="eastAsia" w:ascii="仿宋" w:hAnsi="仿宋" w:eastAsia="仿宋"/>
          <w:sz w:val="32"/>
          <w:lang w:val="en-US" w:eastAsia="zh-CN"/>
        </w:rPr>
        <w:t>0</w:t>
      </w:r>
      <w:r>
        <w:rPr>
          <w:rFonts w:hint="eastAsia" w:ascii="仿宋" w:hAnsi="仿宋" w:eastAsia="仿宋"/>
          <w:sz w:val="32"/>
        </w:rPr>
        <w:t>%；社会保障和就业（类）支出23.51万元，占1.69%；卫生健康支出9.11万元，占0.66%；农林水（类）支出30万元，占2.16%；资源勘探信息等支出（类）支出700.57万元，占50.45%；住房保障支出8.93万元，占0.64%</w:t>
      </w:r>
      <w:r>
        <w:rPr>
          <w:rFonts w:hint="eastAsia" w:ascii="仿宋" w:hAnsi="仿宋" w:eastAsia="仿宋"/>
          <w:sz w:val="32"/>
          <w:lang w:eastAsia="zh-CN"/>
        </w:rPr>
        <w:t>。</w:t>
      </w:r>
    </w:p>
    <w:p w14:paraId="62635601">
      <w:pPr>
        <w:pageBreakBefore w:val="0"/>
        <w:kinsoku/>
        <w:wordWrap/>
        <w:overflowPunct/>
        <w:topLinePunct w:val="0"/>
        <w:bidi w:val="0"/>
        <w:spacing w:line="576"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14:paraId="66032C30">
      <w:pPr>
        <w:pageBreakBefore w:val="0"/>
        <w:kinsoku/>
        <w:wordWrap/>
        <w:overflowPunct/>
        <w:topLinePunct w:val="0"/>
        <w:bidi w:val="0"/>
        <w:spacing w:line="576" w:lineRule="exact"/>
        <w:ind w:firstLine="643" w:firstLineChars="200"/>
        <w:outlineLvl w:val="2"/>
        <w:rPr>
          <w:rFonts w:ascii="仿宋" w:hAnsi="仿宋" w:eastAsia="仿宋"/>
          <w:color w:val="FF0000"/>
          <w:sz w:val="32"/>
          <w:szCs w:val="32"/>
        </w:rPr>
      </w:pPr>
      <w:r>
        <w:rPr>
          <w:rFonts w:hint="eastAsia" w:ascii="仿宋" w:hAnsi="仿宋" w:eastAsia="仿宋"/>
          <w:b/>
          <w:sz w:val="32"/>
        </w:rPr>
        <w:t>2019</w:t>
      </w:r>
      <w:r>
        <w:rPr>
          <w:rFonts w:hint="eastAsia" w:ascii="仿宋" w:hAnsi="仿宋" w:eastAsia="仿宋"/>
          <w:b/>
          <w:spacing w:val="-16"/>
          <w:sz w:val="32"/>
        </w:rPr>
        <w:t>年般公共预算支出决算数为</w:t>
      </w:r>
      <w:r>
        <w:rPr>
          <w:rFonts w:hint="eastAsia" w:ascii="仿宋" w:hAnsi="仿宋" w:eastAsia="仿宋"/>
          <w:b/>
          <w:sz w:val="32"/>
        </w:rPr>
        <w:t>1388.70</w:t>
      </w:r>
      <w:r>
        <w:rPr>
          <w:rFonts w:hint="eastAsia" w:ascii="仿宋" w:hAnsi="仿宋" w:eastAsia="仿宋"/>
          <w:b/>
          <w:spacing w:val="-29"/>
          <w:sz w:val="32"/>
        </w:rPr>
        <w:t>万元</w:t>
      </w:r>
      <w:r>
        <w:rPr>
          <w:rFonts w:hint="eastAsia" w:ascii="仿宋" w:hAnsi="仿宋" w:eastAsia="仿宋"/>
          <w:spacing w:val="-127"/>
          <w:sz w:val="32"/>
        </w:rPr>
        <w:t>，</w:t>
      </w:r>
      <w:r>
        <w:rPr>
          <w:rFonts w:hint="eastAsia" w:ascii="仿宋" w:hAnsi="仿宋" w:eastAsia="仿宋"/>
          <w:b/>
          <w:sz w:val="32"/>
        </w:rPr>
        <w:t>完成预</w:t>
      </w:r>
      <w:r>
        <w:rPr>
          <w:rFonts w:hint="eastAsia" w:ascii="仿宋" w:hAnsi="仿宋" w:eastAsia="仿宋"/>
          <w:b/>
          <w:spacing w:val="-41"/>
          <w:sz w:val="32"/>
        </w:rPr>
        <w:t>算</w:t>
      </w:r>
      <w:r>
        <w:rPr>
          <w:rFonts w:hint="eastAsia" w:ascii="仿宋" w:hAnsi="仿宋" w:eastAsia="仿宋"/>
          <w:b/>
          <w:sz w:val="32"/>
        </w:rPr>
        <w:t>100%。其中</w:t>
      </w:r>
    </w:p>
    <w:p w14:paraId="3AA47271">
      <w:pPr>
        <w:pageBreakBefore w:val="0"/>
        <w:kinsoku/>
        <w:wordWrap/>
        <w:overflowPunct/>
        <w:topLinePunct w:val="0"/>
        <w:bidi w:val="0"/>
        <w:spacing w:line="576" w:lineRule="exact"/>
        <w:ind w:firstLine="643" w:firstLineChars="200"/>
        <w:rPr>
          <w:rFonts w:hint="eastAsia" w:ascii="仿宋" w:hAnsi="仿宋" w:eastAsia="仿宋" w:cs="Times New Roman"/>
          <w:kern w:val="0"/>
          <w:sz w:val="32"/>
          <w:szCs w:val="20"/>
          <w:lang w:val="en-US" w:eastAsia="zh-CN" w:bidi="ar-SA"/>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一般公共服务（类）商贸事务（款）行政运行（项）:</w:t>
      </w:r>
      <w:r>
        <w:rPr>
          <w:rFonts w:hint="eastAsia" w:ascii="仿宋" w:hAnsi="仿宋" w:eastAsia="仿宋" w:cs="Times New Roman"/>
          <w:kern w:val="0"/>
          <w:sz w:val="32"/>
          <w:szCs w:val="20"/>
          <w:lang w:val="en-US" w:eastAsia="zh-CN" w:bidi="ar-SA"/>
        </w:rPr>
        <w:t>支出决算为314.91万元，完成预算100%，决算数等于预算数。</w:t>
      </w:r>
    </w:p>
    <w:p w14:paraId="0CCA950E">
      <w:pPr>
        <w:pageBreakBefore w:val="0"/>
        <w:kinsoku/>
        <w:wordWrap/>
        <w:overflowPunct/>
        <w:topLinePunct w:val="0"/>
        <w:bidi w:val="0"/>
        <w:spacing w:line="576" w:lineRule="exact"/>
        <w:ind w:firstLine="640"/>
        <w:rPr>
          <w:rFonts w:hint="eastAsia" w:ascii="仿宋" w:hAnsi="仿宋" w:eastAsia="仿宋" w:cs="Times New Roman"/>
          <w:kern w:val="0"/>
          <w:sz w:val="32"/>
          <w:szCs w:val="20"/>
          <w:lang w:val="en-US" w:eastAsia="zh-CN" w:bidi="ar-SA"/>
        </w:rPr>
      </w:pPr>
      <w:r>
        <w:rPr>
          <w:rFonts w:hint="eastAsia" w:ascii="仿宋" w:hAnsi="仿宋" w:eastAsia="仿宋"/>
          <w:b/>
          <w:spacing w:val="-3"/>
          <w:sz w:val="32"/>
          <w:lang w:val="en-US" w:eastAsia="zh-CN"/>
        </w:rPr>
        <w:t>2.</w:t>
      </w:r>
      <w:r>
        <w:rPr>
          <w:rFonts w:hint="eastAsia" w:ascii="仿宋" w:hAnsi="仿宋" w:eastAsia="仿宋"/>
          <w:b/>
          <w:spacing w:val="-3"/>
          <w:sz w:val="32"/>
        </w:rPr>
        <w:t>科学技术</w:t>
      </w:r>
      <w:r>
        <w:rPr>
          <w:rFonts w:hint="eastAsia" w:ascii="仿宋" w:hAnsi="仿宋" w:eastAsia="仿宋"/>
          <w:b/>
          <w:sz w:val="32"/>
        </w:rPr>
        <w:t>（类</w:t>
      </w:r>
      <w:r>
        <w:rPr>
          <w:rFonts w:hint="eastAsia" w:ascii="仿宋" w:hAnsi="仿宋" w:eastAsia="仿宋"/>
          <w:b/>
          <w:spacing w:val="-7"/>
          <w:sz w:val="32"/>
        </w:rPr>
        <w:t>）</w:t>
      </w:r>
      <w:r>
        <w:rPr>
          <w:rFonts w:hint="eastAsia" w:ascii="仿宋" w:hAnsi="仿宋" w:eastAsia="仿宋"/>
          <w:b/>
          <w:spacing w:val="-2"/>
          <w:sz w:val="32"/>
        </w:rPr>
        <w:t>技术研究与开发</w:t>
      </w:r>
      <w:r>
        <w:rPr>
          <w:rFonts w:hint="eastAsia" w:ascii="仿宋" w:hAnsi="仿宋" w:eastAsia="仿宋"/>
          <w:b/>
          <w:sz w:val="32"/>
        </w:rPr>
        <w:t>（款</w:t>
      </w:r>
      <w:r>
        <w:rPr>
          <w:rFonts w:hint="eastAsia" w:ascii="仿宋" w:hAnsi="仿宋" w:eastAsia="仿宋"/>
          <w:b/>
          <w:spacing w:val="-10"/>
          <w:sz w:val="32"/>
        </w:rPr>
        <w:t>）</w:t>
      </w:r>
      <w:r>
        <w:rPr>
          <w:rFonts w:hint="eastAsia" w:ascii="仿宋" w:hAnsi="仿宋" w:eastAsia="仿宋"/>
          <w:b/>
          <w:sz w:val="32"/>
        </w:rPr>
        <w:t>科技成果转化</w:t>
      </w:r>
      <w:r>
        <w:rPr>
          <w:rFonts w:hint="eastAsia" w:ascii="仿宋" w:hAnsi="仿宋" w:eastAsia="仿宋"/>
          <w:b/>
          <w:spacing w:val="5"/>
          <w:sz w:val="32"/>
        </w:rPr>
        <w:t>与扩散（项</w:t>
      </w:r>
      <w:r>
        <w:rPr>
          <w:rFonts w:hint="eastAsia" w:ascii="仿宋" w:hAnsi="仿宋" w:eastAsia="仿宋"/>
          <w:b/>
          <w:spacing w:val="2"/>
          <w:sz w:val="32"/>
        </w:rPr>
        <w:t>）</w:t>
      </w:r>
      <w:r>
        <w:rPr>
          <w:rFonts w:hint="eastAsia" w:ascii="仿宋" w:hAnsi="仿宋" w:eastAsia="仿宋"/>
          <w:b/>
          <w:sz w:val="32"/>
        </w:rPr>
        <w:t>:</w:t>
      </w:r>
      <w:r>
        <w:rPr>
          <w:rFonts w:hint="eastAsia" w:ascii="仿宋" w:hAnsi="仿宋" w:eastAsia="仿宋" w:cs="Times New Roman"/>
          <w:kern w:val="0"/>
          <w:sz w:val="32"/>
          <w:szCs w:val="20"/>
          <w:lang w:val="en-US" w:eastAsia="zh-CN" w:bidi="ar-SA"/>
        </w:rPr>
        <w:t>支出决算为269.67万元，完成预算100%，决算数等于预算数的。</w:t>
      </w:r>
    </w:p>
    <w:p w14:paraId="4EB0A60E">
      <w:pPr>
        <w:pageBreakBefore w:val="0"/>
        <w:kinsoku/>
        <w:wordWrap/>
        <w:overflowPunct/>
        <w:topLinePunct w:val="0"/>
        <w:bidi w:val="0"/>
        <w:spacing w:line="576" w:lineRule="exact"/>
        <w:ind w:firstLine="640"/>
        <w:rPr>
          <w:rFonts w:hint="eastAsia" w:ascii="仿宋" w:hAnsi="仿宋" w:eastAsia="仿宋" w:cs="Times New Roman"/>
          <w:kern w:val="0"/>
          <w:sz w:val="32"/>
          <w:szCs w:val="20"/>
          <w:lang w:val="en-US" w:eastAsia="zh-CN" w:bidi="ar-SA"/>
        </w:rPr>
      </w:pPr>
      <w:r>
        <w:rPr>
          <w:rFonts w:hint="eastAsia" w:ascii="仿宋" w:hAnsi="仿宋" w:eastAsia="仿宋"/>
          <w:b/>
          <w:spacing w:val="-3"/>
          <w:sz w:val="32"/>
          <w:lang w:val="en-US" w:eastAsia="zh-CN"/>
        </w:rPr>
        <w:t>3.</w:t>
      </w:r>
      <w:r>
        <w:rPr>
          <w:rFonts w:hint="eastAsia" w:ascii="仿宋" w:hAnsi="仿宋" w:eastAsia="仿宋"/>
          <w:b/>
          <w:spacing w:val="-3"/>
          <w:sz w:val="32"/>
        </w:rPr>
        <w:t>科学技术（类）其他科学技术支出（款）其他科学技术支出（项）:</w:t>
      </w:r>
      <w:r>
        <w:rPr>
          <w:rFonts w:hint="eastAsia" w:ascii="仿宋" w:hAnsi="仿宋" w:eastAsia="仿宋" w:cs="Times New Roman"/>
          <w:kern w:val="0"/>
          <w:sz w:val="32"/>
          <w:szCs w:val="20"/>
          <w:lang w:val="en-US" w:eastAsia="zh-CN" w:bidi="ar-SA"/>
        </w:rPr>
        <w:t>支出决算为32万元，完成预算100%，决算数等于预算数。</w:t>
      </w:r>
    </w:p>
    <w:p w14:paraId="50029D33">
      <w:pPr>
        <w:pStyle w:val="2"/>
        <w:pageBreakBefore w:val="0"/>
        <w:kinsoku/>
        <w:wordWrap/>
        <w:overflowPunct/>
        <w:topLinePunct w:val="0"/>
        <w:bidi w:val="0"/>
        <w:spacing w:beforeLines="0" w:line="576" w:lineRule="exact"/>
        <w:ind w:firstLine="631" w:firstLineChars="200"/>
        <w:rPr>
          <w:rFonts w:hint="eastAsia" w:ascii="仿宋" w:hAnsi="仿宋" w:eastAsia="仿宋"/>
          <w:sz w:val="32"/>
        </w:rPr>
      </w:pPr>
      <w:r>
        <w:rPr>
          <w:rFonts w:hint="eastAsia" w:ascii="仿宋" w:hAnsi="仿宋" w:eastAsia="仿宋" w:cs="Times New Roman"/>
          <w:b/>
          <w:spacing w:val="-3"/>
          <w:kern w:val="2"/>
          <w:sz w:val="32"/>
          <w:szCs w:val="24"/>
          <w:lang w:val="en-US" w:eastAsia="zh-CN" w:bidi="ar-SA"/>
        </w:rPr>
        <w:t>4.社会保障和就业（类）行政事业单位离退休（款）机关事业单位基本养老保险缴费支出（项）:</w:t>
      </w:r>
      <w:r>
        <w:rPr>
          <w:rFonts w:hint="eastAsia" w:ascii="仿宋" w:hAnsi="仿宋" w:eastAsia="仿宋"/>
          <w:sz w:val="32"/>
          <w:lang w:val="en-US" w:eastAsia="zh-CN"/>
        </w:rPr>
        <w:t>支出决算为23.51万元，完成预算100%，决算数等于预算数。</w:t>
      </w:r>
    </w:p>
    <w:p w14:paraId="56BB82E2">
      <w:pPr>
        <w:pageBreakBefore w:val="0"/>
        <w:kinsoku/>
        <w:wordWrap/>
        <w:overflowPunct/>
        <w:topLinePunct w:val="0"/>
        <w:bidi w:val="0"/>
        <w:spacing w:line="576" w:lineRule="exact"/>
        <w:ind w:firstLine="631" w:firstLineChars="200"/>
        <w:rPr>
          <w:rFonts w:hint="eastAsia" w:ascii="仿宋" w:hAnsi="仿宋" w:eastAsia="仿宋"/>
          <w:spacing w:val="0"/>
          <w:sz w:val="32"/>
        </w:rPr>
      </w:pPr>
      <w:r>
        <w:rPr>
          <w:rFonts w:hint="eastAsia" w:ascii="仿宋" w:hAnsi="仿宋" w:eastAsia="仿宋" w:cs="Times New Roman"/>
          <w:b/>
          <w:spacing w:val="-3"/>
          <w:kern w:val="2"/>
          <w:sz w:val="32"/>
          <w:szCs w:val="24"/>
          <w:lang w:val="en-US" w:eastAsia="zh-CN" w:bidi="ar-SA"/>
        </w:rPr>
        <w:t>5.卫生健康（类）行政事业单位医疗（款）行政单位医疗（项）:</w:t>
      </w:r>
      <w:r>
        <w:rPr>
          <w:rFonts w:hint="eastAsia" w:ascii="仿宋" w:hAnsi="仿宋" w:eastAsia="仿宋"/>
          <w:spacing w:val="0"/>
          <w:sz w:val="32"/>
        </w:rPr>
        <w:t>支出决算为9.11万元，完成预算100%，决算数等于预算数。</w:t>
      </w:r>
    </w:p>
    <w:p w14:paraId="3CCACB8A">
      <w:pPr>
        <w:pageBreakBefore w:val="0"/>
        <w:kinsoku/>
        <w:wordWrap/>
        <w:overflowPunct/>
        <w:topLinePunct w:val="0"/>
        <w:bidi w:val="0"/>
        <w:spacing w:line="576" w:lineRule="exact"/>
        <w:ind w:firstLine="640"/>
        <w:rPr>
          <w:rFonts w:hint="eastAsia" w:ascii="仿宋" w:hAnsi="仿宋" w:eastAsia="仿宋"/>
          <w:spacing w:val="0"/>
          <w:sz w:val="32"/>
          <w:lang w:eastAsia="zh-CN"/>
        </w:rPr>
      </w:pPr>
      <w:r>
        <w:rPr>
          <w:rFonts w:hint="eastAsia" w:ascii="仿宋" w:hAnsi="仿宋" w:eastAsia="仿宋" w:cs="Times New Roman"/>
          <w:b/>
          <w:spacing w:val="-3"/>
          <w:kern w:val="2"/>
          <w:sz w:val="32"/>
          <w:szCs w:val="24"/>
          <w:lang w:val="en-US" w:eastAsia="zh-CN" w:bidi="ar-SA"/>
        </w:rPr>
        <w:t>6.农林水支出（类）农业（款）科技转化与推广服务（项）:</w:t>
      </w:r>
      <w:r>
        <w:rPr>
          <w:rFonts w:hint="eastAsia" w:ascii="仿宋" w:hAnsi="仿宋" w:eastAsia="仿宋"/>
          <w:spacing w:val="0"/>
          <w:sz w:val="32"/>
        </w:rPr>
        <w:t>支出决算为30万元，完成预算100%，决算数等于预算数</w:t>
      </w:r>
      <w:r>
        <w:rPr>
          <w:rFonts w:hint="eastAsia" w:ascii="仿宋" w:hAnsi="仿宋" w:eastAsia="仿宋"/>
          <w:spacing w:val="0"/>
          <w:sz w:val="32"/>
          <w:lang w:eastAsia="zh-CN"/>
        </w:rPr>
        <w:t>。</w:t>
      </w:r>
    </w:p>
    <w:p w14:paraId="479466EF">
      <w:pPr>
        <w:pStyle w:val="2"/>
        <w:pageBreakBefore w:val="0"/>
        <w:kinsoku/>
        <w:wordWrap/>
        <w:overflowPunct/>
        <w:topLinePunct w:val="0"/>
        <w:bidi w:val="0"/>
        <w:spacing w:beforeLines="0" w:line="576" w:lineRule="exact"/>
        <w:ind w:firstLine="631" w:firstLineChars="200"/>
        <w:rPr>
          <w:rFonts w:hint="eastAsia" w:ascii="仿宋" w:hAnsi="仿宋" w:eastAsia="仿宋" w:cs="Times New Roman"/>
          <w:spacing w:val="0"/>
          <w:kern w:val="2"/>
          <w:sz w:val="32"/>
          <w:szCs w:val="24"/>
          <w:lang w:val="en-US" w:eastAsia="zh-CN" w:bidi="ar-SA"/>
        </w:rPr>
      </w:pPr>
      <w:r>
        <w:rPr>
          <w:rFonts w:hint="eastAsia" w:ascii="仿宋" w:hAnsi="仿宋" w:eastAsia="仿宋" w:cs="Times New Roman"/>
          <w:b/>
          <w:spacing w:val="-3"/>
          <w:kern w:val="2"/>
          <w:sz w:val="32"/>
          <w:szCs w:val="24"/>
          <w:lang w:val="en-US" w:eastAsia="zh-CN" w:bidi="ar-SA"/>
        </w:rPr>
        <w:t>7.资源勘探信息等支出（类）制造业（款）其他制造业支出（项）:</w:t>
      </w:r>
      <w:r>
        <w:rPr>
          <w:rFonts w:hint="eastAsia" w:ascii="仿宋" w:hAnsi="仿宋" w:eastAsia="仿宋" w:cs="Times New Roman"/>
          <w:spacing w:val="0"/>
          <w:kern w:val="2"/>
          <w:sz w:val="32"/>
          <w:szCs w:val="24"/>
          <w:lang w:val="en-US" w:eastAsia="zh-CN" w:bidi="ar-SA"/>
        </w:rPr>
        <w:t>支出决算为700.57万元，完成预算100%，决算数等于预算数。</w:t>
      </w:r>
    </w:p>
    <w:p w14:paraId="71A43C12">
      <w:pPr>
        <w:pStyle w:val="4"/>
        <w:pageBreakBefore w:val="0"/>
        <w:kinsoku/>
        <w:wordWrap/>
        <w:overflowPunct/>
        <w:topLinePunct w:val="0"/>
        <w:bidi w:val="0"/>
        <w:spacing w:before="0" w:after="0" w:line="576" w:lineRule="exact"/>
        <w:ind w:firstLine="643" w:firstLineChars="200"/>
        <w:rPr>
          <w:rFonts w:hint="eastAsia" w:ascii="仿宋" w:hAnsi="仿宋" w:eastAsia="仿宋" w:cs="Times New Roman"/>
          <w:b w:val="0"/>
          <w:bCs w:val="0"/>
          <w:spacing w:val="0"/>
          <w:kern w:val="2"/>
          <w:sz w:val="32"/>
          <w:szCs w:val="24"/>
          <w:lang w:val="en-US" w:eastAsia="zh-CN" w:bidi="ar-SA"/>
        </w:rPr>
      </w:pPr>
      <w:r>
        <w:rPr>
          <w:rFonts w:hint="eastAsia" w:ascii="仿宋" w:hAnsi="仿宋" w:eastAsia="仿宋" w:cs="Times New Roman"/>
          <w:spacing w:val="0"/>
          <w:kern w:val="2"/>
          <w:sz w:val="32"/>
          <w:szCs w:val="24"/>
          <w:lang w:val="en-US" w:eastAsia="zh-CN" w:bidi="ar-SA"/>
        </w:rPr>
        <w:t>8.住房</w:t>
      </w:r>
      <w:r>
        <w:rPr>
          <w:rFonts w:hint="eastAsia" w:ascii="仿宋" w:hAnsi="仿宋" w:eastAsia="仿宋" w:cs="Times New Roman"/>
          <w:b/>
          <w:bCs w:val="0"/>
          <w:spacing w:val="-3"/>
          <w:kern w:val="2"/>
          <w:sz w:val="32"/>
          <w:szCs w:val="24"/>
          <w:lang w:val="en-US" w:eastAsia="zh-CN" w:bidi="ar-SA"/>
        </w:rPr>
        <w:t>保障支出（类）住房改革支出（款）住房公积金（项）:</w:t>
      </w:r>
      <w:r>
        <w:rPr>
          <w:rFonts w:hint="eastAsia" w:ascii="仿宋" w:hAnsi="仿宋" w:eastAsia="仿宋" w:cs="Times New Roman"/>
          <w:b w:val="0"/>
          <w:bCs w:val="0"/>
          <w:spacing w:val="0"/>
          <w:kern w:val="2"/>
          <w:sz w:val="32"/>
          <w:szCs w:val="24"/>
          <w:lang w:val="en-US" w:eastAsia="zh-CN" w:bidi="ar-SA"/>
        </w:rPr>
        <w:t>支出决算为8.93万元，完成预算100%，决算数等于预算数。</w:t>
      </w:r>
    </w:p>
    <w:p w14:paraId="1ECD51CE">
      <w:pPr>
        <w:pageBreakBefore w:val="0"/>
        <w:tabs>
          <w:tab w:val="right" w:pos="8306"/>
        </w:tabs>
        <w:kinsoku/>
        <w:wordWrap/>
        <w:overflowPunct/>
        <w:topLinePunct w:val="0"/>
        <w:bidi w:val="0"/>
        <w:spacing w:line="576" w:lineRule="exact"/>
        <w:ind w:firstLine="640"/>
        <w:outlineLvl w:val="1"/>
        <w:rPr>
          <w:rStyle w:val="20"/>
        </w:rPr>
      </w:pPr>
      <w:bookmarkStart w:id="32" w:name="_Toc15377214"/>
      <w:bookmarkStart w:id="33"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32"/>
      <w:bookmarkEnd w:id="33"/>
      <w:r>
        <w:rPr>
          <w:rStyle w:val="20"/>
          <w:rFonts w:ascii="黑体" w:hAnsi="黑体" w:eastAsia="黑体"/>
          <w:b w:val="0"/>
        </w:rPr>
        <w:tab/>
      </w:r>
    </w:p>
    <w:p w14:paraId="6BA036C6">
      <w:pPr>
        <w:pageBreakBefore w:val="0"/>
        <w:kinsoku/>
        <w:wordWrap/>
        <w:overflowPunct/>
        <w:topLinePunct w:val="0"/>
        <w:bidi w:val="0"/>
        <w:spacing w:line="576" w:lineRule="exact"/>
        <w:ind w:firstLine="640" w:firstLineChars="200"/>
        <w:rPr>
          <w:rFonts w:hint="eastAsia" w:ascii="仿宋" w:hAnsi="仿宋" w:eastAsia="仿宋"/>
          <w:spacing w:val="0"/>
          <w:sz w:val="32"/>
          <w:lang w:val="en-US" w:eastAsia="zh-CN"/>
        </w:rPr>
      </w:pPr>
      <w:r>
        <w:rPr>
          <w:rFonts w:hint="eastAsia" w:ascii="仿宋" w:hAnsi="仿宋" w:eastAsia="仿宋"/>
          <w:spacing w:val="0"/>
          <w:sz w:val="32"/>
          <w:lang w:val="en-US" w:eastAsia="zh-CN"/>
        </w:rPr>
        <w:t>2019年一般公共预算财政拨款基本支出356.46万元，其中：</w:t>
      </w:r>
    </w:p>
    <w:p w14:paraId="523BB683">
      <w:pPr>
        <w:pageBreakBefore w:val="0"/>
        <w:kinsoku/>
        <w:wordWrap/>
        <w:overflowPunct/>
        <w:topLinePunct w:val="0"/>
        <w:bidi w:val="0"/>
        <w:spacing w:line="576" w:lineRule="exact"/>
        <w:ind w:firstLine="640" w:firstLineChars="200"/>
        <w:rPr>
          <w:rFonts w:hint="eastAsia" w:ascii="仿宋" w:hAnsi="仿宋" w:eastAsia="仿宋"/>
          <w:spacing w:val="0"/>
          <w:sz w:val="32"/>
          <w:lang w:val="en-US" w:eastAsia="zh-CN"/>
        </w:rPr>
      </w:pPr>
      <w:r>
        <w:rPr>
          <w:rFonts w:hint="eastAsia" w:ascii="仿宋" w:hAnsi="仿宋" w:eastAsia="仿宋"/>
          <w:spacing w:val="0"/>
          <w:sz w:val="32"/>
          <w:lang w:val="en-US" w:eastAsia="zh-CN"/>
        </w:rPr>
        <w:t>人员经费190.56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02895A0D">
      <w:pPr>
        <w:pageBreakBefore w:val="0"/>
        <w:kinsoku/>
        <w:wordWrap/>
        <w:overflowPunct/>
        <w:topLinePunct w:val="0"/>
        <w:bidi w:val="0"/>
        <w:spacing w:line="576" w:lineRule="exact"/>
        <w:ind w:firstLine="640" w:firstLineChars="200"/>
        <w:rPr>
          <w:rFonts w:hint="eastAsia" w:ascii="仿宋" w:hAnsi="仿宋" w:eastAsia="仿宋"/>
          <w:spacing w:val="0"/>
          <w:sz w:val="32"/>
        </w:rPr>
      </w:pPr>
      <w:r>
        <w:rPr>
          <w:rFonts w:hint="eastAsia" w:ascii="仿宋" w:hAnsi="仿宋" w:eastAsia="仿宋"/>
          <w:spacing w:val="0"/>
          <w:sz w:val="32"/>
        </w:rPr>
        <w:t>日常公用经费165.90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A155EAA">
      <w:pPr>
        <w:pageBreakBefore w:val="0"/>
        <w:kinsoku/>
        <w:wordWrap/>
        <w:overflowPunct/>
        <w:topLinePunct w:val="0"/>
        <w:bidi w:val="0"/>
        <w:spacing w:line="576" w:lineRule="exact"/>
        <w:ind w:firstLine="640"/>
        <w:outlineLvl w:val="1"/>
        <w:rPr>
          <w:rStyle w:val="20"/>
          <w:rFonts w:ascii="黑体" w:hAnsi="黑体" w:eastAsia="黑体"/>
          <w:b w:val="0"/>
        </w:rPr>
      </w:pPr>
      <w:bookmarkStart w:id="34" w:name="_Toc15377215"/>
      <w:bookmarkStart w:id="35" w:name="_Toc15396609"/>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34"/>
      <w:bookmarkEnd w:id="35"/>
    </w:p>
    <w:p w14:paraId="23556B61">
      <w:pPr>
        <w:pageBreakBefore w:val="0"/>
        <w:kinsoku/>
        <w:wordWrap/>
        <w:overflowPunct/>
        <w:topLinePunct w:val="0"/>
        <w:bidi w:val="0"/>
        <w:spacing w:line="576" w:lineRule="exact"/>
        <w:ind w:firstLine="640"/>
        <w:outlineLvl w:val="2"/>
        <w:rPr>
          <w:rFonts w:ascii="仿宋" w:hAnsi="仿宋" w:eastAsia="仿宋"/>
          <w:b/>
          <w:color w:val="000000"/>
          <w:sz w:val="32"/>
          <w:szCs w:val="32"/>
        </w:rPr>
      </w:pPr>
      <w:bookmarkStart w:id="36" w:name="_Toc15377216"/>
      <w:r>
        <w:rPr>
          <w:rFonts w:hint="eastAsia" w:ascii="仿宋" w:hAnsi="仿宋" w:eastAsia="仿宋"/>
          <w:b/>
          <w:color w:val="000000"/>
          <w:sz w:val="32"/>
          <w:szCs w:val="32"/>
        </w:rPr>
        <w:t>（一）“三公”经费财政拨款支出决算总体情况说明</w:t>
      </w:r>
      <w:bookmarkEnd w:id="36"/>
    </w:p>
    <w:p w14:paraId="0866D0EA">
      <w:pPr>
        <w:pageBreakBefore w:val="0"/>
        <w:kinsoku/>
        <w:wordWrap/>
        <w:overflowPunct/>
        <w:topLinePunct w:val="0"/>
        <w:bidi w:val="0"/>
        <w:spacing w:line="576" w:lineRule="exact"/>
        <w:ind w:firstLine="640" w:firstLineChars="200"/>
        <w:rPr>
          <w:rFonts w:hint="eastAsia" w:ascii="仿宋" w:hAnsi="仿宋" w:eastAsia="仿宋"/>
          <w:spacing w:val="0"/>
          <w:sz w:val="32"/>
        </w:rPr>
      </w:pPr>
      <w:r>
        <w:rPr>
          <w:rFonts w:hint="eastAsia" w:ascii="仿宋" w:hAnsi="仿宋" w:eastAsia="仿宋"/>
          <w:spacing w:val="0"/>
          <w:sz w:val="32"/>
        </w:rPr>
        <w:t>2019年“三公”经费财政拨款支出决算为12.97万元，完成预算99.77%，决算数小于预算数的主要原因是响应国家</w:t>
      </w:r>
      <w:r>
        <w:rPr>
          <w:rFonts w:hint="eastAsia" w:ascii="仿宋" w:hAnsi="仿宋" w:eastAsia="仿宋"/>
          <w:spacing w:val="0"/>
          <w:sz w:val="32"/>
          <w:lang w:eastAsia="zh-CN"/>
        </w:rPr>
        <w:t>中央八项规定</w:t>
      </w:r>
      <w:r>
        <w:rPr>
          <w:rFonts w:hint="eastAsia" w:ascii="仿宋" w:hAnsi="仿宋" w:eastAsia="仿宋"/>
          <w:spacing w:val="0"/>
          <w:sz w:val="32"/>
        </w:rPr>
        <w:t>，厉行节约。</w:t>
      </w:r>
    </w:p>
    <w:p w14:paraId="404A1BF8">
      <w:pPr>
        <w:pageBreakBefore w:val="0"/>
        <w:kinsoku/>
        <w:wordWrap/>
        <w:overflowPunct/>
        <w:topLinePunct w:val="0"/>
        <w:bidi w:val="0"/>
        <w:spacing w:line="576" w:lineRule="exact"/>
        <w:ind w:firstLine="640"/>
        <w:outlineLvl w:val="2"/>
        <w:rPr>
          <w:rFonts w:ascii="仿宋" w:hAnsi="仿宋" w:eastAsia="仿宋"/>
          <w:b/>
          <w:color w:val="000000"/>
          <w:sz w:val="32"/>
          <w:szCs w:val="32"/>
        </w:rPr>
      </w:pPr>
      <w:bookmarkStart w:id="37" w:name="_Toc15377217"/>
      <w:r>
        <w:rPr>
          <w:rFonts w:hint="eastAsia" w:ascii="仿宋" w:hAnsi="仿宋" w:eastAsia="仿宋"/>
          <w:b/>
          <w:color w:val="000000"/>
          <w:sz w:val="32"/>
          <w:szCs w:val="32"/>
        </w:rPr>
        <w:t>（二）“三公”经费财政拨款支出决算具体情况说明</w:t>
      </w:r>
      <w:bookmarkEnd w:id="37"/>
    </w:p>
    <w:p w14:paraId="4F37A9ED">
      <w:pPr>
        <w:pageBreakBefore w:val="0"/>
        <w:kinsoku/>
        <w:wordWrap/>
        <w:overflowPunct/>
        <w:topLinePunct w:val="0"/>
        <w:bidi w:val="0"/>
        <w:spacing w:line="576" w:lineRule="exact"/>
        <w:ind w:firstLine="640" w:firstLineChars="200"/>
        <w:rPr>
          <w:rFonts w:hint="eastAsia" w:ascii="仿宋" w:hAnsi="仿宋" w:eastAsia="仿宋"/>
          <w:spacing w:val="0"/>
          <w:sz w:val="32"/>
        </w:rPr>
      </w:pPr>
      <w:r>
        <w:rPr>
          <w:rFonts w:hint="eastAsia" w:ascii="仿宋" w:hAnsi="仿宋" w:eastAsia="仿宋"/>
          <w:spacing w:val="0"/>
          <w:sz w:val="32"/>
        </w:rPr>
        <w:t>201</w:t>
      </w:r>
      <w:r>
        <w:rPr>
          <w:rFonts w:hint="eastAsia" w:ascii="仿宋" w:hAnsi="仿宋" w:eastAsia="仿宋"/>
          <w:spacing w:val="0"/>
          <w:sz w:val="32"/>
          <w:lang w:val="en-US" w:eastAsia="zh-CN"/>
        </w:rPr>
        <w:t>9</w:t>
      </w:r>
      <w:r>
        <w:rPr>
          <w:rFonts w:hint="eastAsia" w:ascii="仿宋" w:hAnsi="仿宋" w:eastAsia="仿宋"/>
          <w:spacing w:val="0"/>
          <w:sz w:val="32"/>
        </w:rPr>
        <w:t>年“三公”经费财政拨款支出决算中，因公出国（境）费支出决算0万元，占0%；公务用车购置及运行维护费支出决算0万元，占0%；公务接待费支出决算12.97万元，占99.77%。具体情况如下：</w:t>
      </w:r>
    </w:p>
    <w:p w14:paraId="2218E80D">
      <w:pPr>
        <w:pageBreakBefore w:val="0"/>
        <w:numPr>
          <w:ilvl w:val="0"/>
          <w:numId w:val="0"/>
        </w:numPr>
        <w:kinsoku/>
        <w:wordWrap/>
        <w:overflowPunct/>
        <w:topLinePunct w:val="0"/>
        <w:bidi w:val="0"/>
        <w:spacing w:line="576" w:lineRule="exact"/>
        <w:ind w:firstLine="643" w:firstLineChars="200"/>
        <w:rPr>
          <w:rFonts w:hint="eastAsia" w:ascii="仿宋" w:hAnsi="仿宋" w:eastAsia="仿宋"/>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因公出国（境）经费支出0万元</w:t>
      </w:r>
      <w:r>
        <w:rPr>
          <w:rFonts w:hint="eastAsia" w:ascii="仿宋_GB2312" w:eastAsia="仿宋_GB2312"/>
          <w:b/>
          <w:color w:val="000000"/>
          <w:sz w:val="32"/>
          <w:szCs w:val="32"/>
          <w:lang w:eastAsia="zh-CN"/>
        </w:rPr>
        <w:t>，</w:t>
      </w:r>
      <w:r>
        <w:rPr>
          <w:rFonts w:hint="eastAsia" w:ascii="仿宋" w:hAnsi="仿宋" w:eastAsia="仿宋"/>
          <w:color w:val="000000"/>
          <w:sz w:val="32"/>
          <w:szCs w:val="32"/>
        </w:rPr>
        <w:t>完成预算0%。全年安排因公出国（境）团组0次，出国（境）0人。</w:t>
      </w:r>
    </w:p>
    <w:p w14:paraId="60F98D6A">
      <w:pPr>
        <w:pageBreakBefore w:val="0"/>
        <w:numPr>
          <w:ilvl w:val="0"/>
          <w:numId w:val="0"/>
        </w:numPr>
        <w:kinsoku/>
        <w:wordWrap/>
        <w:overflowPunct/>
        <w:topLinePunct w:val="0"/>
        <w:bidi w:val="0"/>
        <w:spacing w:line="576"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 w:hAnsi="仿宋" w:eastAsia="仿宋"/>
          <w:b/>
          <w:color w:val="000000"/>
          <w:sz w:val="32"/>
          <w:szCs w:val="32"/>
          <w:lang w:val="en-US" w:eastAsia="zh-CN"/>
        </w:rPr>
        <w:t>0</w:t>
      </w:r>
      <w:r>
        <w:rPr>
          <w:rFonts w:hint="eastAsia" w:ascii="仿宋" w:hAnsi="仿宋" w:eastAsia="仿宋"/>
          <w:b/>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7C1AC50D">
      <w:pPr>
        <w:pageBreakBefore w:val="0"/>
        <w:kinsoku/>
        <w:wordWrap/>
        <w:overflowPunct/>
        <w:topLinePunct w:val="0"/>
        <w:bidi w:val="0"/>
        <w:spacing w:line="576" w:lineRule="exact"/>
        <w:ind w:firstLine="640"/>
        <w:rPr>
          <w:rFonts w:hint="eastAsia" w:ascii="仿宋" w:hAnsi="仿宋" w:eastAsia="仿宋"/>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b/>
          <w:color w:val="000000"/>
          <w:sz w:val="32"/>
          <w:szCs w:val="32"/>
        </w:rPr>
        <w:t>12.97万元，</w:t>
      </w:r>
      <w:r>
        <w:rPr>
          <w:rFonts w:hint="eastAsia" w:ascii="仿宋" w:hAnsi="仿宋" w:eastAsia="仿宋"/>
          <w:spacing w:val="-17"/>
          <w:sz w:val="32"/>
        </w:rPr>
        <w:t>完成预</w:t>
      </w:r>
      <w:r>
        <w:rPr>
          <w:rFonts w:hint="eastAsia" w:ascii="仿宋" w:hAnsi="仿宋" w:eastAsia="仿宋"/>
          <w:color w:val="000000"/>
          <w:sz w:val="32"/>
          <w:szCs w:val="32"/>
        </w:rPr>
        <w:t>算99.77%。公务接待费支出决算比2018年增加0.17万元，增长1.33%。主要原因是家居产业城招商引资，接待任务增加所致。</w:t>
      </w:r>
      <w:r>
        <w:rPr>
          <w:rFonts w:hint="eastAsia" w:ascii="仿宋" w:hAnsi="仿宋" w:eastAsia="仿宋"/>
          <w:color w:val="000000"/>
          <w:sz w:val="32"/>
          <w:szCs w:val="32"/>
          <w:lang w:val="en-US" w:eastAsia="zh-CN"/>
        </w:rPr>
        <w:t>其中：</w:t>
      </w:r>
    </w:p>
    <w:p w14:paraId="40820750">
      <w:pPr>
        <w:pageBreakBefore w:val="0"/>
        <w:kinsoku/>
        <w:wordWrap/>
        <w:overflowPunct/>
        <w:topLinePunct w:val="0"/>
        <w:bidi w:val="0"/>
        <w:spacing w:line="576" w:lineRule="exact"/>
        <w:ind w:firstLine="627" w:firstLineChars="200"/>
        <w:rPr>
          <w:rFonts w:ascii="仿宋_GB2312" w:eastAsia="仿宋_GB2312"/>
          <w:color w:val="000000"/>
          <w:sz w:val="32"/>
          <w:szCs w:val="32"/>
        </w:rPr>
      </w:pPr>
      <w:r>
        <w:rPr>
          <w:rFonts w:hint="eastAsia" w:ascii="仿宋" w:hAnsi="仿宋" w:eastAsia="仿宋"/>
          <w:b/>
          <w:spacing w:val="-4"/>
          <w:sz w:val="32"/>
        </w:rPr>
        <w:t>国内公务接待支出12.97万元，</w:t>
      </w:r>
      <w:r>
        <w:rPr>
          <w:rFonts w:hint="eastAsia" w:ascii="仿宋_GB2312" w:eastAsia="仿宋_GB2312"/>
          <w:color w:val="000000"/>
          <w:sz w:val="32"/>
          <w:szCs w:val="32"/>
        </w:rPr>
        <w:t>主要用于执行公务、开展业务活动开支的交通费、住宿费、用餐费等。国内公务接待具体内容包括：日常公务接待、招商引资接待</w:t>
      </w:r>
      <w:r>
        <w:rPr>
          <w:rFonts w:hint="eastAsia" w:ascii="仿宋_GB2312" w:eastAsia="仿宋_GB2312"/>
          <w:color w:val="000000"/>
          <w:sz w:val="32"/>
          <w:szCs w:val="32"/>
          <w:lang w:eastAsia="zh-CN"/>
        </w:rPr>
        <w:t>。</w:t>
      </w:r>
    </w:p>
    <w:p w14:paraId="21D7667A">
      <w:pPr>
        <w:pageBreakBefore w:val="0"/>
        <w:kinsoku/>
        <w:wordWrap/>
        <w:overflowPunct/>
        <w:topLinePunct w:val="0"/>
        <w:bidi w:val="0"/>
        <w:spacing w:line="576" w:lineRule="exact"/>
        <w:ind w:firstLine="627" w:firstLineChars="200"/>
        <w:rPr>
          <w:rFonts w:hint="eastAsia" w:ascii="仿宋" w:hAnsi="仿宋" w:eastAsia="仿宋"/>
          <w:b/>
          <w:spacing w:val="-4"/>
          <w:sz w:val="32"/>
          <w:lang w:eastAsia="zh-CN"/>
        </w:rPr>
      </w:pPr>
      <w:r>
        <w:rPr>
          <w:rFonts w:hint="eastAsia" w:ascii="仿宋" w:hAnsi="仿宋" w:eastAsia="仿宋"/>
          <w:b/>
          <w:spacing w:val="-4"/>
          <w:sz w:val="32"/>
        </w:rPr>
        <w:t>外事接待支出0万元</w:t>
      </w:r>
      <w:r>
        <w:rPr>
          <w:rFonts w:hint="eastAsia" w:ascii="仿宋" w:hAnsi="仿宋" w:eastAsia="仿宋"/>
          <w:b/>
          <w:spacing w:val="-4"/>
          <w:sz w:val="32"/>
          <w:lang w:eastAsia="zh-CN"/>
        </w:rPr>
        <w:t>。</w:t>
      </w:r>
    </w:p>
    <w:p w14:paraId="504C5F7A">
      <w:pPr>
        <w:pageBreakBefore w:val="0"/>
        <w:kinsoku/>
        <w:wordWrap/>
        <w:overflowPunct/>
        <w:topLinePunct w:val="0"/>
        <w:bidi w:val="0"/>
        <w:spacing w:line="576" w:lineRule="exact"/>
        <w:ind w:firstLine="627" w:firstLineChars="200"/>
        <w:rPr>
          <w:rFonts w:hint="eastAsia" w:ascii="仿宋" w:hAnsi="仿宋" w:eastAsia="仿宋"/>
          <w:b/>
          <w:spacing w:val="-4"/>
          <w:sz w:val="32"/>
          <w:lang w:eastAsia="zh-CN"/>
        </w:rPr>
      </w:pPr>
      <w:r>
        <w:rPr>
          <w:rFonts w:hint="eastAsia" w:ascii="仿宋" w:hAnsi="仿宋" w:eastAsia="仿宋"/>
          <w:b/>
          <w:spacing w:val="-4"/>
          <w:sz w:val="32"/>
        </w:rPr>
        <w:t>其他国内公务接待支出</w:t>
      </w:r>
      <w:r>
        <w:rPr>
          <w:rFonts w:hint="eastAsia" w:ascii="仿宋" w:hAnsi="仿宋" w:eastAsia="仿宋"/>
          <w:b/>
          <w:spacing w:val="-4"/>
          <w:sz w:val="32"/>
          <w:lang w:val="en-US" w:eastAsia="zh-CN"/>
        </w:rPr>
        <w:t>0</w:t>
      </w:r>
      <w:r>
        <w:rPr>
          <w:rFonts w:hint="eastAsia" w:ascii="仿宋" w:hAnsi="仿宋" w:eastAsia="仿宋"/>
          <w:b/>
          <w:spacing w:val="-4"/>
          <w:sz w:val="32"/>
        </w:rPr>
        <w:t>万元</w:t>
      </w:r>
      <w:r>
        <w:rPr>
          <w:rFonts w:hint="eastAsia" w:ascii="仿宋" w:hAnsi="仿宋" w:eastAsia="仿宋"/>
          <w:b/>
          <w:spacing w:val="-4"/>
          <w:sz w:val="32"/>
          <w:lang w:eastAsia="zh-CN"/>
        </w:rPr>
        <w:t>。</w:t>
      </w:r>
    </w:p>
    <w:p w14:paraId="6B86CB1C">
      <w:pPr>
        <w:pageBreakBefore w:val="0"/>
        <w:kinsoku/>
        <w:wordWrap/>
        <w:overflowPunct/>
        <w:topLinePunct w:val="0"/>
        <w:bidi w:val="0"/>
        <w:spacing w:line="576" w:lineRule="exact"/>
        <w:ind w:firstLine="640" w:firstLineChars="200"/>
        <w:outlineLvl w:val="1"/>
        <w:rPr>
          <w:rStyle w:val="20"/>
          <w:rFonts w:ascii="黑体" w:hAnsi="黑体" w:eastAsia="黑体"/>
        </w:rPr>
      </w:pPr>
      <w:bookmarkStart w:id="38" w:name="_Toc15396610"/>
      <w:bookmarkStart w:id="39" w:name="_Toc15377218"/>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38"/>
      <w:bookmarkEnd w:id="39"/>
    </w:p>
    <w:p w14:paraId="0F3AE0C8">
      <w:pPr>
        <w:pageBreakBefore w:val="0"/>
        <w:kinsoku/>
        <w:wordWrap/>
        <w:overflowPunct/>
        <w:topLinePunct w:val="0"/>
        <w:bidi w:val="0"/>
        <w:spacing w:line="576" w:lineRule="exact"/>
        <w:ind w:firstLine="640"/>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年政府性基金预算拨款支出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14:paraId="5DEF544B">
      <w:pPr>
        <w:pageBreakBefore w:val="0"/>
        <w:numPr>
          <w:ilvl w:val="0"/>
          <w:numId w:val="2"/>
        </w:numPr>
        <w:kinsoku/>
        <w:wordWrap/>
        <w:overflowPunct/>
        <w:topLinePunct w:val="0"/>
        <w:bidi w:val="0"/>
        <w:spacing w:line="576" w:lineRule="exact"/>
        <w:ind w:firstLine="640"/>
        <w:outlineLvl w:val="1"/>
        <w:rPr>
          <w:rStyle w:val="20"/>
          <w:rFonts w:ascii="黑体" w:hAnsi="黑体" w:eastAsia="黑体"/>
          <w:b w:val="0"/>
        </w:rPr>
      </w:pPr>
      <w:bookmarkStart w:id="40" w:name="_Toc15396611"/>
      <w:bookmarkStart w:id="41" w:name="_Toc15377219"/>
      <w:r>
        <w:rPr>
          <w:rStyle w:val="20"/>
          <w:rFonts w:hint="eastAsia" w:ascii="黑体" w:hAnsi="黑体" w:eastAsia="黑体"/>
          <w:b w:val="0"/>
        </w:rPr>
        <w:t>国有资本经营预算支出决算情况说明</w:t>
      </w:r>
      <w:bookmarkEnd w:id="40"/>
      <w:bookmarkEnd w:id="41"/>
    </w:p>
    <w:p w14:paraId="4D31E9AD">
      <w:pPr>
        <w:pageBreakBefore w:val="0"/>
        <w:kinsoku/>
        <w:wordWrap/>
        <w:overflowPunct/>
        <w:topLinePunct w:val="0"/>
        <w:bidi w:val="0"/>
        <w:spacing w:line="576" w:lineRule="exact"/>
        <w:ind w:firstLine="640"/>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年国有资本经营预算拨款支出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14:paraId="6C89DD2E">
      <w:pPr>
        <w:pStyle w:val="29"/>
        <w:pageBreakBefore w:val="0"/>
        <w:numPr>
          <w:ilvl w:val="0"/>
          <w:numId w:val="3"/>
        </w:numPr>
        <w:kinsoku/>
        <w:wordWrap/>
        <w:overflowPunct/>
        <w:topLinePunct w:val="0"/>
        <w:bidi w:val="0"/>
        <w:spacing w:line="576" w:lineRule="exact"/>
        <w:ind w:firstLineChars="0"/>
        <w:rPr>
          <w:rStyle w:val="20"/>
          <w:rFonts w:ascii="黑体" w:hAnsi="黑体" w:eastAsia="黑体"/>
          <w:b w:val="0"/>
        </w:rPr>
      </w:pPr>
      <w:r>
        <w:rPr>
          <w:rStyle w:val="20"/>
          <w:rFonts w:hint="eastAsia" w:ascii="黑体" w:hAnsi="黑体" w:eastAsia="黑体"/>
          <w:b w:val="0"/>
        </w:rPr>
        <w:t>预算绩效情况说明</w:t>
      </w:r>
    </w:p>
    <w:p w14:paraId="1F6A4F2C">
      <w:pPr>
        <w:pageBreakBefore w:val="0"/>
        <w:numPr>
          <w:ilvl w:val="0"/>
          <w:numId w:val="4"/>
        </w:numPr>
        <w:kinsoku/>
        <w:wordWrap/>
        <w:overflowPunct/>
        <w:topLinePunct w:val="0"/>
        <w:bidi w:val="0"/>
        <w:spacing w:line="576"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06A3E2E2">
      <w:pPr>
        <w:pageBreakBefore w:val="0"/>
        <w:kinsoku/>
        <w:wordWrap/>
        <w:overflowPunct/>
        <w:topLinePunct w:val="0"/>
        <w:bidi w:val="0"/>
        <w:spacing w:line="576" w:lineRule="exact"/>
        <w:ind w:firstLine="640"/>
        <w:rPr>
          <w:rFonts w:hint="eastAsia" w:ascii="仿宋" w:hAnsi="仿宋" w:eastAsia="仿宋"/>
          <w:color w:val="000000"/>
          <w:sz w:val="32"/>
          <w:szCs w:val="32"/>
        </w:rPr>
      </w:pPr>
      <w:r>
        <w:rPr>
          <w:rFonts w:hint="eastAsia" w:ascii="仿宋" w:hAnsi="仿宋" w:eastAsia="仿宋"/>
          <w:color w:val="000000"/>
          <w:sz w:val="32"/>
          <w:szCs w:val="32"/>
        </w:rPr>
        <w:t>根据预算绩效管理要求，本部门在年初预算编制阶段，组织对</w:t>
      </w:r>
      <w:r>
        <w:rPr>
          <w:rFonts w:hint="eastAsia" w:ascii="仿宋" w:hAnsi="仿宋" w:eastAsia="仿宋"/>
          <w:color w:val="000000"/>
          <w:sz w:val="32"/>
          <w:szCs w:val="32"/>
          <w:lang w:val="en-US" w:eastAsia="zh-CN"/>
        </w:rPr>
        <w:t>科技推广与产业发展</w:t>
      </w:r>
      <w:r>
        <w:rPr>
          <w:rFonts w:hint="eastAsia" w:ascii="仿宋" w:hAnsi="仿宋" w:eastAsia="仿宋"/>
          <w:color w:val="000000"/>
          <w:sz w:val="32"/>
          <w:szCs w:val="32"/>
        </w:rPr>
        <w:t>项目开展了预算事前绩效评估，对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个项目开展了绩效目标完成情况梳理填报。</w:t>
      </w:r>
    </w:p>
    <w:p w14:paraId="54AAF0E5">
      <w:pPr>
        <w:pageBreakBefore w:val="0"/>
        <w:kinsoku/>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我局对各工作的开展有了更深层次的了解，对各项目工作的年初预算控制数有一个总体把握，增强了绩效管理理念，促进了财政资金分配和使用更加科学有效，提高我局资金的使用效益。</w:t>
      </w:r>
    </w:p>
    <w:p w14:paraId="5E134F5F">
      <w:pPr>
        <w:pageBreakBefore w:val="0"/>
        <w:kinsoku/>
        <w:wordWrap/>
        <w:overflowPunct/>
        <w:topLinePunct w:val="0"/>
        <w:bidi w:val="0"/>
        <w:spacing w:line="576" w:lineRule="exact"/>
        <w:ind w:left="638" w:leftChars="304" w:firstLine="0" w:firstLineChars="0"/>
        <w:rPr>
          <w:rFonts w:hint="eastAsia"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年度部门决算中反映“科技推广与产业</w:t>
      </w:r>
    </w:p>
    <w:p w14:paraId="6725BF8F">
      <w:pPr>
        <w:pageBreakBefore w:val="0"/>
        <w:kinsoku/>
        <w:wordWrap/>
        <w:overflowPunct/>
        <w:topLinePunct w:val="0"/>
        <w:bidi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发展”项目绩效目标实际完成情况。</w:t>
      </w:r>
    </w:p>
    <w:p w14:paraId="61EB795E">
      <w:pPr>
        <w:pageBreakBefore w:val="0"/>
        <w:numPr>
          <w:ilvl w:val="0"/>
          <w:numId w:val="0"/>
        </w:numPr>
        <w:kinsoku/>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推广与产业发展”项目绩效目标完成情况综述。项目全年预算数18万元，执行数为18万元，完成预算的100%。通过项目实施，有效提高了科技服务业服务效果，有效增强产业与社会发展的创新能力和核心竞争力。有效促进科技服务业多元化发展。发现的主要问题：目标实际完成值受年度统计时限影响，暂时无法提供客观的评价结论。下一步改进措施：对于实施跨度大的项目，待项目完成后，再开展项目完成绩效评价，更能准确、客观体现项目实施绩效。</w:t>
      </w:r>
    </w:p>
    <w:p w14:paraId="37A36A22">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38"/>
        <w:gridCol w:w="1219"/>
        <w:gridCol w:w="1025"/>
        <w:gridCol w:w="2392"/>
        <w:gridCol w:w="2394"/>
        <w:gridCol w:w="2392"/>
      </w:tblGrid>
      <w:tr w14:paraId="5587F875">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578C4C63">
            <w:pPr>
              <w:pStyle w:val="29"/>
              <w:pageBreakBefore w:val="0"/>
              <w:widowControl/>
              <w:kinsoku/>
              <w:wordWrap/>
              <w:overflowPunct/>
              <w:topLinePunct w:val="0"/>
              <w:bidi w:val="0"/>
              <w:spacing w:line="576" w:lineRule="exact"/>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79A96252">
        <w:tblPrEx>
          <w:tblCellMar>
            <w:top w:w="0" w:type="dxa"/>
            <w:left w:w="0" w:type="dxa"/>
            <w:bottom w:w="0" w:type="dxa"/>
            <w:right w:w="0" w:type="dxa"/>
          </w:tblCellMar>
        </w:tblPrEx>
        <w:trPr>
          <w:trHeight w:val="49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FDEC09">
            <w:pPr>
              <w:pageBreakBefore w:val="0"/>
              <w:widowControl/>
              <w:kinsoku/>
              <w:wordWrap/>
              <w:overflowPunct/>
              <w:topLinePunct w:val="0"/>
              <w:bidi w:val="0"/>
              <w:spacing w:line="576" w:lineRule="exact"/>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623C8C">
            <w:pPr>
              <w:pStyle w:val="32"/>
              <w:pageBreakBefore w:val="0"/>
              <w:kinsoku/>
              <w:wordWrap/>
              <w:overflowPunct/>
              <w:topLinePunct w:val="0"/>
              <w:bidi w:val="0"/>
              <w:spacing w:beforeLines="0" w:afterLines="0" w:line="576" w:lineRule="exact"/>
              <w:ind w:left="2128" w:leftChars="0" w:right="2119" w:rightChars="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科技推广与产业发展</w:t>
            </w:r>
          </w:p>
        </w:tc>
      </w:tr>
      <w:tr w14:paraId="3194BF43">
        <w:tblPrEx>
          <w:tblCellMar>
            <w:top w:w="0" w:type="dxa"/>
            <w:left w:w="0" w:type="dxa"/>
            <w:bottom w:w="0" w:type="dxa"/>
            <w:right w:w="0" w:type="dxa"/>
          </w:tblCellMar>
        </w:tblPrEx>
        <w:trPr>
          <w:trHeight w:val="417"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3AA76C">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71BD61">
            <w:pPr>
              <w:pStyle w:val="32"/>
              <w:pageBreakBefore w:val="0"/>
              <w:kinsoku/>
              <w:wordWrap/>
              <w:overflowPunct/>
              <w:topLinePunct w:val="0"/>
              <w:bidi w:val="0"/>
              <w:spacing w:beforeLines="0" w:afterLines="0" w:line="576" w:lineRule="exact"/>
              <w:ind w:left="1908" w:leftChars="0"/>
              <w:jc w:val="both"/>
              <w:rPr>
                <w:rFonts w:ascii="宋体" w:cs="宋体"/>
                <w:color w:val="000000"/>
                <w:sz w:val="24"/>
              </w:rPr>
            </w:pPr>
            <w:r>
              <w:rPr>
                <w:rFonts w:hint="eastAsia"/>
                <w:sz w:val="24"/>
              </w:rPr>
              <w:t>昭化区经济信息化和科学技术局</w:t>
            </w:r>
          </w:p>
        </w:tc>
      </w:tr>
      <w:tr w14:paraId="6618E4DD">
        <w:tblPrEx>
          <w:tblCellMar>
            <w:top w:w="0" w:type="dxa"/>
            <w:left w:w="0" w:type="dxa"/>
            <w:bottom w:w="0" w:type="dxa"/>
            <w:right w:w="0" w:type="dxa"/>
          </w:tblCellMar>
        </w:tblPrEx>
        <w:trPr>
          <w:trHeight w:val="276" w:hRule="atLeast"/>
        </w:trPr>
        <w:tc>
          <w:tcPr>
            <w:tcW w:w="5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CDA76C">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2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58D08C">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2A5538A2">
            <w:pPr>
              <w:pStyle w:val="32"/>
              <w:pageBreakBefore w:val="0"/>
              <w:kinsoku/>
              <w:wordWrap/>
              <w:overflowPunct/>
              <w:topLinePunct w:val="0"/>
              <w:bidi w:val="0"/>
              <w:spacing w:beforeLines="0" w:afterLines="0" w:line="576" w:lineRule="exact"/>
              <w:ind w:right="1064" w:rightChars="0"/>
              <w:jc w:val="right"/>
              <w:rPr>
                <w:rFonts w:ascii="宋体" w:cs="宋体"/>
                <w:color w:val="000000"/>
                <w:sz w:val="24"/>
              </w:rPr>
            </w:pPr>
            <w:r>
              <w:rPr>
                <w:rFonts w:hint="eastAsia"/>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55153AC8">
            <w:pPr>
              <w:pStyle w:val="32"/>
              <w:pageBreakBefore w:val="0"/>
              <w:kinsoku/>
              <w:wordWrap/>
              <w:overflowPunct/>
              <w:topLinePunct w:val="0"/>
              <w:bidi w:val="0"/>
              <w:spacing w:beforeLines="0" w:afterLines="0" w:line="576" w:lineRule="exact"/>
              <w:ind w:left="13" w:leftChars="0" w:right="4" w:rightChars="0"/>
              <w:jc w:val="center"/>
              <w:rPr>
                <w:rFonts w:ascii="宋体" w:cs="宋体"/>
                <w:color w:val="000000"/>
                <w:sz w:val="24"/>
              </w:rPr>
            </w:pPr>
            <w:r>
              <w:rPr>
                <w:rFonts w:hint="eastAsia"/>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2A29140D">
            <w:pPr>
              <w:pStyle w:val="32"/>
              <w:pageBreakBefore w:val="0"/>
              <w:kinsoku/>
              <w:wordWrap/>
              <w:overflowPunct/>
              <w:topLinePunct w:val="0"/>
              <w:bidi w:val="0"/>
              <w:spacing w:beforeLines="0" w:afterLines="0" w:line="576" w:lineRule="exact"/>
              <w:ind w:left="1075" w:leftChars="0"/>
              <w:rPr>
                <w:rFonts w:ascii="宋体" w:cs="宋体"/>
                <w:color w:val="000000"/>
                <w:sz w:val="24"/>
              </w:rPr>
            </w:pPr>
            <w:r>
              <w:rPr>
                <w:rFonts w:hint="eastAsia"/>
                <w:sz w:val="24"/>
              </w:rPr>
              <w:t>18</w:t>
            </w:r>
          </w:p>
        </w:tc>
      </w:tr>
      <w:tr w14:paraId="6F8FE54A">
        <w:tblPrEx>
          <w:tblCellMar>
            <w:top w:w="0" w:type="dxa"/>
            <w:left w:w="0" w:type="dxa"/>
            <w:bottom w:w="0" w:type="dxa"/>
            <w:right w:w="0" w:type="dxa"/>
          </w:tblCellMar>
        </w:tblPrEx>
        <w:trPr>
          <w:trHeight w:val="276"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4CD0F1A9">
            <w:pPr>
              <w:pageBreakBefore w:val="0"/>
              <w:widowControl/>
              <w:kinsoku/>
              <w:wordWrap/>
              <w:overflowPunct/>
              <w:topLinePunct w:val="0"/>
              <w:bidi w:val="0"/>
              <w:spacing w:line="576" w:lineRule="exact"/>
              <w:jc w:val="left"/>
              <w:rPr>
                <w:rFonts w:ascii="宋体" w:cs="宋体"/>
                <w:color w:val="000000"/>
                <w:sz w:val="24"/>
              </w:rPr>
            </w:pPr>
          </w:p>
        </w:tc>
        <w:tc>
          <w:tcPr>
            <w:tcW w:w="22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C4DBD3">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72F4FDDE">
            <w:pPr>
              <w:pStyle w:val="32"/>
              <w:pageBreakBefore w:val="0"/>
              <w:kinsoku/>
              <w:wordWrap/>
              <w:overflowPunct/>
              <w:topLinePunct w:val="0"/>
              <w:bidi w:val="0"/>
              <w:spacing w:beforeLines="0" w:afterLines="0" w:line="576" w:lineRule="exact"/>
              <w:ind w:right="1064" w:rightChars="0"/>
              <w:jc w:val="right"/>
              <w:rPr>
                <w:rFonts w:ascii="宋体" w:cs="宋体"/>
                <w:color w:val="000000"/>
                <w:sz w:val="24"/>
              </w:rPr>
            </w:pPr>
            <w:r>
              <w:rPr>
                <w:rFonts w:hint="eastAsia"/>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65217A36">
            <w:pPr>
              <w:pStyle w:val="32"/>
              <w:pageBreakBefore w:val="0"/>
              <w:kinsoku/>
              <w:wordWrap/>
              <w:overflowPunct/>
              <w:topLinePunct w:val="0"/>
              <w:bidi w:val="0"/>
              <w:spacing w:beforeLines="0" w:afterLines="0" w:line="576" w:lineRule="exact"/>
              <w:ind w:left="13" w:leftChars="0" w:right="4" w:rightChars="0"/>
              <w:jc w:val="center"/>
              <w:rPr>
                <w:rFonts w:ascii="宋体" w:cs="宋体"/>
                <w:color w:val="000000"/>
                <w:sz w:val="24"/>
              </w:rPr>
            </w:pPr>
            <w:r>
              <w:rPr>
                <w:rFonts w:hint="eastAsia"/>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FE16EEA">
            <w:pPr>
              <w:pStyle w:val="32"/>
              <w:pageBreakBefore w:val="0"/>
              <w:kinsoku/>
              <w:wordWrap/>
              <w:overflowPunct/>
              <w:topLinePunct w:val="0"/>
              <w:bidi w:val="0"/>
              <w:spacing w:beforeLines="0" w:afterLines="0" w:line="576" w:lineRule="exact"/>
              <w:ind w:left="1075" w:leftChars="0"/>
              <w:rPr>
                <w:rFonts w:ascii="宋体" w:cs="宋体"/>
                <w:color w:val="000000"/>
                <w:sz w:val="24"/>
              </w:rPr>
            </w:pPr>
            <w:r>
              <w:rPr>
                <w:rFonts w:hint="eastAsia"/>
                <w:sz w:val="24"/>
              </w:rPr>
              <w:t>18</w:t>
            </w:r>
          </w:p>
        </w:tc>
      </w:tr>
      <w:tr w14:paraId="5A3CBD91">
        <w:tblPrEx>
          <w:tblCellMar>
            <w:top w:w="0" w:type="dxa"/>
            <w:left w:w="0" w:type="dxa"/>
            <w:bottom w:w="0" w:type="dxa"/>
            <w:right w:w="0" w:type="dxa"/>
          </w:tblCellMar>
        </w:tblPrEx>
        <w:trPr>
          <w:trHeight w:val="90"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5657381C">
            <w:pPr>
              <w:pageBreakBefore w:val="0"/>
              <w:widowControl/>
              <w:kinsoku/>
              <w:wordWrap/>
              <w:overflowPunct/>
              <w:topLinePunct w:val="0"/>
              <w:bidi w:val="0"/>
              <w:spacing w:line="576" w:lineRule="exact"/>
              <w:jc w:val="left"/>
              <w:rPr>
                <w:rFonts w:ascii="宋体" w:cs="宋体"/>
                <w:color w:val="000000"/>
                <w:sz w:val="24"/>
              </w:rPr>
            </w:pPr>
          </w:p>
        </w:tc>
        <w:tc>
          <w:tcPr>
            <w:tcW w:w="22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3B1D79">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6333A6">
            <w:pPr>
              <w:pageBreakBefore w:val="0"/>
              <w:widowControl/>
              <w:kinsoku/>
              <w:wordWrap/>
              <w:overflowPunct/>
              <w:topLinePunct w:val="0"/>
              <w:bidi w:val="0"/>
              <w:spacing w:line="576" w:lineRule="exact"/>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9766D0">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302DA2">
            <w:pPr>
              <w:pageBreakBefore w:val="0"/>
              <w:kinsoku/>
              <w:wordWrap/>
              <w:overflowPunct/>
              <w:topLinePunct w:val="0"/>
              <w:bidi w:val="0"/>
              <w:spacing w:line="576" w:lineRule="exact"/>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58411AD9">
        <w:tblPrEx>
          <w:tblCellMar>
            <w:top w:w="0" w:type="dxa"/>
            <w:left w:w="0" w:type="dxa"/>
            <w:bottom w:w="0" w:type="dxa"/>
            <w:right w:w="0" w:type="dxa"/>
          </w:tblCellMar>
        </w:tblPrEx>
        <w:trPr>
          <w:trHeight w:val="276" w:hRule="atLeast"/>
        </w:trPr>
        <w:tc>
          <w:tcPr>
            <w:tcW w:w="5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51A55E">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6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149FA3">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F56C41">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14:paraId="3AC4A277">
        <w:tblPrEx>
          <w:tblCellMar>
            <w:top w:w="0" w:type="dxa"/>
            <w:left w:w="0" w:type="dxa"/>
            <w:bottom w:w="0" w:type="dxa"/>
            <w:right w:w="0" w:type="dxa"/>
          </w:tblCellMar>
        </w:tblPrEx>
        <w:trPr>
          <w:trHeight w:val="1159"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79BA4D21">
            <w:pPr>
              <w:pageBreakBefore w:val="0"/>
              <w:widowControl/>
              <w:kinsoku/>
              <w:wordWrap/>
              <w:overflowPunct/>
              <w:topLinePunct w:val="0"/>
              <w:bidi w:val="0"/>
              <w:spacing w:line="576" w:lineRule="exact"/>
              <w:jc w:val="left"/>
              <w:rPr>
                <w:rFonts w:ascii="宋体" w:cs="宋体"/>
                <w:color w:val="000000"/>
                <w:sz w:val="24"/>
              </w:rPr>
            </w:pPr>
          </w:p>
        </w:tc>
        <w:tc>
          <w:tcPr>
            <w:tcW w:w="46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E0D938">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围绕我区建设创新型城市的目标，建立面向需求、公共服务能力需强化的专业技术服务平台，鼓励建设科技企业孵化器，完善专业技术服务链，加快科技创新创业平台建设，增强自主创新能力；地一个以上，培训一批技术人员及农民群众；基地开展科普活动10期以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D236A6">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围绕我区建设创新型城市的目标，建立面向需求、公共服务能力需强化的专业技术服务平台，鼓励建设科技企业孵化器，完善专业技术服务链，加快科技创新创业平台建设，增强自主创新能力；地一个以上，培训一批技术人员及农民群众；基地开展科普活动10期以上。</w:t>
            </w:r>
          </w:p>
        </w:tc>
      </w:tr>
      <w:tr w14:paraId="2A5B9C32">
        <w:tblPrEx>
          <w:tblCellMar>
            <w:top w:w="0" w:type="dxa"/>
            <w:left w:w="0" w:type="dxa"/>
            <w:bottom w:w="0" w:type="dxa"/>
            <w:right w:w="0" w:type="dxa"/>
          </w:tblCellMar>
        </w:tblPrEx>
        <w:trPr>
          <w:trHeight w:val="1042" w:hRule="atLeast"/>
        </w:trPr>
        <w:tc>
          <w:tcPr>
            <w:tcW w:w="5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16EF69">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157458">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307BB9">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26531">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DD8EFD">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A90216">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2ECAE44A">
        <w:tblPrEx>
          <w:tblCellMar>
            <w:top w:w="0" w:type="dxa"/>
            <w:left w:w="0" w:type="dxa"/>
            <w:bottom w:w="0" w:type="dxa"/>
            <w:right w:w="0" w:type="dxa"/>
          </w:tblCellMar>
        </w:tblPrEx>
        <w:trPr>
          <w:trHeight w:val="953"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1D994D84">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11970B">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8FC84E">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项目产出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C8AE90">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优化产业结构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7326F33">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3" w:leftChars="0" w:right="4" w:rightChars="0" w:firstLine="2"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培育发展一批优势特色产业，形成新的增长点。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4140B974">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4" w:leftChars="0"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培育发展一批优势特色产业，形成新的增长点。</w:t>
            </w:r>
          </w:p>
        </w:tc>
      </w:tr>
      <w:tr w14:paraId="6E50B910">
        <w:tblPrEx>
          <w:tblCellMar>
            <w:top w:w="0" w:type="dxa"/>
            <w:left w:w="0" w:type="dxa"/>
            <w:bottom w:w="0" w:type="dxa"/>
            <w:right w:w="0" w:type="dxa"/>
          </w:tblCellMar>
        </w:tblPrEx>
        <w:trPr>
          <w:trHeight w:val="1014"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4FBFAA16">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115EAE">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5B7398AC">
            <w:pPr>
              <w:pStyle w:val="32"/>
              <w:keepNext w:val="0"/>
              <w:keepLines w:val="0"/>
              <w:pageBreakBefore w:val="0"/>
              <w:kinsoku/>
              <w:wordWrap/>
              <w:overflowPunct/>
              <w:topLinePunct w:val="0"/>
              <w:autoSpaceDE/>
              <w:autoSpaceDN/>
              <w:bidi w:val="0"/>
              <w:adjustRightInd/>
              <w:snapToGrid/>
              <w:spacing w:beforeLines="0" w:afterLines="0" w:line="300" w:lineRule="atLeast"/>
              <w:rPr>
                <w:rFonts w:hint="eastAsia" w:ascii="宋体" w:hAnsi="宋体" w:eastAsia="宋体" w:cs="宋体"/>
                <w:color w:val="000000"/>
                <w:kern w:val="0"/>
                <w:sz w:val="24"/>
                <w:szCs w:val="24"/>
                <w:lang w:val="en-US" w:eastAsia="zh-CN" w:bidi="ar-SA"/>
              </w:rPr>
            </w:pPr>
          </w:p>
          <w:p w14:paraId="54386E47">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项目产出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0A0A2718">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textAlignment w:val="auto"/>
              <w:rPr>
                <w:rFonts w:hint="eastAsia" w:ascii="宋体" w:hAnsi="宋体" w:eastAsia="宋体" w:cs="宋体"/>
                <w:color w:val="000000"/>
                <w:kern w:val="0"/>
                <w:sz w:val="24"/>
                <w:szCs w:val="24"/>
                <w:lang w:val="en-US" w:eastAsia="zh-CN" w:bidi="ar-SA"/>
              </w:rPr>
            </w:pPr>
          </w:p>
          <w:p w14:paraId="206BF865">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2" w:leftChars="0"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优化产业结构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74BC885A">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3" w:leftChars="0" w:right="4"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实施中药材、蔬菜、核桃、猕猴桃等产业技术支撑示范项目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321779E">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4" w:leftChars="0"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实施中药材、蔬菜、核桃、猕猴桃等产业技术支撑示范项目</w:t>
            </w:r>
          </w:p>
        </w:tc>
      </w:tr>
      <w:tr w14:paraId="3C2A38E1">
        <w:tblPrEx>
          <w:tblCellMar>
            <w:top w:w="0" w:type="dxa"/>
            <w:left w:w="0" w:type="dxa"/>
            <w:bottom w:w="0" w:type="dxa"/>
            <w:right w:w="0" w:type="dxa"/>
          </w:tblCellMar>
        </w:tblPrEx>
        <w:trPr>
          <w:trHeight w:val="1042"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6FA0A371">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8E5B10">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B53AE2">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0E9F6E58">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textAlignment w:val="auto"/>
              <w:rPr>
                <w:rFonts w:hint="eastAsia" w:ascii="宋体" w:hAnsi="宋体" w:eastAsia="宋体" w:cs="宋体"/>
                <w:color w:val="000000"/>
                <w:kern w:val="0"/>
                <w:sz w:val="24"/>
                <w:szCs w:val="24"/>
                <w:lang w:val="en-US" w:eastAsia="zh-CN" w:bidi="ar-SA"/>
              </w:rPr>
            </w:pPr>
          </w:p>
          <w:p w14:paraId="2389C756">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461" w:leftChars="0" w:right="29" w:rightChars="0" w:hanging="420" w:firstLineChars="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建立示范基地、示范推广新品种、新技术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63E3E2D">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42" w:right="3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点解决制约我区工业、农业、民生、专利产业化等领域发展的重大、关键技术难题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1DE1A4FA">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41" w:right="29"/>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点解决制约我区工业、农业、民生、专利产业化等领域发展的重大、关键技术难题</w:t>
            </w:r>
          </w:p>
        </w:tc>
      </w:tr>
      <w:tr w14:paraId="23894043">
        <w:tblPrEx>
          <w:tblCellMar>
            <w:top w:w="0" w:type="dxa"/>
            <w:left w:w="0" w:type="dxa"/>
            <w:bottom w:w="0" w:type="dxa"/>
            <w:right w:w="0" w:type="dxa"/>
          </w:tblCellMar>
        </w:tblPrEx>
        <w:trPr>
          <w:trHeight w:val="992"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0E062015">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646CF3">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8153C">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741C42">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29"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有效增强产业与社会发展的创新能力和核心竞争力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39F155">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6"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对促进我区经济结构调整和转型起到了关键支撑作用。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247E8A">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对促进我区经济结构调整和转型起到了关键支撑作用。</w:t>
            </w:r>
          </w:p>
        </w:tc>
      </w:tr>
      <w:tr w14:paraId="7F93FC84">
        <w:tblPrEx>
          <w:tblCellMar>
            <w:top w:w="0" w:type="dxa"/>
            <w:left w:w="0" w:type="dxa"/>
            <w:bottom w:w="0" w:type="dxa"/>
            <w:right w:w="0" w:type="dxa"/>
          </w:tblCellMar>
        </w:tblPrEx>
        <w:trPr>
          <w:trHeight w:val="810"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07BE2628">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ABBD05">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E1C0B9">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政府满意度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CF66D0">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政府满意度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427A5126">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jc w:val="center"/>
              <w:textAlignment w:val="auto"/>
              <w:rPr>
                <w:rFonts w:hint="eastAsia" w:ascii="宋体" w:hAnsi="宋体" w:eastAsia="宋体" w:cs="宋体"/>
                <w:color w:val="000000"/>
                <w:kern w:val="0"/>
                <w:sz w:val="24"/>
                <w:szCs w:val="24"/>
                <w:lang w:val="en-US" w:eastAsia="zh-CN" w:bidi="ar-SA"/>
              </w:rPr>
            </w:pPr>
          </w:p>
          <w:p w14:paraId="07A14FDC">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3" w:leftChars="0" w:right="4"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E5632BB">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jc w:val="center"/>
              <w:textAlignment w:val="auto"/>
              <w:rPr>
                <w:rFonts w:hint="eastAsia" w:ascii="宋体" w:hAnsi="宋体" w:eastAsia="宋体" w:cs="宋体"/>
                <w:color w:val="000000"/>
                <w:kern w:val="0"/>
                <w:sz w:val="24"/>
                <w:szCs w:val="24"/>
                <w:lang w:val="en-US" w:eastAsia="zh-CN" w:bidi="ar-SA"/>
              </w:rPr>
            </w:pPr>
          </w:p>
          <w:p w14:paraId="67B805F3">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2" w:leftChars="0"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100%</w:t>
            </w:r>
          </w:p>
        </w:tc>
      </w:tr>
    </w:tbl>
    <w:p w14:paraId="3B391E6B">
      <w:pPr>
        <w:pageBreakBefore w:val="0"/>
        <w:kinsoku/>
        <w:wordWrap/>
        <w:overflowPunct/>
        <w:topLinePunct w:val="0"/>
        <w:bidi w:val="0"/>
        <w:spacing w:line="576" w:lineRule="exact"/>
        <w:rPr>
          <w:rFonts w:ascii="Calibri" w:hAnsi="Calibri"/>
        </w:rPr>
      </w:pPr>
    </w:p>
    <w:p w14:paraId="25B18853">
      <w:pPr>
        <w:pageBreakBefore w:val="0"/>
        <w:kinsoku/>
        <w:wordWrap/>
        <w:overflowPunct/>
        <w:topLinePunct w:val="0"/>
        <w:bidi w:val="0"/>
        <w:spacing w:line="576" w:lineRule="exact"/>
        <w:rPr>
          <w:rFonts w:ascii="仿宋_GB2312" w:hAnsi="仿宋_GB2312" w:eastAsia="仿宋_GB2312" w:cs="仿宋_GB2312"/>
          <w:sz w:val="32"/>
          <w:szCs w:val="32"/>
        </w:rPr>
      </w:pPr>
    </w:p>
    <w:p w14:paraId="255120DC">
      <w:pPr>
        <w:pageBreakBefore w:val="0"/>
        <w:numPr>
          <w:ilvl w:val="0"/>
          <w:numId w:val="4"/>
        </w:numPr>
        <w:kinsoku/>
        <w:wordWrap/>
        <w:overflowPunct/>
        <w:topLinePunct w:val="0"/>
        <w:bidi w:val="0"/>
        <w:spacing w:line="576"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4564125D">
      <w:pPr>
        <w:pageBreakBefore w:val="0"/>
        <w:kinsoku/>
        <w:wordWrap/>
        <w:overflowPunct/>
        <w:topLinePunct w:val="0"/>
        <w:bidi w:val="0"/>
        <w:spacing w:line="576"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年部门整体支出绩效评价情况开展自评，《区经信和科技局201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14:paraId="2A8241C5">
      <w:pPr>
        <w:pageBreakBefore w:val="0"/>
        <w:kinsoku/>
        <w:wordWrap/>
        <w:overflowPunct/>
        <w:topLinePunct w:val="0"/>
        <w:bidi w:val="0"/>
        <w:spacing w:line="576" w:lineRule="exact"/>
        <w:ind w:firstLine="800" w:firstLineChars="250"/>
        <w:outlineLvl w:val="1"/>
        <w:rPr>
          <w:rStyle w:val="20"/>
          <w:rFonts w:ascii="黑体" w:hAnsi="黑体" w:eastAsia="黑体"/>
        </w:rPr>
      </w:pPr>
      <w:bookmarkStart w:id="42" w:name="_Toc15396612"/>
      <w:bookmarkStart w:id="43" w:name="_Toc15377221"/>
      <w:r>
        <w:rPr>
          <w:rFonts w:hint="eastAsia" w:ascii="黑体" w:hAnsi="黑体" w:eastAsia="黑体"/>
          <w:color w:val="000000"/>
          <w:sz w:val="32"/>
          <w:szCs w:val="32"/>
        </w:rPr>
        <w:t>十</w:t>
      </w:r>
      <w:r>
        <w:rPr>
          <w:rStyle w:val="20"/>
          <w:rFonts w:hint="eastAsia" w:ascii="黑体" w:hAnsi="黑体" w:eastAsia="黑体"/>
        </w:rPr>
        <w:t>一、</w:t>
      </w:r>
      <w:r>
        <w:rPr>
          <w:rStyle w:val="20"/>
          <w:rFonts w:hint="eastAsia" w:ascii="黑体" w:hAnsi="黑体" w:eastAsia="黑体"/>
          <w:b w:val="0"/>
        </w:rPr>
        <w:t>其他重要事项的情况说明</w:t>
      </w:r>
      <w:bookmarkEnd w:id="42"/>
      <w:bookmarkEnd w:id="43"/>
    </w:p>
    <w:p w14:paraId="43C0D6CE">
      <w:pPr>
        <w:pageBreakBefore w:val="0"/>
        <w:kinsoku/>
        <w:wordWrap/>
        <w:overflowPunct/>
        <w:topLinePunct w:val="0"/>
        <w:bidi w:val="0"/>
        <w:spacing w:line="576" w:lineRule="exact"/>
        <w:ind w:firstLine="643" w:firstLineChars="200"/>
        <w:outlineLvl w:val="2"/>
        <w:rPr>
          <w:rFonts w:ascii="仿宋" w:hAnsi="仿宋" w:eastAsia="仿宋"/>
          <w:color w:val="000000"/>
          <w:sz w:val="32"/>
          <w:szCs w:val="32"/>
        </w:rPr>
      </w:pPr>
      <w:bookmarkStart w:id="44" w:name="_Toc15377222"/>
      <w:r>
        <w:rPr>
          <w:rFonts w:hint="eastAsia" w:ascii="仿宋" w:hAnsi="仿宋" w:eastAsia="仿宋"/>
          <w:b/>
          <w:color w:val="000000"/>
          <w:sz w:val="32"/>
          <w:szCs w:val="32"/>
        </w:rPr>
        <w:t>（一）机关运行经费支出情况</w:t>
      </w:r>
      <w:bookmarkEnd w:id="44"/>
    </w:p>
    <w:p w14:paraId="3F004187">
      <w:pPr>
        <w:pageBreakBefore w:val="0"/>
        <w:kinsoku/>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2019年，广元市昭化区经济信息化和科学技术局机关运行经费支出165.9万元，比2018年增加13.7万元，增长9%。主要原因是科技培训和脱贫攻坚。</w:t>
      </w:r>
    </w:p>
    <w:p w14:paraId="4C0790DC">
      <w:pPr>
        <w:pageBreakBefore w:val="0"/>
        <w:kinsoku/>
        <w:wordWrap/>
        <w:overflowPunct/>
        <w:topLinePunct w:val="0"/>
        <w:autoSpaceDE w:val="0"/>
        <w:autoSpaceDN w:val="0"/>
        <w:bidi w:val="0"/>
        <w:adjustRightInd w:val="0"/>
        <w:spacing w:line="576" w:lineRule="exact"/>
        <w:ind w:firstLine="643" w:firstLineChars="200"/>
        <w:jc w:val="left"/>
        <w:outlineLvl w:val="2"/>
        <w:rPr>
          <w:rFonts w:ascii="仿宋" w:hAnsi="仿宋" w:eastAsia="仿宋"/>
          <w:b/>
          <w:color w:val="000000"/>
          <w:sz w:val="32"/>
          <w:szCs w:val="32"/>
        </w:rPr>
      </w:pPr>
      <w:bookmarkStart w:id="45" w:name="_Toc15377223"/>
      <w:r>
        <w:rPr>
          <w:rFonts w:hint="eastAsia" w:ascii="仿宋" w:hAnsi="仿宋" w:eastAsia="仿宋"/>
          <w:b/>
          <w:color w:val="000000"/>
          <w:sz w:val="32"/>
          <w:szCs w:val="32"/>
        </w:rPr>
        <w:t>（二）政府采购支出情况</w:t>
      </w:r>
      <w:bookmarkEnd w:id="45"/>
    </w:p>
    <w:p w14:paraId="22554DE8">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2019年，广元市昭化区经济信息化和科学技术局政府采购支出总额12.61万元，其中：政府采购货物支出12.61万元、政府采购工程支出0万元、政府采购服务支出0万元。主要用于办公设备购置。授予中小企业合同金额12.61万元，占政府采购支出总额的100%，其中：授予小微企业合同金额12.61万元，占政府采购支出总额的100%。</w:t>
      </w:r>
    </w:p>
    <w:p w14:paraId="1AB4D431">
      <w:pPr>
        <w:pageBreakBefore w:val="0"/>
        <w:kinsoku/>
        <w:wordWrap/>
        <w:overflowPunct/>
        <w:topLinePunct w:val="0"/>
        <w:autoSpaceDE w:val="0"/>
        <w:autoSpaceDN w:val="0"/>
        <w:bidi w:val="0"/>
        <w:adjustRightInd w:val="0"/>
        <w:spacing w:line="576" w:lineRule="exact"/>
        <w:ind w:firstLine="643" w:firstLineChars="200"/>
        <w:jc w:val="left"/>
        <w:outlineLvl w:val="2"/>
        <w:rPr>
          <w:rFonts w:ascii="仿宋" w:hAnsi="仿宋" w:eastAsia="仿宋"/>
          <w:b/>
          <w:color w:val="000000"/>
          <w:sz w:val="32"/>
          <w:szCs w:val="32"/>
        </w:rPr>
      </w:pPr>
      <w:bookmarkStart w:id="46" w:name="_Toc15377224"/>
      <w:r>
        <w:rPr>
          <w:rFonts w:hint="eastAsia" w:ascii="仿宋" w:hAnsi="仿宋" w:eastAsia="仿宋"/>
          <w:b/>
          <w:color w:val="000000"/>
          <w:sz w:val="32"/>
          <w:szCs w:val="32"/>
        </w:rPr>
        <w:t>（三）国有资产占有使用情况</w:t>
      </w:r>
      <w:bookmarkEnd w:id="46"/>
    </w:p>
    <w:p w14:paraId="4702D065">
      <w:pPr>
        <w:pageBreakBefore w:val="0"/>
        <w:kinsoku/>
        <w:wordWrap/>
        <w:overflowPunct/>
        <w:topLinePunct w:val="0"/>
        <w:bidi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截至2019年12月31日，广元市昭化区经济信息化和科学技术局共有车辆0辆</w:t>
      </w:r>
      <w:r>
        <w:rPr>
          <w:rFonts w:hint="eastAsia" w:ascii="仿宋_GB2312" w:hAnsi="仿宋_GB2312" w:eastAsia="仿宋_GB2312" w:cs="仿宋_GB2312"/>
          <w:sz w:val="32"/>
          <w:szCs w:val="32"/>
          <w:lang w:eastAsia="zh-CN"/>
        </w:rPr>
        <w:t>。</w:t>
      </w:r>
    </w:p>
    <w:p w14:paraId="68C94A67">
      <w:pPr>
        <w:pageBreakBefore w:val="0"/>
        <w:kinsoku/>
        <w:wordWrap/>
        <w:overflowPunct/>
        <w:topLinePunct w:val="0"/>
        <w:bidi w:val="0"/>
        <w:spacing w:line="576" w:lineRule="exact"/>
        <w:ind w:firstLine="643" w:firstLineChars="200"/>
        <w:rPr>
          <w:rFonts w:ascii="仿宋_GB2312" w:eastAsia="仿宋_GB2312"/>
          <w:b/>
          <w:color w:val="000000"/>
          <w:sz w:val="32"/>
          <w:szCs w:val="32"/>
        </w:rPr>
      </w:pPr>
    </w:p>
    <w:p w14:paraId="4EA2AD17">
      <w:pPr>
        <w:pageBreakBefore w:val="0"/>
        <w:widowControl/>
        <w:kinsoku/>
        <w:wordWrap/>
        <w:overflowPunct/>
        <w:topLinePunct w:val="0"/>
        <w:bidi w:val="0"/>
        <w:spacing w:line="576" w:lineRule="exact"/>
        <w:jc w:val="left"/>
        <w:rPr>
          <w:rFonts w:ascii="仿宋_GB2312" w:eastAsia="仿宋_GB2312"/>
          <w:b/>
          <w:color w:val="000000"/>
          <w:sz w:val="32"/>
          <w:szCs w:val="32"/>
        </w:rPr>
      </w:pPr>
      <w:r>
        <w:rPr>
          <w:rFonts w:ascii="仿宋_GB2312" w:eastAsia="仿宋_GB2312"/>
          <w:b/>
          <w:color w:val="000000"/>
          <w:sz w:val="32"/>
          <w:szCs w:val="32"/>
        </w:rPr>
        <w:br w:type="page"/>
      </w:r>
    </w:p>
    <w:p w14:paraId="353716CE">
      <w:pPr>
        <w:pageBreakBefore w:val="0"/>
        <w:numPr>
          <w:ilvl w:val="0"/>
          <w:numId w:val="5"/>
        </w:numPr>
        <w:kinsoku/>
        <w:wordWrap/>
        <w:overflowPunct/>
        <w:topLinePunct w:val="0"/>
        <w:bidi w:val="0"/>
        <w:spacing w:line="576" w:lineRule="exact"/>
        <w:ind w:firstLine="663" w:firstLineChars="150"/>
        <w:jc w:val="center"/>
        <w:outlineLvl w:val="0"/>
        <w:rPr>
          <w:rStyle w:val="19"/>
          <w:rFonts w:ascii="黑体" w:hAnsi="黑体" w:eastAsia="黑体"/>
          <w:b w:val="0"/>
        </w:rPr>
      </w:pPr>
      <w:bookmarkStart w:id="47" w:name="_Toc15396613"/>
      <w:bookmarkStart w:id="48" w:name="_Toc15377225"/>
      <w:r>
        <w:rPr>
          <w:rFonts w:hint="eastAsia" w:ascii="黑体" w:hAnsi="黑体" w:eastAsia="黑体"/>
          <w:b/>
          <w:color w:val="000000"/>
          <w:sz w:val="44"/>
          <w:szCs w:val="44"/>
        </w:rPr>
        <w:t>名</w:t>
      </w:r>
      <w:r>
        <w:rPr>
          <w:rStyle w:val="19"/>
          <w:rFonts w:hint="eastAsia" w:ascii="黑体" w:hAnsi="黑体" w:eastAsia="黑体"/>
          <w:b w:val="0"/>
        </w:rPr>
        <w:t>词解释</w:t>
      </w:r>
      <w:bookmarkEnd w:id="47"/>
      <w:bookmarkEnd w:id="48"/>
    </w:p>
    <w:p w14:paraId="4ABC93E7">
      <w:pPr>
        <w:pageBreakBefore w:val="0"/>
        <w:kinsoku/>
        <w:wordWrap/>
        <w:overflowPunct/>
        <w:topLinePunct w:val="0"/>
        <w:bidi w:val="0"/>
        <w:spacing w:line="576" w:lineRule="exact"/>
        <w:jc w:val="left"/>
        <w:rPr>
          <w:rFonts w:ascii="宋体"/>
          <w:b/>
          <w:color w:val="000000"/>
          <w:sz w:val="44"/>
          <w:szCs w:val="44"/>
        </w:rPr>
      </w:pPr>
    </w:p>
    <w:p w14:paraId="44E35B40">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3F3E8779">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2CE19020">
      <w:pPr>
        <w:pStyle w:val="28"/>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599A8719">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5078EF40">
      <w:pPr>
        <w:pStyle w:val="28"/>
        <w:pageBreakBefore w:val="0"/>
        <w:kinsoku/>
        <w:wordWrap/>
        <w:overflowPunct/>
        <w:topLinePunct w:val="0"/>
        <w:bidi w:val="0"/>
        <w:spacing w:line="576" w:lineRule="exact"/>
        <w:ind w:firstLine="640" w:firstLineChars="200"/>
        <w:rPr>
          <w:rFonts w:hint="eastAsia" w:ascii="仿宋_GB2312" w:eastAsia="仿宋_GB2312"/>
          <w:sz w:val="32"/>
          <w:szCs w:val="32"/>
          <w:lang w:eastAsia="zh-CN"/>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B0E88A6">
      <w:pPr>
        <w:pStyle w:val="28"/>
        <w:pageBreakBefore w:val="0"/>
        <w:kinsoku/>
        <w:wordWrap/>
        <w:overflowPunct/>
        <w:topLinePunct w:val="0"/>
        <w:bidi w:val="0"/>
        <w:spacing w:line="576" w:lineRule="exact"/>
        <w:ind w:firstLine="640" w:firstLineChars="200"/>
        <w:rPr>
          <w:rFonts w:hint="eastAsia" w:ascii="仿宋_GB2312" w:eastAsia="仿宋_GB2312"/>
          <w:sz w:val="32"/>
          <w:szCs w:val="32"/>
          <w:lang w:eastAsia="zh-CN"/>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64BD19FD">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55E4716D">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7CD3165C">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5"/>
        <w:jc w:val="left"/>
        <w:textAlignment w:val="auto"/>
        <w:outlineLvl w:val="9"/>
        <w:rPr>
          <w:rFonts w:hint="eastAsia" w:ascii="仿宋_GB2312" w:hAnsi="微软雅黑" w:eastAsia="仿宋_GB2312" w:cs="仿宋_GB2312"/>
          <w:color w:val="auto"/>
          <w:sz w:val="31"/>
          <w:szCs w:val="31"/>
          <w:lang w:eastAsia="zh-CN"/>
        </w:rPr>
      </w:pPr>
      <w:r>
        <w:rPr>
          <w:rFonts w:ascii="仿宋_GB2312" w:eastAsia="仿宋_GB2312"/>
          <w:color w:val="000000"/>
          <w:sz w:val="32"/>
          <w:szCs w:val="32"/>
        </w:rPr>
        <w:t>9.</w:t>
      </w:r>
      <w:r>
        <w:rPr>
          <w:rFonts w:hint="default" w:ascii="仿宋_GB2312" w:hAnsi="微软雅黑" w:eastAsia="仿宋_GB2312" w:cs="仿宋_GB2312"/>
          <w:color w:val="auto"/>
          <w:sz w:val="31"/>
          <w:szCs w:val="31"/>
        </w:rPr>
        <w:t>一般公共服务（类）</w:t>
      </w:r>
      <w:r>
        <w:rPr>
          <w:rFonts w:hint="eastAsia" w:ascii="仿宋_GB2312" w:hAnsi="微软雅黑" w:eastAsia="仿宋_GB2312" w:cs="仿宋_GB2312"/>
          <w:color w:val="auto"/>
          <w:sz w:val="31"/>
          <w:szCs w:val="31"/>
          <w:lang w:eastAsia="zh-CN"/>
        </w:rPr>
        <w:t>商务</w:t>
      </w:r>
      <w:r>
        <w:rPr>
          <w:rFonts w:hint="default" w:ascii="仿宋_GB2312" w:hAnsi="微软雅黑" w:eastAsia="仿宋_GB2312" w:cs="仿宋_GB2312"/>
          <w:color w:val="auto"/>
          <w:sz w:val="31"/>
          <w:szCs w:val="31"/>
        </w:rPr>
        <w:t>事务（款）行政运行（项）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机关正常运转的基本支出，包括基本工资、津贴补贴等人员经费以及办公费、印刷费、水电费等日常公用经费,保障部门正常运转。</w:t>
      </w:r>
      <w:r>
        <w:rPr>
          <w:rFonts w:hint="eastAsia" w:ascii="微软雅黑" w:hAnsi="微软雅黑" w:eastAsia="微软雅黑" w:cs="微软雅黑"/>
          <w:color w:val="auto"/>
          <w:sz w:val="27"/>
          <w:szCs w:val="27"/>
        </w:rPr>
        <w:br w:type="textWrapping"/>
      </w:r>
      <w:r>
        <w:rPr>
          <w:rFonts w:hint="default" w:ascii="仿宋_GB2312" w:hAnsi="微软雅黑" w:eastAsia="仿宋_GB2312" w:cs="仿宋_GB2312"/>
          <w:color w:val="auto"/>
          <w:sz w:val="31"/>
          <w:szCs w:val="31"/>
        </w:rPr>
        <w:t>　　</w:t>
      </w:r>
      <w:r>
        <w:rPr>
          <w:rFonts w:hint="eastAsia" w:ascii="仿宋_GB2312" w:hAnsi="微软雅黑" w:eastAsia="仿宋_GB2312" w:cs="仿宋_GB2312"/>
          <w:color w:val="auto"/>
          <w:sz w:val="31"/>
          <w:szCs w:val="31"/>
          <w:lang w:val="en-US" w:eastAsia="zh-CN"/>
        </w:rPr>
        <w:t>10</w:t>
      </w:r>
      <w:r>
        <w:rPr>
          <w:rFonts w:hint="default" w:ascii="仿宋_GB2312" w:hAnsi="微软雅黑" w:eastAsia="仿宋_GB2312" w:cs="仿宋_GB2312"/>
          <w:color w:val="auto"/>
          <w:sz w:val="31"/>
          <w:szCs w:val="31"/>
        </w:rPr>
        <w:t>.一般公共服务（类）</w:t>
      </w:r>
      <w:r>
        <w:rPr>
          <w:rFonts w:hint="eastAsia" w:ascii="仿宋_GB2312" w:hAnsi="微软雅黑" w:eastAsia="仿宋_GB2312" w:cs="仿宋_GB2312"/>
          <w:color w:val="auto"/>
          <w:sz w:val="31"/>
          <w:szCs w:val="31"/>
          <w:lang w:eastAsia="zh-CN"/>
        </w:rPr>
        <w:t>商务</w:t>
      </w:r>
      <w:r>
        <w:rPr>
          <w:rFonts w:hint="default" w:ascii="仿宋_GB2312" w:hAnsi="微软雅黑" w:eastAsia="仿宋_GB2312" w:cs="仿宋_GB2312"/>
          <w:color w:val="auto"/>
          <w:sz w:val="31"/>
          <w:szCs w:val="31"/>
        </w:rPr>
        <w:t>事务（款）一般行政管理事务（项）</w:t>
      </w:r>
      <w:r>
        <w:rPr>
          <w:rFonts w:hint="eastAsia" w:ascii="仿宋_GB2312" w:hAnsi="微软雅黑" w:eastAsia="仿宋_GB2312" w:cs="仿宋_GB2312"/>
          <w:color w:val="auto"/>
          <w:sz w:val="31"/>
          <w:szCs w:val="31"/>
          <w:lang w:val="en-US" w:eastAsia="zh-CN"/>
        </w:rPr>
        <w:t>指</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机关</w:t>
      </w:r>
      <w:r>
        <w:rPr>
          <w:rFonts w:hint="eastAsia" w:ascii="仿宋_GB2312" w:hAnsi="微软雅黑" w:eastAsia="仿宋_GB2312" w:cs="仿宋_GB2312"/>
          <w:color w:val="auto"/>
          <w:sz w:val="31"/>
          <w:szCs w:val="31"/>
          <w:lang w:eastAsia="zh-CN"/>
        </w:rPr>
        <w:t>的事业人员的基本工资、绩效工资。</w:t>
      </w:r>
    </w:p>
    <w:p w14:paraId="4CB32434">
      <w:pPr>
        <w:pageBreakBefore w:val="0"/>
        <w:kinsoku/>
        <w:wordWrap/>
        <w:overflowPunct/>
        <w:topLinePunct w:val="0"/>
        <w:bidi w:val="0"/>
        <w:spacing w:line="576" w:lineRule="exact"/>
        <w:ind w:firstLine="640"/>
        <w:rPr>
          <w:rFonts w:hint="default" w:ascii="仿宋_GB2312" w:hAnsi="微软雅黑" w:eastAsia="仿宋_GB2312" w:cs="仿宋_GB2312"/>
          <w:color w:val="auto"/>
          <w:sz w:val="31"/>
          <w:szCs w:val="31"/>
        </w:rPr>
      </w:pPr>
      <w:r>
        <w:rPr>
          <w:rFonts w:hint="eastAsia" w:ascii="仿宋_GB2312" w:hAnsi="微软雅黑" w:eastAsia="仿宋_GB2312" w:cs="仿宋_GB2312"/>
          <w:color w:val="auto"/>
          <w:sz w:val="31"/>
          <w:szCs w:val="31"/>
          <w:lang w:val="en-US" w:eastAsia="zh-CN"/>
        </w:rPr>
        <w:t>11</w:t>
      </w:r>
      <w:r>
        <w:rPr>
          <w:rFonts w:hint="default" w:ascii="仿宋_GB2312" w:hAnsi="微软雅黑" w:eastAsia="仿宋_GB2312" w:cs="仿宋_GB2312"/>
          <w:color w:val="auto"/>
          <w:sz w:val="31"/>
          <w:szCs w:val="31"/>
        </w:rPr>
        <w:t>.社会保障和就业（类）行政</w:t>
      </w:r>
      <w:r>
        <w:rPr>
          <w:rFonts w:hint="eastAsia" w:ascii="仿宋_GB2312" w:hAnsi="微软雅黑" w:eastAsia="仿宋_GB2312" w:cs="仿宋_GB2312"/>
          <w:color w:val="auto"/>
          <w:sz w:val="31"/>
          <w:szCs w:val="31"/>
          <w:lang w:eastAsia="zh-CN"/>
        </w:rPr>
        <w:t>事业</w:t>
      </w:r>
      <w:r>
        <w:rPr>
          <w:rFonts w:hint="default" w:ascii="仿宋_GB2312" w:hAnsi="微软雅黑" w:eastAsia="仿宋_GB2312" w:cs="仿宋_GB2312"/>
          <w:color w:val="auto"/>
          <w:sz w:val="31"/>
          <w:szCs w:val="31"/>
        </w:rPr>
        <w:t>单位离退休</w:t>
      </w:r>
      <w:r>
        <w:rPr>
          <w:rFonts w:hint="eastAsia" w:ascii="仿宋_GB2312" w:hAnsi="微软雅黑" w:eastAsia="仿宋_GB2312" w:cs="仿宋_GB2312"/>
          <w:color w:val="auto"/>
          <w:sz w:val="31"/>
          <w:szCs w:val="31"/>
          <w:lang w:eastAsia="zh-CN"/>
        </w:rPr>
        <w:t>（款）机关</w:t>
      </w:r>
      <w:r>
        <w:rPr>
          <w:rFonts w:hint="default" w:ascii="仿宋_GB2312" w:hAnsi="微软雅黑" w:eastAsia="仿宋_GB2312" w:cs="仿宋_GB2312"/>
          <w:color w:val="auto"/>
          <w:sz w:val="31"/>
          <w:szCs w:val="31"/>
        </w:rPr>
        <w:t>事业单位</w:t>
      </w:r>
      <w:r>
        <w:rPr>
          <w:rFonts w:hint="eastAsia" w:ascii="仿宋_GB2312" w:hAnsi="微软雅黑" w:eastAsia="仿宋_GB2312" w:cs="仿宋_GB2312"/>
          <w:color w:val="auto"/>
          <w:sz w:val="31"/>
          <w:szCs w:val="31"/>
          <w:lang w:eastAsia="zh-CN"/>
        </w:rPr>
        <w:t>基本</w:t>
      </w:r>
      <w:r>
        <w:rPr>
          <w:rFonts w:hint="default" w:ascii="仿宋_GB2312" w:hAnsi="微软雅黑" w:eastAsia="仿宋_GB2312" w:cs="仿宋_GB2312"/>
          <w:color w:val="auto"/>
          <w:sz w:val="31"/>
          <w:szCs w:val="31"/>
        </w:rPr>
        <w:t>养老</w:t>
      </w:r>
      <w:r>
        <w:rPr>
          <w:rFonts w:hint="eastAsia" w:ascii="仿宋_GB2312" w:hAnsi="微软雅黑" w:eastAsia="仿宋_GB2312" w:cs="仿宋_GB2312"/>
          <w:color w:val="auto"/>
          <w:sz w:val="31"/>
          <w:szCs w:val="31"/>
          <w:lang w:eastAsia="zh-CN"/>
        </w:rPr>
        <w:t>保险缴费</w:t>
      </w:r>
      <w:r>
        <w:rPr>
          <w:rFonts w:hint="default" w:ascii="仿宋_GB2312" w:hAnsi="微软雅黑" w:eastAsia="仿宋_GB2312" w:cs="仿宋_GB2312"/>
          <w:color w:val="auto"/>
          <w:sz w:val="31"/>
          <w:szCs w:val="31"/>
        </w:rPr>
        <w:t>支出（项）2</w:t>
      </w:r>
      <w:r>
        <w:rPr>
          <w:rFonts w:hint="eastAsia" w:ascii="仿宋_GB2312" w:hAnsi="微软雅黑" w:eastAsia="仿宋_GB2312" w:cs="仿宋_GB2312"/>
          <w:color w:val="auto"/>
          <w:sz w:val="31"/>
          <w:szCs w:val="31"/>
          <w:lang w:val="en-US" w:eastAsia="zh-CN"/>
        </w:rPr>
        <w:t>指</w:t>
      </w:r>
      <w:r>
        <w:rPr>
          <w:rFonts w:hint="default" w:ascii="仿宋_GB2312" w:hAnsi="微软雅黑" w:eastAsia="仿宋_GB2312" w:cs="仿宋_GB2312"/>
          <w:color w:val="auto"/>
          <w:sz w:val="31"/>
          <w:szCs w:val="31"/>
        </w:rPr>
        <w:t>机关</w:t>
      </w:r>
      <w:r>
        <w:rPr>
          <w:rFonts w:hint="eastAsia" w:ascii="仿宋_GB2312" w:hAnsi="微软雅黑" w:eastAsia="仿宋_GB2312" w:cs="仿宋_GB2312"/>
          <w:color w:val="auto"/>
          <w:sz w:val="31"/>
          <w:szCs w:val="31"/>
          <w:lang w:eastAsia="zh-CN"/>
        </w:rPr>
        <w:t>单位缴纳的基本养老保险</w:t>
      </w:r>
      <w:r>
        <w:rPr>
          <w:rFonts w:hint="default" w:ascii="仿宋_GB2312" w:hAnsi="微软雅黑" w:eastAsia="仿宋_GB2312" w:cs="仿宋_GB2312"/>
          <w:color w:val="auto"/>
          <w:sz w:val="31"/>
          <w:szCs w:val="31"/>
        </w:rPr>
        <w:t>。</w:t>
      </w:r>
      <w:r>
        <w:rPr>
          <w:rFonts w:hint="eastAsia" w:ascii="微软雅黑" w:hAnsi="微软雅黑" w:eastAsia="微软雅黑" w:cs="微软雅黑"/>
          <w:color w:val="auto"/>
          <w:sz w:val="27"/>
          <w:szCs w:val="27"/>
        </w:rPr>
        <w:br w:type="textWrapping"/>
      </w:r>
      <w:r>
        <w:rPr>
          <w:rFonts w:hint="default" w:ascii="仿宋_GB2312" w:hAnsi="微软雅黑" w:eastAsia="仿宋_GB2312" w:cs="仿宋_GB2312"/>
          <w:color w:val="auto"/>
          <w:sz w:val="31"/>
          <w:szCs w:val="31"/>
        </w:rPr>
        <w:t>　　</w:t>
      </w:r>
      <w:r>
        <w:rPr>
          <w:rFonts w:hint="eastAsia" w:ascii="仿宋_GB2312" w:hAnsi="微软雅黑" w:eastAsia="仿宋_GB2312" w:cs="仿宋_GB2312"/>
          <w:color w:val="auto"/>
          <w:sz w:val="31"/>
          <w:szCs w:val="31"/>
          <w:lang w:val="en-US" w:eastAsia="zh-CN"/>
        </w:rPr>
        <w:t>12</w:t>
      </w:r>
      <w:r>
        <w:rPr>
          <w:rFonts w:hint="default" w:ascii="仿宋_GB2312" w:hAnsi="微软雅黑" w:eastAsia="仿宋_GB2312" w:cs="仿宋_GB2312"/>
          <w:color w:val="auto"/>
          <w:sz w:val="31"/>
          <w:szCs w:val="31"/>
        </w:rPr>
        <w:t>.社会保障和就业（类）</w:t>
      </w:r>
      <w:r>
        <w:rPr>
          <w:rFonts w:hint="eastAsia" w:ascii="仿宋_GB2312" w:hAnsi="微软雅黑" w:eastAsia="仿宋_GB2312" w:cs="仿宋_GB2312"/>
          <w:color w:val="auto"/>
          <w:sz w:val="31"/>
          <w:szCs w:val="31"/>
          <w:lang w:eastAsia="zh-CN"/>
        </w:rPr>
        <w:t>其他社会保障和就业支出</w:t>
      </w:r>
      <w:r>
        <w:rPr>
          <w:rFonts w:hint="default" w:ascii="仿宋_GB2312" w:hAnsi="微软雅黑" w:eastAsia="仿宋_GB2312" w:cs="仿宋_GB2312"/>
          <w:color w:val="auto"/>
          <w:sz w:val="31"/>
          <w:szCs w:val="31"/>
        </w:rPr>
        <w:t>（款）</w:t>
      </w:r>
      <w:r>
        <w:rPr>
          <w:rFonts w:hint="eastAsia" w:ascii="仿宋_GB2312" w:hAnsi="微软雅黑" w:eastAsia="仿宋_GB2312" w:cs="仿宋_GB2312"/>
          <w:color w:val="auto"/>
          <w:sz w:val="31"/>
          <w:szCs w:val="31"/>
          <w:lang w:eastAsia="zh-CN"/>
        </w:rPr>
        <w:t>其他社会保障和就业支出</w:t>
      </w:r>
      <w:r>
        <w:rPr>
          <w:rFonts w:hint="default" w:ascii="仿宋_GB2312" w:hAnsi="微软雅黑" w:eastAsia="仿宋_GB2312" w:cs="仿宋_GB2312"/>
          <w:color w:val="auto"/>
          <w:sz w:val="31"/>
          <w:szCs w:val="31"/>
        </w:rPr>
        <w:t>（项）</w:t>
      </w:r>
      <w:r>
        <w:rPr>
          <w:rFonts w:hint="eastAsia" w:ascii="仿宋_GB2312" w:hAnsi="微软雅黑" w:eastAsia="仿宋_GB2312" w:cs="仿宋_GB2312"/>
          <w:color w:val="auto"/>
          <w:sz w:val="31"/>
          <w:szCs w:val="31"/>
          <w:lang w:val="en-US" w:eastAsia="zh-CN"/>
        </w:rPr>
        <w:t>指</w:t>
      </w:r>
      <w:r>
        <w:rPr>
          <w:rFonts w:hint="eastAsia" w:ascii="仿宋_GB2312" w:hAnsi="微软雅黑" w:eastAsia="仿宋_GB2312" w:cs="仿宋_GB2312"/>
          <w:color w:val="auto"/>
          <w:sz w:val="31"/>
          <w:szCs w:val="31"/>
          <w:lang w:eastAsia="zh-CN"/>
        </w:rPr>
        <w:t>机关事业单位缴纳的工伤保险、失业保险、生育保险。</w:t>
      </w:r>
      <w:r>
        <w:rPr>
          <w:rFonts w:hint="eastAsia" w:ascii="微软雅黑" w:hAnsi="微软雅黑" w:eastAsia="微软雅黑" w:cs="微软雅黑"/>
          <w:color w:val="auto"/>
          <w:sz w:val="27"/>
          <w:szCs w:val="27"/>
        </w:rPr>
        <w:br w:type="textWrapping"/>
      </w:r>
      <w:r>
        <w:rPr>
          <w:rFonts w:hint="default" w:ascii="仿宋_GB2312" w:hAnsi="微软雅黑" w:eastAsia="仿宋_GB2312" w:cs="仿宋_GB2312"/>
          <w:color w:val="auto"/>
          <w:sz w:val="31"/>
          <w:szCs w:val="31"/>
        </w:rPr>
        <w:t>　　</w:t>
      </w:r>
      <w:r>
        <w:rPr>
          <w:rFonts w:hint="eastAsia" w:ascii="仿宋_GB2312" w:hAnsi="微软雅黑" w:eastAsia="仿宋_GB2312" w:cs="仿宋_GB2312"/>
          <w:color w:val="auto"/>
          <w:sz w:val="31"/>
          <w:szCs w:val="31"/>
          <w:lang w:val="en-US" w:eastAsia="zh-CN"/>
        </w:rPr>
        <w:t>13</w:t>
      </w:r>
      <w:r>
        <w:rPr>
          <w:rFonts w:hint="default" w:ascii="仿宋_GB2312" w:hAnsi="微软雅黑" w:eastAsia="仿宋_GB2312" w:cs="仿宋_GB2312"/>
          <w:color w:val="auto"/>
          <w:sz w:val="31"/>
          <w:szCs w:val="31"/>
        </w:rPr>
        <w:t>.卫生健康支出（类）行政事业单位医疗（款）行政单位医疗（项</w:t>
      </w:r>
      <w:r>
        <w:rPr>
          <w:rFonts w:hint="eastAsia" w:ascii="仿宋_GB2312" w:hAnsi="微软雅黑" w:eastAsia="仿宋_GB2312" w:cs="仿宋_GB2312"/>
          <w:color w:val="auto"/>
          <w:sz w:val="31"/>
          <w:szCs w:val="31"/>
          <w:lang w:eastAsia="zh-CN"/>
        </w:rPr>
        <w:t>）</w:t>
      </w:r>
      <w:r>
        <w:rPr>
          <w:rFonts w:hint="eastAsia" w:ascii="仿宋_GB2312" w:hAnsi="微软雅黑" w:eastAsia="仿宋_GB2312" w:cs="仿宋_GB2312"/>
          <w:color w:val="auto"/>
          <w:sz w:val="31"/>
          <w:szCs w:val="31"/>
          <w:lang w:val="en-US" w:eastAsia="zh-CN"/>
        </w:rPr>
        <w:t>指</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机关</w:t>
      </w:r>
      <w:r>
        <w:rPr>
          <w:rFonts w:hint="eastAsia" w:ascii="仿宋_GB2312" w:hAnsi="微软雅黑" w:eastAsia="仿宋_GB2312" w:cs="仿宋_GB2312"/>
          <w:color w:val="auto"/>
          <w:sz w:val="31"/>
          <w:szCs w:val="31"/>
          <w:lang w:eastAsia="zh-CN"/>
        </w:rPr>
        <w:t>公务员</w:t>
      </w:r>
      <w:r>
        <w:rPr>
          <w:rFonts w:hint="default" w:ascii="仿宋_GB2312" w:hAnsi="微软雅黑" w:eastAsia="仿宋_GB2312" w:cs="仿宋_GB2312"/>
          <w:color w:val="auto"/>
          <w:sz w:val="31"/>
          <w:szCs w:val="31"/>
        </w:rPr>
        <w:t>按规定由单位缴纳的基本医疗保险支出。</w:t>
      </w:r>
      <w:r>
        <w:rPr>
          <w:rFonts w:hint="eastAsia" w:ascii="微软雅黑" w:hAnsi="微软雅黑" w:eastAsia="微软雅黑" w:cs="微软雅黑"/>
          <w:color w:val="auto"/>
          <w:sz w:val="27"/>
          <w:szCs w:val="27"/>
        </w:rPr>
        <w:br w:type="textWrapping"/>
      </w:r>
      <w:r>
        <w:rPr>
          <w:rFonts w:hint="default" w:ascii="仿宋_GB2312" w:hAnsi="微软雅黑" w:eastAsia="仿宋_GB2312" w:cs="仿宋_GB2312"/>
          <w:color w:val="auto"/>
          <w:sz w:val="31"/>
          <w:szCs w:val="31"/>
        </w:rPr>
        <w:t>　　</w:t>
      </w:r>
      <w:r>
        <w:rPr>
          <w:rFonts w:hint="eastAsia" w:ascii="仿宋_GB2312" w:hAnsi="微软雅黑" w:eastAsia="仿宋_GB2312" w:cs="仿宋_GB2312"/>
          <w:color w:val="auto"/>
          <w:sz w:val="31"/>
          <w:szCs w:val="31"/>
          <w:lang w:val="en-US" w:eastAsia="zh-CN"/>
        </w:rPr>
        <w:t>14</w:t>
      </w:r>
      <w:r>
        <w:rPr>
          <w:rFonts w:hint="default" w:ascii="仿宋_GB2312" w:hAnsi="微软雅黑" w:eastAsia="仿宋_GB2312" w:cs="仿宋_GB2312"/>
          <w:color w:val="auto"/>
          <w:sz w:val="31"/>
          <w:szCs w:val="31"/>
        </w:rPr>
        <w:t>.卫生健康支出（类）行政事业单位医疗（款）事业单位医疗（项）</w:t>
      </w:r>
      <w:r>
        <w:rPr>
          <w:rFonts w:hint="eastAsia" w:ascii="仿宋_GB2312" w:hAnsi="微软雅黑" w:eastAsia="仿宋_GB2312" w:cs="仿宋_GB2312"/>
          <w:color w:val="auto"/>
          <w:sz w:val="31"/>
          <w:szCs w:val="31"/>
          <w:lang w:val="en-US" w:eastAsia="zh-CN"/>
        </w:rPr>
        <w:t>指</w:t>
      </w:r>
      <w:r>
        <w:rPr>
          <w:rFonts w:hint="eastAsia" w:ascii="仿宋_GB2312" w:hAnsi="微软雅黑" w:eastAsia="仿宋_GB2312" w:cs="仿宋_GB2312"/>
          <w:color w:val="auto"/>
          <w:sz w:val="31"/>
          <w:szCs w:val="31"/>
          <w:lang w:eastAsia="zh-CN"/>
        </w:rPr>
        <w:t>局事业人员</w:t>
      </w:r>
      <w:r>
        <w:rPr>
          <w:rFonts w:hint="default" w:ascii="仿宋_GB2312" w:hAnsi="微软雅黑" w:eastAsia="仿宋_GB2312" w:cs="仿宋_GB2312"/>
          <w:color w:val="auto"/>
          <w:sz w:val="31"/>
          <w:szCs w:val="31"/>
        </w:rPr>
        <w:t>按规定由单位缴纳的基本医疗保险支出。</w:t>
      </w:r>
      <w:r>
        <w:rPr>
          <w:rFonts w:hint="eastAsia" w:ascii="微软雅黑" w:hAnsi="微软雅黑" w:eastAsia="微软雅黑" w:cs="微软雅黑"/>
          <w:color w:val="auto"/>
          <w:sz w:val="27"/>
          <w:szCs w:val="27"/>
        </w:rPr>
        <w:br w:type="textWrapping"/>
      </w:r>
      <w:r>
        <w:rPr>
          <w:rFonts w:hint="eastAsia" w:ascii="仿宋_GB2312" w:hAnsi="微软雅黑" w:eastAsia="仿宋_GB2312" w:cs="仿宋_GB2312"/>
          <w:color w:val="auto"/>
          <w:sz w:val="31"/>
          <w:szCs w:val="31"/>
          <w:lang w:val="en-US" w:eastAsia="zh-CN"/>
        </w:rPr>
        <w:t xml:space="preserve">    15</w:t>
      </w:r>
      <w:r>
        <w:rPr>
          <w:rFonts w:hint="default" w:ascii="仿宋_GB2312" w:hAnsi="微软雅黑" w:eastAsia="仿宋_GB2312" w:cs="仿宋_GB2312"/>
          <w:color w:val="auto"/>
          <w:sz w:val="31"/>
          <w:szCs w:val="31"/>
        </w:rPr>
        <w:t>.住房保障（类）住房改革支出（款）住房公积金（项）</w:t>
      </w:r>
      <w:r>
        <w:rPr>
          <w:rFonts w:hint="eastAsia" w:ascii="仿宋_GB2312" w:hAnsi="微软雅黑" w:eastAsia="仿宋_GB2312" w:cs="仿宋_GB2312"/>
          <w:color w:val="auto"/>
          <w:sz w:val="31"/>
          <w:szCs w:val="31"/>
          <w:lang w:val="en-US" w:eastAsia="zh-CN"/>
        </w:rPr>
        <w:t>指</w:t>
      </w:r>
      <w:r>
        <w:rPr>
          <w:rFonts w:hint="default" w:ascii="仿宋_GB2312" w:hAnsi="微软雅黑" w:eastAsia="仿宋_GB2312" w:cs="仿宋_GB2312"/>
          <w:color w:val="auto"/>
          <w:sz w:val="31"/>
          <w:szCs w:val="31"/>
        </w:rPr>
        <w:t>部门按人力资源和社会保障</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、财政</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规定的基本工资和津贴补贴以及规定比例为职工缴纳的住房公积金支出。</w:t>
      </w:r>
    </w:p>
    <w:p w14:paraId="379DDC6D">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028B16B7">
      <w:pPr>
        <w:pageBreakBefore w:val="0"/>
        <w:kinsoku/>
        <w:wordWrap/>
        <w:overflowPunct/>
        <w:topLinePunct w:val="0"/>
        <w:bidi w:val="0"/>
        <w:spacing w:line="576"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6A609344">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4988C189">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605B483">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4D6C26">
      <w:pPr>
        <w:pageBreakBefore w:val="0"/>
        <w:kinsoku/>
        <w:wordWrap/>
        <w:overflowPunct/>
        <w:topLinePunct w:val="0"/>
        <w:bidi w:val="0"/>
        <w:spacing w:line="576" w:lineRule="exact"/>
        <w:jc w:val="center"/>
        <w:outlineLvl w:val="0"/>
        <w:rPr>
          <w:rStyle w:val="19"/>
          <w:rFonts w:ascii="黑体" w:hAnsi="黑体" w:eastAsia="黑体"/>
          <w:b w:val="0"/>
        </w:rPr>
      </w:pPr>
      <w:bookmarkStart w:id="49" w:name="_Toc15377226"/>
      <w:r>
        <w:rPr>
          <w:rFonts w:ascii="宋体"/>
          <w:b/>
          <w:color w:val="000000"/>
          <w:sz w:val="44"/>
          <w:szCs w:val="44"/>
        </w:rPr>
        <w:br w:type="page"/>
      </w:r>
      <w:bookmarkStart w:id="50" w:name="_Toc15396614"/>
      <w:r>
        <w:rPr>
          <w:rFonts w:hint="eastAsia" w:ascii="黑体" w:hAnsi="黑体" w:eastAsia="黑体"/>
          <w:color w:val="000000"/>
          <w:sz w:val="44"/>
          <w:szCs w:val="44"/>
        </w:rPr>
        <w:t>第</w:t>
      </w:r>
      <w:r>
        <w:rPr>
          <w:rStyle w:val="19"/>
          <w:rFonts w:hint="eastAsia" w:ascii="黑体" w:hAnsi="黑体" w:eastAsia="黑体"/>
          <w:b w:val="0"/>
        </w:rPr>
        <w:t>四部分附件</w:t>
      </w:r>
      <w:bookmarkEnd w:id="50"/>
    </w:p>
    <w:p w14:paraId="292B63F6">
      <w:pPr>
        <w:pageBreakBefore w:val="0"/>
        <w:kinsoku/>
        <w:wordWrap/>
        <w:overflowPunct/>
        <w:topLinePunct w:val="0"/>
        <w:bidi w:val="0"/>
        <w:spacing w:line="576" w:lineRule="exact"/>
        <w:jc w:val="center"/>
        <w:outlineLvl w:val="0"/>
        <w:rPr>
          <w:rStyle w:val="19"/>
        </w:rPr>
      </w:pPr>
    </w:p>
    <w:p w14:paraId="74C52493">
      <w:pPr>
        <w:pageBreakBefore w:val="0"/>
        <w:kinsoku/>
        <w:wordWrap/>
        <w:overflowPunct/>
        <w:topLinePunct w:val="0"/>
        <w:bidi w:val="0"/>
        <w:spacing w:line="576" w:lineRule="exact"/>
        <w:jc w:val="center"/>
        <w:outlineLvl w:val="0"/>
        <w:rPr>
          <w:rFonts w:hint="eastAsia" w:ascii="黑体" w:hAnsi="黑体" w:eastAsia="黑体"/>
          <w:sz w:val="36"/>
        </w:rPr>
      </w:pPr>
      <w:bookmarkStart w:id="51" w:name="_Toc15396616"/>
      <w:r>
        <w:rPr>
          <w:rFonts w:hint="eastAsia" w:ascii="黑体" w:hAnsi="黑体" w:eastAsia="黑体"/>
          <w:sz w:val="36"/>
        </w:rPr>
        <w:t>广元市昭化区经济信息化和科学技术局</w:t>
      </w:r>
    </w:p>
    <w:p w14:paraId="099387FC">
      <w:pPr>
        <w:pageBreakBefore w:val="0"/>
        <w:kinsoku/>
        <w:wordWrap/>
        <w:overflowPunct/>
        <w:topLinePunct w:val="0"/>
        <w:bidi w:val="0"/>
        <w:spacing w:line="576" w:lineRule="exact"/>
        <w:jc w:val="center"/>
        <w:outlineLvl w:val="0"/>
        <w:rPr>
          <w:rFonts w:ascii="黑体" w:hAnsi="黑体" w:eastAsia="黑体" w:cs="方正小标宋简体"/>
          <w:sz w:val="36"/>
          <w:szCs w:val="36"/>
        </w:rPr>
      </w:pPr>
      <w:r>
        <w:rPr>
          <w:rFonts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1"/>
    </w:p>
    <w:p w14:paraId="30E05123">
      <w:pPr>
        <w:pageBreakBefore w:val="0"/>
        <w:kinsoku/>
        <w:wordWrap/>
        <w:overflowPunct/>
        <w:topLinePunct w:val="0"/>
        <w:bidi w:val="0"/>
        <w:spacing w:line="576" w:lineRule="exact"/>
        <w:ind w:firstLine="640" w:firstLineChars="200"/>
        <w:rPr>
          <w:rFonts w:ascii="黑体" w:hAnsi="黑体" w:eastAsia="黑体" w:cs="黑体"/>
          <w:sz w:val="32"/>
          <w:szCs w:val="32"/>
        </w:rPr>
      </w:pPr>
    </w:p>
    <w:p w14:paraId="0F4A2D9B">
      <w:pPr>
        <w:pageBreakBefore w:val="0"/>
        <w:kinsoku/>
        <w:wordWrap/>
        <w:overflowPunct/>
        <w:topLinePunct w:val="0"/>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36A83C95">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（一）机构组成。</w:t>
      </w:r>
    </w:p>
    <w:p w14:paraId="06160B63">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广元市昭化区经济和信息化局设6个内设机构：</w:t>
      </w:r>
    </w:p>
    <w:p w14:paraId="080ABC60">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1.办公室（行政审批股）负责机关日常党务、政务、文秘、协调、督办、后勤保障和服务等工作。</w:t>
      </w:r>
    </w:p>
    <w:p w14:paraId="396DE5BB">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2.工业运行股，拟定工业经济建设的发展战略、结构调整和产业布局规划并组织实施。</w:t>
      </w:r>
    </w:p>
    <w:p w14:paraId="17E0361C">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3.企业投资股，负责提出工业财政专项资金的安排意见，提出工业投资的规模、方向和计划并组织实施，引导资金投向，促进创业发展。</w:t>
      </w:r>
    </w:p>
    <w:p w14:paraId="427FC776">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4.能源电力股，实施电力、成品油、天然气行业管理；负责起草能源工业行业规划；对能源企业生产经营实施指导。</w:t>
      </w:r>
    </w:p>
    <w:p w14:paraId="5F9D29CD">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5.信息化股，贯彻执行国家信息化产业政策，牵头编制信息化产业规划并统筹推进实施；负责信息、无线电技术基础设施建设的规划、协调和管理。</w:t>
      </w:r>
    </w:p>
    <w:p w14:paraId="24DA74BE">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6.科技与知识产权股，组织拟订全区科学技术发展、科技体制改革、知识产权保护有关规划、政策并组织设施。</w:t>
      </w:r>
    </w:p>
    <w:p w14:paraId="6EEDB42B">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（二）机构职能。</w:t>
      </w:r>
    </w:p>
    <w:p w14:paraId="158FAED1">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eastAsia="仿宋_GB2312"/>
          <w:color w:val="auto"/>
          <w:sz w:val="32"/>
          <w:szCs w:val="32"/>
          <w:lang w:val="en-US" w:eastAsia="zh-CN"/>
        </w:rPr>
        <w:t>1</w:t>
      </w:r>
      <w:r>
        <w:rPr>
          <w:rFonts w:ascii="仿宋_GB2312" w:eastAsia="仿宋_GB2312"/>
          <w:sz w:val="32"/>
          <w:szCs w:val="32"/>
        </w:rPr>
        <w:t>.</w:t>
      </w:r>
      <w:r>
        <w:rPr>
          <w:rFonts w:ascii="Times New Roman" w:hAnsi="Times New Roman" w:eastAsia="仿宋_GB2312"/>
          <w:color w:val="auto"/>
          <w:sz w:val="32"/>
          <w:szCs w:val="32"/>
        </w:rPr>
        <w:t>贯彻实施国家有关工业经济、信息化、无线电管理、科学技术方针、政策和法律、法规。</w:t>
      </w:r>
    </w:p>
    <w:p w14:paraId="3007BCEA">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ascii="仿宋_GB2312" w:eastAsia="仿宋_GB2312"/>
          <w:sz w:val="32"/>
          <w:szCs w:val="32"/>
        </w:rPr>
        <w:t>.</w:t>
      </w:r>
      <w:r>
        <w:rPr>
          <w:rFonts w:ascii="Times New Roman" w:hAnsi="Times New Roman" w:eastAsia="仿宋_GB2312"/>
          <w:color w:val="auto"/>
          <w:sz w:val="32"/>
          <w:szCs w:val="32"/>
        </w:rPr>
        <w:t>组织实施工业强区战略，加强信息化和工业化融合、工业化与城镇化联动，推进全区工业结构调整。参与制订国民经济和社会发展规划，牵头拟定工业、信息化、科学技术发展规划，提出相关行业的优先领域和发展重点，制订行业年度发展计划和产业政策、行业技术规范与行业标准并组织实施，指导行业质量管理工作。</w:t>
      </w:r>
    </w:p>
    <w:p w14:paraId="6DCEAD8F">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ascii="仿宋_GB2312" w:eastAsia="仿宋_GB2312"/>
          <w:sz w:val="32"/>
          <w:szCs w:val="32"/>
        </w:rPr>
        <w:t>.</w:t>
      </w:r>
      <w:r>
        <w:rPr>
          <w:rFonts w:ascii="Times New Roman" w:hAnsi="Times New Roman" w:eastAsia="仿宋_GB2312"/>
          <w:color w:val="auto"/>
          <w:sz w:val="32"/>
          <w:szCs w:val="32"/>
        </w:rPr>
        <w:t>建立全区工业经济运行预警机制，监测、分析经济运行态势和质量，协调解决新型工业化进程中的重大问题；负责电力、成品油、天然气等重要物资综合调控、紧急调度和交通运输协调工作，负责区级医药储备的监督管理，承办年度工业经济目标责任考核。</w:t>
      </w:r>
    </w:p>
    <w:p w14:paraId="377CD001">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ascii="仿宋_GB2312" w:eastAsia="仿宋_GB2312"/>
          <w:sz w:val="32"/>
          <w:szCs w:val="32"/>
        </w:rPr>
        <w:t>.</w:t>
      </w:r>
      <w:r>
        <w:rPr>
          <w:rFonts w:ascii="Times New Roman" w:hAnsi="Times New Roman" w:eastAsia="仿宋_GB2312"/>
          <w:color w:val="auto"/>
          <w:sz w:val="32"/>
          <w:szCs w:val="32"/>
        </w:rPr>
        <w:t>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w:t>
      </w:r>
    </w:p>
    <w:p w14:paraId="795B0D45">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ascii="仿宋_GB2312" w:eastAsia="仿宋_GB2312"/>
          <w:sz w:val="32"/>
          <w:szCs w:val="32"/>
        </w:rPr>
        <w:t>.</w:t>
      </w:r>
      <w:r>
        <w:rPr>
          <w:rFonts w:ascii="Times New Roman" w:hAnsi="Times New Roman" w:eastAsia="仿宋_GB2312"/>
          <w:color w:val="auto"/>
          <w:sz w:val="32"/>
          <w:szCs w:val="32"/>
        </w:rPr>
        <w:t>负责全区工业和信息化领域的节能降耗、清洁生产和资源节约与综合利用工作，协调推进工业化与生态环境协调发展中的重大问题。</w:t>
      </w:r>
    </w:p>
    <w:p w14:paraId="510EBF84">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ascii="仿宋_GB2312" w:eastAsia="仿宋_GB2312"/>
          <w:sz w:val="32"/>
          <w:szCs w:val="32"/>
        </w:rPr>
        <w:t>.</w:t>
      </w:r>
      <w:r>
        <w:rPr>
          <w:rFonts w:ascii="Times New Roman" w:hAnsi="Times New Roman" w:eastAsia="仿宋_GB2312"/>
          <w:color w:val="auto"/>
          <w:sz w:val="32"/>
          <w:szCs w:val="32"/>
        </w:rPr>
        <w:t>负责推进企业信用制度建设，负责中小企业信用担保和融资体系建设并实施行业监管，制订工业发展资金等财政专项资金使用计划，负责企业技术改造、技术创新、生产运行等涉及财政、信贷、税收、保险等方面问题的协调，指导工业企业直接融资工作，负责企业上市培育工作。</w:t>
      </w:r>
    </w:p>
    <w:p w14:paraId="6D879E3E">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ascii="仿宋_GB2312" w:eastAsia="仿宋_GB2312"/>
          <w:sz w:val="32"/>
          <w:szCs w:val="32"/>
        </w:rPr>
        <w:t>.</w:t>
      </w:r>
      <w:r>
        <w:rPr>
          <w:rFonts w:ascii="Times New Roman" w:hAnsi="Times New Roman" w:eastAsia="仿宋_GB2312"/>
          <w:color w:val="auto"/>
          <w:sz w:val="32"/>
          <w:szCs w:val="32"/>
        </w:rPr>
        <w:t>对国家重大工业经济政策实施情况进行督查，指导企业建立现代企业制度、改组改造、兼并重组，负责全区企业治乱减负工作，指导企业经营管理人员、．专业技术人员培训，负责全区大企业大集团和龙头骨干企业的培育工作，负责全区中小企业发展的指导推进工作，组织拟订促进中小企业发展的政策措施，负责推进中小企业服务体系建设。</w:t>
      </w:r>
    </w:p>
    <w:p w14:paraId="5EFD2C34">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ascii="仿宋_GB2312" w:eastAsia="仿宋_GB2312"/>
          <w:sz w:val="32"/>
          <w:szCs w:val="32"/>
        </w:rPr>
        <w:t>.</w:t>
      </w:r>
      <w:r>
        <w:rPr>
          <w:rFonts w:ascii="Times New Roman" w:hAnsi="Times New Roman" w:eastAsia="仿宋_GB2312"/>
          <w:color w:val="auto"/>
          <w:sz w:val="32"/>
          <w:szCs w:val="32"/>
        </w:rPr>
        <w:t>负责对全区工业各行业实施行业管理，制订相关政策措施并组织实施，拟订新材料、节能环保、航空航天、生物医药等战略性新兴产业发展规划、年度计划、政策措施并组织实施。拟订加快农产品加工业发展的政策措施，参与推进农业产业化龙头企业建设，参与推进农业现代化和新农村建设。</w:t>
      </w:r>
    </w:p>
    <w:p w14:paraId="53ABF2A5">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ascii="仿宋_GB2312" w:eastAsia="仿宋_GB2312"/>
          <w:sz w:val="32"/>
          <w:szCs w:val="32"/>
        </w:rPr>
        <w:t>.</w:t>
      </w:r>
      <w:r>
        <w:rPr>
          <w:rFonts w:ascii="Times New Roman" w:hAnsi="Times New Roman" w:eastAsia="仿宋_GB2312"/>
          <w:color w:val="auto"/>
          <w:sz w:val="32"/>
          <w:szCs w:val="32"/>
        </w:rPr>
        <w:t>统筹推进全区信息化工作，制订相关政策并组织实施，指导电子政务、企业信息化、电子商务和物联网发展，推动跨行业、跨部门面向社会服务网络的互联互通和信息资源共享。</w:t>
      </w:r>
    </w:p>
    <w:p w14:paraId="0679747B">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ascii="仿宋_GB2312" w:eastAsia="仿宋_GB2312"/>
          <w:sz w:val="32"/>
          <w:szCs w:val="32"/>
        </w:rPr>
        <w:t>.</w:t>
      </w:r>
      <w:r>
        <w:rPr>
          <w:rFonts w:ascii="Times New Roman" w:hAnsi="Times New Roman" w:eastAsia="仿宋_GB2312"/>
          <w:color w:val="auto"/>
          <w:sz w:val="32"/>
          <w:szCs w:val="32"/>
        </w:rPr>
        <w:t>负责全区信息基础设施建设的规划、协调和管理，组织制订通信管线规划并承担相应的管理工作，协调电信市场涉及社会公共利益的重大事项。</w:t>
      </w:r>
    </w:p>
    <w:p w14:paraId="3AF50DA9">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11</w:t>
      </w:r>
      <w:r>
        <w:rPr>
          <w:rFonts w:ascii="仿宋_GB2312" w:eastAsia="仿宋_GB2312"/>
          <w:sz w:val="32"/>
          <w:szCs w:val="32"/>
        </w:rPr>
        <w:t>.</w:t>
      </w:r>
      <w:r>
        <w:rPr>
          <w:rFonts w:ascii="Times New Roman" w:hAnsi="Times New Roman" w:eastAsia="仿宋_GB2312"/>
          <w:color w:val="auto"/>
          <w:sz w:val="32"/>
          <w:szCs w:val="32"/>
        </w:rPr>
        <w:t>组织协调全区信息安全保障体系建设，指导和监督政府部门、重点行业的重要信息系统与信息网络的安全保障工作，指导信息安全防范工作，参与处理网络与信息安全重大事件。</w:t>
      </w:r>
    </w:p>
    <w:p w14:paraId="4F79B582">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12</w:t>
      </w:r>
      <w:r>
        <w:rPr>
          <w:rFonts w:ascii="仿宋_GB2312" w:eastAsia="仿宋_GB2312"/>
          <w:sz w:val="32"/>
          <w:szCs w:val="32"/>
        </w:rPr>
        <w:t>.</w:t>
      </w:r>
      <w:r>
        <w:rPr>
          <w:rFonts w:ascii="Times New Roman" w:hAnsi="Times New Roman" w:eastAsia="仿宋_GB2312"/>
          <w:color w:val="auto"/>
          <w:sz w:val="32"/>
          <w:szCs w:val="32"/>
        </w:rPr>
        <w:t>统一配置和管理全区无线电频谱资源，依法监督管理无线电台(站)，负责无线电电磁环境保护工作；负责无线电监测、检测和干扰查处，协调军地间和县际间无线电管理相关事宜，维护空中电波秩序，依法组织实施无线电管制。</w:t>
      </w:r>
    </w:p>
    <w:p w14:paraId="43712800">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13</w:t>
      </w:r>
      <w:r>
        <w:rPr>
          <w:rFonts w:ascii="仿宋_GB2312" w:eastAsia="仿宋_GB2312"/>
          <w:sz w:val="32"/>
          <w:szCs w:val="32"/>
        </w:rPr>
        <w:t>.</w:t>
      </w:r>
      <w:r>
        <w:rPr>
          <w:rFonts w:ascii="Times New Roman" w:hAnsi="Times New Roman" w:eastAsia="仿宋_GB2312"/>
          <w:color w:val="auto"/>
          <w:sz w:val="32"/>
          <w:szCs w:val="32"/>
        </w:rPr>
        <w:t>会同有关部门提出工业和信息化领域对外开放和利用外资的政策建议，参与区域经济合作和承接产业转移工作。指导工业和信息化企业开展对外交流与合作、国际化经营、境外投资及兼并重组。</w:t>
      </w:r>
    </w:p>
    <w:p w14:paraId="1C592153">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14</w:t>
      </w:r>
      <w:r>
        <w:rPr>
          <w:rFonts w:ascii="仿宋_GB2312" w:eastAsia="仿宋_GB2312"/>
          <w:sz w:val="32"/>
          <w:szCs w:val="32"/>
        </w:rPr>
        <w:t>.</w:t>
      </w:r>
      <w:r>
        <w:rPr>
          <w:rFonts w:ascii="Times New Roman" w:hAnsi="Times New Roman" w:eastAsia="仿宋_GB2312"/>
          <w:color w:val="auto"/>
          <w:sz w:val="32"/>
          <w:szCs w:val="32"/>
        </w:rPr>
        <w:t>负责组织拟订并实施科技支撑计划、重点基础研究计划、软科学研究计划和统筹协调基础研究、前沿技术研究、重大社会公益性技术研究及关键技术、共性技术研究。</w:t>
      </w:r>
    </w:p>
    <w:p w14:paraId="13DD3FF0">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pPr>
      <w:r>
        <w:rPr>
          <w:rFonts w:hint="eastAsia" w:ascii="Times New Roman" w:hAnsi="Times New Roman" w:eastAsia="仿宋_GB2312"/>
          <w:color w:val="auto"/>
          <w:sz w:val="32"/>
          <w:szCs w:val="32"/>
          <w:lang w:val="en-US" w:eastAsia="zh-CN"/>
        </w:rPr>
        <w:t>15</w:t>
      </w:r>
      <w:r>
        <w:rPr>
          <w:rFonts w:ascii="仿宋_GB2312" w:eastAsia="仿宋_GB2312"/>
          <w:sz w:val="32"/>
          <w:szCs w:val="32"/>
        </w:rPr>
        <w:t>.</w:t>
      </w:r>
      <w:r>
        <w:rPr>
          <w:rFonts w:ascii="Times New Roman" w:hAnsi="Times New Roman" w:eastAsia="仿宋_GB2312"/>
          <w:color w:val="auto"/>
          <w:sz w:val="32"/>
          <w:szCs w:val="32"/>
        </w:rPr>
        <w:t>牵头组织经济社会发展重要领域的重大关键性技术攻关；会同有关部门组织科技重大专项实施中的方案论证、综合平衡、评估验收和拟订相关配套政策，对科技重大专项实施中的重大调整提出建议。</w:t>
      </w:r>
    </w:p>
    <w:p w14:paraId="23F93918">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（三）人员概况。</w:t>
      </w:r>
    </w:p>
    <w:p w14:paraId="7211637B">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区经信和科技局共有编制</w:t>
      </w:r>
      <w:r>
        <w:rPr>
          <w:rFonts w:hint="default" w:ascii="Times New Roman" w:hAnsi="Times New Roman" w:eastAsia="仿宋_GB2312"/>
          <w:color w:val="auto"/>
          <w:sz w:val="32"/>
          <w:szCs w:val="32"/>
          <w:lang w:val="en-US" w:eastAsia="zh-CN"/>
        </w:rPr>
        <w:t>22</w:t>
      </w:r>
      <w:r>
        <w:rPr>
          <w:rFonts w:hint="eastAsia" w:ascii="Times New Roman" w:hAnsi="Times New Roman" w:eastAsia="仿宋_GB2312"/>
          <w:color w:val="auto"/>
          <w:sz w:val="32"/>
          <w:szCs w:val="32"/>
          <w:lang w:val="en-US" w:eastAsia="zh-CN"/>
        </w:rPr>
        <w:t>名，其中：行政编制</w:t>
      </w:r>
      <w:r>
        <w:rPr>
          <w:rFonts w:hint="default"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lang w:val="en-US" w:eastAsia="zh-CN"/>
        </w:rPr>
        <w:t>人，其他事业编制</w:t>
      </w:r>
      <w:r>
        <w:rPr>
          <w:rFonts w:hint="default"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lang w:val="en-US" w:eastAsia="zh-CN"/>
        </w:rPr>
        <w:t>人。</w:t>
      </w:r>
      <w:r>
        <w:rPr>
          <w:rFonts w:hint="default" w:ascii="Times New Roman" w:hAnsi="Times New Roman" w:eastAsia="仿宋_GB2312"/>
          <w:color w:val="auto"/>
          <w:sz w:val="32"/>
          <w:szCs w:val="32"/>
          <w:lang w:val="en-US" w:eastAsia="zh-CN"/>
        </w:rPr>
        <w:t>2019</w:t>
      </w:r>
      <w:r>
        <w:rPr>
          <w:rFonts w:hint="eastAsia" w:ascii="Times New Roman" w:hAnsi="Times New Roman" w:eastAsia="仿宋_GB2312"/>
          <w:color w:val="auto"/>
          <w:sz w:val="32"/>
          <w:szCs w:val="32"/>
          <w:lang w:val="en-US" w:eastAsia="zh-CN"/>
        </w:rPr>
        <w:t>年末实有在职编制内人员</w:t>
      </w:r>
      <w:r>
        <w:rPr>
          <w:rFonts w:hint="default"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lang w:val="en-US" w:eastAsia="zh-CN"/>
        </w:rPr>
        <w:t>人，其中：行政人员</w:t>
      </w:r>
      <w:r>
        <w:rPr>
          <w:rFonts w:hint="default" w:ascii="Times New Roman" w:hAnsi="Times New Roman" w:eastAsia="仿宋_GB2312"/>
          <w:color w:val="auto"/>
          <w:sz w:val="32"/>
          <w:szCs w:val="32"/>
          <w:lang w:val="en-US" w:eastAsia="zh-CN"/>
        </w:rPr>
        <w:t>12</w:t>
      </w:r>
      <w:r>
        <w:rPr>
          <w:rFonts w:hint="eastAsia" w:ascii="Times New Roman" w:hAnsi="Times New Roman" w:eastAsia="仿宋_GB2312"/>
          <w:color w:val="auto"/>
          <w:sz w:val="32"/>
          <w:szCs w:val="32"/>
          <w:lang w:val="en-US" w:eastAsia="zh-CN"/>
        </w:rPr>
        <w:t>人，其他事业人员</w:t>
      </w:r>
      <w:r>
        <w:rPr>
          <w:rFonts w:hint="default"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lang w:val="en-US" w:eastAsia="zh-CN"/>
        </w:rPr>
        <w:t>人。较去年</w:t>
      </w:r>
      <w:r>
        <w:rPr>
          <w:rFonts w:hint="default"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lang w:val="en-US" w:eastAsia="zh-CN"/>
        </w:rPr>
        <w:t>人持平。按财政供给率分，财政全额供给</w:t>
      </w:r>
      <w:r>
        <w:rPr>
          <w:rFonts w:hint="default"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lang w:val="en-US" w:eastAsia="zh-CN"/>
        </w:rPr>
        <w:t>人。区经济和信息化局退休</w:t>
      </w:r>
      <w:r>
        <w:rPr>
          <w:rFonts w:hint="default"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lang w:val="en-US" w:eastAsia="zh-CN"/>
        </w:rPr>
        <w:t>人，行政人员</w:t>
      </w:r>
      <w:r>
        <w:rPr>
          <w:rFonts w:hint="default"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lang w:val="en-US" w:eastAsia="zh-CN"/>
        </w:rPr>
        <w:t>人，其他事业人员</w:t>
      </w:r>
      <w:r>
        <w:rPr>
          <w:rFonts w:hint="default"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lang w:val="en-US" w:eastAsia="zh-CN"/>
        </w:rPr>
        <w:t>人。</w:t>
      </w:r>
    </w:p>
    <w:p w14:paraId="3CFE7D1A">
      <w:pPr>
        <w:pageBreakBefore w:val="0"/>
        <w:kinsoku/>
        <w:wordWrap/>
        <w:overflowPunct/>
        <w:topLinePunct w:val="0"/>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14:paraId="3B829097">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（一）部门财政资金收入情况。</w:t>
      </w:r>
    </w:p>
    <w:p w14:paraId="5440579A">
      <w:pPr>
        <w:pStyle w:val="2"/>
        <w:pageBreakBefore w:val="0"/>
        <w:kinsoku/>
        <w:wordWrap/>
        <w:overflowPunct/>
        <w:topLinePunct w:val="0"/>
        <w:bidi w:val="0"/>
        <w:spacing w:beforeLines="0" w:line="576" w:lineRule="exact"/>
        <w:ind w:firstLine="640" w:firstLineChars="200"/>
      </w:pPr>
      <w:r>
        <w:rPr>
          <w:rFonts w:hint="eastAsia" w:ascii="仿宋" w:hAnsi="仿宋" w:eastAsia="仿宋"/>
          <w:sz w:val="32"/>
        </w:rPr>
        <w:t>2019</w:t>
      </w:r>
      <w:r>
        <w:rPr>
          <w:rFonts w:hint="eastAsia" w:ascii="仿宋" w:hAnsi="仿宋" w:eastAsia="仿宋"/>
          <w:spacing w:val="-17"/>
          <w:sz w:val="32"/>
        </w:rPr>
        <w:t>年本年收入合计</w:t>
      </w:r>
      <w:r>
        <w:rPr>
          <w:rFonts w:hint="eastAsia" w:ascii="仿宋" w:hAnsi="仿宋" w:eastAsia="仿宋"/>
          <w:sz w:val="32"/>
        </w:rPr>
        <w:t>838.13</w:t>
      </w:r>
      <w:r>
        <w:rPr>
          <w:rFonts w:hint="eastAsia" w:ascii="仿宋" w:hAnsi="仿宋" w:eastAsia="仿宋"/>
          <w:spacing w:val="-5"/>
          <w:sz w:val="32"/>
        </w:rPr>
        <w:t>万元，其中：一般公共预</w:t>
      </w:r>
      <w:r>
        <w:rPr>
          <w:rFonts w:hint="eastAsia" w:ascii="仿宋" w:hAnsi="仿宋" w:eastAsia="仿宋"/>
          <w:spacing w:val="-9"/>
          <w:sz w:val="32"/>
        </w:rPr>
        <w:t>算财政拨款收入</w:t>
      </w:r>
      <w:r>
        <w:rPr>
          <w:rFonts w:hint="eastAsia" w:ascii="仿宋" w:hAnsi="仿宋" w:eastAsia="仿宋"/>
          <w:sz w:val="32"/>
        </w:rPr>
        <w:t>838.13</w:t>
      </w:r>
      <w:r>
        <w:rPr>
          <w:rFonts w:hint="eastAsia" w:ascii="仿宋" w:hAnsi="仿宋" w:eastAsia="仿宋"/>
          <w:spacing w:val="-27"/>
          <w:sz w:val="32"/>
        </w:rPr>
        <w:t>万元，占</w:t>
      </w:r>
      <w:r>
        <w:rPr>
          <w:rFonts w:hint="eastAsia" w:ascii="仿宋" w:hAnsi="仿宋" w:eastAsia="仿宋"/>
          <w:sz w:val="32"/>
        </w:rPr>
        <w:t>100%</w:t>
      </w:r>
    </w:p>
    <w:p w14:paraId="5D48B0FF">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（二）部门财政资金支出情况。</w:t>
      </w:r>
    </w:p>
    <w:p w14:paraId="2BC3E415">
      <w:pPr>
        <w:pStyle w:val="2"/>
        <w:pageBreakBefore w:val="0"/>
        <w:kinsoku/>
        <w:wordWrap/>
        <w:overflowPunct/>
        <w:topLinePunct w:val="0"/>
        <w:bidi w:val="0"/>
        <w:spacing w:beforeLines="0" w:line="576" w:lineRule="exact"/>
        <w:ind w:firstLine="640" w:firstLineChars="200"/>
        <w:rPr>
          <w:rFonts w:hint="eastAsia" w:ascii="仿宋" w:hAnsi="仿宋" w:eastAsia="仿宋"/>
          <w:sz w:val="32"/>
          <w:lang w:val="en-US" w:eastAsia="zh-CN"/>
        </w:rPr>
      </w:pPr>
      <w:r>
        <w:rPr>
          <w:rFonts w:hint="eastAsia" w:ascii="仿宋" w:hAnsi="仿宋" w:eastAsia="仿宋"/>
          <w:sz w:val="32"/>
        </w:rPr>
        <w:t>2019年本年支出合计1388.70万元，其中：基本支出356.46万元，占25.67%；项目支出1032.24万元，占74.33%</w:t>
      </w:r>
      <w:r>
        <w:rPr>
          <w:rFonts w:hint="eastAsia" w:ascii="仿宋" w:hAnsi="仿宋" w:eastAsia="仿宋"/>
          <w:sz w:val="32"/>
          <w:lang w:eastAsia="zh-CN"/>
        </w:rPr>
        <w:t>。</w:t>
      </w:r>
    </w:p>
    <w:p w14:paraId="2D3B79EB">
      <w:pPr>
        <w:pageBreakBefore w:val="0"/>
        <w:numPr>
          <w:ilvl w:val="0"/>
          <w:numId w:val="1"/>
        </w:numPr>
        <w:kinsoku/>
        <w:wordWrap/>
        <w:overflowPunct/>
        <w:topLinePunct w:val="0"/>
        <w:bidi w:val="0"/>
        <w:spacing w:line="576" w:lineRule="exact"/>
        <w:ind w:left="1360" w:leftChars="0" w:hanging="720" w:firstLineChars="0"/>
        <w:rPr>
          <w:rFonts w:hint="eastAsia" w:ascii="黑体" w:hAnsi="黑体" w:eastAsia="黑体" w:cs="黑体"/>
          <w:sz w:val="32"/>
          <w:szCs w:val="32"/>
        </w:rPr>
      </w:pPr>
      <w:r>
        <w:rPr>
          <w:rFonts w:hint="eastAsia" w:ascii="黑体" w:hAnsi="黑体" w:eastAsia="黑体" w:cs="黑体"/>
          <w:sz w:val="32"/>
          <w:szCs w:val="32"/>
        </w:rPr>
        <w:t>部门整体预算绩效管理情况</w:t>
      </w:r>
    </w:p>
    <w:p w14:paraId="5E6A3E10">
      <w:pPr>
        <w:pageBreakBefore w:val="0"/>
        <w:numPr>
          <w:ilvl w:val="0"/>
          <w:numId w:val="0"/>
        </w:numPr>
        <w:kinsoku/>
        <w:wordWrap/>
        <w:overflowPunct/>
        <w:topLinePunct w:val="0"/>
        <w:bidi w:val="0"/>
        <w:spacing w:line="576" w:lineRule="exact"/>
        <w:ind w:left="640" w:leftChars="0"/>
        <w:rPr>
          <w:rFonts w:ascii="仿宋" w:hAnsi="仿宋" w:eastAsia="仿宋" w:cs="仿宋_GB2312"/>
          <w:sz w:val="32"/>
          <w:szCs w:val="32"/>
        </w:rPr>
      </w:pPr>
      <w:r>
        <w:rPr>
          <w:rFonts w:hint="eastAsia" w:ascii="仿宋" w:hAnsi="仿宋" w:eastAsia="仿宋" w:cs="仿宋_GB2312"/>
          <w:sz w:val="32"/>
          <w:szCs w:val="32"/>
        </w:rPr>
        <w:t>（一）部门预算管理。</w:t>
      </w:r>
    </w:p>
    <w:p w14:paraId="1357A09A">
      <w:pPr>
        <w:pStyle w:val="2"/>
        <w:pageBreakBefore w:val="0"/>
        <w:kinsoku/>
        <w:wordWrap/>
        <w:overflowPunct/>
        <w:topLinePunct w:val="0"/>
        <w:bidi w:val="0"/>
        <w:spacing w:beforeLines="0" w:line="576"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加强内部控制。我单位历来重视单位内部管理制度建设及监督，加强财务管理，强化财务监督，增强法纪观念，遵守规章制度。为保证财务管理工作规范有序进行，2019年我们加强内部控制和监督。对各项资金的管理、经费收支审批等均作了明确规定，正确组织资金的筹集、调度和使用，债权债务及时结算、结清。各项经费支出实行限额把关、一支笔审批制度。</w:t>
      </w:r>
    </w:p>
    <w:p w14:paraId="3A23ACA1">
      <w:pPr>
        <w:pageBreakBefore w:val="0"/>
        <w:kinsoku/>
        <w:wordWrap/>
        <w:overflowPunct/>
        <w:topLinePunct w:val="0"/>
        <w:bidi w:val="0"/>
        <w:spacing w:line="576" w:lineRule="exact"/>
        <w:ind w:firstLine="632" w:firstLineChars="200"/>
        <w:rPr>
          <w:rFonts w:hint="eastAsia" w:ascii="仿宋" w:hAnsi="仿宋" w:eastAsia="仿宋"/>
          <w:sz w:val="32"/>
          <w:lang w:eastAsia="zh-CN"/>
        </w:rPr>
      </w:pPr>
      <w:r>
        <w:rPr>
          <w:rFonts w:hint="eastAsia" w:ascii="仿宋" w:hAnsi="仿宋" w:eastAsia="仿宋"/>
          <w:spacing w:val="6"/>
          <w:w w:val="95"/>
          <w:sz w:val="32"/>
          <w:lang w:val="en-US" w:eastAsia="zh-CN"/>
        </w:rPr>
        <w:t>2.</w:t>
      </w:r>
      <w:r>
        <w:rPr>
          <w:rFonts w:hint="eastAsia" w:ascii="仿宋" w:hAnsi="仿宋" w:eastAsia="仿宋"/>
          <w:spacing w:val="6"/>
          <w:w w:val="95"/>
          <w:sz w:val="32"/>
        </w:rPr>
        <w:t>强化制度执行。切实做好厉行节约工作，全面落实</w:t>
      </w:r>
      <w:r>
        <w:rPr>
          <w:rFonts w:hint="eastAsia" w:ascii="仿宋" w:hAnsi="仿宋" w:eastAsia="仿宋"/>
          <w:spacing w:val="6"/>
          <w:sz w:val="32"/>
        </w:rPr>
        <w:t>各项管理制度要求，努力降低行政成本。严格公务接待费</w:t>
      </w:r>
      <w:r>
        <w:rPr>
          <w:rFonts w:hint="eastAsia" w:ascii="仿宋" w:hAnsi="仿宋" w:eastAsia="仿宋"/>
          <w:sz w:val="32"/>
        </w:rPr>
        <w:t>差旅费、会议费和培训费审核审批程序，加强对公务用车的管理，实行限额把关、一支笔审批制度，做到一事一公函、一事一审批、一事一结账，会议费和培训费严格按年初计划和制度规定的标准执行。“三公”经费较好地控制在预算范围之内</w:t>
      </w:r>
      <w:r>
        <w:rPr>
          <w:rFonts w:hint="eastAsia" w:ascii="仿宋" w:hAnsi="仿宋" w:eastAsia="仿宋"/>
          <w:sz w:val="32"/>
          <w:lang w:eastAsia="zh-CN"/>
        </w:rPr>
        <w:t>。</w:t>
      </w:r>
    </w:p>
    <w:p w14:paraId="6700AF4C">
      <w:pPr>
        <w:pageBreakBefore w:val="0"/>
        <w:kinsoku/>
        <w:wordWrap/>
        <w:overflowPunct/>
        <w:topLinePunct w:val="0"/>
        <w:bidi w:val="0"/>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14:paraId="7037D3C5">
      <w:pPr>
        <w:pStyle w:val="2"/>
        <w:pageBreakBefore w:val="0"/>
        <w:kinsoku/>
        <w:wordWrap/>
        <w:overflowPunct/>
        <w:topLinePunct w:val="0"/>
        <w:bidi w:val="0"/>
        <w:spacing w:beforeLines="0" w:line="576"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专项经费预算项目程序严密、规划合理、结果符合、分</w:t>
      </w:r>
    </w:p>
    <w:p w14:paraId="7E9A7B9D">
      <w:pPr>
        <w:pStyle w:val="2"/>
        <w:pageBreakBefore w:val="0"/>
        <w:kinsoku/>
        <w:wordWrap/>
        <w:overflowPunct/>
        <w:topLinePunct w:val="0"/>
        <w:bidi w:val="0"/>
        <w:spacing w:beforeLines="0" w:line="576" w:lineRule="exact"/>
        <w:rPr>
          <w:rFonts w:hint="eastAsia" w:ascii="仿宋" w:hAnsi="仿宋" w:eastAsia="仿宋"/>
          <w:sz w:val="32"/>
          <w:lang w:val="en-US" w:eastAsia="zh-CN"/>
        </w:rPr>
      </w:pPr>
      <w:r>
        <w:rPr>
          <w:rFonts w:hint="eastAsia" w:ascii="仿宋" w:hAnsi="仿宋" w:eastAsia="仿宋"/>
          <w:sz w:val="32"/>
          <w:lang w:val="en-US" w:eastAsia="zh-CN"/>
        </w:rPr>
        <w:t>配科学、分配及时。专项预算绩效实行目标完成绩效评价体制、实施绩效进行考核评分，严格按照项目规范程序实施，</w:t>
      </w:r>
    </w:p>
    <w:p w14:paraId="065DE5EF">
      <w:pPr>
        <w:pStyle w:val="2"/>
        <w:pageBreakBefore w:val="0"/>
        <w:kinsoku/>
        <w:wordWrap/>
        <w:overflowPunct/>
        <w:topLinePunct w:val="0"/>
        <w:bidi w:val="0"/>
        <w:spacing w:beforeLines="0" w:line="576" w:lineRule="exact"/>
        <w:rPr>
          <w:rFonts w:ascii="仿宋" w:hAnsi="仿宋" w:eastAsia="仿宋" w:cs="仿宋_GB2312"/>
          <w:sz w:val="32"/>
          <w:szCs w:val="32"/>
        </w:rPr>
      </w:pPr>
      <w:r>
        <w:rPr>
          <w:rFonts w:hint="eastAsia" w:ascii="仿宋" w:hAnsi="仿宋" w:eastAsia="仿宋"/>
          <w:sz w:val="32"/>
          <w:lang w:val="en-US" w:eastAsia="zh-CN"/>
        </w:rPr>
        <w:t>严格项目款项拨付进度和程序，一年来专项预算经费管理无违规违纪现象。</w:t>
      </w:r>
    </w:p>
    <w:p w14:paraId="1B82C250">
      <w:pPr>
        <w:pageBreakBefore w:val="0"/>
        <w:kinsoku/>
        <w:wordWrap/>
        <w:overflowPunct/>
        <w:topLinePunct w:val="0"/>
        <w:bidi w:val="0"/>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14:paraId="4F32FDA0">
      <w:pPr>
        <w:pageBreakBefore w:val="0"/>
        <w:kinsoku/>
        <w:wordWrap/>
        <w:overflowPunct/>
        <w:topLinePunct w:val="0"/>
        <w:bidi w:val="0"/>
        <w:spacing w:line="576" w:lineRule="exact"/>
        <w:ind w:firstLine="692" w:firstLineChars="200"/>
        <w:rPr>
          <w:rFonts w:hint="eastAsia" w:ascii="仿宋" w:hAnsi="仿宋" w:eastAsia="仿宋"/>
          <w:spacing w:val="13"/>
          <w:sz w:val="32"/>
        </w:rPr>
      </w:pPr>
      <w:r>
        <w:rPr>
          <w:rFonts w:hint="eastAsia" w:ascii="仿宋" w:hAnsi="仿宋" w:eastAsia="仿宋"/>
          <w:spacing w:val="13"/>
          <w:sz w:val="32"/>
        </w:rPr>
        <w:t>我局对部门预算管理工作开展情况认真进行了自查自</w:t>
      </w:r>
      <w:r>
        <w:rPr>
          <w:rFonts w:hint="eastAsia" w:ascii="仿宋" w:hAnsi="仿宋" w:eastAsia="仿宋"/>
          <w:spacing w:val="-1"/>
          <w:sz w:val="32"/>
        </w:rPr>
        <w:t>评。将评价结果作为预算安排的重要依据，参照项目年度</w:t>
      </w:r>
      <w:r>
        <w:rPr>
          <w:rFonts w:hint="eastAsia" w:ascii="仿宋" w:hAnsi="仿宋" w:eastAsia="仿宋"/>
          <w:spacing w:val="13"/>
          <w:sz w:val="32"/>
        </w:rPr>
        <w:t>预算执行情况、“三年滚动规划”执行情况统筹项目支出需求，保障重点支出，调整支出结构，优化财政资金配置，不断强化绩效理念，推动我局部门整体绩效管理水平不断提升。</w:t>
      </w:r>
    </w:p>
    <w:p w14:paraId="27E7EDB3">
      <w:pPr>
        <w:pageBreakBefore w:val="0"/>
        <w:kinsoku/>
        <w:wordWrap/>
        <w:overflowPunct/>
        <w:topLinePunct w:val="0"/>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14:paraId="19DE79B2">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（一）评价结论。</w:t>
      </w:r>
    </w:p>
    <w:p w14:paraId="3C5B0B87">
      <w:pPr>
        <w:pageBreakBefore w:val="0"/>
        <w:kinsoku/>
        <w:wordWrap/>
        <w:overflowPunct/>
        <w:topLinePunct w:val="0"/>
        <w:bidi w:val="0"/>
        <w:spacing w:line="576" w:lineRule="exact"/>
        <w:ind w:firstLine="692" w:firstLineChars="200"/>
        <w:rPr>
          <w:rFonts w:hint="eastAsia" w:ascii="仿宋" w:hAnsi="仿宋" w:eastAsia="仿宋"/>
          <w:spacing w:val="13"/>
          <w:sz w:val="32"/>
        </w:rPr>
      </w:pPr>
      <w:r>
        <w:rPr>
          <w:rFonts w:hint="eastAsia" w:ascii="仿宋" w:hAnsi="仿宋" w:eastAsia="仿宋"/>
          <w:spacing w:val="13"/>
          <w:sz w:val="32"/>
        </w:rPr>
        <w:t>2019年我局部门整体支出绩效评价自查自评结果良好，全年基本支出保证了部门的正常运行和日常工作的正常开展，项目支出保障了重点工作的开展，达到预期绩效目标。按照《财政厅关于开展2019年部门整体支出绩效评价工作的通知》（川财绩[2019]4号）新出台的绩效评价指标体系进行了自评。</w:t>
      </w:r>
    </w:p>
    <w:p w14:paraId="19AA59E2">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（二）存在问题。</w:t>
      </w:r>
    </w:p>
    <w:p w14:paraId="3DDBC128">
      <w:pPr>
        <w:pStyle w:val="29"/>
        <w:pageBreakBefore w:val="0"/>
        <w:numPr>
          <w:ilvl w:val="0"/>
          <w:numId w:val="0"/>
        </w:numPr>
        <w:tabs>
          <w:tab w:val="left" w:pos="1900"/>
        </w:tabs>
        <w:kinsoku/>
        <w:wordWrap/>
        <w:overflowPunct/>
        <w:topLinePunct w:val="0"/>
        <w:bidi w:val="0"/>
        <w:spacing w:line="576" w:lineRule="exact"/>
        <w:ind w:firstLine="640" w:firstLineChars="200"/>
        <w:rPr>
          <w:rFonts w:hint="eastAsia" w:ascii="仿宋" w:hAnsi="仿宋" w:eastAsia="仿宋"/>
          <w:sz w:val="32"/>
        </w:rPr>
      </w:pPr>
      <w:r>
        <w:rPr>
          <w:rFonts w:hint="eastAsia" w:ascii="仿宋" w:hAnsi="仿宋" w:eastAsia="仿宋"/>
          <w:sz w:val="32"/>
          <w:lang w:val="en-US" w:eastAsia="zh-CN"/>
        </w:rPr>
        <w:t>1.</w:t>
      </w:r>
      <w:r>
        <w:rPr>
          <w:rFonts w:hint="eastAsia" w:ascii="仿宋" w:hAnsi="仿宋" w:eastAsia="仿宋"/>
          <w:sz w:val="32"/>
        </w:rPr>
        <w:t>绩效目标设定有待更科学更合理。</w:t>
      </w:r>
    </w:p>
    <w:p w14:paraId="5A854F6E">
      <w:pPr>
        <w:pStyle w:val="2"/>
        <w:pageBreakBefore w:val="0"/>
        <w:kinsoku/>
        <w:wordWrap/>
        <w:overflowPunct/>
        <w:topLinePunct w:val="0"/>
        <w:bidi w:val="0"/>
        <w:spacing w:beforeLines="0" w:line="576" w:lineRule="exact"/>
        <w:ind w:firstLine="640" w:firstLineChars="200"/>
        <w:rPr>
          <w:rFonts w:hint="default" w:eastAsia="仿宋_GB2312"/>
          <w:lang w:val="en-US" w:eastAsia="zh-CN"/>
        </w:rPr>
      </w:pPr>
      <w:r>
        <w:rPr>
          <w:rFonts w:hint="eastAsia" w:ascii="仿宋" w:hAnsi="仿宋" w:eastAsia="仿宋"/>
          <w:sz w:val="32"/>
          <w:lang w:val="en-US" w:eastAsia="zh-CN"/>
        </w:rPr>
        <w:t>2.</w:t>
      </w:r>
      <w:r>
        <w:rPr>
          <w:rFonts w:hint="eastAsia" w:ascii="仿宋" w:hAnsi="仿宋" w:eastAsia="仿宋"/>
          <w:sz w:val="32"/>
        </w:rPr>
        <w:t>日常办公开支公务卡结算比率有待提高。</w:t>
      </w:r>
    </w:p>
    <w:p w14:paraId="707EB22C">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（三）改进建议。</w:t>
      </w:r>
    </w:p>
    <w:p w14:paraId="790C78DF">
      <w:pPr>
        <w:pageBreakBefore w:val="0"/>
        <w:kinsoku/>
        <w:wordWrap/>
        <w:overflowPunct/>
        <w:topLinePunct w:val="0"/>
        <w:bidi w:val="0"/>
        <w:spacing w:line="576" w:lineRule="exact"/>
        <w:ind w:firstLine="692" w:firstLineChars="200"/>
        <w:rPr>
          <w:rFonts w:hint="eastAsia" w:ascii="仿宋" w:hAnsi="仿宋" w:eastAsia="仿宋"/>
          <w:spacing w:val="13"/>
          <w:sz w:val="32"/>
        </w:rPr>
      </w:pPr>
      <w:r>
        <w:rPr>
          <w:rFonts w:hint="eastAsia" w:ascii="仿宋" w:hAnsi="仿宋" w:eastAsia="仿宋"/>
          <w:spacing w:val="13"/>
          <w:sz w:val="32"/>
        </w:rPr>
        <w:t>针对存在的问题，我局将进一步科学设定绩效目标，加强预算执行管理。一是改进部门收支预算编制，夯实预算基础工作，提高预算编制质量；二是认真研究政策，加强项目绩效目标审核，力求科学合理；三是认真研究重点项目的执行，特别是涉及政府采购的项目，提高规划，提前实施，确保项目顺利实施，提高财政资金的使用效益。</w:t>
      </w:r>
    </w:p>
    <w:p w14:paraId="6C7FF726">
      <w:pPr>
        <w:pStyle w:val="2"/>
        <w:pageBreakBefore w:val="0"/>
        <w:kinsoku/>
        <w:wordWrap/>
        <w:overflowPunct/>
        <w:topLinePunct w:val="0"/>
        <w:bidi w:val="0"/>
        <w:spacing w:beforeLines="0" w:line="576" w:lineRule="exact"/>
        <w:ind w:firstLine="480" w:firstLineChars="200"/>
      </w:pPr>
    </w:p>
    <w:p w14:paraId="18ACA53F">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p>
    <w:p w14:paraId="4D99A65C">
      <w:pPr>
        <w:pageBreakBefore w:val="0"/>
        <w:widowControl/>
        <w:kinsoku/>
        <w:wordWrap/>
        <w:overflowPunct/>
        <w:topLinePunct w:val="0"/>
        <w:bidi w:val="0"/>
        <w:spacing w:line="576"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36AB30B8">
      <w:pPr>
        <w:pageBreakBefore w:val="0"/>
        <w:kinsoku/>
        <w:wordWrap/>
        <w:overflowPunct/>
        <w:topLinePunct w:val="0"/>
        <w:bidi w:val="0"/>
        <w:spacing w:line="576" w:lineRule="exact"/>
        <w:jc w:val="center"/>
        <w:outlineLvl w:val="0"/>
        <w:rPr>
          <w:rStyle w:val="19"/>
          <w:rFonts w:ascii="黑体" w:hAnsi="黑体" w:eastAsia="黑体"/>
          <w:b w:val="0"/>
        </w:rPr>
      </w:pPr>
      <w:bookmarkStart w:id="52" w:name="_Toc15396618"/>
      <w:r>
        <w:rPr>
          <w:rFonts w:hint="eastAsia" w:ascii="黑体" w:hAnsi="黑体" w:eastAsia="黑体"/>
          <w:color w:val="000000"/>
          <w:sz w:val="44"/>
          <w:szCs w:val="44"/>
        </w:rPr>
        <w:t>第</w:t>
      </w:r>
      <w:r>
        <w:rPr>
          <w:rStyle w:val="19"/>
          <w:rFonts w:hint="eastAsia" w:ascii="黑体" w:hAnsi="黑体" w:eastAsia="黑体"/>
          <w:b w:val="0"/>
        </w:rPr>
        <w:t>五部分附表</w:t>
      </w:r>
      <w:bookmarkEnd w:id="49"/>
      <w:bookmarkEnd w:id="52"/>
    </w:p>
    <w:p w14:paraId="43F7DDB0">
      <w:pPr>
        <w:pageBreakBefore w:val="0"/>
        <w:kinsoku/>
        <w:wordWrap/>
        <w:overflowPunct/>
        <w:topLinePunct w:val="0"/>
        <w:bidi w:val="0"/>
        <w:spacing w:line="576" w:lineRule="exact"/>
        <w:jc w:val="center"/>
        <w:outlineLvl w:val="0"/>
        <w:rPr>
          <w:rFonts w:ascii="仿宋" w:hAnsi="仿宋" w:eastAsia="仿宋"/>
          <w:b/>
          <w:color w:val="000000"/>
          <w:sz w:val="44"/>
          <w:szCs w:val="44"/>
        </w:rPr>
      </w:pPr>
    </w:p>
    <w:p w14:paraId="22537492">
      <w:pPr>
        <w:pStyle w:val="4"/>
        <w:pageBreakBefore w:val="0"/>
        <w:kinsoku/>
        <w:wordWrap/>
        <w:overflowPunct/>
        <w:topLinePunct w:val="0"/>
        <w:bidi w:val="0"/>
        <w:spacing w:before="0" w:after="0" w:line="576" w:lineRule="exact"/>
        <w:rPr>
          <w:rFonts w:ascii="仿宋" w:hAnsi="仿宋" w:eastAsia="仿宋"/>
          <w:color w:val="000000"/>
        </w:rPr>
      </w:pPr>
      <w:bookmarkStart w:id="53"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53"/>
    </w:p>
    <w:p w14:paraId="78E861EB">
      <w:pPr>
        <w:pStyle w:val="4"/>
        <w:pageBreakBefore w:val="0"/>
        <w:kinsoku/>
        <w:wordWrap/>
        <w:overflowPunct/>
        <w:topLinePunct w:val="0"/>
        <w:bidi w:val="0"/>
        <w:spacing w:before="0" w:after="0" w:line="576" w:lineRule="exact"/>
        <w:rPr>
          <w:rFonts w:ascii="仿宋" w:hAnsi="仿宋" w:eastAsia="仿宋"/>
          <w:color w:val="000000"/>
        </w:rPr>
      </w:pPr>
      <w:bookmarkStart w:id="54" w:name="_Toc15396620"/>
      <w:r>
        <w:rPr>
          <w:rFonts w:hint="eastAsia" w:ascii="仿宋" w:hAnsi="仿宋" w:eastAsia="仿宋"/>
          <w:b w:val="0"/>
          <w:color w:val="000000"/>
        </w:rPr>
        <w:t>二、收</w:t>
      </w:r>
      <w:r>
        <w:rPr>
          <w:rStyle w:val="20"/>
          <w:rFonts w:hint="eastAsia" w:ascii="仿宋" w:hAnsi="仿宋" w:eastAsia="仿宋"/>
          <w:b w:val="0"/>
          <w:bCs w:val="0"/>
        </w:rPr>
        <w:t>入总表</w:t>
      </w:r>
      <w:bookmarkEnd w:id="54"/>
    </w:p>
    <w:p w14:paraId="2870C357">
      <w:pPr>
        <w:pStyle w:val="4"/>
        <w:pageBreakBefore w:val="0"/>
        <w:kinsoku/>
        <w:wordWrap/>
        <w:overflowPunct/>
        <w:topLinePunct w:val="0"/>
        <w:bidi w:val="0"/>
        <w:spacing w:before="0" w:after="0" w:line="576" w:lineRule="exact"/>
        <w:rPr>
          <w:rFonts w:ascii="仿宋" w:hAnsi="仿宋" w:eastAsia="仿宋"/>
          <w:color w:val="000000"/>
        </w:rPr>
      </w:pPr>
      <w:bookmarkStart w:id="55"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出总表</w:t>
      </w:r>
      <w:bookmarkEnd w:id="55"/>
    </w:p>
    <w:p w14:paraId="3954F5CC">
      <w:pPr>
        <w:pStyle w:val="4"/>
        <w:pageBreakBefore w:val="0"/>
        <w:kinsoku/>
        <w:wordWrap/>
        <w:overflowPunct/>
        <w:topLinePunct w:val="0"/>
        <w:bidi w:val="0"/>
        <w:spacing w:before="0" w:after="0" w:line="576" w:lineRule="exact"/>
        <w:rPr>
          <w:rFonts w:ascii="仿宋" w:hAnsi="仿宋" w:eastAsia="仿宋"/>
          <w:b w:val="0"/>
          <w:color w:val="000000"/>
        </w:rPr>
      </w:pPr>
      <w:bookmarkStart w:id="56"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56"/>
    </w:p>
    <w:p w14:paraId="48CF8BF2">
      <w:pPr>
        <w:pStyle w:val="4"/>
        <w:pageBreakBefore w:val="0"/>
        <w:kinsoku/>
        <w:wordWrap/>
        <w:overflowPunct/>
        <w:topLinePunct w:val="0"/>
        <w:bidi w:val="0"/>
        <w:spacing w:before="0" w:after="0" w:line="576" w:lineRule="exact"/>
        <w:rPr>
          <w:rFonts w:ascii="仿宋" w:hAnsi="仿宋" w:eastAsia="仿宋"/>
          <w:color w:val="000000"/>
        </w:rPr>
      </w:pPr>
      <w:bookmarkStart w:id="57"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政拨款支出决算明细表（政府经济分类科目）</w:t>
      </w:r>
      <w:bookmarkEnd w:id="57"/>
    </w:p>
    <w:p w14:paraId="5E80FFD7">
      <w:pPr>
        <w:pStyle w:val="4"/>
        <w:pageBreakBefore w:val="0"/>
        <w:kinsoku/>
        <w:wordWrap/>
        <w:overflowPunct/>
        <w:topLinePunct w:val="0"/>
        <w:bidi w:val="0"/>
        <w:spacing w:before="0" w:after="0" w:line="576" w:lineRule="exact"/>
        <w:rPr>
          <w:rFonts w:ascii="仿宋" w:hAnsi="仿宋" w:eastAsia="仿宋"/>
          <w:color w:val="000000"/>
        </w:rPr>
      </w:pPr>
      <w:bookmarkStart w:id="58" w:name="_Toc15396624"/>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58"/>
    </w:p>
    <w:p w14:paraId="66E5D8BB">
      <w:pPr>
        <w:pStyle w:val="4"/>
        <w:pageBreakBefore w:val="0"/>
        <w:kinsoku/>
        <w:wordWrap/>
        <w:overflowPunct/>
        <w:topLinePunct w:val="0"/>
        <w:bidi w:val="0"/>
        <w:spacing w:before="0" w:after="0" w:line="576" w:lineRule="exact"/>
        <w:rPr>
          <w:rFonts w:ascii="仿宋" w:hAnsi="仿宋" w:eastAsia="仿宋"/>
          <w:color w:val="000000"/>
        </w:rPr>
      </w:pPr>
      <w:bookmarkStart w:id="59"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59"/>
    </w:p>
    <w:p w14:paraId="2643F12C">
      <w:pPr>
        <w:pStyle w:val="4"/>
        <w:pageBreakBefore w:val="0"/>
        <w:kinsoku/>
        <w:wordWrap/>
        <w:overflowPunct/>
        <w:topLinePunct w:val="0"/>
        <w:bidi w:val="0"/>
        <w:spacing w:before="0" w:after="0" w:line="576" w:lineRule="exact"/>
        <w:rPr>
          <w:rFonts w:ascii="仿宋" w:hAnsi="仿宋" w:eastAsia="仿宋"/>
          <w:color w:val="000000"/>
        </w:rPr>
      </w:pPr>
      <w:bookmarkStart w:id="60"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60"/>
    </w:p>
    <w:p w14:paraId="713CD9FD">
      <w:pPr>
        <w:pStyle w:val="4"/>
        <w:pageBreakBefore w:val="0"/>
        <w:kinsoku/>
        <w:wordWrap/>
        <w:overflowPunct/>
        <w:topLinePunct w:val="0"/>
        <w:bidi w:val="0"/>
        <w:spacing w:before="0" w:after="0" w:line="576" w:lineRule="exact"/>
        <w:rPr>
          <w:rFonts w:ascii="仿宋" w:hAnsi="仿宋" w:eastAsia="仿宋"/>
          <w:color w:val="000000"/>
        </w:rPr>
      </w:pPr>
      <w:bookmarkStart w:id="61"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61"/>
    </w:p>
    <w:p w14:paraId="20554259">
      <w:pPr>
        <w:pStyle w:val="4"/>
        <w:pageBreakBefore w:val="0"/>
        <w:kinsoku/>
        <w:wordWrap/>
        <w:overflowPunct/>
        <w:topLinePunct w:val="0"/>
        <w:bidi w:val="0"/>
        <w:spacing w:before="0" w:after="0" w:line="576" w:lineRule="exact"/>
        <w:rPr>
          <w:rFonts w:ascii="仿宋" w:hAnsi="仿宋" w:eastAsia="仿宋"/>
          <w:color w:val="000000"/>
        </w:rPr>
      </w:pPr>
      <w:bookmarkStart w:id="62"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62"/>
    </w:p>
    <w:p w14:paraId="7C969870">
      <w:pPr>
        <w:pStyle w:val="4"/>
        <w:pageBreakBefore w:val="0"/>
        <w:kinsoku/>
        <w:wordWrap/>
        <w:overflowPunct/>
        <w:topLinePunct w:val="0"/>
        <w:bidi w:val="0"/>
        <w:spacing w:before="0" w:after="0" w:line="576" w:lineRule="exact"/>
        <w:rPr>
          <w:rFonts w:ascii="仿宋" w:hAnsi="仿宋" w:eastAsia="仿宋"/>
          <w:color w:val="000000"/>
        </w:rPr>
      </w:pPr>
      <w:bookmarkStart w:id="63"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63"/>
    </w:p>
    <w:p w14:paraId="2D7D77C2">
      <w:pPr>
        <w:pStyle w:val="4"/>
        <w:pageBreakBefore w:val="0"/>
        <w:kinsoku/>
        <w:wordWrap/>
        <w:overflowPunct/>
        <w:topLinePunct w:val="0"/>
        <w:bidi w:val="0"/>
        <w:spacing w:before="0" w:after="0" w:line="576" w:lineRule="exact"/>
        <w:rPr>
          <w:rFonts w:ascii="仿宋" w:hAnsi="仿宋" w:eastAsia="仿宋"/>
          <w:color w:val="000000"/>
        </w:rPr>
      </w:pPr>
      <w:bookmarkStart w:id="64"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64"/>
    </w:p>
    <w:p w14:paraId="2697E713">
      <w:pPr>
        <w:pStyle w:val="4"/>
        <w:pageBreakBefore w:val="0"/>
        <w:kinsoku/>
        <w:wordWrap/>
        <w:overflowPunct/>
        <w:topLinePunct w:val="0"/>
        <w:bidi w:val="0"/>
        <w:spacing w:before="0" w:after="0" w:line="576" w:lineRule="exact"/>
        <w:rPr>
          <w:rFonts w:ascii="仿宋" w:hAnsi="仿宋" w:eastAsia="仿宋"/>
          <w:color w:val="000000"/>
        </w:rPr>
      </w:pPr>
      <w:bookmarkStart w:id="65" w:name="_Toc15396631"/>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有资本经营预算支出决算表</w:t>
      </w:r>
      <w:bookmarkEnd w:id="6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9217DC-7396-4FC4-A223-64FCA26B5B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1A55AD-77D2-4297-BEA9-649E0F126474}"/>
  </w:font>
  <w:font w:name="Cambria">
    <w:panose1 w:val="02040503050406030204"/>
    <w:charset w:val="00"/>
    <w:family w:val="roman"/>
    <w:pitch w:val="default"/>
    <w:sig w:usb0="E00006FF" w:usb1="420024FF" w:usb2="02000000" w:usb3="00000000" w:csb0="2000019F" w:csb1="00000000"/>
    <w:embedRegular r:id="rId3" w:fontKey="{99D7F6E8-837A-486F-859D-6A985691C341}"/>
  </w:font>
  <w:font w:name="仿宋_GB2312">
    <w:altName w:val="仿宋"/>
    <w:panose1 w:val="00000000000000000000"/>
    <w:charset w:val="86"/>
    <w:family w:val="modern"/>
    <w:pitch w:val="default"/>
    <w:sig w:usb0="00000000" w:usb1="00000000" w:usb2="00000010" w:usb3="00000000" w:csb0="00040000" w:csb1="00000000"/>
    <w:embedRegular r:id="rId4" w:fontKey="{EFE0D14B-EF8E-4A08-8C99-D92894868842}"/>
  </w:font>
  <w:font w:name="仿宋">
    <w:panose1 w:val="02010609060101010101"/>
    <w:charset w:val="86"/>
    <w:family w:val="modern"/>
    <w:pitch w:val="default"/>
    <w:sig w:usb0="800002BF" w:usb1="38CF7CFA" w:usb2="00000016" w:usb3="00000000" w:csb0="00040001" w:csb1="00000000"/>
    <w:embedRegular r:id="rId5" w:fontKey="{67586676-47F3-4279-8F19-E1947C29ECF3}"/>
  </w:font>
  <w:font w:name="方正小标宋简体">
    <w:panose1 w:val="02000000000000000000"/>
    <w:charset w:val="86"/>
    <w:family w:val="auto"/>
    <w:pitch w:val="default"/>
    <w:sig w:usb0="00000001" w:usb1="08000000" w:usb2="00000000" w:usb3="00000000" w:csb0="00040000" w:csb1="00000000"/>
    <w:embedRegular r:id="rId6" w:fontKey="{48F6D6B1-53E6-46BD-A9FF-090764B3344D}"/>
  </w:font>
  <w:font w:name="楷体">
    <w:panose1 w:val="02010609060101010101"/>
    <w:charset w:val="86"/>
    <w:family w:val="auto"/>
    <w:pitch w:val="default"/>
    <w:sig w:usb0="800002BF" w:usb1="38CF7CFA" w:usb2="00000016" w:usb3="00000000" w:csb0="00040001" w:csb1="00000000"/>
    <w:embedRegular r:id="rId7" w:fontKey="{40518381-0ECC-41A1-AC91-F392F25452AF}"/>
  </w:font>
  <w:font w:name="楷体_GB2312">
    <w:panose1 w:val="02010609030101010101"/>
    <w:charset w:val="86"/>
    <w:family w:val="auto"/>
    <w:pitch w:val="default"/>
    <w:sig w:usb0="00000001" w:usb1="080E0000" w:usb2="00000000" w:usb3="00000000" w:csb0="00040000" w:csb1="00000000"/>
    <w:embedRegular r:id="rId8" w:fontKey="{A597D539-0A56-4032-AE25-04122B80D153}"/>
  </w:font>
  <w:font w:name="微软雅黑">
    <w:panose1 w:val="020B0503020204020204"/>
    <w:charset w:val="86"/>
    <w:family w:val="auto"/>
    <w:pitch w:val="default"/>
    <w:sig w:usb0="80000287" w:usb1="2ACF3C50" w:usb2="00000016" w:usb3="00000000" w:csb0="0004001F" w:csb1="00000000"/>
    <w:embedRegular r:id="rId9" w:fontKey="{6DF8A05B-B7A2-4C44-92AC-03742E58A6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9A78">
    <w:pPr>
      <w:pStyle w:val="9"/>
      <w:jc w:val="center"/>
    </w:pPr>
    <w:r>
      <w:fldChar w:fldCharType="begin"/>
    </w:r>
    <w:r>
      <w:instrText xml:space="preserve">PAGE   \* MERGEFORMAT</w:instrText>
    </w:r>
    <w:r>
      <w:fldChar w:fldCharType="separate"/>
    </w:r>
    <w:r>
      <w:rPr>
        <w:lang w:val="zh-CN"/>
      </w:rPr>
      <w:t>2</w:t>
    </w:r>
    <w:r>
      <w:rPr>
        <w:lang w:val="zh-CN"/>
      </w:rPr>
      <w:fldChar w:fldCharType="end"/>
    </w:r>
  </w:p>
  <w:p w14:paraId="64A2BD9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6E5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6487A"/>
    <w:rsid w:val="00065F8F"/>
    <w:rsid w:val="000768F2"/>
    <w:rsid w:val="00087D86"/>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21AE0"/>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E2663"/>
    <w:rsid w:val="00BF5BD6"/>
    <w:rsid w:val="00C03E31"/>
    <w:rsid w:val="00C33E72"/>
    <w:rsid w:val="00C354B2"/>
    <w:rsid w:val="00C35554"/>
    <w:rsid w:val="00C42709"/>
    <w:rsid w:val="00C533CC"/>
    <w:rsid w:val="00C5751C"/>
    <w:rsid w:val="00C61BFC"/>
    <w:rsid w:val="00C62B85"/>
    <w:rsid w:val="00C62F1C"/>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0F51"/>
    <w:rsid w:val="00DB1913"/>
    <w:rsid w:val="00DB5CD8"/>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75E2788"/>
    <w:rsid w:val="084D77F0"/>
    <w:rsid w:val="10C055FF"/>
    <w:rsid w:val="15132EDD"/>
    <w:rsid w:val="16BB723D"/>
    <w:rsid w:val="1BCA09F9"/>
    <w:rsid w:val="240371BF"/>
    <w:rsid w:val="29FD04D3"/>
    <w:rsid w:val="319F7F4E"/>
    <w:rsid w:val="327D0BC0"/>
    <w:rsid w:val="3CBA5EF9"/>
    <w:rsid w:val="3CD802F8"/>
    <w:rsid w:val="41C02319"/>
    <w:rsid w:val="43A04AC4"/>
    <w:rsid w:val="43E80256"/>
    <w:rsid w:val="477E6981"/>
    <w:rsid w:val="4FF26BEC"/>
    <w:rsid w:val="523116CC"/>
    <w:rsid w:val="62EB665F"/>
    <w:rsid w:val="63506003"/>
    <w:rsid w:val="6CAE347E"/>
    <w:rsid w:val="70881B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beforeLines="30"/>
    </w:pPr>
    <w:rPr>
      <w:rFonts w:ascii="仿宋_GB2312" w:eastAsia="仿宋_GB2312"/>
      <w:kern w:val="0"/>
      <w:sz w:val="24"/>
      <w:szCs w:val="20"/>
    </w:rPr>
  </w:style>
  <w:style w:type="paragraph" w:styleId="6">
    <w:name w:val="Body Text Indent"/>
    <w:basedOn w:val="1"/>
    <w:qFormat/>
    <w:uiPriority w:val="99"/>
    <w:pPr>
      <w:ind w:left="420" w:leftChars="200"/>
    </w:p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31"/>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6"/>
    <w:qFormat/>
    <w:uiPriority w:val="99"/>
    <w:pPr>
      <w:ind w:firstLine="420" w:firstLineChars="200"/>
    </w:p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3"/>
    <w:qFormat/>
    <w:locked/>
    <w:uiPriority w:val="99"/>
    <w:rPr>
      <w:rFonts w:ascii="Times New Roman" w:hAnsi="Times New Roman" w:cs="Times New Roman"/>
      <w:b/>
      <w:bCs/>
      <w:kern w:val="44"/>
      <w:sz w:val="44"/>
      <w:szCs w:val="44"/>
    </w:rPr>
  </w:style>
  <w:style w:type="character" w:customStyle="1" w:styleId="20">
    <w:name w:val="Heading 2 Char"/>
    <w:basedOn w:val="16"/>
    <w:link w:val="4"/>
    <w:qFormat/>
    <w:locked/>
    <w:uiPriority w:val="99"/>
    <w:rPr>
      <w:rFonts w:ascii="Cambria" w:hAnsi="Cambria" w:eastAsia="宋体" w:cs="Times New Roman"/>
      <w:b/>
      <w:bCs/>
      <w:kern w:val="2"/>
      <w:sz w:val="32"/>
      <w:szCs w:val="32"/>
    </w:rPr>
  </w:style>
  <w:style w:type="character" w:customStyle="1" w:styleId="21">
    <w:name w:val="Heading 3 Char"/>
    <w:basedOn w:val="16"/>
    <w:link w:val="5"/>
    <w:qFormat/>
    <w:locked/>
    <w:uiPriority w:val="99"/>
    <w:rPr>
      <w:rFonts w:ascii="Times New Roman" w:hAnsi="Times New Roman" w:cs="Times New Roman"/>
      <w:b/>
      <w:bCs/>
      <w:kern w:val="2"/>
      <w:sz w:val="32"/>
      <w:szCs w:val="32"/>
    </w:rPr>
  </w:style>
  <w:style w:type="character" w:customStyle="1" w:styleId="22">
    <w:name w:val="Body Text Char"/>
    <w:basedOn w:val="16"/>
    <w:link w:val="2"/>
    <w:semiHidden/>
    <w:qFormat/>
    <w:uiPriority w:val="99"/>
    <w:rPr>
      <w:rFonts w:ascii="Times New Roman" w:hAnsi="Times New Roman" w:cs="Times New Roman"/>
      <w:sz w:val="24"/>
      <w:szCs w:val="24"/>
    </w:rPr>
  </w:style>
  <w:style w:type="character" w:customStyle="1" w:styleId="23">
    <w:name w:val="Footer Char"/>
    <w:basedOn w:val="16"/>
    <w:link w:val="9"/>
    <w:semiHidden/>
    <w:qFormat/>
    <w:uiPriority w:val="99"/>
    <w:rPr>
      <w:rFonts w:ascii="Times New Roman" w:hAnsi="Times New Roman" w:cs="Times New Roman"/>
      <w:sz w:val="18"/>
      <w:szCs w:val="18"/>
    </w:rPr>
  </w:style>
  <w:style w:type="character" w:customStyle="1" w:styleId="24">
    <w:name w:val="Header Char"/>
    <w:basedOn w:val="16"/>
    <w:link w:val="10"/>
    <w:semiHidden/>
    <w:qFormat/>
    <w:uiPriority w:val="99"/>
    <w:rPr>
      <w:rFonts w:ascii="Times New Roman" w:hAnsi="Times New Roman" w:cs="Times New Roman"/>
      <w:sz w:val="18"/>
      <w:szCs w:val="18"/>
    </w:rPr>
  </w:style>
  <w:style w:type="character" w:customStyle="1" w:styleId="25">
    <w:name w:val="Header Char1"/>
    <w:link w:val="10"/>
    <w:semiHidden/>
    <w:qFormat/>
    <w:locked/>
    <w:uiPriority w:val="99"/>
    <w:rPr>
      <w:sz w:val="18"/>
    </w:rPr>
  </w:style>
  <w:style w:type="character" w:customStyle="1" w:styleId="26">
    <w:name w:val="Footer Char1"/>
    <w:link w:val="9"/>
    <w:qFormat/>
    <w:locked/>
    <w:uiPriority w:val="99"/>
    <w:rPr>
      <w:sz w:val="18"/>
    </w:rPr>
  </w:style>
  <w:style w:type="character" w:customStyle="1" w:styleId="27">
    <w:name w:val="Body Text Char1"/>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Heading"/>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Balloon Text Char"/>
    <w:basedOn w:val="16"/>
    <w:link w:val="8"/>
    <w:semiHidden/>
    <w:qFormat/>
    <w:locked/>
    <w:uiPriority w:val="99"/>
    <w:rPr>
      <w:rFonts w:ascii="Times New Roman" w:hAnsi="Times New Roman" w:cs="Times New Roman"/>
      <w:kern w:val="2"/>
      <w:sz w:val="18"/>
      <w:szCs w:val="18"/>
    </w:rPr>
  </w:style>
  <w:style w:type="paragraph" w:customStyle="1" w:styleId="32">
    <w:name w:val="Table Paragraph"/>
    <w:basedOn w:val="1"/>
    <w:unhideWhenUsed/>
    <w:qFormat/>
    <w:uiPriority w:val="1"/>
    <w:pPr>
      <w:spacing w:beforeLines="0" w:afterLines="0"/>
    </w:pPr>
    <w:rPr>
      <w:rFonts w:hint="eastAsia" w:ascii="宋体" w:hAnsi="宋体"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27</Pages>
  <Words>10945</Words>
  <Characters>11668</Characters>
  <Lines>0</Lines>
  <Paragraphs>0</Paragraphs>
  <TotalTime>26</TotalTime>
  <ScaleCrop>false</ScaleCrop>
  <LinksUpToDate>false</LinksUpToDate>
  <CharactersWithSpaces>11711</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2024-12-03T01:17:05Z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8E02F4B46AAB4A129F9D8D07FCDF35F4_13</vt:lpwstr>
  </property>
</Properties>
</file>