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E1CECA">
      <w:pPr>
        <w:spacing w:line="600" w:lineRule="exact"/>
        <w:jc w:val="center"/>
        <w:rPr>
          <w:rFonts w:hint="default" w:eastAsia="方正小标宋简体"/>
          <w:color w:val="000000"/>
          <w:kern w:val="2"/>
          <w:sz w:val="72"/>
          <w:lang w:val="zh-CN"/>
        </w:rPr>
      </w:pPr>
    </w:p>
    <w:p w14:paraId="05B10EB3">
      <w:pPr>
        <w:spacing w:line="600" w:lineRule="exact"/>
        <w:jc w:val="center"/>
        <w:rPr>
          <w:rFonts w:hint="default" w:eastAsia="方正小标宋简体"/>
          <w:color w:val="000000"/>
          <w:kern w:val="2"/>
          <w:sz w:val="72"/>
          <w:lang w:val="zh-CN"/>
        </w:rPr>
      </w:pPr>
    </w:p>
    <w:p w14:paraId="20035907">
      <w:pPr>
        <w:spacing w:line="600" w:lineRule="exact"/>
        <w:jc w:val="center"/>
        <w:rPr>
          <w:rFonts w:hint="default" w:eastAsia="方正小标宋简体"/>
          <w:color w:val="000000"/>
          <w:kern w:val="2"/>
          <w:sz w:val="72"/>
          <w:lang w:val="zh-CN"/>
        </w:rPr>
      </w:pPr>
    </w:p>
    <w:p w14:paraId="3B5426FD">
      <w:pPr>
        <w:spacing w:line="1400" w:lineRule="exact"/>
        <w:jc w:val="center"/>
        <w:rPr>
          <w:rFonts w:hint="default" w:eastAsia="方正小标宋简体"/>
          <w:color w:val="000000"/>
          <w:kern w:val="2"/>
          <w:sz w:val="72"/>
          <w:lang w:val="zh-CN"/>
        </w:rPr>
      </w:pPr>
      <w:r>
        <w:rPr>
          <w:rFonts w:hint="default" w:eastAsia="方正小标宋简体"/>
          <w:color w:val="000000"/>
          <w:kern w:val="2"/>
          <w:sz w:val="72"/>
          <w:lang w:val="zh-CN"/>
        </w:rPr>
        <w:t>2023年度</w:t>
      </w:r>
    </w:p>
    <w:p w14:paraId="07A6D0B0">
      <w:pPr>
        <w:spacing w:line="1400" w:lineRule="exact"/>
        <w:jc w:val="center"/>
        <w:rPr>
          <w:rFonts w:hint="default" w:eastAsia="方正小标宋简体"/>
          <w:color w:val="000000"/>
          <w:kern w:val="2"/>
          <w:sz w:val="72"/>
          <w:lang w:val="zh-CN"/>
        </w:rPr>
      </w:pPr>
      <w:r>
        <w:rPr>
          <w:rFonts w:hint="default" w:eastAsia="方正小标宋简体"/>
          <w:sz w:val="72"/>
          <w:szCs w:val="72"/>
        </w:rPr>
        <w:t>广元市昭化区经济合作和外事中心</w:t>
      </w:r>
      <w:r>
        <w:rPr>
          <w:rFonts w:hint="eastAsia" w:eastAsia="方正小标宋简体"/>
          <w:sz w:val="72"/>
          <w:szCs w:val="72"/>
          <w:lang w:val="en-US" w:eastAsia="zh-CN"/>
        </w:rPr>
        <w:t>部门</w:t>
      </w:r>
      <w:bookmarkStart w:id="22" w:name="_GoBack"/>
      <w:bookmarkEnd w:id="22"/>
      <w:r>
        <w:rPr>
          <w:rFonts w:hint="default" w:eastAsia="方正小标宋简体"/>
          <w:color w:val="000000"/>
          <w:kern w:val="2"/>
          <w:sz w:val="72"/>
          <w:lang w:val="zh-CN"/>
        </w:rPr>
        <w:t>决算</w:t>
      </w:r>
    </w:p>
    <w:p w14:paraId="5727089A">
      <w:pPr>
        <w:spacing w:line="360" w:lineRule="auto"/>
        <w:jc w:val="center"/>
        <w:rPr>
          <w:rFonts w:hint="default" w:eastAsia="黑体"/>
          <w:color w:val="000000"/>
          <w:kern w:val="2"/>
          <w:sz w:val="72"/>
          <w:lang w:val="zh-CN"/>
        </w:rPr>
      </w:pPr>
    </w:p>
    <w:p w14:paraId="0D76A3FB">
      <w:pPr>
        <w:pStyle w:val="5"/>
        <w:spacing w:before="72"/>
        <w:rPr>
          <w:rFonts w:hint="default" w:ascii="Times New Roman"/>
          <w:lang w:val="zh-CN"/>
        </w:rPr>
      </w:pPr>
    </w:p>
    <w:p w14:paraId="6EEF9568">
      <w:pPr>
        <w:keepNext/>
        <w:keepLines/>
        <w:pageBreakBefore/>
        <w:spacing w:line="576" w:lineRule="exact"/>
        <w:jc w:val="center"/>
        <w:rPr>
          <w:rFonts w:ascii="方正小标宋简体" w:eastAsia="方正小标宋简体"/>
          <w:kern w:val="2"/>
          <w:sz w:val="44"/>
          <w:szCs w:val="44"/>
          <w:lang w:val="zh-CN"/>
        </w:rPr>
      </w:pPr>
      <w:r>
        <w:rPr>
          <w:rFonts w:ascii="方正小标宋简体" w:eastAsia="方正小标宋简体"/>
          <w:kern w:val="2"/>
          <w:sz w:val="44"/>
          <w:szCs w:val="44"/>
          <w:lang w:val="zh-CN"/>
        </w:rPr>
        <w:t>目   录</w:t>
      </w:r>
    </w:p>
    <w:p w14:paraId="3BACD7C5">
      <w:pPr>
        <w:spacing w:line="576" w:lineRule="exact"/>
        <w:jc w:val="center"/>
        <w:rPr>
          <w:rFonts w:hint="default" w:eastAsia="楷体_GB2312"/>
          <w:sz w:val="32"/>
          <w:szCs w:val="32"/>
          <w:highlight w:val="yellow"/>
        </w:rPr>
      </w:pPr>
      <w:r>
        <w:rPr>
          <w:rFonts w:hint="default" w:eastAsia="楷体_GB2312"/>
          <w:sz w:val="32"/>
          <w:szCs w:val="32"/>
        </w:rPr>
        <w:t>公开时间：2024年9月26日</w:t>
      </w:r>
    </w:p>
    <w:p w14:paraId="1257E16E">
      <w:pPr>
        <w:widowControl/>
        <w:snapToGrid w:val="0"/>
        <w:spacing w:line="576" w:lineRule="exact"/>
        <w:ind w:firstLine="1320" w:firstLineChars="550"/>
        <w:rPr>
          <w:rFonts w:hint="default"/>
        </w:rPr>
      </w:pPr>
    </w:p>
    <w:sdt>
      <w:sdtPr>
        <w:rPr>
          <w:rFonts w:ascii="Times New Roman" w:hAnsi="Times New Roman" w:eastAsia="仿宋_GB2312"/>
          <w:lang w:val="zh-CN"/>
        </w:rPr>
        <w:id w:val="12965573"/>
        <w:docPartObj>
          <w:docPartGallery w:val="Table of Contents"/>
          <w:docPartUnique/>
        </w:docPartObj>
      </w:sdtPr>
      <w:sdtEndPr>
        <w:rPr>
          <w:rFonts w:ascii="Times New Roman" w:hAnsi="Times New Roman" w:eastAsia="宋体"/>
          <w:kern w:val="0"/>
          <w:sz w:val="24"/>
          <w:szCs w:val="24"/>
          <w:lang w:val="en-US"/>
        </w:rPr>
      </w:sdtEndPr>
      <w:sdtContent>
        <w:p w14:paraId="706C8374">
          <w:pPr>
            <w:pStyle w:val="12"/>
            <w:rPr>
              <w:rFonts w:ascii="Times New Roman" w:hAnsi="Times New Roman"/>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"_Toc178157909" </w:instrText>
          </w:r>
          <w:r>
            <w:fldChar w:fldCharType="separate"/>
          </w:r>
          <w:r>
            <w:rPr>
              <w:rStyle w:val="17"/>
              <w:rFonts w:ascii="Times New Roman" w:hAnsi="Times New Roman"/>
            </w:rPr>
            <w:t>第一部分 部门概况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_Toc178157909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40429A1">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"_Toc178157910" </w:instrText>
          </w:r>
          <w:r>
            <w:fldChar w:fldCharType="separate"/>
          </w:r>
          <w:r>
            <w:rPr>
              <w:rStyle w:val="17"/>
              <w:rFonts w:hint="default" w:eastAsia="仿宋_GB2312"/>
              <w:sz w:val="32"/>
              <w:szCs w:val="32"/>
            </w:rPr>
            <w:t>一、部门职责</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_Toc178157910 \h </w:instrText>
          </w:r>
          <w:r>
            <w:rPr>
              <w:rFonts w:hint="default" w:eastAsia="仿宋_GB2312"/>
              <w:sz w:val="32"/>
              <w:szCs w:val="32"/>
            </w:rPr>
            <w:fldChar w:fldCharType="separate"/>
          </w:r>
          <w:r>
            <w:rPr>
              <w:rFonts w:hint="default" w:eastAsia="仿宋_GB2312"/>
              <w:sz w:val="32"/>
              <w:szCs w:val="32"/>
            </w:rPr>
            <w:t>1</w:t>
          </w:r>
          <w:r>
            <w:rPr>
              <w:rFonts w:hint="default" w:eastAsia="仿宋_GB2312"/>
              <w:sz w:val="32"/>
              <w:szCs w:val="32"/>
            </w:rPr>
            <w:fldChar w:fldCharType="end"/>
          </w:r>
          <w:r>
            <w:rPr>
              <w:rFonts w:hint="default" w:eastAsia="仿宋_GB2312"/>
              <w:sz w:val="32"/>
              <w:szCs w:val="32"/>
            </w:rPr>
            <w:fldChar w:fldCharType="end"/>
          </w:r>
        </w:p>
        <w:p w14:paraId="4BD9A1F3">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"_Toc178157911" </w:instrText>
          </w:r>
          <w:r>
            <w:fldChar w:fldCharType="separate"/>
          </w:r>
          <w:r>
            <w:rPr>
              <w:rStyle w:val="17"/>
              <w:rFonts w:hint="default" w:eastAsia="仿宋_GB2312"/>
              <w:sz w:val="32"/>
              <w:szCs w:val="32"/>
            </w:rPr>
            <w:t>二、机构设置</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_Toc178157911 \h </w:instrText>
          </w:r>
          <w:r>
            <w:rPr>
              <w:rFonts w:hint="default" w:eastAsia="仿宋_GB2312"/>
              <w:sz w:val="32"/>
              <w:szCs w:val="32"/>
            </w:rPr>
            <w:fldChar w:fldCharType="separate"/>
          </w:r>
          <w:r>
            <w:rPr>
              <w:rFonts w:hint="default" w:eastAsia="仿宋_GB2312"/>
              <w:sz w:val="32"/>
              <w:szCs w:val="32"/>
            </w:rPr>
            <w:t>4</w:t>
          </w:r>
          <w:r>
            <w:rPr>
              <w:rFonts w:hint="default" w:eastAsia="仿宋_GB2312"/>
              <w:sz w:val="32"/>
              <w:szCs w:val="32"/>
            </w:rPr>
            <w:fldChar w:fldCharType="end"/>
          </w:r>
          <w:r>
            <w:rPr>
              <w:rFonts w:hint="default" w:eastAsia="仿宋_GB2312"/>
              <w:sz w:val="32"/>
              <w:szCs w:val="32"/>
            </w:rPr>
            <w:fldChar w:fldCharType="end"/>
          </w:r>
        </w:p>
        <w:p w14:paraId="611295C7">
          <w:pPr>
            <w:pStyle w:val="12"/>
            <w:rPr>
              <w:rStyle w:val="17"/>
              <w:rFonts w:ascii="Times New Roman" w:hAnsi="Times New Roman"/>
            </w:rPr>
          </w:pPr>
          <w:r>
            <w:fldChar w:fldCharType="begin"/>
          </w:r>
          <w:r>
            <w:instrText xml:space="preserve"> HYPERLINK \l "_Toc178157912" </w:instrText>
          </w:r>
          <w:r>
            <w:fldChar w:fldCharType="separate"/>
          </w:r>
          <w:r>
            <w:rPr>
              <w:rStyle w:val="17"/>
              <w:rFonts w:ascii="Times New Roman" w:hAnsi="Times New Roman"/>
            </w:rPr>
            <w:t>第二部分  2023年度部门决算情况说明</w:t>
          </w:r>
          <w:r>
            <w:rPr>
              <w:rStyle w:val="17"/>
              <w:rFonts w:ascii="Times New Roman" w:hAnsi="Times New Roman"/>
            </w:rPr>
            <w:tab/>
          </w:r>
          <w:r>
            <w:rPr>
              <w:rStyle w:val="17"/>
              <w:rFonts w:ascii="Times New Roman" w:hAnsi="Times New Roman"/>
            </w:rPr>
            <w:fldChar w:fldCharType="begin"/>
          </w:r>
          <w:r>
            <w:rPr>
              <w:rStyle w:val="17"/>
              <w:rFonts w:ascii="Times New Roman" w:hAnsi="Times New Roman"/>
            </w:rPr>
            <w:instrText xml:space="preserve"> PAGEREF _Toc178157912 \h </w:instrText>
          </w:r>
          <w:r>
            <w:rPr>
              <w:rStyle w:val="17"/>
              <w:rFonts w:ascii="Times New Roman" w:hAnsi="Times New Roman"/>
            </w:rPr>
            <w:fldChar w:fldCharType="separate"/>
          </w:r>
          <w:r>
            <w:rPr>
              <w:rStyle w:val="17"/>
              <w:rFonts w:ascii="Times New Roman" w:hAnsi="Times New Roman"/>
            </w:rPr>
            <w:t>5</w:t>
          </w:r>
          <w:r>
            <w:rPr>
              <w:rStyle w:val="17"/>
              <w:rFonts w:ascii="Times New Roman" w:hAnsi="Times New Roman"/>
            </w:rPr>
            <w:fldChar w:fldCharType="end"/>
          </w:r>
          <w:r>
            <w:rPr>
              <w:rStyle w:val="17"/>
              <w:rFonts w:ascii="Times New Roman" w:hAnsi="Times New Roman"/>
            </w:rPr>
            <w:fldChar w:fldCharType="end"/>
          </w:r>
        </w:p>
        <w:p w14:paraId="35B755D2">
          <w:pPr>
            <w:pStyle w:val="12"/>
            <w:rPr>
              <w:rStyle w:val="17"/>
              <w:rFonts w:ascii="Times New Roman" w:hAnsi="Times New Roman"/>
            </w:rPr>
          </w:pPr>
          <w:r>
            <w:fldChar w:fldCharType="begin"/>
          </w:r>
          <w:r>
            <w:instrText xml:space="preserve"> HYPERLINK \l "_Toc178157913" </w:instrText>
          </w:r>
          <w:r>
            <w:fldChar w:fldCharType="separate"/>
          </w:r>
          <w:r>
            <w:rPr>
              <w:rStyle w:val="17"/>
              <w:rFonts w:ascii="Times New Roman" w:hAnsi="Times New Roman"/>
            </w:rPr>
            <w:t>第三部分  名词解释</w:t>
          </w:r>
          <w:r>
            <w:rPr>
              <w:rStyle w:val="17"/>
              <w:rFonts w:ascii="Times New Roman" w:hAnsi="Times New Roman"/>
            </w:rPr>
            <w:tab/>
          </w:r>
          <w:r>
            <w:rPr>
              <w:rStyle w:val="17"/>
              <w:rFonts w:ascii="Times New Roman" w:hAnsi="Times New Roman"/>
            </w:rPr>
            <w:fldChar w:fldCharType="begin"/>
          </w:r>
          <w:r>
            <w:rPr>
              <w:rStyle w:val="17"/>
              <w:rFonts w:ascii="Times New Roman" w:hAnsi="Times New Roman"/>
            </w:rPr>
            <w:instrText xml:space="preserve"> PAGEREF _Toc178157913 \h </w:instrText>
          </w:r>
          <w:r>
            <w:rPr>
              <w:rStyle w:val="17"/>
              <w:rFonts w:ascii="Times New Roman" w:hAnsi="Times New Roman"/>
            </w:rPr>
            <w:fldChar w:fldCharType="separate"/>
          </w:r>
          <w:r>
            <w:rPr>
              <w:rStyle w:val="17"/>
              <w:rFonts w:ascii="Times New Roman" w:hAnsi="Times New Roman"/>
            </w:rPr>
            <w:t>14</w:t>
          </w:r>
          <w:r>
            <w:rPr>
              <w:rStyle w:val="17"/>
              <w:rFonts w:ascii="Times New Roman" w:hAnsi="Times New Roman"/>
            </w:rPr>
            <w:fldChar w:fldCharType="end"/>
          </w:r>
          <w:r>
            <w:rPr>
              <w:rStyle w:val="17"/>
              <w:rFonts w:ascii="Times New Roman" w:hAnsi="Times New Roman"/>
            </w:rPr>
            <w:fldChar w:fldCharType="end"/>
          </w:r>
        </w:p>
        <w:p w14:paraId="0B93E9A2">
          <w:pPr>
            <w:pStyle w:val="12"/>
            <w:rPr>
              <w:rStyle w:val="17"/>
              <w:rFonts w:ascii="Times New Roman" w:hAnsi="Times New Roman"/>
            </w:rPr>
          </w:pPr>
          <w:r>
            <w:fldChar w:fldCharType="begin"/>
          </w:r>
          <w:r>
            <w:instrText xml:space="preserve"> HYPERLINK \l "_Toc178157914" </w:instrText>
          </w:r>
          <w:r>
            <w:fldChar w:fldCharType="separate"/>
          </w:r>
          <w:r>
            <w:rPr>
              <w:rStyle w:val="17"/>
              <w:rFonts w:ascii="Times New Roman" w:hAnsi="Times New Roman"/>
            </w:rPr>
            <w:t>第四部分  附件</w:t>
          </w:r>
          <w:r>
            <w:rPr>
              <w:rStyle w:val="17"/>
              <w:rFonts w:ascii="Times New Roman" w:hAnsi="Times New Roman"/>
            </w:rPr>
            <w:tab/>
          </w:r>
          <w:r>
            <w:rPr>
              <w:rStyle w:val="17"/>
              <w:rFonts w:ascii="Times New Roman" w:hAnsi="Times New Roman"/>
            </w:rPr>
            <w:fldChar w:fldCharType="begin"/>
          </w:r>
          <w:r>
            <w:rPr>
              <w:rStyle w:val="17"/>
              <w:rFonts w:ascii="Times New Roman" w:hAnsi="Times New Roman"/>
            </w:rPr>
            <w:instrText xml:space="preserve"> PAGEREF _Toc178157914 \h </w:instrText>
          </w:r>
          <w:r>
            <w:rPr>
              <w:rStyle w:val="17"/>
              <w:rFonts w:ascii="Times New Roman" w:hAnsi="Times New Roman"/>
            </w:rPr>
            <w:fldChar w:fldCharType="separate"/>
          </w:r>
          <w:r>
            <w:rPr>
              <w:rStyle w:val="17"/>
              <w:rFonts w:ascii="Times New Roman" w:hAnsi="Times New Roman"/>
            </w:rPr>
            <w:t>17</w:t>
          </w:r>
          <w:r>
            <w:rPr>
              <w:rStyle w:val="17"/>
              <w:rFonts w:ascii="Times New Roman" w:hAnsi="Times New Roman"/>
            </w:rPr>
            <w:fldChar w:fldCharType="end"/>
          </w:r>
          <w:r>
            <w:rPr>
              <w:rStyle w:val="17"/>
              <w:rFonts w:ascii="Times New Roman" w:hAnsi="Times New Roman"/>
            </w:rPr>
            <w:fldChar w:fldCharType="end"/>
          </w:r>
        </w:p>
        <w:p w14:paraId="567C4C79">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"_Toc178157915" </w:instrText>
          </w:r>
          <w:r>
            <w:fldChar w:fldCharType="separate"/>
          </w:r>
          <w:r>
            <w:rPr>
              <w:rStyle w:val="17"/>
              <w:rFonts w:hint="default" w:eastAsia="仿宋_GB2312"/>
              <w:sz w:val="32"/>
              <w:szCs w:val="32"/>
            </w:rPr>
            <w:t>附件1</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_Toc178157915 \h </w:instrText>
          </w:r>
          <w:r>
            <w:rPr>
              <w:rFonts w:hint="default" w:eastAsia="仿宋_GB2312"/>
              <w:sz w:val="32"/>
              <w:szCs w:val="32"/>
            </w:rPr>
            <w:fldChar w:fldCharType="separate"/>
          </w:r>
          <w:r>
            <w:rPr>
              <w:rFonts w:hint="default" w:eastAsia="仿宋_GB2312"/>
              <w:sz w:val="32"/>
              <w:szCs w:val="32"/>
            </w:rPr>
            <w:t>17</w:t>
          </w:r>
          <w:r>
            <w:rPr>
              <w:rFonts w:hint="default" w:eastAsia="仿宋_GB2312"/>
              <w:sz w:val="32"/>
              <w:szCs w:val="32"/>
            </w:rPr>
            <w:fldChar w:fldCharType="end"/>
          </w:r>
          <w:r>
            <w:rPr>
              <w:rFonts w:hint="default" w:eastAsia="仿宋_GB2312"/>
              <w:sz w:val="32"/>
              <w:szCs w:val="32"/>
            </w:rPr>
            <w:fldChar w:fldCharType="end"/>
          </w:r>
        </w:p>
        <w:p w14:paraId="03AF19DF">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"_Toc178157916" </w:instrText>
          </w:r>
          <w:r>
            <w:fldChar w:fldCharType="separate"/>
          </w:r>
          <w:r>
            <w:rPr>
              <w:rStyle w:val="17"/>
              <w:rFonts w:hint="default" w:eastAsia="仿宋_GB2312"/>
              <w:sz w:val="32"/>
              <w:szCs w:val="32"/>
            </w:rPr>
            <w:t>附件2</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_Toc178157916 \h </w:instrText>
          </w:r>
          <w:r>
            <w:rPr>
              <w:rFonts w:hint="default" w:eastAsia="仿宋_GB2312"/>
              <w:sz w:val="32"/>
              <w:szCs w:val="32"/>
            </w:rPr>
            <w:fldChar w:fldCharType="separate"/>
          </w:r>
          <w:r>
            <w:rPr>
              <w:rFonts w:hint="default" w:eastAsia="仿宋_GB2312"/>
              <w:sz w:val="32"/>
              <w:szCs w:val="32"/>
            </w:rPr>
            <w:t>26</w:t>
          </w:r>
          <w:r>
            <w:rPr>
              <w:rFonts w:hint="default" w:eastAsia="仿宋_GB2312"/>
              <w:sz w:val="32"/>
              <w:szCs w:val="32"/>
            </w:rPr>
            <w:fldChar w:fldCharType="end"/>
          </w:r>
          <w:r>
            <w:rPr>
              <w:rFonts w:hint="default" w:eastAsia="仿宋_GB2312"/>
              <w:sz w:val="32"/>
              <w:szCs w:val="32"/>
            </w:rPr>
            <w:fldChar w:fldCharType="end"/>
          </w:r>
        </w:p>
        <w:p w14:paraId="519AF638">
          <w:pPr>
            <w:pStyle w:val="12"/>
            <w:rPr>
              <w:rFonts w:ascii="Times New Roman" w:hAnsi="Times New Roman"/>
            </w:rPr>
          </w:pPr>
          <w:r>
            <w:fldChar w:fldCharType="begin"/>
          </w:r>
          <w:r>
            <w:instrText xml:space="preserve"> HYPERLINK \l "_Toc178157917" </w:instrText>
          </w:r>
          <w:r>
            <w:fldChar w:fldCharType="separate"/>
          </w:r>
          <w:r>
            <w:rPr>
              <w:rStyle w:val="17"/>
              <w:rFonts w:ascii="Times New Roman" w:hAnsi="Times New Roman"/>
            </w:rPr>
            <w:t>第五部分  附表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_Toc178157917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14:paraId="7D1D351E">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"_Toc178157918" </w:instrText>
          </w:r>
          <w:r>
            <w:fldChar w:fldCharType="separate"/>
          </w:r>
          <w:r>
            <w:rPr>
              <w:rStyle w:val="17"/>
              <w:rFonts w:hint="default" w:eastAsia="仿宋_GB2312"/>
              <w:sz w:val="32"/>
              <w:szCs w:val="32"/>
            </w:rPr>
            <w:t>一、收入支出决算总表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_Toc178157918 \h </w:instrText>
          </w:r>
          <w:r>
            <w:rPr>
              <w:rFonts w:hint="default" w:eastAsia="仿宋_GB2312"/>
              <w:sz w:val="32"/>
              <w:szCs w:val="32"/>
            </w:rPr>
            <w:fldChar w:fldCharType="separate"/>
          </w:r>
          <w:r>
            <w:rPr>
              <w:rFonts w:hint="default" w:eastAsia="仿宋_GB2312"/>
              <w:sz w:val="32"/>
              <w:szCs w:val="32"/>
            </w:rPr>
            <w:t>31</w:t>
          </w:r>
          <w:r>
            <w:rPr>
              <w:rFonts w:hint="default" w:eastAsia="仿宋_GB2312"/>
              <w:sz w:val="32"/>
              <w:szCs w:val="32"/>
            </w:rPr>
            <w:fldChar w:fldCharType="end"/>
          </w:r>
          <w:r>
            <w:rPr>
              <w:rFonts w:hint="default" w:eastAsia="仿宋_GB2312"/>
              <w:sz w:val="32"/>
              <w:szCs w:val="32"/>
            </w:rPr>
            <w:fldChar w:fldCharType="end"/>
          </w:r>
        </w:p>
        <w:p w14:paraId="57CFC781">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"_Toc178157919" </w:instrText>
          </w:r>
          <w:r>
            <w:fldChar w:fldCharType="separate"/>
          </w:r>
          <w:r>
            <w:rPr>
              <w:rStyle w:val="17"/>
              <w:rFonts w:hint="default" w:eastAsia="仿宋_GB2312"/>
              <w:sz w:val="32"/>
              <w:szCs w:val="32"/>
            </w:rPr>
            <w:t>二、收入决算表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_Toc178157919 \h </w:instrText>
          </w:r>
          <w:r>
            <w:rPr>
              <w:rFonts w:hint="default" w:eastAsia="仿宋_GB2312"/>
              <w:sz w:val="32"/>
              <w:szCs w:val="32"/>
            </w:rPr>
            <w:fldChar w:fldCharType="separate"/>
          </w:r>
          <w:r>
            <w:rPr>
              <w:rFonts w:hint="default" w:eastAsia="仿宋_GB2312"/>
              <w:sz w:val="32"/>
              <w:szCs w:val="32"/>
            </w:rPr>
            <w:t>31</w:t>
          </w:r>
          <w:r>
            <w:rPr>
              <w:rFonts w:hint="default" w:eastAsia="仿宋_GB2312"/>
              <w:sz w:val="32"/>
              <w:szCs w:val="32"/>
            </w:rPr>
            <w:fldChar w:fldCharType="end"/>
          </w:r>
          <w:r>
            <w:rPr>
              <w:rFonts w:hint="default" w:eastAsia="仿宋_GB2312"/>
              <w:sz w:val="32"/>
              <w:szCs w:val="32"/>
            </w:rPr>
            <w:fldChar w:fldCharType="end"/>
          </w:r>
        </w:p>
        <w:p w14:paraId="3431B7CC">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"_Toc178157920" </w:instrText>
          </w:r>
          <w:r>
            <w:fldChar w:fldCharType="separate"/>
          </w:r>
          <w:r>
            <w:rPr>
              <w:rStyle w:val="17"/>
              <w:rFonts w:hint="default" w:eastAsia="仿宋_GB2312"/>
              <w:sz w:val="32"/>
              <w:szCs w:val="32"/>
            </w:rPr>
            <w:t>三、支出决算表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_Toc178157920 \h </w:instrText>
          </w:r>
          <w:r>
            <w:rPr>
              <w:rFonts w:hint="default" w:eastAsia="仿宋_GB2312"/>
              <w:sz w:val="32"/>
              <w:szCs w:val="32"/>
            </w:rPr>
            <w:fldChar w:fldCharType="separate"/>
          </w:r>
          <w:r>
            <w:rPr>
              <w:rFonts w:hint="default" w:eastAsia="仿宋_GB2312"/>
              <w:sz w:val="32"/>
              <w:szCs w:val="32"/>
            </w:rPr>
            <w:t>31</w:t>
          </w:r>
          <w:r>
            <w:rPr>
              <w:rFonts w:hint="default" w:eastAsia="仿宋_GB2312"/>
              <w:sz w:val="32"/>
              <w:szCs w:val="32"/>
            </w:rPr>
            <w:fldChar w:fldCharType="end"/>
          </w:r>
          <w:r>
            <w:rPr>
              <w:rFonts w:hint="default" w:eastAsia="仿宋_GB2312"/>
              <w:sz w:val="32"/>
              <w:szCs w:val="32"/>
            </w:rPr>
            <w:fldChar w:fldCharType="end"/>
          </w:r>
        </w:p>
        <w:p w14:paraId="3777BFF6">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"_Toc178157921" </w:instrText>
          </w:r>
          <w:r>
            <w:fldChar w:fldCharType="separate"/>
          </w:r>
          <w:r>
            <w:rPr>
              <w:rStyle w:val="17"/>
              <w:rFonts w:hint="default" w:eastAsia="仿宋_GB2312"/>
              <w:sz w:val="32"/>
              <w:szCs w:val="32"/>
            </w:rPr>
            <w:t>四、财政拨款收入支出决算总表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_Toc178157921 \h </w:instrText>
          </w:r>
          <w:r>
            <w:rPr>
              <w:rFonts w:hint="default" w:eastAsia="仿宋_GB2312"/>
              <w:sz w:val="32"/>
              <w:szCs w:val="32"/>
            </w:rPr>
            <w:fldChar w:fldCharType="separate"/>
          </w:r>
          <w:r>
            <w:rPr>
              <w:rFonts w:hint="default" w:eastAsia="仿宋_GB2312"/>
              <w:sz w:val="32"/>
              <w:szCs w:val="32"/>
            </w:rPr>
            <w:t>31</w:t>
          </w:r>
          <w:r>
            <w:rPr>
              <w:rFonts w:hint="default" w:eastAsia="仿宋_GB2312"/>
              <w:sz w:val="32"/>
              <w:szCs w:val="32"/>
            </w:rPr>
            <w:fldChar w:fldCharType="end"/>
          </w:r>
          <w:r>
            <w:rPr>
              <w:rFonts w:hint="default" w:eastAsia="仿宋_GB2312"/>
              <w:sz w:val="32"/>
              <w:szCs w:val="32"/>
            </w:rPr>
            <w:fldChar w:fldCharType="end"/>
          </w:r>
        </w:p>
        <w:p w14:paraId="57C8FFF9">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"_Toc178157922" </w:instrText>
          </w:r>
          <w:r>
            <w:fldChar w:fldCharType="separate"/>
          </w:r>
          <w:r>
            <w:rPr>
              <w:rStyle w:val="17"/>
              <w:rFonts w:hint="default" w:eastAsia="仿宋_GB2312"/>
              <w:sz w:val="32"/>
              <w:szCs w:val="32"/>
            </w:rPr>
            <w:t>五、财政拨款支出决算明细表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_Toc178157922 \h </w:instrText>
          </w:r>
          <w:r>
            <w:rPr>
              <w:rFonts w:hint="default" w:eastAsia="仿宋_GB2312"/>
              <w:sz w:val="32"/>
              <w:szCs w:val="32"/>
            </w:rPr>
            <w:fldChar w:fldCharType="separate"/>
          </w:r>
          <w:r>
            <w:rPr>
              <w:rFonts w:hint="default" w:eastAsia="仿宋_GB2312"/>
              <w:sz w:val="32"/>
              <w:szCs w:val="32"/>
            </w:rPr>
            <w:t>31</w:t>
          </w:r>
          <w:r>
            <w:rPr>
              <w:rFonts w:hint="default" w:eastAsia="仿宋_GB2312"/>
              <w:sz w:val="32"/>
              <w:szCs w:val="32"/>
            </w:rPr>
            <w:fldChar w:fldCharType="end"/>
          </w:r>
          <w:r>
            <w:rPr>
              <w:rFonts w:hint="default" w:eastAsia="仿宋_GB2312"/>
              <w:sz w:val="32"/>
              <w:szCs w:val="32"/>
            </w:rPr>
            <w:fldChar w:fldCharType="end"/>
          </w:r>
        </w:p>
        <w:p w14:paraId="0E574A6C">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"_Toc178157923" </w:instrText>
          </w:r>
          <w:r>
            <w:fldChar w:fldCharType="separate"/>
          </w:r>
          <w:r>
            <w:rPr>
              <w:rStyle w:val="17"/>
              <w:rFonts w:hint="default" w:eastAsia="仿宋_GB2312"/>
              <w:sz w:val="32"/>
              <w:szCs w:val="32"/>
            </w:rPr>
            <w:t>六、一般公共预算财政拨款支出决算表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_Toc178157923 \h </w:instrText>
          </w:r>
          <w:r>
            <w:rPr>
              <w:rFonts w:hint="default" w:eastAsia="仿宋_GB2312"/>
              <w:sz w:val="32"/>
              <w:szCs w:val="32"/>
            </w:rPr>
            <w:fldChar w:fldCharType="separate"/>
          </w:r>
          <w:r>
            <w:rPr>
              <w:rFonts w:hint="default" w:eastAsia="仿宋_GB2312"/>
              <w:sz w:val="32"/>
              <w:szCs w:val="32"/>
            </w:rPr>
            <w:t>31</w:t>
          </w:r>
          <w:r>
            <w:rPr>
              <w:rFonts w:hint="default" w:eastAsia="仿宋_GB2312"/>
              <w:sz w:val="32"/>
              <w:szCs w:val="32"/>
            </w:rPr>
            <w:fldChar w:fldCharType="end"/>
          </w:r>
          <w:r>
            <w:rPr>
              <w:rFonts w:hint="default" w:eastAsia="仿宋_GB2312"/>
              <w:sz w:val="32"/>
              <w:szCs w:val="32"/>
            </w:rPr>
            <w:fldChar w:fldCharType="end"/>
          </w:r>
        </w:p>
        <w:p w14:paraId="1F548E7A">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"_Toc178157924" </w:instrText>
          </w:r>
          <w:r>
            <w:fldChar w:fldCharType="separate"/>
          </w:r>
          <w:r>
            <w:rPr>
              <w:rStyle w:val="17"/>
              <w:rFonts w:hint="default" w:eastAsia="仿宋_GB2312"/>
              <w:sz w:val="32"/>
              <w:szCs w:val="32"/>
            </w:rPr>
            <w:t>七、一般公共预算财政拨款支出决算明细表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_Toc178157924 \h </w:instrText>
          </w:r>
          <w:r>
            <w:rPr>
              <w:rFonts w:hint="default" w:eastAsia="仿宋_GB2312"/>
              <w:sz w:val="32"/>
              <w:szCs w:val="32"/>
            </w:rPr>
            <w:fldChar w:fldCharType="separate"/>
          </w:r>
          <w:r>
            <w:rPr>
              <w:rFonts w:hint="default" w:eastAsia="仿宋_GB2312"/>
              <w:sz w:val="32"/>
              <w:szCs w:val="32"/>
            </w:rPr>
            <w:t>31</w:t>
          </w:r>
          <w:r>
            <w:rPr>
              <w:rFonts w:hint="default" w:eastAsia="仿宋_GB2312"/>
              <w:sz w:val="32"/>
              <w:szCs w:val="32"/>
            </w:rPr>
            <w:fldChar w:fldCharType="end"/>
          </w:r>
          <w:r>
            <w:rPr>
              <w:rFonts w:hint="default" w:eastAsia="仿宋_GB2312"/>
              <w:sz w:val="32"/>
              <w:szCs w:val="32"/>
            </w:rPr>
            <w:fldChar w:fldCharType="end"/>
          </w:r>
        </w:p>
        <w:p w14:paraId="01C0DF92">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"_Toc178157925" </w:instrText>
          </w:r>
          <w:r>
            <w:fldChar w:fldCharType="separate"/>
          </w:r>
          <w:r>
            <w:rPr>
              <w:rStyle w:val="17"/>
              <w:rFonts w:hint="default" w:eastAsia="仿宋_GB2312"/>
              <w:sz w:val="32"/>
              <w:szCs w:val="32"/>
            </w:rPr>
            <w:t>八、一般公共预算财政拨款基本支出决算表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_Toc178157925 \h </w:instrText>
          </w:r>
          <w:r>
            <w:rPr>
              <w:rFonts w:hint="default" w:eastAsia="仿宋_GB2312"/>
              <w:sz w:val="32"/>
              <w:szCs w:val="32"/>
            </w:rPr>
            <w:fldChar w:fldCharType="separate"/>
          </w:r>
          <w:r>
            <w:rPr>
              <w:rFonts w:hint="default" w:eastAsia="仿宋_GB2312"/>
              <w:sz w:val="32"/>
              <w:szCs w:val="32"/>
            </w:rPr>
            <w:t>31</w:t>
          </w:r>
          <w:r>
            <w:rPr>
              <w:rFonts w:hint="default" w:eastAsia="仿宋_GB2312"/>
              <w:sz w:val="32"/>
              <w:szCs w:val="32"/>
            </w:rPr>
            <w:fldChar w:fldCharType="end"/>
          </w:r>
          <w:r>
            <w:rPr>
              <w:rFonts w:hint="default" w:eastAsia="仿宋_GB2312"/>
              <w:sz w:val="32"/>
              <w:szCs w:val="32"/>
            </w:rPr>
            <w:fldChar w:fldCharType="end"/>
          </w:r>
        </w:p>
        <w:p w14:paraId="247465C2">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"_Toc178157926" </w:instrText>
          </w:r>
          <w:r>
            <w:fldChar w:fldCharType="separate"/>
          </w:r>
          <w:r>
            <w:rPr>
              <w:rStyle w:val="17"/>
              <w:rFonts w:hint="default" w:eastAsia="仿宋_GB2312"/>
              <w:sz w:val="32"/>
              <w:szCs w:val="32"/>
            </w:rPr>
            <w:t>九、一般公共预算财政拨款项目支出决算表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_Toc178157926 \h </w:instrText>
          </w:r>
          <w:r>
            <w:rPr>
              <w:rFonts w:hint="default" w:eastAsia="仿宋_GB2312"/>
              <w:sz w:val="32"/>
              <w:szCs w:val="32"/>
            </w:rPr>
            <w:fldChar w:fldCharType="separate"/>
          </w:r>
          <w:r>
            <w:rPr>
              <w:rFonts w:hint="default" w:eastAsia="仿宋_GB2312"/>
              <w:sz w:val="32"/>
              <w:szCs w:val="32"/>
            </w:rPr>
            <w:t>31</w:t>
          </w:r>
          <w:r>
            <w:rPr>
              <w:rFonts w:hint="default" w:eastAsia="仿宋_GB2312"/>
              <w:sz w:val="32"/>
              <w:szCs w:val="32"/>
            </w:rPr>
            <w:fldChar w:fldCharType="end"/>
          </w:r>
          <w:r>
            <w:rPr>
              <w:rFonts w:hint="default" w:eastAsia="仿宋_GB2312"/>
              <w:sz w:val="32"/>
              <w:szCs w:val="32"/>
            </w:rPr>
            <w:fldChar w:fldCharType="end"/>
          </w:r>
        </w:p>
        <w:p w14:paraId="269BF57E">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"_Toc178157927" </w:instrText>
          </w:r>
          <w:r>
            <w:fldChar w:fldCharType="separate"/>
          </w:r>
          <w:r>
            <w:rPr>
              <w:rStyle w:val="17"/>
              <w:rFonts w:hint="default" w:eastAsia="仿宋_GB2312"/>
              <w:sz w:val="32"/>
              <w:szCs w:val="32"/>
            </w:rPr>
            <w:t>十、政府性基金预算财政拨款收入支出决算表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_Toc178157927 \h </w:instrText>
          </w:r>
          <w:r>
            <w:rPr>
              <w:rFonts w:hint="default" w:eastAsia="仿宋_GB2312"/>
              <w:sz w:val="32"/>
              <w:szCs w:val="32"/>
            </w:rPr>
            <w:fldChar w:fldCharType="separate"/>
          </w:r>
          <w:r>
            <w:rPr>
              <w:rFonts w:hint="default" w:eastAsia="仿宋_GB2312"/>
              <w:sz w:val="32"/>
              <w:szCs w:val="32"/>
            </w:rPr>
            <w:t>31</w:t>
          </w:r>
          <w:r>
            <w:rPr>
              <w:rFonts w:hint="default" w:eastAsia="仿宋_GB2312"/>
              <w:sz w:val="32"/>
              <w:szCs w:val="32"/>
            </w:rPr>
            <w:fldChar w:fldCharType="end"/>
          </w:r>
          <w:r>
            <w:rPr>
              <w:rFonts w:hint="default" w:eastAsia="仿宋_GB2312"/>
              <w:sz w:val="32"/>
              <w:szCs w:val="32"/>
            </w:rPr>
            <w:fldChar w:fldCharType="end"/>
          </w:r>
        </w:p>
        <w:p w14:paraId="7BD36EAF">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"_Toc178157928" </w:instrText>
          </w:r>
          <w:r>
            <w:fldChar w:fldCharType="separate"/>
          </w:r>
          <w:r>
            <w:rPr>
              <w:rStyle w:val="17"/>
              <w:rFonts w:hint="default" w:eastAsia="仿宋_GB2312"/>
              <w:sz w:val="32"/>
              <w:szCs w:val="32"/>
            </w:rPr>
            <w:t>十一、国有资本经营预算财政拨款收入支出决算表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_Toc178157928 \h </w:instrText>
          </w:r>
          <w:r>
            <w:rPr>
              <w:rFonts w:hint="default" w:eastAsia="仿宋_GB2312"/>
              <w:sz w:val="32"/>
              <w:szCs w:val="32"/>
            </w:rPr>
            <w:fldChar w:fldCharType="separate"/>
          </w:r>
          <w:r>
            <w:rPr>
              <w:rFonts w:hint="default" w:eastAsia="仿宋_GB2312"/>
              <w:sz w:val="32"/>
              <w:szCs w:val="32"/>
            </w:rPr>
            <w:t>31</w:t>
          </w:r>
          <w:r>
            <w:rPr>
              <w:rFonts w:hint="default" w:eastAsia="仿宋_GB2312"/>
              <w:sz w:val="32"/>
              <w:szCs w:val="32"/>
            </w:rPr>
            <w:fldChar w:fldCharType="end"/>
          </w:r>
          <w:r>
            <w:rPr>
              <w:rFonts w:hint="default" w:eastAsia="仿宋_GB2312"/>
              <w:sz w:val="32"/>
              <w:szCs w:val="32"/>
            </w:rPr>
            <w:fldChar w:fldCharType="end"/>
          </w:r>
        </w:p>
        <w:p w14:paraId="1579D3F9">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"_Toc178157929" </w:instrText>
          </w:r>
          <w:r>
            <w:fldChar w:fldCharType="separate"/>
          </w:r>
          <w:r>
            <w:rPr>
              <w:rStyle w:val="17"/>
              <w:rFonts w:hint="default" w:eastAsia="仿宋_GB2312"/>
              <w:sz w:val="32"/>
              <w:szCs w:val="32"/>
            </w:rPr>
            <w:t>十二、国有资本经营预算财政拨款支出决算表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_Toc178157929 \h </w:instrText>
          </w:r>
          <w:r>
            <w:rPr>
              <w:rFonts w:hint="default" w:eastAsia="仿宋_GB2312"/>
              <w:sz w:val="32"/>
              <w:szCs w:val="32"/>
            </w:rPr>
            <w:fldChar w:fldCharType="separate"/>
          </w:r>
          <w:r>
            <w:rPr>
              <w:rFonts w:hint="default" w:eastAsia="仿宋_GB2312"/>
              <w:sz w:val="32"/>
              <w:szCs w:val="32"/>
            </w:rPr>
            <w:t>31</w:t>
          </w:r>
          <w:r>
            <w:rPr>
              <w:rFonts w:hint="default" w:eastAsia="仿宋_GB2312"/>
              <w:sz w:val="32"/>
              <w:szCs w:val="32"/>
            </w:rPr>
            <w:fldChar w:fldCharType="end"/>
          </w:r>
          <w:r>
            <w:rPr>
              <w:rFonts w:hint="default" w:eastAsia="仿宋_GB2312"/>
              <w:sz w:val="32"/>
              <w:szCs w:val="32"/>
            </w:rPr>
            <w:fldChar w:fldCharType="end"/>
          </w:r>
        </w:p>
        <w:p w14:paraId="261BD964">
          <w:pPr>
            <w:pStyle w:val="13"/>
            <w:tabs>
              <w:tab w:val="right" w:leader="dot" w:pos="8835"/>
            </w:tabs>
            <w:spacing w:line="576" w:lineRule="exact"/>
            <w:ind w:left="480"/>
            <w:rPr>
              <w:rFonts w:hint="default" w:eastAsia="仿宋_GB2312"/>
              <w:sz w:val="32"/>
              <w:szCs w:val="32"/>
            </w:rPr>
          </w:pPr>
          <w:r>
            <w:fldChar w:fldCharType="begin"/>
          </w:r>
          <w:r>
            <w:instrText xml:space="preserve"> HYPERLINK \l "_Toc178157930" </w:instrText>
          </w:r>
          <w:r>
            <w:fldChar w:fldCharType="separate"/>
          </w:r>
          <w:r>
            <w:rPr>
              <w:rStyle w:val="17"/>
              <w:rFonts w:hint="default" w:eastAsia="仿宋_GB2312"/>
              <w:sz w:val="32"/>
              <w:szCs w:val="32"/>
            </w:rPr>
            <w:t>十三、财政拨款“三公”经费支出决算表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_Toc178157930 \h </w:instrText>
          </w:r>
          <w:r>
            <w:rPr>
              <w:rFonts w:hint="default" w:eastAsia="仿宋_GB2312"/>
              <w:sz w:val="32"/>
              <w:szCs w:val="32"/>
            </w:rPr>
            <w:fldChar w:fldCharType="separate"/>
          </w:r>
          <w:r>
            <w:rPr>
              <w:rFonts w:hint="default" w:eastAsia="仿宋_GB2312"/>
              <w:sz w:val="32"/>
              <w:szCs w:val="32"/>
            </w:rPr>
            <w:t>31</w:t>
          </w:r>
          <w:r>
            <w:rPr>
              <w:rFonts w:hint="default" w:eastAsia="仿宋_GB2312"/>
              <w:sz w:val="32"/>
              <w:szCs w:val="32"/>
            </w:rPr>
            <w:fldChar w:fldCharType="end"/>
          </w:r>
          <w:r>
            <w:rPr>
              <w:rFonts w:hint="default" w:eastAsia="仿宋_GB2312"/>
              <w:sz w:val="32"/>
              <w:szCs w:val="32"/>
            </w:rPr>
            <w:fldChar w:fldCharType="end"/>
          </w:r>
        </w:p>
        <w:p w14:paraId="19CB3CAE">
          <w:pPr>
            <w:spacing w:line="576" w:lineRule="exact"/>
            <w:rPr>
              <w:rFonts w:hint="default"/>
            </w:rPr>
          </w:pPr>
          <w:r>
            <w:rPr>
              <w:rFonts w:hint="default" w:eastAsia="仿宋_GB2312"/>
              <w:sz w:val="32"/>
              <w:szCs w:val="32"/>
            </w:rPr>
            <w:fldChar w:fldCharType="end"/>
          </w:r>
        </w:p>
      </w:sdtContent>
    </w:sdt>
    <w:p w14:paraId="5D0EE2BE">
      <w:pPr>
        <w:widowControl/>
        <w:snapToGrid w:val="0"/>
        <w:spacing w:line="576" w:lineRule="exact"/>
        <w:rPr>
          <w:rFonts w:hint="default"/>
        </w:rPr>
      </w:pPr>
    </w:p>
    <w:p w14:paraId="2B2DB137">
      <w:pPr>
        <w:widowControl/>
        <w:snapToGrid w:val="0"/>
        <w:spacing w:line="500" w:lineRule="exact"/>
        <w:ind w:firstLine="1320" w:firstLineChars="550"/>
        <w:rPr>
          <w:rFonts w:hint="default"/>
        </w:rPr>
      </w:pPr>
    </w:p>
    <w:p w14:paraId="187987AA">
      <w:pPr>
        <w:pStyle w:val="5"/>
        <w:spacing w:before="72"/>
        <w:rPr>
          <w:rFonts w:hint="default" w:ascii="Times New Roman"/>
        </w:rPr>
        <w:sectPr>
          <w:pgSz w:w="11907" w:h="16840"/>
          <w:pgMar w:top="2098" w:right="1474" w:bottom="1985" w:left="1588" w:header="720" w:footer="1531" w:gutter="0"/>
          <w:cols w:space="720" w:num="1"/>
        </w:sectPr>
      </w:pPr>
    </w:p>
    <w:p w14:paraId="031B685A">
      <w:pPr>
        <w:pStyle w:val="2"/>
        <w:spacing w:line="576" w:lineRule="exact"/>
        <w:jc w:val="center"/>
        <w:rPr>
          <w:rFonts w:hint="default" w:eastAsia="方正小标宋简体"/>
          <w:b/>
          <w:kern w:val="44"/>
          <w:sz w:val="44"/>
        </w:rPr>
      </w:pPr>
      <w:bookmarkStart w:id="0" w:name="_Toc178157909"/>
      <w:r>
        <w:rPr>
          <w:rFonts w:hint="default" w:eastAsia="方正小标宋简体"/>
          <w:kern w:val="44"/>
          <w:sz w:val="44"/>
        </w:rPr>
        <w:t>第一部分 部门概况</w:t>
      </w:r>
      <w:bookmarkEnd w:id="0"/>
    </w:p>
    <w:p w14:paraId="58523B7E">
      <w:pPr>
        <w:pStyle w:val="3"/>
        <w:spacing w:line="576" w:lineRule="exact"/>
        <w:ind w:firstLine="640" w:firstLineChars="200"/>
        <w:jc w:val="both"/>
        <w:rPr>
          <w:rFonts w:hint="default" w:eastAsia="黑体"/>
          <w:color w:val="000000"/>
          <w:kern w:val="2"/>
          <w:sz w:val="32"/>
        </w:rPr>
      </w:pPr>
    </w:p>
    <w:p w14:paraId="5B06007E">
      <w:pPr>
        <w:pStyle w:val="3"/>
        <w:spacing w:line="576" w:lineRule="exact"/>
        <w:ind w:firstLine="640" w:firstLineChars="200"/>
        <w:jc w:val="both"/>
        <w:rPr>
          <w:rFonts w:hint="default" w:eastAsia="黑体"/>
          <w:kern w:val="2"/>
          <w:sz w:val="32"/>
        </w:rPr>
      </w:pPr>
      <w:bookmarkStart w:id="1" w:name="_Toc178157910"/>
      <w:r>
        <w:rPr>
          <w:rFonts w:hint="default" w:eastAsia="黑体"/>
          <w:color w:val="000000"/>
          <w:kern w:val="2"/>
          <w:sz w:val="32"/>
        </w:rPr>
        <w:t>一、部门职责</w:t>
      </w:r>
      <w:bookmarkEnd w:id="1"/>
    </w:p>
    <w:p w14:paraId="62EBB80B">
      <w:pPr>
        <w:spacing w:line="576" w:lineRule="exact"/>
        <w:ind w:firstLine="640" w:firstLineChars="200"/>
        <w:jc w:val="both"/>
        <w:rPr>
          <w:rFonts w:hint="default" w:eastAsia="楷体_GB2312"/>
          <w:kern w:val="2"/>
          <w:sz w:val="32"/>
        </w:rPr>
      </w:pPr>
      <w:r>
        <w:rPr>
          <w:rFonts w:hint="default" w:eastAsia="楷体_GB2312"/>
          <w:kern w:val="2"/>
          <w:sz w:val="32"/>
        </w:rPr>
        <w:t>（一）主要职能。</w:t>
      </w:r>
    </w:p>
    <w:p w14:paraId="656C3C61">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（1）贯彻执行党和国家经济合作、外事有关法律、法规和方针、政策以及省、市、区有关决策部署，参与拟订经济合作和外事有关地方性政策、规范性文件。</w:t>
      </w:r>
    </w:p>
    <w:p w14:paraId="683FB11D">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（2）协助全区经济合作建设推进工作的统筹协调和服务。协助组织全区重大投资促进活动，推进全区重大招商引资项目的促进和落实。</w:t>
      </w:r>
    </w:p>
    <w:p w14:paraId="172788D3">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（3）协助组织编制全区经济合作总体发展规划和年度实施计划，拟订和分解招商引资中长期和年度建设目标任务。</w:t>
      </w:r>
    </w:p>
    <w:p w14:paraId="276DAADF">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（4）协助区商务和经济合作局对经济合作工作开展监测、评价、考核和监督管理工作。</w:t>
      </w:r>
    </w:p>
    <w:p w14:paraId="6AC27498">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（5）协助区商务和经济合作局执行对外经济合作政策，推进全区对外经济合作工作。受区商务和经济合作局委托，负责管理区政府各驻外招商机构。</w:t>
      </w:r>
    </w:p>
    <w:p w14:paraId="50C0F707">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（6）负责外事接待和招商引资事项的服务保障工作。</w:t>
      </w:r>
    </w:p>
    <w:p w14:paraId="5F8BE3D6">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（7）承办我区外宾来访的接待事宜；负责外国驻华机构、外国重要团体和个人来昭活动的协调联络和服务保障工作，为区委、区政府重要外事活动提供后勤保障服务。</w:t>
      </w:r>
    </w:p>
    <w:p w14:paraId="0770C6C6">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（8）指导镇、区级部门的外事活动服务保障工作。</w:t>
      </w:r>
    </w:p>
    <w:p w14:paraId="645202FC">
      <w:pPr>
        <w:pStyle w:val="8"/>
        <w:autoSpaceDE/>
        <w:autoSpaceDN/>
        <w:adjustRightInd/>
        <w:spacing w:beforeAutospacing="0" w:afterAutospacing="0" w:line="576" w:lineRule="exact"/>
        <w:ind w:firstLine="640" w:firstLineChars="200"/>
        <w:jc w:val="both"/>
        <w:rPr>
          <w:rFonts w:hint="default" w:eastAsia="仿宋_GB2312"/>
          <w:color w:val="000000"/>
          <w:kern w:val="2"/>
          <w:sz w:val="32"/>
          <w:highlight w:val="yellow"/>
        </w:rPr>
      </w:pPr>
      <w:r>
        <w:rPr>
          <w:rFonts w:hint="default" w:eastAsia="仿宋_GB2312"/>
          <w:sz w:val="32"/>
          <w:szCs w:val="32"/>
        </w:rPr>
        <w:t>（9）完成区委和区政府交办的其他任务。</w:t>
      </w:r>
    </w:p>
    <w:p w14:paraId="18FFF964">
      <w:pPr>
        <w:pStyle w:val="8"/>
        <w:autoSpaceDE/>
        <w:autoSpaceDN/>
        <w:adjustRightInd/>
        <w:spacing w:beforeAutospacing="0" w:afterAutospacing="0" w:line="576" w:lineRule="exact"/>
        <w:ind w:firstLine="640" w:firstLineChars="200"/>
        <w:jc w:val="both"/>
        <w:rPr>
          <w:rFonts w:hint="default" w:eastAsia="楷体_GB2312"/>
          <w:sz w:val="32"/>
          <w:szCs w:val="32"/>
        </w:rPr>
      </w:pPr>
      <w:r>
        <w:rPr>
          <w:rFonts w:hint="default" w:eastAsia="楷体_GB2312"/>
          <w:sz w:val="32"/>
          <w:szCs w:val="32"/>
        </w:rPr>
        <w:t>（二）2023年重点工作完成情况。</w:t>
      </w:r>
    </w:p>
    <w:p w14:paraId="04C14623">
      <w:pPr>
        <w:autoSpaceDE/>
        <w:autoSpaceDN/>
        <w:adjustRightInd/>
        <w:spacing w:line="576" w:lineRule="exact"/>
        <w:ind w:firstLine="640" w:firstLineChars="200"/>
        <w:jc w:val="both"/>
        <w:rPr>
          <w:rFonts w:hint="default" w:eastAsia="仿宋_GB2312"/>
          <w:color w:val="000000"/>
          <w:sz w:val="32"/>
          <w:szCs w:val="32"/>
        </w:rPr>
      </w:pPr>
      <w:r>
        <w:rPr>
          <w:rFonts w:hint="default" w:eastAsia="仿宋_GB2312"/>
          <w:color w:val="000000"/>
          <w:sz w:val="32"/>
          <w:szCs w:val="32"/>
        </w:rPr>
        <w:t>1.招商引资工作取得显著成效。</w:t>
      </w:r>
    </w:p>
    <w:p w14:paraId="40A1202F">
      <w:pPr>
        <w:autoSpaceDE/>
        <w:autoSpaceDN/>
        <w:adjustRightInd/>
        <w:spacing w:line="576" w:lineRule="exact"/>
        <w:ind w:firstLine="640" w:firstLineChars="200"/>
        <w:jc w:val="both"/>
        <w:rPr>
          <w:rFonts w:hint="default" w:eastAsia="仿宋_GB2312"/>
          <w:color w:val="000000"/>
          <w:sz w:val="32"/>
          <w:szCs w:val="32"/>
        </w:rPr>
      </w:pPr>
      <w:r>
        <w:rPr>
          <w:rFonts w:hint="default" w:eastAsia="仿宋_GB2312"/>
          <w:color w:val="000000"/>
          <w:sz w:val="32"/>
          <w:szCs w:val="32"/>
        </w:rPr>
        <w:t>（1）新签约项目、到位资金完成情况。2023年新签约项目102个，签约总投资113.4亿元，其中签约亿元以上项目35个，签约工业项目23个，签约资金34亿元。新开工项目89个，全年完成到位资金38.9亿元。</w:t>
      </w:r>
    </w:p>
    <w:p w14:paraId="129DD1B8">
      <w:pPr>
        <w:autoSpaceDE/>
        <w:autoSpaceDN/>
        <w:adjustRightInd/>
        <w:spacing w:line="576" w:lineRule="exact"/>
        <w:ind w:firstLine="640" w:firstLineChars="200"/>
        <w:jc w:val="both"/>
        <w:rPr>
          <w:rFonts w:hint="default" w:eastAsia="仿宋_GB2312"/>
          <w:color w:val="000000"/>
          <w:sz w:val="32"/>
          <w:szCs w:val="32"/>
        </w:rPr>
      </w:pPr>
      <w:r>
        <w:rPr>
          <w:rFonts w:hint="default" w:eastAsia="仿宋_GB2312"/>
          <w:color w:val="000000"/>
          <w:sz w:val="32"/>
          <w:szCs w:val="32"/>
        </w:rPr>
        <w:t>（2）招商引资项目对接情况。由县级领导带队外出开展投资促进活动，赴北京、上海、广东、河北、成都等地对接项目220余次，其中党政主要领导对接项目38次。通过对外宣传推介，邀请客商赴昭化考察项目87次，全年捕捉有效招商信息343条。</w:t>
      </w:r>
    </w:p>
    <w:p w14:paraId="4CAC7BC1">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3）招商引资活动开展情况。全年累计参加西博会、中外知名企业四川行、中国（广元）物流发展大会、文旅发展大会等省、市重大平台活动12场次，在杭州、乌鲁木齐、重庆等地召开招商引资推介会8场次，全年组织区级平台集中签约活动5场次、重点项目签约活动3场次。</w:t>
      </w:r>
    </w:p>
    <w:p w14:paraId="054703E7">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2.外事服务保障稳打稳扎完成。</w:t>
      </w:r>
    </w:p>
    <w:p w14:paraId="7D411543">
      <w:pPr>
        <w:autoSpaceDE/>
        <w:autoSpaceDN/>
        <w:adjustRightInd/>
        <w:snapToGrid w:val="0"/>
        <w:spacing w:line="576" w:lineRule="exact"/>
        <w:ind w:firstLine="640" w:firstLineChars="200"/>
        <w:jc w:val="both"/>
        <w:rPr>
          <w:rFonts w:hint="default" w:eastAsia="仿宋_GB2312"/>
          <w:sz w:val="32"/>
        </w:rPr>
      </w:pPr>
      <w:r>
        <w:rPr>
          <w:rFonts w:hint="default" w:eastAsia="仿宋_GB2312"/>
          <w:sz w:val="32"/>
          <w:szCs w:val="32"/>
        </w:rPr>
        <w:t>（1）严格落实省市相关工作部署，由区经济合作和外事中心牵头，区委政法委、区委国安办以及相关区级部门联动协作，以全区12个镇为责任主体，全覆盖摸底我区出国（境）人员、机构以及外商投资情况，建立底数台账、风险台账、工作台账“三本台账”，做到动态更新、定期上报，确保不落一户、不漏一人。健全“一对一”联络机制，安排专人与重点涉外人员常态化开展</w:t>
      </w:r>
      <w:r>
        <w:rPr>
          <w:rFonts w:hint="default" w:eastAsia="仿宋_GB2312"/>
          <w:sz w:val="32"/>
        </w:rPr>
        <w:t>沟通对接，确保跟踪及时、精准管控。</w:t>
      </w:r>
    </w:p>
    <w:p w14:paraId="6C318B21">
      <w:pPr>
        <w:pStyle w:val="4"/>
        <w:autoSpaceDE/>
        <w:autoSpaceDN/>
        <w:adjustRightInd/>
        <w:spacing w:line="576" w:lineRule="exact"/>
        <w:ind w:left="0" w:firstLine="640" w:firstLineChars="200"/>
        <w:jc w:val="both"/>
        <w:rPr>
          <w:rFonts w:hint="default" w:ascii="Times New Roman" w:hAnsi="Times New Roman" w:eastAsia="仿宋_GB2312"/>
          <w:sz w:val="32"/>
        </w:rPr>
      </w:pPr>
      <w:r>
        <w:rPr>
          <w:rFonts w:hint="default" w:ascii="Times New Roman" w:hAnsi="Times New Roman" w:eastAsia="仿宋_GB2312"/>
          <w:sz w:val="32"/>
        </w:rPr>
        <w:t>（</w:t>
      </w:r>
      <w:r>
        <w:rPr>
          <w:rFonts w:hint="default" w:ascii="Times New Roman" w:hAnsi="Times New Roman" w:eastAsia="仿宋_GB2312"/>
          <w:color w:val="000000"/>
          <w:sz w:val="32"/>
          <w:szCs w:val="32"/>
        </w:rPr>
        <w:t>2</w:t>
      </w:r>
      <w:r>
        <w:rPr>
          <w:rFonts w:hint="default" w:ascii="Times New Roman" w:hAnsi="Times New Roman" w:eastAsia="仿宋_GB2312"/>
          <w:sz w:val="32"/>
        </w:rPr>
        <w:t>）强化境外安全形势和涉外安全风险跟踪研判，在全区范围内大力推广并应用四川省海外川籍人员领事保护服务系统，密切关注驻外使领馆发布的风险提示，压紧压实属地镇管控责任，有针对性地指导涉及相关国家（地区）人员加强自身安全防范，切实维护我区涉外人员利益及安全。今年以来，依托综治宣传月、“4.15”全民国家安全教育日，全区组织各镇及相关部门先后开展海外利益安全保护专题宣传活动2次，召开海外利益安全保护工作推进会1次，先后对我区在刚果（金）、尼日利亚、巴基斯坦、吉尔吉斯斯坦等红色风险国家（地区）人员进行安全提醒20余次，妥善处置海外领事保护案件1起（省委外办指示劝返我区1名在阿富汗开办矿企人员回国）。</w:t>
      </w:r>
    </w:p>
    <w:p w14:paraId="1EAF32FF">
      <w:pPr>
        <w:pStyle w:val="4"/>
        <w:autoSpaceDE/>
        <w:autoSpaceDN/>
        <w:adjustRightInd/>
        <w:spacing w:line="576" w:lineRule="exact"/>
        <w:ind w:left="0" w:firstLine="640" w:firstLineChars="200"/>
        <w:jc w:val="both"/>
        <w:rPr>
          <w:rFonts w:hint="default" w:ascii="Times New Roman" w:hAnsi="Times New Roman" w:eastAsia="仿宋_GB2312"/>
        </w:rPr>
      </w:pPr>
      <w:r>
        <w:rPr>
          <w:rFonts w:hint="default" w:ascii="Times New Roman" w:hAnsi="Times New Roman" w:eastAsia="仿宋_GB2312"/>
          <w:sz w:val="32"/>
        </w:rPr>
        <w:t>（</w:t>
      </w:r>
      <w:r>
        <w:rPr>
          <w:rFonts w:hint="default" w:ascii="Times New Roman" w:hAnsi="Times New Roman" w:eastAsia="仿宋_GB2312"/>
          <w:color w:val="000000"/>
          <w:sz w:val="32"/>
          <w:szCs w:val="32"/>
        </w:rPr>
        <w:t>3</w:t>
      </w:r>
      <w:r>
        <w:rPr>
          <w:rFonts w:hint="default" w:ascii="Times New Roman" w:hAnsi="Times New Roman" w:eastAsia="仿宋_GB2312"/>
          <w:sz w:val="32"/>
        </w:rPr>
        <w:t>）严格遵守外事工作纪律，认真执行国家、省、市关于加强党政干部因公出国（境）相关规定，规范开展国（境）外重要团体、机构、企业、人员的外事接待活动。今年以来，我区暂无党政干部因公出国（境）事宜，先后承办了2023国际媒体人广元大蜀道采风活动、台湾同胞蜀道行活动，接待瑞士瑞中协会、新加坡中华总商会、2023年发展中国家农村发展与减贫官员研修班、南亚国家友好组织负责人及青年精英代表团等外事团队考察，协同推动友好城市联结工作/积极推动民间友好往来，全面宣传展示昭化良好形象。</w:t>
      </w:r>
    </w:p>
    <w:p w14:paraId="6A74EB36">
      <w:pPr>
        <w:pStyle w:val="3"/>
        <w:spacing w:line="576" w:lineRule="exact"/>
        <w:ind w:firstLine="640" w:firstLineChars="200"/>
        <w:jc w:val="both"/>
        <w:rPr>
          <w:rFonts w:hint="default"/>
          <w:kern w:val="2"/>
          <w:sz w:val="32"/>
        </w:rPr>
      </w:pPr>
      <w:bookmarkStart w:id="2" w:name="_Toc178157911"/>
      <w:r>
        <w:rPr>
          <w:rFonts w:hint="default" w:eastAsia="黑体"/>
          <w:color w:val="000000"/>
          <w:kern w:val="2"/>
          <w:sz w:val="32"/>
        </w:rPr>
        <w:t>二、机</w:t>
      </w:r>
      <w:r>
        <w:rPr>
          <w:rFonts w:hint="default" w:eastAsia="黑体"/>
          <w:kern w:val="2"/>
          <w:sz w:val="32"/>
        </w:rPr>
        <w:t>构设置</w:t>
      </w:r>
      <w:bookmarkEnd w:id="2"/>
    </w:p>
    <w:p w14:paraId="2D1CE313">
      <w:pPr>
        <w:spacing w:line="576" w:lineRule="exact"/>
        <w:ind w:firstLine="640" w:firstLineChars="200"/>
        <w:jc w:val="both"/>
        <w:rPr>
          <w:rFonts w:hint="default" w:eastAsia="仿宋_GB2312"/>
          <w:kern w:val="2"/>
          <w:sz w:val="32"/>
        </w:rPr>
      </w:pPr>
      <w:r>
        <w:rPr>
          <w:rFonts w:hint="default" w:eastAsia="仿宋_GB2312"/>
          <w:kern w:val="2"/>
          <w:sz w:val="32"/>
        </w:rPr>
        <w:t>区经济合作和外事中心属于一级预算单位，下属二级预算单位0个，其中行政单位0个，参照公务员法管理的事业单位0个，其他事业单位0个。</w:t>
      </w:r>
    </w:p>
    <w:p w14:paraId="1DD25F0E">
      <w:pPr>
        <w:spacing w:line="576" w:lineRule="exact"/>
        <w:ind w:firstLine="640" w:firstLineChars="200"/>
        <w:jc w:val="both"/>
        <w:rPr>
          <w:rFonts w:hint="default" w:eastAsia="仿宋_GB2312"/>
          <w:color w:val="000000"/>
          <w:sz w:val="32"/>
        </w:rPr>
      </w:pPr>
      <w:r>
        <w:rPr>
          <w:rFonts w:hint="default" w:eastAsia="仿宋_GB2312"/>
          <w:color w:val="000000"/>
          <w:sz w:val="32"/>
        </w:rPr>
        <w:t>纳入</w:t>
      </w:r>
      <w:r>
        <w:rPr>
          <w:rFonts w:hint="default" w:eastAsia="仿宋_GB2312"/>
          <w:kern w:val="2"/>
          <w:sz w:val="32"/>
        </w:rPr>
        <w:t>区经济合作和外事中心</w:t>
      </w:r>
      <w:r>
        <w:rPr>
          <w:rFonts w:hint="default" w:eastAsia="仿宋_GB2312"/>
          <w:color w:val="000000"/>
          <w:sz w:val="32"/>
        </w:rPr>
        <w:t>2023年度部门决算编制范围的二级预算单位0个。</w:t>
      </w:r>
    </w:p>
    <w:p w14:paraId="61A86D83">
      <w:pPr>
        <w:pStyle w:val="5"/>
        <w:spacing w:before="72" w:line="576" w:lineRule="exact"/>
        <w:ind w:firstLine="600" w:firstLineChars="200"/>
        <w:rPr>
          <w:rFonts w:hint="default" w:ascii="Times New Roman"/>
        </w:rPr>
      </w:pPr>
    </w:p>
    <w:p w14:paraId="6F7D5260">
      <w:pPr>
        <w:pStyle w:val="5"/>
        <w:spacing w:before="72" w:line="576" w:lineRule="exact"/>
        <w:ind w:firstLine="600" w:firstLineChars="200"/>
        <w:rPr>
          <w:rFonts w:hint="default" w:ascii="Times New Roman"/>
        </w:rPr>
        <w:sectPr>
          <w:footerReference r:id="rId3" w:type="default"/>
          <w:pgSz w:w="11907" w:h="16840"/>
          <w:pgMar w:top="2098" w:right="1474" w:bottom="1985" w:left="1588" w:header="720" w:footer="1531" w:gutter="0"/>
          <w:pgNumType w:start="1"/>
          <w:cols w:space="720" w:num="1"/>
        </w:sectPr>
      </w:pPr>
    </w:p>
    <w:p w14:paraId="41D4F8CC">
      <w:pPr>
        <w:pStyle w:val="2"/>
        <w:spacing w:line="576" w:lineRule="exact"/>
        <w:jc w:val="center"/>
        <w:rPr>
          <w:rFonts w:hint="default" w:eastAsia="方正小标宋简体"/>
          <w:kern w:val="44"/>
          <w:sz w:val="44"/>
        </w:rPr>
      </w:pPr>
      <w:bookmarkStart w:id="3" w:name="_Toc178157912"/>
      <w:r>
        <w:rPr>
          <w:rFonts w:hint="default" w:eastAsia="方正小标宋简体"/>
          <w:kern w:val="44"/>
          <w:sz w:val="44"/>
        </w:rPr>
        <w:t>第二部分  2023年度部门决算情况说明</w:t>
      </w:r>
      <w:bookmarkEnd w:id="3"/>
    </w:p>
    <w:p w14:paraId="2A1E7630">
      <w:pPr>
        <w:overflowPunct w:val="0"/>
        <w:topLinePunct/>
        <w:spacing w:line="576" w:lineRule="exact"/>
        <w:ind w:firstLine="640" w:firstLineChars="200"/>
        <w:jc w:val="both"/>
        <w:rPr>
          <w:rFonts w:hint="default" w:eastAsia="黑体"/>
          <w:color w:val="000000"/>
          <w:kern w:val="2"/>
          <w:sz w:val="32"/>
        </w:rPr>
      </w:pPr>
    </w:p>
    <w:p w14:paraId="1EFABC3B">
      <w:pPr>
        <w:overflowPunct w:val="0"/>
        <w:topLinePunct/>
        <w:spacing w:line="576" w:lineRule="exact"/>
        <w:ind w:firstLine="640" w:firstLineChars="200"/>
        <w:jc w:val="both"/>
        <w:rPr>
          <w:rFonts w:hint="default" w:eastAsia="黑体"/>
          <w:kern w:val="2"/>
          <w:sz w:val="32"/>
        </w:rPr>
      </w:pPr>
      <w:r>
        <w:rPr>
          <w:rFonts w:hint="default" w:eastAsia="黑体"/>
          <w:color w:val="000000"/>
          <w:kern w:val="2"/>
          <w:sz w:val="32"/>
        </w:rPr>
        <w:t>一、收</w:t>
      </w:r>
      <w:r>
        <w:rPr>
          <w:rFonts w:hint="default" w:eastAsia="黑体"/>
          <w:kern w:val="2"/>
          <w:sz w:val="32"/>
        </w:rPr>
        <w:t>入支出决算总体情况说明</w:t>
      </w:r>
    </w:p>
    <w:p w14:paraId="6ACC2831">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2023年度收、支总计均为509.16万元。</w:t>
      </w:r>
    </w:p>
    <w:p w14:paraId="49EBB50F">
      <w:pPr>
        <w:overflowPunct w:val="0"/>
        <w:topLinePunct/>
        <w:ind w:right="480" w:rightChars="200"/>
        <w:jc w:val="center"/>
        <w:rPr>
          <w:rFonts w:hint="default" w:eastAsia="仿宋_GB2312"/>
          <w:color w:val="000000"/>
          <w:kern w:val="2"/>
          <w:sz w:val="32"/>
          <w:highlight w:val="yellow"/>
        </w:rPr>
      </w:pPr>
      <w:r>
        <w:rPr>
          <w:rFonts w:hint="default"/>
        </w:rPr>
        <w:drawing>
          <wp:inline distT="0" distB="0" distL="0" distR="0">
            <wp:extent cx="4445000" cy="2857500"/>
            <wp:effectExtent l="19050" t="0" r="0" b="0"/>
            <wp:docPr id="2" name="图表 10"/>
            <wp:cNvGraphicFramePr/>
            <a:graphic xmlns:a="http://schemas.openxmlformats.org/drawingml/2006/main">
              <a:graphicData uri="http://schemas.openxmlformats.org/drawingml/2006/picture">
                <pic:pic xmlns:pic="http://schemas.openxmlformats.org/drawingml/2006/picture">
                  <pic:nvPicPr>
                    <pic:cNvPr id="2" name="图表 10"/>
                    <pic:cNvPicPr/>
                  </pic:nvPicPr>
                  <pic:blipFill>
                    <a:blip r:embed="rId5" cstate="print"/>
                    <a:stretch>
                      <a:fillRect/>
                    </a:stretch>
                  </pic:blipFill>
                  <pic:spPr>
                    <a:xfrm>
                      <a:off x="0" y="0"/>
                      <a:ext cx="4445000" cy="2857500"/>
                    </a:xfrm>
                    <a:prstGeom prst="rect">
                      <a:avLst/>
                    </a:prstGeom>
                    <a:noFill/>
                    <a:ln>
                      <a:noFill/>
                    </a:ln>
                  </pic:spPr>
                </pic:pic>
              </a:graphicData>
            </a:graphic>
          </wp:inline>
        </w:drawing>
      </w:r>
    </w:p>
    <w:p w14:paraId="177D1094">
      <w:pPr>
        <w:overflowPunct w:val="0"/>
        <w:topLinePunct/>
        <w:spacing w:line="576" w:lineRule="exact"/>
        <w:jc w:val="center"/>
        <w:rPr>
          <w:rFonts w:hint="default" w:eastAsia="仿宋_GB2312"/>
          <w:color w:val="000000"/>
          <w:kern w:val="2"/>
          <w:sz w:val="32"/>
        </w:rPr>
      </w:pPr>
      <w:r>
        <w:rPr>
          <w:rFonts w:hint="default" w:eastAsia="仿宋_GB2312"/>
          <w:color w:val="000000"/>
          <w:kern w:val="2"/>
          <w:sz w:val="32"/>
        </w:rPr>
        <w:t>（图1：收、支决算总计变动情况图）</w:t>
      </w:r>
    </w:p>
    <w:p w14:paraId="079E4BAB">
      <w:pPr>
        <w:overflowPunct w:val="0"/>
        <w:topLinePunct/>
        <w:spacing w:line="576" w:lineRule="exact"/>
        <w:ind w:firstLine="640" w:firstLineChars="200"/>
        <w:jc w:val="both"/>
        <w:rPr>
          <w:rFonts w:hint="default" w:eastAsia="黑体"/>
          <w:kern w:val="2"/>
          <w:sz w:val="32"/>
        </w:rPr>
      </w:pPr>
      <w:r>
        <w:rPr>
          <w:rFonts w:hint="default" w:eastAsia="黑体"/>
          <w:color w:val="000000"/>
          <w:kern w:val="2"/>
          <w:sz w:val="32"/>
        </w:rPr>
        <w:t>二、收</w:t>
      </w:r>
      <w:r>
        <w:rPr>
          <w:rFonts w:hint="default" w:eastAsia="黑体"/>
          <w:kern w:val="2"/>
          <w:sz w:val="32"/>
        </w:rPr>
        <w:t>入决算情况说明</w:t>
      </w:r>
    </w:p>
    <w:p w14:paraId="4B9309DF">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2023年本年收入合计509.16万元，其中：一般公共预算财政拨款收入509.16万元，占100%。</w:t>
      </w:r>
    </w:p>
    <w:p w14:paraId="3CE9CEF6">
      <w:pPr>
        <w:overflowPunct w:val="0"/>
        <w:topLinePunct/>
        <w:ind w:right="480" w:rightChars="200"/>
        <w:jc w:val="center"/>
        <w:rPr>
          <w:rFonts w:hint="default"/>
        </w:rPr>
      </w:pPr>
      <w:r>
        <w:rPr>
          <w:rFonts w:hint="default"/>
        </w:rPr>
        <w:drawing>
          <wp:inline distT="0" distB="0" distL="0" distR="0">
            <wp:extent cx="4445000" cy="2679700"/>
            <wp:effectExtent l="1905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cstate="print"/>
                    <a:stretch>
                      <a:fillRect/>
                    </a:stretch>
                  </pic:blipFill>
                  <pic:spPr>
                    <a:xfrm>
                      <a:off x="0" y="0"/>
                      <a:ext cx="4445000" cy="2679700"/>
                    </a:xfrm>
                    <a:prstGeom prst="rect">
                      <a:avLst/>
                    </a:prstGeom>
                    <a:noFill/>
                    <a:ln>
                      <a:noFill/>
                    </a:ln>
                  </pic:spPr>
                </pic:pic>
              </a:graphicData>
            </a:graphic>
          </wp:inline>
        </w:drawing>
      </w:r>
    </w:p>
    <w:p w14:paraId="640FADAB">
      <w:pPr>
        <w:overflowPunct w:val="0"/>
        <w:topLinePunct/>
        <w:spacing w:line="576" w:lineRule="exact"/>
        <w:jc w:val="center"/>
        <w:rPr>
          <w:rFonts w:hint="default" w:eastAsia="仿宋_GB2312"/>
          <w:color w:val="000000"/>
          <w:kern w:val="2"/>
          <w:sz w:val="32"/>
        </w:rPr>
      </w:pPr>
      <w:r>
        <w:rPr>
          <w:rFonts w:hint="default" w:eastAsia="仿宋_GB2312"/>
          <w:color w:val="000000"/>
          <w:kern w:val="2"/>
          <w:sz w:val="32"/>
        </w:rPr>
        <w:t>（图2：收入决算结构图）（饼状图）</w:t>
      </w:r>
    </w:p>
    <w:p w14:paraId="0D21F90D">
      <w:pPr>
        <w:overflowPunct w:val="0"/>
        <w:topLinePunct/>
        <w:spacing w:line="576" w:lineRule="exact"/>
        <w:ind w:firstLine="640" w:firstLineChars="200"/>
        <w:jc w:val="both"/>
        <w:rPr>
          <w:rFonts w:hint="default" w:eastAsia="黑体"/>
          <w:kern w:val="2"/>
          <w:sz w:val="32"/>
        </w:rPr>
      </w:pPr>
      <w:r>
        <w:rPr>
          <w:rFonts w:hint="default" w:eastAsia="黑体"/>
          <w:color w:val="000000"/>
          <w:kern w:val="2"/>
          <w:sz w:val="32"/>
        </w:rPr>
        <w:t>三、支</w:t>
      </w:r>
      <w:r>
        <w:rPr>
          <w:rFonts w:hint="default" w:eastAsia="黑体"/>
          <w:kern w:val="2"/>
          <w:sz w:val="32"/>
        </w:rPr>
        <w:t>出决算情况说明</w:t>
      </w:r>
    </w:p>
    <w:p w14:paraId="0E6DDA7E">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2023年本年支出合计509.16万元，其中：基本支出115.17万元，占22.6%；项目支出393.99万元，占77.4%。</w:t>
      </w:r>
    </w:p>
    <w:p w14:paraId="207154BC">
      <w:pPr>
        <w:overflowPunct w:val="0"/>
        <w:topLinePunct/>
        <w:ind w:right="480" w:rightChars="200"/>
        <w:jc w:val="center"/>
        <w:rPr>
          <w:rFonts w:hint="default"/>
        </w:rPr>
      </w:pPr>
      <w:r>
        <w:rPr>
          <w:rFonts w:hint="default"/>
        </w:rPr>
        <w:drawing>
          <wp:inline distT="0" distB="0" distL="0" distR="0">
            <wp:extent cx="4445000" cy="2857500"/>
            <wp:effectExtent l="19050" t="0" r="0" b="0"/>
            <wp:docPr id="3" name="图表 12"/>
            <wp:cNvGraphicFramePr/>
            <a:graphic xmlns:a="http://schemas.openxmlformats.org/drawingml/2006/main">
              <a:graphicData uri="http://schemas.openxmlformats.org/drawingml/2006/picture">
                <pic:pic xmlns:pic="http://schemas.openxmlformats.org/drawingml/2006/picture">
                  <pic:nvPicPr>
                    <pic:cNvPr id="3" name="图表 12"/>
                    <pic:cNvPicPr/>
                  </pic:nvPicPr>
                  <pic:blipFill>
                    <a:blip r:embed="rId7" cstate="print"/>
                    <a:stretch>
                      <a:fillRect/>
                    </a:stretch>
                  </pic:blipFill>
                  <pic:spPr>
                    <a:xfrm>
                      <a:off x="0" y="0"/>
                      <a:ext cx="4445000" cy="2857500"/>
                    </a:xfrm>
                    <a:prstGeom prst="rect">
                      <a:avLst/>
                    </a:prstGeom>
                    <a:noFill/>
                    <a:ln>
                      <a:noFill/>
                    </a:ln>
                  </pic:spPr>
                </pic:pic>
              </a:graphicData>
            </a:graphic>
          </wp:inline>
        </w:drawing>
      </w:r>
    </w:p>
    <w:p w14:paraId="1A0EB89A">
      <w:pPr>
        <w:overflowPunct w:val="0"/>
        <w:topLinePunct/>
        <w:spacing w:line="576" w:lineRule="exact"/>
        <w:jc w:val="center"/>
        <w:rPr>
          <w:rFonts w:hint="default" w:eastAsia="仿宋_GB2312"/>
          <w:color w:val="000000"/>
          <w:kern w:val="2"/>
          <w:sz w:val="32"/>
        </w:rPr>
      </w:pPr>
      <w:r>
        <w:rPr>
          <w:rFonts w:hint="default" w:eastAsia="仿宋_GB2312"/>
          <w:color w:val="000000"/>
          <w:kern w:val="2"/>
          <w:sz w:val="32"/>
        </w:rPr>
        <w:t>（图3：支出决算结构图）（饼状图）</w:t>
      </w:r>
    </w:p>
    <w:p w14:paraId="74DAE831">
      <w:pPr>
        <w:overflowPunct w:val="0"/>
        <w:topLinePunct/>
        <w:spacing w:line="576" w:lineRule="exact"/>
        <w:ind w:firstLine="640" w:firstLineChars="200"/>
        <w:jc w:val="both"/>
        <w:rPr>
          <w:rFonts w:hint="default" w:eastAsia="黑体"/>
          <w:kern w:val="2"/>
          <w:sz w:val="32"/>
        </w:rPr>
      </w:pPr>
      <w:r>
        <w:rPr>
          <w:rFonts w:hint="default" w:eastAsia="黑体"/>
          <w:color w:val="000000"/>
          <w:kern w:val="2"/>
          <w:sz w:val="32"/>
        </w:rPr>
        <w:t>四、财</w:t>
      </w:r>
      <w:r>
        <w:rPr>
          <w:rFonts w:hint="default" w:eastAsia="黑体"/>
          <w:kern w:val="2"/>
          <w:sz w:val="32"/>
        </w:rPr>
        <w:t>政拨款收入支出决算总体情况说明</w:t>
      </w:r>
    </w:p>
    <w:p w14:paraId="7344E027">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2023年度财政拨款收、支总计均为509.16万元。</w:t>
      </w:r>
    </w:p>
    <w:p w14:paraId="68B440B6">
      <w:pPr>
        <w:overflowPunct w:val="0"/>
        <w:topLinePunct/>
        <w:ind w:right="480" w:rightChars="200"/>
        <w:jc w:val="center"/>
        <w:rPr>
          <w:rFonts w:hint="default"/>
        </w:rPr>
      </w:pPr>
      <w:r>
        <w:rPr>
          <w:rFonts w:hint="default"/>
        </w:rPr>
        <w:drawing>
          <wp:inline distT="0" distB="0" distL="0" distR="0">
            <wp:extent cx="4445000" cy="2857500"/>
            <wp:effectExtent l="19050" t="0" r="0" b="0"/>
            <wp:docPr id="4" name="图表 13"/>
            <wp:cNvGraphicFramePr/>
            <a:graphic xmlns:a="http://schemas.openxmlformats.org/drawingml/2006/main">
              <a:graphicData uri="http://schemas.openxmlformats.org/drawingml/2006/picture">
                <pic:pic xmlns:pic="http://schemas.openxmlformats.org/drawingml/2006/picture">
                  <pic:nvPicPr>
                    <pic:cNvPr id="4" name="图表 13"/>
                    <pic:cNvPicPr/>
                  </pic:nvPicPr>
                  <pic:blipFill>
                    <a:blip r:embed="rId8" cstate="print"/>
                    <a:stretch>
                      <a:fillRect/>
                    </a:stretch>
                  </pic:blipFill>
                  <pic:spPr>
                    <a:xfrm>
                      <a:off x="0" y="0"/>
                      <a:ext cx="4445000" cy="2857500"/>
                    </a:xfrm>
                    <a:prstGeom prst="rect">
                      <a:avLst/>
                    </a:prstGeom>
                    <a:noFill/>
                    <a:ln>
                      <a:noFill/>
                    </a:ln>
                  </pic:spPr>
                </pic:pic>
              </a:graphicData>
            </a:graphic>
          </wp:inline>
        </w:drawing>
      </w:r>
    </w:p>
    <w:p w14:paraId="477428E8">
      <w:pPr>
        <w:overflowPunct w:val="0"/>
        <w:topLinePunct/>
        <w:spacing w:line="576" w:lineRule="exact"/>
        <w:jc w:val="center"/>
        <w:rPr>
          <w:rFonts w:hint="default" w:eastAsia="仿宋_GB2312"/>
          <w:color w:val="000000"/>
          <w:kern w:val="2"/>
          <w:sz w:val="32"/>
        </w:rPr>
      </w:pPr>
      <w:r>
        <w:rPr>
          <w:rFonts w:hint="default" w:eastAsia="仿宋_GB2312"/>
          <w:color w:val="000000"/>
          <w:kern w:val="2"/>
          <w:sz w:val="32"/>
        </w:rPr>
        <w:t>（图4：财政拨款收、支决算总计变动情况）（柱状图）</w:t>
      </w:r>
    </w:p>
    <w:p w14:paraId="60293EFD">
      <w:pPr>
        <w:overflowPunct w:val="0"/>
        <w:topLinePunct/>
        <w:spacing w:line="576" w:lineRule="exact"/>
        <w:ind w:firstLine="640" w:firstLineChars="200"/>
        <w:jc w:val="both"/>
        <w:rPr>
          <w:rFonts w:hint="default" w:eastAsia="黑体"/>
          <w:kern w:val="2"/>
          <w:sz w:val="32"/>
        </w:rPr>
      </w:pPr>
      <w:r>
        <w:rPr>
          <w:rFonts w:hint="default" w:eastAsia="黑体"/>
          <w:color w:val="000000"/>
          <w:kern w:val="2"/>
          <w:sz w:val="32"/>
        </w:rPr>
        <w:t>五、</w:t>
      </w:r>
      <w:r>
        <w:rPr>
          <w:rFonts w:hint="default" w:eastAsia="黑体"/>
          <w:b/>
          <w:color w:val="000000"/>
          <w:kern w:val="2"/>
          <w:sz w:val="32"/>
        </w:rPr>
        <w:t>一</w:t>
      </w:r>
      <w:r>
        <w:rPr>
          <w:rFonts w:hint="default" w:eastAsia="黑体"/>
          <w:kern w:val="2"/>
          <w:sz w:val="32"/>
        </w:rPr>
        <w:t>般公共预算财政拨款支出决算情况说明</w:t>
      </w:r>
    </w:p>
    <w:p w14:paraId="1C5DFC9C">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（一）一般公共预算财政拨款支出决算总体情况</w:t>
      </w:r>
    </w:p>
    <w:p w14:paraId="3922036D">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2023年度一般公共预算财政拨款支出509.16万元，占本年支出合计的100%。</w:t>
      </w:r>
    </w:p>
    <w:p w14:paraId="6CB6A8EA">
      <w:pPr>
        <w:overflowPunct w:val="0"/>
        <w:topLinePunct/>
        <w:ind w:right="480" w:rightChars="200"/>
        <w:jc w:val="center"/>
        <w:rPr>
          <w:rFonts w:hint="default"/>
        </w:rPr>
      </w:pPr>
      <w:r>
        <w:rPr>
          <w:rFonts w:hint="default"/>
        </w:rPr>
        <w:drawing>
          <wp:inline distT="0" distB="0" distL="0" distR="0">
            <wp:extent cx="4445000" cy="2857500"/>
            <wp:effectExtent l="19050" t="0" r="0" b="0"/>
            <wp:docPr id="5" name="图表 14"/>
            <wp:cNvGraphicFramePr/>
            <a:graphic xmlns:a="http://schemas.openxmlformats.org/drawingml/2006/main">
              <a:graphicData uri="http://schemas.openxmlformats.org/drawingml/2006/picture">
                <pic:pic xmlns:pic="http://schemas.openxmlformats.org/drawingml/2006/picture">
                  <pic:nvPicPr>
                    <pic:cNvPr id="5" name="图表 14"/>
                    <pic:cNvPicPr/>
                  </pic:nvPicPr>
                  <pic:blipFill>
                    <a:blip r:embed="rId9" cstate="print"/>
                    <a:stretch>
                      <a:fillRect/>
                    </a:stretch>
                  </pic:blipFill>
                  <pic:spPr>
                    <a:xfrm>
                      <a:off x="0" y="0"/>
                      <a:ext cx="4445000" cy="2857500"/>
                    </a:xfrm>
                    <a:prstGeom prst="rect">
                      <a:avLst/>
                    </a:prstGeom>
                    <a:noFill/>
                    <a:ln>
                      <a:noFill/>
                    </a:ln>
                  </pic:spPr>
                </pic:pic>
              </a:graphicData>
            </a:graphic>
          </wp:inline>
        </w:drawing>
      </w:r>
    </w:p>
    <w:p w14:paraId="7E31905C">
      <w:pPr>
        <w:overflowPunct w:val="0"/>
        <w:topLinePunct/>
        <w:spacing w:line="576" w:lineRule="exact"/>
        <w:jc w:val="center"/>
        <w:rPr>
          <w:rFonts w:hint="default" w:eastAsia="仿宋_GB2312"/>
          <w:color w:val="000000"/>
          <w:kern w:val="2"/>
          <w:sz w:val="32"/>
        </w:rPr>
      </w:pPr>
      <w:r>
        <w:rPr>
          <w:rFonts w:hint="default" w:eastAsia="仿宋_GB2312"/>
          <w:color w:val="000000"/>
          <w:kern w:val="2"/>
          <w:sz w:val="32"/>
        </w:rPr>
        <w:t>（图5：一般公共预算财政拨款支出决算变动情况）（柱状图）</w:t>
      </w:r>
    </w:p>
    <w:p w14:paraId="70EF4DE9">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（二）一般公共预算财政拨款支出决算结构情况</w:t>
      </w:r>
    </w:p>
    <w:p w14:paraId="519578AD">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2023年度一般公共预算财政拨款支出509.16万元，主要用于以下方面: 一般公共服务支出389.22万元，占76.4%；教育支出96.27万元，占18.9%；社会保障和就业支出11.09万元，占2.2%；卫生健康支出4.11万元，占0.8%；住房保障支出8.47万元，占1.7%。</w:t>
      </w:r>
    </w:p>
    <w:p w14:paraId="10783983">
      <w:pPr>
        <w:overflowPunct w:val="0"/>
        <w:topLinePunct/>
        <w:ind w:right="480" w:rightChars="200"/>
        <w:jc w:val="center"/>
        <w:rPr>
          <w:rFonts w:hint="default"/>
        </w:rPr>
      </w:pPr>
      <w:r>
        <w:rPr>
          <w:rFonts w:hint="default"/>
        </w:rPr>
        <w:drawing>
          <wp:inline distT="0" distB="0" distL="0" distR="0">
            <wp:extent cx="4483100" cy="2527300"/>
            <wp:effectExtent l="19050" t="0" r="0" b="0"/>
            <wp:docPr id="6" name="图表 1"/>
            <wp:cNvGraphicFramePr/>
            <a:graphic xmlns:a="http://schemas.openxmlformats.org/drawingml/2006/main">
              <a:graphicData uri="http://schemas.openxmlformats.org/drawingml/2006/picture">
                <pic:pic xmlns:pic="http://schemas.openxmlformats.org/drawingml/2006/picture">
                  <pic:nvPicPr>
                    <pic:cNvPr id="6" name="图表 1"/>
                    <pic:cNvPicPr/>
                  </pic:nvPicPr>
                  <pic:blipFill>
                    <a:blip r:embed="rId10" cstate="print"/>
                    <a:stretch>
                      <a:fillRect/>
                    </a:stretch>
                  </pic:blipFill>
                  <pic:spPr>
                    <a:xfrm>
                      <a:off x="0" y="0"/>
                      <a:ext cx="4483100" cy="2527300"/>
                    </a:xfrm>
                    <a:prstGeom prst="rect">
                      <a:avLst/>
                    </a:prstGeom>
                    <a:noFill/>
                    <a:ln>
                      <a:noFill/>
                    </a:ln>
                  </pic:spPr>
                </pic:pic>
              </a:graphicData>
            </a:graphic>
          </wp:inline>
        </w:drawing>
      </w:r>
    </w:p>
    <w:p w14:paraId="31F8FF7B">
      <w:pPr>
        <w:overflowPunct w:val="0"/>
        <w:topLinePunct/>
        <w:spacing w:line="576" w:lineRule="exact"/>
        <w:jc w:val="center"/>
        <w:rPr>
          <w:rFonts w:hint="default" w:eastAsia="仿宋_GB2312"/>
          <w:color w:val="000000"/>
          <w:kern w:val="2"/>
          <w:sz w:val="32"/>
        </w:rPr>
      </w:pPr>
      <w:r>
        <w:rPr>
          <w:rFonts w:hint="default" w:eastAsia="仿宋_GB2312"/>
          <w:color w:val="000000"/>
          <w:kern w:val="2"/>
          <w:sz w:val="32"/>
        </w:rPr>
        <w:t>（图6：一般公共预算财政拨款支出决算结构）（饼状图）</w:t>
      </w:r>
    </w:p>
    <w:p w14:paraId="1967C004">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（三）一般公共预算财政拨款支出决算具体情况</w:t>
      </w:r>
    </w:p>
    <w:p w14:paraId="7E98354C">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2023年度一般公共预算支出全年预算数为509.16万元，支出决算数为509.16万元</w:t>
      </w:r>
      <w:r>
        <w:rPr>
          <w:rFonts w:hint="default" w:eastAsia="仿宋_GB2312"/>
          <w:color w:val="000000"/>
          <w:kern w:val="2"/>
          <w:sz w:val="32"/>
        </w:rPr>
        <w:t>，</w:t>
      </w:r>
      <w:r>
        <w:rPr>
          <w:rFonts w:hint="default" w:eastAsia="仿宋_GB2312"/>
          <w:b/>
          <w:color w:val="000000"/>
          <w:kern w:val="2"/>
          <w:sz w:val="32"/>
        </w:rPr>
        <w:t>完成全年预算数的100%。其中：</w:t>
      </w:r>
    </w:p>
    <w:p w14:paraId="0AB6B0FA">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1.一般公共服务支出（类）商贸事务（款）招商引资（项）:</w:t>
      </w:r>
      <w:r>
        <w:rPr>
          <w:rFonts w:hint="default" w:eastAsia="仿宋_GB2312"/>
          <w:color w:val="000000"/>
          <w:kern w:val="2"/>
          <w:sz w:val="32"/>
        </w:rPr>
        <w:t>全年预算为96.73万元，支出决算为96.73万元，完成全年预算的100%。决算数等于全年预算数。</w:t>
      </w:r>
    </w:p>
    <w:p w14:paraId="53E09CB2">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2.一般公共服务支出（类）商贸事务（款）事业运行（项）:</w:t>
      </w:r>
      <w:r>
        <w:rPr>
          <w:rFonts w:hint="default" w:eastAsia="仿宋_GB2312"/>
          <w:color w:val="000000"/>
          <w:kern w:val="2"/>
          <w:sz w:val="32"/>
        </w:rPr>
        <w:t>全年预算为91.5万元，支出决算为91.5万元，完成全年预算的100%。决算数等于全年预算数。</w:t>
      </w:r>
    </w:p>
    <w:p w14:paraId="16D187B5">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3.一般公共服务支出（类）商贸事务（款）其他商贸事务支出（项）:</w:t>
      </w:r>
      <w:r>
        <w:rPr>
          <w:rFonts w:hint="default" w:eastAsia="仿宋_GB2312"/>
          <w:color w:val="000000"/>
          <w:kern w:val="2"/>
          <w:sz w:val="32"/>
        </w:rPr>
        <w:t>全年预算为200.99万元，支出决算为200.99万元，完成全年预算的100%。决算数等于全年预算数。</w:t>
      </w:r>
    </w:p>
    <w:p w14:paraId="631796AA">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4.教育支出（类）其他教育支出（款）其他教育支出（项）:</w:t>
      </w:r>
      <w:r>
        <w:rPr>
          <w:rFonts w:hint="default" w:eastAsia="仿宋_GB2312"/>
          <w:color w:val="000000"/>
          <w:kern w:val="2"/>
          <w:sz w:val="32"/>
        </w:rPr>
        <w:t>全年预算为96.27万元，支出决算为96.27万元，完成全年预算的100%。决算数等于全年预算数。</w:t>
      </w:r>
    </w:p>
    <w:p w14:paraId="35825BEA">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5.社会保障和就业支出（类）行政事业单位养老支出（款）机关事业单位基本养老保险缴费支出（项）:</w:t>
      </w:r>
      <w:r>
        <w:rPr>
          <w:rFonts w:hint="default" w:eastAsia="仿宋_GB2312"/>
          <w:color w:val="000000"/>
          <w:kern w:val="2"/>
          <w:sz w:val="32"/>
        </w:rPr>
        <w:t>全年预算为11.09万元，支出决算为11.09万元，完成全年预算的100%。决算数等于全年预算数。</w:t>
      </w:r>
    </w:p>
    <w:p w14:paraId="15BE8C8A">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6.卫生健康支出（类）行政事业单位医疗（款）事业单位医疗（项）:</w:t>
      </w:r>
      <w:r>
        <w:rPr>
          <w:rFonts w:hint="default" w:eastAsia="仿宋_GB2312"/>
          <w:color w:val="000000"/>
          <w:kern w:val="2"/>
          <w:sz w:val="32"/>
        </w:rPr>
        <w:t>全年预算为4.11万元，支出决算为4.11万元，完成全年预算的100%。决算数等于全年预算数。</w:t>
      </w:r>
    </w:p>
    <w:p w14:paraId="6B062A29">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7.住房保障支出（类）住房改革支出（款）住房公积金（项）:</w:t>
      </w:r>
      <w:r>
        <w:rPr>
          <w:rFonts w:hint="default" w:eastAsia="仿宋_GB2312"/>
          <w:color w:val="000000"/>
          <w:kern w:val="2"/>
          <w:sz w:val="32"/>
        </w:rPr>
        <w:t>全年预算为8.47万元，支出决算为8.47万元，完成全年预算的100%。决算数等于全年预算数。</w:t>
      </w:r>
    </w:p>
    <w:p w14:paraId="00E131B7">
      <w:pPr>
        <w:tabs>
          <w:tab w:val="right" w:pos="8306"/>
        </w:tabs>
        <w:overflowPunct w:val="0"/>
        <w:topLinePunct/>
        <w:spacing w:line="576" w:lineRule="exact"/>
        <w:ind w:firstLine="640" w:firstLineChars="200"/>
        <w:jc w:val="both"/>
        <w:rPr>
          <w:rFonts w:hint="default"/>
          <w:b/>
          <w:kern w:val="2"/>
          <w:sz w:val="32"/>
        </w:rPr>
      </w:pPr>
      <w:r>
        <w:rPr>
          <w:rFonts w:hint="default" w:eastAsia="黑体"/>
          <w:color w:val="000000"/>
          <w:kern w:val="2"/>
          <w:sz w:val="32"/>
        </w:rPr>
        <w:t>六</w:t>
      </w:r>
      <w:r>
        <w:rPr>
          <w:rFonts w:hint="default" w:eastAsia="黑体"/>
          <w:b/>
          <w:color w:val="000000"/>
          <w:kern w:val="2"/>
          <w:sz w:val="32"/>
        </w:rPr>
        <w:t>、一</w:t>
      </w:r>
      <w:r>
        <w:rPr>
          <w:rFonts w:hint="default" w:eastAsia="黑体"/>
          <w:kern w:val="2"/>
          <w:sz w:val="32"/>
        </w:rPr>
        <w:t>般公共预算财政拨款基本支出决算情况说明</w:t>
      </w:r>
      <w:r>
        <w:rPr>
          <w:rFonts w:hint="default" w:eastAsia="黑体"/>
          <w:kern w:val="2"/>
          <w:sz w:val="32"/>
        </w:rPr>
        <w:tab/>
      </w:r>
    </w:p>
    <w:p w14:paraId="16B5B449">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2023年度一般公共预算财政拨款基本支出115.17万元，其中：</w:t>
      </w:r>
    </w:p>
    <w:p w14:paraId="40C035AB">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人员经费</w:t>
      </w:r>
      <w:r>
        <w:rPr>
          <w:rFonts w:hint="default" w:eastAsia="仿宋_GB2312"/>
          <w:color w:val="000000"/>
          <w:kern w:val="2"/>
          <w:sz w:val="32"/>
        </w:rPr>
        <w:t>103.76万元，主要包括：基本工资33.58万元、津贴补贴0.95万元、奖金22.95万元、绩效工资22.61万元、机关事业单位基本养老保险缴费11.09万元、职工基本医疗保险缴费4.11万元、住房公积金8.47万元。</w:t>
      </w:r>
    </w:p>
    <w:p w14:paraId="14A13AE4">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公用经费</w:t>
      </w:r>
      <w:r>
        <w:rPr>
          <w:rFonts w:hint="default" w:eastAsia="仿宋_GB2312"/>
          <w:color w:val="000000"/>
          <w:kern w:val="2"/>
          <w:sz w:val="32"/>
        </w:rPr>
        <w:t>11.4万元，主要包括：办公费0.81万元、印刷费0.79万元、手续费0.2万元、水费0.1万元、电费0.5万元、邮电费1.5万元、物业管理费0.1万元、差旅费1万元、维修（护）费0.2万元、会议费0.1万元、培训费0.1万元、公务接待费2.2万元、专用燃料费0.1万元、劳务费0.1万元、工会经费2万元、其他商品和服务支出1.6万元。</w:t>
      </w:r>
    </w:p>
    <w:p w14:paraId="212B4239">
      <w:pPr>
        <w:overflowPunct w:val="0"/>
        <w:topLinePunct/>
        <w:spacing w:line="576" w:lineRule="exact"/>
        <w:ind w:firstLine="640" w:firstLineChars="200"/>
        <w:jc w:val="both"/>
        <w:rPr>
          <w:rFonts w:hint="default" w:eastAsia="黑体"/>
          <w:kern w:val="2"/>
          <w:sz w:val="32"/>
        </w:rPr>
      </w:pPr>
      <w:r>
        <w:rPr>
          <w:rFonts w:hint="default" w:eastAsia="黑体"/>
          <w:color w:val="000000"/>
          <w:kern w:val="2"/>
          <w:sz w:val="32"/>
        </w:rPr>
        <w:t>七、财政拨款</w:t>
      </w:r>
      <w:r>
        <w:rPr>
          <w:rFonts w:hint="default" w:eastAsia="黑体"/>
          <w:b/>
          <w:kern w:val="2"/>
          <w:sz w:val="32"/>
        </w:rPr>
        <w:t>“</w:t>
      </w:r>
      <w:r>
        <w:rPr>
          <w:rFonts w:hint="default" w:eastAsia="黑体"/>
          <w:kern w:val="2"/>
          <w:sz w:val="32"/>
        </w:rPr>
        <w:t>三公”经费支出决算情况说明</w:t>
      </w:r>
    </w:p>
    <w:p w14:paraId="5CFC0D6A">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（一）“三公”经费财政拨款支出决算总体情况说明</w:t>
      </w:r>
    </w:p>
    <w:p w14:paraId="2A78418D">
      <w:pPr>
        <w:overflowPunct w:val="0"/>
        <w:topLinePunct/>
        <w:spacing w:line="576" w:lineRule="exact"/>
        <w:ind w:firstLine="640" w:firstLineChars="200"/>
        <w:jc w:val="both"/>
        <w:rPr>
          <w:rFonts w:hint="default" w:eastAsia="仿宋_GB2312"/>
          <w:b/>
          <w:color w:val="FF0000"/>
          <w:kern w:val="2"/>
          <w:sz w:val="32"/>
        </w:rPr>
      </w:pPr>
      <w:r>
        <w:rPr>
          <w:rFonts w:hint="default" w:eastAsia="仿宋_GB2312"/>
          <w:color w:val="000000"/>
          <w:kern w:val="2"/>
          <w:sz w:val="32"/>
        </w:rPr>
        <w:t>2023年度“三公”经费财政拨款支出预算为14.2万元，支出决算为14.2万元，完成预算的100%；决算数与预算数持平。</w:t>
      </w:r>
    </w:p>
    <w:p w14:paraId="4E9A187E">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（二）“三公”经费财政拨款支出决算具体情况说明</w:t>
      </w:r>
    </w:p>
    <w:p w14:paraId="30F7AA31">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2023年度“三公”经费财政拨款支出决算中，因公出国（境）费支出决算0万元，占0%；公务用车购置及运行维护费支出决算0万元，占0%；公务接待费支出决算14.2万元，占100%。具体情况如下：</w:t>
      </w:r>
    </w:p>
    <w:p w14:paraId="425BAF0D">
      <w:pPr>
        <w:overflowPunct w:val="0"/>
        <w:topLinePunct/>
        <w:ind w:right="480" w:rightChars="200"/>
        <w:jc w:val="center"/>
        <w:rPr>
          <w:rFonts w:hint="default"/>
        </w:rPr>
      </w:pPr>
      <w:r>
        <w:rPr>
          <w:rFonts w:hint="default"/>
        </w:rPr>
        <w:drawing>
          <wp:inline distT="0" distB="0" distL="0" distR="0">
            <wp:extent cx="4483100" cy="2870200"/>
            <wp:effectExtent l="19050" t="0" r="0" b="0"/>
            <wp:docPr id="7" name="图表 2"/>
            <wp:cNvGraphicFramePr/>
            <a:graphic xmlns:a="http://schemas.openxmlformats.org/drawingml/2006/main">
              <a:graphicData uri="http://schemas.openxmlformats.org/drawingml/2006/picture">
                <pic:pic xmlns:pic="http://schemas.openxmlformats.org/drawingml/2006/picture">
                  <pic:nvPicPr>
                    <pic:cNvPr id="7" name="图表 2"/>
                    <pic:cNvPicPr/>
                  </pic:nvPicPr>
                  <pic:blipFill>
                    <a:blip r:embed="rId11" cstate="print"/>
                    <a:stretch>
                      <a:fillRect/>
                    </a:stretch>
                  </pic:blipFill>
                  <pic:spPr>
                    <a:xfrm>
                      <a:off x="0" y="0"/>
                      <a:ext cx="4483100" cy="2870200"/>
                    </a:xfrm>
                    <a:prstGeom prst="rect">
                      <a:avLst/>
                    </a:prstGeom>
                    <a:noFill/>
                    <a:ln>
                      <a:noFill/>
                    </a:ln>
                  </pic:spPr>
                </pic:pic>
              </a:graphicData>
            </a:graphic>
          </wp:inline>
        </w:drawing>
      </w:r>
    </w:p>
    <w:p w14:paraId="5C2950F4">
      <w:pPr>
        <w:overflowPunct w:val="0"/>
        <w:topLinePunct/>
        <w:spacing w:line="576" w:lineRule="exact"/>
        <w:jc w:val="center"/>
        <w:rPr>
          <w:rFonts w:hint="default" w:eastAsia="仿宋_GB2312"/>
          <w:color w:val="000000"/>
          <w:kern w:val="2"/>
          <w:sz w:val="32"/>
        </w:rPr>
      </w:pPr>
      <w:r>
        <w:rPr>
          <w:rFonts w:hint="default" w:eastAsia="仿宋_GB2312"/>
          <w:color w:val="000000"/>
          <w:kern w:val="2"/>
          <w:sz w:val="32"/>
        </w:rPr>
        <w:t>（图7：“三公”经费财政拨款支出结构）（饼状图）</w:t>
      </w:r>
    </w:p>
    <w:p w14:paraId="7C3952C6">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1.因公出国（境）经费</w:t>
      </w:r>
      <w:r>
        <w:rPr>
          <w:rFonts w:hint="default" w:eastAsia="仿宋_GB2312"/>
          <w:color w:val="000000"/>
          <w:kern w:val="2"/>
          <w:sz w:val="32"/>
        </w:rPr>
        <w:t>预算为0万元，支出决算为</w:t>
      </w:r>
      <w:r>
        <w:rPr>
          <w:rFonts w:hint="default" w:eastAsia="仿宋_GB2312"/>
          <w:color w:val="000000"/>
          <w:kern w:val="2"/>
          <w:sz w:val="32"/>
          <w:lang w:val="zh-CN"/>
        </w:rPr>
        <w:t>0</w:t>
      </w:r>
      <w:r>
        <w:rPr>
          <w:rFonts w:hint="default" w:eastAsia="仿宋_GB2312"/>
          <w:color w:val="000000"/>
          <w:kern w:val="2"/>
          <w:sz w:val="32"/>
        </w:rPr>
        <w:t>万元，完成预算的0%。</w:t>
      </w:r>
    </w:p>
    <w:p w14:paraId="005BDED2">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2.公务用车购置及运行维护费</w:t>
      </w:r>
      <w:r>
        <w:rPr>
          <w:rFonts w:hint="default" w:eastAsia="仿宋_GB2312"/>
          <w:color w:val="000000"/>
          <w:kern w:val="2"/>
          <w:sz w:val="32"/>
        </w:rPr>
        <w:t>预算为0万元,支出决算为0万元，完成预算的0%。</w:t>
      </w:r>
    </w:p>
    <w:p w14:paraId="08ABE7B3">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其中：</w:t>
      </w:r>
      <w:r>
        <w:rPr>
          <w:rFonts w:hint="default" w:eastAsia="仿宋_GB2312"/>
          <w:b/>
          <w:color w:val="000000"/>
          <w:kern w:val="2"/>
          <w:sz w:val="32"/>
        </w:rPr>
        <w:t>公务用车购置费</w:t>
      </w:r>
      <w:r>
        <w:rPr>
          <w:rFonts w:hint="default" w:eastAsia="仿宋_GB2312"/>
          <w:color w:val="000000"/>
          <w:kern w:val="2"/>
          <w:sz w:val="32"/>
        </w:rPr>
        <w:t>支出0万元。全年按规定更新购置公务用车0辆。截至2023年12月31日，本部门共有公务用车0辆。</w:t>
      </w:r>
    </w:p>
    <w:p w14:paraId="3D30F737">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公务用车运行维护费</w:t>
      </w:r>
      <w:r>
        <w:rPr>
          <w:rFonts w:hint="default" w:eastAsia="仿宋_GB2312"/>
          <w:color w:val="000000"/>
          <w:kern w:val="2"/>
          <w:sz w:val="32"/>
        </w:rPr>
        <w:t>支出0万元。</w:t>
      </w:r>
    </w:p>
    <w:p w14:paraId="0BEEBF5E">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3.公务接待费</w:t>
      </w:r>
      <w:r>
        <w:rPr>
          <w:rFonts w:hint="default" w:eastAsia="仿宋_GB2312"/>
          <w:color w:val="000000"/>
          <w:kern w:val="2"/>
          <w:sz w:val="32"/>
        </w:rPr>
        <w:t>预算为14.2万元，支出决算为14.2万元，完成预算的100%。</w:t>
      </w:r>
    </w:p>
    <w:p w14:paraId="6622AE73">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国内公务接待</w:t>
      </w:r>
      <w:r>
        <w:rPr>
          <w:rFonts w:hint="default" w:eastAsia="仿宋_GB2312"/>
          <w:color w:val="000000"/>
          <w:kern w:val="2"/>
          <w:sz w:val="32"/>
        </w:rPr>
        <w:t>支出14.2万元。主要用于执行公务、开展业务活动开支的交通费、住宿费、用餐费等。国内公务接待35批次175人次，共计支出14.2万元，具体内容包括：长江商学院考察团来昭考察学习、成都市国资委来昭调研、省政府驻上海办事处及客商来昭考察</w:t>
      </w:r>
      <w:r>
        <w:rPr>
          <w:rFonts w:hint="default" w:eastAsia="仿宋_GB2312"/>
          <w:spacing w:val="-6"/>
          <w:sz w:val="32"/>
          <w:szCs w:val="32"/>
        </w:rPr>
        <w:t>等服务保障</w:t>
      </w:r>
      <w:r>
        <w:rPr>
          <w:rFonts w:hint="default" w:eastAsia="仿宋_GB2312"/>
          <w:color w:val="000000"/>
          <w:spacing w:val="-6"/>
          <w:kern w:val="2"/>
          <w:sz w:val="32"/>
        </w:rPr>
        <w:t>。</w:t>
      </w:r>
    </w:p>
    <w:p w14:paraId="2A43A5A5">
      <w:pPr>
        <w:pStyle w:val="5"/>
        <w:overflowPunct w:val="0"/>
        <w:topLinePunct/>
        <w:spacing w:beforeLines="0" w:line="576" w:lineRule="exact"/>
        <w:ind w:firstLine="643" w:firstLineChars="200"/>
        <w:jc w:val="both"/>
        <w:rPr>
          <w:rFonts w:hint="default" w:ascii="Times New Roman" w:eastAsia="黑体"/>
          <w:sz w:val="32"/>
        </w:rPr>
      </w:pPr>
      <w:r>
        <w:rPr>
          <w:rFonts w:hint="default" w:ascii="Times New Roman"/>
          <w:b/>
          <w:color w:val="000000"/>
          <w:kern w:val="2"/>
          <w:sz w:val="32"/>
        </w:rPr>
        <w:t>外事接待</w:t>
      </w:r>
      <w:r>
        <w:rPr>
          <w:rFonts w:hint="default" w:ascii="Times New Roman"/>
          <w:color w:val="000000"/>
          <w:kern w:val="2"/>
          <w:sz w:val="32"/>
        </w:rPr>
        <w:t>支出2万元，外事接待7批次，35人，共计支出2万元。主要用于接待</w:t>
      </w:r>
      <w:r>
        <w:rPr>
          <w:rFonts w:hint="default" w:ascii="Times New Roman"/>
          <w:sz w:val="32"/>
          <w:szCs w:val="32"/>
        </w:rPr>
        <w:t>瑞中协会常务副主席来昭访问、南亚国</w:t>
      </w:r>
      <w:r>
        <w:rPr>
          <w:rFonts w:hint="default" w:ascii="Times New Roman"/>
          <w:spacing w:val="-6"/>
          <w:sz w:val="32"/>
          <w:szCs w:val="32"/>
        </w:rPr>
        <w:t>家友好组织负责人及青年精英代表团来昭访问、省友协来昭开展外事调研活动等服务保障</w:t>
      </w:r>
      <w:r>
        <w:rPr>
          <w:rFonts w:hint="default" w:ascii="Times New Roman"/>
          <w:color w:val="000000"/>
          <w:spacing w:val="-6"/>
          <w:kern w:val="2"/>
          <w:sz w:val="32"/>
        </w:rPr>
        <w:t>。</w:t>
      </w:r>
    </w:p>
    <w:p w14:paraId="2504A572">
      <w:pPr>
        <w:overflowPunct w:val="0"/>
        <w:topLinePunct/>
        <w:spacing w:line="576" w:lineRule="exact"/>
        <w:ind w:firstLine="640" w:firstLineChars="200"/>
        <w:jc w:val="both"/>
        <w:rPr>
          <w:rFonts w:hint="default" w:eastAsia="黑体"/>
          <w:b/>
          <w:kern w:val="2"/>
          <w:sz w:val="32"/>
        </w:rPr>
      </w:pPr>
      <w:r>
        <w:rPr>
          <w:rFonts w:hint="default" w:eastAsia="黑体"/>
          <w:color w:val="000000"/>
          <w:kern w:val="2"/>
          <w:sz w:val="32"/>
        </w:rPr>
        <w:t>八、</w:t>
      </w:r>
      <w:r>
        <w:rPr>
          <w:rFonts w:hint="default" w:eastAsia="黑体"/>
          <w:kern w:val="2"/>
          <w:sz w:val="32"/>
        </w:rPr>
        <w:t>政府性基金预算支出决算情况说明</w:t>
      </w:r>
    </w:p>
    <w:p w14:paraId="6A01300A">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2023年度政府性基金预算拨款支出0万元。</w:t>
      </w:r>
    </w:p>
    <w:p w14:paraId="3B6419F6">
      <w:pPr>
        <w:overflowPunct w:val="0"/>
        <w:topLinePunct/>
        <w:spacing w:line="576" w:lineRule="exact"/>
        <w:ind w:firstLine="640" w:firstLineChars="200"/>
        <w:jc w:val="both"/>
        <w:rPr>
          <w:rFonts w:hint="default" w:eastAsia="黑体"/>
          <w:kern w:val="2"/>
          <w:sz w:val="32"/>
        </w:rPr>
      </w:pPr>
      <w:r>
        <w:rPr>
          <w:rFonts w:hint="default" w:eastAsia="黑体"/>
          <w:kern w:val="2"/>
          <w:sz w:val="32"/>
        </w:rPr>
        <w:t>九、国有资本经营预算支出决算情况说明</w:t>
      </w:r>
    </w:p>
    <w:p w14:paraId="125D02A8">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2023年度国有资本经营预算拨款支出0万元。</w:t>
      </w:r>
    </w:p>
    <w:p w14:paraId="0E309ED4">
      <w:pPr>
        <w:overflowPunct w:val="0"/>
        <w:topLinePunct/>
        <w:spacing w:line="576" w:lineRule="exact"/>
        <w:ind w:firstLine="640" w:firstLineChars="200"/>
        <w:jc w:val="both"/>
        <w:rPr>
          <w:rFonts w:hint="default" w:eastAsia="黑体"/>
          <w:b/>
          <w:kern w:val="2"/>
          <w:sz w:val="32"/>
        </w:rPr>
      </w:pPr>
      <w:r>
        <w:rPr>
          <w:rFonts w:hint="default" w:eastAsia="黑体"/>
          <w:color w:val="000000"/>
          <w:kern w:val="2"/>
          <w:sz w:val="32"/>
        </w:rPr>
        <w:t>十</w:t>
      </w:r>
      <w:r>
        <w:rPr>
          <w:rFonts w:hint="default" w:eastAsia="黑体"/>
          <w:b/>
          <w:kern w:val="2"/>
          <w:sz w:val="32"/>
        </w:rPr>
        <w:t>、</w:t>
      </w:r>
      <w:r>
        <w:rPr>
          <w:rFonts w:hint="default" w:eastAsia="黑体"/>
          <w:kern w:val="2"/>
          <w:sz w:val="32"/>
        </w:rPr>
        <w:t>其他重要事项的情况说明</w:t>
      </w:r>
    </w:p>
    <w:p w14:paraId="17F444F5">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（一）机关运行经费支出情况</w:t>
      </w:r>
    </w:p>
    <w:p w14:paraId="55C111A5">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区经济合作和外事中心属于财政补助的事业单位，2023年未发生机关运行经费。</w:t>
      </w:r>
    </w:p>
    <w:p w14:paraId="7CB56B45">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（二）政府采购支出情况</w:t>
      </w:r>
    </w:p>
    <w:p w14:paraId="7E0BFAA5">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2023年，区经济合作和外事中心政府采购支出总额1.55万元，其中：政府采购货物支出1.55万元、政府采购工程支出0万元、政府采购服务支出0万元。主要用于采购办公家具等。授予中小企业合同金额0万元。</w:t>
      </w:r>
    </w:p>
    <w:p w14:paraId="33C15362">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（三）国有资产占有使用情况</w:t>
      </w:r>
    </w:p>
    <w:p w14:paraId="7F5FFB83">
      <w:pPr>
        <w:overflowPunct w:val="0"/>
        <w:topLinePunct/>
        <w:spacing w:line="576" w:lineRule="exact"/>
        <w:ind w:firstLine="640" w:firstLineChars="200"/>
        <w:jc w:val="both"/>
        <w:rPr>
          <w:rFonts w:hint="default" w:eastAsia="仿宋_GB2312"/>
          <w:b/>
          <w:color w:val="FF0000"/>
          <w:kern w:val="2"/>
          <w:sz w:val="32"/>
        </w:rPr>
      </w:pPr>
      <w:r>
        <w:rPr>
          <w:rFonts w:hint="default" w:eastAsia="仿宋_GB2312"/>
          <w:color w:val="000000"/>
          <w:kern w:val="2"/>
          <w:sz w:val="32"/>
        </w:rPr>
        <w:t>本单位无公务用车辆。无价值100万元以上大型设备。</w:t>
      </w:r>
    </w:p>
    <w:p w14:paraId="525E4F10">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（四）预算绩效管理情况。</w:t>
      </w:r>
    </w:p>
    <w:p w14:paraId="62778E7D">
      <w:pPr>
        <w:overflowPunct w:val="0"/>
        <w:topLinePunct/>
        <w:spacing w:line="576" w:lineRule="exact"/>
        <w:ind w:firstLine="640" w:firstLineChars="200"/>
        <w:jc w:val="both"/>
        <w:rPr>
          <w:rFonts w:hint="default" w:eastAsia="仿宋_GB2312"/>
          <w:kern w:val="2"/>
          <w:sz w:val="32"/>
        </w:rPr>
      </w:pPr>
      <w:r>
        <w:rPr>
          <w:rFonts w:hint="default" w:eastAsia="仿宋_GB2312"/>
          <w:kern w:val="2"/>
          <w:sz w:val="32"/>
        </w:rPr>
        <w:t>根据预算绩效管理要求，本部门在2023年度预算编制阶段，组织对驻外招商小分队工作经费等4个项目开展了预算事前绩效评估，对4个项目编制了绩效目标，预算执行过程中，按照财政要求全面开展了绩效运行监控。</w:t>
      </w:r>
    </w:p>
    <w:p w14:paraId="50721853">
      <w:pPr>
        <w:overflowPunct w:val="0"/>
        <w:topLinePunct/>
        <w:spacing w:line="576" w:lineRule="exact"/>
        <w:ind w:firstLine="640" w:firstLineChars="200"/>
        <w:jc w:val="both"/>
        <w:rPr>
          <w:rFonts w:hint="default" w:eastAsia="仿宋_GB2312"/>
          <w:kern w:val="2"/>
          <w:sz w:val="32"/>
        </w:rPr>
      </w:pPr>
      <w:r>
        <w:rPr>
          <w:rFonts w:hint="default" w:eastAsia="仿宋_GB2312"/>
          <w:kern w:val="2"/>
          <w:sz w:val="32"/>
        </w:rPr>
        <w:t>2023年度组织一般公共预算、政府性基金预算、国有资本经营预算以及资本资产、债券资金等全面开展绩效自评，形成2023年广元市昭化区经济合作和外事中心（部门）整体（含部门预算项目）绩效自评报告、2023年招商引资工作经费支出绩效自评报告、2023年驻外招商小分队工作经费支出绩效自评报告。</w:t>
      </w:r>
      <w:r>
        <w:rPr>
          <w:rFonts w:hint="default" w:eastAsia="仿宋_GB2312"/>
          <w:sz w:val="32"/>
          <w:szCs w:val="32"/>
        </w:rPr>
        <w:t>其中，</w:t>
      </w:r>
      <w:r>
        <w:rPr>
          <w:rFonts w:hint="default" w:eastAsia="仿宋_GB2312"/>
          <w:kern w:val="2"/>
          <w:sz w:val="32"/>
        </w:rPr>
        <w:t>广元市昭化</w:t>
      </w:r>
      <w:r>
        <w:rPr>
          <w:rFonts w:hint="default" w:eastAsia="仿宋_GB2312"/>
          <w:sz w:val="32"/>
          <w:szCs w:val="32"/>
        </w:rPr>
        <w:t>区经济合作和外事中心</w:t>
      </w:r>
      <w:r>
        <w:rPr>
          <w:rFonts w:hint="default" w:eastAsia="仿宋_GB2312"/>
          <w:kern w:val="2"/>
          <w:sz w:val="32"/>
        </w:rPr>
        <w:t>（部门）</w:t>
      </w:r>
      <w:r>
        <w:rPr>
          <w:rFonts w:hint="default" w:eastAsia="仿宋_GB2312"/>
          <w:sz w:val="32"/>
          <w:szCs w:val="32"/>
        </w:rPr>
        <w:t>整体（含部门预算项目）绩效自评得分为99分，绩效自评综述：2023年我单位整体支出绩效自查自评结果良好，全年基本支出保证了部门的正常运转，项目支出保障了重点工</w:t>
      </w:r>
      <w:r>
        <w:rPr>
          <w:rFonts w:hint="default" w:eastAsia="仿宋_GB2312"/>
          <w:kern w:val="2"/>
          <w:sz w:val="32"/>
        </w:rPr>
        <w:t>作的开展；招商引资工作经费支出、</w:t>
      </w:r>
      <w:r>
        <w:rPr>
          <w:rFonts w:hint="default" w:eastAsia="仿宋_GB2312"/>
          <w:kern w:val="2"/>
          <w:sz w:val="32"/>
          <w:lang w:val="zh-CN"/>
        </w:rPr>
        <w:t>驻外招商小分队</w:t>
      </w:r>
      <w:r>
        <w:rPr>
          <w:rFonts w:hint="default" w:eastAsia="仿宋_GB2312"/>
          <w:kern w:val="2"/>
          <w:sz w:val="32"/>
        </w:rPr>
        <w:t>工作经费支出绩效自评得分均为99分，绩效自评综述：招商引资项目和</w:t>
      </w:r>
      <w:r>
        <w:rPr>
          <w:rFonts w:hint="default" w:eastAsia="仿宋_GB2312"/>
          <w:kern w:val="2"/>
          <w:sz w:val="32"/>
          <w:lang w:val="zh-CN"/>
        </w:rPr>
        <w:t>驻外招商小分队项目</w:t>
      </w:r>
      <w:r>
        <w:rPr>
          <w:rFonts w:hint="default" w:eastAsia="仿宋_GB2312"/>
          <w:kern w:val="2"/>
          <w:sz w:val="32"/>
        </w:rPr>
        <w:t>加强了对外交流合作，加大了对我区经济社会发展的支持，引进优质企业，进一步丰富了我区经济业态。总体来说，该项目实施取得了良好的绩效。绩效自评报告详见附件（第四部分）。</w:t>
      </w:r>
    </w:p>
    <w:p w14:paraId="3ED25FAF">
      <w:pPr>
        <w:pStyle w:val="5"/>
        <w:spacing w:before="72" w:line="576" w:lineRule="exact"/>
        <w:ind w:firstLine="600" w:firstLineChars="200"/>
        <w:rPr>
          <w:rFonts w:hint="default" w:ascii="Times New Roman"/>
          <w:highlight w:val="yellow"/>
        </w:rPr>
        <w:sectPr>
          <w:pgSz w:w="11907" w:h="16840"/>
          <w:pgMar w:top="2098" w:right="1474" w:bottom="1985" w:left="1588" w:header="720" w:footer="1531" w:gutter="0"/>
          <w:cols w:space="720" w:num="1"/>
        </w:sectPr>
      </w:pPr>
    </w:p>
    <w:p w14:paraId="5E91FD5B">
      <w:pPr>
        <w:pStyle w:val="2"/>
        <w:spacing w:line="576" w:lineRule="exact"/>
        <w:jc w:val="center"/>
        <w:rPr>
          <w:rFonts w:hint="default" w:eastAsia="方正小标宋简体"/>
          <w:kern w:val="44"/>
          <w:sz w:val="44"/>
        </w:rPr>
      </w:pPr>
      <w:bookmarkStart w:id="4" w:name="_Toc178157913"/>
      <w:r>
        <w:rPr>
          <w:rFonts w:hint="default" w:eastAsia="方正小标宋简体"/>
          <w:kern w:val="44"/>
          <w:sz w:val="44"/>
        </w:rPr>
        <w:t>第三部分  名词解释</w:t>
      </w:r>
      <w:bookmarkEnd w:id="4"/>
    </w:p>
    <w:p w14:paraId="01330BCC">
      <w:pPr>
        <w:spacing w:line="576" w:lineRule="exact"/>
        <w:ind w:firstLine="640" w:firstLineChars="200"/>
        <w:rPr>
          <w:rFonts w:hint="default" w:eastAsia="仿宋_GB2312"/>
          <w:color w:val="000000"/>
          <w:sz w:val="32"/>
        </w:rPr>
      </w:pPr>
    </w:p>
    <w:p w14:paraId="5D19C126">
      <w:pPr>
        <w:spacing w:line="576" w:lineRule="exact"/>
        <w:ind w:firstLine="640" w:firstLineChars="200"/>
        <w:rPr>
          <w:rFonts w:hint="default" w:eastAsia="仿宋_GB2312"/>
          <w:color w:val="000000"/>
          <w:sz w:val="32"/>
        </w:rPr>
      </w:pPr>
      <w:r>
        <w:rPr>
          <w:rFonts w:hint="default" w:eastAsia="仿宋_GB2312"/>
          <w:color w:val="000000"/>
          <w:sz w:val="32"/>
        </w:rPr>
        <w:t>一、财政拨款收入：指单位从同级财政部门取得的财政预算资金。</w:t>
      </w:r>
    </w:p>
    <w:p w14:paraId="2D342A8D">
      <w:pPr>
        <w:spacing w:line="576" w:lineRule="exact"/>
        <w:ind w:firstLine="640" w:firstLineChars="200"/>
        <w:rPr>
          <w:rFonts w:hint="default" w:eastAsia="仿宋_GB2312"/>
          <w:color w:val="000000"/>
          <w:sz w:val="32"/>
        </w:rPr>
      </w:pPr>
      <w:r>
        <w:rPr>
          <w:rFonts w:hint="default" w:eastAsia="仿宋_GB2312"/>
          <w:color w:val="000000"/>
          <w:sz w:val="32"/>
        </w:rPr>
        <w:t>二、事业收入：指事业单位开展专业业务活动及辅助活动取得的收入。</w:t>
      </w:r>
    </w:p>
    <w:p w14:paraId="165105ED">
      <w:pPr>
        <w:spacing w:line="576" w:lineRule="exact"/>
        <w:ind w:firstLine="640" w:firstLineChars="200"/>
        <w:rPr>
          <w:rFonts w:hint="default" w:eastAsia="仿宋_GB2312"/>
          <w:color w:val="000000"/>
          <w:sz w:val="32"/>
        </w:rPr>
      </w:pPr>
      <w:r>
        <w:rPr>
          <w:rFonts w:hint="default" w:eastAsia="仿宋_GB2312"/>
          <w:color w:val="000000"/>
          <w:sz w:val="32"/>
        </w:rPr>
        <w:t>三、经营收入：指事业单位在专业业务活动及其辅助活动之外开展非独立核算经营活动取得的收入。</w:t>
      </w:r>
    </w:p>
    <w:p w14:paraId="1111239A">
      <w:pPr>
        <w:spacing w:line="576" w:lineRule="exact"/>
        <w:ind w:firstLine="640" w:firstLineChars="200"/>
        <w:rPr>
          <w:rFonts w:hint="default" w:eastAsia="仿宋_GB2312"/>
          <w:color w:val="000000"/>
          <w:sz w:val="32"/>
        </w:rPr>
      </w:pPr>
      <w:r>
        <w:rPr>
          <w:rFonts w:hint="default" w:eastAsia="仿宋_GB2312"/>
          <w:color w:val="000000"/>
          <w:sz w:val="32"/>
        </w:rPr>
        <w:t>四、其他收入：指单位取得的除上述收入以外的各项收入。</w:t>
      </w:r>
    </w:p>
    <w:p w14:paraId="1421BFFE">
      <w:pPr>
        <w:pStyle w:val="23"/>
        <w:spacing w:line="576" w:lineRule="exact"/>
        <w:ind w:firstLine="640" w:firstLineChars="200"/>
        <w:rPr>
          <w:rFonts w:hint="default" w:ascii="Times New Roman" w:hAnsi="Times New Roman" w:eastAsia="仿宋_GB2312" w:cs="Times New Roman"/>
          <w:kern w:val="2"/>
          <w:sz w:val="32"/>
        </w:rPr>
      </w:pPr>
      <w:r>
        <w:rPr>
          <w:rFonts w:hint="default" w:ascii="Times New Roman" w:hAnsi="Times New Roman" w:eastAsia="仿宋_GB2312" w:cs="Times New Roman"/>
          <w:kern w:val="2"/>
          <w:sz w:val="32"/>
        </w:rPr>
        <w:t>五、</w:t>
      </w:r>
      <w:r>
        <w:rPr>
          <w:rFonts w:hint="default" w:ascii="Times New Roman" w:hAnsi="Times New Roman" w:eastAsia="仿宋_GB2312" w:cs="Times New Roman"/>
          <w:sz w:val="32"/>
          <w:szCs w:val="32"/>
        </w:rPr>
        <w:t>使用非财政拨款结余（含专用结余）</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14:paraId="05906F34">
      <w:pPr>
        <w:spacing w:line="576" w:lineRule="exact"/>
        <w:ind w:firstLine="640" w:firstLineChars="200"/>
        <w:rPr>
          <w:rFonts w:hint="default" w:eastAsia="仿宋_GB2312"/>
          <w:color w:val="000000"/>
          <w:sz w:val="32"/>
        </w:rPr>
      </w:pPr>
      <w:r>
        <w:rPr>
          <w:rFonts w:hint="default" w:eastAsia="仿宋_GB2312"/>
          <w:color w:val="000000"/>
          <w:sz w:val="32"/>
        </w:rPr>
        <w:t xml:space="preserve">六、年初结转和结余：指以前年度尚未完成、结转到本年按有关规定继续使用的资金。 </w:t>
      </w:r>
    </w:p>
    <w:p w14:paraId="27B3E118">
      <w:pPr>
        <w:spacing w:line="576" w:lineRule="exact"/>
        <w:ind w:firstLine="640" w:firstLineChars="200"/>
        <w:rPr>
          <w:rFonts w:hint="default" w:eastAsia="仿宋_GB2312"/>
          <w:color w:val="000000"/>
          <w:sz w:val="32"/>
        </w:rPr>
      </w:pPr>
      <w:r>
        <w:rPr>
          <w:rFonts w:hint="default" w:eastAsia="仿宋_GB2312"/>
          <w:color w:val="000000"/>
          <w:sz w:val="32"/>
        </w:rPr>
        <w:t>七、结余分配：指事业单位按照会计制度规定缴纳的所得税、提取的专用结余以及转入非财政拨款结余的金额等。</w:t>
      </w:r>
    </w:p>
    <w:p w14:paraId="22D228EF">
      <w:pPr>
        <w:spacing w:line="576" w:lineRule="exact"/>
        <w:ind w:firstLine="640" w:firstLineChars="200"/>
        <w:rPr>
          <w:rFonts w:hint="default" w:eastAsia="仿宋_GB2312"/>
          <w:color w:val="000000"/>
          <w:sz w:val="32"/>
        </w:rPr>
      </w:pPr>
      <w:r>
        <w:rPr>
          <w:rFonts w:hint="default" w:eastAsia="仿宋_GB2312"/>
          <w:color w:val="000000"/>
          <w:sz w:val="32"/>
        </w:rPr>
        <w:t>八、年末结转和结余：指单位按有关规定结转到下年或以后年度继续使用的资金。</w:t>
      </w:r>
    </w:p>
    <w:p w14:paraId="1FB672FA">
      <w:pPr>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九、一般公共服务支出（类）商贸事务（款）招商引资（项）：指反映用于招商引资、优化经济环境等方面的支出。</w:t>
      </w:r>
    </w:p>
    <w:p w14:paraId="13DD6CC8">
      <w:pPr>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十、一般公共服务支出（类）商贸事务（款）事业运行（项）：指反映事业单位的基本支出，不包括行政单位（包括实行公务员管理的事业单位）后勤服务中心、医务室等附属事业单位。</w:t>
      </w:r>
    </w:p>
    <w:p w14:paraId="15854E8A">
      <w:pPr>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十一、一般公共服务支出（类）商贸事务（款）其他商贸事务支出（项）：指其他用于商贸事务方面的支出。</w:t>
      </w:r>
    </w:p>
    <w:p w14:paraId="558314DF">
      <w:pPr>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十二、教育支出（类）其他教育支出（款）其他教育支出（项）：指用于开展业务培训的相关支出。</w:t>
      </w:r>
    </w:p>
    <w:p w14:paraId="53EA1317">
      <w:pPr>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十三、社会保障和就业支出（类）行政事业单位养老支出（款）机关事业单位基本养老保险缴费支出（项）：指反映机关事业单位实施养老保险制度由单位缴纳的基本养老保险费支出。</w:t>
      </w:r>
    </w:p>
    <w:p w14:paraId="50453F79">
      <w:pPr>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十四、卫生健康支出（类）行政事业单位医疗（款）事业单位医疗（项）：指反映财政部门安排的事业单位基本医疗保险缴费经费，未参加医疗保险的事业单位的公费医疗经费，按国家规定享受离休人员待遇的医疗经费。</w:t>
      </w:r>
    </w:p>
    <w:p w14:paraId="7C01FFCC">
      <w:pPr>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十五、住房保障支出（类）住房改革支出（款）住房公积金（项）：</w:t>
      </w:r>
      <w:r>
        <w:rPr>
          <w:rFonts w:hint="default" w:eastAsia="仿宋_GB2312"/>
          <w:color w:val="000000"/>
          <w:sz w:val="32"/>
        </w:rPr>
        <w:t>指行政事业单位按人力资源和社会保障部、财政部规定的基本工资和津贴补贴以及规定比例为职工缴纳的住房公积金</w:t>
      </w:r>
      <w:r>
        <w:rPr>
          <w:rFonts w:hint="default" w:eastAsia="仿宋_GB2312"/>
          <w:color w:val="000000"/>
          <w:kern w:val="2"/>
          <w:sz w:val="32"/>
        </w:rPr>
        <w:t>。</w:t>
      </w:r>
    </w:p>
    <w:p w14:paraId="5DBE934A">
      <w:pPr>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十六、基本支出：指为保障机构正常运转、完成日常工作任务而发生的人员支出和公用支出。</w:t>
      </w:r>
    </w:p>
    <w:p w14:paraId="4D435554">
      <w:pPr>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 xml:space="preserve">十七、项目支出：指在基本支出之外为完成特定行政任务和事业发展目标所发生的支出。 </w:t>
      </w:r>
    </w:p>
    <w:p w14:paraId="29EBDDA9">
      <w:pPr>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十八、经营支出：指事业单位在专业业务活动及其辅助活动之外开展非独立核算经营活动发生的支出。</w:t>
      </w:r>
    </w:p>
    <w:p w14:paraId="7DBE9340">
      <w:pPr>
        <w:spacing w:line="576" w:lineRule="exact"/>
        <w:ind w:firstLine="640" w:firstLineChars="200"/>
        <w:rPr>
          <w:rFonts w:hint="default" w:eastAsia="仿宋_GB2312"/>
          <w:color w:val="000000"/>
          <w:sz w:val="32"/>
        </w:rPr>
      </w:pPr>
      <w:r>
        <w:rPr>
          <w:rFonts w:hint="default" w:eastAsia="仿宋_GB2312"/>
          <w:color w:val="000000"/>
          <w:sz w:val="32"/>
        </w:rPr>
        <w:t>十九、“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6AA5DFB">
      <w:pPr>
        <w:spacing w:line="576" w:lineRule="exact"/>
        <w:ind w:firstLine="640" w:firstLineChars="200"/>
        <w:rPr>
          <w:rFonts w:hint="default" w:eastAsia="仿宋_GB2312"/>
          <w:color w:val="000000"/>
          <w:sz w:val="32"/>
        </w:rPr>
      </w:pPr>
      <w:r>
        <w:rPr>
          <w:rFonts w:hint="default" w:eastAsia="仿宋_GB2312"/>
          <w:color w:val="000000"/>
          <w:sz w:val="32"/>
        </w:rPr>
        <w:t>二十、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E89EACE">
      <w:pPr>
        <w:spacing w:line="576" w:lineRule="exact"/>
        <w:ind w:firstLine="880" w:firstLineChars="200"/>
        <w:jc w:val="center"/>
        <w:rPr>
          <w:rFonts w:hint="default" w:eastAsia="黑体"/>
          <w:color w:val="000000"/>
          <w:kern w:val="2"/>
          <w:sz w:val="44"/>
        </w:rPr>
      </w:pPr>
    </w:p>
    <w:p w14:paraId="36D8ED84">
      <w:pPr>
        <w:widowControl/>
        <w:autoSpaceDE/>
        <w:autoSpaceDN/>
        <w:adjustRightInd/>
        <w:rPr>
          <w:rFonts w:hint="default" w:eastAsia="方正小标宋简体"/>
          <w:kern w:val="44"/>
          <w:sz w:val="44"/>
        </w:rPr>
      </w:pPr>
      <w:r>
        <w:rPr>
          <w:rFonts w:hint="default" w:eastAsia="方正小标宋简体"/>
          <w:kern w:val="44"/>
          <w:sz w:val="44"/>
        </w:rPr>
        <w:br w:type="page"/>
      </w:r>
    </w:p>
    <w:p w14:paraId="11EA1746">
      <w:pPr>
        <w:pStyle w:val="2"/>
        <w:spacing w:line="576" w:lineRule="exact"/>
        <w:jc w:val="center"/>
        <w:rPr>
          <w:rFonts w:hint="default" w:eastAsia="方正小标宋简体"/>
          <w:kern w:val="44"/>
          <w:sz w:val="44"/>
        </w:rPr>
      </w:pPr>
      <w:bookmarkStart w:id="5" w:name="_Toc178157914"/>
      <w:r>
        <w:rPr>
          <w:rFonts w:hint="default" w:eastAsia="方正小标宋简体"/>
          <w:kern w:val="44"/>
          <w:sz w:val="44"/>
        </w:rPr>
        <w:t>第四部分  附件</w:t>
      </w:r>
      <w:bookmarkEnd w:id="5"/>
    </w:p>
    <w:p w14:paraId="59DFE92C">
      <w:pPr>
        <w:spacing w:line="576" w:lineRule="exact"/>
        <w:outlineLvl w:val="0"/>
        <w:rPr>
          <w:rFonts w:hint="default" w:eastAsia="黑体"/>
          <w:kern w:val="2"/>
          <w:sz w:val="32"/>
        </w:rPr>
      </w:pPr>
    </w:p>
    <w:p w14:paraId="77E1F7ED">
      <w:pPr>
        <w:spacing w:line="576" w:lineRule="exact"/>
        <w:outlineLvl w:val="1"/>
        <w:rPr>
          <w:rFonts w:hint="default" w:eastAsia="方正小标宋简体"/>
          <w:kern w:val="2"/>
          <w:sz w:val="44"/>
        </w:rPr>
      </w:pPr>
      <w:bookmarkStart w:id="6" w:name="_Toc178157915"/>
      <w:r>
        <w:rPr>
          <w:rFonts w:hint="default" w:eastAsia="黑体"/>
          <w:kern w:val="2"/>
          <w:sz w:val="32"/>
        </w:rPr>
        <w:t>附件1</w:t>
      </w:r>
      <w:bookmarkEnd w:id="6"/>
    </w:p>
    <w:p w14:paraId="0C5846A1">
      <w:pPr>
        <w:spacing w:line="576" w:lineRule="exact"/>
        <w:ind w:firstLine="880" w:firstLineChars="200"/>
        <w:jc w:val="center"/>
        <w:rPr>
          <w:rFonts w:hint="default" w:eastAsia="黑体"/>
          <w:color w:val="000000"/>
          <w:sz w:val="44"/>
        </w:rPr>
      </w:pPr>
    </w:p>
    <w:p w14:paraId="06952A73">
      <w:pPr>
        <w:spacing w:line="576" w:lineRule="exact"/>
        <w:jc w:val="center"/>
        <w:rPr>
          <w:rFonts w:hint="default" w:eastAsia="方正小标宋简体"/>
          <w:color w:val="000000"/>
          <w:sz w:val="40"/>
          <w:szCs w:val="40"/>
        </w:rPr>
      </w:pPr>
      <w:r>
        <w:rPr>
          <w:rFonts w:hint="default" w:eastAsia="方正小标宋简体"/>
          <w:color w:val="000000"/>
          <w:sz w:val="40"/>
          <w:szCs w:val="40"/>
        </w:rPr>
        <w:t>2023年区经济合作和外事中心</w:t>
      </w:r>
    </w:p>
    <w:p w14:paraId="37A113E7">
      <w:pPr>
        <w:spacing w:line="576" w:lineRule="exact"/>
        <w:jc w:val="center"/>
        <w:rPr>
          <w:rFonts w:hint="default" w:eastAsia="方正小标宋简体"/>
          <w:color w:val="000000"/>
          <w:sz w:val="40"/>
          <w:szCs w:val="40"/>
          <w:lang w:val="zh-CN"/>
        </w:rPr>
      </w:pPr>
      <w:r>
        <w:rPr>
          <w:rFonts w:hint="default" w:eastAsia="方正小标宋简体"/>
          <w:color w:val="000000"/>
          <w:sz w:val="40"/>
          <w:szCs w:val="40"/>
        </w:rPr>
        <w:t>预算</w:t>
      </w:r>
      <w:r>
        <w:rPr>
          <w:rFonts w:hint="default" w:eastAsia="方正小标宋简体"/>
          <w:color w:val="000000"/>
          <w:sz w:val="40"/>
          <w:szCs w:val="40"/>
          <w:lang w:val="zh-CN"/>
        </w:rPr>
        <w:t>绩效评价报告</w:t>
      </w:r>
    </w:p>
    <w:p w14:paraId="66248645">
      <w:pPr>
        <w:spacing w:line="576" w:lineRule="exact"/>
        <w:ind w:firstLine="640" w:firstLineChars="200"/>
        <w:rPr>
          <w:rFonts w:hint="default" w:eastAsia="黑体"/>
          <w:color w:val="000000"/>
          <w:sz w:val="32"/>
        </w:rPr>
      </w:pPr>
    </w:p>
    <w:p w14:paraId="6CE861FE">
      <w:pPr>
        <w:spacing w:line="576" w:lineRule="exact"/>
        <w:ind w:firstLine="640" w:firstLineChars="200"/>
        <w:rPr>
          <w:rFonts w:hint="default" w:eastAsia="黑体"/>
          <w:color w:val="000000"/>
          <w:sz w:val="32"/>
        </w:rPr>
      </w:pPr>
      <w:r>
        <w:rPr>
          <w:rFonts w:hint="default" w:eastAsia="黑体"/>
          <w:color w:val="000000"/>
          <w:sz w:val="32"/>
        </w:rPr>
        <w:t>一、部门（单位）概况</w:t>
      </w:r>
    </w:p>
    <w:p w14:paraId="73B3E917">
      <w:pPr>
        <w:spacing w:line="576" w:lineRule="exact"/>
        <w:ind w:firstLine="640" w:firstLineChars="200"/>
        <w:rPr>
          <w:rFonts w:hint="default" w:eastAsia="仿宋_GB2312"/>
          <w:color w:val="000000"/>
          <w:sz w:val="32"/>
        </w:rPr>
      </w:pPr>
      <w:r>
        <w:rPr>
          <w:rFonts w:hint="default" w:eastAsia="仿宋_GB2312"/>
          <w:color w:val="000000"/>
          <w:sz w:val="32"/>
        </w:rPr>
        <w:t>（一）机构职能</w:t>
      </w:r>
    </w:p>
    <w:p w14:paraId="76CB7D11">
      <w:pPr>
        <w:spacing w:line="576" w:lineRule="exact"/>
        <w:ind w:firstLine="640" w:firstLineChars="200"/>
        <w:rPr>
          <w:rFonts w:hint="default" w:eastAsia="仿宋_GB2312"/>
          <w:color w:val="000000"/>
          <w:sz w:val="32"/>
        </w:rPr>
      </w:pPr>
      <w:r>
        <w:rPr>
          <w:rFonts w:hint="default" w:eastAsia="仿宋_GB2312"/>
          <w:color w:val="000000"/>
          <w:sz w:val="32"/>
        </w:rPr>
        <w:t>1.贯彻执行党和国家经济合作、外事有关法律、法规和方针、政策以及省、市、区有关决策部署，参与拟订经济合作和外事有关地方性政策、规范性文件。</w:t>
      </w:r>
    </w:p>
    <w:p w14:paraId="56C931F4">
      <w:pPr>
        <w:spacing w:line="576" w:lineRule="exact"/>
        <w:ind w:firstLine="640" w:firstLineChars="200"/>
        <w:rPr>
          <w:rFonts w:hint="default" w:eastAsia="仿宋_GB2312"/>
          <w:color w:val="000000"/>
          <w:sz w:val="32"/>
        </w:rPr>
      </w:pPr>
      <w:r>
        <w:rPr>
          <w:rFonts w:hint="default" w:eastAsia="仿宋_GB2312"/>
          <w:color w:val="000000"/>
          <w:sz w:val="32"/>
        </w:rPr>
        <w:t>2.协助全区经济合作建设推进工作的统筹协调和服务。协助组织全区重大投资促进活动，推进全区重大招商引资项目的促进和落实。</w:t>
      </w:r>
    </w:p>
    <w:p w14:paraId="0CB80A8C">
      <w:pPr>
        <w:spacing w:line="576" w:lineRule="exact"/>
        <w:ind w:firstLine="640" w:firstLineChars="200"/>
        <w:rPr>
          <w:rFonts w:hint="default" w:eastAsia="仿宋_GB2312"/>
          <w:color w:val="000000"/>
          <w:sz w:val="32"/>
        </w:rPr>
      </w:pPr>
      <w:r>
        <w:rPr>
          <w:rFonts w:hint="default" w:eastAsia="仿宋_GB2312"/>
          <w:color w:val="000000"/>
          <w:sz w:val="32"/>
        </w:rPr>
        <w:t>3.协助组织编制全区经济合作总体发展规划和年度实施计划，拟订和分解招商引资中长期和年度建设目标任务。</w:t>
      </w:r>
    </w:p>
    <w:p w14:paraId="430541EF">
      <w:pPr>
        <w:spacing w:line="576" w:lineRule="exact"/>
        <w:ind w:firstLine="640" w:firstLineChars="200"/>
        <w:rPr>
          <w:rFonts w:hint="default" w:eastAsia="仿宋_GB2312"/>
          <w:color w:val="000000"/>
          <w:sz w:val="32"/>
        </w:rPr>
      </w:pPr>
      <w:r>
        <w:rPr>
          <w:rFonts w:hint="default" w:eastAsia="仿宋_GB2312"/>
          <w:color w:val="000000"/>
          <w:sz w:val="32"/>
        </w:rPr>
        <w:t>4.协助区商务和经济合作局对经济合作工作开展监测、评价、考核和监督管理工作。</w:t>
      </w:r>
    </w:p>
    <w:p w14:paraId="5C85D7E0">
      <w:pPr>
        <w:spacing w:line="576" w:lineRule="exact"/>
        <w:ind w:firstLine="640" w:firstLineChars="200"/>
        <w:rPr>
          <w:rFonts w:hint="default" w:eastAsia="仿宋_GB2312"/>
          <w:color w:val="000000"/>
          <w:sz w:val="32"/>
        </w:rPr>
      </w:pPr>
      <w:r>
        <w:rPr>
          <w:rFonts w:hint="default" w:eastAsia="仿宋_GB2312"/>
          <w:color w:val="000000"/>
          <w:sz w:val="32"/>
        </w:rPr>
        <w:t>5.协助区商务和经济合作局执行对外经济合作政策，推进全区对外经济合作工作。受区商务和经济合作局委托，负责管理区政府各驻外招商机构。</w:t>
      </w:r>
    </w:p>
    <w:p w14:paraId="5A4DB83F">
      <w:pPr>
        <w:spacing w:line="576" w:lineRule="exact"/>
        <w:ind w:firstLine="640" w:firstLineChars="200"/>
        <w:rPr>
          <w:rFonts w:hint="default" w:eastAsia="仿宋_GB2312"/>
          <w:color w:val="000000"/>
          <w:sz w:val="32"/>
        </w:rPr>
      </w:pPr>
      <w:r>
        <w:rPr>
          <w:rFonts w:hint="default" w:eastAsia="仿宋_GB2312"/>
          <w:color w:val="000000"/>
          <w:sz w:val="32"/>
        </w:rPr>
        <w:t>6.负责外事接待和招商引资事项的服务保障工作。</w:t>
      </w:r>
    </w:p>
    <w:p w14:paraId="5A95413F">
      <w:pPr>
        <w:spacing w:line="576" w:lineRule="exact"/>
        <w:ind w:firstLine="640" w:firstLineChars="200"/>
        <w:rPr>
          <w:rFonts w:hint="default" w:eastAsia="仿宋_GB2312"/>
          <w:color w:val="000000"/>
          <w:sz w:val="32"/>
        </w:rPr>
      </w:pPr>
      <w:r>
        <w:rPr>
          <w:rFonts w:hint="default" w:eastAsia="仿宋_GB2312"/>
          <w:color w:val="000000"/>
          <w:sz w:val="32"/>
        </w:rPr>
        <w:t>7.承办我区外宾来访的接待事宜；负责外国驻华机构、外国重要团体和个人来昭活动的协调联络和服务保障工作，为区委、区政府重要外事活动提供后勤保障服务。</w:t>
      </w:r>
    </w:p>
    <w:p w14:paraId="0AE7F59F">
      <w:pPr>
        <w:spacing w:line="576" w:lineRule="exact"/>
        <w:ind w:firstLine="640" w:firstLineChars="200"/>
        <w:rPr>
          <w:rFonts w:hint="default" w:eastAsia="仿宋_GB2312"/>
          <w:color w:val="000000"/>
          <w:sz w:val="32"/>
        </w:rPr>
      </w:pPr>
      <w:r>
        <w:rPr>
          <w:rFonts w:hint="default" w:eastAsia="仿宋_GB2312"/>
          <w:color w:val="000000"/>
          <w:sz w:val="32"/>
        </w:rPr>
        <w:t>8.指导镇、区级部门的外事活动服务保障工作。</w:t>
      </w:r>
    </w:p>
    <w:p w14:paraId="46CDA056">
      <w:pPr>
        <w:spacing w:line="576" w:lineRule="exact"/>
        <w:ind w:firstLine="640" w:firstLineChars="200"/>
        <w:rPr>
          <w:rFonts w:hint="default" w:eastAsia="仿宋_GB2312"/>
          <w:color w:val="000000"/>
          <w:sz w:val="32"/>
        </w:rPr>
      </w:pPr>
      <w:r>
        <w:rPr>
          <w:rFonts w:hint="default" w:eastAsia="仿宋_GB2312"/>
          <w:color w:val="000000"/>
          <w:sz w:val="32"/>
        </w:rPr>
        <w:t>9.完成区委和区政府交办的其他任务。</w:t>
      </w:r>
    </w:p>
    <w:p w14:paraId="1310E4FD">
      <w:pPr>
        <w:spacing w:line="576" w:lineRule="exact"/>
        <w:ind w:firstLine="640" w:firstLineChars="200"/>
        <w:rPr>
          <w:rFonts w:hint="default" w:eastAsia="仿宋_GB2312"/>
          <w:color w:val="000000"/>
          <w:sz w:val="32"/>
        </w:rPr>
      </w:pPr>
      <w:r>
        <w:rPr>
          <w:rFonts w:hint="default" w:eastAsia="仿宋_GB2312"/>
          <w:color w:val="000000"/>
          <w:sz w:val="32"/>
        </w:rPr>
        <w:t>（二）机构组成</w:t>
      </w:r>
    </w:p>
    <w:p w14:paraId="22E116A7">
      <w:pPr>
        <w:spacing w:line="576" w:lineRule="exact"/>
        <w:ind w:firstLine="640" w:firstLineChars="200"/>
        <w:rPr>
          <w:rFonts w:hint="default" w:eastAsia="仿宋_GB2312"/>
          <w:color w:val="000000"/>
          <w:sz w:val="32"/>
        </w:rPr>
      </w:pPr>
      <w:r>
        <w:rPr>
          <w:rFonts w:hint="default" w:eastAsia="仿宋_GB2312"/>
          <w:color w:val="000000"/>
          <w:sz w:val="32"/>
        </w:rPr>
        <w:t>区经济合作和外事中心由区委直属事业单位广元市昭化区三江新区发展事务中心更名而成，于2022年调整为区政府直属事业单位，为公益一类，下设综合股、项目管理股和对外合作股3个职能股室。</w:t>
      </w:r>
    </w:p>
    <w:p w14:paraId="19AFE84E">
      <w:pPr>
        <w:spacing w:line="576" w:lineRule="exact"/>
        <w:ind w:firstLine="640" w:firstLineChars="200"/>
        <w:rPr>
          <w:rFonts w:hint="default" w:eastAsia="仿宋_GB2312"/>
          <w:color w:val="000000"/>
          <w:sz w:val="32"/>
        </w:rPr>
      </w:pPr>
      <w:r>
        <w:rPr>
          <w:rFonts w:hint="default" w:eastAsia="仿宋_GB2312"/>
          <w:color w:val="000000"/>
          <w:sz w:val="32"/>
        </w:rPr>
        <w:t>（三）人员概况</w:t>
      </w:r>
    </w:p>
    <w:p w14:paraId="5DEBF1D3">
      <w:pPr>
        <w:spacing w:line="576" w:lineRule="exact"/>
        <w:ind w:firstLine="640" w:firstLineChars="200"/>
        <w:rPr>
          <w:rFonts w:hint="default" w:eastAsia="仿宋_GB2312"/>
          <w:color w:val="000000"/>
          <w:sz w:val="32"/>
        </w:rPr>
      </w:pPr>
      <w:r>
        <w:rPr>
          <w:rFonts w:hint="default" w:eastAsia="仿宋_GB2312"/>
          <w:color w:val="000000"/>
          <w:sz w:val="32"/>
        </w:rPr>
        <w:t>区经济合作和外事中心核定事业编制10名，其中主任1名，副主任2名，股级职数3名。年初在职人员为7名，年末在职人员为9名，其中一名为调配人员，另外一名为公开引进人才。</w:t>
      </w:r>
    </w:p>
    <w:p w14:paraId="05E95BB6">
      <w:pPr>
        <w:spacing w:line="576" w:lineRule="exact"/>
        <w:ind w:firstLine="640" w:firstLineChars="200"/>
        <w:rPr>
          <w:rFonts w:hint="default" w:eastAsia="仿宋_GB2312"/>
          <w:color w:val="000000"/>
          <w:sz w:val="32"/>
        </w:rPr>
      </w:pPr>
      <w:r>
        <w:rPr>
          <w:rFonts w:hint="default" w:eastAsia="仿宋_GB2312"/>
          <w:color w:val="000000"/>
          <w:sz w:val="32"/>
        </w:rPr>
        <w:t>（四）当年重点工作任务概述</w:t>
      </w:r>
    </w:p>
    <w:p w14:paraId="655D104D">
      <w:pPr>
        <w:spacing w:line="576" w:lineRule="exact"/>
        <w:ind w:firstLine="640" w:firstLineChars="200"/>
        <w:rPr>
          <w:rFonts w:hint="default" w:eastAsia="仿宋_GB2312"/>
          <w:color w:val="000000"/>
          <w:sz w:val="32"/>
        </w:rPr>
      </w:pPr>
      <w:r>
        <w:rPr>
          <w:rFonts w:hint="default" w:eastAsia="仿宋_GB2312"/>
          <w:color w:val="000000"/>
          <w:sz w:val="32"/>
        </w:rPr>
        <w:t>1.招商引资工作取得显著成效。</w:t>
      </w:r>
    </w:p>
    <w:p w14:paraId="0C727F52">
      <w:pPr>
        <w:spacing w:line="576" w:lineRule="exact"/>
        <w:ind w:firstLine="640" w:firstLineChars="200"/>
        <w:rPr>
          <w:rFonts w:hint="default" w:eastAsia="仿宋_GB2312"/>
          <w:color w:val="000000"/>
          <w:sz w:val="32"/>
        </w:rPr>
      </w:pPr>
      <w:r>
        <w:rPr>
          <w:rFonts w:hint="default" w:eastAsia="仿宋_GB2312"/>
          <w:color w:val="000000"/>
          <w:sz w:val="32"/>
        </w:rPr>
        <w:t>（1）新签约项目、到位资金完成情况。2023年新签约项目102个，签约总投资113.4亿元，其中签约亿元以上项目35个，签约工业项目23个，签约资金34亿元。新开工项目89个，全年完成到位资金38.9亿元。</w:t>
      </w:r>
    </w:p>
    <w:p w14:paraId="1060E680">
      <w:pPr>
        <w:spacing w:line="576" w:lineRule="exact"/>
        <w:ind w:firstLine="640" w:firstLineChars="200"/>
        <w:rPr>
          <w:rFonts w:hint="default" w:eastAsia="仿宋_GB2312"/>
          <w:color w:val="000000"/>
          <w:sz w:val="32"/>
        </w:rPr>
      </w:pPr>
      <w:r>
        <w:rPr>
          <w:rFonts w:hint="default" w:eastAsia="仿宋_GB2312"/>
          <w:color w:val="000000"/>
          <w:sz w:val="32"/>
        </w:rPr>
        <w:t>（2）招商引资项目对接情况。由县级领导带队外出开展投资促进活动，赴北京、上海、广东、河北、成都等地对接项目220余次，其中党政主要领导对接项目38次。通过对外宣传推介，邀请客商赴昭化考察项目87次，全年捕捉有效招商信息343条。</w:t>
      </w:r>
    </w:p>
    <w:p w14:paraId="63599C0C">
      <w:pPr>
        <w:spacing w:line="576" w:lineRule="exact"/>
        <w:ind w:firstLine="640" w:firstLineChars="200"/>
        <w:rPr>
          <w:rFonts w:hint="default" w:eastAsia="仿宋_GB2312"/>
          <w:color w:val="000000"/>
          <w:sz w:val="32"/>
        </w:rPr>
      </w:pPr>
      <w:r>
        <w:rPr>
          <w:rFonts w:hint="default" w:eastAsia="仿宋_GB2312"/>
          <w:color w:val="000000"/>
          <w:sz w:val="32"/>
        </w:rPr>
        <w:t>（3）招商引资活动开展情况。全年累计参加西博会、中外知名企业四川行、中国（广元）物流发展大会、文旅发展大会等省、市重大平台活动12场次，在杭州、乌鲁木齐、重庆等地召开招商引资推介会8场次，全年组织区级平台集中签约活动5场次、重点项目签约活动3场次。</w:t>
      </w:r>
    </w:p>
    <w:p w14:paraId="17952D5F">
      <w:pPr>
        <w:spacing w:line="576" w:lineRule="exact"/>
        <w:ind w:firstLine="640" w:firstLineChars="200"/>
        <w:rPr>
          <w:rFonts w:hint="default" w:eastAsia="仿宋_GB2312"/>
          <w:color w:val="000000"/>
          <w:sz w:val="32"/>
        </w:rPr>
      </w:pPr>
      <w:r>
        <w:rPr>
          <w:rFonts w:hint="default" w:eastAsia="仿宋_GB2312"/>
          <w:color w:val="000000"/>
          <w:sz w:val="32"/>
        </w:rPr>
        <w:t>2.外事服务保障稳打稳扎完成。</w:t>
      </w:r>
    </w:p>
    <w:p w14:paraId="18F164A0">
      <w:pPr>
        <w:spacing w:line="576" w:lineRule="exact"/>
        <w:ind w:firstLine="640" w:firstLineChars="200"/>
        <w:rPr>
          <w:rFonts w:hint="default" w:eastAsia="仿宋_GB2312"/>
          <w:color w:val="000000"/>
          <w:sz w:val="32"/>
        </w:rPr>
      </w:pPr>
      <w:r>
        <w:rPr>
          <w:rFonts w:hint="default" w:eastAsia="仿宋_GB2312"/>
          <w:color w:val="000000"/>
          <w:sz w:val="32"/>
        </w:rPr>
        <w:t>（1）严格落实省市相关工作部署，由区经济合作和外事中心牵头，区委政法委、区委国安办以及相关区级部门联动协作，以全区12个镇为责任主体，全覆盖摸底我区出国（境）人员、机构以及外商投资情况，建立底数台账、风险台账、工作台账“三本台账”，做到动态更新、定期上报，确保不落一户、不漏一人。健全“一对一”联络机制，安排专人与重点涉外人员常态化开展沟通对接，确保跟踪及时、精准管控。</w:t>
      </w:r>
    </w:p>
    <w:p w14:paraId="46D1BA7B">
      <w:pPr>
        <w:spacing w:line="576" w:lineRule="exact"/>
        <w:ind w:firstLine="640" w:firstLineChars="200"/>
        <w:rPr>
          <w:rFonts w:hint="default" w:eastAsia="仿宋_GB2312"/>
          <w:color w:val="000000"/>
          <w:sz w:val="32"/>
        </w:rPr>
      </w:pPr>
      <w:r>
        <w:rPr>
          <w:rFonts w:hint="default" w:eastAsia="仿宋_GB2312"/>
          <w:color w:val="000000"/>
          <w:sz w:val="32"/>
        </w:rPr>
        <w:t>（2）强化境外安全形势和涉外安全风险跟踪研判，在全区范围内大力推广并应用四川省海外川籍人员领事保护服务系统，密切关注驻外使领馆发布的风险提示，压紧压实属地镇管控责任，有针对性地指导涉及相关国家（地区）人员加强自身安全防范，切实维护我区涉外人员利益及安全。今年以来，依托综治宣传月、“4.15”全民国家安全教育日，全区组织各镇及相关部门先后开展海外利益安全保护专题宣传活动2次，召开海外利益安全保护工作推进会1次，先后对我区在刚果（金）、尼日利亚、巴基斯坦、吉尔吉斯斯坦等红色风险国家（地区）人员进行安全提醒20余次，妥善处置海外领事保护案件1起（省委外办指示劝返我区1名在阿富汗开办矿企人员回国）。</w:t>
      </w:r>
    </w:p>
    <w:p w14:paraId="7CCA60F4">
      <w:pPr>
        <w:spacing w:line="576" w:lineRule="exact"/>
        <w:ind w:firstLine="640" w:firstLineChars="200"/>
        <w:rPr>
          <w:rFonts w:hint="default" w:eastAsia="仿宋_GB2312"/>
          <w:color w:val="000000"/>
          <w:sz w:val="32"/>
        </w:rPr>
      </w:pPr>
      <w:r>
        <w:rPr>
          <w:rFonts w:hint="default" w:eastAsia="仿宋_GB2312"/>
          <w:color w:val="000000"/>
          <w:sz w:val="32"/>
        </w:rPr>
        <w:t>（3）严格遵守外事工作纪律，认真执行国家、省、市关于加强党政干部因公出国（境）相关规定，规范开展国（境）外重要团体、机构、企业、人员的外事接待活动。今年以来，我区暂无党政干部因公出国（境）事宜，先后承办了2023国际媒体人广元大蜀道采风活动、台湾同胞蜀道行活动，接待瑞士瑞中协会、新加坡中华总商会、2023年发展中国家农村发展与减贫官员研修班、南亚国家友好组织负责人及青年精英代表团等外事团队考察，协同推动友好城市联结工作/积极推动民间友好往来，全面宣传展示昭化良好形象。</w:t>
      </w:r>
    </w:p>
    <w:p w14:paraId="19AF7A62">
      <w:pPr>
        <w:spacing w:line="576" w:lineRule="exact"/>
        <w:ind w:firstLine="640" w:firstLineChars="200"/>
        <w:rPr>
          <w:rFonts w:hint="default" w:eastAsia="黑体"/>
          <w:color w:val="000000"/>
          <w:sz w:val="32"/>
        </w:rPr>
      </w:pPr>
      <w:r>
        <w:rPr>
          <w:rFonts w:hint="default" w:eastAsia="黑体"/>
          <w:color w:val="000000"/>
          <w:sz w:val="32"/>
        </w:rPr>
        <w:t>二、部门（单位）收支情况</w:t>
      </w:r>
    </w:p>
    <w:p w14:paraId="5BDFC47B">
      <w:pPr>
        <w:spacing w:line="576" w:lineRule="exact"/>
        <w:ind w:firstLine="640" w:firstLineChars="200"/>
        <w:rPr>
          <w:rFonts w:hint="default" w:eastAsia="仿宋_GB2312"/>
          <w:color w:val="000000"/>
          <w:sz w:val="32"/>
        </w:rPr>
      </w:pPr>
      <w:r>
        <w:rPr>
          <w:rFonts w:hint="default" w:eastAsia="仿宋_GB2312"/>
          <w:color w:val="000000"/>
          <w:sz w:val="32"/>
        </w:rPr>
        <w:t>（一）部门资金收入情况</w:t>
      </w:r>
    </w:p>
    <w:p w14:paraId="29F41520">
      <w:pPr>
        <w:spacing w:line="576" w:lineRule="exact"/>
        <w:ind w:firstLine="640" w:firstLineChars="200"/>
        <w:rPr>
          <w:rFonts w:hint="default" w:eastAsia="仿宋_GB2312"/>
          <w:color w:val="000000"/>
          <w:sz w:val="32"/>
        </w:rPr>
      </w:pPr>
      <w:r>
        <w:rPr>
          <w:rFonts w:hint="default" w:eastAsia="仿宋_GB2312"/>
          <w:color w:val="000000"/>
          <w:sz w:val="32"/>
        </w:rPr>
        <w:t>2023年本年收入合计509.16万元，其中：一般公共预算财政拨款收入509.16万元，占100%。</w:t>
      </w:r>
    </w:p>
    <w:p w14:paraId="226ED123">
      <w:pPr>
        <w:spacing w:line="576" w:lineRule="exact"/>
        <w:ind w:firstLine="640" w:firstLineChars="200"/>
        <w:rPr>
          <w:rFonts w:hint="default" w:eastAsia="仿宋_GB2312"/>
          <w:color w:val="000000"/>
          <w:sz w:val="32"/>
        </w:rPr>
      </w:pPr>
      <w:r>
        <w:rPr>
          <w:rFonts w:hint="default" w:eastAsia="仿宋_GB2312"/>
          <w:color w:val="000000"/>
          <w:sz w:val="32"/>
        </w:rPr>
        <w:t>（二）部门资金支出情况</w:t>
      </w:r>
    </w:p>
    <w:p w14:paraId="2EF47FCE">
      <w:pPr>
        <w:spacing w:line="576" w:lineRule="exact"/>
        <w:ind w:firstLine="640" w:firstLineChars="200"/>
        <w:rPr>
          <w:rFonts w:hint="default" w:eastAsia="仿宋_GB2312"/>
          <w:color w:val="000000"/>
          <w:sz w:val="32"/>
        </w:rPr>
      </w:pPr>
      <w:r>
        <w:rPr>
          <w:rFonts w:hint="default" w:eastAsia="仿宋_GB2312"/>
          <w:color w:val="000000"/>
          <w:sz w:val="32"/>
        </w:rPr>
        <w:t>2023年本年支出合计509.16万元，其中：基本支出115.17万元，占22.62%，项目支出393.99，占77.38%。</w:t>
      </w:r>
    </w:p>
    <w:p w14:paraId="0AD1F199">
      <w:pPr>
        <w:spacing w:line="576" w:lineRule="exact"/>
        <w:ind w:firstLine="640" w:firstLineChars="200"/>
        <w:rPr>
          <w:rFonts w:hint="default" w:eastAsia="仿宋_GB2312"/>
          <w:color w:val="000000"/>
          <w:sz w:val="32"/>
        </w:rPr>
      </w:pPr>
      <w:r>
        <w:rPr>
          <w:rFonts w:hint="default" w:eastAsia="仿宋_GB2312"/>
          <w:color w:val="000000"/>
          <w:sz w:val="32"/>
        </w:rPr>
        <w:t>（三）结转和结余情况</w:t>
      </w:r>
    </w:p>
    <w:p w14:paraId="3D06D7D7">
      <w:pPr>
        <w:spacing w:line="576" w:lineRule="exact"/>
        <w:ind w:firstLine="640" w:firstLineChars="200"/>
        <w:rPr>
          <w:rFonts w:hint="default" w:eastAsia="仿宋_GB2312"/>
          <w:color w:val="000000"/>
          <w:sz w:val="32"/>
        </w:rPr>
      </w:pPr>
      <w:r>
        <w:rPr>
          <w:rFonts w:hint="default" w:eastAsia="仿宋_GB2312"/>
          <w:color w:val="000000"/>
          <w:sz w:val="32"/>
        </w:rPr>
        <w:t>2023年度，本年收入509.16万元，本年支出509.16万元，执行率100%，结余资金0万元，无结转结余。</w:t>
      </w:r>
    </w:p>
    <w:p w14:paraId="50DD17BE">
      <w:pPr>
        <w:spacing w:line="576" w:lineRule="exact"/>
        <w:ind w:firstLine="640" w:firstLineChars="200"/>
        <w:rPr>
          <w:rFonts w:hint="default" w:eastAsia="黑体"/>
          <w:color w:val="000000"/>
          <w:sz w:val="32"/>
        </w:rPr>
      </w:pPr>
      <w:r>
        <w:rPr>
          <w:rFonts w:hint="default" w:eastAsia="黑体"/>
          <w:color w:val="000000"/>
          <w:sz w:val="32"/>
        </w:rPr>
        <w:t>三、部门整体预算绩效管理情况</w:t>
      </w:r>
    </w:p>
    <w:p w14:paraId="72D3660C">
      <w:pPr>
        <w:spacing w:line="576" w:lineRule="exact"/>
        <w:ind w:firstLine="640" w:firstLineChars="200"/>
        <w:rPr>
          <w:rFonts w:hint="default" w:eastAsia="仿宋_GB2312"/>
          <w:color w:val="000000"/>
          <w:sz w:val="32"/>
        </w:rPr>
      </w:pPr>
      <w:r>
        <w:rPr>
          <w:rFonts w:hint="default" w:eastAsia="仿宋_GB2312"/>
          <w:color w:val="000000"/>
          <w:sz w:val="32"/>
        </w:rPr>
        <w:t>（一）部门预算总体绩效</w:t>
      </w:r>
    </w:p>
    <w:p w14:paraId="5AADB3ED">
      <w:pPr>
        <w:spacing w:line="576" w:lineRule="exact"/>
        <w:ind w:firstLine="640" w:firstLineChars="200"/>
        <w:rPr>
          <w:rFonts w:hint="default" w:eastAsia="仿宋_GB2312"/>
          <w:color w:val="000000"/>
          <w:sz w:val="32"/>
        </w:rPr>
      </w:pPr>
      <w:r>
        <w:rPr>
          <w:rFonts w:hint="default" w:eastAsia="仿宋_GB2312"/>
          <w:color w:val="000000"/>
          <w:sz w:val="32"/>
        </w:rPr>
        <w:t>1.目标管理</w:t>
      </w:r>
    </w:p>
    <w:p w14:paraId="1524876D">
      <w:pPr>
        <w:spacing w:line="576" w:lineRule="exact"/>
        <w:ind w:firstLine="640" w:firstLineChars="200"/>
        <w:rPr>
          <w:rFonts w:hint="default" w:eastAsia="仿宋_GB2312"/>
          <w:color w:val="000000"/>
          <w:sz w:val="32"/>
        </w:rPr>
      </w:pPr>
      <w:r>
        <w:rPr>
          <w:rFonts w:hint="default" w:eastAsia="仿宋_GB2312"/>
          <w:color w:val="000000"/>
          <w:sz w:val="32"/>
        </w:rPr>
        <w:t>一是目标制定情况。我中心依据区委区政府下达的年度综合目标任务结合我中心职能职责，从产出指标、效益指标、满意度指标等方面制定了绩效目标，全面实现了要素完整、指标细化</w:t>
      </w:r>
    </w:p>
    <w:p w14:paraId="75BE8FEC">
      <w:pPr>
        <w:spacing w:line="576" w:lineRule="exact"/>
        <w:ind w:firstLine="640" w:firstLineChars="200"/>
        <w:rPr>
          <w:rFonts w:hint="default" w:eastAsia="仿宋_GB2312"/>
          <w:color w:val="000000"/>
          <w:sz w:val="32"/>
        </w:rPr>
      </w:pPr>
      <w:r>
        <w:rPr>
          <w:rFonts w:hint="default" w:eastAsia="仿宋_GB2312"/>
          <w:color w:val="000000"/>
          <w:sz w:val="32"/>
        </w:rPr>
        <w:t>绩效目标具体如下:完成单位职工工资发放及各类保险缴纳，保障日常工作经费投入。按月打卡发放工资，向社保部门缴纳职工养老、医疗等各项保险，向公积金中心缴纳住房公积金，保障招商引资各项日常工作正常开展。</w:t>
      </w:r>
    </w:p>
    <w:p w14:paraId="4B42555D">
      <w:pPr>
        <w:spacing w:line="576" w:lineRule="exact"/>
        <w:ind w:firstLine="640" w:firstLineChars="200"/>
        <w:rPr>
          <w:rFonts w:hint="default" w:eastAsia="仿宋_GB2312"/>
          <w:color w:val="000000"/>
          <w:sz w:val="32"/>
        </w:rPr>
      </w:pPr>
      <w:r>
        <w:rPr>
          <w:rFonts w:hint="default" w:eastAsia="仿宋_GB2312"/>
          <w:color w:val="000000"/>
          <w:sz w:val="32"/>
        </w:rPr>
        <w:t>二是目标实现情况。人员类绩效目标实现情况:人员类支出81.19万元，主要包括:基本工资、津贴补贴、奖金、机关事业单位基本养老保险缴费、职业年金缴费、职工基本医疗保险缴费、其他社会保障缴费、住房公积金、其他工资福利支出。该项经费有效保障了区经济合作和外事中心共有在职人员9人的工资福利，人员经费发放及时。单位职工满意度为100%，圆满完成了人员经费的绩效目标任务。运转类经费绩效目标实现情况:单位定额公用经费及招商引资专项工作经费、外事服务工作经费3个其他运转类项目经费，共计支出51.67万元，主要用于保障单位运转及外事服务保障、招商引资工作开展的办公、打印、差旅等费用支出，部门运转类目标绩效良好，各项指标均达到预期效果。项目类绩效目标实现情况:驻外招商小分队工作经费、招商引资工作经费等7个项目类支出，主要指标为参与重大平台投资活动预算值为2次，2023年完成12次，完成率100%；到位市外资金预算值99.25亿元，完成113.4亿元，完成率100%；签约亿元项目个数预算值20个，完成35个，完成率100%；县主要领导外出招商次数预算值20次，完成38次，完成率100%；企业满意度、百姓满意度预算值90%，完成率100%；成本指标外出招商及外事服务等开支预算值193万，完成193万元，执行率100%。</w:t>
      </w:r>
    </w:p>
    <w:p w14:paraId="50137DA6">
      <w:pPr>
        <w:spacing w:line="576" w:lineRule="exact"/>
        <w:ind w:firstLine="640" w:firstLineChars="200"/>
        <w:rPr>
          <w:rFonts w:hint="default" w:eastAsia="仿宋_GB2312"/>
          <w:color w:val="000000"/>
          <w:sz w:val="32"/>
        </w:rPr>
      </w:pPr>
      <w:r>
        <w:rPr>
          <w:rFonts w:hint="default" w:eastAsia="仿宋_GB2312"/>
          <w:color w:val="000000"/>
          <w:sz w:val="32"/>
        </w:rPr>
        <w:t>2.过程管控。</w:t>
      </w:r>
    </w:p>
    <w:p w14:paraId="058E040C">
      <w:pPr>
        <w:spacing w:line="576" w:lineRule="exact"/>
        <w:ind w:firstLine="640" w:firstLineChars="200"/>
        <w:rPr>
          <w:rFonts w:hint="default" w:eastAsia="仿宋_GB2312"/>
          <w:color w:val="000000"/>
          <w:sz w:val="32"/>
        </w:rPr>
      </w:pPr>
      <w:r>
        <w:rPr>
          <w:rFonts w:hint="default" w:eastAsia="仿宋_GB2312"/>
          <w:color w:val="000000"/>
          <w:sz w:val="32"/>
        </w:rPr>
        <w:t>日常和项目公用经费严格控制支出进度，不超支，慢支，总体平稳可控，执行进度与预计进度相差不大，实现了全年支出合理、可控。在整体绩效运行过程中，实行预算调整同步调整绩效目标，出现执行进度慢等预警情况，及时进行处置，确保全年度绩效目标如期完成。</w:t>
      </w:r>
    </w:p>
    <w:p w14:paraId="48BAB139">
      <w:pPr>
        <w:spacing w:line="576" w:lineRule="exact"/>
        <w:ind w:firstLine="640" w:firstLineChars="200"/>
        <w:rPr>
          <w:rFonts w:hint="default" w:eastAsia="仿宋_GB2312"/>
          <w:color w:val="000000"/>
          <w:sz w:val="32"/>
        </w:rPr>
      </w:pPr>
      <w:r>
        <w:rPr>
          <w:rFonts w:hint="default" w:eastAsia="仿宋_GB2312"/>
          <w:color w:val="000000"/>
          <w:sz w:val="32"/>
        </w:rPr>
        <w:t>3.完成结果</w:t>
      </w:r>
    </w:p>
    <w:p w14:paraId="14100ACA">
      <w:pPr>
        <w:spacing w:line="576" w:lineRule="exact"/>
        <w:ind w:firstLine="640" w:firstLineChars="200"/>
        <w:rPr>
          <w:rFonts w:hint="default" w:eastAsia="仿宋_GB2312"/>
          <w:color w:val="000000"/>
          <w:sz w:val="32"/>
        </w:rPr>
      </w:pPr>
      <w:r>
        <w:rPr>
          <w:rFonts w:hint="default" w:eastAsia="仿宋_GB2312"/>
          <w:color w:val="000000"/>
          <w:sz w:val="32"/>
        </w:rPr>
        <w:t>本部门本年度整体绩效目标如期完成，并超出预期，例如整体绩效目标主要指标中参与重大平台投资活动预算值为2次，2023年完成12次，超出预期500%；到位市外资金预算值99.25亿元，完成113.4亿元，超出预期14.26%；签约亿元项目个数预算值20个，完成35个，超出预期75%；县主要领导外出招商次数预算值20次，完成38次，超出预期90%，高质量完成了全年度目标任务。</w:t>
      </w:r>
    </w:p>
    <w:p w14:paraId="71E31DED">
      <w:pPr>
        <w:spacing w:line="576" w:lineRule="exact"/>
        <w:ind w:firstLine="640" w:firstLineChars="200"/>
        <w:rPr>
          <w:rFonts w:hint="default" w:eastAsia="仿宋_GB2312"/>
          <w:color w:val="000000"/>
          <w:sz w:val="32"/>
        </w:rPr>
      </w:pPr>
      <w:r>
        <w:rPr>
          <w:rFonts w:hint="default" w:eastAsia="仿宋_GB2312"/>
          <w:color w:val="000000"/>
          <w:sz w:val="32"/>
        </w:rPr>
        <w:t>（二）项目预算绩效管理情况</w:t>
      </w:r>
    </w:p>
    <w:p w14:paraId="2C02C0AE">
      <w:pPr>
        <w:spacing w:line="576" w:lineRule="exact"/>
        <w:ind w:firstLine="640" w:firstLineChars="200"/>
        <w:rPr>
          <w:rFonts w:hint="default" w:eastAsia="仿宋_GB2312"/>
          <w:color w:val="000000"/>
          <w:sz w:val="32"/>
        </w:rPr>
      </w:pPr>
      <w:r>
        <w:rPr>
          <w:rFonts w:hint="default" w:eastAsia="仿宋_GB2312"/>
          <w:color w:val="000000"/>
          <w:sz w:val="32"/>
        </w:rPr>
        <w:t>1.部门预算项目绩效情况。</w:t>
      </w:r>
    </w:p>
    <w:p w14:paraId="154CB347">
      <w:pPr>
        <w:spacing w:line="576" w:lineRule="exact"/>
        <w:ind w:firstLine="640" w:firstLineChars="200"/>
        <w:rPr>
          <w:rFonts w:hint="default" w:eastAsia="仿宋_GB2312"/>
          <w:color w:val="000000"/>
          <w:sz w:val="32"/>
        </w:rPr>
      </w:pPr>
      <w:r>
        <w:rPr>
          <w:rFonts w:hint="default" w:eastAsia="仿宋_GB2312"/>
          <w:color w:val="000000"/>
          <w:sz w:val="32"/>
        </w:rPr>
        <w:t>部门项目共11个项目，包含7个部门项目，2个其他运转类项目，1个人员类，1个公共经费，项目支出总计509.16万元，执行进度100%。</w:t>
      </w:r>
    </w:p>
    <w:p w14:paraId="46E18ABF">
      <w:pPr>
        <w:spacing w:line="576" w:lineRule="exact"/>
        <w:ind w:firstLine="640" w:firstLineChars="200"/>
        <w:rPr>
          <w:rFonts w:hint="default" w:eastAsia="仿宋_GB2312"/>
          <w:color w:val="000000"/>
          <w:sz w:val="32"/>
        </w:rPr>
      </w:pPr>
      <w:r>
        <w:rPr>
          <w:rFonts w:hint="default" w:eastAsia="仿宋_GB2312"/>
          <w:color w:val="000000"/>
          <w:sz w:val="32"/>
        </w:rPr>
        <w:t>7个部门项目里包含年初预算项目2个和5个其他项目。</w:t>
      </w:r>
    </w:p>
    <w:p w14:paraId="1F6218E9">
      <w:pPr>
        <w:spacing w:line="576" w:lineRule="exact"/>
        <w:ind w:firstLine="640" w:firstLineChars="200"/>
        <w:rPr>
          <w:rFonts w:hint="default" w:eastAsia="仿宋_GB2312"/>
          <w:color w:val="000000"/>
          <w:sz w:val="32"/>
        </w:rPr>
      </w:pPr>
      <w:r>
        <w:rPr>
          <w:rFonts w:hint="default" w:eastAsia="仿宋_GB2312"/>
          <w:color w:val="000000"/>
          <w:sz w:val="32"/>
        </w:rPr>
        <w:t>2个年初预算项目分别是驻外招商小分队工作经费和招商引资工作经费，两个部门项目均在规定时间内完成绩效目标，执行率和完成率均达到100%。</w:t>
      </w:r>
    </w:p>
    <w:p w14:paraId="2F59CC03">
      <w:pPr>
        <w:spacing w:line="576" w:lineRule="exact"/>
        <w:ind w:firstLine="640" w:firstLineChars="200"/>
        <w:rPr>
          <w:rFonts w:hint="default" w:eastAsia="仿宋_GB2312"/>
          <w:color w:val="000000"/>
          <w:sz w:val="32"/>
        </w:rPr>
      </w:pPr>
      <w:r>
        <w:rPr>
          <w:rFonts w:hint="default" w:eastAsia="仿宋_GB2312"/>
          <w:color w:val="000000"/>
          <w:sz w:val="32"/>
        </w:rPr>
        <w:t>5个其他项目，包含4个兑现企业补助资金项目和1个年初开展招商引资表彰大会工作经费。绩效目标设置合理，执行率均达到100%。</w:t>
      </w:r>
    </w:p>
    <w:p w14:paraId="51E588EC">
      <w:pPr>
        <w:spacing w:line="576" w:lineRule="exact"/>
        <w:ind w:firstLine="640" w:firstLineChars="200"/>
        <w:rPr>
          <w:rFonts w:hint="default" w:eastAsia="仿宋_GB2312"/>
          <w:color w:val="000000"/>
          <w:sz w:val="32"/>
        </w:rPr>
      </w:pPr>
      <w:r>
        <w:rPr>
          <w:rFonts w:hint="default" w:eastAsia="仿宋_GB2312"/>
          <w:color w:val="000000"/>
          <w:sz w:val="32"/>
        </w:rPr>
        <w:t>2.专项预算绩效情况</w:t>
      </w:r>
    </w:p>
    <w:p w14:paraId="2A434643">
      <w:pPr>
        <w:spacing w:line="576" w:lineRule="exact"/>
        <w:ind w:firstLine="640" w:firstLineChars="200"/>
        <w:rPr>
          <w:rFonts w:hint="default" w:eastAsia="仿宋_GB2312"/>
          <w:color w:val="000000"/>
          <w:sz w:val="32"/>
        </w:rPr>
      </w:pPr>
      <w:r>
        <w:rPr>
          <w:rFonts w:hint="default" w:eastAsia="仿宋_GB2312"/>
          <w:color w:val="000000"/>
          <w:sz w:val="32"/>
        </w:rPr>
        <w:t>本部门2023年无专项预算经费。</w:t>
      </w:r>
    </w:p>
    <w:p w14:paraId="6D57A833">
      <w:pPr>
        <w:spacing w:line="576" w:lineRule="exact"/>
        <w:ind w:firstLine="640" w:firstLineChars="200"/>
        <w:rPr>
          <w:rFonts w:hint="default" w:eastAsia="仿宋_GB2312"/>
          <w:color w:val="000000"/>
          <w:sz w:val="32"/>
        </w:rPr>
      </w:pPr>
      <w:r>
        <w:rPr>
          <w:rFonts w:hint="default" w:eastAsia="仿宋_GB2312"/>
          <w:color w:val="000000"/>
          <w:sz w:val="32"/>
        </w:rPr>
        <w:t>（三）绩效结果应用</w:t>
      </w:r>
    </w:p>
    <w:p w14:paraId="6A311059">
      <w:pPr>
        <w:spacing w:line="576" w:lineRule="exact"/>
        <w:ind w:firstLine="640" w:firstLineChars="200"/>
        <w:rPr>
          <w:rFonts w:hint="default" w:eastAsia="仿宋_GB2312"/>
          <w:color w:val="000000"/>
          <w:sz w:val="32"/>
        </w:rPr>
      </w:pPr>
      <w:r>
        <w:rPr>
          <w:rFonts w:hint="default" w:eastAsia="仿宋_GB2312"/>
          <w:color w:val="000000"/>
          <w:sz w:val="32"/>
        </w:rPr>
        <w:t>本部门建立了由各个相关股室参与的较为完善的预算绩效制度，同时在整体绩效运行中发现绩效设置相关问题并积极运用绩效结果调整绩效目标。</w:t>
      </w:r>
    </w:p>
    <w:p w14:paraId="12706DFA">
      <w:pPr>
        <w:spacing w:line="576" w:lineRule="exact"/>
        <w:ind w:firstLine="640" w:firstLineChars="200"/>
        <w:rPr>
          <w:rFonts w:hint="default" w:eastAsia="仿宋_GB2312"/>
          <w:color w:val="000000"/>
          <w:sz w:val="32"/>
        </w:rPr>
      </w:pPr>
      <w:r>
        <w:rPr>
          <w:rFonts w:hint="default" w:eastAsia="仿宋_GB2312"/>
          <w:color w:val="000000"/>
          <w:sz w:val="32"/>
        </w:rPr>
        <w:t>（四）自评质量</w:t>
      </w:r>
    </w:p>
    <w:p w14:paraId="20D85B42">
      <w:pPr>
        <w:spacing w:line="576" w:lineRule="exact"/>
        <w:ind w:firstLine="640" w:firstLineChars="200"/>
        <w:rPr>
          <w:rFonts w:hint="default" w:eastAsia="仿宋_GB2312"/>
          <w:color w:val="000000"/>
          <w:sz w:val="32"/>
        </w:rPr>
      </w:pPr>
      <w:r>
        <w:rPr>
          <w:rFonts w:hint="default" w:eastAsia="仿宋_GB2312"/>
          <w:color w:val="000000"/>
          <w:sz w:val="32"/>
        </w:rPr>
        <w:t>本部门严格按照自评模板及评价指标体系开展了绩效自评并撰写报告，实现了自评全覆盖，自评报告部门（表）相关定量描述均有佐证支撑。整体支出自评准确率达到100%。自评综合得分99分。</w:t>
      </w:r>
    </w:p>
    <w:p w14:paraId="1FEA36B5">
      <w:pPr>
        <w:spacing w:line="576" w:lineRule="exact"/>
        <w:ind w:firstLine="640" w:firstLineChars="200"/>
        <w:rPr>
          <w:rFonts w:hint="default" w:eastAsia="仿宋_GB2312"/>
          <w:color w:val="000000"/>
          <w:sz w:val="32"/>
        </w:rPr>
      </w:pPr>
      <w:r>
        <w:rPr>
          <w:rFonts w:hint="default" w:eastAsia="仿宋_GB2312"/>
          <w:color w:val="000000"/>
          <w:sz w:val="32"/>
        </w:rPr>
        <w:t>（五）本部门为2023年识独立预算一级预算单位，不涉及2022年度绩效管理等相关问题。</w:t>
      </w:r>
    </w:p>
    <w:p w14:paraId="69997B23">
      <w:pPr>
        <w:spacing w:line="576" w:lineRule="exact"/>
        <w:ind w:firstLine="640" w:firstLineChars="200"/>
        <w:rPr>
          <w:rFonts w:hint="default" w:eastAsia="黑体"/>
          <w:color w:val="000000"/>
          <w:sz w:val="32"/>
        </w:rPr>
      </w:pPr>
      <w:r>
        <w:rPr>
          <w:rFonts w:hint="default" w:eastAsia="黑体"/>
          <w:color w:val="000000"/>
          <w:sz w:val="32"/>
        </w:rPr>
        <w:t>四、存在的问题及建议（措施）</w:t>
      </w:r>
    </w:p>
    <w:p w14:paraId="156AB2CA">
      <w:pPr>
        <w:spacing w:line="576" w:lineRule="exact"/>
        <w:ind w:firstLine="640" w:firstLineChars="200"/>
        <w:rPr>
          <w:rFonts w:hint="default" w:eastAsia="仿宋_GB2312"/>
          <w:color w:val="000000"/>
          <w:sz w:val="32"/>
        </w:rPr>
      </w:pPr>
      <w:r>
        <w:rPr>
          <w:rFonts w:hint="default" w:eastAsia="仿宋_GB2312"/>
          <w:color w:val="000000"/>
          <w:sz w:val="32"/>
        </w:rPr>
        <w:t>（一）存在问题</w:t>
      </w:r>
    </w:p>
    <w:p w14:paraId="0E54CAF1">
      <w:pPr>
        <w:spacing w:line="576" w:lineRule="exact"/>
        <w:ind w:firstLine="640" w:firstLineChars="200"/>
        <w:rPr>
          <w:rFonts w:hint="default" w:eastAsia="仿宋_GB2312"/>
          <w:color w:val="000000"/>
          <w:sz w:val="32"/>
        </w:rPr>
      </w:pPr>
      <w:r>
        <w:rPr>
          <w:rFonts w:hint="default" w:eastAsia="仿宋_GB2312"/>
          <w:color w:val="000000"/>
          <w:sz w:val="32"/>
        </w:rPr>
        <w:t>1.预算编制精确度有待提高。</w:t>
      </w:r>
    </w:p>
    <w:p w14:paraId="2DDE9D85">
      <w:pPr>
        <w:spacing w:line="576" w:lineRule="exact"/>
        <w:ind w:firstLine="640" w:firstLineChars="200"/>
        <w:rPr>
          <w:rFonts w:hint="default" w:eastAsia="仿宋_GB2312"/>
          <w:color w:val="000000"/>
          <w:sz w:val="32"/>
        </w:rPr>
      </w:pPr>
      <w:r>
        <w:rPr>
          <w:rFonts w:hint="default" w:eastAsia="仿宋_GB2312"/>
          <w:color w:val="000000"/>
          <w:sz w:val="32"/>
        </w:rPr>
        <w:t>2.个别项目预算执行进度较慢。</w:t>
      </w:r>
    </w:p>
    <w:p w14:paraId="113A1096">
      <w:pPr>
        <w:spacing w:line="576" w:lineRule="exact"/>
        <w:ind w:firstLine="640" w:firstLineChars="200"/>
        <w:rPr>
          <w:rFonts w:hint="default" w:eastAsia="仿宋_GB2312"/>
          <w:color w:val="000000"/>
          <w:sz w:val="32"/>
        </w:rPr>
      </w:pPr>
      <w:r>
        <w:rPr>
          <w:rFonts w:hint="default" w:eastAsia="仿宋_GB2312"/>
          <w:color w:val="000000"/>
          <w:sz w:val="32"/>
        </w:rPr>
        <w:t>（二）改进建议（措施）</w:t>
      </w:r>
    </w:p>
    <w:p w14:paraId="1A3E2D7A">
      <w:pPr>
        <w:spacing w:line="576" w:lineRule="exact"/>
        <w:ind w:firstLine="640" w:firstLineChars="200"/>
        <w:rPr>
          <w:rFonts w:hint="default" w:eastAsia="仿宋_GB2312"/>
          <w:color w:val="000000"/>
          <w:sz w:val="32"/>
        </w:rPr>
      </w:pPr>
      <w:r>
        <w:rPr>
          <w:rFonts w:hint="default" w:eastAsia="仿宋_GB2312"/>
          <w:color w:val="000000"/>
          <w:sz w:val="32"/>
        </w:rPr>
        <w:t>1.提高预算编制精确度。</w:t>
      </w:r>
    </w:p>
    <w:p w14:paraId="0D10D66B">
      <w:pPr>
        <w:spacing w:line="576" w:lineRule="exact"/>
        <w:ind w:firstLine="640" w:firstLineChars="200"/>
        <w:rPr>
          <w:rFonts w:hint="default" w:eastAsia="仿宋_GB2312"/>
          <w:color w:val="000000"/>
          <w:sz w:val="32"/>
        </w:rPr>
      </w:pPr>
      <w:r>
        <w:rPr>
          <w:rFonts w:hint="default" w:eastAsia="仿宋_GB2312"/>
          <w:color w:val="000000"/>
          <w:sz w:val="32"/>
        </w:rPr>
        <w:t>2.财政加快资金拨付，确保每个项目资金拨付及时率。</w:t>
      </w:r>
    </w:p>
    <w:p w14:paraId="3DD2B850">
      <w:pPr>
        <w:spacing w:line="576" w:lineRule="exact"/>
        <w:ind w:firstLine="640" w:firstLineChars="200"/>
        <w:rPr>
          <w:rFonts w:hint="default" w:eastAsia="仿宋_GB2312"/>
          <w:color w:val="000000"/>
          <w:sz w:val="32"/>
        </w:rPr>
      </w:pPr>
    </w:p>
    <w:p w14:paraId="128CD21F">
      <w:pPr>
        <w:spacing w:line="576" w:lineRule="exact"/>
        <w:ind w:firstLine="640" w:firstLineChars="200"/>
        <w:rPr>
          <w:rFonts w:hint="default" w:eastAsia="仿宋_GB2312"/>
          <w:color w:val="000000"/>
          <w:sz w:val="32"/>
        </w:rPr>
      </w:pPr>
      <w:r>
        <w:rPr>
          <w:rFonts w:hint="default" w:eastAsia="仿宋_GB2312"/>
          <w:color w:val="000000"/>
          <w:sz w:val="32"/>
        </w:rPr>
        <w:t>附表：部门预算项目支出绩效自评表（2023年度）</w:t>
      </w:r>
    </w:p>
    <w:p w14:paraId="03AAA426">
      <w:pPr>
        <w:pStyle w:val="6"/>
        <w:spacing w:before="72"/>
        <w:ind w:firstLine="320"/>
        <w:rPr>
          <w:rFonts w:hint="default" w:eastAsia="仿宋_GB2312"/>
          <w:kern w:val="2"/>
          <w:sz w:val="32"/>
        </w:rPr>
      </w:pPr>
    </w:p>
    <w:p w14:paraId="42805727">
      <w:pPr>
        <w:pStyle w:val="7"/>
        <w:rPr>
          <w:rFonts w:hint="default" w:eastAsia="仿宋_GB2312"/>
          <w:kern w:val="2"/>
          <w:sz w:val="32"/>
          <w:szCs w:val="24"/>
        </w:rPr>
      </w:pPr>
    </w:p>
    <w:p w14:paraId="1BDDABDD">
      <w:pPr>
        <w:pStyle w:val="8"/>
        <w:rPr>
          <w:rFonts w:hint="default" w:eastAsia="仿宋_GB2312"/>
          <w:kern w:val="2"/>
          <w:sz w:val="32"/>
        </w:rPr>
      </w:pPr>
    </w:p>
    <w:p w14:paraId="72CD5358">
      <w:pPr>
        <w:pStyle w:val="8"/>
        <w:rPr>
          <w:rFonts w:hint="default" w:eastAsia="仿宋_GB2312"/>
          <w:kern w:val="2"/>
          <w:sz w:val="32"/>
        </w:rPr>
      </w:pPr>
    </w:p>
    <w:p w14:paraId="4DEC3BDF">
      <w:pPr>
        <w:pStyle w:val="8"/>
        <w:rPr>
          <w:rFonts w:hint="default" w:eastAsia="仿宋_GB2312"/>
          <w:kern w:val="2"/>
          <w:sz w:val="32"/>
        </w:rPr>
      </w:pPr>
    </w:p>
    <w:p w14:paraId="7FBB78D7">
      <w:pPr>
        <w:pStyle w:val="8"/>
        <w:rPr>
          <w:rFonts w:hint="default" w:eastAsia="仿宋_GB2312"/>
          <w:kern w:val="2"/>
          <w:sz w:val="32"/>
        </w:rPr>
      </w:pPr>
    </w:p>
    <w:p w14:paraId="7F90B1E0">
      <w:pPr>
        <w:pStyle w:val="8"/>
        <w:rPr>
          <w:rFonts w:hint="default" w:eastAsia="仿宋_GB2312"/>
          <w:kern w:val="2"/>
          <w:sz w:val="32"/>
        </w:rPr>
      </w:pPr>
    </w:p>
    <w:p w14:paraId="4FC93403">
      <w:pPr>
        <w:pStyle w:val="8"/>
        <w:rPr>
          <w:rFonts w:hint="default" w:eastAsia="仿宋_GB2312"/>
          <w:kern w:val="2"/>
          <w:sz w:val="32"/>
        </w:rPr>
      </w:pPr>
    </w:p>
    <w:p w14:paraId="4452C22A">
      <w:pPr>
        <w:pStyle w:val="7"/>
        <w:rPr>
          <w:rFonts w:hint="default"/>
        </w:rPr>
      </w:pPr>
    </w:p>
    <w:tbl>
      <w:tblPr>
        <w:tblStyle w:val="14"/>
        <w:tblW w:w="9852" w:type="dxa"/>
        <w:jc w:val="center"/>
        <w:tblLayout w:type="autofit"/>
        <w:tblCellMar>
          <w:top w:w="0" w:type="dxa"/>
          <w:left w:w="108" w:type="dxa"/>
          <w:bottom w:w="0" w:type="dxa"/>
          <w:right w:w="108" w:type="dxa"/>
        </w:tblCellMar>
      </w:tblPr>
      <w:tblGrid>
        <w:gridCol w:w="764"/>
        <w:gridCol w:w="852"/>
        <w:gridCol w:w="1128"/>
        <w:gridCol w:w="1139"/>
        <w:gridCol w:w="2037"/>
        <w:gridCol w:w="1379"/>
        <w:gridCol w:w="1320"/>
        <w:gridCol w:w="1233"/>
      </w:tblGrid>
      <w:tr w14:paraId="0CDD154B">
        <w:tblPrEx>
          <w:tblCellMar>
            <w:top w:w="0" w:type="dxa"/>
            <w:left w:w="108" w:type="dxa"/>
            <w:bottom w:w="0" w:type="dxa"/>
            <w:right w:w="108" w:type="dxa"/>
          </w:tblCellMar>
        </w:tblPrEx>
        <w:trPr>
          <w:trHeight w:val="600" w:hRule="atLeast"/>
          <w:jc w:val="center"/>
        </w:trPr>
        <w:tc>
          <w:tcPr>
            <w:tcW w:w="9856" w:type="dxa"/>
            <w:gridSpan w:val="8"/>
            <w:tcBorders>
              <w:top w:val="nil"/>
              <w:left w:val="nil"/>
              <w:bottom w:val="nil"/>
              <w:right w:val="nil"/>
            </w:tcBorders>
            <w:vAlign w:val="center"/>
          </w:tcPr>
          <w:p w14:paraId="65DFE779">
            <w:pPr>
              <w:widowControl/>
              <w:jc w:val="center"/>
              <w:textAlignment w:val="center"/>
              <w:rPr>
                <w:rFonts w:hint="default" w:eastAsia="方正小标宋简体"/>
                <w:color w:val="000000"/>
                <w:sz w:val="36"/>
                <w:szCs w:val="36"/>
              </w:rPr>
            </w:pPr>
            <w:r>
              <w:rPr>
                <w:rFonts w:hint="default" w:eastAsia="方正小标宋简体"/>
                <w:color w:val="000000"/>
                <w:sz w:val="36"/>
                <w:szCs w:val="36"/>
              </w:rPr>
              <w:t>广元市昭化区财政项目（政策）支出绩效自评表</w:t>
            </w:r>
          </w:p>
        </w:tc>
      </w:tr>
      <w:tr w14:paraId="107B20E8">
        <w:tblPrEx>
          <w:tblCellMar>
            <w:top w:w="0" w:type="dxa"/>
            <w:left w:w="108" w:type="dxa"/>
            <w:bottom w:w="0" w:type="dxa"/>
            <w:right w:w="108" w:type="dxa"/>
          </w:tblCellMar>
        </w:tblPrEx>
        <w:trPr>
          <w:trHeight w:val="460" w:hRule="atLeast"/>
          <w:jc w:val="center"/>
        </w:trPr>
        <w:tc>
          <w:tcPr>
            <w:tcW w:w="9856" w:type="dxa"/>
            <w:gridSpan w:val="8"/>
            <w:tcBorders>
              <w:top w:val="nil"/>
              <w:left w:val="nil"/>
              <w:bottom w:val="nil"/>
              <w:right w:val="nil"/>
            </w:tcBorders>
          </w:tcPr>
          <w:p w14:paraId="3A0BF236">
            <w:pPr>
              <w:widowControl/>
              <w:jc w:val="center"/>
              <w:textAlignment w:val="top"/>
              <w:rPr>
                <w:rFonts w:hint="default"/>
                <w:b/>
                <w:bCs/>
                <w:color w:val="000000"/>
              </w:rPr>
            </w:pPr>
            <w:r>
              <w:rPr>
                <w:rFonts w:hint="default"/>
                <w:b/>
                <w:bCs/>
                <w:color w:val="000000"/>
              </w:rPr>
              <w:t>（2023年度）</w:t>
            </w:r>
          </w:p>
        </w:tc>
      </w:tr>
      <w:tr w14:paraId="7FAD753B">
        <w:tblPrEx>
          <w:tblCellMar>
            <w:top w:w="0" w:type="dxa"/>
            <w:left w:w="108" w:type="dxa"/>
            <w:bottom w:w="0" w:type="dxa"/>
            <w:right w:w="108" w:type="dxa"/>
          </w:tblCellMar>
        </w:tblPrEx>
        <w:trPr>
          <w:trHeight w:val="440" w:hRule="atLeast"/>
          <w:jc w:val="center"/>
        </w:trPr>
        <w:tc>
          <w:tcPr>
            <w:tcW w:w="1616" w:type="dxa"/>
            <w:gridSpan w:val="2"/>
            <w:tcBorders>
              <w:top w:val="single" w:color="000000" w:sz="4" w:space="0"/>
              <w:left w:val="single" w:color="000000" w:sz="4" w:space="0"/>
              <w:bottom w:val="single" w:color="000000" w:sz="4" w:space="0"/>
              <w:right w:val="single" w:color="000000" w:sz="4" w:space="0"/>
            </w:tcBorders>
            <w:vAlign w:val="center"/>
          </w:tcPr>
          <w:p w14:paraId="02647839">
            <w:pPr>
              <w:widowControl/>
              <w:jc w:val="center"/>
              <w:textAlignment w:val="center"/>
              <w:rPr>
                <w:rFonts w:hint="default"/>
                <w:color w:val="000000"/>
                <w:sz w:val="18"/>
                <w:szCs w:val="18"/>
              </w:rPr>
            </w:pPr>
            <w:r>
              <w:rPr>
                <w:rFonts w:hint="default"/>
                <w:color w:val="000000"/>
                <w:sz w:val="18"/>
                <w:szCs w:val="18"/>
              </w:rPr>
              <w:t>项目（政策）名称</w:t>
            </w:r>
          </w:p>
        </w:tc>
        <w:tc>
          <w:tcPr>
            <w:tcW w:w="8240" w:type="dxa"/>
            <w:gridSpan w:val="6"/>
            <w:tcBorders>
              <w:top w:val="single" w:color="000000" w:sz="4" w:space="0"/>
              <w:left w:val="single" w:color="000000" w:sz="4" w:space="0"/>
              <w:bottom w:val="single" w:color="000000" w:sz="4" w:space="0"/>
              <w:right w:val="single" w:color="000000" w:sz="4" w:space="0"/>
            </w:tcBorders>
            <w:vAlign w:val="center"/>
          </w:tcPr>
          <w:p w14:paraId="6A5AD58A">
            <w:pPr>
              <w:widowControl/>
              <w:jc w:val="center"/>
              <w:textAlignment w:val="center"/>
              <w:rPr>
                <w:rFonts w:hint="default"/>
                <w:color w:val="000000"/>
                <w:sz w:val="18"/>
                <w:szCs w:val="18"/>
              </w:rPr>
            </w:pPr>
            <w:r>
              <w:rPr>
                <w:rFonts w:hint="default"/>
                <w:color w:val="000000"/>
                <w:sz w:val="18"/>
                <w:szCs w:val="18"/>
              </w:rPr>
              <w:t>招商引资工作经费</w:t>
            </w:r>
          </w:p>
        </w:tc>
      </w:tr>
      <w:tr w14:paraId="04294B7A">
        <w:tblPrEx>
          <w:tblCellMar>
            <w:top w:w="0" w:type="dxa"/>
            <w:left w:w="108" w:type="dxa"/>
            <w:bottom w:w="0" w:type="dxa"/>
            <w:right w:w="108" w:type="dxa"/>
          </w:tblCellMar>
        </w:tblPrEx>
        <w:trPr>
          <w:trHeight w:val="360" w:hRule="atLeast"/>
          <w:jc w:val="center"/>
        </w:trPr>
        <w:tc>
          <w:tcPr>
            <w:tcW w:w="1616" w:type="dxa"/>
            <w:gridSpan w:val="2"/>
            <w:tcBorders>
              <w:top w:val="single" w:color="000000" w:sz="4" w:space="0"/>
              <w:left w:val="single" w:color="000000" w:sz="4" w:space="0"/>
              <w:bottom w:val="single" w:color="000000" w:sz="4" w:space="0"/>
              <w:right w:val="single" w:color="000000" w:sz="4" w:space="0"/>
            </w:tcBorders>
            <w:vAlign w:val="center"/>
          </w:tcPr>
          <w:p w14:paraId="08E97F1D">
            <w:pPr>
              <w:widowControl/>
              <w:jc w:val="center"/>
              <w:textAlignment w:val="center"/>
              <w:rPr>
                <w:rFonts w:hint="default"/>
                <w:color w:val="000000"/>
                <w:sz w:val="18"/>
                <w:szCs w:val="18"/>
              </w:rPr>
            </w:pPr>
            <w:r>
              <w:rPr>
                <w:rFonts w:hint="default"/>
                <w:color w:val="000000"/>
                <w:sz w:val="18"/>
                <w:szCs w:val="18"/>
              </w:rPr>
              <w:t>主管部门</w:t>
            </w:r>
          </w:p>
        </w:tc>
        <w:tc>
          <w:tcPr>
            <w:tcW w:w="4307" w:type="dxa"/>
            <w:gridSpan w:val="3"/>
            <w:tcBorders>
              <w:top w:val="single" w:color="000000" w:sz="4" w:space="0"/>
              <w:left w:val="single" w:color="000000" w:sz="4" w:space="0"/>
              <w:bottom w:val="single" w:color="000000" w:sz="4" w:space="0"/>
              <w:right w:val="single" w:color="000000" w:sz="4" w:space="0"/>
            </w:tcBorders>
            <w:vAlign w:val="center"/>
          </w:tcPr>
          <w:p w14:paraId="0A553490">
            <w:pPr>
              <w:widowControl/>
              <w:jc w:val="center"/>
              <w:textAlignment w:val="center"/>
              <w:rPr>
                <w:rFonts w:hint="default"/>
                <w:color w:val="000000"/>
                <w:sz w:val="18"/>
                <w:szCs w:val="18"/>
              </w:rPr>
            </w:pPr>
            <w:r>
              <w:rPr>
                <w:rFonts w:hint="default"/>
                <w:color w:val="000000"/>
                <w:sz w:val="18"/>
                <w:szCs w:val="18"/>
              </w:rPr>
              <w:t>区经济合作和外事中心</w:t>
            </w:r>
          </w:p>
        </w:tc>
        <w:tc>
          <w:tcPr>
            <w:tcW w:w="1380" w:type="dxa"/>
            <w:tcBorders>
              <w:top w:val="single" w:color="000000" w:sz="4" w:space="0"/>
              <w:left w:val="single" w:color="000000" w:sz="4" w:space="0"/>
              <w:bottom w:val="single" w:color="000000" w:sz="4" w:space="0"/>
              <w:right w:val="single" w:color="000000" w:sz="4" w:space="0"/>
            </w:tcBorders>
            <w:vAlign w:val="center"/>
          </w:tcPr>
          <w:p w14:paraId="23E4C342">
            <w:pPr>
              <w:widowControl/>
              <w:jc w:val="center"/>
              <w:textAlignment w:val="center"/>
              <w:rPr>
                <w:rFonts w:hint="default"/>
                <w:color w:val="000000"/>
                <w:sz w:val="18"/>
                <w:szCs w:val="18"/>
              </w:rPr>
            </w:pPr>
            <w:r>
              <w:rPr>
                <w:rFonts w:hint="default"/>
                <w:color w:val="000000"/>
                <w:sz w:val="18"/>
                <w:szCs w:val="18"/>
              </w:rPr>
              <w:t>实施单位</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500F656">
            <w:pPr>
              <w:widowControl/>
              <w:jc w:val="center"/>
              <w:textAlignment w:val="center"/>
              <w:rPr>
                <w:rFonts w:hint="default"/>
                <w:color w:val="000000"/>
                <w:sz w:val="18"/>
                <w:szCs w:val="18"/>
              </w:rPr>
            </w:pPr>
            <w:r>
              <w:rPr>
                <w:rFonts w:hint="default"/>
                <w:color w:val="000000"/>
                <w:sz w:val="18"/>
                <w:szCs w:val="18"/>
              </w:rPr>
              <w:t>区经济合作和外事中心</w:t>
            </w:r>
          </w:p>
        </w:tc>
      </w:tr>
      <w:tr w14:paraId="098963B5">
        <w:tblPrEx>
          <w:tblCellMar>
            <w:top w:w="0" w:type="dxa"/>
            <w:left w:w="108" w:type="dxa"/>
            <w:bottom w:w="0" w:type="dxa"/>
            <w:right w:w="108" w:type="dxa"/>
          </w:tblCellMar>
        </w:tblPrEx>
        <w:trPr>
          <w:trHeight w:val="360" w:hRule="atLeast"/>
          <w:jc w:val="center"/>
        </w:trPr>
        <w:tc>
          <w:tcPr>
            <w:tcW w:w="1616" w:type="dxa"/>
            <w:gridSpan w:val="2"/>
            <w:vMerge w:val="restart"/>
            <w:tcBorders>
              <w:top w:val="single" w:color="000000" w:sz="4" w:space="0"/>
              <w:left w:val="single" w:color="000000" w:sz="4" w:space="0"/>
              <w:bottom w:val="nil"/>
              <w:right w:val="single" w:color="000000" w:sz="4" w:space="0"/>
            </w:tcBorders>
            <w:vAlign w:val="center"/>
          </w:tcPr>
          <w:p w14:paraId="532C5F04">
            <w:pPr>
              <w:widowControl/>
              <w:jc w:val="center"/>
              <w:textAlignment w:val="center"/>
              <w:rPr>
                <w:rFonts w:hint="default"/>
                <w:color w:val="000000"/>
                <w:sz w:val="18"/>
                <w:szCs w:val="18"/>
              </w:rPr>
            </w:pPr>
            <w:r>
              <w:rPr>
                <w:rFonts w:hint="default"/>
                <w:color w:val="000000"/>
                <w:sz w:val="18"/>
                <w:szCs w:val="18"/>
              </w:rPr>
              <w:t>项目（政策）资金（万元）</w:t>
            </w:r>
          </w:p>
        </w:tc>
        <w:tc>
          <w:tcPr>
            <w:tcW w:w="2269" w:type="dxa"/>
            <w:gridSpan w:val="2"/>
            <w:tcBorders>
              <w:top w:val="nil"/>
              <w:left w:val="single" w:color="000000" w:sz="4" w:space="0"/>
              <w:bottom w:val="single" w:color="000000" w:sz="4" w:space="0"/>
              <w:right w:val="single" w:color="000000" w:sz="4" w:space="0"/>
            </w:tcBorders>
            <w:vAlign w:val="center"/>
          </w:tcPr>
          <w:p w14:paraId="759AA98A">
            <w:pPr>
              <w:widowControl/>
              <w:jc w:val="center"/>
              <w:textAlignment w:val="center"/>
              <w:rPr>
                <w:rFonts w:hint="default"/>
                <w:color w:val="000000"/>
                <w:sz w:val="18"/>
                <w:szCs w:val="18"/>
              </w:rPr>
            </w:pPr>
            <w:r>
              <w:rPr>
                <w:rFonts w:hint="default"/>
                <w:color w:val="000000"/>
                <w:sz w:val="18"/>
                <w:szCs w:val="18"/>
              </w:rPr>
              <w:t>年度预算数（万元）</w:t>
            </w:r>
          </w:p>
        </w:tc>
        <w:tc>
          <w:tcPr>
            <w:tcW w:w="2038" w:type="dxa"/>
            <w:tcBorders>
              <w:top w:val="nil"/>
              <w:left w:val="single" w:color="000000" w:sz="4" w:space="0"/>
              <w:bottom w:val="single" w:color="000000" w:sz="4" w:space="0"/>
              <w:right w:val="single" w:color="000000" w:sz="4" w:space="0"/>
            </w:tcBorders>
            <w:vAlign w:val="center"/>
          </w:tcPr>
          <w:p w14:paraId="49298BB6">
            <w:pPr>
              <w:widowControl/>
              <w:jc w:val="center"/>
              <w:textAlignment w:val="center"/>
              <w:rPr>
                <w:rFonts w:hint="default"/>
                <w:color w:val="000000"/>
                <w:sz w:val="18"/>
                <w:szCs w:val="18"/>
              </w:rPr>
            </w:pPr>
            <w:r>
              <w:rPr>
                <w:rFonts w:hint="default"/>
                <w:color w:val="000000"/>
                <w:sz w:val="18"/>
                <w:szCs w:val="18"/>
              </w:rPr>
              <w:t>年初预算数</w:t>
            </w:r>
          </w:p>
        </w:tc>
        <w:tc>
          <w:tcPr>
            <w:tcW w:w="1380" w:type="dxa"/>
            <w:tcBorders>
              <w:top w:val="nil"/>
              <w:left w:val="single" w:color="000000" w:sz="4" w:space="0"/>
              <w:bottom w:val="single" w:color="000000" w:sz="4" w:space="0"/>
              <w:right w:val="single" w:color="000000" w:sz="4" w:space="0"/>
            </w:tcBorders>
            <w:vAlign w:val="center"/>
          </w:tcPr>
          <w:p w14:paraId="7748CD07">
            <w:pPr>
              <w:widowControl/>
              <w:jc w:val="center"/>
              <w:textAlignment w:val="center"/>
              <w:rPr>
                <w:rFonts w:hint="default"/>
                <w:color w:val="000000"/>
                <w:sz w:val="18"/>
                <w:szCs w:val="18"/>
              </w:rPr>
            </w:pPr>
            <w:r>
              <w:rPr>
                <w:rFonts w:hint="default"/>
                <w:color w:val="000000"/>
                <w:sz w:val="18"/>
                <w:szCs w:val="18"/>
              </w:rPr>
              <w:t>全年预算数</w:t>
            </w:r>
          </w:p>
        </w:tc>
        <w:tc>
          <w:tcPr>
            <w:tcW w:w="1320" w:type="dxa"/>
            <w:tcBorders>
              <w:top w:val="nil"/>
              <w:left w:val="single" w:color="000000" w:sz="4" w:space="0"/>
              <w:bottom w:val="single" w:color="000000" w:sz="4" w:space="0"/>
              <w:right w:val="single" w:color="000000" w:sz="4" w:space="0"/>
            </w:tcBorders>
            <w:vAlign w:val="center"/>
          </w:tcPr>
          <w:p w14:paraId="3C562FDE">
            <w:pPr>
              <w:widowControl/>
              <w:jc w:val="center"/>
              <w:textAlignment w:val="center"/>
              <w:rPr>
                <w:rFonts w:hint="default"/>
                <w:color w:val="000000"/>
                <w:sz w:val="18"/>
                <w:szCs w:val="18"/>
              </w:rPr>
            </w:pPr>
            <w:r>
              <w:rPr>
                <w:rFonts w:hint="default"/>
                <w:color w:val="000000"/>
                <w:sz w:val="18"/>
                <w:szCs w:val="18"/>
              </w:rPr>
              <w:t>全年执行数</w:t>
            </w:r>
          </w:p>
        </w:tc>
        <w:tc>
          <w:tcPr>
            <w:tcW w:w="1233" w:type="dxa"/>
            <w:tcBorders>
              <w:top w:val="nil"/>
              <w:left w:val="single" w:color="000000" w:sz="4" w:space="0"/>
              <w:bottom w:val="single" w:color="000000" w:sz="4" w:space="0"/>
              <w:right w:val="single" w:color="000000" w:sz="4" w:space="0"/>
            </w:tcBorders>
            <w:vAlign w:val="center"/>
          </w:tcPr>
          <w:p w14:paraId="77BA19D1">
            <w:pPr>
              <w:widowControl/>
              <w:jc w:val="center"/>
              <w:textAlignment w:val="center"/>
              <w:rPr>
                <w:rFonts w:hint="default"/>
                <w:color w:val="000000"/>
                <w:sz w:val="18"/>
                <w:szCs w:val="18"/>
              </w:rPr>
            </w:pPr>
            <w:r>
              <w:rPr>
                <w:rFonts w:hint="default"/>
                <w:color w:val="000000"/>
                <w:sz w:val="18"/>
                <w:szCs w:val="18"/>
              </w:rPr>
              <w:t>执行率</w:t>
            </w:r>
          </w:p>
        </w:tc>
      </w:tr>
      <w:tr w14:paraId="0CB8F2F7">
        <w:tblPrEx>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cBorders>
            <w:vAlign w:val="center"/>
          </w:tcPr>
          <w:p w14:paraId="325A95A2">
            <w:pPr>
              <w:jc w:val="center"/>
              <w:rPr>
                <w:rFonts w:hint="default"/>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14:paraId="4CFD5858">
            <w:pPr>
              <w:widowControl/>
              <w:jc w:val="center"/>
              <w:textAlignment w:val="center"/>
              <w:rPr>
                <w:rFonts w:hint="default"/>
                <w:color w:val="000000"/>
                <w:sz w:val="18"/>
                <w:szCs w:val="18"/>
              </w:rPr>
            </w:pPr>
            <w:r>
              <w:rPr>
                <w:rFonts w:hint="default"/>
                <w:color w:val="000000"/>
                <w:sz w:val="18"/>
                <w:szCs w:val="18"/>
              </w:rPr>
              <w:t>年度资金总额</w:t>
            </w:r>
          </w:p>
        </w:tc>
        <w:tc>
          <w:tcPr>
            <w:tcW w:w="2038" w:type="dxa"/>
            <w:tcBorders>
              <w:top w:val="single" w:color="000000" w:sz="4" w:space="0"/>
              <w:left w:val="single" w:color="000000" w:sz="4" w:space="0"/>
              <w:bottom w:val="single" w:color="000000" w:sz="4" w:space="0"/>
              <w:right w:val="single" w:color="000000" w:sz="4" w:space="0"/>
            </w:tcBorders>
            <w:vAlign w:val="center"/>
          </w:tcPr>
          <w:p w14:paraId="4F062023">
            <w:pPr>
              <w:widowControl/>
              <w:jc w:val="center"/>
              <w:textAlignment w:val="center"/>
              <w:rPr>
                <w:rFonts w:hint="default"/>
                <w:color w:val="000000"/>
                <w:sz w:val="18"/>
                <w:szCs w:val="18"/>
              </w:rPr>
            </w:pPr>
            <w:r>
              <w:rPr>
                <w:rFonts w:hint="default"/>
                <w:color w:val="000000"/>
                <w:sz w:val="18"/>
                <w:szCs w:val="18"/>
              </w:rPr>
              <w:t>30</w:t>
            </w:r>
          </w:p>
        </w:tc>
        <w:tc>
          <w:tcPr>
            <w:tcW w:w="1380" w:type="dxa"/>
            <w:tcBorders>
              <w:top w:val="single" w:color="000000" w:sz="4" w:space="0"/>
              <w:left w:val="single" w:color="000000" w:sz="4" w:space="0"/>
              <w:bottom w:val="single" w:color="000000" w:sz="4" w:space="0"/>
              <w:right w:val="single" w:color="000000" w:sz="4" w:space="0"/>
            </w:tcBorders>
            <w:vAlign w:val="center"/>
          </w:tcPr>
          <w:p w14:paraId="7D198825">
            <w:pPr>
              <w:widowControl/>
              <w:jc w:val="center"/>
              <w:textAlignment w:val="center"/>
              <w:rPr>
                <w:rFonts w:hint="default"/>
                <w:color w:val="000000"/>
                <w:sz w:val="18"/>
                <w:szCs w:val="18"/>
              </w:rPr>
            </w:pPr>
            <w:r>
              <w:rPr>
                <w:rFonts w:hint="default"/>
                <w:color w:val="000000"/>
                <w:sz w:val="18"/>
                <w:szCs w:val="18"/>
              </w:rPr>
              <w:t>53</w:t>
            </w:r>
          </w:p>
        </w:tc>
        <w:tc>
          <w:tcPr>
            <w:tcW w:w="1320" w:type="dxa"/>
            <w:tcBorders>
              <w:top w:val="single" w:color="000000" w:sz="4" w:space="0"/>
              <w:left w:val="single" w:color="000000" w:sz="4" w:space="0"/>
              <w:bottom w:val="single" w:color="000000" w:sz="4" w:space="0"/>
              <w:right w:val="single" w:color="000000" w:sz="4" w:space="0"/>
            </w:tcBorders>
            <w:vAlign w:val="center"/>
          </w:tcPr>
          <w:p w14:paraId="5044593A">
            <w:pPr>
              <w:widowControl/>
              <w:jc w:val="center"/>
              <w:textAlignment w:val="center"/>
              <w:rPr>
                <w:rFonts w:hint="default"/>
                <w:color w:val="000000"/>
                <w:sz w:val="18"/>
                <w:szCs w:val="18"/>
              </w:rPr>
            </w:pPr>
            <w:r>
              <w:rPr>
                <w:rFonts w:hint="default"/>
                <w:color w:val="000000"/>
                <w:sz w:val="18"/>
                <w:szCs w:val="18"/>
              </w:rPr>
              <w:t>53</w:t>
            </w:r>
          </w:p>
        </w:tc>
        <w:tc>
          <w:tcPr>
            <w:tcW w:w="1233" w:type="dxa"/>
            <w:tcBorders>
              <w:top w:val="nil"/>
              <w:left w:val="single" w:color="000000" w:sz="4" w:space="0"/>
              <w:bottom w:val="single" w:color="000000" w:sz="4" w:space="0"/>
              <w:right w:val="single" w:color="000000" w:sz="4" w:space="0"/>
            </w:tcBorders>
            <w:vAlign w:val="center"/>
          </w:tcPr>
          <w:p w14:paraId="4E851BFF">
            <w:pPr>
              <w:widowControl/>
              <w:jc w:val="center"/>
              <w:textAlignment w:val="center"/>
              <w:rPr>
                <w:rFonts w:hint="default"/>
                <w:color w:val="000000"/>
                <w:sz w:val="18"/>
                <w:szCs w:val="18"/>
              </w:rPr>
            </w:pPr>
            <w:r>
              <w:rPr>
                <w:rFonts w:hint="default"/>
                <w:color w:val="000000"/>
                <w:sz w:val="18"/>
                <w:szCs w:val="18"/>
              </w:rPr>
              <w:t>100%</w:t>
            </w:r>
          </w:p>
        </w:tc>
      </w:tr>
      <w:tr w14:paraId="6E38FEE1">
        <w:tblPrEx>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cBorders>
            <w:vAlign w:val="center"/>
          </w:tcPr>
          <w:p w14:paraId="21187CFA">
            <w:pPr>
              <w:jc w:val="center"/>
              <w:rPr>
                <w:rFonts w:hint="default"/>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14:paraId="43E6F400">
            <w:pPr>
              <w:widowControl/>
              <w:textAlignment w:val="center"/>
              <w:rPr>
                <w:rFonts w:hint="default"/>
                <w:color w:val="000000"/>
                <w:sz w:val="18"/>
                <w:szCs w:val="18"/>
              </w:rPr>
            </w:pPr>
            <w:r>
              <w:rPr>
                <w:rFonts w:hint="default"/>
                <w:color w:val="000000"/>
                <w:sz w:val="18"/>
                <w:szCs w:val="18"/>
              </w:rPr>
              <w:t>（一）财政拨款小计</w:t>
            </w:r>
          </w:p>
        </w:tc>
        <w:tc>
          <w:tcPr>
            <w:tcW w:w="2038" w:type="dxa"/>
            <w:tcBorders>
              <w:top w:val="single" w:color="000000" w:sz="4" w:space="0"/>
              <w:left w:val="single" w:color="000000" w:sz="4" w:space="0"/>
              <w:bottom w:val="single" w:color="000000" w:sz="4" w:space="0"/>
              <w:right w:val="single" w:color="000000" w:sz="4" w:space="0"/>
            </w:tcBorders>
            <w:vAlign w:val="center"/>
          </w:tcPr>
          <w:p w14:paraId="3AFD189B">
            <w:pPr>
              <w:widowControl/>
              <w:jc w:val="center"/>
              <w:textAlignment w:val="center"/>
              <w:rPr>
                <w:rFonts w:hint="default"/>
                <w:color w:val="000000"/>
                <w:sz w:val="18"/>
                <w:szCs w:val="18"/>
              </w:rPr>
            </w:pPr>
            <w:r>
              <w:rPr>
                <w:rFonts w:hint="default"/>
                <w:color w:val="000000"/>
                <w:sz w:val="18"/>
                <w:szCs w:val="18"/>
              </w:rPr>
              <w:t>30</w:t>
            </w:r>
          </w:p>
        </w:tc>
        <w:tc>
          <w:tcPr>
            <w:tcW w:w="1380" w:type="dxa"/>
            <w:tcBorders>
              <w:top w:val="single" w:color="000000" w:sz="4" w:space="0"/>
              <w:left w:val="single" w:color="000000" w:sz="4" w:space="0"/>
              <w:bottom w:val="single" w:color="000000" w:sz="4" w:space="0"/>
              <w:right w:val="single" w:color="000000" w:sz="4" w:space="0"/>
            </w:tcBorders>
            <w:vAlign w:val="center"/>
          </w:tcPr>
          <w:p w14:paraId="1676C4C3">
            <w:pPr>
              <w:widowControl/>
              <w:jc w:val="center"/>
              <w:textAlignment w:val="center"/>
              <w:rPr>
                <w:rFonts w:hint="default"/>
                <w:color w:val="000000"/>
                <w:sz w:val="18"/>
                <w:szCs w:val="18"/>
              </w:rPr>
            </w:pPr>
            <w:r>
              <w:rPr>
                <w:rFonts w:hint="default"/>
                <w:color w:val="000000"/>
                <w:sz w:val="18"/>
                <w:szCs w:val="18"/>
              </w:rPr>
              <w:t>53</w:t>
            </w:r>
          </w:p>
        </w:tc>
        <w:tc>
          <w:tcPr>
            <w:tcW w:w="1320" w:type="dxa"/>
            <w:tcBorders>
              <w:top w:val="single" w:color="000000" w:sz="4" w:space="0"/>
              <w:left w:val="single" w:color="000000" w:sz="4" w:space="0"/>
              <w:bottom w:val="single" w:color="000000" w:sz="4" w:space="0"/>
              <w:right w:val="single" w:color="000000" w:sz="4" w:space="0"/>
            </w:tcBorders>
            <w:vAlign w:val="center"/>
          </w:tcPr>
          <w:p w14:paraId="7A765BA7">
            <w:pPr>
              <w:widowControl/>
              <w:jc w:val="center"/>
              <w:textAlignment w:val="center"/>
              <w:rPr>
                <w:rFonts w:hint="default"/>
                <w:color w:val="000000"/>
                <w:sz w:val="18"/>
                <w:szCs w:val="18"/>
              </w:rPr>
            </w:pPr>
            <w:r>
              <w:rPr>
                <w:rFonts w:hint="default"/>
                <w:color w:val="000000"/>
                <w:sz w:val="18"/>
                <w:szCs w:val="18"/>
              </w:rPr>
              <w:t>53</w:t>
            </w:r>
          </w:p>
        </w:tc>
        <w:tc>
          <w:tcPr>
            <w:tcW w:w="1233" w:type="dxa"/>
            <w:tcBorders>
              <w:top w:val="single" w:color="000000" w:sz="4" w:space="0"/>
              <w:left w:val="single" w:color="000000" w:sz="4" w:space="0"/>
              <w:bottom w:val="single" w:color="000000" w:sz="4" w:space="0"/>
              <w:right w:val="single" w:color="000000" w:sz="4" w:space="0"/>
            </w:tcBorders>
            <w:vAlign w:val="center"/>
          </w:tcPr>
          <w:p w14:paraId="2849DCCB">
            <w:pPr>
              <w:widowControl/>
              <w:jc w:val="center"/>
              <w:textAlignment w:val="center"/>
              <w:rPr>
                <w:rFonts w:hint="default"/>
                <w:color w:val="000000"/>
                <w:sz w:val="18"/>
                <w:szCs w:val="18"/>
              </w:rPr>
            </w:pPr>
            <w:r>
              <w:rPr>
                <w:rFonts w:hint="default"/>
                <w:color w:val="000000"/>
                <w:sz w:val="18"/>
                <w:szCs w:val="18"/>
              </w:rPr>
              <w:t>100%</w:t>
            </w:r>
          </w:p>
        </w:tc>
      </w:tr>
      <w:tr w14:paraId="21186638">
        <w:tblPrEx>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cBorders>
            <w:vAlign w:val="center"/>
          </w:tcPr>
          <w:p w14:paraId="3BAFD419">
            <w:pPr>
              <w:jc w:val="center"/>
              <w:rPr>
                <w:rFonts w:hint="default"/>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14:paraId="200C604B">
            <w:pPr>
              <w:widowControl/>
              <w:textAlignment w:val="center"/>
              <w:rPr>
                <w:rFonts w:hint="default"/>
                <w:color w:val="000000"/>
                <w:sz w:val="18"/>
                <w:szCs w:val="18"/>
              </w:rPr>
            </w:pPr>
            <w:r>
              <w:rPr>
                <w:rFonts w:hint="default"/>
                <w:color w:val="000000"/>
                <w:sz w:val="18"/>
                <w:szCs w:val="18"/>
              </w:rPr>
              <w:t xml:space="preserve">   1.一般公共预算</w:t>
            </w:r>
          </w:p>
        </w:tc>
        <w:tc>
          <w:tcPr>
            <w:tcW w:w="2038" w:type="dxa"/>
            <w:tcBorders>
              <w:top w:val="single" w:color="000000" w:sz="4" w:space="0"/>
              <w:left w:val="single" w:color="000000" w:sz="4" w:space="0"/>
              <w:bottom w:val="single" w:color="000000" w:sz="4" w:space="0"/>
              <w:right w:val="single" w:color="000000" w:sz="4" w:space="0"/>
            </w:tcBorders>
            <w:vAlign w:val="center"/>
          </w:tcPr>
          <w:p w14:paraId="2DA21B1D">
            <w:pPr>
              <w:widowControl/>
              <w:jc w:val="center"/>
              <w:textAlignment w:val="center"/>
              <w:rPr>
                <w:rFonts w:hint="default"/>
                <w:color w:val="000000"/>
                <w:sz w:val="18"/>
                <w:szCs w:val="18"/>
              </w:rPr>
            </w:pPr>
            <w:r>
              <w:rPr>
                <w:rFonts w:hint="default"/>
                <w:color w:val="000000"/>
                <w:sz w:val="18"/>
                <w:szCs w:val="18"/>
              </w:rPr>
              <w:t>30</w:t>
            </w:r>
          </w:p>
        </w:tc>
        <w:tc>
          <w:tcPr>
            <w:tcW w:w="1380" w:type="dxa"/>
            <w:tcBorders>
              <w:top w:val="single" w:color="000000" w:sz="4" w:space="0"/>
              <w:left w:val="single" w:color="000000" w:sz="4" w:space="0"/>
              <w:bottom w:val="single" w:color="000000" w:sz="4" w:space="0"/>
              <w:right w:val="single" w:color="000000" w:sz="4" w:space="0"/>
            </w:tcBorders>
            <w:vAlign w:val="center"/>
          </w:tcPr>
          <w:p w14:paraId="394D8BD3">
            <w:pPr>
              <w:widowControl/>
              <w:jc w:val="center"/>
              <w:textAlignment w:val="center"/>
              <w:rPr>
                <w:rFonts w:hint="default"/>
                <w:color w:val="000000"/>
                <w:sz w:val="18"/>
                <w:szCs w:val="18"/>
              </w:rPr>
            </w:pPr>
            <w:r>
              <w:rPr>
                <w:rFonts w:hint="default"/>
                <w:color w:val="000000"/>
                <w:sz w:val="18"/>
                <w:szCs w:val="18"/>
              </w:rPr>
              <w:t>53</w:t>
            </w:r>
          </w:p>
        </w:tc>
        <w:tc>
          <w:tcPr>
            <w:tcW w:w="1320" w:type="dxa"/>
            <w:tcBorders>
              <w:top w:val="single" w:color="000000" w:sz="4" w:space="0"/>
              <w:left w:val="single" w:color="000000" w:sz="4" w:space="0"/>
              <w:bottom w:val="single" w:color="000000" w:sz="4" w:space="0"/>
              <w:right w:val="single" w:color="000000" w:sz="4" w:space="0"/>
            </w:tcBorders>
            <w:vAlign w:val="center"/>
          </w:tcPr>
          <w:p w14:paraId="369647A0">
            <w:pPr>
              <w:widowControl/>
              <w:jc w:val="center"/>
              <w:textAlignment w:val="center"/>
              <w:rPr>
                <w:rFonts w:hint="default"/>
                <w:color w:val="000000"/>
                <w:sz w:val="18"/>
                <w:szCs w:val="18"/>
              </w:rPr>
            </w:pPr>
            <w:r>
              <w:rPr>
                <w:rFonts w:hint="default"/>
                <w:color w:val="000000"/>
                <w:sz w:val="18"/>
                <w:szCs w:val="18"/>
              </w:rPr>
              <w:t>53</w:t>
            </w:r>
          </w:p>
        </w:tc>
        <w:tc>
          <w:tcPr>
            <w:tcW w:w="1233" w:type="dxa"/>
            <w:tcBorders>
              <w:top w:val="single" w:color="000000" w:sz="4" w:space="0"/>
              <w:left w:val="single" w:color="000000" w:sz="4" w:space="0"/>
              <w:bottom w:val="single" w:color="000000" w:sz="4" w:space="0"/>
              <w:right w:val="single" w:color="000000" w:sz="4" w:space="0"/>
            </w:tcBorders>
            <w:vAlign w:val="center"/>
          </w:tcPr>
          <w:p w14:paraId="23ECF089">
            <w:pPr>
              <w:widowControl/>
              <w:jc w:val="center"/>
              <w:textAlignment w:val="center"/>
              <w:rPr>
                <w:rFonts w:hint="default"/>
                <w:color w:val="000000"/>
                <w:sz w:val="18"/>
                <w:szCs w:val="18"/>
              </w:rPr>
            </w:pPr>
            <w:r>
              <w:rPr>
                <w:rFonts w:hint="default"/>
                <w:color w:val="000000"/>
                <w:sz w:val="18"/>
                <w:szCs w:val="18"/>
              </w:rPr>
              <w:t>100%</w:t>
            </w:r>
          </w:p>
        </w:tc>
      </w:tr>
      <w:tr w14:paraId="0F902C4B">
        <w:tblPrEx>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cBorders>
            <w:vAlign w:val="center"/>
          </w:tcPr>
          <w:p w14:paraId="1E210E5B">
            <w:pPr>
              <w:jc w:val="center"/>
              <w:rPr>
                <w:rFonts w:hint="default"/>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14:paraId="50979133">
            <w:pPr>
              <w:widowControl/>
              <w:textAlignment w:val="center"/>
              <w:rPr>
                <w:rFonts w:hint="default"/>
                <w:color w:val="000000"/>
                <w:sz w:val="18"/>
                <w:szCs w:val="18"/>
              </w:rPr>
            </w:pPr>
            <w:r>
              <w:rPr>
                <w:rFonts w:hint="default"/>
                <w:color w:val="000000"/>
                <w:sz w:val="18"/>
                <w:szCs w:val="18"/>
              </w:rPr>
              <w:t xml:space="preserve">   2.政府性基金</w:t>
            </w:r>
          </w:p>
        </w:tc>
        <w:tc>
          <w:tcPr>
            <w:tcW w:w="2038" w:type="dxa"/>
            <w:tcBorders>
              <w:top w:val="single" w:color="000000" w:sz="4" w:space="0"/>
              <w:left w:val="single" w:color="000000" w:sz="4" w:space="0"/>
              <w:bottom w:val="single" w:color="000000" w:sz="4" w:space="0"/>
              <w:right w:val="single" w:color="000000" w:sz="4" w:space="0"/>
            </w:tcBorders>
            <w:vAlign w:val="center"/>
          </w:tcPr>
          <w:p w14:paraId="0A6EDBFB">
            <w:pPr>
              <w:rPr>
                <w:rFonts w:hint="default"/>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4BBCF866">
            <w:pPr>
              <w:jc w:val="center"/>
              <w:rPr>
                <w:rFonts w:hint="default"/>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12000B3">
            <w:pPr>
              <w:jc w:val="center"/>
              <w:rPr>
                <w:rFonts w:hint="default"/>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927341B">
            <w:pPr>
              <w:jc w:val="center"/>
              <w:rPr>
                <w:rFonts w:hint="default"/>
                <w:color w:val="000000"/>
                <w:sz w:val="18"/>
                <w:szCs w:val="18"/>
              </w:rPr>
            </w:pPr>
          </w:p>
        </w:tc>
      </w:tr>
      <w:tr w14:paraId="32153957">
        <w:tblPrEx>
          <w:tblCellMar>
            <w:top w:w="0" w:type="dxa"/>
            <w:left w:w="108" w:type="dxa"/>
            <w:bottom w:w="0" w:type="dxa"/>
            <w:right w:w="108" w:type="dxa"/>
          </w:tblCellMar>
        </w:tblPrEx>
        <w:trPr>
          <w:trHeight w:val="440" w:hRule="atLeast"/>
          <w:jc w:val="center"/>
        </w:trPr>
        <w:tc>
          <w:tcPr>
            <w:tcW w:w="1616" w:type="dxa"/>
            <w:gridSpan w:val="2"/>
            <w:vMerge w:val="continue"/>
            <w:tcBorders>
              <w:top w:val="single" w:color="000000" w:sz="4" w:space="0"/>
              <w:left w:val="single" w:color="000000" w:sz="4" w:space="0"/>
              <w:bottom w:val="nil"/>
              <w:right w:val="single" w:color="000000" w:sz="4" w:space="0"/>
            </w:tcBorders>
            <w:vAlign w:val="center"/>
          </w:tcPr>
          <w:p w14:paraId="0D9399E0">
            <w:pPr>
              <w:jc w:val="center"/>
              <w:rPr>
                <w:rFonts w:hint="default"/>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14:paraId="79D9D062">
            <w:pPr>
              <w:widowControl/>
              <w:textAlignment w:val="center"/>
              <w:rPr>
                <w:rFonts w:hint="default"/>
                <w:color w:val="000000"/>
                <w:sz w:val="18"/>
                <w:szCs w:val="18"/>
              </w:rPr>
            </w:pPr>
            <w:r>
              <w:rPr>
                <w:rFonts w:hint="default"/>
                <w:color w:val="000000"/>
                <w:sz w:val="18"/>
                <w:szCs w:val="18"/>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cBorders>
            <w:vAlign w:val="center"/>
          </w:tcPr>
          <w:p w14:paraId="046BCFDA">
            <w:pPr>
              <w:rPr>
                <w:rFonts w:hint="default"/>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54AC030F">
            <w:pPr>
              <w:jc w:val="center"/>
              <w:rPr>
                <w:rFonts w:hint="default"/>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E9FD018">
            <w:pPr>
              <w:jc w:val="center"/>
              <w:rPr>
                <w:rFonts w:hint="default"/>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1CA34F9">
            <w:pPr>
              <w:jc w:val="center"/>
              <w:rPr>
                <w:rFonts w:hint="default"/>
                <w:color w:val="000000"/>
                <w:sz w:val="18"/>
                <w:szCs w:val="18"/>
              </w:rPr>
            </w:pPr>
          </w:p>
        </w:tc>
      </w:tr>
      <w:tr w14:paraId="5BFF2163">
        <w:tblPrEx>
          <w:tblCellMar>
            <w:top w:w="0" w:type="dxa"/>
            <w:left w:w="108" w:type="dxa"/>
            <w:bottom w:w="0" w:type="dxa"/>
            <w:right w:w="108" w:type="dxa"/>
          </w:tblCellMar>
        </w:tblPrEx>
        <w:trPr>
          <w:trHeight w:val="360" w:hRule="atLeast"/>
          <w:jc w:val="center"/>
        </w:trPr>
        <w:tc>
          <w:tcPr>
            <w:tcW w:w="1616" w:type="dxa"/>
            <w:gridSpan w:val="2"/>
            <w:vMerge w:val="continue"/>
            <w:tcBorders>
              <w:top w:val="single" w:color="000000" w:sz="4" w:space="0"/>
              <w:left w:val="single" w:color="000000" w:sz="4" w:space="0"/>
              <w:bottom w:val="nil"/>
              <w:right w:val="single" w:color="000000" w:sz="4" w:space="0"/>
            </w:tcBorders>
            <w:vAlign w:val="center"/>
          </w:tcPr>
          <w:p w14:paraId="1CC63F08">
            <w:pPr>
              <w:jc w:val="center"/>
              <w:rPr>
                <w:rFonts w:hint="default"/>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14:paraId="56BC7787">
            <w:pPr>
              <w:widowControl/>
              <w:textAlignment w:val="center"/>
              <w:rPr>
                <w:rFonts w:hint="default"/>
                <w:color w:val="000000"/>
                <w:sz w:val="18"/>
                <w:szCs w:val="18"/>
              </w:rPr>
            </w:pPr>
            <w:r>
              <w:rPr>
                <w:rFonts w:hint="default"/>
                <w:color w:val="000000"/>
                <w:sz w:val="18"/>
                <w:szCs w:val="18"/>
              </w:rPr>
              <w:t>（二）其他资金</w:t>
            </w:r>
          </w:p>
        </w:tc>
        <w:tc>
          <w:tcPr>
            <w:tcW w:w="2038" w:type="dxa"/>
            <w:tcBorders>
              <w:top w:val="single" w:color="000000" w:sz="4" w:space="0"/>
              <w:left w:val="single" w:color="000000" w:sz="4" w:space="0"/>
              <w:bottom w:val="single" w:color="000000" w:sz="4" w:space="0"/>
              <w:right w:val="single" w:color="000000" w:sz="4" w:space="0"/>
            </w:tcBorders>
            <w:vAlign w:val="center"/>
          </w:tcPr>
          <w:p w14:paraId="6784DB09">
            <w:pPr>
              <w:rPr>
                <w:rFonts w:hint="default"/>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1BC1C77B">
            <w:pPr>
              <w:jc w:val="center"/>
              <w:rPr>
                <w:rFonts w:hint="default"/>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AFB2474">
            <w:pPr>
              <w:jc w:val="center"/>
              <w:rPr>
                <w:rFonts w:hint="default"/>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BF4AC3C">
            <w:pPr>
              <w:jc w:val="center"/>
              <w:rPr>
                <w:rFonts w:hint="default"/>
                <w:color w:val="000000"/>
                <w:sz w:val="18"/>
                <w:szCs w:val="18"/>
              </w:rPr>
            </w:pPr>
          </w:p>
        </w:tc>
      </w:tr>
      <w:tr w14:paraId="24956BCC">
        <w:tblPrEx>
          <w:tblCellMar>
            <w:top w:w="0" w:type="dxa"/>
            <w:left w:w="108" w:type="dxa"/>
            <w:bottom w:w="0" w:type="dxa"/>
            <w:right w:w="108" w:type="dxa"/>
          </w:tblCellMar>
        </w:tblPrEx>
        <w:trPr>
          <w:trHeight w:val="440" w:hRule="atLeast"/>
          <w:jc w:val="center"/>
        </w:trPr>
        <w:tc>
          <w:tcPr>
            <w:tcW w:w="764" w:type="dxa"/>
            <w:vMerge w:val="restart"/>
            <w:tcBorders>
              <w:top w:val="single" w:color="000000" w:sz="4" w:space="0"/>
              <w:left w:val="single" w:color="000000" w:sz="4" w:space="0"/>
              <w:bottom w:val="single" w:color="000000" w:sz="4" w:space="0"/>
              <w:right w:val="single" w:color="000000" w:sz="4" w:space="0"/>
            </w:tcBorders>
            <w:vAlign w:val="center"/>
          </w:tcPr>
          <w:p w14:paraId="7A56FF64">
            <w:pPr>
              <w:widowControl/>
              <w:jc w:val="center"/>
              <w:textAlignment w:val="center"/>
              <w:rPr>
                <w:rFonts w:hint="default"/>
                <w:color w:val="000000"/>
                <w:sz w:val="18"/>
                <w:szCs w:val="18"/>
              </w:rPr>
            </w:pPr>
            <w:r>
              <w:rPr>
                <w:rFonts w:hint="default"/>
                <w:color w:val="000000"/>
                <w:sz w:val="18"/>
                <w:szCs w:val="18"/>
              </w:rPr>
              <w:t>年度总体目标</w:t>
            </w:r>
          </w:p>
        </w:tc>
        <w:tc>
          <w:tcPr>
            <w:tcW w:w="5159" w:type="dxa"/>
            <w:gridSpan w:val="4"/>
            <w:tcBorders>
              <w:top w:val="single" w:color="000000" w:sz="4" w:space="0"/>
              <w:left w:val="single" w:color="000000" w:sz="4" w:space="0"/>
              <w:bottom w:val="single" w:color="000000" w:sz="4" w:space="0"/>
              <w:right w:val="single" w:color="000000" w:sz="4" w:space="0"/>
            </w:tcBorders>
            <w:vAlign w:val="center"/>
          </w:tcPr>
          <w:p w14:paraId="241475ED">
            <w:pPr>
              <w:widowControl/>
              <w:jc w:val="center"/>
              <w:textAlignment w:val="center"/>
              <w:rPr>
                <w:rFonts w:hint="default"/>
                <w:color w:val="000000"/>
                <w:sz w:val="18"/>
                <w:szCs w:val="18"/>
              </w:rPr>
            </w:pPr>
            <w:r>
              <w:rPr>
                <w:rFonts w:hint="default"/>
                <w:color w:val="000000"/>
                <w:sz w:val="18"/>
                <w:szCs w:val="18"/>
              </w:rPr>
              <w:t>预期目标</w:t>
            </w:r>
          </w:p>
        </w:tc>
        <w:tc>
          <w:tcPr>
            <w:tcW w:w="3933" w:type="dxa"/>
            <w:gridSpan w:val="3"/>
            <w:tcBorders>
              <w:top w:val="single" w:color="000000" w:sz="4" w:space="0"/>
              <w:left w:val="single" w:color="000000" w:sz="4" w:space="0"/>
              <w:bottom w:val="single" w:color="000000" w:sz="4" w:space="0"/>
              <w:right w:val="single" w:color="000000" w:sz="4" w:space="0"/>
            </w:tcBorders>
            <w:vAlign w:val="center"/>
          </w:tcPr>
          <w:p w14:paraId="4CF89558">
            <w:pPr>
              <w:widowControl/>
              <w:jc w:val="center"/>
              <w:textAlignment w:val="center"/>
              <w:rPr>
                <w:rFonts w:hint="default"/>
                <w:color w:val="000000"/>
                <w:sz w:val="18"/>
                <w:szCs w:val="18"/>
              </w:rPr>
            </w:pPr>
            <w:r>
              <w:rPr>
                <w:rFonts w:hint="default"/>
                <w:color w:val="000000"/>
                <w:sz w:val="18"/>
                <w:szCs w:val="18"/>
              </w:rPr>
              <w:t>全年实际完成情况</w:t>
            </w:r>
          </w:p>
        </w:tc>
      </w:tr>
      <w:tr w14:paraId="5074127E">
        <w:tblPrEx>
          <w:tblCellMar>
            <w:top w:w="0" w:type="dxa"/>
            <w:left w:w="108" w:type="dxa"/>
            <w:bottom w:w="0" w:type="dxa"/>
            <w:right w:w="108" w:type="dxa"/>
          </w:tblCellMar>
        </w:tblPrEx>
        <w:trPr>
          <w:trHeight w:val="1040"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162F7F43">
            <w:pPr>
              <w:jc w:val="center"/>
              <w:rPr>
                <w:rFonts w:hint="default"/>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cBorders>
            <w:vAlign w:val="center"/>
          </w:tcPr>
          <w:p w14:paraId="4368367D">
            <w:pPr>
              <w:widowControl/>
              <w:jc w:val="center"/>
              <w:textAlignment w:val="center"/>
              <w:rPr>
                <w:rFonts w:hint="default"/>
                <w:color w:val="000000"/>
                <w:sz w:val="18"/>
                <w:szCs w:val="18"/>
              </w:rPr>
            </w:pPr>
            <w:r>
              <w:rPr>
                <w:rFonts w:hint="default"/>
                <w:color w:val="000000"/>
                <w:sz w:val="18"/>
                <w:szCs w:val="18"/>
              </w:rPr>
              <w:t>招商引资基本工作经费，全年县主要领导外出招商不少于20次，招商引资项目推介宣传效果显著，参与重大平台投资活动2次以上</w:t>
            </w:r>
          </w:p>
        </w:tc>
        <w:tc>
          <w:tcPr>
            <w:tcW w:w="3933" w:type="dxa"/>
            <w:gridSpan w:val="3"/>
            <w:tcBorders>
              <w:top w:val="single" w:color="000000" w:sz="4" w:space="0"/>
              <w:left w:val="single" w:color="000000" w:sz="4" w:space="0"/>
              <w:bottom w:val="single" w:color="000000" w:sz="4" w:space="0"/>
              <w:right w:val="single" w:color="000000" w:sz="4" w:space="0"/>
            </w:tcBorders>
            <w:vAlign w:val="center"/>
          </w:tcPr>
          <w:p w14:paraId="4B44B985">
            <w:pPr>
              <w:widowControl/>
              <w:jc w:val="center"/>
              <w:textAlignment w:val="center"/>
              <w:rPr>
                <w:rFonts w:hint="default"/>
                <w:color w:val="000000"/>
                <w:sz w:val="18"/>
                <w:szCs w:val="18"/>
              </w:rPr>
            </w:pPr>
            <w:r>
              <w:rPr>
                <w:rFonts w:hint="default"/>
                <w:color w:val="000000"/>
                <w:sz w:val="18"/>
                <w:szCs w:val="18"/>
              </w:rPr>
              <w:t>全年县主要领导外出招商38次，参与重大平台投资活动12次。</w:t>
            </w:r>
          </w:p>
        </w:tc>
      </w:tr>
      <w:tr w14:paraId="2361CC41">
        <w:tblPrEx>
          <w:tblCellMar>
            <w:top w:w="0" w:type="dxa"/>
            <w:left w:w="108" w:type="dxa"/>
            <w:bottom w:w="0" w:type="dxa"/>
            <w:right w:w="108" w:type="dxa"/>
          </w:tblCellMar>
        </w:tblPrEx>
        <w:trPr>
          <w:trHeight w:val="520" w:hRule="atLeast"/>
          <w:jc w:val="center"/>
        </w:trPr>
        <w:tc>
          <w:tcPr>
            <w:tcW w:w="764" w:type="dxa"/>
            <w:vMerge w:val="restart"/>
            <w:tcBorders>
              <w:top w:val="single" w:color="000000" w:sz="4" w:space="0"/>
              <w:left w:val="single" w:color="000000" w:sz="4" w:space="0"/>
              <w:bottom w:val="single" w:color="000000" w:sz="4" w:space="0"/>
              <w:right w:val="single" w:color="000000" w:sz="4" w:space="0"/>
            </w:tcBorders>
            <w:vAlign w:val="center"/>
          </w:tcPr>
          <w:p w14:paraId="75E081E8">
            <w:pPr>
              <w:widowControl/>
              <w:jc w:val="center"/>
              <w:textAlignment w:val="center"/>
              <w:rPr>
                <w:rFonts w:hint="default"/>
                <w:color w:val="000000"/>
                <w:sz w:val="18"/>
                <w:szCs w:val="18"/>
              </w:rPr>
            </w:pPr>
            <w:r>
              <w:rPr>
                <w:rFonts w:hint="default"/>
                <w:color w:val="000000"/>
                <w:sz w:val="18"/>
                <w:szCs w:val="18"/>
              </w:rPr>
              <w:t>绩效</w:t>
            </w:r>
          </w:p>
          <w:p w14:paraId="6A4FBEE9">
            <w:pPr>
              <w:widowControl/>
              <w:jc w:val="center"/>
              <w:textAlignment w:val="center"/>
              <w:rPr>
                <w:rFonts w:hint="default"/>
                <w:color w:val="000000"/>
                <w:sz w:val="18"/>
                <w:szCs w:val="18"/>
              </w:rPr>
            </w:pPr>
            <w:r>
              <w:rPr>
                <w:rFonts w:hint="default"/>
                <w:color w:val="000000"/>
                <w:sz w:val="18"/>
                <w:szCs w:val="18"/>
              </w:rPr>
              <w:t>指标</w:t>
            </w:r>
          </w:p>
        </w:tc>
        <w:tc>
          <w:tcPr>
            <w:tcW w:w="852" w:type="dxa"/>
            <w:tcBorders>
              <w:top w:val="single" w:color="000000" w:sz="4" w:space="0"/>
              <w:left w:val="single" w:color="000000" w:sz="4" w:space="0"/>
              <w:bottom w:val="single" w:color="000000" w:sz="4" w:space="0"/>
              <w:right w:val="single" w:color="000000" w:sz="4" w:space="0"/>
            </w:tcBorders>
            <w:vAlign w:val="center"/>
          </w:tcPr>
          <w:p w14:paraId="6232AD97">
            <w:pPr>
              <w:widowControl/>
              <w:jc w:val="center"/>
              <w:textAlignment w:val="center"/>
              <w:rPr>
                <w:rFonts w:hint="default"/>
                <w:color w:val="000000"/>
                <w:sz w:val="18"/>
                <w:szCs w:val="18"/>
              </w:rPr>
            </w:pPr>
            <w:r>
              <w:rPr>
                <w:rFonts w:hint="default"/>
                <w:color w:val="000000"/>
                <w:sz w:val="18"/>
                <w:szCs w:val="18"/>
              </w:rPr>
              <w:t>一级指标</w:t>
            </w:r>
          </w:p>
        </w:tc>
        <w:tc>
          <w:tcPr>
            <w:tcW w:w="1129" w:type="dxa"/>
            <w:tcBorders>
              <w:top w:val="single" w:color="000000" w:sz="4" w:space="0"/>
              <w:left w:val="single" w:color="000000" w:sz="4" w:space="0"/>
              <w:bottom w:val="single" w:color="000000" w:sz="4" w:space="0"/>
              <w:right w:val="single" w:color="000000" w:sz="4" w:space="0"/>
            </w:tcBorders>
            <w:vAlign w:val="center"/>
          </w:tcPr>
          <w:p w14:paraId="38CB155B">
            <w:pPr>
              <w:widowControl/>
              <w:jc w:val="center"/>
              <w:textAlignment w:val="center"/>
              <w:rPr>
                <w:rFonts w:hint="default"/>
                <w:color w:val="000000"/>
                <w:sz w:val="18"/>
                <w:szCs w:val="18"/>
              </w:rPr>
            </w:pPr>
            <w:r>
              <w:rPr>
                <w:rFonts w:hint="default"/>
                <w:color w:val="000000"/>
                <w:sz w:val="18"/>
                <w:szCs w:val="18"/>
              </w:rPr>
              <w:t>二级指标</w:t>
            </w:r>
          </w:p>
        </w:tc>
        <w:tc>
          <w:tcPr>
            <w:tcW w:w="3178" w:type="dxa"/>
            <w:gridSpan w:val="2"/>
            <w:tcBorders>
              <w:top w:val="single" w:color="000000" w:sz="4" w:space="0"/>
              <w:left w:val="single" w:color="000000" w:sz="4" w:space="0"/>
              <w:bottom w:val="single" w:color="000000" w:sz="4" w:space="0"/>
              <w:right w:val="single" w:color="000000" w:sz="4" w:space="0"/>
            </w:tcBorders>
            <w:vAlign w:val="center"/>
          </w:tcPr>
          <w:p w14:paraId="53C1EE96">
            <w:pPr>
              <w:widowControl/>
              <w:jc w:val="center"/>
              <w:textAlignment w:val="center"/>
              <w:rPr>
                <w:rFonts w:hint="default"/>
                <w:color w:val="000000"/>
                <w:sz w:val="18"/>
                <w:szCs w:val="18"/>
              </w:rPr>
            </w:pPr>
            <w:r>
              <w:rPr>
                <w:rFonts w:hint="default"/>
                <w:color w:val="000000"/>
                <w:sz w:val="18"/>
                <w:szCs w:val="18"/>
              </w:rPr>
              <w:t>三级指标</w:t>
            </w:r>
          </w:p>
        </w:tc>
        <w:tc>
          <w:tcPr>
            <w:tcW w:w="1380" w:type="dxa"/>
            <w:tcBorders>
              <w:top w:val="single" w:color="000000" w:sz="4" w:space="0"/>
              <w:left w:val="single" w:color="000000" w:sz="4" w:space="0"/>
              <w:bottom w:val="single" w:color="000000" w:sz="4" w:space="0"/>
              <w:right w:val="single" w:color="000000" w:sz="4" w:space="0"/>
            </w:tcBorders>
            <w:vAlign w:val="center"/>
          </w:tcPr>
          <w:p w14:paraId="1B137597">
            <w:pPr>
              <w:widowControl/>
              <w:jc w:val="center"/>
              <w:textAlignment w:val="center"/>
              <w:rPr>
                <w:rFonts w:hint="default"/>
                <w:color w:val="000000"/>
                <w:sz w:val="18"/>
                <w:szCs w:val="18"/>
              </w:rPr>
            </w:pPr>
            <w:r>
              <w:rPr>
                <w:rFonts w:hint="default"/>
                <w:color w:val="000000"/>
                <w:sz w:val="18"/>
                <w:szCs w:val="18"/>
              </w:rPr>
              <w:t>年度指标值</w:t>
            </w:r>
          </w:p>
        </w:tc>
        <w:tc>
          <w:tcPr>
            <w:tcW w:w="1320" w:type="dxa"/>
            <w:tcBorders>
              <w:top w:val="single" w:color="000000" w:sz="4" w:space="0"/>
              <w:left w:val="single" w:color="000000" w:sz="4" w:space="0"/>
              <w:bottom w:val="single" w:color="000000" w:sz="4" w:space="0"/>
              <w:right w:val="single" w:color="000000" w:sz="4" w:space="0"/>
            </w:tcBorders>
            <w:vAlign w:val="center"/>
          </w:tcPr>
          <w:p w14:paraId="2953BE58">
            <w:pPr>
              <w:widowControl/>
              <w:jc w:val="center"/>
              <w:textAlignment w:val="center"/>
              <w:rPr>
                <w:rFonts w:hint="default"/>
                <w:color w:val="000000"/>
                <w:sz w:val="18"/>
                <w:szCs w:val="18"/>
              </w:rPr>
            </w:pPr>
            <w:r>
              <w:rPr>
                <w:rFonts w:hint="default"/>
                <w:color w:val="000000"/>
                <w:sz w:val="18"/>
                <w:szCs w:val="18"/>
              </w:rPr>
              <w:t>实际完成值</w:t>
            </w:r>
          </w:p>
        </w:tc>
        <w:tc>
          <w:tcPr>
            <w:tcW w:w="1233" w:type="dxa"/>
            <w:tcBorders>
              <w:top w:val="single" w:color="000000" w:sz="4" w:space="0"/>
              <w:left w:val="single" w:color="000000" w:sz="4" w:space="0"/>
              <w:bottom w:val="single" w:color="000000" w:sz="4" w:space="0"/>
              <w:right w:val="single" w:color="000000" w:sz="4" w:space="0"/>
            </w:tcBorders>
            <w:vAlign w:val="center"/>
          </w:tcPr>
          <w:p w14:paraId="1EE88FE0">
            <w:pPr>
              <w:widowControl/>
              <w:jc w:val="center"/>
              <w:textAlignment w:val="center"/>
              <w:rPr>
                <w:rFonts w:hint="default"/>
                <w:color w:val="000000"/>
                <w:sz w:val="18"/>
                <w:szCs w:val="18"/>
              </w:rPr>
            </w:pPr>
            <w:r>
              <w:rPr>
                <w:rFonts w:hint="default"/>
                <w:color w:val="000000"/>
                <w:sz w:val="18"/>
                <w:szCs w:val="18"/>
              </w:rPr>
              <w:t>偏差原因分析及改进措施</w:t>
            </w:r>
          </w:p>
        </w:tc>
      </w:tr>
      <w:tr w14:paraId="59E10EF5">
        <w:tblPrEx>
          <w:tblCellMar>
            <w:top w:w="0" w:type="dxa"/>
            <w:left w:w="108" w:type="dxa"/>
            <w:bottom w:w="0" w:type="dxa"/>
            <w:right w:w="108" w:type="dxa"/>
          </w:tblCellMar>
        </w:tblPrEx>
        <w:trPr>
          <w:trHeight w:val="312"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752569A2">
            <w:pPr>
              <w:jc w:val="center"/>
              <w:rPr>
                <w:rFonts w:hint="default"/>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14:paraId="77B2AAD2">
            <w:pPr>
              <w:widowControl/>
              <w:jc w:val="center"/>
              <w:textAlignment w:val="center"/>
              <w:rPr>
                <w:rFonts w:hint="default"/>
                <w:color w:val="000000"/>
                <w:sz w:val="18"/>
                <w:szCs w:val="18"/>
              </w:rPr>
            </w:pPr>
            <w:r>
              <w:rPr>
                <w:rFonts w:hint="default"/>
                <w:color w:val="000000"/>
                <w:sz w:val="18"/>
                <w:szCs w:val="18"/>
              </w:rPr>
              <w:t>产出指标</w:t>
            </w:r>
          </w:p>
        </w:tc>
        <w:tc>
          <w:tcPr>
            <w:tcW w:w="1129" w:type="dxa"/>
            <w:vMerge w:val="restart"/>
            <w:tcBorders>
              <w:top w:val="single" w:color="000000" w:sz="4" w:space="0"/>
              <w:left w:val="single" w:color="000000" w:sz="4" w:space="0"/>
              <w:bottom w:val="single" w:color="000000" w:sz="4" w:space="0"/>
              <w:right w:val="single" w:color="000000" w:sz="4" w:space="0"/>
            </w:tcBorders>
            <w:vAlign w:val="center"/>
          </w:tcPr>
          <w:p w14:paraId="05E1C6D4">
            <w:pPr>
              <w:widowControl/>
              <w:jc w:val="center"/>
              <w:textAlignment w:val="center"/>
              <w:rPr>
                <w:rFonts w:hint="default"/>
                <w:color w:val="000000"/>
                <w:sz w:val="18"/>
                <w:szCs w:val="18"/>
              </w:rPr>
            </w:pPr>
            <w:r>
              <w:rPr>
                <w:rFonts w:hint="default"/>
                <w:color w:val="000000"/>
                <w:sz w:val="18"/>
                <w:szCs w:val="18"/>
              </w:rPr>
              <w:t>数量指标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03991B11">
            <w:pPr>
              <w:widowControl/>
              <w:jc w:val="center"/>
              <w:textAlignment w:val="center"/>
              <w:rPr>
                <w:rFonts w:hint="default"/>
                <w:color w:val="000000"/>
                <w:sz w:val="18"/>
                <w:szCs w:val="18"/>
              </w:rPr>
            </w:pPr>
            <w:r>
              <w:rPr>
                <w:rFonts w:hint="default"/>
                <w:color w:val="000000"/>
                <w:sz w:val="18"/>
                <w:szCs w:val="18"/>
              </w:rPr>
              <w:t>指标1：</w:t>
            </w:r>
          </w:p>
        </w:tc>
        <w:tc>
          <w:tcPr>
            <w:tcW w:w="2038" w:type="dxa"/>
            <w:tcBorders>
              <w:top w:val="single" w:color="000000" w:sz="4" w:space="0"/>
              <w:left w:val="single" w:color="000000" w:sz="4" w:space="0"/>
              <w:bottom w:val="single" w:color="000000" w:sz="4" w:space="0"/>
              <w:right w:val="single" w:color="000000" w:sz="4" w:space="0"/>
            </w:tcBorders>
            <w:vAlign w:val="center"/>
          </w:tcPr>
          <w:p w14:paraId="1E2590FC">
            <w:pPr>
              <w:widowControl/>
              <w:jc w:val="center"/>
              <w:textAlignment w:val="center"/>
              <w:rPr>
                <w:rFonts w:hint="default"/>
                <w:color w:val="000000"/>
                <w:sz w:val="18"/>
                <w:szCs w:val="18"/>
              </w:rPr>
            </w:pPr>
            <w:r>
              <w:rPr>
                <w:rFonts w:hint="default"/>
                <w:color w:val="000000"/>
                <w:sz w:val="18"/>
                <w:szCs w:val="18"/>
              </w:rPr>
              <w:t>外出招商次数</w:t>
            </w:r>
          </w:p>
        </w:tc>
        <w:tc>
          <w:tcPr>
            <w:tcW w:w="1380" w:type="dxa"/>
            <w:tcBorders>
              <w:top w:val="single" w:color="000000" w:sz="4" w:space="0"/>
              <w:left w:val="single" w:color="000000" w:sz="4" w:space="0"/>
              <w:bottom w:val="single" w:color="000000" w:sz="4" w:space="0"/>
              <w:right w:val="single" w:color="000000" w:sz="4" w:space="0"/>
            </w:tcBorders>
            <w:vAlign w:val="center"/>
          </w:tcPr>
          <w:p w14:paraId="34C4FED4">
            <w:pPr>
              <w:widowControl/>
              <w:jc w:val="center"/>
              <w:textAlignment w:val="center"/>
              <w:rPr>
                <w:rFonts w:hint="default"/>
                <w:color w:val="000000"/>
                <w:sz w:val="18"/>
                <w:szCs w:val="18"/>
              </w:rPr>
            </w:pPr>
            <w:r>
              <w:rPr>
                <w:rFonts w:hint="default"/>
                <w:color w:val="000000"/>
                <w:sz w:val="18"/>
                <w:szCs w:val="18"/>
              </w:rPr>
              <w:t>≥20次</w:t>
            </w:r>
          </w:p>
        </w:tc>
        <w:tc>
          <w:tcPr>
            <w:tcW w:w="1320" w:type="dxa"/>
            <w:tcBorders>
              <w:top w:val="single" w:color="000000" w:sz="4" w:space="0"/>
              <w:left w:val="single" w:color="000000" w:sz="4" w:space="0"/>
              <w:bottom w:val="single" w:color="000000" w:sz="4" w:space="0"/>
              <w:right w:val="single" w:color="000000" w:sz="4" w:space="0"/>
            </w:tcBorders>
            <w:vAlign w:val="center"/>
          </w:tcPr>
          <w:p w14:paraId="39936E86">
            <w:pPr>
              <w:widowControl/>
              <w:jc w:val="center"/>
              <w:textAlignment w:val="center"/>
              <w:rPr>
                <w:rFonts w:hint="default"/>
                <w:color w:val="000000"/>
                <w:sz w:val="18"/>
                <w:szCs w:val="18"/>
              </w:rPr>
            </w:pPr>
            <w:r>
              <w:rPr>
                <w:rFonts w:hint="default"/>
                <w:color w:val="000000"/>
                <w:sz w:val="18"/>
                <w:szCs w:val="18"/>
              </w:rPr>
              <w:t>38次</w:t>
            </w:r>
          </w:p>
        </w:tc>
        <w:tc>
          <w:tcPr>
            <w:tcW w:w="1233" w:type="dxa"/>
            <w:tcBorders>
              <w:top w:val="single" w:color="000000" w:sz="4" w:space="0"/>
              <w:left w:val="single" w:color="000000" w:sz="4" w:space="0"/>
              <w:bottom w:val="single" w:color="000000" w:sz="4" w:space="0"/>
              <w:right w:val="single" w:color="000000" w:sz="4" w:space="0"/>
            </w:tcBorders>
            <w:vAlign w:val="center"/>
          </w:tcPr>
          <w:p w14:paraId="02900128">
            <w:pPr>
              <w:jc w:val="center"/>
              <w:rPr>
                <w:rFonts w:hint="default"/>
                <w:color w:val="000000"/>
                <w:sz w:val="18"/>
                <w:szCs w:val="18"/>
              </w:rPr>
            </w:pPr>
          </w:p>
        </w:tc>
      </w:tr>
      <w:tr w14:paraId="68BA99A2">
        <w:tblPrEx>
          <w:tblCellMar>
            <w:top w:w="0" w:type="dxa"/>
            <w:left w:w="108" w:type="dxa"/>
            <w:bottom w:w="0" w:type="dxa"/>
            <w:right w:w="108" w:type="dxa"/>
          </w:tblCellMar>
        </w:tblPrEx>
        <w:trPr>
          <w:trHeight w:val="312"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69114349">
            <w:pPr>
              <w:jc w:val="center"/>
              <w:rPr>
                <w:rFonts w:hint="default"/>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51D7BD00">
            <w:pPr>
              <w:jc w:val="center"/>
              <w:rPr>
                <w:rFonts w:hint="default"/>
                <w:color w:val="000000"/>
                <w:sz w:val="18"/>
                <w:szCs w:val="18"/>
              </w:rPr>
            </w:pPr>
          </w:p>
        </w:tc>
        <w:tc>
          <w:tcPr>
            <w:tcW w:w="1129" w:type="dxa"/>
            <w:vMerge w:val="continue"/>
            <w:tcBorders>
              <w:top w:val="single" w:color="000000" w:sz="4" w:space="0"/>
              <w:left w:val="single" w:color="000000" w:sz="4" w:space="0"/>
              <w:bottom w:val="single" w:color="000000" w:sz="4" w:space="0"/>
              <w:right w:val="single" w:color="000000" w:sz="4" w:space="0"/>
            </w:tcBorders>
            <w:vAlign w:val="center"/>
          </w:tcPr>
          <w:p w14:paraId="6D4DD9F6">
            <w:pPr>
              <w:jc w:val="center"/>
              <w:rPr>
                <w:rFonts w:hint="default"/>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669B69ED">
            <w:pPr>
              <w:widowControl/>
              <w:jc w:val="center"/>
              <w:textAlignment w:val="center"/>
              <w:rPr>
                <w:rFonts w:hint="default"/>
                <w:color w:val="000000"/>
                <w:sz w:val="18"/>
                <w:szCs w:val="18"/>
              </w:rPr>
            </w:pPr>
            <w:r>
              <w:rPr>
                <w:rFonts w:hint="default"/>
                <w:color w:val="000000"/>
                <w:sz w:val="18"/>
                <w:szCs w:val="18"/>
              </w:rPr>
              <w:t>指标2：</w:t>
            </w:r>
          </w:p>
        </w:tc>
        <w:tc>
          <w:tcPr>
            <w:tcW w:w="2038" w:type="dxa"/>
            <w:tcBorders>
              <w:top w:val="single" w:color="000000" w:sz="4" w:space="0"/>
              <w:left w:val="single" w:color="000000" w:sz="4" w:space="0"/>
              <w:bottom w:val="single" w:color="000000" w:sz="4" w:space="0"/>
              <w:right w:val="single" w:color="000000" w:sz="4" w:space="0"/>
            </w:tcBorders>
            <w:vAlign w:val="center"/>
          </w:tcPr>
          <w:p w14:paraId="30660C17">
            <w:pPr>
              <w:widowControl/>
              <w:jc w:val="center"/>
              <w:textAlignment w:val="center"/>
              <w:rPr>
                <w:rFonts w:hint="default"/>
                <w:color w:val="000000"/>
                <w:sz w:val="18"/>
                <w:szCs w:val="18"/>
              </w:rPr>
            </w:pPr>
            <w:r>
              <w:rPr>
                <w:rFonts w:hint="default"/>
                <w:color w:val="000000"/>
                <w:sz w:val="18"/>
                <w:szCs w:val="18"/>
              </w:rPr>
              <w:t>平台投资活动参与次数</w:t>
            </w:r>
          </w:p>
        </w:tc>
        <w:tc>
          <w:tcPr>
            <w:tcW w:w="1380" w:type="dxa"/>
            <w:tcBorders>
              <w:top w:val="single" w:color="000000" w:sz="4" w:space="0"/>
              <w:left w:val="single" w:color="000000" w:sz="4" w:space="0"/>
              <w:bottom w:val="single" w:color="000000" w:sz="4" w:space="0"/>
              <w:right w:val="single" w:color="000000" w:sz="4" w:space="0"/>
            </w:tcBorders>
            <w:vAlign w:val="center"/>
          </w:tcPr>
          <w:p w14:paraId="51AC903A">
            <w:pPr>
              <w:widowControl/>
              <w:jc w:val="center"/>
              <w:textAlignment w:val="center"/>
              <w:rPr>
                <w:rFonts w:hint="default"/>
                <w:color w:val="000000"/>
                <w:sz w:val="18"/>
                <w:szCs w:val="18"/>
              </w:rPr>
            </w:pPr>
            <w:r>
              <w:rPr>
                <w:rFonts w:hint="default"/>
                <w:color w:val="000000"/>
                <w:sz w:val="18"/>
                <w:szCs w:val="18"/>
              </w:rPr>
              <w:t>≥2次</w:t>
            </w:r>
          </w:p>
        </w:tc>
        <w:tc>
          <w:tcPr>
            <w:tcW w:w="1320" w:type="dxa"/>
            <w:tcBorders>
              <w:top w:val="single" w:color="000000" w:sz="4" w:space="0"/>
              <w:left w:val="single" w:color="000000" w:sz="4" w:space="0"/>
              <w:bottom w:val="single" w:color="000000" w:sz="4" w:space="0"/>
              <w:right w:val="single" w:color="000000" w:sz="4" w:space="0"/>
            </w:tcBorders>
            <w:vAlign w:val="center"/>
          </w:tcPr>
          <w:p w14:paraId="0DD75498">
            <w:pPr>
              <w:widowControl/>
              <w:jc w:val="center"/>
              <w:textAlignment w:val="center"/>
              <w:rPr>
                <w:rFonts w:hint="default"/>
                <w:color w:val="000000"/>
                <w:sz w:val="18"/>
                <w:szCs w:val="18"/>
              </w:rPr>
            </w:pPr>
            <w:r>
              <w:rPr>
                <w:rFonts w:hint="default"/>
                <w:color w:val="000000"/>
                <w:sz w:val="18"/>
                <w:szCs w:val="18"/>
              </w:rPr>
              <w:t>12次</w:t>
            </w:r>
          </w:p>
        </w:tc>
        <w:tc>
          <w:tcPr>
            <w:tcW w:w="1233" w:type="dxa"/>
            <w:tcBorders>
              <w:top w:val="single" w:color="000000" w:sz="4" w:space="0"/>
              <w:left w:val="single" w:color="000000" w:sz="4" w:space="0"/>
              <w:bottom w:val="single" w:color="000000" w:sz="4" w:space="0"/>
              <w:right w:val="single" w:color="000000" w:sz="4" w:space="0"/>
            </w:tcBorders>
            <w:vAlign w:val="center"/>
          </w:tcPr>
          <w:p w14:paraId="65E2C004">
            <w:pPr>
              <w:jc w:val="center"/>
              <w:rPr>
                <w:rFonts w:hint="default"/>
                <w:color w:val="000000"/>
                <w:sz w:val="18"/>
                <w:szCs w:val="18"/>
              </w:rPr>
            </w:pPr>
          </w:p>
        </w:tc>
      </w:tr>
      <w:tr w14:paraId="78E1F96C">
        <w:tblPrEx>
          <w:tblCellMar>
            <w:top w:w="0" w:type="dxa"/>
            <w:left w:w="108" w:type="dxa"/>
            <w:bottom w:w="0" w:type="dxa"/>
            <w:right w:w="108" w:type="dxa"/>
          </w:tblCellMar>
        </w:tblPrEx>
        <w:trPr>
          <w:trHeight w:val="312"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6D1F0E12">
            <w:pPr>
              <w:jc w:val="center"/>
              <w:rPr>
                <w:rFonts w:hint="default"/>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0BA25ED9">
            <w:pPr>
              <w:jc w:val="center"/>
              <w:rPr>
                <w:rFonts w:hint="default"/>
                <w:color w:val="000000"/>
                <w:sz w:val="18"/>
                <w:szCs w:val="18"/>
              </w:rPr>
            </w:pPr>
          </w:p>
        </w:tc>
        <w:tc>
          <w:tcPr>
            <w:tcW w:w="1129" w:type="dxa"/>
            <w:vMerge w:val="continue"/>
            <w:tcBorders>
              <w:top w:val="single" w:color="000000" w:sz="4" w:space="0"/>
              <w:left w:val="single" w:color="000000" w:sz="4" w:space="0"/>
              <w:bottom w:val="single" w:color="000000" w:sz="4" w:space="0"/>
              <w:right w:val="single" w:color="000000" w:sz="4" w:space="0"/>
            </w:tcBorders>
            <w:vAlign w:val="center"/>
          </w:tcPr>
          <w:p w14:paraId="15CA856F">
            <w:pPr>
              <w:jc w:val="center"/>
              <w:rPr>
                <w:rFonts w:hint="default"/>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73171A5A">
            <w:pPr>
              <w:widowControl/>
              <w:jc w:val="center"/>
              <w:textAlignment w:val="center"/>
              <w:rPr>
                <w:rFonts w:hint="default"/>
                <w:color w:val="000000"/>
                <w:sz w:val="18"/>
                <w:szCs w:val="18"/>
              </w:rPr>
            </w:pPr>
            <w:r>
              <w:rPr>
                <w:rFonts w:hint="default"/>
                <w:color w:val="000000"/>
                <w:sz w:val="18"/>
                <w:szCs w:val="18"/>
              </w:rPr>
              <w:t>指标3：</w:t>
            </w:r>
          </w:p>
        </w:tc>
        <w:tc>
          <w:tcPr>
            <w:tcW w:w="2038" w:type="dxa"/>
            <w:tcBorders>
              <w:top w:val="single" w:color="000000" w:sz="4" w:space="0"/>
              <w:left w:val="single" w:color="000000" w:sz="4" w:space="0"/>
              <w:bottom w:val="single" w:color="000000" w:sz="4" w:space="0"/>
              <w:right w:val="single" w:color="000000" w:sz="4" w:space="0"/>
            </w:tcBorders>
            <w:vAlign w:val="center"/>
          </w:tcPr>
          <w:p w14:paraId="58453637">
            <w:pPr>
              <w:widowControl/>
              <w:jc w:val="center"/>
              <w:textAlignment w:val="center"/>
              <w:rPr>
                <w:rFonts w:hint="default"/>
                <w:color w:val="000000"/>
                <w:sz w:val="18"/>
                <w:szCs w:val="18"/>
              </w:rPr>
            </w:pPr>
            <w:r>
              <w:rPr>
                <w:rFonts w:hint="default"/>
                <w:color w:val="000000"/>
                <w:sz w:val="18"/>
                <w:szCs w:val="18"/>
              </w:rPr>
              <w:t>新签约项目个数</w:t>
            </w:r>
          </w:p>
        </w:tc>
        <w:tc>
          <w:tcPr>
            <w:tcW w:w="1380" w:type="dxa"/>
            <w:tcBorders>
              <w:top w:val="single" w:color="000000" w:sz="4" w:space="0"/>
              <w:left w:val="single" w:color="000000" w:sz="4" w:space="0"/>
              <w:bottom w:val="single" w:color="000000" w:sz="4" w:space="0"/>
              <w:right w:val="single" w:color="000000" w:sz="4" w:space="0"/>
            </w:tcBorders>
            <w:vAlign w:val="center"/>
          </w:tcPr>
          <w:p w14:paraId="490FC4CA">
            <w:pPr>
              <w:widowControl/>
              <w:jc w:val="center"/>
              <w:textAlignment w:val="center"/>
              <w:rPr>
                <w:rFonts w:hint="default"/>
                <w:color w:val="000000"/>
                <w:sz w:val="18"/>
                <w:szCs w:val="18"/>
              </w:rPr>
            </w:pPr>
            <w:r>
              <w:rPr>
                <w:rFonts w:hint="default"/>
                <w:color w:val="000000"/>
                <w:sz w:val="18"/>
                <w:szCs w:val="18"/>
              </w:rPr>
              <w:t>≥5个</w:t>
            </w:r>
          </w:p>
        </w:tc>
        <w:tc>
          <w:tcPr>
            <w:tcW w:w="1320" w:type="dxa"/>
            <w:tcBorders>
              <w:top w:val="single" w:color="000000" w:sz="4" w:space="0"/>
              <w:left w:val="single" w:color="000000" w:sz="4" w:space="0"/>
              <w:bottom w:val="single" w:color="000000" w:sz="4" w:space="0"/>
              <w:right w:val="single" w:color="000000" w:sz="4" w:space="0"/>
            </w:tcBorders>
            <w:vAlign w:val="center"/>
          </w:tcPr>
          <w:p w14:paraId="28BE13CD">
            <w:pPr>
              <w:widowControl/>
              <w:jc w:val="center"/>
              <w:textAlignment w:val="center"/>
              <w:rPr>
                <w:rFonts w:hint="default"/>
                <w:color w:val="000000"/>
                <w:sz w:val="18"/>
                <w:szCs w:val="18"/>
              </w:rPr>
            </w:pPr>
            <w:r>
              <w:rPr>
                <w:rFonts w:hint="default"/>
                <w:color w:val="000000"/>
                <w:sz w:val="18"/>
                <w:szCs w:val="18"/>
              </w:rPr>
              <w:t>5个</w:t>
            </w:r>
          </w:p>
        </w:tc>
        <w:tc>
          <w:tcPr>
            <w:tcW w:w="1233" w:type="dxa"/>
            <w:tcBorders>
              <w:top w:val="single" w:color="000000" w:sz="4" w:space="0"/>
              <w:left w:val="single" w:color="000000" w:sz="4" w:space="0"/>
              <w:bottom w:val="single" w:color="000000" w:sz="4" w:space="0"/>
              <w:right w:val="single" w:color="000000" w:sz="4" w:space="0"/>
            </w:tcBorders>
            <w:vAlign w:val="center"/>
          </w:tcPr>
          <w:p w14:paraId="1AD95463">
            <w:pPr>
              <w:jc w:val="center"/>
              <w:rPr>
                <w:rFonts w:hint="default"/>
                <w:color w:val="000000"/>
                <w:sz w:val="18"/>
                <w:szCs w:val="18"/>
              </w:rPr>
            </w:pPr>
          </w:p>
        </w:tc>
      </w:tr>
      <w:tr w14:paraId="3213FA22">
        <w:tblPrEx>
          <w:tblCellMar>
            <w:top w:w="0" w:type="dxa"/>
            <w:left w:w="108" w:type="dxa"/>
            <w:bottom w:w="0" w:type="dxa"/>
            <w:right w:w="108" w:type="dxa"/>
          </w:tblCellMar>
        </w:tblPrEx>
        <w:trPr>
          <w:trHeight w:val="312"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4DA50C70">
            <w:pPr>
              <w:jc w:val="center"/>
              <w:rPr>
                <w:rFonts w:hint="default"/>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54E8962D">
            <w:pPr>
              <w:jc w:val="center"/>
              <w:rPr>
                <w:rFonts w:hint="default"/>
                <w:color w:val="000000"/>
                <w:sz w:val="18"/>
                <w:szCs w:val="18"/>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15AFEFD0">
            <w:pPr>
              <w:widowControl/>
              <w:jc w:val="center"/>
              <w:textAlignment w:val="center"/>
              <w:rPr>
                <w:rFonts w:hint="default"/>
                <w:color w:val="000000"/>
                <w:sz w:val="18"/>
                <w:szCs w:val="18"/>
              </w:rPr>
            </w:pPr>
            <w:r>
              <w:rPr>
                <w:rFonts w:hint="default"/>
                <w:color w:val="000000"/>
                <w:sz w:val="18"/>
                <w:szCs w:val="18"/>
              </w:rPr>
              <w:t>质量指标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495BFC02">
            <w:pPr>
              <w:widowControl/>
              <w:jc w:val="center"/>
              <w:textAlignment w:val="center"/>
              <w:rPr>
                <w:rFonts w:hint="default"/>
                <w:color w:val="000000"/>
                <w:sz w:val="18"/>
                <w:szCs w:val="18"/>
              </w:rPr>
            </w:pPr>
            <w:r>
              <w:rPr>
                <w:rFonts w:hint="default"/>
                <w:color w:val="000000"/>
                <w:sz w:val="18"/>
                <w:szCs w:val="18"/>
              </w:rPr>
              <w:t>指标1：</w:t>
            </w:r>
          </w:p>
        </w:tc>
        <w:tc>
          <w:tcPr>
            <w:tcW w:w="2038" w:type="dxa"/>
            <w:tcBorders>
              <w:top w:val="single" w:color="000000" w:sz="4" w:space="0"/>
              <w:left w:val="single" w:color="000000" w:sz="4" w:space="0"/>
              <w:bottom w:val="single" w:color="000000" w:sz="4" w:space="0"/>
              <w:right w:val="single" w:color="000000" w:sz="4" w:space="0"/>
            </w:tcBorders>
            <w:vAlign w:val="center"/>
          </w:tcPr>
          <w:p w14:paraId="5E9DB388">
            <w:pPr>
              <w:widowControl/>
              <w:jc w:val="center"/>
              <w:textAlignment w:val="center"/>
              <w:rPr>
                <w:rFonts w:hint="default"/>
                <w:color w:val="000000"/>
                <w:sz w:val="18"/>
                <w:szCs w:val="18"/>
              </w:rPr>
            </w:pPr>
            <w:r>
              <w:rPr>
                <w:rFonts w:hint="default"/>
                <w:color w:val="000000"/>
                <w:sz w:val="18"/>
                <w:szCs w:val="18"/>
              </w:rPr>
              <w:t>招商引资质量</w:t>
            </w:r>
          </w:p>
        </w:tc>
        <w:tc>
          <w:tcPr>
            <w:tcW w:w="1380" w:type="dxa"/>
            <w:tcBorders>
              <w:top w:val="single" w:color="000000" w:sz="4" w:space="0"/>
              <w:left w:val="single" w:color="000000" w:sz="4" w:space="0"/>
              <w:bottom w:val="single" w:color="000000" w:sz="4" w:space="0"/>
              <w:right w:val="single" w:color="000000" w:sz="4" w:space="0"/>
            </w:tcBorders>
            <w:vAlign w:val="center"/>
          </w:tcPr>
          <w:p w14:paraId="1C5A62D2">
            <w:pPr>
              <w:widowControl/>
              <w:jc w:val="center"/>
              <w:textAlignment w:val="center"/>
              <w:rPr>
                <w:rFonts w:hint="default"/>
                <w:color w:val="000000"/>
                <w:sz w:val="18"/>
                <w:szCs w:val="18"/>
              </w:rPr>
            </w:pPr>
            <w:r>
              <w:rPr>
                <w:rFonts w:hint="default"/>
                <w:color w:val="000000"/>
                <w:sz w:val="18"/>
                <w:szCs w:val="18"/>
              </w:rPr>
              <w:t>好</w:t>
            </w:r>
          </w:p>
        </w:tc>
        <w:tc>
          <w:tcPr>
            <w:tcW w:w="1320" w:type="dxa"/>
            <w:tcBorders>
              <w:top w:val="single" w:color="000000" w:sz="4" w:space="0"/>
              <w:left w:val="single" w:color="000000" w:sz="4" w:space="0"/>
              <w:bottom w:val="single" w:color="000000" w:sz="4" w:space="0"/>
              <w:right w:val="single" w:color="000000" w:sz="4" w:space="0"/>
            </w:tcBorders>
            <w:vAlign w:val="center"/>
          </w:tcPr>
          <w:p w14:paraId="681E4381">
            <w:pPr>
              <w:widowControl/>
              <w:jc w:val="center"/>
              <w:textAlignment w:val="center"/>
              <w:rPr>
                <w:rFonts w:hint="default"/>
                <w:color w:val="000000"/>
                <w:sz w:val="18"/>
                <w:szCs w:val="18"/>
              </w:rPr>
            </w:pPr>
            <w:r>
              <w:rPr>
                <w:rFonts w:hint="default"/>
                <w:color w:val="000000"/>
                <w:sz w:val="18"/>
                <w:szCs w:val="18"/>
              </w:rPr>
              <w:t>好</w:t>
            </w:r>
          </w:p>
        </w:tc>
        <w:tc>
          <w:tcPr>
            <w:tcW w:w="1233" w:type="dxa"/>
            <w:tcBorders>
              <w:top w:val="single" w:color="000000" w:sz="4" w:space="0"/>
              <w:left w:val="single" w:color="000000" w:sz="4" w:space="0"/>
              <w:bottom w:val="single" w:color="000000" w:sz="4" w:space="0"/>
              <w:right w:val="single" w:color="000000" w:sz="4" w:space="0"/>
            </w:tcBorders>
            <w:vAlign w:val="center"/>
          </w:tcPr>
          <w:p w14:paraId="1A1CAD7B">
            <w:pPr>
              <w:jc w:val="center"/>
              <w:rPr>
                <w:rFonts w:hint="default"/>
                <w:color w:val="000000"/>
                <w:sz w:val="18"/>
                <w:szCs w:val="18"/>
              </w:rPr>
            </w:pPr>
          </w:p>
        </w:tc>
      </w:tr>
      <w:tr w14:paraId="1705F8A6">
        <w:tblPrEx>
          <w:tblCellMar>
            <w:top w:w="0" w:type="dxa"/>
            <w:left w:w="108" w:type="dxa"/>
            <w:bottom w:w="0" w:type="dxa"/>
            <w:right w:w="108" w:type="dxa"/>
          </w:tblCellMar>
        </w:tblPrEx>
        <w:trPr>
          <w:trHeight w:val="1120"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3F75E299">
            <w:pPr>
              <w:jc w:val="center"/>
              <w:rPr>
                <w:rFonts w:hint="default"/>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3124406A">
            <w:pPr>
              <w:jc w:val="center"/>
              <w:rPr>
                <w:rFonts w:hint="default"/>
                <w:color w:val="000000"/>
                <w:sz w:val="18"/>
                <w:szCs w:val="18"/>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458D31BD">
            <w:pPr>
              <w:widowControl/>
              <w:jc w:val="center"/>
              <w:textAlignment w:val="center"/>
              <w:rPr>
                <w:rFonts w:hint="default"/>
                <w:color w:val="000000"/>
                <w:sz w:val="18"/>
                <w:szCs w:val="18"/>
              </w:rPr>
            </w:pPr>
            <w:r>
              <w:rPr>
                <w:rFonts w:hint="default"/>
                <w:color w:val="000000"/>
                <w:sz w:val="18"/>
                <w:szCs w:val="18"/>
              </w:rPr>
              <w:t>时效指标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2CFCE63B">
            <w:pPr>
              <w:widowControl/>
              <w:jc w:val="center"/>
              <w:textAlignment w:val="center"/>
              <w:rPr>
                <w:rFonts w:hint="default"/>
                <w:color w:val="000000"/>
                <w:sz w:val="18"/>
                <w:szCs w:val="18"/>
              </w:rPr>
            </w:pPr>
            <w:r>
              <w:rPr>
                <w:rFonts w:hint="default"/>
                <w:color w:val="000000"/>
                <w:sz w:val="18"/>
                <w:szCs w:val="18"/>
              </w:rPr>
              <w:t>指标1：</w:t>
            </w:r>
          </w:p>
        </w:tc>
        <w:tc>
          <w:tcPr>
            <w:tcW w:w="2038" w:type="dxa"/>
            <w:tcBorders>
              <w:top w:val="single" w:color="000000" w:sz="4" w:space="0"/>
              <w:left w:val="single" w:color="000000" w:sz="4" w:space="0"/>
              <w:bottom w:val="single" w:color="000000" w:sz="4" w:space="0"/>
              <w:right w:val="single" w:color="000000" w:sz="4" w:space="0"/>
            </w:tcBorders>
            <w:vAlign w:val="center"/>
          </w:tcPr>
          <w:p w14:paraId="11362D15">
            <w:pPr>
              <w:widowControl/>
              <w:jc w:val="center"/>
              <w:textAlignment w:val="center"/>
              <w:rPr>
                <w:rFonts w:hint="default"/>
                <w:color w:val="000000"/>
                <w:sz w:val="18"/>
                <w:szCs w:val="18"/>
              </w:rPr>
            </w:pPr>
            <w:r>
              <w:rPr>
                <w:rFonts w:hint="default"/>
                <w:color w:val="000000"/>
                <w:sz w:val="18"/>
                <w:szCs w:val="18"/>
              </w:rPr>
              <w:t>各项任务完成及时率（计划完成任务时间-实际完成任务时间）/计划完成任务时间*100%</w:t>
            </w:r>
          </w:p>
        </w:tc>
        <w:tc>
          <w:tcPr>
            <w:tcW w:w="1380" w:type="dxa"/>
            <w:tcBorders>
              <w:top w:val="single" w:color="000000" w:sz="4" w:space="0"/>
              <w:left w:val="single" w:color="000000" w:sz="4" w:space="0"/>
              <w:bottom w:val="single" w:color="000000" w:sz="4" w:space="0"/>
              <w:right w:val="single" w:color="000000" w:sz="4" w:space="0"/>
            </w:tcBorders>
            <w:vAlign w:val="center"/>
          </w:tcPr>
          <w:p w14:paraId="2E7BCD58">
            <w:pPr>
              <w:widowControl/>
              <w:jc w:val="center"/>
              <w:textAlignment w:val="center"/>
              <w:rPr>
                <w:rFonts w:hint="default"/>
                <w:color w:val="000000"/>
                <w:sz w:val="18"/>
                <w:szCs w:val="18"/>
              </w:rPr>
            </w:pPr>
            <w:r>
              <w:rPr>
                <w:rFonts w:hint="default"/>
                <w:color w:val="000000"/>
                <w:sz w:val="18"/>
                <w:szCs w:val="18"/>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14:paraId="0A6A24D3">
            <w:pPr>
              <w:widowControl/>
              <w:jc w:val="center"/>
              <w:textAlignment w:val="center"/>
              <w:rPr>
                <w:rFonts w:hint="default"/>
                <w:color w:val="000000"/>
                <w:sz w:val="18"/>
                <w:szCs w:val="18"/>
              </w:rPr>
            </w:pPr>
            <w:r>
              <w:rPr>
                <w:rFonts w:hint="default"/>
                <w:color w:val="000000"/>
                <w:sz w:val="18"/>
                <w:szCs w:val="18"/>
              </w:rPr>
              <w:t>100%</w:t>
            </w:r>
          </w:p>
        </w:tc>
        <w:tc>
          <w:tcPr>
            <w:tcW w:w="1233" w:type="dxa"/>
            <w:tcBorders>
              <w:top w:val="single" w:color="000000" w:sz="4" w:space="0"/>
              <w:left w:val="single" w:color="000000" w:sz="4" w:space="0"/>
              <w:bottom w:val="single" w:color="000000" w:sz="4" w:space="0"/>
              <w:right w:val="single" w:color="000000" w:sz="4" w:space="0"/>
            </w:tcBorders>
            <w:vAlign w:val="center"/>
          </w:tcPr>
          <w:p w14:paraId="7BC46D1D">
            <w:pPr>
              <w:jc w:val="center"/>
              <w:rPr>
                <w:rFonts w:hint="default"/>
                <w:color w:val="000000"/>
                <w:sz w:val="18"/>
                <w:szCs w:val="18"/>
              </w:rPr>
            </w:pPr>
          </w:p>
        </w:tc>
      </w:tr>
      <w:tr w14:paraId="691374D5">
        <w:tblPrEx>
          <w:tblCellMar>
            <w:top w:w="0" w:type="dxa"/>
            <w:left w:w="108" w:type="dxa"/>
            <w:bottom w:w="0" w:type="dxa"/>
            <w:right w:w="108" w:type="dxa"/>
          </w:tblCellMar>
        </w:tblPrEx>
        <w:trPr>
          <w:trHeight w:val="432"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26B86A4F">
            <w:pPr>
              <w:jc w:val="center"/>
              <w:rPr>
                <w:rFonts w:hint="default"/>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vAlign w:val="center"/>
          </w:tcPr>
          <w:p w14:paraId="789D4E92">
            <w:pPr>
              <w:jc w:val="center"/>
              <w:rPr>
                <w:rFonts w:hint="default"/>
                <w:color w:val="000000"/>
                <w:sz w:val="18"/>
                <w:szCs w:val="18"/>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0761B596">
            <w:pPr>
              <w:widowControl/>
              <w:jc w:val="center"/>
              <w:textAlignment w:val="center"/>
              <w:rPr>
                <w:rFonts w:hint="default"/>
                <w:color w:val="000000"/>
                <w:sz w:val="18"/>
                <w:szCs w:val="18"/>
              </w:rPr>
            </w:pPr>
            <w:r>
              <w:rPr>
                <w:rFonts w:hint="default"/>
                <w:color w:val="000000"/>
                <w:sz w:val="18"/>
                <w:szCs w:val="18"/>
              </w:rPr>
              <w:t>可持续影响指标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5A425EE4">
            <w:pPr>
              <w:widowControl/>
              <w:jc w:val="center"/>
              <w:textAlignment w:val="center"/>
              <w:rPr>
                <w:rFonts w:hint="default"/>
                <w:color w:val="000000"/>
                <w:sz w:val="18"/>
                <w:szCs w:val="18"/>
              </w:rPr>
            </w:pPr>
            <w:r>
              <w:rPr>
                <w:rFonts w:hint="default"/>
                <w:color w:val="000000"/>
                <w:sz w:val="18"/>
                <w:szCs w:val="18"/>
              </w:rPr>
              <w:t>指标1：</w:t>
            </w:r>
          </w:p>
        </w:tc>
        <w:tc>
          <w:tcPr>
            <w:tcW w:w="2038" w:type="dxa"/>
            <w:tcBorders>
              <w:top w:val="single" w:color="000000" w:sz="4" w:space="0"/>
              <w:left w:val="single" w:color="000000" w:sz="4" w:space="0"/>
              <w:bottom w:val="single" w:color="000000" w:sz="4" w:space="0"/>
              <w:right w:val="single" w:color="000000" w:sz="4" w:space="0"/>
            </w:tcBorders>
            <w:vAlign w:val="center"/>
          </w:tcPr>
          <w:p w14:paraId="6209A5AE">
            <w:pPr>
              <w:widowControl/>
              <w:jc w:val="center"/>
              <w:textAlignment w:val="center"/>
              <w:rPr>
                <w:rFonts w:hint="default"/>
                <w:color w:val="000000"/>
                <w:sz w:val="18"/>
                <w:szCs w:val="18"/>
              </w:rPr>
            </w:pPr>
            <w:r>
              <w:rPr>
                <w:rFonts w:hint="default"/>
                <w:color w:val="000000"/>
                <w:sz w:val="18"/>
                <w:szCs w:val="18"/>
              </w:rPr>
              <w:t>促进昭化区域发展</w:t>
            </w:r>
          </w:p>
        </w:tc>
        <w:tc>
          <w:tcPr>
            <w:tcW w:w="1380" w:type="dxa"/>
            <w:tcBorders>
              <w:top w:val="single" w:color="000000" w:sz="4" w:space="0"/>
              <w:left w:val="single" w:color="000000" w:sz="4" w:space="0"/>
              <w:bottom w:val="single" w:color="000000" w:sz="4" w:space="0"/>
              <w:right w:val="single" w:color="000000" w:sz="4" w:space="0"/>
            </w:tcBorders>
            <w:vAlign w:val="center"/>
          </w:tcPr>
          <w:p w14:paraId="3869BAB7">
            <w:pPr>
              <w:widowControl/>
              <w:jc w:val="center"/>
              <w:textAlignment w:val="center"/>
              <w:rPr>
                <w:rFonts w:hint="default"/>
                <w:color w:val="000000"/>
                <w:sz w:val="18"/>
                <w:szCs w:val="18"/>
              </w:rPr>
            </w:pPr>
            <w:r>
              <w:rPr>
                <w:rFonts w:hint="default"/>
                <w:color w:val="000000"/>
                <w:sz w:val="18"/>
                <w:szCs w:val="18"/>
              </w:rPr>
              <w:t>优</w:t>
            </w:r>
          </w:p>
        </w:tc>
        <w:tc>
          <w:tcPr>
            <w:tcW w:w="1320" w:type="dxa"/>
            <w:tcBorders>
              <w:top w:val="single" w:color="000000" w:sz="4" w:space="0"/>
              <w:left w:val="single" w:color="000000" w:sz="4" w:space="0"/>
              <w:bottom w:val="single" w:color="000000" w:sz="4" w:space="0"/>
              <w:right w:val="single" w:color="000000" w:sz="4" w:space="0"/>
            </w:tcBorders>
            <w:vAlign w:val="center"/>
          </w:tcPr>
          <w:p w14:paraId="31B80293">
            <w:pPr>
              <w:widowControl/>
              <w:jc w:val="center"/>
              <w:textAlignment w:val="center"/>
              <w:rPr>
                <w:rFonts w:hint="default"/>
                <w:color w:val="000000"/>
                <w:sz w:val="18"/>
                <w:szCs w:val="18"/>
              </w:rPr>
            </w:pPr>
            <w:r>
              <w:rPr>
                <w:rFonts w:hint="default"/>
                <w:color w:val="000000"/>
                <w:sz w:val="18"/>
                <w:szCs w:val="18"/>
              </w:rPr>
              <w:t>优</w:t>
            </w:r>
          </w:p>
        </w:tc>
        <w:tc>
          <w:tcPr>
            <w:tcW w:w="1233" w:type="dxa"/>
            <w:tcBorders>
              <w:top w:val="single" w:color="000000" w:sz="4" w:space="0"/>
              <w:left w:val="single" w:color="000000" w:sz="4" w:space="0"/>
              <w:bottom w:val="single" w:color="000000" w:sz="4" w:space="0"/>
              <w:right w:val="single" w:color="000000" w:sz="4" w:space="0"/>
            </w:tcBorders>
            <w:vAlign w:val="center"/>
          </w:tcPr>
          <w:p w14:paraId="5CD72986">
            <w:pPr>
              <w:jc w:val="center"/>
              <w:rPr>
                <w:rFonts w:hint="default"/>
                <w:color w:val="000000"/>
                <w:sz w:val="18"/>
                <w:szCs w:val="18"/>
              </w:rPr>
            </w:pPr>
          </w:p>
        </w:tc>
      </w:tr>
      <w:tr w14:paraId="3EF70309">
        <w:tblPrEx>
          <w:tblCellMar>
            <w:top w:w="0" w:type="dxa"/>
            <w:left w:w="108" w:type="dxa"/>
            <w:bottom w:w="0" w:type="dxa"/>
            <w:right w:w="108" w:type="dxa"/>
          </w:tblCellMar>
        </w:tblPrEx>
        <w:trPr>
          <w:trHeight w:val="432"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6F9B3ACD">
            <w:pPr>
              <w:jc w:val="center"/>
              <w:rPr>
                <w:rFonts w:hint="default"/>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vAlign w:val="center"/>
          </w:tcPr>
          <w:p w14:paraId="38588718">
            <w:pPr>
              <w:widowControl/>
              <w:jc w:val="center"/>
              <w:textAlignment w:val="center"/>
              <w:rPr>
                <w:rFonts w:hint="default"/>
                <w:color w:val="000000"/>
                <w:sz w:val="18"/>
                <w:szCs w:val="18"/>
              </w:rPr>
            </w:pPr>
            <w:r>
              <w:rPr>
                <w:rFonts w:hint="default"/>
                <w:color w:val="000000"/>
                <w:sz w:val="18"/>
                <w:szCs w:val="18"/>
              </w:rPr>
              <w:t>满意度</w:t>
            </w:r>
          </w:p>
          <w:p w14:paraId="5B621253">
            <w:pPr>
              <w:widowControl/>
              <w:jc w:val="center"/>
              <w:textAlignment w:val="center"/>
              <w:rPr>
                <w:rFonts w:hint="default"/>
                <w:color w:val="000000"/>
                <w:sz w:val="18"/>
                <w:szCs w:val="18"/>
              </w:rPr>
            </w:pPr>
            <w:r>
              <w:rPr>
                <w:rFonts w:hint="default"/>
                <w:color w:val="000000"/>
                <w:sz w:val="18"/>
                <w:szCs w:val="18"/>
              </w:rPr>
              <w:t>指标</w:t>
            </w:r>
          </w:p>
        </w:tc>
        <w:tc>
          <w:tcPr>
            <w:tcW w:w="1129" w:type="dxa"/>
            <w:tcBorders>
              <w:top w:val="single" w:color="000000" w:sz="4" w:space="0"/>
              <w:left w:val="single" w:color="000000" w:sz="4" w:space="0"/>
              <w:bottom w:val="single" w:color="000000" w:sz="4" w:space="0"/>
              <w:right w:val="single" w:color="000000" w:sz="4" w:space="0"/>
            </w:tcBorders>
            <w:vAlign w:val="center"/>
          </w:tcPr>
          <w:p w14:paraId="36AD422A">
            <w:pPr>
              <w:widowControl/>
              <w:jc w:val="center"/>
              <w:textAlignment w:val="center"/>
              <w:rPr>
                <w:rFonts w:hint="default"/>
                <w:color w:val="000000"/>
                <w:sz w:val="18"/>
                <w:szCs w:val="18"/>
              </w:rPr>
            </w:pPr>
            <w:r>
              <w:rPr>
                <w:rFonts w:hint="default"/>
                <w:color w:val="000000"/>
                <w:sz w:val="18"/>
                <w:szCs w:val="18"/>
              </w:rPr>
              <w:t>服务对象满意度指标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498B6D2D">
            <w:pPr>
              <w:widowControl/>
              <w:jc w:val="center"/>
              <w:textAlignment w:val="center"/>
              <w:rPr>
                <w:rFonts w:hint="default"/>
                <w:color w:val="000000"/>
                <w:sz w:val="18"/>
                <w:szCs w:val="18"/>
              </w:rPr>
            </w:pPr>
            <w:r>
              <w:rPr>
                <w:rFonts w:hint="default"/>
                <w:color w:val="000000"/>
                <w:sz w:val="18"/>
                <w:szCs w:val="18"/>
              </w:rPr>
              <w:t>指标1：</w:t>
            </w:r>
          </w:p>
        </w:tc>
        <w:tc>
          <w:tcPr>
            <w:tcW w:w="2038" w:type="dxa"/>
            <w:tcBorders>
              <w:top w:val="single" w:color="000000" w:sz="4" w:space="0"/>
              <w:left w:val="single" w:color="000000" w:sz="4" w:space="0"/>
              <w:bottom w:val="single" w:color="000000" w:sz="4" w:space="0"/>
              <w:right w:val="single" w:color="000000" w:sz="4" w:space="0"/>
            </w:tcBorders>
            <w:vAlign w:val="center"/>
          </w:tcPr>
          <w:p w14:paraId="68DC18A2">
            <w:pPr>
              <w:widowControl/>
              <w:jc w:val="center"/>
              <w:textAlignment w:val="center"/>
              <w:rPr>
                <w:rFonts w:hint="default"/>
                <w:color w:val="000000"/>
                <w:sz w:val="18"/>
                <w:szCs w:val="18"/>
              </w:rPr>
            </w:pPr>
            <w:r>
              <w:rPr>
                <w:rFonts w:hint="default"/>
                <w:color w:val="000000"/>
                <w:sz w:val="18"/>
                <w:szCs w:val="18"/>
              </w:rPr>
              <w:t>服务对象满意度</w:t>
            </w:r>
          </w:p>
        </w:tc>
        <w:tc>
          <w:tcPr>
            <w:tcW w:w="1380" w:type="dxa"/>
            <w:tcBorders>
              <w:top w:val="single" w:color="000000" w:sz="4" w:space="0"/>
              <w:left w:val="single" w:color="000000" w:sz="4" w:space="0"/>
              <w:bottom w:val="single" w:color="000000" w:sz="4" w:space="0"/>
              <w:right w:val="single" w:color="000000" w:sz="4" w:space="0"/>
            </w:tcBorders>
            <w:vAlign w:val="center"/>
          </w:tcPr>
          <w:p w14:paraId="1DD4C5CB">
            <w:pPr>
              <w:widowControl/>
              <w:jc w:val="center"/>
              <w:textAlignment w:val="center"/>
              <w:rPr>
                <w:rFonts w:hint="default"/>
                <w:color w:val="000000"/>
                <w:sz w:val="18"/>
                <w:szCs w:val="18"/>
              </w:rPr>
            </w:pPr>
            <w:r>
              <w:rPr>
                <w:rFonts w:hint="default"/>
                <w:color w:val="000000"/>
                <w:sz w:val="18"/>
                <w:szCs w:val="18"/>
              </w:rPr>
              <w:t>≥90%</w:t>
            </w:r>
          </w:p>
        </w:tc>
        <w:tc>
          <w:tcPr>
            <w:tcW w:w="1320" w:type="dxa"/>
            <w:tcBorders>
              <w:top w:val="single" w:color="000000" w:sz="4" w:space="0"/>
              <w:left w:val="single" w:color="000000" w:sz="4" w:space="0"/>
              <w:bottom w:val="single" w:color="000000" w:sz="4" w:space="0"/>
              <w:right w:val="single" w:color="000000" w:sz="4" w:space="0"/>
            </w:tcBorders>
            <w:vAlign w:val="center"/>
          </w:tcPr>
          <w:p w14:paraId="4B6FA31E">
            <w:pPr>
              <w:widowControl/>
              <w:jc w:val="center"/>
              <w:textAlignment w:val="center"/>
              <w:rPr>
                <w:rFonts w:hint="default"/>
                <w:color w:val="000000"/>
                <w:sz w:val="18"/>
                <w:szCs w:val="18"/>
              </w:rPr>
            </w:pPr>
            <w:r>
              <w:rPr>
                <w:rFonts w:hint="default"/>
                <w:color w:val="000000"/>
                <w:sz w:val="18"/>
                <w:szCs w:val="18"/>
              </w:rPr>
              <w:t>90%</w:t>
            </w:r>
          </w:p>
        </w:tc>
        <w:tc>
          <w:tcPr>
            <w:tcW w:w="1233" w:type="dxa"/>
            <w:tcBorders>
              <w:top w:val="single" w:color="000000" w:sz="4" w:space="0"/>
              <w:left w:val="single" w:color="000000" w:sz="4" w:space="0"/>
              <w:bottom w:val="single" w:color="000000" w:sz="4" w:space="0"/>
              <w:right w:val="single" w:color="000000" w:sz="4" w:space="0"/>
            </w:tcBorders>
            <w:vAlign w:val="center"/>
          </w:tcPr>
          <w:p w14:paraId="763B57BD">
            <w:pPr>
              <w:jc w:val="center"/>
              <w:rPr>
                <w:rFonts w:hint="default"/>
                <w:color w:val="000000"/>
                <w:sz w:val="18"/>
                <w:szCs w:val="18"/>
              </w:rPr>
            </w:pPr>
          </w:p>
        </w:tc>
      </w:tr>
    </w:tbl>
    <w:p w14:paraId="507FCFD3">
      <w:pPr>
        <w:spacing w:line="576" w:lineRule="exact"/>
        <w:ind w:firstLine="640" w:firstLineChars="200"/>
        <w:jc w:val="both"/>
        <w:rPr>
          <w:rFonts w:hint="default" w:eastAsia="黑体"/>
          <w:kern w:val="2"/>
          <w:sz w:val="32"/>
        </w:rPr>
      </w:pPr>
    </w:p>
    <w:p w14:paraId="0C1FEB17">
      <w:pPr>
        <w:widowControl/>
        <w:autoSpaceDE/>
        <w:autoSpaceDN/>
        <w:adjustRightInd/>
        <w:rPr>
          <w:rFonts w:hint="default" w:eastAsia="黑体"/>
          <w:kern w:val="2"/>
          <w:sz w:val="32"/>
        </w:rPr>
      </w:pPr>
      <w:r>
        <w:rPr>
          <w:rFonts w:hint="default" w:eastAsia="黑体"/>
          <w:kern w:val="2"/>
          <w:sz w:val="32"/>
        </w:rPr>
        <w:br w:type="page"/>
      </w:r>
    </w:p>
    <w:p w14:paraId="4541CF58">
      <w:pPr>
        <w:spacing w:line="576" w:lineRule="exact"/>
        <w:jc w:val="both"/>
        <w:outlineLvl w:val="1"/>
        <w:rPr>
          <w:rFonts w:hint="default" w:eastAsia="仿宋_GB2312"/>
          <w:kern w:val="2"/>
          <w:sz w:val="32"/>
        </w:rPr>
      </w:pPr>
      <w:bookmarkStart w:id="7" w:name="_Toc178157916"/>
      <w:r>
        <w:rPr>
          <w:rFonts w:hint="default" w:eastAsia="黑体"/>
          <w:kern w:val="2"/>
          <w:sz w:val="32"/>
        </w:rPr>
        <w:t>附件2</w:t>
      </w:r>
      <w:bookmarkEnd w:id="7"/>
    </w:p>
    <w:p w14:paraId="5B3A912A">
      <w:pPr>
        <w:spacing w:line="576" w:lineRule="exact"/>
        <w:ind w:firstLine="720" w:firstLineChars="200"/>
        <w:jc w:val="center"/>
        <w:rPr>
          <w:rFonts w:hint="default" w:eastAsia="方正小标宋简体"/>
          <w:sz w:val="36"/>
          <w:szCs w:val="36"/>
        </w:rPr>
      </w:pPr>
    </w:p>
    <w:p w14:paraId="13E23F5C">
      <w:pPr>
        <w:spacing w:line="576" w:lineRule="exact"/>
        <w:ind w:firstLine="720" w:firstLineChars="200"/>
        <w:jc w:val="center"/>
        <w:rPr>
          <w:rFonts w:hint="default" w:eastAsia="黑体"/>
          <w:sz w:val="36"/>
          <w:szCs w:val="36"/>
        </w:rPr>
      </w:pPr>
      <w:r>
        <w:rPr>
          <w:rFonts w:hint="default" w:eastAsia="方正小标宋简体"/>
          <w:sz w:val="36"/>
          <w:szCs w:val="36"/>
        </w:rPr>
        <w:t>广元市昭化区经济合作和外事中心</w:t>
      </w:r>
    </w:p>
    <w:p w14:paraId="038AC5B7">
      <w:pPr>
        <w:snapToGrid w:val="0"/>
        <w:spacing w:line="576" w:lineRule="exact"/>
        <w:ind w:firstLine="720" w:firstLineChars="200"/>
        <w:jc w:val="center"/>
        <w:rPr>
          <w:rFonts w:hint="default" w:eastAsia="方正小标宋简体"/>
          <w:sz w:val="36"/>
          <w:szCs w:val="36"/>
        </w:rPr>
      </w:pPr>
      <w:r>
        <w:rPr>
          <w:rFonts w:hint="default" w:eastAsia="方正小标宋简体"/>
          <w:sz w:val="36"/>
          <w:szCs w:val="36"/>
        </w:rPr>
        <w:t>2023年驻外招商小分队工作经费支出绩效自评报告</w:t>
      </w:r>
    </w:p>
    <w:p w14:paraId="354A33CA">
      <w:pPr>
        <w:snapToGrid w:val="0"/>
        <w:spacing w:line="576" w:lineRule="exact"/>
        <w:ind w:firstLine="720" w:firstLineChars="200"/>
        <w:jc w:val="center"/>
        <w:rPr>
          <w:rFonts w:hint="default" w:eastAsia="方正小标宋简体"/>
          <w:sz w:val="36"/>
          <w:szCs w:val="36"/>
        </w:rPr>
      </w:pPr>
    </w:p>
    <w:p w14:paraId="2EC726E1">
      <w:pPr>
        <w:spacing w:line="576" w:lineRule="exact"/>
        <w:ind w:firstLine="640" w:firstLineChars="200"/>
        <w:jc w:val="both"/>
        <w:rPr>
          <w:rFonts w:hint="default" w:eastAsia="黑体"/>
          <w:color w:val="000000"/>
          <w:sz w:val="32"/>
        </w:rPr>
      </w:pPr>
      <w:r>
        <w:rPr>
          <w:rFonts w:hint="default" w:eastAsia="黑体"/>
          <w:color w:val="000000"/>
          <w:sz w:val="32"/>
        </w:rPr>
        <w:t>一、项目概况</w:t>
      </w:r>
    </w:p>
    <w:p w14:paraId="06B1FC74">
      <w:pPr>
        <w:spacing w:line="576" w:lineRule="exact"/>
        <w:ind w:firstLine="640" w:firstLineChars="200"/>
        <w:jc w:val="both"/>
        <w:rPr>
          <w:rFonts w:hint="default" w:eastAsia="仿宋_GB2312"/>
          <w:color w:val="000000"/>
          <w:sz w:val="32"/>
        </w:rPr>
      </w:pPr>
      <w:r>
        <w:rPr>
          <w:rFonts w:hint="default" w:eastAsia="仿宋_GB2312"/>
          <w:color w:val="000000"/>
          <w:sz w:val="32"/>
        </w:rPr>
        <w:t>（一）项目资金申报及批复情况。</w:t>
      </w:r>
    </w:p>
    <w:p w14:paraId="44894C50">
      <w:pPr>
        <w:spacing w:line="576" w:lineRule="exact"/>
        <w:ind w:firstLine="640" w:firstLineChars="200"/>
        <w:jc w:val="both"/>
        <w:rPr>
          <w:rFonts w:hint="default" w:eastAsia="仿宋_GB2312"/>
          <w:color w:val="000000"/>
          <w:sz w:val="32"/>
        </w:rPr>
      </w:pPr>
      <w:r>
        <w:rPr>
          <w:rFonts w:hint="default" w:eastAsia="仿宋_GB2312"/>
          <w:color w:val="000000"/>
          <w:sz w:val="32"/>
        </w:rPr>
        <w:t>根据《广元市昭化区经济合作和外事中心职能配置、内设机构和人员编制规定》文件，本部门负责协助全区经济合作建设推进工作的统筹协调和服务；受区商务和经济合作局委托，负责管理区政府各驻外招商机构。驻外招商工作作为一项长期工作，为全面服务“四城新区"建设，提升驻外招商工作质量和效益，促进我区经济社会高质量发展，设立了驻外招商小分队工作经费。2023年驻外招商小分队工作经费申报数100万，批复数100万。</w:t>
      </w:r>
    </w:p>
    <w:p w14:paraId="7412471D">
      <w:pPr>
        <w:spacing w:line="576" w:lineRule="exact"/>
        <w:ind w:firstLine="640" w:firstLineChars="200"/>
        <w:jc w:val="both"/>
        <w:rPr>
          <w:rFonts w:hint="default" w:eastAsia="仿宋_GB2312"/>
          <w:color w:val="000000"/>
          <w:sz w:val="32"/>
        </w:rPr>
      </w:pPr>
      <w:r>
        <w:rPr>
          <w:rFonts w:hint="default" w:eastAsia="仿宋_GB2312"/>
          <w:color w:val="000000"/>
          <w:sz w:val="32"/>
        </w:rPr>
        <w:t>（二）项目绩效目标。</w:t>
      </w:r>
    </w:p>
    <w:p w14:paraId="7F5A01BA">
      <w:pPr>
        <w:spacing w:line="576" w:lineRule="exact"/>
        <w:ind w:firstLine="640" w:firstLineChars="200"/>
        <w:jc w:val="both"/>
        <w:rPr>
          <w:rFonts w:hint="default" w:eastAsia="仿宋_GB2312"/>
          <w:color w:val="000000"/>
          <w:sz w:val="32"/>
        </w:rPr>
      </w:pPr>
      <w:r>
        <w:rPr>
          <w:rFonts w:hint="default" w:eastAsia="仿宋_GB2312"/>
          <w:color w:val="000000"/>
          <w:sz w:val="32"/>
        </w:rPr>
        <w:t>驻外招商小分队工作经费主要用于保障招商小分队在京津冀、珠三角、长三角、成渝及周边地区开展对外招商引资工作。项目应实现的具体绩效目标为每年给昭化区引进优质项目10个以上，签约资金5亿元以上，引进资金2亿元以上。目标细化、量化设置合理，同时根据整体项目绩效目标，进行了合理的项目实施进度计划安排。在6月达到50%，9月达到75%，12月达到100%。</w:t>
      </w:r>
    </w:p>
    <w:p w14:paraId="2A6A6A92">
      <w:pPr>
        <w:spacing w:line="576" w:lineRule="exact"/>
        <w:ind w:firstLine="640" w:firstLineChars="200"/>
        <w:jc w:val="both"/>
        <w:rPr>
          <w:rFonts w:hint="default" w:eastAsia="仿宋_GB2312"/>
          <w:color w:val="000000"/>
          <w:sz w:val="32"/>
        </w:rPr>
      </w:pPr>
      <w:r>
        <w:rPr>
          <w:rFonts w:hint="default" w:eastAsia="仿宋_GB2312"/>
          <w:color w:val="000000"/>
          <w:sz w:val="32"/>
        </w:rPr>
        <w:t>（三）项目资金申报相符性。</w:t>
      </w:r>
    </w:p>
    <w:p w14:paraId="3849BA0C">
      <w:pPr>
        <w:spacing w:line="576" w:lineRule="exact"/>
        <w:ind w:firstLine="640" w:firstLineChars="200"/>
        <w:jc w:val="both"/>
        <w:rPr>
          <w:rFonts w:hint="default" w:eastAsia="仿宋_GB2312"/>
          <w:color w:val="000000"/>
          <w:sz w:val="32"/>
        </w:rPr>
      </w:pPr>
      <w:r>
        <w:rPr>
          <w:rFonts w:hint="default" w:eastAsia="仿宋_GB2312"/>
          <w:color w:val="000000"/>
          <w:sz w:val="32"/>
        </w:rPr>
        <w:t>本项目申报内容与具体实施内容相符、申报目标合理可行。</w:t>
      </w:r>
    </w:p>
    <w:p w14:paraId="10CE2F01">
      <w:pPr>
        <w:spacing w:line="576" w:lineRule="exact"/>
        <w:ind w:firstLine="640" w:firstLineChars="200"/>
        <w:jc w:val="both"/>
        <w:rPr>
          <w:rFonts w:hint="default" w:eastAsia="仿宋_GB2312"/>
          <w:color w:val="000000"/>
          <w:sz w:val="32"/>
        </w:rPr>
      </w:pPr>
      <w:r>
        <w:rPr>
          <w:rFonts w:hint="default" w:eastAsia="仿宋_GB2312"/>
          <w:color w:val="000000"/>
          <w:sz w:val="32"/>
        </w:rPr>
        <w:t>（四）自评步骤及方法</w:t>
      </w:r>
    </w:p>
    <w:p w14:paraId="466975A2">
      <w:pPr>
        <w:spacing w:line="576" w:lineRule="exact"/>
        <w:ind w:firstLine="640" w:firstLineChars="200"/>
        <w:jc w:val="both"/>
        <w:rPr>
          <w:rFonts w:hint="default" w:eastAsia="仿宋_GB2312"/>
          <w:color w:val="000000"/>
          <w:sz w:val="32"/>
        </w:rPr>
      </w:pPr>
      <w:r>
        <w:rPr>
          <w:rFonts w:hint="default" w:eastAsia="仿宋_GB2312"/>
          <w:color w:val="000000"/>
          <w:sz w:val="32"/>
        </w:rPr>
        <w:t>本次评价过程分为前期准备、开展评价、评价情况汇总、报告撰写、报告审核与修改、意见征求、资料归档七个阶段。采取政策查询、资料查证、数据汇总分析等方式进行。</w:t>
      </w:r>
    </w:p>
    <w:p w14:paraId="1AF7D43D">
      <w:pPr>
        <w:spacing w:line="576" w:lineRule="exact"/>
        <w:ind w:firstLine="640" w:firstLineChars="200"/>
        <w:jc w:val="both"/>
        <w:rPr>
          <w:rFonts w:hint="default" w:eastAsia="黑体"/>
          <w:color w:val="000000"/>
          <w:sz w:val="32"/>
        </w:rPr>
      </w:pPr>
      <w:r>
        <w:rPr>
          <w:rFonts w:hint="default" w:eastAsia="黑体"/>
          <w:color w:val="000000"/>
          <w:sz w:val="32"/>
        </w:rPr>
        <w:t>二、项目实施及管理情况</w:t>
      </w:r>
    </w:p>
    <w:p w14:paraId="2343C766">
      <w:pPr>
        <w:spacing w:line="576" w:lineRule="exact"/>
        <w:ind w:firstLine="640" w:firstLineChars="200"/>
        <w:jc w:val="both"/>
        <w:rPr>
          <w:rFonts w:hint="default" w:eastAsia="仿宋_GB2312"/>
          <w:color w:val="000000"/>
          <w:sz w:val="32"/>
        </w:rPr>
      </w:pPr>
      <w:r>
        <w:rPr>
          <w:rFonts w:hint="default" w:eastAsia="仿宋_GB2312"/>
          <w:color w:val="000000"/>
          <w:sz w:val="32"/>
        </w:rPr>
        <w:t>（一）资金计划、到位及使用情况</w:t>
      </w:r>
    </w:p>
    <w:p w14:paraId="6317DF5F">
      <w:pPr>
        <w:spacing w:line="576" w:lineRule="exact"/>
        <w:ind w:firstLine="640" w:firstLineChars="200"/>
        <w:jc w:val="both"/>
        <w:rPr>
          <w:rFonts w:hint="default" w:eastAsia="仿宋_GB2312"/>
          <w:color w:val="000000"/>
          <w:sz w:val="32"/>
        </w:rPr>
      </w:pPr>
      <w:r>
        <w:rPr>
          <w:rFonts w:hint="default" w:eastAsia="仿宋_GB2312"/>
          <w:color w:val="000000"/>
          <w:sz w:val="32"/>
        </w:rPr>
        <w:t>1.资金计划及到位。本项目预算批复数100万，截至目前，实际资金到位100万元，全部为区财政资金。与资金计划相比，到位率100%，及时率100%。</w:t>
      </w:r>
    </w:p>
    <w:p w14:paraId="15638DED">
      <w:pPr>
        <w:spacing w:line="576" w:lineRule="exact"/>
        <w:ind w:firstLine="640" w:firstLineChars="200"/>
        <w:jc w:val="both"/>
        <w:rPr>
          <w:rFonts w:hint="default" w:eastAsia="仿宋_GB2312"/>
          <w:color w:val="000000"/>
          <w:sz w:val="32"/>
        </w:rPr>
      </w:pPr>
      <w:r>
        <w:rPr>
          <w:rFonts w:hint="default" w:eastAsia="仿宋_GB2312"/>
          <w:color w:val="000000"/>
          <w:sz w:val="32"/>
        </w:rPr>
        <w:t>2.资金使用。截止评价时点，本项目资金实际支出100万元，资金开支范围、支付标准、支付进度、支付依据合规合法，资金支付与预算相符。</w:t>
      </w:r>
    </w:p>
    <w:p w14:paraId="334AD870">
      <w:pPr>
        <w:spacing w:line="576" w:lineRule="exact"/>
        <w:ind w:firstLine="640" w:firstLineChars="200"/>
        <w:jc w:val="both"/>
        <w:rPr>
          <w:rFonts w:hint="default" w:eastAsia="仿宋_GB2312"/>
          <w:color w:val="000000"/>
          <w:sz w:val="32"/>
        </w:rPr>
      </w:pPr>
      <w:r>
        <w:rPr>
          <w:rFonts w:hint="default" w:eastAsia="仿宋_GB2312"/>
          <w:color w:val="000000"/>
          <w:sz w:val="32"/>
        </w:rPr>
        <w:t>（二）项目财务管理情况</w:t>
      </w:r>
    </w:p>
    <w:p w14:paraId="75C86EB7">
      <w:pPr>
        <w:spacing w:line="576" w:lineRule="exact"/>
        <w:ind w:firstLine="640" w:firstLineChars="200"/>
        <w:jc w:val="both"/>
        <w:rPr>
          <w:rFonts w:hint="default" w:eastAsia="仿宋_GB2312"/>
          <w:color w:val="000000"/>
          <w:sz w:val="32"/>
        </w:rPr>
      </w:pPr>
      <w:r>
        <w:rPr>
          <w:rFonts w:hint="default" w:eastAsia="仿宋_GB2312"/>
          <w:color w:val="000000"/>
          <w:sz w:val="32"/>
        </w:rPr>
        <w:t xml:space="preserve">本项目财务管理制度建设、机构设置、会计核算及账务处理均严格比对单位财务制度执行。该项目严格执行财务管理制度、财务处理及时、会计核算规范。 </w:t>
      </w:r>
    </w:p>
    <w:p w14:paraId="72BA0D4F">
      <w:pPr>
        <w:spacing w:line="576" w:lineRule="exact"/>
        <w:ind w:firstLine="640" w:firstLineChars="200"/>
        <w:jc w:val="both"/>
        <w:rPr>
          <w:rFonts w:hint="default" w:eastAsia="仿宋_GB2312"/>
          <w:color w:val="000000"/>
          <w:sz w:val="32"/>
        </w:rPr>
      </w:pPr>
      <w:r>
        <w:rPr>
          <w:rFonts w:hint="default" w:eastAsia="仿宋_GB2312"/>
          <w:color w:val="000000"/>
          <w:sz w:val="32"/>
        </w:rPr>
        <w:t>（三）项目组织实施及管理情况</w:t>
      </w:r>
    </w:p>
    <w:p w14:paraId="58B83F38">
      <w:pPr>
        <w:spacing w:line="576" w:lineRule="exact"/>
        <w:ind w:firstLine="640" w:firstLineChars="200"/>
        <w:jc w:val="both"/>
        <w:rPr>
          <w:rFonts w:hint="default" w:eastAsia="仿宋_GB2312"/>
          <w:color w:val="000000"/>
          <w:sz w:val="32"/>
        </w:rPr>
      </w:pPr>
      <w:r>
        <w:rPr>
          <w:rFonts w:hint="default" w:eastAsia="仿宋_GB2312"/>
          <w:color w:val="000000"/>
          <w:sz w:val="32"/>
        </w:rPr>
        <w:t>本项目具体实施由区经济合作和外事中心对外合作股负责，由综合股负责监督执行。</w:t>
      </w:r>
    </w:p>
    <w:p w14:paraId="52C7BF06">
      <w:pPr>
        <w:spacing w:line="576" w:lineRule="exact"/>
        <w:ind w:firstLine="640" w:firstLineChars="200"/>
        <w:jc w:val="both"/>
        <w:rPr>
          <w:rFonts w:hint="default" w:eastAsia="黑体"/>
          <w:color w:val="000000"/>
          <w:sz w:val="32"/>
        </w:rPr>
      </w:pPr>
      <w:r>
        <w:rPr>
          <w:rFonts w:hint="default" w:eastAsia="黑体"/>
          <w:color w:val="000000"/>
          <w:sz w:val="32"/>
        </w:rPr>
        <w:t>三、项目绩效情况</w:t>
      </w:r>
      <w:r>
        <w:rPr>
          <w:rFonts w:hint="default" w:eastAsia="黑体"/>
          <w:color w:val="000000"/>
          <w:sz w:val="32"/>
        </w:rPr>
        <w:tab/>
      </w:r>
    </w:p>
    <w:p w14:paraId="3D25AC66">
      <w:pPr>
        <w:spacing w:line="576" w:lineRule="exact"/>
        <w:ind w:firstLine="640" w:firstLineChars="200"/>
        <w:jc w:val="both"/>
        <w:rPr>
          <w:rFonts w:hint="default" w:eastAsia="仿宋_GB2312"/>
          <w:color w:val="000000"/>
          <w:sz w:val="32"/>
        </w:rPr>
      </w:pPr>
      <w:r>
        <w:rPr>
          <w:rFonts w:hint="default" w:eastAsia="仿宋_GB2312"/>
          <w:color w:val="000000"/>
          <w:sz w:val="32"/>
        </w:rPr>
        <w:t>（一）项目完成情况。</w:t>
      </w:r>
    </w:p>
    <w:p w14:paraId="0F7F0057">
      <w:pPr>
        <w:spacing w:line="576" w:lineRule="exact"/>
        <w:ind w:firstLine="640" w:firstLineChars="200"/>
        <w:jc w:val="both"/>
        <w:rPr>
          <w:rFonts w:hint="default" w:eastAsia="仿宋_GB2312"/>
          <w:color w:val="000000"/>
          <w:sz w:val="32"/>
        </w:rPr>
      </w:pPr>
      <w:r>
        <w:rPr>
          <w:rFonts w:hint="default" w:eastAsia="仿宋_GB2312"/>
          <w:color w:val="000000"/>
          <w:sz w:val="32"/>
        </w:rPr>
        <w:t>1.数量指标。签约项目个数不少于10个，实际完成12个。完成率均达到100%。</w:t>
      </w:r>
    </w:p>
    <w:p w14:paraId="1BEF3A6E">
      <w:pPr>
        <w:spacing w:line="576" w:lineRule="exact"/>
        <w:ind w:firstLine="640" w:firstLineChars="200"/>
        <w:jc w:val="both"/>
        <w:rPr>
          <w:rFonts w:hint="default" w:eastAsia="仿宋_GB2312"/>
          <w:color w:val="000000"/>
          <w:sz w:val="32"/>
        </w:rPr>
      </w:pPr>
      <w:r>
        <w:rPr>
          <w:rFonts w:hint="default" w:eastAsia="仿宋_GB2312"/>
          <w:color w:val="000000"/>
          <w:sz w:val="32"/>
        </w:rPr>
        <w:t>2.质量指标。单个项目签约金额不少于5000万元，实际完成20000万元。</w:t>
      </w:r>
    </w:p>
    <w:p w14:paraId="0C141E7B">
      <w:pPr>
        <w:spacing w:line="576" w:lineRule="exact"/>
        <w:ind w:firstLine="640" w:firstLineChars="200"/>
        <w:jc w:val="both"/>
        <w:rPr>
          <w:rFonts w:hint="default" w:eastAsia="仿宋_GB2312"/>
          <w:color w:val="000000"/>
          <w:sz w:val="32"/>
        </w:rPr>
      </w:pPr>
      <w:r>
        <w:rPr>
          <w:rFonts w:hint="default" w:eastAsia="仿宋_GB2312"/>
          <w:color w:val="000000"/>
          <w:sz w:val="32"/>
        </w:rPr>
        <w:t>3.时效指标。任务完成及时率100%。</w:t>
      </w:r>
    </w:p>
    <w:p w14:paraId="37DAAFC8">
      <w:pPr>
        <w:spacing w:line="576" w:lineRule="exact"/>
        <w:ind w:firstLine="640" w:firstLineChars="200"/>
        <w:jc w:val="both"/>
        <w:rPr>
          <w:rFonts w:hint="default" w:eastAsia="仿宋_GB2312"/>
          <w:color w:val="000000"/>
          <w:sz w:val="32"/>
        </w:rPr>
      </w:pPr>
      <w:r>
        <w:rPr>
          <w:rFonts w:hint="default" w:eastAsia="仿宋_GB2312"/>
          <w:color w:val="000000"/>
          <w:sz w:val="32"/>
        </w:rPr>
        <w:t>（二）项目效益情况。</w:t>
      </w:r>
    </w:p>
    <w:p w14:paraId="33C7BDCF">
      <w:pPr>
        <w:spacing w:line="576" w:lineRule="exact"/>
        <w:ind w:firstLine="640" w:firstLineChars="200"/>
        <w:jc w:val="both"/>
        <w:rPr>
          <w:rFonts w:hint="default" w:eastAsia="仿宋_GB2312"/>
          <w:color w:val="000000"/>
          <w:sz w:val="32"/>
        </w:rPr>
      </w:pPr>
      <w:r>
        <w:rPr>
          <w:rFonts w:hint="default" w:eastAsia="仿宋_GB2312"/>
          <w:color w:val="000000"/>
          <w:sz w:val="32"/>
        </w:rPr>
        <w:t>1.社会效益指标。提供就业岗位不少于500人，实际完成500人。增加投资不少于2亿元，实际完成3.09亿元。</w:t>
      </w:r>
    </w:p>
    <w:p w14:paraId="70343052">
      <w:pPr>
        <w:spacing w:line="576" w:lineRule="exact"/>
        <w:ind w:firstLine="640" w:firstLineChars="200"/>
        <w:jc w:val="both"/>
        <w:rPr>
          <w:rFonts w:hint="default" w:eastAsia="仿宋_GB2312"/>
          <w:color w:val="000000"/>
          <w:sz w:val="32"/>
        </w:rPr>
      </w:pPr>
      <w:r>
        <w:rPr>
          <w:rFonts w:hint="default" w:eastAsia="仿宋_GB2312"/>
          <w:color w:val="000000"/>
          <w:sz w:val="32"/>
        </w:rPr>
        <w:t>2.生态效益指标。招引企业项目均达到环保要求。</w:t>
      </w:r>
    </w:p>
    <w:p w14:paraId="7583022F">
      <w:pPr>
        <w:spacing w:line="576" w:lineRule="exact"/>
        <w:ind w:firstLine="640" w:firstLineChars="200"/>
        <w:jc w:val="both"/>
        <w:rPr>
          <w:rFonts w:hint="default" w:eastAsia="仿宋_GB2312"/>
          <w:color w:val="000000"/>
          <w:sz w:val="32"/>
        </w:rPr>
      </w:pPr>
      <w:r>
        <w:rPr>
          <w:rFonts w:hint="default" w:eastAsia="仿宋_GB2312"/>
          <w:color w:val="000000"/>
          <w:sz w:val="32"/>
        </w:rPr>
        <w:t>3.经济效益指标。招引企业均能在昭化区内长期发展，促进昭化区经济发展。</w:t>
      </w:r>
    </w:p>
    <w:p w14:paraId="0B63A5DB">
      <w:pPr>
        <w:spacing w:line="576" w:lineRule="exact"/>
        <w:ind w:firstLine="640" w:firstLineChars="200"/>
        <w:jc w:val="both"/>
        <w:rPr>
          <w:rFonts w:hint="default" w:eastAsia="仿宋_GB2312"/>
          <w:color w:val="000000"/>
          <w:sz w:val="32"/>
        </w:rPr>
      </w:pPr>
      <w:r>
        <w:rPr>
          <w:rFonts w:hint="default" w:eastAsia="仿宋_GB2312"/>
          <w:color w:val="000000"/>
          <w:sz w:val="32"/>
        </w:rPr>
        <w:t>4.满意度指标完成情况分析。服务对象（引进企业、群众）满意度均达到90%。</w:t>
      </w:r>
    </w:p>
    <w:p w14:paraId="3C141544">
      <w:pPr>
        <w:spacing w:line="576" w:lineRule="exact"/>
        <w:ind w:firstLine="640" w:firstLineChars="200"/>
        <w:jc w:val="both"/>
        <w:rPr>
          <w:rFonts w:hint="default" w:eastAsia="仿宋_GB2312"/>
          <w:color w:val="000000"/>
          <w:sz w:val="32"/>
        </w:rPr>
      </w:pPr>
      <w:r>
        <w:rPr>
          <w:rFonts w:hint="default" w:eastAsia="仿宋_GB2312"/>
          <w:color w:val="000000"/>
          <w:sz w:val="32"/>
        </w:rPr>
        <w:t>（三）违规记录。</w:t>
      </w:r>
    </w:p>
    <w:p w14:paraId="3AB092C0">
      <w:pPr>
        <w:spacing w:line="576" w:lineRule="exact"/>
        <w:ind w:firstLine="640" w:firstLineChars="200"/>
        <w:jc w:val="both"/>
        <w:rPr>
          <w:rFonts w:hint="default" w:eastAsia="仿宋_GB2312"/>
          <w:color w:val="000000"/>
          <w:sz w:val="32"/>
        </w:rPr>
      </w:pPr>
      <w:r>
        <w:rPr>
          <w:rFonts w:hint="default" w:eastAsia="仿宋_GB2312"/>
          <w:color w:val="000000"/>
          <w:sz w:val="32"/>
        </w:rPr>
        <w:t>无</w:t>
      </w:r>
    </w:p>
    <w:p w14:paraId="316BD5CE">
      <w:pPr>
        <w:spacing w:line="576" w:lineRule="exact"/>
        <w:ind w:firstLine="640" w:firstLineChars="200"/>
        <w:jc w:val="both"/>
        <w:rPr>
          <w:rFonts w:hint="default" w:eastAsia="黑体"/>
          <w:color w:val="000000"/>
          <w:sz w:val="32"/>
        </w:rPr>
      </w:pPr>
      <w:r>
        <w:rPr>
          <w:rFonts w:hint="default" w:eastAsia="黑体"/>
          <w:color w:val="000000"/>
          <w:sz w:val="32"/>
        </w:rPr>
        <w:t>四、自评结论及建议</w:t>
      </w:r>
    </w:p>
    <w:p w14:paraId="504AFB83">
      <w:pPr>
        <w:spacing w:line="576" w:lineRule="exact"/>
        <w:ind w:firstLine="640" w:firstLineChars="200"/>
        <w:jc w:val="both"/>
        <w:rPr>
          <w:rFonts w:hint="default" w:eastAsia="仿宋_GB2312"/>
          <w:color w:val="000000"/>
          <w:sz w:val="32"/>
        </w:rPr>
      </w:pPr>
      <w:r>
        <w:rPr>
          <w:rFonts w:hint="default" w:eastAsia="仿宋_GB2312"/>
          <w:color w:val="000000"/>
          <w:sz w:val="32"/>
        </w:rPr>
        <w:t>（一）自评结论。</w:t>
      </w:r>
    </w:p>
    <w:p w14:paraId="11ADFCA6">
      <w:pPr>
        <w:spacing w:line="576" w:lineRule="exact"/>
        <w:ind w:firstLine="640" w:firstLineChars="200"/>
        <w:jc w:val="both"/>
        <w:rPr>
          <w:rFonts w:hint="default" w:eastAsia="仿宋_GB2312"/>
          <w:color w:val="000000"/>
          <w:sz w:val="32"/>
        </w:rPr>
      </w:pPr>
      <w:r>
        <w:rPr>
          <w:rFonts w:hint="default" w:eastAsia="仿宋_GB2312"/>
          <w:color w:val="000000"/>
          <w:sz w:val="32"/>
        </w:rPr>
        <w:t>驻外招商小分队项目加强了对外交流合作，加大了对我区经济社会发展的支持，引进优质企业，进一步丰富了我区经济业态。总体来说，该项目实施取得了良好的绩效。</w:t>
      </w:r>
    </w:p>
    <w:p w14:paraId="0940A3C5">
      <w:pPr>
        <w:spacing w:line="576" w:lineRule="exact"/>
        <w:ind w:firstLine="640" w:firstLineChars="200"/>
        <w:jc w:val="both"/>
        <w:rPr>
          <w:rFonts w:hint="default" w:eastAsia="仿宋_GB2312"/>
          <w:color w:val="000000"/>
          <w:sz w:val="32"/>
        </w:rPr>
      </w:pPr>
      <w:r>
        <w:rPr>
          <w:rFonts w:hint="default" w:eastAsia="仿宋_GB2312"/>
          <w:color w:val="000000"/>
          <w:sz w:val="32"/>
        </w:rPr>
        <w:t>（二）存在的问题。</w:t>
      </w:r>
    </w:p>
    <w:p w14:paraId="5FAD8332">
      <w:pPr>
        <w:spacing w:line="576" w:lineRule="exact"/>
        <w:ind w:firstLine="640" w:firstLineChars="200"/>
        <w:jc w:val="both"/>
        <w:rPr>
          <w:rFonts w:hint="default" w:eastAsia="仿宋_GB2312"/>
          <w:color w:val="000000"/>
          <w:sz w:val="32"/>
        </w:rPr>
      </w:pPr>
      <w:r>
        <w:rPr>
          <w:rFonts w:hint="default" w:eastAsia="仿宋_GB2312"/>
          <w:color w:val="000000"/>
          <w:sz w:val="32"/>
        </w:rPr>
        <w:t>通过开展2023年部门绩效评价，发现本部门在预算执行过程中主要存在项目支出科目分解不细不实的问题。</w:t>
      </w:r>
    </w:p>
    <w:p w14:paraId="653A2B58">
      <w:pPr>
        <w:spacing w:line="576" w:lineRule="exact"/>
        <w:ind w:firstLine="640" w:firstLineChars="200"/>
        <w:jc w:val="both"/>
        <w:rPr>
          <w:rFonts w:hint="default" w:eastAsia="仿宋_GB2312"/>
          <w:color w:val="000000"/>
          <w:sz w:val="32"/>
        </w:rPr>
      </w:pPr>
      <w:r>
        <w:rPr>
          <w:rFonts w:hint="default" w:eastAsia="仿宋_GB2312"/>
          <w:color w:val="000000"/>
          <w:sz w:val="32"/>
        </w:rPr>
        <w:t>（三）相关措施或建议。</w:t>
      </w:r>
    </w:p>
    <w:p w14:paraId="3A1852D7">
      <w:pPr>
        <w:spacing w:line="576" w:lineRule="exact"/>
        <w:ind w:firstLine="640" w:firstLineChars="200"/>
        <w:jc w:val="both"/>
        <w:rPr>
          <w:rFonts w:hint="default" w:eastAsia="仿宋_GB2312"/>
          <w:color w:val="000000"/>
          <w:sz w:val="32"/>
        </w:rPr>
      </w:pPr>
      <w:r>
        <w:rPr>
          <w:rFonts w:hint="default" w:eastAsia="仿宋_GB2312"/>
          <w:color w:val="000000"/>
          <w:sz w:val="32"/>
        </w:rPr>
        <w:t>一是科学安排，规范支出流程。科学合理地编制部门预算，力争将部门的全部财务收支事项均纳入年度预算的实施范围。坚持按项目、按进度支,不随意变更预算项目、超预算安排支出。因特殊情况需调整预算或追加支出的应当严格按照程序报批。</w:t>
      </w:r>
    </w:p>
    <w:p w14:paraId="5C07F15E">
      <w:pPr>
        <w:spacing w:line="576" w:lineRule="exact"/>
        <w:ind w:firstLine="640" w:firstLineChars="200"/>
        <w:jc w:val="both"/>
        <w:rPr>
          <w:rFonts w:hint="default" w:eastAsia="仿宋_GB2312"/>
          <w:color w:val="000000"/>
          <w:sz w:val="32"/>
        </w:rPr>
      </w:pPr>
      <w:r>
        <w:rPr>
          <w:rFonts w:hint="default" w:eastAsia="仿宋_GB2312"/>
          <w:color w:val="000000"/>
          <w:sz w:val="32"/>
        </w:rPr>
        <w:t>二是注重实效，优化资源配置。提升财政资金使用绩效，从严从紧控制各类支出，坚持尽力而为、量力而行，统筹安排项目投入，优化财政资源配置，提高资金使用效率。</w:t>
      </w:r>
    </w:p>
    <w:p w14:paraId="751CA41A">
      <w:pPr>
        <w:spacing w:line="576" w:lineRule="exact"/>
        <w:ind w:firstLine="640" w:firstLineChars="200"/>
        <w:jc w:val="both"/>
        <w:rPr>
          <w:rFonts w:hint="default" w:eastAsia="仿宋_GB2312"/>
          <w:color w:val="000000"/>
          <w:sz w:val="32"/>
        </w:rPr>
      </w:pPr>
      <w:r>
        <w:rPr>
          <w:rFonts w:hint="default" w:eastAsia="仿宋_GB2312"/>
          <w:color w:val="000000"/>
          <w:sz w:val="32"/>
        </w:rPr>
        <w:t>三是建立机制，加强成果转化。加强绩效评价结果应用，建立动态评价调整机制，推动绩效管理标准科学、程序规范、结果可信，提升规范化、科学化、标准化、精细化水平，增强财政可持续性。</w:t>
      </w:r>
    </w:p>
    <w:p w14:paraId="7A5B33D7">
      <w:pPr>
        <w:spacing w:line="576" w:lineRule="exact"/>
        <w:ind w:firstLine="640" w:firstLineChars="200"/>
        <w:jc w:val="both"/>
        <w:rPr>
          <w:rFonts w:hint="default" w:eastAsia="仿宋_GB2312"/>
          <w:color w:val="000000"/>
          <w:sz w:val="32"/>
        </w:rPr>
      </w:pPr>
    </w:p>
    <w:p w14:paraId="72FD98F0">
      <w:pPr>
        <w:spacing w:line="576" w:lineRule="exact"/>
        <w:ind w:firstLine="640" w:firstLineChars="200"/>
        <w:jc w:val="both"/>
        <w:rPr>
          <w:rFonts w:hint="default" w:eastAsia="仿宋_GB2312"/>
          <w:color w:val="000000"/>
          <w:sz w:val="32"/>
        </w:rPr>
      </w:pPr>
    </w:p>
    <w:p w14:paraId="44ED39F6">
      <w:pPr>
        <w:spacing w:line="576" w:lineRule="exact"/>
        <w:ind w:firstLine="640" w:firstLineChars="200"/>
        <w:jc w:val="both"/>
        <w:rPr>
          <w:rFonts w:hint="default" w:eastAsia="仿宋_GB2312"/>
          <w:color w:val="000000"/>
          <w:sz w:val="32"/>
        </w:rPr>
      </w:pPr>
    </w:p>
    <w:p w14:paraId="1102DF62">
      <w:pPr>
        <w:spacing w:line="576" w:lineRule="exact"/>
        <w:ind w:firstLine="640" w:firstLineChars="200"/>
        <w:jc w:val="both"/>
        <w:rPr>
          <w:rFonts w:hint="default" w:eastAsia="仿宋_GB2312"/>
          <w:color w:val="000000"/>
          <w:sz w:val="32"/>
        </w:rPr>
      </w:pPr>
    </w:p>
    <w:p w14:paraId="128C8976">
      <w:pPr>
        <w:spacing w:line="576" w:lineRule="exact"/>
        <w:ind w:firstLine="640" w:firstLineChars="200"/>
        <w:jc w:val="both"/>
        <w:rPr>
          <w:rFonts w:hint="default" w:eastAsia="仿宋_GB2312"/>
          <w:color w:val="000000"/>
          <w:sz w:val="32"/>
        </w:rPr>
      </w:pPr>
    </w:p>
    <w:p w14:paraId="17CFBFB7">
      <w:pPr>
        <w:spacing w:line="576" w:lineRule="exact"/>
        <w:ind w:firstLine="640" w:firstLineChars="200"/>
        <w:jc w:val="both"/>
        <w:rPr>
          <w:rFonts w:hint="default" w:eastAsia="仿宋_GB2312"/>
          <w:color w:val="000000"/>
          <w:sz w:val="32"/>
        </w:rPr>
      </w:pPr>
    </w:p>
    <w:p w14:paraId="5AC46F06">
      <w:pPr>
        <w:spacing w:line="576" w:lineRule="exact"/>
        <w:ind w:firstLine="640" w:firstLineChars="200"/>
        <w:jc w:val="both"/>
        <w:rPr>
          <w:rFonts w:hint="default" w:eastAsia="仿宋_GB2312"/>
          <w:color w:val="000000"/>
          <w:sz w:val="32"/>
        </w:rPr>
      </w:pPr>
    </w:p>
    <w:p w14:paraId="71AD8C91">
      <w:pPr>
        <w:spacing w:line="576" w:lineRule="exact"/>
        <w:ind w:firstLine="640" w:firstLineChars="200"/>
        <w:jc w:val="both"/>
        <w:rPr>
          <w:rFonts w:hint="default" w:eastAsia="仿宋_GB2312"/>
          <w:color w:val="000000"/>
          <w:sz w:val="32"/>
        </w:rPr>
      </w:pPr>
    </w:p>
    <w:p w14:paraId="49824E85">
      <w:pPr>
        <w:spacing w:line="576" w:lineRule="exact"/>
        <w:ind w:firstLine="640" w:firstLineChars="200"/>
        <w:jc w:val="both"/>
        <w:rPr>
          <w:rFonts w:hint="default" w:eastAsia="仿宋_GB2312"/>
          <w:color w:val="000000"/>
          <w:sz w:val="32"/>
        </w:rPr>
      </w:pPr>
    </w:p>
    <w:tbl>
      <w:tblPr>
        <w:tblStyle w:val="14"/>
        <w:tblW w:w="9865" w:type="dxa"/>
        <w:jc w:val="center"/>
        <w:tblLayout w:type="autofit"/>
        <w:tblCellMar>
          <w:top w:w="0" w:type="dxa"/>
          <w:left w:w="108" w:type="dxa"/>
          <w:bottom w:w="0" w:type="dxa"/>
          <w:right w:w="108" w:type="dxa"/>
        </w:tblCellMar>
      </w:tblPr>
      <w:tblGrid>
        <w:gridCol w:w="768"/>
        <w:gridCol w:w="852"/>
        <w:gridCol w:w="1128"/>
        <w:gridCol w:w="1140"/>
        <w:gridCol w:w="2040"/>
        <w:gridCol w:w="1380"/>
        <w:gridCol w:w="1320"/>
        <w:gridCol w:w="1237"/>
      </w:tblGrid>
      <w:tr w14:paraId="3F73F288">
        <w:tblPrEx>
          <w:tblCellMar>
            <w:top w:w="0" w:type="dxa"/>
            <w:left w:w="108" w:type="dxa"/>
            <w:bottom w:w="0" w:type="dxa"/>
            <w:right w:w="108" w:type="dxa"/>
          </w:tblCellMar>
        </w:tblPrEx>
        <w:trPr>
          <w:trHeight w:val="600" w:hRule="atLeast"/>
          <w:jc w:val="center"/>
        </w:trPr>
        <w:tc>
          <w:tcPr>
            <w:tcW w:w="9864" w:type="dxa"/>
            <w:gridSpan w:val="8"/>
            <w:tcBorders>
              <w:top w:val="nil"/>
              <w:left w:val="nil"/>
              <w:bottom w:val="nil"/>
              <w:right w:val="nil"/>
            </w:tcBorders>
            <w:vAlign w:val="center"/>
          </w:tcPr>
          <w:p w14:paraId="326C0366">
            <w:pPr>
              <w:widowControl/>
              <w:jc w:val="center"/>
              <w:textAlignment w:val="center"/>
              <w:rPr>
                <w:rFonts w:hint="default" w:eastAsia="方正小标宋简体"/>
                <w:color w:val="000000"/>
                <w:sz w:val="36"/>
                <w:szCs w:val="36"/>
              </w:rPr>
            </w:pPr>
            <w:r>
              <w:rPr>
                <w:rFonts w:hint="default" w:eastAsia="方正小标宋简体"/>
                <w:color w:val="000000"/>
                <w:sz w:val="36"/>
                <w:szCs w:val="36"/>
              </w:rPr>
              <w:t>广元市昭化区财政项目（政策）支出绩效自评表</w:t>
            </w:r>
          </w:p>
        </w:tc>
      </w:tr>
      <w:tr w14:paraId="295524C5">
        <w:tblPrEx>
          <w:tblCellMar>
            <w:top w:w="0" w:type="dxa"/>
            <w:left w:w="108" w:type="dxa"/>
            <w:bottom w:w="0" w:type="dxa"/>
            <w:right w:w="108" w:type="dxa"/>
          </w:tblCellMar>
        </w:tblPrEx>
        <w:trPr>
          <w:trHeight w:val="459" w:hRule="atLeast"/>
          <w:jc w:val="center"/>
        </w:trPr>
        <w:tc>
          <w:tcPr>
            <w:tcW w:w="9864" w:type="dxa"/>
            <w:gridSpan w:val="8"/>
            <w:tcBorders>
              <w:top w:val="nil"/>
              <w:left w:val="nil"/>
              <w:bottom w:val="nil"/>
              <w:right w:val="nil"/>
            </w:tcBorders>
          </w:tcPr>
          <w:p w14:paraId="6AE3CA86">
            <w:pPr>
              <w:widowControl/>
              <w:jc w:val="center"/>
              <w:textAlignment w:val="top"/>
              <w:rPr>
                <w:rFonts w:hint="default"/>
                <w:b/>
                <w:bCs/>
                <w:color w:val="000000"/>
              </w:rPr>
            </w:pPr>
            <w:r>
              <w:rPr>
                <w:rFonts w:hint="default"/>
                <w:b/>
                <w:bCs/>
                <w:color w:val="000000"/>
              </w:rPr>
              <w:t>（ 2023年度）</w:t>
            </w:r>
          </w:p>
        </w:tc>
      </w:tr>
      <w:tr w14:paraId="5F477667">
        <w:tblPrEx>
          <w:tblCellMar>
            <w:top w:w="0" w:type="dxa"/>
            <w:left w:w="108" w:type="dxa"/>
            <w:bottom w:w="0" w:type="dxa"/>
            <w:right w:w="108" w:type="dxa"/>
          </w:tblCellMar>
        </w:tblPrEx>
        <w:trPr>
          <w:trHeight w:val="441" w:hRule="atLeast"/>
          <w:jc w:val="center"/>
        </w:trPr>
        <w:tc>
          <w:tcPr>
            <w:tcW w:w="1620" w:type="dxa"/>
            <w:gridSpan w:val="2"/>
            <w:tcBorders>
              <w:top w:val="single" w:color="000000" w:sz="4" w:space="0"/>
              <w:left w:val="single" w:color="000000" w:sz="4" w:space="0"/>
              <w:bottom w:val="single" w:color="000000" w:sz="4" w:space="0"/>
              <w:right w:val="single" w:color="000000" w:sz="4" w:space="0"/>
            </w:tcBorders>
            <w:vAlign w:val="center"/>
          </w:tcPr>
          <w:p w14:paraId="58018981">
            <w:pPr>
              <w:widowControl/>
              <w:jc w:val="center"/>
              <w:textAlignment w:val="center"/>
              <w:rPr>
                <w:rFonts w:hint="default"/>
                <w:color w:val="000000"/>
                <w:sz w:val="18"/>
                <w:szCs w:val="18"/>
              </w:rPr>
            </w:pPr>
            <w:r>
              <w:rPr>
                <w:rFonts w:hint="default"/>
                <w:color w:val="000000"/>
                <w:sz w:val="18"/>
                <w:szCs w:val="18"/>
              </w:rPr>
              <w:t>项目（政策）名称</w:t>
            </w:r>
          </w:p>
        </w:tc>
        <w:tc>
          <w:tcPr>
            <w:tcW w:w="8244" w:type="dxa"/>
            <w:gridSpan w:val="6"/>
            <w:tcBorders>
              <w:top w:val="single" w:color="000000" w:sz="4" w:space="0"/>
              <w:left w:val="single" w:color="000000" w:sz="4" w:space="0"/>
              <w:bottom w:val="single" w:color="000000" w:sz="4" w:space="0"/>
              <w:right w:val="single" w:color="000000" w:sz="4" w:space="0"/>
            </w:tcBorders>
            <w:vAlign w:val="center"/>
          </w:tcPr>
          <w:p w14:paraId="3034CC7F">
            <w:pPr>
              <w:widowControl/>
              <w:jc w:val="center"/>
              <w:textAlignment w:val="center"/>
              <w:rPr>
                <w:rFonts w:hint="default"/>
                <w:color w:val="000000"/>
                <w:sz w:val="18"/>
                <w:szCs w:val="18"/>
              </w:rPr>
            </w:pPr>
            <w:r>
              <w:rPr>
                <w:rFonts w:hint="default"/>
                <w:color w:val="000000"/>
                <w:sz w:val="18"/>
                <w:szCs w:val="18"/>
              </w:rPr>
              <w:t>驻外招商小分队工作经费</w:t>
            </w:r>
          </w:p>
        </w:tc>
      </w:tr>
      <w:tr w14:paraId="16F60B86">
        <w:tblPrEx>
          <w:tblCellMar>
            <w:top w:w="0" w:type="dxa"/>
            <w:left w:w="108" w:type="dxa"/>
            <w:bottom w:w="0" w:type="dxa"/>
            <w:right w:w="108" w:type="dxa"/>
          </w:tblCellMar>
        </w:tblPrEx>
        <w:trPr>
          <w:trHeight w:val="360" w:hRule="atLeast"/>
          <w:jc w:val="center"/>
        </w:trPr>
        <w:tc>
          <w:tcPr>
            <w:tcW w:w="1620" w:type="dxa"/>
            <w:gridSpan w:val="2"/>
            <w:tcBorders>
              <w:top w:val="single" w:color="000000" w:sz="4" w:space="0"/>
              <w:left w:val="single" w:color="000000" w:sz="4" w:space="0"/>
              <w:bottom w:val="single" w:color="000000" w:sz="4" w:space="0"/>
              <w:right w:val="single" w:color="000000" w:sz="4" w:space="0"/>
            </w:tcBorders>
            <w:vAlign w:val="center"/>
          </w:tcPr>
          <w:p w14:paraId="2B88C61E">
            <w:pPr>
              <w:widowControl/>
              <w:jc w:val="center"/>
              <w:textAlignment w:val="center"/>
              <w:rPr>
                <w:rFonts w:hint="default"/>
                <w:color w:val="000000"/>
                <w:sz w:val="18"/>
                <w:szCs w:val="18"/>
              </w:rPr>
            </w:pPr>
            <w:r>
              <w:rPr>
                <w:rFonts w:hint="default"/>
                <w:color w:val="000000"/>
                <w:sz w:val="18"/>
                <w:szCs w:val="18"/>
              </w:rPr>
              <w:t>主管部门</w:t>
            </w:r>
          </w:p>
        </w:tc>
        <w:tc>
          <w:tcPr>
            <w:tcW w:w="4308" w:type="dxa"/>
            <w:gridSpan w:val="3"/>
            <w:tcBorders>
              <w:top w:val="single" w:color="000000" w:sz="4" w:space="0"/>
              <w:left w:val="single" w:color="000000" w:sz="4" w:space="0"/>
              <w:bottom w:val="single" w:color="000000" w:sz="4" w:space="0"/>
              <w:right w:val="single" w:color="000000" w:sz="4" w:space="0"/>
            </w:tcBorders>
            <w:vAlign w:val="center"/>
          </w:tcPr>
          <w:p w14:paraId="3DFAFC49">
            <w:pPr>
              <w:widowControl/>
              <w:jc w:val="center"/>
              <w:textAlignment w:val="center"/>
              <w:rPr>
                <w:rFonts w:hint="default"/>
                <w:color w:val="000000"/>
                <w:sz w:val="18"/>
                <w:szCs w:val="18"/>
              </w:rPr>
            </w:pPr>
            <w:r>
              <w:rPr>
                <w:rFonts w:hint="default"/>
                <w:color w:val="000000"/>
                <w:sz w:val="18"/>
                <w:szCs w:val="18"/>
              </w:rPr>
              <w:t>区经济合作和外事中心</w:t>
            </w:r>
          </w:p>
        </w:tc>
        <w:tc>
          <w:tcPr>
            <w:tcW w:w="1380" w:type="dxa"/>
            <w:tcBorders>
              <w:top w:val="single" w:color="000000" w:sz="4" w:space="0"/>
              <w:left w:val="single" w:color="000000" w:sz="4" w:space="0"/>
              <w:bottom w:val="single" w:color="000000" w:sz="4" w:space="0"/>
              <w:right w:val="single" w:color="000000" w:sz="4" w:space="0"/>
            </w:tcBorders>
            <w:vAlign w:val="center"/>
          </w:tcPr>
          <w:p w14:paraId="19CAF217">
            <w:pPr>
              <w:widowControl/>
              <w:jc w:val="center"/>
              <w:textAlignment w:val="center"/>
              <w:rPr>
                <w:rFonts w:hint="default"/>
                <w:color w:val="000000"/>
                <w:sz w:val="18"/>
                <w:szCs w:val="18"/>
              </w:rPr>
            </w:pPr>
            <w:r>
              <w:rPr>
                <w:rFonts w:hint="default"/>
                <w:color w:val="000000"/>
                <w:sz w:val="18"/>
                <w:szCs w:val="18"/>
              </w:rPr>
              <w:t>实施单位</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9F5FEBA">
            <w:pPr>
              <w:widowControl/>
              <w:jc w:val="center"/>
              <w:textAlignment w:val="center"/>
              <w:rPr>
                <w:rFonts w:hint="default"/>
                <w:color w:val="000000"/>
                <w:sz w:val="18"/>
                <w:szCs w:val="18"/>
              </w:rPr>
            </w:pPr>
            <w:r>
              <w:rPr>
                <w:rFonts w:hint="default"/>
                <w:color w:val="000000"/>
                <w:sz w:val="18"/>
                <w:szCs w:val="18"/>
              </w:rPr>
              <w:t>区经济合作和外事中心</w:t>
            </w:r>
          </w:p>
        </w:tc>
      </w:tr>
      <w:tr w14:paraId="6DD05BB1">
        <w:tblPrEx>
          <w:tblCellMar>
            <w:top w:w="0" w:type="dxa"/>
            <w:left w:w="108" w:type="dxa"/>
            <w:bottom w:w="0" w:type="dxa"/>
            <w:right w:w="108" w:type="dxa"/>
          </w:tblCellMar>
        </w:tblPrEx>
        <w:trPr>
          <w:trHeight w:val="360" w:hRule="atLeast"/>
          <w:jc w:val="center"/>
        </w:trPr>
        <w:tc>
          <w:tcPr>
            <w:tcW w:w="1620" w:type="dxa"/>
            <w:gridSpan w:val="2"/>
            <w:vMerge w:val="restart"/>
            <w:tcBorders>
              <w:top w:val="single" w:color="000000" w:sz="4" w:space="0"/>
              <w:left w:val="single" w:color="000000" w:sz="4" w:space="0"/>
              <w:bottom w:val="nil"/>
              <w:right w:val="single" w:color="000000" w:sz="4" w:space="0"/>
            </w:tcBorders>
            <w:vAlign w:val="center"/>
          </w:tcPr>
          <w:p w14:paraId="22880E79">
            <w:pPr>
              <w:widowControl/>
              <w:jc w:val="center"/>
              <w:textAlignment w:val="center"/>
              <w:rPr>
                <w:rFonts w:hint="default"/>
                <w:color w:val="000000"/>
                <w:sz w:val="18"/>
                <w:szCs w:val="18"/>
              </w:rPr>
            </w:pPr>
            <w:r>
              <w:rPr>
                <w:rFonts w:hint="default"/>
                <w:color w:val="000000"/>
                <w:sz w:val="18"/>
                <w:szCs w:val="18"/>
              </w:rPr>
              <w:t>项目（政策）资金（万元）</w:t>
            </w:r>
          </w:p>
        </w:tc>
        <w:tc>
          <w:tcPr>
            <w:tcW w:w="2268" w:type="dxa"/>
            <w:gridSpan w:val="2"/>
            <w:tcBorders>
              <w:top w:val="nil"/>
              <w:left w:val="single" w:color="000000" w:sz="4" w:space="0"/>
              <w:bottom w:val="single" w:color="000000" w:sz="4" w:space="0"/>
              <w:right w:val="single" w:color="000000" w:sz="4" w:space="0"/>
            </w:tcBorders>
            <w:vAlign w:val="center"/>
          </w:tcPr>
          <w:p w14:paraId="46C4A065">
            <w:pPr>
              <w:widowControl/>
              <w:jc w:val="center"/>
              <w:textAlignment w:val="center"/>
              <w:rPr>
                <w:rFonts w:hint="default"/>
                <w:color w:val="000000"/>
                <w:sz w:val="18"/>
                <w:szCs w:val="18"/>
              </w:rPr>
            </w:pPr>
            <w:r>
              <w:rPr>
                <w:rFonts w:hint="default"/>
                <w:color w:val="000000"/>
                <w:sz w:val="18"/>
                <w:szCs w:val="18"/>
              </w:rPr>
              <w:t>年度预算数（万元）</w:t>
            </w:r>
          </w:p>
        </w:tc>
        <w:tc>
          <w:tcPr>
            <w:tcW w:w="2040" w:type="dxa"/>
            <w:tcBorders>
              <w:top w:val="nil"/>
              <w:left w:val="single" w:color="000000" w:sz="4" w:space="0"/>
              <w:bottom w:val="single" w:color="000000" w:sz="4" w:space="0"/>
              <w:right w:val="single" w:color="000000" w:sz="4" w:space="0"/>
            </w:tcBorders>
            <w:vAlign w:val="center"/>
          </w:tcPr>
          <w:p w14:paraId="43A3AA66">
            <w:pPr>
              <w:widowControl/>
              <w:jc w:val="center"/>
              <w:textAlignment w:val="center"/>
              <w:rPr>
                <w:rFonts w:hint="default"/>
                <w:color w:val="000000"/>
                <w:sz w:val="18"/>
                <w:szCs w:val="18"/>
              </w:rPr>
            </w:pPr>
            <w:r>
              <w:rPr>
                <w:rFonts w:hint="default"/>
                <w:color w:val="000000"/>
                <w:sz w:val="18"/>
                <w:szCs w:val="18"/>
              </w:rPr>
              <w:t>年初预算数</w:t>
            </w:r>
          </w:p>
        </w:tc>
        <w:tc>
          <w:tcPr>
            <w:tcW w:w="1380" w:type="dxa"/>
            <w:tcBorders>
              <w:top w:val="nil"/>
              <w:left w:val="single" w:color="000000" w:sz="4" w:space="0"/>
              <w:bottom w:val="single" w:color="000000" w:sz="4" w:space="0"/>
              <w:right w:val="single" w:color="000000" w:sz="4" w:space="0"/>
            </w:tcBorders>
            <w:vAlign w:val="center"/>
          </w:tcPr>
          <w:p w14:paraId="39B2CF4E">
            <w:pPr>
              <w:widowControl/>
              <w:jc w:val="center"/>
              <w:textAlignment w:val="center"/>
              <w:rPr>
                <w:rFonts w:hint="default"/>
                <w:color w:val="000000"/>
                <w:sz w:val="18"/>
                <w:szCs w:val="18"/>
              </w:rPr>
            </w:pPr>
            <w:r>
              <w:rPr>
                <w:rFonts w:hint="default"/>
                <w:color w:val="000000"/>
                <w:sz w:val="18"/>
                <w:szCs w:val="18"/>
              </w:rPr>
              <w:t>全年预算数</w:t>
            </w:r>
          </w:p>
        </w:tc>
        <w:tc>
          <w:tcPr>
            <w:tcW w:w="1320" w:type="dxa"/>
            <w:tcBorders>
              <w:top w:val="nil"/>
              <w:left w:val="single" w:color="000000" w:sz="4" w:space="0"/>
              <w:bottom w:val="single" w:color="000000" w:sz="4" w:space="0"/>
              <w:right w:val="single" w:color="000000" w:sz="4" w:space="0"/>
            </w:tcBorders>
            <w:vAlign w:val="center"/>
          </w:tcPr>
          <w:p w14:paraId="66F867AA">
            <w:pPr>
              <w:widowControl/>
              <w:jc w:val="center"/>
              <w:textAlignment w:val="center"/>
              <w:rPr>
                <w:rFonts w:hint="default"/>
                <w:color w:val="000000"/>
                <w:sz w:val="18"/>
                <w:szCs w:val="18"/>
              </w:rPr>
            </w:pPr>
            <w:r>
              <w:rPr>
                <w:rFonts w:hint="default"/>
                <w:color w:val="000000"/>
                <w:sz w:val="18"/>
                <w:szCs w:val="18"/>
              </w:rPr>
              <w:t>全年执行数</w:t>
            </w:r>
          </w:p>
        </w:tc>
        <w:tc>
          <w:tcPr>
            <w:tcW w:w="1236" w:type="dxa"/>
            <w:tcBorders>
              <w:top w:val="nil"/>
              <w:left w:val="single" w:color="000000" w:sz="4" w:space="0"/>
              <w:bottom w:val="single" w:color="000000" w:sz="4" w:space="0"/>
              <w:right w:val="single" w:color="000000" w:sz="4" w:space="0"/>
            </w:tcBorders>
            <w:vAlign w:val="center"/>
          </w:tcPr>
          <w:p w14:paraId="55262B20">
            <w:pPr>
              <w:widowControl/>
              <w:jc w:val="center"/>
              <w:textAlignment w:val="center"/>
              <w:rPr>
                <w:rFonts w:hint="default"/>
                <w:color w:val="000000"/>
                <w:sz w:val="18"/>
                <w:szCs w:val="18"/>
              </w:rPr>
            </w:pPr>
            <w:r>
              <w:rPr>
                <w:rFonts w:hint="default"/>
                <w:color w:val="000000"/>
                <w:sz w:val="18"/>
                <w:szCs w:val="18"/>
              </w:rPr>
              <w:t>执行率</w:t>
            </w:r>
          </w:p>
        </w:tc>
      </w:tr>
      <w:tr w14:paraId="396CE51B">
        <w:tblPrEx>
          <w:tblCellMar>
            <w:top w:w="0" w:type="dxa"/>
            <w:left w:w="108" w:type="dxa"/>
            <w:bottom w:w="0" w:type="dxa"/>
            <w:right w:w="108" w:type="dxa"/>
          </w:tblCellMar>
        </w:tblPrEx>
        <w:trPr>
          <w:trHeight w:val="360" w:hRule="atLeast"/>
          <w:jc w:val="center"/>
        </w:trPr>
        <w:tc>
          <w:tcPr>
            <w:tcW w:w="1620" w:type="dxa"/>
            <w:gridSpan w:val="2"/>
            <w:vMerge w:val="continue"/>
            <w:tcBorders>
              <w:top w:val="single" w:color="000000" w:sz="4" w:space="0"/>
              <w:left w:val="single" w:color="000000" w:sz="4" w:space="0"/>
              <w:bottom w:val="nil"/>
              <w:right w:val="single" w:color="000000" w:sz="4" w:space="0"/>
            </w:tcBorders>
            <w:vAlign w:val="center"/>
          </w:tcPr>
          <w:p w14:paraId="0650DC54">
            <w:pPr>
              <w:jc w:val="center"/>
              <w:rPr>
                <w:rFonts w:hint="default"/>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41C20A26">
            <w:pPr>
              <w:widowControl/>
              <w:jc w:val="center"/>
              <w:textAlignment w:val="center"/>
              <w:rPr>
                <w:rFonts w:hint="default"/>
                <w:color w:val="000000"/>
                <w:sz w:val="18"/>
                <w:szCs w:val="18"/>
              </w:rPr>
            </w:pPr>
            <w:r>
              <w:rPr>
                <w:rFonts w:hint="default"/>
                <w:color w:val="000000"/>
                <w:sz w:val="18"/>
                <w:szCs w:val="18"/>
              </w:rPr>
              <w:t>年度资金总额</w:t>
            </w:r>
          </w:p>
        </w:tc>
        <w:tc>
          <w:tcPr>
            <w:tcW w:w="2040" w:type="dxa"/>
            <w:tcBorders>
              <w:top w:val="single" w:color="000000" w:sz="4" w:space="0"/>
              <w:left w:val="single" w:color="000000" w:sz="4" w:space="0"/>
              <w:bottom w:val="single" w:color="000000" w:sz="4" w:space="0"/>
              <w:right w:val="single" w:color="000000" w:sz="4" w:space="0"/>
            </w:tcBorders>
            <w:vAlign w:val="center"/>
          </w:tcPr>
          <w:p w14:paraId="07276109">
            <w:pPr>
              <w:widowControl/>
              <w:jc w:val="center"/>
              <w:textAlignment w:val="center"/>
              <w:rPr>
                <w:rFonts w:hint="default"/>
                <w:color w:val="000000"/>
                <w:sz w:val="18"/>
                <w:szCs w:val="18"/>
              </w:rPr>
            </w:pPr>
            <w:r>
              <w:rPr>
                <w:rFonts w:hint="default"/>
                <w:color w:val="000000"/>
                <w:sz w:val="18"/>
                <w:szCs w:val="18"/>
              </w:rPr>
              <w:t>100</w:t>
            </w:r>
          </w:p>
        </w:tc>
        <w:tc>
          <w:tcPr>
            <w:tcW w:w="1380" w:type="dxa"/>
            <w:tcBorders>
              <w:top w:val="single" w:color="000000" w:sz="4" w:space="0"/>
              <w:left w:val="single" w:color="000000" w:sz="4" w:space="0"/>
              <w:bottom w:val="single" w:color="000000" w:sz="4" w:space="0"/>
              <w:right w:val="single" w:color="000000" w:sz="4" w:space="0"/>
            </w:tcBorders>
            <w:vAlign w:val="center"/>
          </w:tcPr>
          <w:p w14:paraId="1CF4A136">
            <w:pPr>
              <w:widowControl/>
              <w:jc w:val="center"/>
              <w:textAlignment w:val="center"/>
              <w:rPr>
                <w:rFonts w:hint="default"/>
                <w:color w:val="000000"/>
                <w:sz w:val="18"/>
                <w:szCs w:val="18"/>
              </w:rPr>
            </w:pPr>
            <w:r>
              <w:rPr>
                <w:rFonts w:hint="default"/>
                <w:color w:val="000000"/>
                <w:sz w:val="18"/>
                <w:szCs w:val="18"/>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14:paraId="162C18DC">
            <w:pPr>
              <w:widowControl/>
              <w:jc w:val="center"/>
              <w:textAlignment w:val="center"/>
              <w:rPr>
                <w:rFonts w:hint="default"/>
                <w:color w:val="000000"/>
                <w:sz w:val="18"/>
                <w:szCs w:val="18"/>
              </w:rPr>
            </w:pPr>
            <w:r>
              <w:rPr>
                <w:rFonts w:hint="default"/>
                <w:color w:val="000000"/>
                <w:sz w:val="18"/>
                <w:szCs w:val="18"/>
              </w:rPr>
              <w:t>100</w:t>
            </w:r>
          </w:p>
        </w:tc>
        <w:tc>
          <w:tcPr>
            <w:tcW w:w="1236" w:type="dxa"/>
            <w:tcBorders>
              <w:top w:val="nil"/>
              <w:left w:val="single" w:color="000000" w:sz="4" w:space="0"/>
              <w:bottom w:val="single" w:color="000000" w:sz="4" w:space="0"/>
              <w:right w:val="single" w:color="000000" w:sz="4" w:space="0"/>
            </w:tcBorders>
            <w:vAlign w:val="center"/>
          </w:tcPr>
          <w:p w14:paraId="37B63384">
            <w:pPr>
              <w:widowControl/>
              <w:jc w:val="center"/>
              <w:textAlignment w:val="center"/>
              <w:rPr>
                <w:rFonts w:hint="default"/>
                <w:color w:val="000000"/>
                <w:sz w:val="18"/>
                <w:szCs w:val="18"/>
              </w:rPr>
            </w:pPr>
            <w:r>
              <w:rPr>
                <w:rFonts w:hint="default"/>
                <w:color w:val="000000"/>
                <w:sz w:val="18"/>
                <w:szCs w:val="18"/>
              </w:rPr>
              <w:t>100%</w:t>
            </w:r>
          </w:p>
        </w:tc>
      </w:tr>
      <w:tr w14:paraId="7CEB3CDF">
        <w:tblPrEx>
          <w:tblCellMar>
            <w:top w:w="0" w:type="dxa"/>
            <w:left w:w="108" w:type="dxa"/>
            <w:bottom w:w="0" w:type="dxa"/>
            <w:right w:w="108" w:type="dxa"/>
          </w:tblCellMar>
        </w:tblPrEx>
        <w:trPr>
          <w:trHeight w:val="360" w:hRule="atLeast"/>
          <w:jc w:val="center"/>
        </w:trPr>
        <w:tc>
          <w:tcPr>
            <w:tcW w:w="1620" w:type="dxa"/>
            <w:gridSpan w:val="2"/>
            <w:vMerge w:val="continue"/>
            <w:tcBorders>
              <w:top w:val="single" w:color="000000" w:sz="4" w:space="0"/>
              <w:left w:val="single" w:color="000000" w:sz="4" w:space="0"/>
              <w:bottom w:val="nil"/>
              <w:right w:val="single" w:color="000000" w:sz="4" w:space="0"/>
            </w:tcBorders>
            <w:vAlign w:val="center"/>
          </w:tcPr>
          <w:p w14:paraId="4FFE49B4">
            <w:pPr>
              <w:jc w:val="center"/>
              <w:rPr>
                <w:rFonts w:hint="default"/>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7F1E22CC">
            <w:pPr>
              <w:widowControl/>
              <w:textAlignment w:val="center"/>
              <w:rPr>
                <w:rFonts w:hint="default"/>
                <w:color w:val="000000"/>
                <w:sz w:val="18"/>
                <w:szCs w:val="18"/>
              </w:rPr>
            </w:pPr>
            <w:r>
              <w:rPr>
                <w:rFonts w:hint="default"/>
                <w:color w:val="000000"/>
                <w:sz w:val="18"/>
                <w:szCs w:val="18"/>
              </w:rPr>
              <w:t>（一）财政拨款小计</w:t>
            </w:r>
          </w:p>
        </w:tc>
        <w:tc>
          <w:tcPr>
            <w:tcW w:w="2040" w:type="dxa"/>
            <w:tcBorders>
              <w:top w:val="single" w:color="000000" w:sz="4" w:space="0"/>
              <w:left w:val="single" w:color="000000" w:sz="4" w:space="0"/>
              <w:bottom w:val="single" w:color="000000" w:sz="4" w:space="0"/>
              <w:right w:val="single" w:color="000000" w:sz="4" w:space="0"/>
            </w:tcBorders>
            <w:vAlign w:val="center"/>
          </w:tcPr>
          <w:p w14:paraId="539FD53B">
            <w:pPr>
              <w:widowControl/>
              <w:jc w:val="center"/>
              <w:textAlignment w:val="center"/>
              <w:rPr>
                <w:rFonts w:hint="default"/>
                <w:color w:val="000000"/>
                <w:sz w:val="18"/>
                <w:szCs w:val="18"/>
              </w:rPr>
            </w:pPr>
            <w:r>
              <w:rPr>
                <w:rFonts w:hint="default"/>
                <w:color w:val="000000"/>
                <w:sz w:val="18"/>
                <w:szCs w:val="18"/>
              </w:rPr>
              <w:t>100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67AFE3">
            <w:pPr>
              <w:widowControl/>
              <w:jc w:val="center"/>
              <w:textAlignment w:val="center"/>
              <w:rPr>
                <w:rFonts w:hint="default"/>
                <w:color w:val="000000"/>
                <w:sz w:val="18"/>
                <w:szCs w:val="18"/>
              </w:rPr>
            </w:pPr>
            <w:r>
              <w:rPr>
                <w:rFonts w:hint="default"/>
                <w:color w:val="000000"/>
                <w:sz w:val="18"/>
                <w:szCs w:val="18"/>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14:paraId="7CAFF4BC">
            <w:pPr>
              <w:widowControl/>
              <w:jc w:val="center"/>
              <w:textAlignment w:val="center"/>
              <w:rPr>
                <w:rFonts w:hint="default"/>
                <w:color w:val="000000"/>
                <w:sz w:val="18"/>
                <w:szCs w:val="18"/>
              </w:rPr>
            </w:pPr>
            <w:r>
              <w:rPr>
                <w:rFonts w:hint="default"/>
                <w:color w:val="000000"/>
                <w:sz w:val="18"/>
                <w:szCs w:val="18"/>
              </w:rPr>
              <w:t>100</w:t>
            </w:r>
          </w:p>
        </w:tc>
        <w:tc>
          <w:tcPr>
            <w:tcW w:w="1236" w:type="dxa"/>
            <w:tcBorders>
              <w:top w:val="single" w:color="000000" w:sz="4" w:space="0"/>
              <w:left w:val="single" w:color="000000" w:sz="4" w:space="0"/>
              <w:bottom w:val="single" w:color="000000" w:sz="4" w:space="0"/>
              <w:right w:val="single" w:color="000000" w:sz="4" w:space="0"/>
            </w:tcBorders>
            <w:vAlign w:val="center"/>
          </w:tcPr>
          <w:p w14:paraId="2DAE4AD9">
            <w:pPr>
              <w:widowControl/>
              <w:jc w:val="center"/>
              <w:textAlignment w:val="center"/>
              <w:rPr>
                <w:rFonts w:hint="default"/>
                <w:color w:val="000000"/>
                <w:sz w:val="18"/>
                <w:szCs w:val="18"/>
              </w:rPr>
            </w:pPr>
            <w:r>
              <w:rPr>
                <w:rFonts w:hint="default"/>
                <w:color w:val="000000"/>
                <w:sz w:val="18"/>
                <w:szCs w:val="18"/>
              </w:rPr>
              <w:t>100%</w:t>
            </w:r>
          </w:p>
        </w:tc>
      </w:tr>
      <w:tr w14:paraId="7559DE76">
        <w:tblPrEx>
          <w:tblCellMar>
            <w:top w:w="0" w:type="dxa"/>
            <w:left w:w="108" w:type="dxa"/>
            <w:bottom w:w="0" w:type="dxa"/>
            <w:right w:w="108" w:type="dxa"/>
          </w:tblCellMar>
        </w:tblPrEx>
        <w:trPr>
          <w:trHeight w:val="360" w:hRule="atLeast"/>
          <w:jc w:val="center"/>
        </w:trPr>
        <w:tc>
          <w:tcPr>
            <w:tcW w:w="1620" w:type="dxa"/>
            <w:gridSpan w:val="2"/>
            <w:vMerge w:val="continue"/>
            <w:tcBorders>
              <w:top w:val="single" w:color="000000" w:sz="4" w:space="0"/>
              <w:left w:val="single" w:color="000000" w:sz="4" w:space="0"/>
              <w:bottom w:val="nil"/>
              <w:right w:val="single" w:color="000000" w:sz="4" w:space="0"/>
            </w:tcBorders>
            <w:vAlign w:val="center"/>
          </w:tcPr>
          <w:p w14:paraId="0274B34F">
            <w:pPr>
              <w:jc w:val="center"/>
              <w:rPr>
                <w:rFonts w:hint="default"/>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5C10B205">
            <w:pPr>
              <w:widowControl/>
              <w:textAlignment w:val="center"/>
              <w:rPr>
                <w:rFonts w:hint="default"/>
                <w:color w:val="000000"/>
                <w:sz w:val="18"/>
                <w:szCs w:val="18"/>
              </w:rPr>
            </w:pPr>
            <w:r>
              <w:rPr>
                <w:rFonts w:hint="default"/>
                <w:color w:val="000000"/>
                <w:sz w:val="18"/>
                <w:szCs w:val="18"/>
              </w:rPr>
              <w:t xml:space="preserve">   1.一般公共预算</w:t>
            </w:r>
          </w:p>
        </w:tc>
        <w:tc>
          <w:tcPr>
            <w:tcW w:w="2040" w:type="dxa"/>
            <w:tcBorders>
              <w:top w:val="single" w:color="000000" w:sz="4" w:space="0"/>
              <w:left w:val="single" w:color="000000" w:sz="4" w:space="0"/>
              <w:bottom w:val="single" w:color="000000" w:sz="4" w:space="0"/>
              <w:right w:val="single" w:color="000000" w:sz="4" w:space="0"/>
            </w:tcBorders>
            <w:vAlign w:val="center"/>
          </w:tcPr>
          <w:p w14:paraId="1DAB0864">
            <w:pPr>
              <w:widowControl/>
              <w:jc w:val="center"/>
              <w:textAlignment w:val="center"/>
              <w:rPr>
                <w:rFonts w:hint="default"/>
                <w:color w:val="000000"/>
                <w:sz w:val="18"/>
                <w:szCs w:val="18"/>
              </w:rPr>
            </w:pPr>
            <w:r>
              <w:rPr>
                <w:rFonts w:hint="default"/>
                <w:color w:val="000000"/>
                <w:sz w:val="18"/>
                <w:szCs w:val="18"/>
              </w:rPr>
              <w:t>100</w:t>
            </w:r>
          </w:p>
        </w:tc>
        <w:tc>
          <w:tcPr>
            <w:tcW w:w="1380" w:type="dxa"/>
            <w:tcBorders>
              <w:top w:val="single" w:color="000000" w:sz="4" w:space="0"/>
              <w:left w:val="single" w:color="000000" w:sz="4" w:space="0"/>
              <w:bottom w:val="single" w:color="000000" w:sz="4" w:space="0"/>
              <w:right w:val="single" w:color="000000" w:sz="4" w:space="0"/>
            </w:tcBorders>
            <w:vAlign w:val="center"/>
          </w:tcPr>
          <w:p w14:paraId="39123CE1">
            <w:pPr>
              <w:widowControl/>
              <w:jc w:val="center"/>
              <w:textAlignment w:val="center"/>
              <w:rPr>
                <w:rFonts w:hint="default"/>
                <w:color w:val="000000"/>
                <w:sz w:val="18"/>
                <w:szCs w:val="18"/>
              </w:rPr>
            </w:pPr>
            <w:r>
              <w:rPr>
                <w:rFonts w:hint="default"/>
                <w:color w:val="000000"/>
                <w:sz w:val="18"/>
                <w:szCs w:val="18"/>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14:paraId="129E5D68">
            <w:pPr>
              <w:widowControl/>
              <w:jc w:val="center"/>
              <w:textAlignment w:val="center"/>
              <w:rPr>
                <w:rFonts w:hint="default"/>
                <w:color w:val="000000"/>
                <w:sz w:val="18"/>
                <w:szCs w:val="18"/>
              </w:rPr>
            </w:pPr>
            <w:r>
              <w:rPr>
                <w:rFonts w:hint="default"/>
                <w:color w:val="000000"/>
                <w:sz w:val="18"/>
                <w:szCs w:val="18"/>
              </w:rPr>
              <w:t>100</w:t>
            </w:r>
          </w:p>
        </w:tc>
        <w:tc>
          <w:tcPr>
            <w:tcW w:w="1236" w:type="dxa"/>
            <w:tcBorders>
              <w:top w:val="single" w:color="000000" w:sz="4" w:space="0"/>
              <w:left w:val="single" w:color="000000" w:sz="4" w:space="0"/>
              <w:bottom w:val="single" w:color="000000" w:sz="4" w:space="0"/>
              <w:right w:val="single" w:color="000000" w:sz="4" w:space="0"/>
            </w:tcBorders>
            <w:vAlign w:val="center"/>
          </w:tcPr>
          <w:p w14:paraId="1B724EAC">
            <w:pPr>
              <w:widowControl/>
              <w:jc w:val="center"/>
              <w:textAlignment w:val="center"/>
              <w:rPr>
                <w:rFonts w:hint="default"/>
                <w:color w:val="000000"/>
                <w:sz w:val="18"/>
                <w:szCs w:val="18"/>
              </w:rPr>
            </w:pPr>
            <w:r>
              <w:rPr>
                <w:rFonts w:hint="default"/>
                <w:color w:val="000000"/>
                <w:sz w:val="18"/>
                <w:szCs w:val="18"/>
              </w:rPr>
              <w:t>100%</w:t>
            </w:r>
          </w:p>
        </w:tc>
      </w:tr>
      <w:tr w14:paraId="7A8DEAE6">
        <w:tblPrEx>
          <w:tblCellMar>
            <w:top w:w="0" w:type="dxa"/>
            <w:left w:w="108" w:type="dxa"/>
            <w:bottom w:w="0" w:type="dxa"/>
            <w:right w:w="108" w:type="dxa"/>
          </w:tblCellMar>
        </w:tblPrEx>
        <w:trPr>
          <w:trHeight w:val="360" w:hRule="atLeast"/>
          <w:jc w:val="center"/>
        </w:trPr>
        <w:tc>
          <w:tcPr>
            <w:tcW w:w="1620" w:type="dxa"/>
            <w:gridSpan w:val="2"/>
            <w:vMerge w:val="continue"/>
            <w:tcBorders>
              <w:top w:val="single" w:color="000000" w:sz="4" w:space="0"/>
              <w:left w:val="single" w:color="000000" w:sz="4" w:space="0"/>
              <w:bottom w:val="nil"/>
              <w:right w:val="single" w:color="000000" w:sz="4" w:space="0"/>
            </w:tcBorders>
            <w:vAlign w:val="center"/>
          </w:tcPr>
          <w:p w14:paraId="7268FA75">
            <w:pPr>
              <w:jc w:val="center"/>
              <w:rPr>
                <w:rFonts w:hint="default"/>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3CBF4AA3">
            <w:pPr>
              <w:widowControl/>
              <w:textAlignment w:val="center"/>
              <w:rPr>
                <w:rFonts w:hint="default"/>
                <w:color w:val="000000"/>
                <w:sz w:val="18"/>
                <w:szCs w:val="18"/>
              </w:rPr>
            </w:pPr>
            <w:r>
              <w:rPr>
                <w:rFonts w:hint="default"/>
                <w:color w:val="000000"/>
                <w:sz w:val="18"/>
                <w:szCs w:val="18"/>
              </w:rPr>
              <w:t xml:space="preserve">   2.政府性基金</w:t>
            </w:r>
          </w:p>
        </w:tc>
        <w:tc>
          <w:tcPr>
            <w:tcW w:w="2040" w:type="dxa"/>
            <w:tcBorders>
              <w:top w:val="single" w:color="000000" w:sz="4" w:space="0"/>
              <w:left w:val="single" w:color="000000" w:sz="4" w:space="0"/>
              <w:bottom w:val="single" w:color="000000" w:sz="4" w:space="0"/>
              <w:right w:val="single" w:color="000000" w:sz="4" w:space="0"/>
            </w:tcBorders>
            <w:vAlign w:val="center"/>
          </w:tcPr>
          <w:p w14:paraId="0B591911">
            <w:pPr>
              <w:rPr>
                <w:rFonts w:hint="default"/>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6574199E">
            <w:pPr>
              <w:jc w:val="center"/>
              <w:rPr>
                <w:rFonts w:hint="default"/>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3B408E9">
            <w:pPr>
              <w:jc w:val="center"/>
              <w:rPr>
                <w:rFonts w:hint="default"/>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14:paraId="130A58A3">
            <w:pPr>
              <w:jc w:val="center"/>
              <w:rPr>
                <w:rFonts w:hint="default"/>
                <w:color w:val="000000"/>
                <w:sz w:val="18"/>
                <w:szCs w:val="18"/>
              </w:rPr>
            </w:pPr>
          </w:p>
        </w:tc>
      </w:tr>
      <w:tr w14:paraId="3169FBE6">
        <w:tblPrEx>
          <w:tblCellMar>
            <w:top w:w="0" w:type="dxa"/>
            <w:left w:w="108" w:type="dxa"/>
            <w:bottom w:w="0" w:type="dxa"/>
            <w:right w:w="108" w:type="dxa"/>
          </w:tblCellMar>
        </w:tblPrEx>
        <w:trPr>
          <w:trHeight w:val="441" w:hRule="atLeast"/>
          <w:jc w:val="center"/>
        </w:trPr>
        <w:tc>
          <w:tcPr>
            <w:tcW w:w="1620" w:type="dxa"/>
            <w:gridSpan w:val="2"/>
            <w:vMerge w:val="continue"/>
            <w:tcBorders>
              <w:top w:val="single" w:color="000000" w:sz="4" w:space="0"/>
              <w:left w:val="single" w:color="000000" w:sz="4" w:space="0"/>
              <w:bottom w:val="nil"/>
              <w:right w:val="single" w:color="000000" w:sz="4" w:space="0"/>
            </w:tcBorders>
            <w:vAlign w:val="center"/>
          </w:tcPr>
          <w:p w14:paraId="5BDC6585">
            <w:pPr>
              <w:jc w:val="center"/>
              <w:rPr>
                <w:rFonts w:hint="default"/>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5169C41A">
            <w:pPr>
              <w:widowControl/>
              <w:textAlignment w:val="center"/>
              <w:rPr>
                <w:rFonts w:hint="default"/>
                <w:color w:val="000000"/>
                <w:sz w:val="18"/>
                <w:szCs w:val="18"/>
              </w:rPr>
            </w:pPr>
            <w:r>
              <w:rPr>
                <w:rFonts w:hint="default"/>
                <w:color w:val="000000"/>
                <w:sz w:val="18"/>
                <w:szCs w:val="18"/>
              </w:rPr>
              <w:t xml:space="preserve">   3.国有资本经营预算</w:t>
            </w:r>
          </w:p>
        </w:tc>
        <w:tc>
          <w:tcPr>
            <w:tcW w:w="2040" w:type="dxa"/>
            <w:tcBorders>
              <w:top w:val="single" w:color="000000" w:sz="4" w:space="0"/>
              <w:left w:val="single" w:color="000000" w:sz="4" w:space="0"/>
              <w:bottom w:val="single" w:color="000000" w:sz="4" w:space="0"/>
              <w:right w:val="single" w:color="000000" w:sz="4" w:space="0"/>
            </w:tcBorders>
            <w:vAlign w:val="center"/>
          </w:tcPr>
          <w:p w14:paraId="64B7E931">
            <w:pPr>
              <w:rPr>
                <w:rFonts w:hint="default"/>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0269B1A8">
            <w:pPr>
              <w:jc w:val="center"/>
              <w:rPr>
                <w:rFonts w:hint="default"/>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89B46BA">
            <w:pPr>
              <w:jc w:val="center"/>
              <w:rPr>
                <w:rFonts w:hint="default"/>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14:paraId="5694B438">
            <w:pPr>
              <w:jc w:val="center"/>
              <w:rPr>
                <w:rFonts w:hint="default"/>
                <w:color w:val="000000"/>
                <w:sz w:val="18"/>
                <w:szCs w:val="18"/>
              </w:rPr>
            </w:pPr>
          </w:p>
        </w:tc>
      </w:tr>
      <w:tr w14:paraId="4A18CCC9">
        <w:tblPrEx>
          <w:tblCellMar>
            <w:top w:w="0" w:type="dxa"/>
            <w:left w:w="108" w:type="dxa"/>
            <w:bottom w:w="0" w:type="dxa"/>
            <w:right w:w="108" w:type="dxa"/>
          </w:tblCellMar>
        </w:tblPrEx>
        <w:trPr>
          <w:trHeight w:val="360" w:hRule="atLeast"/>
          <w:jc w:val="center"/>
        </w:trPr>
        <w:tc>
          <w:tcPr>
            <w:tcW w:w="1620" w:type="dxa"/>
            <w:gridSpan w:val="2"/>
            <w:vMerge w:val="continue"/>
            <w:tcBorders>
              <w:top w:val="single" w:color="000000" w:sz="4" w:space="0"/>
              <w:left w:val="single" w:color="000000" w:sz="4" w:space="0"/>
              <w:bottom w:val="nil"/>
              <w:right w:val="single" w:color="000000" w:sz="4" w:space="0"/>
            </w:tcBorders>
            <w:vAlign w:val="center"/>
          </w:tcPr>
          <w:p w14:paraId="5E8F6907">
            <w:pPr>
              <w:jc w:val="center"/>
              <w:rPr>
                <w:rFonts w:hint="default"/>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64B26593">
            <w:pPr>
              <w:widowControl/>
              <w:textAlignment w:val="center"/>
              <w:rPr>
                <w:rFonts w:hint="default"/>
                <w:color w:val="000000"/>
                <w:sz w:val="18"/>
                <w:szCs w:val="18"/>
              </w:rPr>
            </w:pPr>
            <w:r>
              <w:rPr>
                <w:rFonts w:hint="default"/>
                <w:color w:val="000000"/>
                <w:sz w:val="18"/>
                <w:szCs w:val="18"/>
              </w:rPr>
              <w:t>（二）其他资金</w:t>
            </w:r>
          </w:p>
        </w:tc>
        <w:tc>
          <w:tcPr>
            <w:tcW w:w="2040" w:type="dxa"/>
            <w:tcBorders>
              <w:top w:val="single" w:color="000000" w:sz="4" w:space="0"/>
              <w:left w:val="single" w:color="000000" w:sz="4" w:space="0"/>
              <w:bottom w:val="single" w:color="000000" w:sz="4" w:space="0"/>
              <w:right w:val="single" w:color="000000" w:sz="4" w:space="0"/>
            </w:tcBorders>
            <w:vAlign w:val="center"/>
          </w:tcPr>
          <w:p w14:paraId="6C9D523A">
            <w:pPr>
              <w:rPr>
                <w:rFonts w:hint="default"/>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1B31CDEA">
            <w:pPr>
              <w:jc w:val="center"/>
              <w:rPr>
                <w:rFonts w:hint="default"/>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06E3660">
            <w:pPr>
              <w:jc w:val="center"/>
              <w:rPr>
                <w:rFonts w:hint="default"/>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14:paraId="144FA4D1">
            <w:pPr>
              <w:jc w:val="center"/>
              <w:rPr>
                <w:rFonts w:hint="default"/>
                <w:color w:val="000000"/>
                <w:sz w:val="18"/>
                <w:szCs w:val="18"/>
              </w:rPr>
            </w:pPr>
          </w:p>
        </w:tc>
      </w:tr>
      <w:tr w14:paraId="53EBA86D">
        <w:tblPrEx>
          <w:tblCellMar>
            <w:top w:w="0" w:type="dxa"/>
            <w:left w:w="108" w:type="dxa"/>
            <w:bottom w:w="0" w:type="dxa"/>
            <w:right w:w="108" w:type="dxa"/>
          </w:tblCellMar>
        </w:tblPrEx>
        <w:trPr>
          <w:trHeight w:val="44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vAlign w:val="center"/>
          </w:tcPr>
          <w:p w14:paraId="2BA39C8E">
            <w:pPr>
              <w:widowControl/>
              <w:jc w:val="center"/>
              <w:textAlignment w:val="center"/>
              <w:rPr>
                <w:rFonts w:hint="default"/>
                <w:color w:val="000000"/>
                <w:sz w:val="18"/>
                <w:szCs w:val="18"/>
              </w:rPr>
            </w:pPr>
            <w:r>
              <w:rPr>
                <w:rFonts w:hint="default"/>
                <w:color w:val="000000"/>
                <w:sz w:val="18"/>
                <w:szCs w:val="18"/>
              </w:rPr>
              <w:t>年度总体目标</w:t>
            </w:r>
          </w:p>
        </w:tc>
        <w:tc>
          <w:tcPr>
            <w:tcW w:w="5160" w:type="dxa"/>
            <w:gridSpan w:val="4"/>
            <w:tcBorders>
              <w:top w:val="single" w:color="000000" w:sz="4" w:space="0"/>
              <w:left w:val="single" w:color="000000" w:sz="4" w:space="0"/>
              <w:bottom w:val="single" w:color="000000" w:sz="4" w:space="0"/>
              <w:right w:val="single" w:color="000000" w:sz="4" w:space="0"/>
            </w:tcBorders>
            <w:vAlign w:val="center"/>
          </w:tcPr>
          <w:p w14:paraId="6ADE16BC">
            <w:pPr>
              <w:widowControl/>
              <w:jc w:val="center"/>
              <w:textAlignment w:val="center"/>
              <w:rPr>
                <w:rFonts w:hint="default"/>
                <w:color w:val="000000"/>
                <w:sz w:val="18"/>
                <w:szCs w:val="18"/>
              </w:rPr>
            </w:pPr>
            <w:r>
              <w:rPr>
                <w:rFonts w:hint="default"/>
                <w:color w:val="000000"/>
                <w:sz w:val="18"/>
                <w:szCs w:val="18"/>
              </w:rPr>
              <w:t>预期目标</w:t>
            </w:r>
          </w:p>
        </w:tc>
        <w:tc>
          <w:tcPr>
            <w:tcW w:w="3936" w:type="dxa"/>
            <w:gridSpan w:val="3"/>
            <w:tcBorders>
              <w:top w:val="single" w:color="000000" w:sz="4" w:space="0"/>
              <w:left w:val="single" w:color="000000" w:sz="4" w:space="0"/>
              <w:bottom w:val="single" w:color="000000" w:sz="4" w:space="0"/>
              <w:right w:val="single" w:color="000000" w:sz="4" w:space="0"/>
            </w:tcBorders>
            <w:vAlign w:val="center"/>
          </w:tcPr>
          <w:p w14:paraId="06B52D6F">
            <w:pPr>
              <w:widowControl/>
              <w:jc w:val="center"/>
              <w:textAlignment w:val="center"/>
              <w:rPr>
                <w:rFonts w:hint="default"/>
                <w:color w:val="000000"/>
                <w:sz w:val="18"/>
                <w:szCs w:val="18"/>
              </w:rPr>
            </w:pPr>
            <w:r>
              <w:rPr>
                <w:rFonts w:hint="default"/>
                <w:color w:val="000000"/>
                <w:sz w:val="18"/>
                <w:szCs w:val="18"/>
              </w:rPr>
              <w:t>全年实际完成情况</w:t>
            </w:r>
          </w:p>
        </w:tc>
      </w:tr>
      <w:tr w14:paraId="2A58AFEB">
        <w:tblPrEx>
          <w:tblCellMar>
            <w:top w:w="0" w:type="dxa"/>
            <w:left w:w="108" w:type="dxa"/>
            <w:bottom w:w="0" w:type="dxa"/>
            <w:right w:w="108" w:type="dxa"/>
          </w:tblCellMar>
        </w:tblPrEx>
        <w:trPr>
          <w:trHeight w:val="148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14:paraId="67CC64CF">
            <w:pPr>
              <w:jc w:val="center"/>
              <w:rPr>
                <w:rFonts w:hint="default"/>
                <w:color w:val="000000"/>
                <w:sz w:val="18"/>
                <w:szCs w:val="18"/>
              </w:rPr>
            </w:pPr>
          </w:p>
        </w:tc>
        <w:tc>
          <w:tcPr>
            <w:tcW w:w="5160" w:type="dxa"/>
            <w:gridSpan w:val="4"/>
            <w:tcBorders>
              <w:top w:val="single" w:color="000000" w:sz="4" w:space="0"/>
              <w:left w:val="single" w:color="000000" w:sz="4" w:space="0"/>
              <w:bottom w:val="single" w:color="000000" w:sz="4" w:space="0"/>
              <w:right w:val="single" w:color="000000" w:sz="4" w:space="0"/>
            </w:tcBorders>
            <w:vAlign w:val="center"/>
          </w:tcPr>
          <w:p w14:paraId="23BCF91D">
            <w:pPr>
              <w:widowControl/>
              <w:jc w:val="center"/>
              <w:textAlignment w:val="center"/>
              <w:rPr>
                <w:rFonts w:hint="default"/>
                <w:color w:val="000000"/>
                <w:sz w:val="18"/>
                <w:szCs w:val="18"/>
              </w:rPr>
            </w:pPr>
            <w:r>
              <w:rPr>
                <w:rFonts w:hint="default"/>
                <w:color w:val="000000"/>
                <w:sz w:val="18"/>
                <w:szCs w:val="18"/>
              </w:rPr>
              <w:t>全面服务“四城新区"建设，4个招商小分队，每队成员2名，分别派往北京、广州、杭州、成都，靶向瞄准京津冀、珠三角、长三角、成渝及周边地区开展对外招商引资工作，预计每年给昭化区引进优质项目10个以上，签约资金5亿元以上，引进资金2亿元以上。</w:t>
            </w:r>
          </w:p>
        </w:tc>
        <w:tc>
          <w:tcPr>
            <w:tcW w:w="3936" w:type="dxa"/>
            <w:gridSpan w:val="3"/>
            <w:tcBorders>
              <w:top w:val="single" w:color="000000" w:sz="4" w:space="0"/>
              <w:left w:val="single" w:color="000000" w:sz="4" w:space="0"/>
              <w:bottom w:val="single" w:color="000000" w:sz="4" w:space="0"/>
              <w:right w:val="single" w:color="000000" w:sz="4" w:space="0"/>
            </w:tcBorders>
            <w:vAlign w:val="center"/>
          </w:tcPr>
          <w:p w14:paraId="5FD238F4">
            <w:pPr>
              <w:widowControl/>
              <w:jc w:val="center"/>
              <w:textAlignment w:val="center"/>
              <w:rPr>
                <w:rFonts w:hint="default"/>
                <w:color w:val="000000"/>
                <w:sz w:val="18"/>
                <w:szCs w:val="18"/>
              </w:rPr>
            </w:pPr>
            <w:r>
              <w:rPr>
                <w:rFonts w:hint="default"/>
                <w:color w:val="000000"/>
                <w:sz w:val="18"/>
                <w:szCs w:val="18"/>
              </w:rPr>
              <w:t>昭化区引进优质项目12个，引进资金3.09亿元.</w:t>
            </w:r>
          </w:p>
        </w:tc>
      </w:tr>
      <w:tr w14:paraId="4FBCCC79">
        <w:tblPrEx>
          <w:tblCellMar>
            <w:top w:w="0" w:type="dxa"/>
            <w:left w:w="108" w:type="dxa"/>
            <w:bottom w:w="0" w:type="dxa"/>
            <w:right w:w="108" w:type="dxa"/>
          </w:tblCellMar>
        </w:tblPrEx>
        <w:trPr>
          <w:trHeight w:val="519"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vAlign w:val="center"/>
          </w:tcPr>
          <w:p w14:paraId="7DE53791">
            <w:pPr>
              <w:widowControl/>
              <w:jc w:val="center"/>
              <w:textAlignment w:val="center"/>
              <w:rPr>
                <w:rFonts w:hint="default"/>
                <w:color w:val="000000"/>
                <w:sz w:val="18"/>
                <w:szCs w:val="18"/>
              </w:rPr>
            </w:pPr>
            <w:r>
              <w:rPr>
                <w:rFonts w:hint="default"/>
                <w:color w:val="000000"/>
                <w:sz w:val="18"/>
                <w:szCs w:val="18"/>
              </w:rPr>
              <w:t>绩效</w:t>
            </w:r>
          </w:p>
          <w:p w14:paraId="79E7D5A4">
            <w:pPr>
              <w:widowControl/>
              <w:jc w:val="center"/>
              <w:textAlignment w:val="center"/>
              <w:rPr>
                <w:rFonts w:hint="default"/>
                <w:color w:val="000000"/>
                <w:sz w:val="18"/>
                <w:szCs w:val="18"/>
              </w:rPr>
            </w:pPr>
            <w:r>
              <w:rPr>
                <w:rFonts w:hint="default"/>
                <w:color w:val="000000"/>
                <w:sz w:val="18"/>
                <w:szCs w:val="18"/>
              </w:rPr>
              <w:t>指标</w:t>
            </w:r>
          </w:p>
        </w:tc>
        <w:tc>
          <w:tcPr>
            <w:tcW w:w="852" w:type="dxa"/>
            <w:tcBorders>
              <w:top w:val="single" w:color="000000" w:sz="4" w:space="0"/>
              <w:left w:val="single" w:color="000000" w:sz="4" w:space="0"/>
              <w:bottom w:val="single" w:color="000000" w:sz="4" w:space="0"/>
              <w:right w:val="single" w:color="000000" w:sz="4" w:space="0"/>
            </w:tcBorders>
            <w:vAlign w:val="center"/>
          </w:tcPr>
          <w:p w14:paraId="39F7D012">
            <w:pPr>
              <w:widowControl/>
              <w:jc w:val="center"/>
              <w:textAlignment w:val="center"/>
              <w:rPr>
                <w:rFonts w:hint="default"/>
                <w:color w:val="000000"/>
                <w:sz w:val="18"/>
                <w:szCs w:val="18"/>
              </w:rPr>
            </w:pPr>
            <w:r>
              <w:rPr>
                <w:rFonts w:hint="default"/>
                <w:color w:val="000000"/>
                <w:sz w:val="18"/>
                <w:szCs w:val="18"/>
              </w:rPr>
              <w:t>一级指标</w:t>
            </w:r>
          </w:p>
        </w:tc>
        <w:tc>
          <w:tcPr>
            <w:tcW w:w="1128" w:type="dxa"/>
            <w:tcBorders>
              <w:top w:val="single" w:color="000000" w:sz="4" w:space="0"/>
              <w:left w:val="single" w:color="000000" w:sz="4" w:space="0"/>
              <w:bottom w:val="single" w:color="000000" w:sz="4" w:space="0"/>
              <w:right w:val="single" w:color="000000" w:sz="4" w:space="0"/>
            </w:tcBorders>
            <w:vAlign w:val="center"/>
          </w:tcPr>
          <w:p w14:paraId="493D4826">
            <w:pPr>
              <w:widowControl/>
              <w:jc w:val="center"/>
              <w:textAlignment w:val="center"/>
              <w:rPr>
                <w:rFonts w:hint="default"/>
                <w:color w:val="000000"/>
                <w:sz w:val="18"/>
                <w:szCs w:val="18"/>
              </w:rPr>
            </w:pPr>
            <w:r>
              <w:rPr>
                <w:rFonts w:hint="default"/>
                <w:color w:val="000000"/>
                <w:sz w:val="18"/>
                <w:szCs w:val="18"/>
              </w:rPr>
              <w:t>二级指标</w:t>
            </w:r>
          </w:p>
        </w:tc>
        <w:tc>
          <w:tcPr>
            <w:tcW w:w="3180" w:type="dxa"/>
            <w:gridSpan w:val="2"/>
            <w:tcBorders>
              <w:top w:val="single" w:color="000000" w:sz="4" w:space="0"/>
              <w:left w:val="single" w:color="000000" w:sz="4" w:space="0"/>
              <w:bottom w:val="single" w:color="000000" w:sz="4" w:space="0"/>
              <w:right w:val="single" w:color="000000" w:sz="4" w:space="0"/>
            </w:tcBorders>
            <w:vAlign w:val="center"/>
          </w:tcPr>
          <w:p w14:paraId="504D8025">
            <w:pPr>
              <w:widowControl/>
              <w:jc w:val="center"/>
              <w:textAlignment w:val="center"/>
              <w:rPr>
                <w:rFonts w:hint="default"/>
                <w:color w:val="000000"/>
                <w:sz w:val="18"/>
                <w:szCs w:val="18"/>
              </w:rPr>
            </w:pPr>
            <w:r>
              <w:rPr>
                <w:rFonts w:hint="default"/>
                <w:color w:val="000000"/>
                <w:sz w:val="18"/>
                <w:szCs w:val="18"/>
              </w:rPr>
              <w:t>三级指标</w:t>
            </w:r>
          </w:p>
        </w:tc>
        <w:tc>
          <w:tcPr>
            <w:tcW w:w="1380" w:type="dxa"/>
            <w:tcBorders>
              <w:top w:val="single" w:color="000000" w:sz="4" w:space="0"/>
              <w:left w:val="single" w:color="000000" w:sz="4" w:space="0"/>
              <w:bottom w:val="single" w:color="000000" w:sz="4" w:space="0"/>
              <w:right w:val="single" w:color="000000" w:sz="4" w:space="0"/>
            </w:tcBorders>
            <w:vAlign w:val="center"/>
          </w:tcPr>
          <w:p w14:paraId="15475489">
            <w:pPr>
              <w:widowControl/>
              <w:jc w:val="center"/>
              <w:textAlignment w:val="center"/>
              <w:rPr>
                <w:rFonts w:hint="default"/>
                <w:color w:val="000000"/>
                <w:sz w:val="18"/>
                <w:szCs w:val="18"/>
              </w:rPr>
            </w:pPr>
            <w:r>
              <w:rPr>
                <w:rFonts w:hint="default"/>
                <w:color w:val="000000"/>
                <w:sz w:val="18"/>
                <w:szCs w:val="18"/>
              </w:rPr>
              <w:t>年度指标值</w:t>
            </w:r>
          </w:p>
        </w:tc>
        <w:tc>
          <w:tcPr>
            <w:tcW w:w="1320" w:type="dxa"/>
            <w:tcBorders>
              <w:top w:val="single" w:color="000000" w:sz="4" w:space="0"/>
              <w:left w:val="single" w:color="000000" w:sz="4" w:space="0"/>
              <w:bottom w:val="single" w:color="000000" w:sz="4" w:space="0"/>
              <w:right w:val="single" w:color="000000" w:sz="4" w:space="0"/>
            </w:tcBorders>
            <w:vAlign w:val="center"/>
          </w:tcPr>
          <w:p w14:paraId="682C87A7">
            <w:pPr>
              <w:widowControl/>
              <w:jc w:val="center"/>
              <w:textAlignment w:val="center"/>
              <w:rPr>
                <w:rFonts w:hint="default"/>
                <w:color w:val="000000"/>
                <w:sz w:val="18"/>
                <w:szCs w:val="18"/>
              </w:rPr>
            </w:pPr>
            <w:r>
              <w:rPr>
                <w:rFonts w:hint="default"/>
                <w:color w:val="000000"/>
                <w:sz w:val="18"/>
                <w:szCs w:val="18"/>
              </w:rPr>
              <w:t>实际完成值</w:t>
            </w:r>
          </w:p>
        </w:tc>
        <w:tc>
          <w:tcPr>
            <w:tcW w:w="1236" w:type="dxa"/>
            <w:tcBorders>
              <w:top w:val="single" w:color="000000" w:sz="4" w:space="0"/>
              <w:left w:val="single" w:color="000000" w:sz="4" w:space="0"/>
              <w:bottom w:val="single" w:color="000000" w:sz="4" w:space="0"/>
              <w:right w:val="single" w:color="000000" w:sz="4" w:space="0"/>
            </w:tcBorders>
            <w:vAlign w:val="center"/>
          </w:tcPr>
          <w:p w14:paraId="35B57B6D">
            <w:pPr>
              <w:widowControl/>
              <w:jc w:val="center"/>
              <w:textAlignment w:val="center"/>
              <w:rPr>
                <w:rFonts w:hint="default"/>
                <w:color w:val="000000"/>
                <w:sz w:val="18"/>
                <w:szCs w:val="18"/>
              </w:rPr>
            </w:pPr>
            <w:r>
              <w:rPr>
                <w:rFonts w:hint="default"/>
                <w:color w:val="000000"/>
                <w:sz w:val="18"/>
                <w:szCs w:val="18"/>
              </w:rPr>
              <w:t>偏差原因分析及改进措施</w:t>
            </w:r>
          </w:p>
        </w:tc>
      </w:tr>
      <w:tr w14:paraId="45D8385B">
        <w:tblPrEx>
          <w:tblCellMar>
            <w:top w:w="0" w:type="dxa"/>
            <w:left w:w="108" w:type="dxa"/>
            <w:bottom w:w="0" w:type="dxa"/>
            <w:right w:w="108" w:type="dxa"/>
          </w:tblCellMar>
        </w:tblPrEx>
        <w:trPr>
          <w:trHeight w:val="31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14:paraId="5E4EC174">
            <w:pPr>
              <w:jc w:val="center"/>
              <w:rPr>
                <w:rFonts w:hint="default"/>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14:paraId="671D1009">
            <w:pPr>
              <w:jc w:val="center"/>
              <w:rPr>
                <w:rFonts w:hint="default"/>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367B1A2D">
            <w:pPr>
              <w:widowControl/>
              <w:jc w:val="center"/>
              <w:textAlignment w:val="center"/>
              <w:rPr>
                <w:rFonts w:hint="default"/>
                <w:color w:val="000000"/>
                <w:sz w:val="18"/>
                <w:szCs w:val="18"/>
              </w:rPr>
            </w:pPr>
            <w:r>
              <w:rPr>
                <w:rFonts w:hint="default"/>
                <w:color w:val="000000"/>
                <w:sz w:val="18"/>
                <w:szCs w:val="18"/>
              </w:rPr>
              <w:t>数量指标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3676A71B">
            <w:pPr>
              <w:widowControl/>
              <w:jc w:val="center"/>
              <w:textAlignment w:val="center"/>
              <w:rPr>
                <w:rFonts w:hint="default"/>
                <w:color w:val="000000"/>
                <w:sz w:val="18"/>
                <w:szCs w:val="18"/>
              </w:rPr>
            </w:pPr>
            <w:r>
              <w:rPr>
                <w:rFonts w:hint="default"/>
                <w:color w:val="000000"/>
                <w:sz w:val="18"/>
                <w:szCs w:val="18"/>
              </w:rPr>
              <w:t>指标1：</w:t>
            </w:r>
          </w:p>
        </w:tc>
        <w:tc>
          <w:tcPr>
            <w:tcW w:w="2040" w:type="dxa"/>
            <w:tcBorders>
              <w:top w:val="single" w:color="000000" w:sz="4" w:space="0"/>
              <w:left w:val="single" w:color="000000" w:sz="4" w:space="0"/>
              <w:bottom w:val="single" w:color="000000" w:sz="4" w:space="0"/>
              <w:right w:val="single" w:color="000000" w:sz="4" w:space="0"/>
            </w:tcBorders>
            <w:vAlign w:val="center"/>
          </w:tcPr>
          <w:p w14:paraId="26AE9E97">
            <w:pPr>
              <w:widowControl/>
              <w:jc w:val="center"/>
              <w:textAlignment w:val="center"/>
              <w:rPr>
                <w:rFonts w:hint="default"/>
                <w:color w:val="000000"/>
                <w:sz w:val="18"/>
                <w:szCs w:val="18"/>
              </w:rPr>
            </w:pPr>
            <w:r>
              <w:rPr>
                <w:rFonts w:hint="default"/>
                <w:color w:val="000000"/>
                <w:sz w:val="18"/>
                <w:szCs w:val="18"/>
              </w:rPr>
              <w:t>签约项目</w:t>
            </w:r>
          </w:p>
        </w:tc>
        <w:tc>
          <w:tcPr>
            <w:tcW w:w="1380" w:type="dxa"/>
            <w:tcBorders>
              <w:top w:val="single" w:color="000000" w:sz="4" w:space="0"/>
              <w:left w:val="single" w:color="000000" w:sz="4" w:space="0"/>
              <w:bottom w:val="single" w:color="000000" w:sz="4" w:space="0"/>
              <w:right w:val="single" w:color="000000" w:sz="4" w:space="0"/>
            </w:tcBorders>
            <w:vAlign w:val="center"/>
          </w:tcPr>
          <w:p w14:paraId="0DD11AB6">
            <w:pPr>
              <w:widowControl/>
              <w:jc w:val="center"/>
              <w:textAlignment w:val="center"/>
              <w:rPr>
                <w:rFonts w:hint="default"/>
                <w:color w:val="000000"/>
                <w:sz w:val="18"/>
                <w:szCs w:val="18"/>
              </w:rPr>
            </w:pPr>
            <w:r>
              <w:rPr>
                <w:rFonts w:hint="default"/>
                <w:color w:val="000000"/>
                <w:sz w:val="18"/>
                <w:szCs w:val="18"/>
              </w:rPr>
              <w:t>≥10个</w:t>
            </w:r>
          </w:p>
        </w:tc>
        <w:tc>
          <w:tcPr>
            <w:tcW w:w="1320" w:type="dxa"/>
            <w:tcBorders>
              <w:top w:val="single" w:color="000000" w:sz="4" w:space="0"/>
              <w:left w:val="single" w:color="000000" w:sz="4" w:space="0"/>
              <w:bottom w:val="single" w:color="000000" w:sz="4" w:space="0"/>
              <w:right w:val="single" w:color="000000" w:sz="4" w:space="0"/>
            </w:tcBorders>
            <w:vAlign w:val="center"/>
          </w:tcPr>
          <w:p w14:paraId="01C393D7">
            <w:pPr>
              <w:widowControl/>
              <w:jc w:val="center"/>
              <w:textAlignment w:val="center"/>
              <w:rPr>
                <w:rFonts w:hint="default"/>
                <w:color w:val="000000"/>
                <w:sz w:val="18"/>
                <w:szCs w:val="18"/>
              </w:rPr>
            </w:pPr>
            <w:r>
              <w:rPr>
                <w:rFonts w:hint="default"/>
                <w:color w:val="000000"/>
                <w:sz w:val="18"/>
                <w:szCs w:val="18"/>
              </w:rPr>
              <w:t>12个</w:t>
            </w:r>
          </w:p>
        </w:tc>
        <w:tc>
          <w:tcPr>
            <w:tcW w:w="1236" w:type="dxa"/>
            <w:tcBorders>
              <w:top w:val="single" w:color="000000" w:sz="4" w:space="0"/>
              <w:left w:val="single" w:color="000000" w:sz="4" w:space="0"/>
              <w:bottom w:val="single" w:color="000000" w:sz="4" w:space="0"/>
              <w:right w:val="single" w:color="000000" w:sz="4" w:space="0"/>
            </w:tcBorders>
            <w:vAlign w:val="center"/>
          </w:tcPr>
          <w:p w14:paraId="60CFCFE4">
            <w:pPr>
              <w:jc w:val="center"/>
              <w:rPr>
                <w:rFonts w:hint="default"/>
                <w:color w:val="000000"/>
                <w:sz w:val="18"/>
                <w:szCs w:val="18"/>
              </w:rPr>
            </w:pPr>
          </w:p>
        </w:tc>
      </w:tr>
      <w:tr w14:paraId="509A758E">
        <w:tblPrEx>
          <w:tblCellMar>
            <w:top w:w="0" w:type="dxa"/>
            <w:left w:w="108" w:type="dxa"/>
            <w:bottom w:w="0" w:type="dxa"/>
            <w:right w:w="108" w:type="dxa"/>
          </w:tblCellMar>
        </w:tblPrEx>
        <w:trPr>
          <w:trHeight w:val="31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14:paraId="138C7732">
            <w:pPr>
              <w:jc w:val="center"/>
              <w:rPr>
                <w:rFonts w:hint="default"/>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78FB0F23">
            <w:pPr>
              <w:jc w:val="center"/>
              <w:rPr>
                <w:rFonts w:hint="default"/>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6DFA5E03">
            <w:pPr>
              <w:widowControl/>
              <w:jc w:val="center"/>
              <w:textAlignment w:val="center"/>
              <w:rPr>
                <w:rFonts w:hint="default"/>
                <w:color w:val="000000"/>
                <w:sz w:val="18"/>
                <w:szCs w:val="18"/>
              </w:rPr>
            </w:pPr>
            <w:r>
              <w:rPr>
                <w:rFonts w:hint="default"/>
                <w:color w:val="000000"/>
                <w:sz w:val="18"/>
                <w:szCs w:val="18"/>
              </w:rPr>
              <w:t>质量指标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6A5B4326">
            <w:pPr>
              <w:widowControl/>
              <w:jc w:val="center"/>
              <w:textAlignment w:val="center"/>
              <w:rPr>
                <w:rFonts w:hint="default"/>
                <w:color w:val="000000"/>
                <w:sz w:val="18"/>
                <w:szCs w:val="18"/>
              </w:rPr>
            </w:pPr>
            <w:r>
              <w:rPr>
                <w:rFonts w:hint="default"/>
                <w:color w:val="000000"/>
                <w:sz w:val="18"/>
                <w:szCs w:val="18"/>
              </w:rPr>
              <w:t>指标1：</w:t>
            </w:r>
          </w:p>
        </w:tc>
        <w:tc>
          <w:tcPr>
            <w:tcW w:w="2040" w:type="dxa"/>
            <w:tcBorders>
              <w:top w:val="single" w:color="000000" w:sz="4" w:space="0"/>
              <w:left w:val="single" w:color="000000" w:sz="4" w:space="0"/>
              <w:bottom w:val="single" w:color="000000" w:sz="4" w:space="0"/>
              <w:right w:val="single" w:color="000000" w:sz="4" w:space="0"/>
            </w:tcBorders>
            <w:vAlign w:val="center"/>
          </w:tcPr>
          <w:p w14:paraId="533277A6">
            <w:pPr>
              <w:widowControl/>
              <w:jc w:val="center"/>
              <w:textAlignment w:val="center"/>
              <w:rPr>
                <w:rFonts w:hint="default"/>
                <w:color w:val="000000"/>
                <w:sz w:val="18"/>
                <w:szCs w:val="18"/>
              </w:rPr>
            </w:pPr>
            <w:r>
              <w:rPr>
                <w:rFonts w:hint="default"/>
                <w:color w:val="000000"/>
                <w:sz w:val="18"/>
                <w:szCs w:val="18"/>
              </w:rPr>
              <w:t>单个签约金额</w:t>
            </w:r>
          </w:p>
        </w:tc>
        <w:tc>
          <w:tcPr>
            <w:tcW w:w="1380" w:type="dxa"/>
            <w:tcBorders>
              <w:top w:val="single" w:color="000000" w:sz="4" w:space="0"/>
              <w:left w:val="single" w:color="000000" w:sz="4" w:space="0"/>
              <w:bottom w:val="single" w:color="000000" w:sz="4" w:space="0"/>
              <w:right w:val="single" w:color="000000" w:sz="4" w:space="0"/>
            </w:tcBorders>
            <w:vAlign w:val="center"/>
          </w:tcPr>
          <w:p w14:paraId="6CBC0F15">
            <w:pPr>
              <w:widowControl/>
              <w:jc w:val="center"/>
              <w:textAlignment w:val="center"/>
              <w:rPr>
                <w:rFonts w:hint="default"/>
                <w:color w:val="000000"/>
                <w:sz w:val="18"/>
                <w:szCs w:val="18"/>
              </w:rPr>
            </w:pPr>
            <w:r>
              <w:rPr>
                <w:rFonts w:hint="default"/>
                <w:color w:val="000000"/>
                <w:sz w:val="18"/>
                <w:szCs w:val="18"/>
              </w:rPr>
              <w:t>=5000万元</w:t>
            </w:r>
          </w:p>
        </w:tc>
        <w:tc>
          <w:tcPr>
            <w:tcW w:w="1320" w:type="dxa"/>
            <w:tcBorders>
              <w:top w:val="single" w:color="000000" w:sz="4" w:space="0"/>
              <w:left w:val="single" w:color="000000" w:sz="4" w:space="0"/>
              <w:bottom w:val="single" w:color="000000" w:sz="4" w:space="0"/>
              <w:right w:val="single" w:color="000000" w:sz="4" w:space="0"/>
            </w:tcBorders>
            <w:vAlign w:val="center"/>
          </w:tcPr>
          <w:p w14:paraId="0FD6A7C6">
            <w:pPr>
              <w:widowControl/>
              <w:jc w:val="center"/>
              <w:textAlignment w:val="center"/>
              <w:rPr>
                <w:rFonts w:hint="default"/>
                <w:color w:val="000000"/>
                <w:sz w:val="18"/>
                <w:szCs w:val="18"/>
              </w:rPr>
            </w:pPr>
            <w:r>
              <w:rPr>
                <w:rFonts w:hint="default"/>
                <w:color w:val="000000"/>
                <w:sz w:val="18"/>
                <w:szCs w:val="18"/>
              </w:rPr>
              <w:t>20000万元</w:t>
            </w:r>
          </w:p>
        </w:tc>
        <w:tc>
          <w:tcPr>
            <w:tcW w:w="1236" w:type="dxa"/>
            <w:tcBorders>
              <w:top w:val="single" w:color="000000" w:sz="4" w:space="0"/>
              <w:left w:val="single" w:color="000000" w:sz="4" w:space="0"/>
              <w:bottom w:val="single" w:color="000000" w:sz="4" w:space="0"/>
              <w:right w:val="single" w:color="000000" w:sz="4" w:space="0"/>
            </w:tcBorders>
            <w:vAlign w:val="center"/>
          </w:tcPr>
          <w:p w14:paraId="4178955B">
            <w:pPr>
              <w:jc w:val="center"/>
              <w:rPr>
                <w:rFonts w:hint="default"/>
                <w:color w:val="000000"/>
                <w:sz w:val="18"/>
                <w:szCs w:val="18"/>
              </w:rPr>
            </w:pPr>
          </w:p>
        </w:tc>
      </w:tr>
      <w:tr w14:paraId="2A4A0894">
        <w:tblPrEx>
          <w:tblCellMar>
            <w:top w:w="0" w:type="dxa"/>
            <w:left w:w="108" w:type="dxa"/>
            <w:bottom w:w="0" w:type="dxa"/>
            <w:right w:w="108" w:type="dxa"/>
          </w:tblCellMar>
        </w:tblPrEx>
        <w:trPr>
          <w:trHeight w:val="1119"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14:paraId="0CFEA40D">
            <w:pPr>
              <w:jc w:val="center"/>
              <w:rPr>
                <w:rFonts w:hint="default"/>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59D46D4E">
            <w:pPr>
              <w:jc w:val="center"/>
              <w:rPr>
                <w:rFonts w:hint="default"/>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064FC4D0">
            <w:pPr>
              <w:widowControl/>
              <w:jc w:val="center"/>
              <w:textAlignment w:val="center"/>
              <w:rPr>
                <w:rFonts w:hint="default"/>
                <w:color w:val="000000"/>
                <w:sz w:val="18"/>
                <w:szCs w:val="18"/>
              </w:rPr>
            </w:pPr>
            <w:r>
              <w:rPr>
                <w:rFonts w:hint="default"/>
                <w:color w:val="000000"/>
                <w:sz w:val="18"/>
                <w:szCs w:val="18"/>
              </w:rPr>
              <w:t>时效指标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319F92E2">
            <w:pPr>
              <w:widowControl/>
              <w:jc w:val="center"/>
              <w:textAlignment w:val="center"/>
              <w:rPr>
                <w:rFonts w:hint="default"/>
                <w:color w:val="000000"/>
                <w:sz w:val="18"/>
                <w:szCs w:val="18"/>
              </w:rPr>
            </w:pPr>
            <w:r>
              <w:rPr>
                <w:rFonts w:hint="default"/>
                <w:color w:val="000000"/>
                <w:sz w:val="18"/>
                <w:szCs w:val="18"/>
              </w:rPr>
              <w:t>指标1：</w:t>
            </w:r>
          </w:p>
        </w:tc>
        <w:tc>
          <w:tcPr>
            <w:tcW w:w="2040" w:type="dxa"/>
            <w:tcBorders>
              <w:top w:val="single" w:color="000000" w:sz="4" w:space="0"/>
              <w:left w:val="single" w:color="000000" w:sz="4" w:space="0"/>
              <w:bottom w:val="single" w:color="000000" w:sz="4" w:space="0"/>
              <w:right w:val="single" w:color="000000" w:sz="4" w:space="0"/>
            </w:tcBorders>
            <w:vAlign w:val="center"/>
          </w:tcPr>
          <w:p w14:paraId="48DAFA6C">
            <w:pPr>
              <w:widowControl/>
              <w:jc w:val="center"/>
              <w:textAlignment w:val="center"/>
              <w:rPr>
                <w:rFonts w:hint="default"/>
                <w:color w:val="000000"/>
                <w:sz w:val="18"/>
                <w:szCs w:val="18"/>
              </w:rPr>
            </w:pPr>
            <w:r>
              <w:rPr>
                <w:rFonts w:hint="default"/>
                <w:color w:val="000000"/>
                <w:sz w:val="18"/>
                <w:szCs w:val="18"/>
              </w:rPr>
              <w:t>任务完成及时率（实际完成任务时间/计划完成任务时间*100%）</w:t>
            </w:r>
          </w:p>
        </w:tc>
        <w:tc>
          <w:tcPr>
            <w:tcW w:w="1380" w:type="dxa"/>
            <w:tcBorders>
              <w:top w:val="single" w:color="000000" w:sz="4" w:space="0"/>
              <w:left w:val="single" w:color="000000" w:sz="4" w:space="0"/>
              <w:bottom w:val="single" w:color="000000" w:sz="4" w:space="0"/>
              <w:right w:val="single" w:color="000000" w:sz="4" w:space="0"/>
            </w:tcBorders>
            <w:vAlign w:val="center"/>
          </w:tcPr>
          <w:p w14:paraId="3C95A24B">
            <w:pPr>
              <w:widowControl/>
              <w:jc w:val="center"/>
              <w:textAlignment w:val="center"/>
              <w:rPr>
                <w:rFonts w:hint="default"/>
                <w:color w:val="000000"/>
                <w:sz w:val="18"/>
                <w:szCs w:val="18"/>
              </w:rPr>
            </w:pPr>
            <w:r>
              <w:rPr>
                <w:rFonts w:hint="default"/>
                <w:color w:val="000000"/>
                <w:sz w:val="18"/>
                <w:szCs w:val="18"/>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14:paraId="15D2FEF7">
            <w:pPr>
              <w:widowControl/>
              <w:jc w:val="center"/>
              <w:textAlignment w:val="center"/>
              <w:rPr>
                <w:rFonts w:hint="default"/>
                <w:color w:val="000000"/>
                <w:sz w:val="18"/>
                <w:szCs w:val="18"/>
              </w:rPr>
            </w:pPr>
            <w:r>
              <w:rPr>
                <w:rFonts w:hint="default"/>
                <w:color w:val="000000"/>
                <w:sz w:val="18"/>
                <w:szCs w:val="18"/>
              </w:rPr>
              <w:t>100%</w:t>
            </w:r>
          </w:p>
        </w:tc>
        <w:tc>
          <w:tcPr>
            <w:tcW w:w="1236" w:type="dxa"/>
            <w:tcBorders>
              <w:top w:val="single" w:color="000000" w:sz="4" w:space="0"/>
              <w:left w:val="single" w:color="000000" w:sz="4" w:space="0"/>
              <w:bottom w:val="single" w:color="000000" w:sz="4" w:space="0"/>
              <w:right w:val="single" w:color="000000" w:sz="4" w:space="0"/>
            </w:tcBorders>
            <w:vAlign w:val="center"/>
          </w:tcPr>
          <w:p w14:paraId="0BE12736">
            <w:pPr>
              <w:jc w:val="center"/>
              <w:rPr>
                <w:rFonts w:hint="default"/>
                <w:color w:val="000000"/>
                <w:sz w:val="18"/>
                <w:szCs w:val="18"/>
              </w:rPr>
            </w:pPr>
          </w:p>
        </w:tc>
      </w:tr>
      <w:tr w14:paraId="3A0E0A25">
        <w:tblPrEx>
          <w:tblCellMar>
            <w:top w:w="0" w:type="dxa"/>
            <w:left w:w="108" w:type="dxa"/>
            <w:bottom w:w="0" w:type="dxa"/>
            <w:right w:w="108" w:type="dxa"/>
          </w:tblCellMar>
        </w:tblPrEx>
        <w:trPr>
          <w:trHeight w:val="67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14:paraId="5E94D3D8">
            <w:pPr>
              <w:jc w:val="center"/>
              <w:rPr>
                <w:rFonts w:hint="default"/>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vAlign w:val="center"/>
          </w:tcPr>
          <w:p w14:paraId="3C33AE4D">
            <w:pPr>
              <w:jc w:val="center"/>
              <w:rPr>
                <w:rFonts w:hint="default"/>
                <w:color w:val="000000"/>
                <w:sz w:val="18"/>
                <w:szCs w:val="18"/>
              </w:rPr>
            </w:pPr>
          </w:p>
        </w:tc>
        <w:tc>
          <w:tcPr>
            <w:tcW w:w="1128" w:type="dxa"/>
            <w:vMerge w:val="restart"/>
            <w:tcBorders>
              <w:top w:val="single" w:color="000000" w:sz="4" w:space="0"/>
              <w:left w:val="single" w:color="000000" w:sz="4" w:space="0"/>
              <w:bottom w:val="single" w:color="000000" w:sz="4" w:space="0"/>
              <w:right w:val="single" w:color="000000" w:sz="4" w:space="0"/>
            </w:tcBorders>
            <w:vAlign w:val="center"/>
          </w:tcPr>
          <w:p w14:paraId="33F79094">
            <w:pPr>
              <w:widowControl/>
              <w:jc w:val="center"/>
              <w:textAlignment w:val="center"/>
              <w:rPr>
                <w:rFonts w:hint="default"/>
                <w:color w:val="000000"/>
                <w:sz w:val="18"/>
                <w:szCs w:val="18"/>
              </w:rPr>
            </w:pPr>
            <w:r>
              <w:rPr>
                <w:rFonts w:hint="default"/>
                <w:color w:val="000000"/>
                <w:sz w:val="18"/>
                <w:szCs w:val="18"/>
              </w:rPr>
              <w:t>社会效益指标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3093EECF">
            <w:pPr>
              <w:widowControl/>
              <w:jc w:val="center"/>
              <w:textAlignment w:val="center"/>
              <w:rPr>
                <w:rFonts w:hint="default"/>
                <w:color w:val="000000"/>
                <w:sz w:val="18"/>
                <w:szCs w:val="18"/>
              </w:rPr>
            </w:pPr>
            <w:r>
              <w:rPr>
                <w:rFonts w:hint="default"/>
                <w:color w:val="000000"/>
                <w:sz w:val="18"/>
                <w:szCs w:val="18"/>
              </w:rPr>
              <w:t>指标1：</w:t>
            </w:r>
          </w:p>
        </w:tc>
        <w:tc>
          <w:tcPr>
            <w:tcW w:w="2040" w:type="dxa"/>
            <w:tcBorders>
              <w:top w:val="single" w:color="000000" w:sz="4" w:space="0"/>
              <w:left w:val="single" w:color="000000" w:sz="4" w:space="0"/>
              <w:bottom w:val="single" w:color="000000" w:sz="4" w:space="0"/>
              <w:right w:val="single" w:color="000000" w:sz="4" w:space="0"/>
            </w:tcBorders>
            <w:vAlign w:val="center"/>
          </w:tcPr>
          <w:p w14:paraId="09A06F9A">
            <w:pPr>
              <w:widowControl/>
              <w:jc w:val="center"/>
              <w:textAlignment w:val="center"/>
              <w:rPr>
                <w:rFonts w:hint="default"/>
                <w:color w:val="000000"/>
                <w:sz w:val="18"/>
                <w:szCs w:val="18"/>
              </w:rPr>
            </w:pPr>
            <w:r>
              <w:rPr>
                <w:rFonts w:hint="default"/>
                <w:color w:val="000000"/>
                <w:sz w:val="18"/>
                <w:szCs w:val="18"/>
              </w:rPr>
              <w:t>增加就业</w:t>
            </w:r>
          </w:p>
        </w:tc>
        <w:tc>
          <w:tcPr>
            <w:tcW w:w="1380" w:type="dxa"/>
            <w:tcBorders>
              <w:top w:val="single" w:color="000000" w:sz="4" w:space="0"/>
              <w:left w:val="single" w:color="000000" w:sz="4" w:space="0"/>
              <w:bottom w:val="single" w:color="000000" w:sz="4" w:space="0"/>
              <w:right w:val="single" w:color="000000" w:sz="4" w:space="0"/>
            </w:tcBorders>
            <w:vAlign w:val="center"/>
          </w:tcPr>
          <w:p w14:paraId="545B3857">
            <w:pPr>
              <w:widowControl/>
              <w:jc w:val="center"/>
              <w:textAlignment w:val="center"/>
              <w:rPr>
                <w:rFonts w:hint="default"/>
                <w:color w:val="000000"/>
                <w:sz w:val="18"/>
                <w:szCs w:val="18"/>
              </w:rPr>
            </w:pPr>
            <w:r>
              <w:rPr>
                <w:rFonts w:hint="default"/>
                <w:color w:val="000000"/>
                <w:sz w:val="18"/>
                <w:szCs w:val="18"/>
              </w:rPr>
              <w:t>≥500人</w:t>
            </w:r>
          </w:p>
        </w:tc>
        <w:tc>
          <w:tcPr>
            <w:tcW w:w="1320" w:type="dxa"/>
            <w:tcBorders>
              <w:top w:val="single" w:color="000000" w:sz="4" w:space="0"/>
              <w:left w:val="single" w:color="000000" w:sz="4" w:space="0"/>
              <w:bottom w:val="single" w:color="000000" w:sz="4" w:space="0"/>
              <w:right w:val="single" w:color="000000" w:sz="4" w:space="0"/>
            </w:tcBorders>
            <w:vAlign w:val="center"/>
          </w:tcPr>
          <w:p w14:paraId="70A34FFD">
            <w:pPr>
              <w:widowControl/>
              <w:jc w:val="center"/>
              <w:textAlignment w:val="center"/>
              <w:rPr>
                <w:rFonts w:hint="default"/>
                <w:color w:val="000000"/>
                <w:sz w:val="18"/>
                <w:szCs w:val="18"/>
              </w:rPr>
            </w:pPr>
            <w:r>
              <w:rPr>
                <w:rFonts w:hint="default"/>
                <w:color w:val="000000"/>
                <w:sz w:val="18"/>
                <w:szCs w:val="18"/>
              </w:rPr>
              <w:t>500人</w:t>
            </w:r>
          </w:p>
        </w:tc>
        <w:tc>
          <w:tcPr>
            <w:tcW w:w="1236" w:type="dxa"/>
            <w:tcBorders>
              <w:top w:val="single" w:color="000000" w:sz="4" w:space="0"/>
              <w:left w:val="single" w:color="000000" w:sz="4" w:space="0"/>
              <w:bottom w:val="single" w:color="000000" w:sz="4" w:space="0"/>
              <w:right w:val="single" w:color="000000" w:sz="4" w:space="0"/>
            </w:tcBorders>
            <w:vAlign w:val="center"/>
          </w:tcPr>
          <w:p w14:paraId="54BABC95">
            <w:pPr>
              <w:jc w:val="center"/>
              <w:rPr>
                <w:rFonts w:hint="default"/>
                <w:color w:val="000000"/>
                <w:sz w:val="18"/>
                <w:szCs w:val="18"/>
              </w:rPr>
            </w:pPr>
          </w:p>
        </w:tc>
      </w:tr>
      <w:tr w14:paraId="52764CF5">
        <w:tblPrEx>
          <w:tblCellMar>
            <w:top w:w="0" w:type="dxa"/>
            <w:left w:w="108" w:type="dxa"/>
            <w:bottom w:w="0" w:type="dxa"/>
            <w:right w:w="108" w:type="dxa"/>
          </w:tblCellMar>
        </w:tblPrEx>
        <w:trPr>
          <w:trHeight w:val="60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14:paraId="787DABD1">
            <w:pPr>
              <w:jc w:val="center"/>
              <w:rPr>
                <w:rFonts w:hint="default"/>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vAlign w:val="center"/>
          </w:tcPr>
          <w:p w14:paraId="27CFE608">
            <w:pPr>
              <w:jc w:val="center"/>
              <w:rPr>
                <w:rFonts w:hint="default"/>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vAlign w:val="center"/>
          </w:tcPr>
          <w:p w14:paraId="05BA2D5D">
            <w:pPr>
              <w:jc w:val="center"/>
              <w:rPr>
                <w:rFonts w:hint="default"/>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74DAB79D">
            <w:pPr>
              <w:widowControl/>
              <w:jc w:val="center"/>
              <w:textAlignment w:val="center"/>
              <w:rPr>
                <w:rFonts w:hint="default"/>
                <w:color w:val="000000"/>
                <w:sz w:val="18"/>
                <w:szCs w:val="18"/>
              </w:rPr>
            </w:pPr>
            <w:r>
              <w:rPr>
                <w:rFonts w:hint="default"/>
                <w:color w:val="000000"/>
                <w:sz w:val="18"/>
                <w:szCs w:val="18"/>
              </w:rPr>
              <w:t>指标2：</w:t>
            </w:r>
          </w:p>
        </w:tc>
        <w:tc>
          <w:tcPr>
            <w:tcW w:w="2040" w:type="dxa"/>
            <w:tcBorders>
              <w:top w:val="single" w:color="000000" w:sz="4" w:space="0"/>
              <w:left w:val="single" w:color="000000" w:sz="4" w:space="0"/>
              <w:bottom w:val="single" w:color="000000" w:sz="4" w:space="0"/>
              <w:right w:val="single" w:color="000000" w:sz="4" w:space="0"/>
            </w:tcBorders>
            <w:vAlign w:val="center"/>
          </w:tcPr>
          <w:p w14:paraId="05611556">
            <w:pPr>
              <w:widowControl/>
              <w:jc w:val="center"/>
              <w:textAlignment w:val="center"/>
              <w:rPr>
                <w:rFonts w:hint="default"/>
                <w:color w:val="000000"/>
                <w:sz w:val="18"/>
                <w:szCs w:val="18"/>
              </w:rPr>
            </w:pPr>
            <w:r>
              <w:rPr>
                <w:rFonts w:hint="default"/>
                <w:color w:val="000000"/>
                <w:sz w:val="18"/>
                <w:szCs w:val="18"/>
              </w:rPr>
              <w:t>增加投资</w:t>
            </w:r>
          </w:p>
        </w:tc>
        <w:tc>
          <w:tcPr>
            <w:tcW w:w="1380" w:type="dxa"/>
            <w:tcBorders>
              <w:top w:val="single" w:color="000000" w:sz="4" w:space="0"/>
              <w:left w:val="single" w:color="000000" w:sz="4" w:space="0"/>
              <w:bottom w:val="single" w:color="000000" w:sz="4" w:space="0"/>
              <w:right w:val="single" w:color="000000" w:sz="4" w:space="0"/>
            </w:tcBorders>
            <w:vAlign w:val="center"/>
          </w:tcPr>
          <w:p w14:paraId="01773BB3">
            <w:pPr>
              <w:widowControl/>
              <w:jc w:val="center"/>
              <w:textAlignment w:val="center"/>
              <w:rPr>
                <w:rFonts w:hint="default"/>
                <w:color w:val="000000"/>
                <w:sz w:val="18"/>
                <w:szCs w:val="18"/>
              </w:rPr>
            </w:pPr>
            <w:r>
              <w:rPr>
                <w:rFonts w:hint="default"/>
                <w:color w:val="000000"/>
                <w:sz w:val="18"/>
                <w:szCs w:val="18"/>
              </w:rPr>
              <w:t>≥2亿元</w:t>
            </w:r>
          </w:p>
        </w:tc>
        <w:tc>
          <w:tcPr>
            <w:tcW w:w="1320" w:type="dxa"/>
            <w:tcBorders>
              <w:top w:val="single" w:color="000000" w:sz="4" w:space="0"/>
              <w:left w:val="single" w:color="000000" w:sz="4" w:space="0"/>
              <w:bottom w:val="single" w:color="000000" w:sz="4" w:space="0"/>
              <w:right w:val="single" w:color="000000" w:sz="4" w:space="0"/>
            </w:tcBorders>
            <w:vAlign w:val="center"/>
          </w:tcPr>
          <w:p w14:paraId="7A6F4D44">
            <w:pPr>
              <w:widowControl/>
              <w:jc w:val="center"/>
              <w:textAlignment w:val="center"/>
              <w:rPr>
                <w:rFonts w:hint="default"/>
                <w:color w:val="000000"/>
                <w:sz w:val="18"/>
                <w:szCs w:val="18"/>
              </w:rPr>
            </w:pPr>
            <w:r>
              <w:rPr>
                <w:rFonts w:hint="default"/>
                <w:color w:val="000000"/>
                <w:sz w:val="18"/>
                <w:szCs w:val="18"/>
              </w:rPr>
              <w:t>3.09亿元</w:t>
            </w:r>
          </w:p>
        </w:tc>
        <w:tc>
          <w:tcPr>
            <w:tcW w:w="1236" w:type="dxa"/>
            <w:tcBorders>
              <w:top w:val="single" w:color="000000" w:sz="4" w:space="0"/>
              <w:left w:val="single" w:color="000000" w:sz="4" w:space="0"/>
              <w:bottom w:val="single" w:color="000000" w:sz="4" w:space="0"/>
              <w:right w:val="single" w:color="000000" w:sz="4" w:space="0"/>
            </w:tcBorders>
            <w:vAlign w:val="center"/>
          </w:tcPr>
          <w:p w14:paraId="1782F49A">
            <w:pPr>
              <w:jc w:val="center"/>
              <w:rPr>
                <w:rFonts w:hint="default"/>
                <w:color w:val="000000"/>
                <w:sz w:val="18"/>
                <w:szCs w:val="18"/>
              </w:rPr>
            </w:pPr>
          </w:p>
        </w:tc>
      </w:tr>
      <w:tr w14:paraId="7CC3FFFE">
        <w:tblPrEx>
          <w:tblCellMar>
            <w:top w:w="0" w:type="dxa"/>
            <w:left w:w="108" w:type="dxa"/>
            <w:bottom w:w="0" w:type="dxa"/>
            <w:right w:w="108" w:type="dxa"/>
          </w:tblCellMar>
        </w:tblPrEx>
        <w:trPr>
          <w:trHeight w:val="49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14:paraId="5FE18F6D">
            <w:pPr>
              <w:jc w:val="center"/>
              <w:rPr>
                <w:rFonts w:hint="default"/>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vAlign w:val="center"/>
          </w:tcPr>
          <w:p w14:paraId="4DB5DAC4">
            <w:pPr>
              <w:jc w:val="center"/>
              <w:rPr>
                <w:rFonts w:hint="default"/>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7FBEE399">
            <w:pPr>
              <w:widowControl/>
              <w:jc w:val="center"/>
              <w:textAlignment w:val="center"/>
              <w:rPr>
                <w:rFonts w:hint="default"/>
                <w:color w:val="000000"/>
                <w:sz w:val="18"/>
                <w:szCs w:val="18"/>
              </w:rPr>
            </w:pPr>
            <w:r>
              <w:rPr>
                <w:rFonts w:hint="default"/>
                <w:color w:val="000000"/>
                <w:sz w:val="18"/>
                <w:szCs w:val="18"/>
              </w:rPr>
              <w:t>生态效益指标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4781DEB2">
            <w:pPr>
              <w:widowControl/>
              <w:jc w:val="center"/>
              <w:textAlignment w:val="center"/>
              <w:rPr>
                <w:rFonts w:hint="default"/>
                <w:color w:val="000000"/>
                <w:sz w:val="18"/>
                <w:szCs w:val="18"/>
              </w:rPr>
            </w:pPr>
            <w:r>
              <w:rPr>
                <w:rFonts w:hint="default"/>
                <w:color w:val="000000"/>
                <w:sz w:val="18"/>
                <w:szCs w:val="18"/>
              </w:rPr>
              <w:t>指标1：</w:t>
            </w:r>
          </w:p>
        </w:tc>
        <w:tc>
          <w:tcPr>
            <w:tcW w:w="2040" w:type="dxa"/>
            <w:tcBorders>
              <w:top w:val="single" w:color="000000" w:sz="4" w:space="0"/>
              <w:left w:val="single" w:color="000000" w:sz="4" w:space="0"/>
              <w:bottom w:val="single" w:color="000000" w:sz="4" w:space="0"/>
              <w:right w:val="single" w:color="000000" w:sz="4" w:space="0"/>
            </w:tcBorders>
            <w:vAlign w:val="center"/>
          </w:tcPr>
          <w:p w14:paraId="007681C2">
            <w:pPr>
              <w:widowControl/>
              <w:jc w:val="center"/>
              <w:textAlignment w:val="center"/>
              <w:rPr>
                <w:rFonts w:hint="default"/>
                <w:color w:val="000000"/>
                <w:sz w:val="18"/>
                <w:szCs w:val="18"/>
              </w:rPr>
            </w:pPr>
            <w:r>
              <w:rPr>
                <w:rFonts w:hint="default"/>
                <w:color w:val="000000"/>
                <w:sz w:val="18"/>
                <w:szCs w:val="18"/>
              </w:rPr>
              <w:t>招引企业项目达到环保要求</w:t>
            </w:r>
          </w:p>
        </w:tc>
        <w:tc>
          <w:tcPr>
            <w:tcW w:w="1380" w:type="dxa"/>
            <w:tcBorders>
              <w:top w:val="single" w:color="000000" w:sz="4" w:space="0"/>
              <w:left w:val="single" w:color="000000" w:sz="4" w:space="0"/>
              <w:bottom w:val="single" w:color="000000" w:sz="4" w:space="0"/>
              <w:right w:val="single" w:color="000000" w:sz="4" w:space="0"/>
            </w:tcBorders>
            <w:vAlign w:val="center"/>
          </w:tcPr>
          <w:p w14:paraId="49EE987C">
            <w:pPr>
              <w:widowControl/>
              <w:jc w:val="center"/>
              <w:textAlignment w:val="center"/>
              <w:rPr>
                <w:rFonts w:hint="default"/>
                <w:color w:val="000000"/>
                <w:sz w:val="18"/>
                <w:szCs w:val="18"/>
              </w:rPr>
            </w:pPr>
            <w:r>
              <w:rPr>
                <w:rFonts w:hint="default"/>
                <w:color w:val="000000"/>
                <w:sz w:val="18"/>
                <w:szCs w:val="18"/>
              </w:rPr>
              <w:t>是</w:t>
            </w:r>
          </w:p>
        </w:tc>
        <w:tc>
          <w:tcPr>
            <w:tcW w:w="1320" w:type="dxa"/>
            <w:tcBorders>
              <w:top w:val="single" w:color="000000" w:sz="4" w:space="0"/>
              <w:left w:val="single" w:color="000000" w:sz="4" w:space="0"/>
              <w:bottom w:val="single" w:color="000000" w:sz="4" w:space="0"/>
              <w:right w:val="single" w:color="000000" w:sz="4" w:space="0"/>
            </w:tcBorders>
            <w:vAlign w:val="center"/>
          </w:tcPr>
          <w:p w14:paraId="69F2FD42">
            <w:pPr>
              <w:widowControl/>
              <w:jc w:val="center"/>
              <w:textAlignment w:val="center"/>
              <w:rPr>
                <w:rFonts w:hint="default"/>
                <w:color w:val="000000"/>
                <w:sz w:val="18"/>
                <w:szCs w:val="18"/>
              </w:rPr>
            </w:pPr>
            <w:r>
              <w:rPr>
                <w:rFonts w:hint="default"/>
                <w:color w:val="000000"/>
                <w:sz w:val="18"/>
                <w:szCs w:val="18"/>
              </w:rPr>
              <w:t>是</w:t>
            </w:r>
          </w:p>
        </w:tc>
        <w:tc>
          <w:tcPr>
            <w:tcW w:w="1236" w:type="dxa"/>
            <w:tcBorders>
              <w:top w:val="single" w:color="000000" w:sz="4" w:space="0"/>
              <w:left w:val="single" w:color="000000" w:sz="4" w:space="0"/>
              <w:bottom w:val="single" w:color="000000" w:sz="4" w:space="0"/>
              <w:right w:val="single" w:color="000000" w:sz="4" w:space="0"/>
            </w:tcBorders>
            <w:vAlign w:val="center"/>
          </w:tcPr>
          <w:p w14:paraId="0FCA30CD">
            <w:pPr>
              <w:jc w:val="center"/>
              <w:rPr>
                <w:rFonts w:hint="default"/>
                <w:color w:val="000000"/>
                <w:sz w:val="18"/>
                <w:szCs w:val="18"/>
              </w:rPr>
            </w:pPr>
          </w:p>
        </w:tc>
      </w:tr>
      <w:tr w14:paraId="1D4E9BEF">
        <w:tblPrEx>
          <w:tblCellMar>
            <w:top w:w="0" w:type="dxa"/>
            <w:left w:w="108" w:type="dxa"/>
            <w:bottom w:w="0" w:type="dxa"/>
            <w:right w:w="108" w:type="dxa"/>
          </w:tblCellMar>
        </w:tblPrEx>
        <w:trPr>
          <w:trHeight w:val="43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14:paraId="526F8A70">
            <w:pPr>
              <w:jc w:val="center"/>
              <w:rPr>
                <w:rFonts w:hint="default"/>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vAlign w:val="center"/>
          </w:tcPr>
          <w:p w14:paraId="5793B61E">
            <w:pPr>
              <w:jc w:val="center"/>
              <w:rPr>
                <w:rFonts w:hint="default"/>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383DD66C">
            <w:pPr>
              <w:widowControl/>
              <w:jc w:val="center"/>
              <w:textAlignment w:val="center"/>
              <w:rPr>
                <w:rFonts w:hint="default"/>
                <w:color w:val="000000"/>
                <w:sz w:val="18"/>
                <w:szCs w:val="18"/>
              </w:rPr>
            </w:pPr>
            <w:r>
              <w:rPr>
                <w:rFonts w:hint="default"/>
                <w:color w:val="000000"/>
                <w:sz w:val="18"/>
                <w:szCs w:val="18"/>
              </w:rPr>
              <w:t>经济效益指标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6B0A8B89">
            <w:pPr>
              <w:widowControl/>
              <w:jc w:val="center"/>
              <w:textAlignment w:val="center"/>
              <w:rPr>
                <w:rFonts w:hint="default"/>
                <w:color w:val="000000"/>
                <w:sz w:val="18"/>
                <w:szCs w:val="18"/>
              </w:rPr>
            </w:pPr>
            <w:r>
              <w:rPr>
                <w:rFonts w:hint="default"/>
                <w:color w:val="000000"/>
                <w:sz w:val="18"/>
                <w:szCs w:val="18"/>
              </w:rPr>
              <w:t>指标1：</w:t>
            </w:r>
          </w:p>
        </w:tc>
        <w:tc>
          <w:tcPr>
            <w:tcW w:w="2040" w:type="dxa"/>
            <w:tcBorders>
              <w:top w:val="single" w:color="000000" w:sz="4" w:space="0"/>
              <w:left w:val="single" w:color="000000" w:sz="4" w:space="0"/>
              <w:bottom w:val="single" w:color="000000" w:sz="4" w:space="0"/>
              <w:right w:val="single" w:color="000000" w:sz="4" w:space="0"/>
            </w:tcBorders>
            <w:vAlign w:val="center"/>
          </w:tcPr>
          <w:p w14:paraId="0E6A91B1">
            <w:pPr>
              <w:widowControl/>
              <w:jc w:val="center"/>
              <w:textAlignment w:val="center"/>
              <w:rPr>
                <w:rFonts w:hint="default"/>
                <w:color w:val="000000"/>
                <w:sz w:val="18"/>
                <w:szCs w:val="18"/>
              </w:rPr>
            </w:pPr>
            <w:r>
              <w:rPr>
                <w:rFonts w:hint="default"/>
                <w:color w:val="000000"/>
                <w:sz w:val="18"/>
                <w:szCs w:val="18"/>
              </w:rPr>
              <w:t>促进昭化区域发展</w:t>
            </w:r>
          </w:p>
        </w:tc>
        <w:tc>
          <w:tcPr>
            <w:tcW w:w="1380" w:type="dxa"/>
            <w:tcBorders>
              <w:top w:val="single" w:color="000000" w:sz="4" w:space="0"/>
              <w:left w:val="single" w:color="000000" w:sz="4" w:space="0"/>
              <w:bottom w:val="single" w:color="000000" w:sz="4" w:space="0"/>
              <w:right w:val="single" w:color="000000" w:sz="4" w:space="0"/>
            </w:tcBorders>
            <w:vAlign w:val="center"/>
          </w:tcPr>
          <w:p w14:paraId="1A79223D">
            <w:pPr>
              <w:widowControl/>
              <w:jc w:val="center"/>
              <w:textAlignment w:val="center"/>
              <w:rPr>
                <w:rFonts w:hint="default"/>
                <w:color w:val="000000"/>
                <w:sz w:val="18"/>
                <w:szCs w:val="18"/>
              </w:rPr>
            </w:pPr>
            <w:r>
              <w:rPr>
                <w:rFonts w:hint="default"/>
                <w:color w:val="000000"/>
                <w:sz w:val="18"/>
                <w:szCs w:val="18"/>
              </w:rPr>
              <w:t>优</w:t>
            </w:r>
          </w:p>
        </w:tc>
        <w:tc>
          <w:tcPr>
            <w:tcW w:w="1320" w:type="dxa"/>
            <w:tcBorders>
              <w:top w:val="single" w:color="000000" w:sz="4" w:space="0"/>
              <w:left w:val="single" w:color="000000" w:sz="4" w:space="0"/>
              <w:bottom w:val="single" w:color="000000" w:sz="4" w:space="0"/>
              <w:right w:val="single" w:color="000000" w:sz="4" w:space="0"/>
            </w:tcBorders>
            <w:vAlign w:val="center"/>
          </w:tcPr>
          <w:p w14:paraId="550877C3">
            <w:pPr>
              <w:widowControl/>
              <w:jc w:val="center"/>
              <w:textAlignment w:val="center"/>
              <w:rPr>
                <w:rFonts w:hint="default"/>
                <w:color w:val="000000"/>
                <w:sz w:val="18"/>
                <w:szCs w:val="18"/>
              </w:rPr>
            </w:pPr>
            <w:r>
              <w:rPr>
                <w:rFonts w:hint="default"/>
                <w:color w:val="000000"/>
                <w:sz w:val="18"/>
                <w:szCs w:val="18"/>
              </w:rPr>
              <w:t>优</w:t>
            </w:r>
          </w:p>
        </w:tc>
        <w:tc>
          <w:tcPr>
            <w:tcW w:w="1236" w:type="dxa"/>
            <w:tcBorders>
              <w:top w:val="single" w:color="000000" w:sz="4" w:space="0"/>
              <w:left w:val="single" w:color="000000" w:sz="4" w:space="0"/>
              <w:bottom w:val="single" w:color="000000" w:sz="4" w:space="0"/>
              <w:right w:val="single" w:color="000000" w:sz="4" w:space="0"/>
            </w:tcBorders>
            <w:vAlign w:val="center"/>
          </w:tcPr>
          <w:p w14:paraId="79DC49E9">
            <w:pPr>
              <w:jc w:val="center"/>
              <w:rPr>
                <w:rFonts w:hint="default"/>
                <w:color w:val="000000"/>
                <w:sz w:val="18"/>
                <w:szCs w:val="18"/>
              </w:rPr>
            </w:pPr>
          </w:p>
        </w:tc>
      </w:tr>
      <w:tr w14:paraId="0B60D4A1">
        <w:tblPrEx>
          <w:tblCellMar>
            <w:top w:w="0" w:type="dxa"/>
            <w:left w:w="108" w:type="dxa"/>
            <w:bottom w:w="0" w:type="dxa"/>
            <w:right w:w="108" w:type="dxa"/>
          </w:tblCellMar>
        </w:tblPrEx>
        <w:trPr>
          <w:trHeight w:val="52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14:paraId="74BA2BE4">
            <w:pPr>
              <w:jc w:val="center"/>
              <w:rPr>
                <w:rFonts w:hint="default"/>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14:paraId="4E7F9A17">
            <w:pPr>
              <w:widowControl/>
              <w:jc w:val="center"/>
              <w:textAlignment w:val="center"/>
              <w:rPr>
                <w:rFonts w:hint="default"/>
                <w:color w:val="000000"/>
                <w:sz w:val="18"/>
                <w:szCs w:val="18"/>
              </w:rPr>
            </w:pPr>
            <w:r>
              <w:rPr>
                <w:rFonts w:hint="default"/>
                <w:color w:val="000000"/>
                <w:sz w:val="18"/>
                <w:szCs w:val="18"/>
              </w:rPr>
              <w:t>满意度</w:t>
            </w:r>
          </w:p>
          <w:p w14:paraId="35020235">
            <w:pPr>
              <w:widowControl/>
              <w:jc w:val="center"/>
              <w:textAlignment w:val="center"/>
              <w:rPr>
                <w:rFonts w:hint="default"/>
                <w:color w:val="000000"/>
                <w:sz w:val="18"/>
                <w:szCs w:val="18"/>
              </w:rPr>
            </w:pPr>
            <w:r>
              <w:rPr>
                <w:rFonts w:hint="default"/>
                <w:color w:val="000000"/>
                <w:sz w:val="18"/>
                <w:szCs w:val="18"/>
              </w:rPr>
              <w:t>指标</w:t>
            </w:r>
          </w:p>
        </w:tc>
        <w:tc>
          <w:tcPr>
            <w:tcW w:w="1128" w:type="dxa"/>
            <w:vMerge w:val="restart"/>
            <w:tcBorders>
              <w:top w:val="single" w:color="000000" w:sz="4" w:space="0"/>
              <w:left w:val="single" w:color="000000" w:sz="4" w:space="0"/>
              <w:bottom w:val="single" w:color="000000" w:sz="4" w:space="0"/>
              <w:right w:val="single" w:color="000000" w:sz="4" w:space="0"/>
            </w:tcBorders>
            <w:vAlign w:val="center"/>
          </w:tcPr>
          <w:p w14:paraId="14910518">
            <w:pPr>
              <w:widowControl/>
              <w:jc w:val="center"/>
              <w:textAlignment w:val="center"/>
              <w:rPr>
                <w:rFonts w:hint="default"/>
                <w:color w:val="000000"/>
                <w:sz w:val="18"/>
                <w:szCs w:val="18"/>
              </w:rPr>
            </w:pPr>
            <w:r>
              <w:rPr>
                <w:rFonts w:hint="default"/>
                <w:color w:val="000000"/>
                <w:sz w:val="18"/>
                <w:szCs w:val="18"/>
              </w:rPr>
              <w:t>服务对象满意度指标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020CD612">
            <w:pPr>
              <w:widowControl/>
              <w:jc w:val="center"/>
              <w:textAlignment w:val="center"/>
              <w:rPr>
                <w:rFonts w:hint="default"/>
                <w:color w:val="000000"/>
                <w:sz w:val="18"/>
                <w:szCs w:val="18"/>
              </w:rPr>
            </w:pPr>
            <w:r>
              <w:rPr>
                <w:rFonts w:hint="default"/>
                <w:color w:val="000000"/>
                <w:sz w:val="18"/>
                <w:szCs w:val="18"/>
              </w:rPr>
              <w:t>指标1：</w:t>
            </w:r>
          </w:p>
        </w:tc>
        <w:tc>
          <w:tcPr>
            <w:tcW w:w="2040" w:type="dxa"/>
            <w:tcBorders>
              <w:top w:val="single" w:color="000000" w:sz="4" w:space="0"/>
              <w:left w:val="single" w:color="000000" w:sz="4" w:space="0"/>
              <w:bottom w:val="single" w:color="000000" w:sz="4" w:space="0"/>
              <w:right w:val="single" w:color="000000" w:sz="4" w:space="0"/>
            </w:tcBorders>
            <w:vAlign w:val="center"/>
          </w:tcPr>
          <w:p w14:paraId="72567284">
            <w:pPr>
              <w:widowControl/>
              <w:jc w:val="center"/>
              <w:textAlignment w:val="center"/>
              <w:rPr>
                <w:rFonts w:hint="default"/>
                <w:color w:val="000000"/>
                <w:sz w:val="18"/>
                <w:szCs w:val="18"/>
              </w:rPr>
            </w:pPr>
            <w:r>
              <w:rPr>
                <w:rFonts w:hint="default"/>
                <w:color w:val="000000"/>
                <w:sz w:val="18"/>
                <w:szCs w:val="18"/>
              </w:rPr>
              <w:t>群众满意度</w:t>
            </w:r>
          </w:p>
        </w:tc>
        <w:tc>
          <w:tcPr>
            <w:tcW w:w="1380" w:type="dxa"/>
            <w:tcBorders>
              <w:top w:val="single" w:color="000000" w:sz="4" w:space="0"/>
              <w:left w:val="single" w:color="000000" w:sz="4" w:space="0"/>
              <w:bottom w:val="single" w:color="000000" w:sz="4" w:space="0"/>
              <w:right w:val="single" w:color="000000" w:sz="4" w:space="0"/>
            </w:tcBorders>
            <w:vAlign w:val="center"/>
          </w:tcPr>
          <w:p w14:paraId="333937ED">
            <w:pPr>
              <w:widowControl/>
              <w:jc w:val="center"/>
              <w:textAlignment w:val="center"/>
              <w:rPr>
                <w:rFonts w:hint="default"/>
                <w:color w:val="000000"/>
                <w:sz w:val="18"/>
                <w:szCs w:val="18"/>
              </w:rPr>
            </w:pPr>
            <w:r>
              <w:rPr>
                <w:rFonts w:hint="default"/>
                <w:color w:val="000000"/>
                <w:sz w:val="18"/>
                <w:szCs w:val="18"/>
              </w:rPr>
              <w:t>≥90%</w:t>
            </w:r>
          </w:p>
        </w:tc>
        <w:tc>
          <w:tcPr>
            <w:tcW w:w="1320" w:type="dxa"/>
            <w:tcBorders>
              <w:top w:val="single" w:color="000000" w:sz="4" w:space="0"/>
              <w:left w:val="single" w:color="000000" w:sz="4" w:space="0"/>
              <w:bottom w:val="single" w:color="000000" w:sz="4" w:space="0"/>
              <w:right w:val="single" w:color="000000" w:sz="4" w:space="0"/>
            </w:tcBorders>
            <w:vAlign w:val="center"/>
          </w:tcPr>
          <w:p w14:paraId="39444D6C">
            <w:pPr>
              <w:widowControl/>
              <w:jc w:val="center"/>
              <w:textAlignment w:val="center"/>
              <w:rPr>
                <w:rFonts w:hint="default"/>
                <w:color w:val="000000"/>
                <w:sz w:val="18"/>
                <w:szCs w:val="18"/>
              </w:rPr>
            </w:pPr>
            <w:r>
              <w:rPr>
                <w:rFonts w:hint="default"/>
                <w:color w:val="000000"/>
                <w:sz w:val="18"/>
                <w:szCs w:val="18"/>
              </w:rPr>
              <w:t>90%</w:t>
            </w:r>
          </w:p>
        </w:tc>
        <w:tc>
          <w:tcPr>
            <w:tcW w:w="1236" w:type="dxa"/>
            <w:tcBorders>
              <w:top w:val="single" w:color="000000" w:sz="4" w:space="0"/>
              <w:left w:val="single" w:color="000000" w:sz="4" w:space="0"/>
              <w:bottom w:val="single" w:color="000000" w:sz="4" w:space="0"/>
              <w:right w:val="single" w:color="000000" w:sz="4" w:space="0"/>
            </w:tcBorders>
            <w:vAlign w:val="center"/>
          </w:tcPr>
          <w:p w14:paraId="42CB16EC">
            <w:pPr>
              <w:jc w:val="center"/>
              <w:rPr>
                <w:rFonts w:hint="default"/>
                <w:color w:val="000000"/>
                <w:sz w:val="18"/>
                <w:szCs w:val="18"/>
              </w:rPr>
            </w:pPr>
          </w:p>
        </w:tc>
      </w:tr>
      <w:tr w14:paraId="6C270A7E">
        <w:tblPrEx>
          <w:tblCellMar>
            <w:top w:w="0" w:type="dxa"/>
            <w:left w:w="108" w:type="dxa"/>
            <w:bottom w:w="0" w:type="dxa"/>
            <w:right w:w="108" w:type="dxa"/>
          </w:tblCellMar>
        </w:tblPrEx>
        <w:trPr>
          <w:trHeight w:val="43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vAlign w:val="center"/>
          </w:tcPr>
          <w:p w14:paraId="09123AA0">
            <w:pPr>
              <w:jc w:val="center"/>
              <w:rPr>
                <w:rFonts w:hint="default"/>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165DF69C">
            <w:pPr>
              <w:jc w:val="center"/>
              <w:rPr>
                <w:rFonts w:hint="default"/>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vAlign w:val="center"/>
          </w:tcPr>
          <w:p w14:paraId="1A72B42E">
            <w:pPr>
              <w:jc w:val="center"/>
              <w:rPr>
                <w:rFonts w:hint="default"/>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27BB1E97">
            <w:pPr>
              <w:widowControl/>
              <w:jc w:val="center"/>
              <w:textAlignment w:val="center"/>
              <w:rPr>
                <w:rFonts w:hint="default"/>
                <w:color w:val="000000"/>
                <w:sz w:val="18"/>
                <w:szCs w:val="18"/>
              </w:rPr>
            </w:pPr>
            <w:r>
              <w:rPr>
                <w:rFonts w:hint="default"/>
                <w:color w:val="000000"/>
                <w:sz w:val="18"/>
                <w:szCs w:val="18"/>
              </w:rPr>
              <w:t>指标2：</w:t>
            </w:r>
          </w:p>
        </w:tc>
        <w:tc>
          <w:tcPr>
            <w:tcW w:w="2040" w:type="dxa"/>
            <w:tcBorders>
              <w:top w:val="single" w:color="000000" w:sz="4" w:space="0"/>
              <w:left w:val="single" w:color="000000" w:sz="4" w:space="0"/>
              <w:bottom w:val="single" w:color="000000" w:sz="4" w:space="0"/>
              <w:right w:val="single" w:color="000000" w:sz="4" w:space="0"/>
            </w:tcBorders>
            <w:vAlign w:val="center"/>
          </w:tcPr>
          <w:p w14:paraId="65FF8AE8">
            <w:pPr>
              <w:widowControl/>
              <w:jc w:val="center"/>
              <w:textAlignment w:val="center"/>
              <w:rPr>
                <w:rFonts w:hint="default"/>
                <w:color w:val="000000"/>
                <w:sz w:val="18"/>
                <w:szCs w:val="18"/>
              </w:rPr>
            </w:pPr>
            <w:r>
              <w:rPr>
                <w:rFonts w:hint="default"/>
                <w:color w:val="000000"/>
                <w:sz w:val="18"/>
                <w:szCs w:val="18"/>
              </w:rPr>
              <w:t>引进企业满意度</w:t>
            </w:r>
          </w:p>
        </w:tc>
        <w:tc>
          <w:tcPr>
            <w:tcW w:w="1380" w:type="dxa"/>
            <w:tcBorders>
              <w:top w:val="single" w:color="000000" w:sz="4" w:space="0"/>
              <w:left w:val="single" w:color="000000" w:sz="4" w:space="0"/>
              <w:bottom w:val="single" w:color="000000" w:sz="4" w:space="0"/>
              <w:right w:val="single" w:color="000000" w:sz="4" w:space="0"/>
            </w:tcBorders>
            <w:vAlign w:val="center"/>
          </w:tcPr>
          <w:p w14:paraId="4EEE5BB5">
            <w:pPr>
              <w:widowControl/>
              <w:jc w:val="center"/>
              <w:textAlignment w:val="center"/>
              <w:rPr>
                <w:rFonts w:hint="default"/>
                <w:color w:val="000000"/>
                <w:sz w:val="18"/>
                <w:szCs w:val="18"/>
              </w:rPr>
            </w:pPr>
            <w:r>
              <w:rPr>
                <w:rFonts w:hint="default"/>
                <w:color w:val="000000"/>
                <w:sz w:val="18"/>
                <w:szCs w:val="18"/>
              </w:rPr>
              <w:t>≥90%</w:t>
            </w:r>
          </w:p>
        </w:tc>
        <w:tc>
          <w:tcPr>
            <w:tcW w:w="1320" w:type="dxa"/>
            <w:tcBorders>
              <w:top w:val="single" w:color="000000" w:sz="4" w:space="0"/>
              <w:left w:val="single" w:color="000000" w:sz="4" w:space="0"/>
              <w:bottom w:val="single" w:color="000000" w:sz="4" w:space="0"/>
              <w:right w:val="single" w:color="000000" w:sz="4" w:space="0"/>
            </w:tcBorders>
            <w:vAlign w:val="center"/>
          </w:tcPr>
          <w:p w14:paraId="382EF253">
            <w:pPr>
              <w:widowControl/>
              <w:jc w:val="center"/>
              <w:textAlignment w:val="center"/>
              <w:rPr>
                <w:rFonts w:hint="default"/>
                <w:color w:val="000000"/>
                <w:sz w:val="18"/>
                <w:szCs w:val="18"/>
              </w:rPr>
            </w:pPr>
            <w:r>
              <w:rPr>
                <w:rFonts w:hint="default"/>
                <w:color w:val="000000"/>
                <w:sz w:val="18"/>
                <w:szCs w:val="18"/>
              </w:rPr>
              <w:t>90%</w:t>
            </w:r>
          </w:p>
        </w:tc>
        <w:tc>
          <w:tcPr>
            <w:tcW w:w="1236" w:type="dxa"/>
            <w:tcBorders>
              <w:top w:val="single" w:color="000000" w:sz="4" w:space="0"/>
              <w:left w:val="single" w:color="000000" w:sz="4" w:space="0"/>
              <w:bottom w:val="single" w:color="000000" w:sz="4" w:space="0"/>
              <w:right w:val="single" w:color="000000" w:sz="4" w:space="0"/>
            </w:tcBorders>
            <w:vAlign w:val="center"/>
          </w:tcPr>
          <w:p w14:paraId="02813F77">
            <w:pPr>
              <w:jc w:val="center"/>
              <w:rPr>
                <w:rFonts w:hint="default"/>
                <w:color w:val="000000"/>
                <w:sz w:val="18"/>
                <w:szCs w:val="18"/>
              </w:rPr>
            </w:pPr>
          </w:p>
        </w:tc>
      </w:tr>
    </w:tbl>
    <w:p w14:paraId="3FF7EE84">
      <w:pPr>
        <w:pStyle w:val="2"/>
        <w:spacing w:line="576" w:lineRule="exact"/>
        <w:jc w:val="center"/>
        <w:rPr>
          <w:rFonts w:hint="default" w:eastAsia="方正小标宋简体"/>
          <w:kern w:val="44"/>
          <w:sz w:val="44"/>
        </w:rPr>
      </w:pPr>
      <w:bookmarkStart w:id="8" w:name="_Toc178157917"/>
      <w:r>
        <w:rPr>
          <w:rFonts w:hint="default" w:eastAsia="方正小标宋简体"/>
          <w:kern w:val="44"/>
          <w:sz w:val="44"/>
        </w:rPr>
        <w:t>第五部分  附表</w:t>
      </w:r>
      <w:bookmarkEnd w:id="8"/>
    </w:p>
    <w:p w14:paraId="58876DFD">
      <w:pPr>
        <w:pStyle w:val="3"/>
        <w:spacing w:line="576" w:lineRule="exact"/>
        <w:ind w:firstLine="640" w:firstLineChars="200"/>
        <w:jc w:val="both"/>
        <w:rPr>
          <w:rFonts w:hint="default" w:eastAsia="仿宋_GB2312"/>
          <w:color w:val="000000"/>
          <w:kern w:val="2"/>
          <w:sz w:val="32"/>
        </w:rPr>
      </w:pPr>
    </w:p>
    <w:p w14:paraId="39BCA5DF">
      <w:pPr>
        <w:pStyle w:val="3"/>
        <w:spacing w:line="576" w:lineRule="exact"/>
        <w:ind w:firstLine="640" w:firstLineChars="200"/>
        <w:jc w:val="both"/>
        <w:rPr>
          <w:rFonts w:hint="default" w:eastAsia="仿宋_GB2312"/>
          <w:b/>
          <w:color w:val="000000"/>
          <w:kern w:val="2"/>
          <w:sz w:val="32"/>
        </w:rPr>
      </w:pPr>
      <w:bookmarkStart w:id="9" w:name="_Toc178157918"/>
      <w:r>
        <w:rPr>
          <w:rFonts w:hint="default" w:eastAsia="仿宋_GB2312"/>
          <w:color w:val="000000"/>
          <w:kern w:val="2"/>
          <w:sz w:val="32"/>
        </w:rPr>
        <w:t>一、收</w:t>
      </w:r>
      <w:r>
        <w:rPr>
          <w:rFonts w:hint="default" w:eastAsia="仿宋_GB2312"/>
          <w:kern w:val="2"/>
          <w:sz w:val="32"/>
        </w:rPr>
        <w:t>入支出决算总表</w:t>
      </w:r>
      <w:bookmarkEnd w:id="9"/>
    </w:p>
    <w:p w14:paraId="2FC62EB4">
      <w:pPr>
        <w:pStyle w:val="3"/>
        <w:spacing w:line="576" w:lineRule="exact"/>
        <w:ind w:firstLine="640" w:firstLineChars="200"/>
        <w:jc w:val="both"/>
        <w:rPr>
          <w:rFonts w:hint="default" w:eastAsia="仿宋_GB2312"/>
          <w:b/>
          <w:color w:val="000000"/>
          <w:kern w:val="2"/>
          <w:sz w:val="32"/>
        </w:rPr>
      </w:pPr>
      <w:bookmarkStart w:id="10" w:name="_Toc178157919"/>
      <w:r>
        <w:rPr>
          <w:rFonts w:hint="default" w:eastAsia="仿宋_GB2312"/>
          <w:color w:val="000000"/>
          <w:kern w:val="2"/>
          <w:sz w:val="32"/>
        </w:rPr>
        <w:t>二、收</w:t>
      </w:r>
      <w:r>
        <w:rPr>
          <w:rFonts w:hint="default" w:eastAsia="仿宋_GB2312"/>
          <w:kern w:val="2"/>
          <w:sz w:val="32"/>
        </w:rPr>
        <w:t>入决算表</w:t>
      </w:r>
      <w:bookmarkEnd w:id="10"/>
    </w:p>
    <w:p w14:paraId="58C5CE83">
      <w:pPr>
        <w:pStyle w:val="3"/>
        <w:spacing w:line="576" w:lineRule="exact"/>
        <w:ind w:firstLine="640" w:firstLineChars="200"/>
        <w:jc w:val="both"/>
        <w:rPr>
          <w:rFonts w:hint="default" w:eastAsia="仿宋_GB2312"/>
          <w:b/>
          <w:color w:val="000000"/>
          <w:kern w:val="2"/>
          <w:sz w:val="32"/>
        </w:rPr>
      </w:pPr>
      <w:bookmarkStart w:id="11" w:name="_Toc178157920"/>
      <w:r>
        <w:rPr>
          <w:rFonts w:hint="default" w:eastAsia="仿宋_GB2312"/>
          <w:kern w:val="2"/>
          <w:sz w:val="32"/>
        </w:rPr>
        <w:t>三、</w:t>
      </w:r>
      <w:r>
        <w:rPr>
          <w:rFonts w:hint="default" w:eastAsia="仿宋_GB2312"/>
          <w:color w:val="000000"/>
          <w:kern w:val="2"/>
          <w:sz w:val="32"/>
        </w:rPr>
        <w:t>支</w:t>
      </w:r>
      <w:r>
        <w:rPr>
          <w:rFonts w:hint="default" w:eastAsia="仿宋_GB2312"/>
          <w:kern w:val="2"/>
          <w:sz w:val="32"/>
        </w:rPr>
        <w:t>出决算表</w:t>
      </w:r>
      <w:bookmarkEnd w:id="11"/>
    </w:p>
    <w:p w14:paraId="366FE7D6">
      <w:pPr>
        <w:pStyle w:val="3"/>
        <w:spacing w:line="576" w:lineRule="exact"/>
        <w:ind w:firstLine="640" w:firstLineChars="200"/>
        <w:jc w:val="both"/>
        <w:rPr>
          <w:rFonts w:hint="default" w:eastAsia="仿宋_GB2312"/>
          <w:color w:val="000000"/>
          <w:kern w:val="2"/>
          <w:sz w:val="32"/>
        </w:rPr>
      </w:pPr>
      <w:bookmarkStart w:id="12" w:name="_Toc178157921"/>
      <w:r>
        <w:rPr>
          <w:rFonts w:hint="default" w:eastAsia="仿宋_GB2312"/>
          <w:kern w:val="2"/>
          <w:sz w:val="32"/>
        </w:rPr>
        <w:t>四、</w:t>
      </w:r>
      <w:r>
        <w:rPr>
          <w:rFonts w:hint="default" w:eastAsia="仿宋_GB2312"/>
          <w:color w:val="000000"/>
          <w:kern w:val="2"/>
          <w:sz w:val="32"/>
        </w:rPr>
        <w:t>财</w:t>
      </w:r>
      <w:r>
        <w:rPr>
          <w:rFonts w:hint="default" w:eastAsia="仿宋_GB2312"/>
          <w:kern w:val="2"/>
          <w:sz w:val="32"/>
        </w:rPr>
        <w:t>政拨款收入支出决算总表</w:t>
      </w:r>
      <w:bookmarkEnd w:id="12"/>
    </w:p>
    <w:p w14:paraId="110FE752">
      <w:pPr>
        <w:pStyle w:val="3"/>
        <w:spacing w:line="576" w:lineRule="exact"/>
        <w:ind w:firstLine="640" w:firstLineChars="200"/>
        <w:jc w:val="both"/>
        <w:rPr>
          <w:rFonts w:hint="default" w:eastAsia="仿宋_GB2312"/>
          <w:kern w:val="2"/>
          <w:sz w:val="32"/>
        </w:rPr>
      </w:pPr>
      <w:bookmarkStart w:id="13" w:name="_Toc178157922"/>
      <w:r>
        <w:rPr>
          <w:rFonts w:hint="default" w:eastAsia="仿宋_GB2312"/>
          <w:kern w:val="2"/>
          <w:sz w:val="32"/>
        </w:rPr>
        <w:t>五、</w:t>
      </w:r>
      <w:r>
        <w:rPr>
          <w:rFonts w:hint="default" w:eastAsia="仿宋_GB2312"/>
          <w:color w:val="000000"/>
          <w:kern w:val="2"/>
          <w:sz w:val="32"/>
        </w:rPr>
        <w:t>财</w:t>
      </w:r>
      <w:r>
        <w:rPr>
          <w:rFonts w:hint="default" w:eastAsia="仿宋_GB2312"/>
          <w:kern w:val="2"/>
          <w:sz w:val="32"/>
        </w:rPr>
        <w:t>政拨款支出决算明细表</w:t>
      </w:r>
      <w:bookmarkEnd w:id="13"/>
    </w:p>
    <w:p w14:paraId="6660C1D9">
      <w:pPr>
        <w:pStyle w:val="3"/>
        <w:spacing w:line="576" w:lineRule="exact"/>
        <w:ind w:firstLine="640" w:firstLineChars="200"/>
        <w:jc w:val="both"/>
        <w:rPr>
          <w:rFonts w:hint="default" w:eastAsia="仿宋_GB2312"/>
          <w:b/>
          <w:color w:val="000000"/>
          <w:kern w:val="2"/>
          <w:sz w:val="32"/>
        </w:rPr>
      </w:pPr>
      <w:bookmarkStart w:id="14" w:name="_Toc178157923"/>
      <w:r>
        <w:rPr>
          <w:rFonts w:hint="default" w:eastAsia="仿宋_GB2312"/>
          <w:kern w:val="2"/>
          <w:sz w:val="32"/>
        </w:rPr>
        <w:t>六、</w:t>
      </w:r>
      <w:r>
        <w:rPr>
          <w:rFonts w:hint="default" w:eastAsia="仿宋_GB2312"/>
          <w:color w:val="000000"/>
          <w:kern w:val="2"/>
          <w:sz w:val="32"/>
        </w:rPr>
        <w:t>一</w:t>
      </w:r>
      <w:r>
        <w:rPr>
          <w:rFonts w:hint="default" w:eastAsia="仿宋_GB2312"/>
          <w:kern w:val="2"/>
          <w:sz w:val="32"/>
        </w:rPr>
        <w:t>般公共预算财政拨款支出决算表</w:t>
      </w:r>
      <w:bookmarkEnd w:id="14"/>
    </w:p>
    <w:p w14:paraId="05F46203">
      <w:pPr>
        <w:pStyle w:val="3"/>
        <w:spacing w:line="576" w:lineRule="exact"/>
        <w:ind w:firstLine="640" w:firstLineChars="200"/>
        <w:jc w:val="both"/>
        <w:rPr>
          <w:rFonts w:hint="default" w:eastAsia="仿宋_GB2312"/>
          <w:b/>
          <w:color w:val="000000"/>
          <w:kern w:val="2"/>
          <w:sz w:val="32"/>
        </w:rPr>
      </w:pPr>
      <w:bookmarkStart w:id="15" w:name="_Toc178157924"/>
      <w:r>
        <w:rPr>
          <w:rFonts w:hint="default" w:eastAsia="仿宋_GB2312"/>
          <w:kern w:val="2"/>
          <w:sz w:val="32"/>
        </w:rPr>
        <w:t>七、</w:t>
      </w:r>
      <w:r>
        <w:rPr>
          <w:rFonts w:hint="default" w:eastAsia="仿宋_GB2312"/>
          <w:color w:val="000000"/>
          <w:kern w:val="2"/>
          <w:sz w:val="32"/>
        </w:rPr>
        <w:t>一</w:t>
      </w:r>
      <w:r>
        <w:rPr>
          <w:rFonts w:hint="default" w:eastAsia="仿宋_GB2312"/>
          <w:kern w:val="2"/>
          <w:sz w:val="32"/>
        </w:rPr>
        <w:t>般公共预算财政拨款支出决算明细表</w:t>
      </w:r>
      <w:bookmarkEnd w:id="15"/>
    </w:p>
    <w:p w14:paraId="15588193">
      <w:pPr>
        <w:pStyle w:val="3"/>
        <w:spacing w:line="576" w:lineRule="exact"/>
        <w:ind w:firstLine="640" w:firstLineChars="200"/>
        <w:jc w:val="both"/>
        <w:rPr>
          <w:rFonts w:hint="default" w:eastAsia="仿宋_GB2312"/>
          <w:b/>
          <w:color w:val="000000"/>
          <w:kern w:val="2"/>
          <w:sz w:val="32"/>
        </w:rPr>
      </w:pPr>
      <w:bookmarkStart w:id="16" w:name="_Toc178157925"/>
      <w:r>
        <w:rPr>
          <w:rFonts w:hint="default" w:eastAsia="仿宋_GB2312"/>
          <w:kern w:val="2"/>
          <w:sz w:val="32"/>
        </w:rPr>
        <w:t>八、</w:t>
      </w:r>
      <w:r>
        <w:rPr>
          <w:rFonts w:hint="default" w:eastAsia="仿宋_GB2312"/>
          <w:color w:val="000000"/>
          <w:kern w:val="2"/>
          <w:sz w:val="32"/>
        </w:rPr>
        <w:t>一</w:t>
      </w:r>
      <w:r>
        <w:rPr>
          <w:rFonts w:hint="default" w:eastAsia="仿宋_GB2312"/>
          <w:kern w:val="2"/>
          <w:sz w:val="32"/>
        </w:rPr>
        <w:t>般公共预算财政拨款基本支出决算表</w:t>
      </w:r>
      <w:bookmarkEnd w:id="16"/>
    </w:p>
    <w:p w14:paraId="1D1F1396">
      <w:pPr>
        <w:pStyle w:val="3"/>
        <w:spacing w:line="576" w:lineRule="exact"/>
        <w:ind w:firstLine="640" w:firstLineChars="200"/>
        <w:jc w:val="both"/>
        <w:rPr>
          <w:rFonts w:hint="default" w:eastAsia="仿宋_GB2312"/>
          <w:b/>
          <w:color w:val="000000"/>
          <w:kern w:val="2"/>
          <w:sz w:val="32"/>
        </w:rPr>
      </w:pPr>
      <w:bookmarkStart w:id="17" w:name="_Toc178157926"/>
      <w:r>
        <w:rPr>
          <w:rFonts w:hint="default" w:eastAsia="仿宋_GB2312"/>
          <w:kern w:val="2"/>
          <w:sz w:val="32"/>
        </w:rPr>
        <w:t>九、</w:t>
      </w:r>
      <w:r>
        <w:rPr>
          <w:rFonts w:hint="default" w:eastAsia="仿宋_GB2312"/>
          <w:color w:val="000000"/>
          <w:kern w:val="2"/>
          <w:sz w:val="32"/>
        </w:rPr>
        <w:t>一</w:t>
      </w:r>
      <w:r>
        <w:rPr>
          <w:rFonts w:hint="default" w:eastAsia="仿宋_GB2312"/>
          <w:kern w:val="2"/>
          <w:sz w:val="32"/>
        </w:rPr>
        <w:t>般公共预算财政拨款项目支出决算表</w:t>
      </w:r>
      <w:bookmarkEnd w:id="17"/>
    </w:p>
    <w:p w14:paraId="5B888FFC">
      <w:pPr>
        <w:pStyle w:val="3"/>
        <w:spacing w:line="576" w:lineRule="exact"/>
        <w:ind w:firstLine="640" w:firstLineChars="200"/>
        <w:jc w:val="both"/>
        <w:rPr>
          <w:rFonts w:hint="default" w:eastAsia="仿宋_GB2312"/>
          <w:b/>
          <w:color w:val="000000"/>
          <w:kern w:val="2"/>
          <w:sz w:val="32"/>
        </w:rPr>
      </w:pPr>
      <w:bookmarkStart w:id="18" w:name="_Toc178157927"/>
      <w:r>
        <w:rPr>
          <w:rFonts w:hint="default" w:eastAsia="仿宋_GB2312"/>
          <w:kern w:val="2"/>
          <w:sz w:val="32"/>
        </w:rPr>
        <w:t>十、</w:t>
      </w:r>
      <w:r>
        <w:rPr>
          <w:rFonts w:hint="default" w:eastAsia="仿宋_GB2312"/>
          <w:color w:val="000000"/>
          <w:kern w:val="2"/>
          <w:sz w:val="32"/>
        </w:rPr>
        <w:t>政</w:t>
      </w:r>
      <w:r>
        <w:rPr>
          <w:rFonts w:hint="default" w:eastAsia="仿宋_GB2312"/>
          <w:kern w:val="2"/>
          <w:sz w:val="32"/>
        </w:rPr>
        <w:t>府性基金预算财政拨款收入支出决算表</w:t>
      </w:r>
      <w:bookmarkEnd w:id="18"/>
    </w:p>
    <w:p w14:paraId="55587D95">
      <w:pPr>
        <w:pStyle w:val="3"/>
        <w:spacing w:line="576" w:lineRule="exact"/>
        <w:ind w:firstLine="640" w:firstLineChars="200"/>
        <w:jc w:val="both"/>
        <w:rPr>
          <w:rFonts w:hint="default" w:eastAsia="仿宋_GB2312"/>
          <w:kern w:val="2"/>
          <w:sz w:val="32"/>
        </w:rPr>
      </w:pPr>
      <w:bookmarkStart w:id="19" w:name="_Toc178157928"/>
      <w:r>
        <w:rPr>
          <w:rFonts w:hint="default" w:eastAsia="仿宋_GB2312"/>
          <w:kern w:val="2"/>
          <w:sz w:val="32"/>
        </w:rPr>
        <w:t>十一、国有资本经营预算财政拨款收入支出决算表</w:t>
      </w:r>
      <w:bookmarkEnd w:id="19"/>
    </w:p>
    <w:p w14:paraId="7D43428C">
      <w:pPr>
        <w:pStyle w:val="3"/>
        <w:spacing w:line="576" w:lineRule="exact"/>
        <w:ind w:firstLine="640" w:firstLineChars="200"/>
        <w:jc w:val="both"/>
        <w:rPr>
          <w:rFonts w:hint="default" w:eastAsia="仿宋_GB2312"/>
          <w:kern w:val="2"/>
          <w:sz w:val="32"/>
        </w:rPr>
      </w:pPr>
      <w:bookmarkStart w:id="20" w:name="_Toc178157929"/>
      <w:r>
        <w:rPr>
          <w:rFonts w:hint="default" w:eastAsia="仿宋_GB2312"/>
          <w:kern w:val="2"/>
          <w:sz w:val="32"/>
        </w:rPr>
        <w:t>十二、</w:t>
      </w:r>
      <w:r>
        <w:rPr>
          <w:rFonts w:hint="default" w:eastAsia="仿宋_GB2312"/>
          <w:color w:val="000000"/>
          <w:kern w:val="2"/>
          <w:sz w:val="32"/>
        </w:rPr>
        <w:t>国</w:t>
      </w:r>
      <w:r>
        <w:rPr>
          <w:rFonts w:hint="default" w:eastAsia="仿宋_GB2312"/>
          <w:kern w:val="2"/>
          <w:sz w:val="32"/>
        </w:rPr>
        <w:t>有资本经营预算财政拨款支出决算表</w:t>
      </w:r>
      <w:bookmarkEnd w:id="20"/>
    </w:p>
    <w:p w14:paraId="75D0995D">
      <w:pPr>
        <w:spacing w:line="576" w:lineRule="exact"/>
        <w:ind w:firstLine="640" w:firstLineChars="200"/>
        <w:outlineLvl w:val="1"/>
        <w:rPr>
          <w:rFonts w:hint="default" w:eastAsia="方正小标宋简体"/>
          <w:color w:val="000000"/>
          <w:kern w:val="2"/>
          <w:sz w:val="30"/>
        </w:rPr>
      </w:pPr>
      <w:bookmarkStart w:id="21" w:name="_Toc178157930"/>
      <w:r>
        <w:rPr>
          <w:rFonts w:hint="default" w:eastAsia="仿宋_GB2312"/>
          <w:kern w:val="2"/>
          <w:sz w:val="32"/>
        </w:rPr>
        <w:t>十三、财政拨款“三公”经费支出决算表</w:t>
      </w:r>
      <w:bookmarkEnd w:id="21"/>
    </w:p>
    <w:sectPr>
      <w:pgSz w:w="11907" w:h="16840"/>
      <w:pgMar w:top="2098" w:right="1474" w:bottom="1985" w:left="1588" w:header="720" w:footer="15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2965572"/>
      <w:docPartObj>
        <w:docPartGallery w:val="autotext"/>
      </w:docPartObj>
    </w:sdtPr>
    <w:sdtEndPr>
      <w:rPr>
        <w:rFonts w:ascii="宋体" w:hAnsi="宋体"/>
        <w:sz w:val="28"/>
        <w:szCs w:val="28"/>
      </w:rPr>
    </w:sdtEndPr>
    <w:sdtContent>
      <w:p w14:paraId="66C11BFE">
        <w:pPr>
          <w:pStyle w:val="7"/>
          <w:framePr w:wrap="around" w:vAnchor="text" w:hAnchor="margin" w:xAlign="outside" w:y="1"/>
          <w:ind w:left="240" w:leftChars="100" w:right="240" w:rightChars="100"/>
          <w:rPr>
            <w:rStyle w:val="16"/>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hint="default" w:ascii="宋体" w:hAnsi="宋体"/>
            <w:sz w:val="28"/>
            <w:szCs w:val="28"/>
          </w:rPr>
          <w:t>31</w:t>
        </w:r>
        <w:r>
          <w:rPr>
            <w:rFonts w:ascii="宋体" w:hAnsi="宋体"/>
            <w:sz w:val="28"/>
            <w:szCs w:val="28"/>
          </w:rPr>
          <w:fldChar w:fldCharType="end"/>
        </w:r>
        <w:r>
          <w:rPr>
            <w:rFonts w:ascii="宋体" w:hAnsi="宋体"/>
            <w:sz w:val="28"/>
            <w:szCs w:val="28"/>
          </w:rPr>
          <w:t xml:space="preserve"> —</w:t>
        </w:r>
      </w:p>
    </w:sdtContent>
  </w:sdt>
  <w:p w14:paraId="365EA382">
    <w:pPr>
      <w:pStyle w:val="7"/>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lZjQyNDA1ODYzNzM3NjlkZTgwZWE1ZDdhYjllMjEifQ=="/>
  </w:docVars>
  <w:rsids>
    <w:rsidRoot w:val="00172A27"/>
    <w:rsid w:val="000B5FBE"/>
    <w:rsid w:val="00172A27"/>
    <w:rsid w:val="00862C04"/>
    <w:rsid w:val="00B226E6"/>
    <w:rsid w:val="00E06606"/>
    <w:rsid w:val="00F86CDE"/>
    <w:rsid w:val="01AA1AC9"/>
    <w:rsid w:val="027C3466"/>
    <w:rsid w:val="03C055D4"/>
    <w:rsid w:val="05D15877"/>
    <w:rsid w:val="099D57EF"/>
    <w:rsid w:val="0A21302B"/>
    <w:rsid w:val="0E1B1E7D"/>
    <w:rsid w:val="0F9811B3"/>
    <w:rsid w:val="12584C83"/>
    <w:rsid w:val="16BE0D0D"/>
    <w:rsid w:val="1AAA3F21"/>
    <w:rsid w:val="1BEB78EB"/>
    <w:rsid w:val="252061BE"/>
    <w:rsid w:val="270B02C5"/>
    <w:rsid w:val="27C070A1"/>
    <w:rsid w:val="284D4DD9"/>
    <w:rsid w:val="28EA170C"/>
    <w:rsid w:val="28EF6685"/>
    <w:rsid w:val="29E92372"/>
    <w:rsid w:val="31357F74"/>
    <w:rsid w:val="338A4110"/>
    <w:rsid w:val="352670DE"/>
    <w:rsid w:val="3E5B15F2"/>
    <w:rsid w:val="3E6B07FC"/>
    <w:rsid w:val="4916491B"/>
    <w:rsid w:val="4DCA01B4"/>
    <w:rsid w:val="51085AC8"/>
    <w:rsid w:val="51FE528E"/>
    <w:rsid w:val="591F781C"/>
    <w:rsid w:val="5C3929A3"/>
    <w:rsid w:val="5C6A00C5"/>
    <w:rsid w:val="61306A6A"/>
    <w:rsid w:val="61CC5370"/>
    <w:rsid w:val="63A5076E"/>
    <w:rsid w:val="649F75B2"/>
    <w:rsid w:val="651A4066"/>
    <w:rsid w:val="6E0A3294"/>
    <w:rsid w:val="71ED497F"/>
    <w:rsid w:val="75C37A55"/>
    <w:rsid w:val="7730111A"/>
    <w:rsid w:val="7AD9139A"/>
    <w:rsid w:val="7C097E38"/>
    <w:rsid w:val="7F15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iPriority="0"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0"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2">
    <w:name w:val="heading 1"/>
    <w:basedOn w:val="1"/>
    <w:link w:val="18"/>
    <w:unhideWhenUsed/>
    <w:qFormat/>
    <w:uiPriority w:val="99"/>
    <w:pPr>
      <w:outlineLvl w:val="0"/>
    </w:pPr>
  </w:style>
  <w:style w:type="paragraph" w:styleId="3">
    <w:name w:val="heading 2"/>
    <w:basedOn w:val="1"/>
    <w:link w:val="19"/>
    <w:unhideWhenUsed/>
    <w:qFormat/>
    <w:uiPriority w:val="99"/>
    <w:pPr>
      <w:outlineLvl w:val="1"/>
    </w:p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index 6"/>
    <w:basedOn w:val="1"/>
    <w:next w:val="1"/>
    <w:unhideWhenUsed/>
    <w:qFormat/>
    <w:uiPriority w:val="0"/>
    <w:pPr>
      <w:ind w:left="2100"/>
    </w:pPr>
    <w:rPr>
      <w:rFonts w:ascii="Calibri" w:hAnsi="Calibri"/>
    </w:rPr>
  </w:style>
  <w:style w:type="paragraph" w:styleId="5">
    <w:name w:val="Body Text"/>
    <w:basedOn w:val="1"/>
    <w:next w:val="6"/>
    <w:link w:val="20"/>
    <w:unhideWhenUsed/>
    <w:qFormat/>
    <w:uiPriority w:val="99"/>
    <w:pPr>
      <w:spacing w:beforeLines="30"/>
    </w:pPr>
    <w:rPr>
      <w:rFonts w:ascii="仿宋_GB2312" w:eastAsia="仿宋_GB2312"/>
      <w:sz w:val="30"/>
    </w:rPr>
  </w:style>
  <w:style w:type="paragraph" w:styleId="6">
    <w:name w:val="Body Text First Indent"/>
    <w:basedOn w:val="5"/>
    <w:next w:val="7"/>
    <w:qFormat/>
    <w:uiPriority w:val="0"/>
    <w:pPr>
      <w:ind w:firstLine="100" w:firstLineChars="100"/>
    </w:pPr>
    <w:rPr>
      <w:rFonts w:ascii="Times New Roman" w:eastAsia="宋体"/>
    </w:rPr>
  </w:style>
  <w:style w:type="paragraph" w:styleId="7">
    <w:name w:val="footer"/>
    <w:basedOn w:val="1"/>
    <w:next w:val="8"/>
    <w:link w:val="21"/>
    <w:unhideWhenUsed/>
    <w:qFormat/>
    <w:uiPriority w:val="0"/>
    <w:pPr>
      <w:tabs>
        <w:tab w:val="center" w:pos="4153"/>
        <w:tab w:val="right" w:pos="8306"/>
      </w:tabs>
      <w:snapToGrid w:val="0"/>
    </w:pPr>
    <w:rPr>
      <w:sz w:val="18"/>
      <w:szCs w:val="18"/>
    </w:rPr>
  </w:style>
  <w:style w:type="paragraph" w:styleId="8">
    <w:name w:val="Normal (Web)"/>
    <w:basedOn w:val="1"/>
    <w:unhideWhenUsed/>
    <w:qFormat/>
    <w:uiPriority w:val="0"/>
    <w:pPr>
      <w:spacing w:beforeAutospacing="1" w:afterAutospacing="1"/>
    </w:pPr>
  </w:style>
  <w:style w:type="paragraph" w:styleId="9">
    <w:name w:val="Plain Text"/>
    <w:basedOn w:val="1"/>
    <w:next w:val="1"/>
    <w:unhideWhenUsed/>
    <w:qFormat/>
    <w:uiPriority w:val="0"/>
    <w:rPr>
      <w:rFonts w:ascii="宋体" w:hAnsi="Courier New"/>
      <w:spacing w:val="24"/>
    </w:rPr>
  </w:style>
  <w:style w:type="paragraph" w:styleId="10">
    <w:name w:val="Balloon Text"/>
    <w:basedOn w:val="1"/>
    <w:link w:val="24"/>
    <w:qFormat/>
    <w:uiPriority w:val="99"/>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8835"/>
      </w:tabs>
      <w:spacing w:line="576" w:lineRule="exact"/>
    </w:pPr>
    <w:rPr>
      <w:rFonts w:hint="default" w:ascii="黑体" w:hAnsi="黑体" w:eastAsia="黑体"/>
      <w:kern w:val="44"/>
      <w:sz w:val="32"/>
      <w:szCs w:val="32"/>
    </w:rPr>
  </w:style>
  <w:style w:type="paragraph" w:styleId="13">
    <w:name w:val="toc 2"/>
    <w:basedOn w:val="1"/>
    <w:next w:val="1"/>
    <w:autoRedefine/>
    <w:qFormat/>
    <w:uiPriority w:val="39"/>
    <w:pPr>
      <w:ind w:left="420" w:leftChars="200"/>
    </w:pPr>
  </w:style>
  <w:style w:type="character" w:styleId="16">
    <w:name w:val="page number"/>
    <w:basedOn w:val="15"/>
    <w:uiPriority w:val="0"/>
  </w:style>
  <w:style w:type="character" w:styleId="17">
    <w:name w:val="Hyperlink"/>
    <w:basedOn w:val="15"/>
    <w:unhideWhenUsed/>
    <w:uiPriority w:val="99"/>
    <w:rPr>
      <w:color w:val="0000FF" w:themeColor="hyperlink"/>
      <w:u w:val="single"/>
    </w:rPr>
  </w:style>
  <w:style w:type="character" w:customStyle="1" w:styleId="18">
    <w:name w:val="标题 1 Char"/>
    <w:basedOn w:val="15"/>
    <w:link w:val="2"/>
    <w:unhideWhenUsed/>
    <w:locked/>
    <w:uiPriority w:val="9"/>
    <w:rPr>
      <w:rFonts w:hint="default" w:cs="Times New Roman"/>
      <w:b/>
      <w:kern w:val="44"/>
      <w:sz w:val="44"/>
      <w:szCs w:val="44"/>
    </w:rPr>
  </w:style>
  <w:style w:type="character" w:customStyle="1" w:styleId="19">
    <w:name w:val="标题 2 Char"/>
    <w:basedOn w:val="15"/>
    <w:link w:val="3"/>
    <w:unhideWhenUsed/>
    <w:locked/>
    <w:uiPriority w:val="9"/>
    <w:rPr>
      <w:rFonts w:hint="eastAsia" w:ascii="Cambria" w:hAnsi="Cambria" w:eastAsia="宋体" w:cs="Times New Roman"/>
      <w:b/>
      <w:sz w:val="32"/>
      <w:szCs w:val="32"/>
    </w:rPr>
  </w:style>
  <w:style w:type="character" w:customStyle="1" w:styleId="20">
    <w:name w:val="正文文本 Char"/>
    <w:basedOn w:val="15"/>
    <w:link w:val="5"/>
    <w:unhideWhenUsed/>
    <w:locked/>
    <w:uiPriority w:val="99"/>
    <w:rPr>
      <w:rFonts w:hint="default" w:cs="Times New Roman"/>
      <w:sz w:val="24"/>
      <w:szCs w:val="24"/>
    </w:rPr>
  </w:style>
  <w:style w:type="character" w:customStyle="1" w:styleId="21">
    <w:name w:val="页脚 Char"/>
    <w:basedOn w:val="15"/>
    <w:link w:val="7"/>
    <w:unhideWhenUsed/>
    <w:qFormat/>
    <w:locked/>
    <w:uiPriority w:val="0"/>
    <w:rPr>
      <w:rFonts w:hint="default" w:cs="Times New Roman"/>
      <w:sz w:val="18"/>
      <w:szCs w:val="18"/>
    </w:rPr>
  </w:style>
  <w:style w:type="character" w:customStyle="1" w:styleId="22">
    <w:name w:val="页眉 Char"/>
    <w:basedOn w:val="15"/>
    <w:link w:val="11"/>
    <w:unhideWhenUsed/>
    <w:locked/>
    <w:uiPriority w:val="99"/>
    <w:rPr>
      <w:rFonts w:hint="default" w:cs="Times New Roman"/>
      <w:sz w:val="18"/>
      <w:szCs w:val="18"/>
    </w:rPr>
  </w:style>
  <w:style w:type="paragraph" w:customStyle="1" w:styleId="23">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character" w:customStyle="1" w:styleId="24">
    <w:name w:val="批注框文本 Char"/>
    <w:basedOn w:val="15"/>
    <w:link w:val="10"/>
    <w:uiPriority w:val="99"/>
    <w:rPr>
      <w:sz w:val="18"/>
      <w:szCs w:val="18"/>
    </w:rPr>
  </w:style>
  <w:style w:type="paragraph" w:customStyle="1" w:styleId="25">
    <w:name w:val="TOC Heading"/>
    <w:basedOn w:val="2"/>
    <w:next w:val="1"/>
    <w:unhideWhenUsed/>
    <w:qFormat/>
    <w:uiPriority w:val="39"/>
    <w:pPr>
      <w:keepNext/>
      <w:keepLines/>
      <w:widowControl/>
      <w:autoSpaceDE/>
      <w:autoSpaceDN/>
      <w:adjustRightInd/>
      <w:spacing w:before="480" w:line="276" w:lineRule="auto"/>
      <w:outlineLvl w:val="9"/>
    </w:pPr>
    <w:rPr>
      <w:rFonts w:hint="default"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517F4-A87E-4EEB-A845-ECBE5889EC9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12002</Words>
  <Characters>12877</Characters>
  <Lines>110</Lines>
  <Paragraphs>31</Paragraphs>
  <TotalTime>11</TotalTime>
  <ScaleCrop>false</ScaleCrop>
  <LinksUpToDate>false</LinksUpToDate>
  <CharactersWithSpaces>12990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2024-09-23T08:16:00Z</dcterms:created>
  <dc:creator>99715</dc:creator>
  <cp:lastModifiedBy>吴思容</cp:lastModifiedBy>
  <dcterms:modified xsi:type="dcterms:W3CDTF">2024-09-26T00:58:28Z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F80941B7A65E4C2E82CCC303D43E5389_13</vt:lpwstr>
  </property>
</Properties>
</file>